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35655" w14:textId="77CA4A25" w:rsidR="00920E7F" w:rsidRPr="003F6411" w:rsidRDefault="00920E7F" w:rsidP="00914A1A">
      <w:pPr>
        <w:pBdr>
          <w:top w:val="single" w:sz="12" w:space="0" w:color="auto" w:shadow="1"/>
          <w:left w:val="single" w:sz="12" w:space="4" w:color="auto" w:shadow="1"/>
          <w:bottom w:val="single" w:sz="12" w:space="0" w:color="auto" w:shadow="1"/>
          <w:right w:val="single" w:sz="12" w:space="7" w:color="auto" w:shadow="1"/>
        </w:pBdr>
        <w:suppressAutoHyphens/>
        <w:ind w:right="2790"/>
        <w:rPr>
          <w:rFonts w:asciiTheme="majorHAnsi" w:eastAsia="Batang" w:hAnsiTheme="majorHAnsi"/>
          <w:bCs/>
          <w:lang w:val="fr-FR"/>
        </w:rPr>
      </w:pPr>
      <w:bookmarkStart w:id="0" w:name="OLE_LINK1"/>
      <w:bookmarkStart w:id="1" w:name="OLE_LINK2"/>
      <w:r w:rsidRPr="003F6411">
        <w:rPr>
          <w:rFonts w:asciiTheme="majorHAnsi" w:eastAsia="Batang" w:hAnsiTheme="majorHAnsi"/>
          <w:bCs/>
          <w:lang w:val="fr-FR"/>
        </w:rPr>
        <w:t>CONVENTION</w:t>
      </w:r>
      <w:r w:rsidR="00E01336" w:rsidRPr="003F6411">
        <w:rPr>
          <w:rFonts w:asciiTheme="majorHAnsi" w:eastAsia="Batang" w:hAnsiTheme="majorHAnsi"/>
          <w:bCs/>
          <w:lang w:val="fr-FR"/>
        </w:rPr>
        <w:t xml:space="preserve"> </w:t>
      </w:r>
      <w:r w:rsidR="00082ACC" w:rsidRPr="003F6411">
        <w:rPr>
          <w:rFonts w:asciiTheme="majorHAnsi" w:eastAsia="Batang" w:hAnsiTheme="majorHAnsi"/>
          <w:bCs/>
          <w:lang w:val="fr-FR"/>
        </w:rPr>
        <w:t>SUR LES ZONES HUMIDES</w:t>
      </w:r>
      <w:r w:rsidR="00E01336" w:rsidRPr="003F6411">
        <w:rPr>
          <w:rFonts w:asciiTheme="majorHAnsi" w:eastAsia="Batang" w:hAnsiTheme="majorHAnsi"/>
          <w:bCs/>
          <w:lang w:val="fr-FR"/>
        </w:rPr>
        <w:t xml:space="preserve"> </w:t>
      </w:r>
      <w:r w:rsidRPr="003F6411">
        <w:rPr>
          <w:rFonts w:asciiTheme="majorHAnsi" w:eastAsia="Batang" w:hAnsiTheme="majorHAnsi"/>
          <w:bCs/>
          <w:lang w:val="fr-FR"/>
        </w:rPr>
        <w:t>(Ramsar,</w:t>
      </w:r>
      <w:r w:rsidR="00E01336" w:rsidRPr="003F6411">
        <w:rPr>
          <w:rFonts w:asciiTheme="majorHAnsi" w:eastAsia="Batang" w:hAnsiTheme="majorHAnsi"/>
          <w:bCs/>
          <w:lang w:val="fr-FR"/>
        </w:rPr>
        <w:t xml:space="preserve"> </w:t>
      </w:r>
      <w:r w:rsidRPr="003F6411">
        <w:rPr>
          <w:rFonts w:asciiTheme="majorHAnsi" w:eastAsia="Batang" w:hAnsiTheme="majorHAnsi"/>
          <w:bCs/>
          <w:lang w:val="fr-FR"/>
        </w:rPr>
        <w:t>Iran,</w:t>
      </w:r>
      <w:r w:rsidR="00E01336" w:rsidRPr="003F6411">
        <w:rPr>
          <w:rFonts w:asciiTheme="majorHAnsi" w:eastAsia="Batang" w:hAnsiTheme="majorHAnsi"/>
          <w:bCs/>
          <w:lang w:val="fr-FR"/>
        </w:rPr>
        <w:t xml:space="preserve"> </w:t>
      </w:r>
      <w:r w:rsidRPr="003F6411">
        <w:rPr>
          <w:rFonts w:asciiTheme="majorHAnsi" w:eastAsia="Batang" w:hAnsiTheme="majorHAnsi"/>
          <w:bCs/>
          <w:lang w:val="fr-FR"/>
        </w:rPr>
        <w:t>1971)</w:t>
      </w:r>
    </w:p>
    <w:p w14:paraId="1B13BE2B" w14:textId="6FBB658A" w:rsidR="00920E7F" w:rsidRPr="003F6411" w:rsidRDefault="00920E7F" w:rsidP="00914A1A">
      <w:pPr>
        <w:pBdr>
          <w:top w:val="single" w:sz="12" w:space="0" w:color="auto" w:shadow="1"/>
          <w:left w:val="single" w:sz="12" w:space="4" w:color="auto" w:shadow="1"/>
          <w:bottom w:val="single" w:sz="12" w:space="0" w:color="auto" w:shadow="1"/>
          <w:right w:val="single" w:sz="12" w:space="7" w:color="auto" w:shadow="1"/>
        </w:pBdr>
        <w:suppressAutoHyphens/>
        <w:ind w:right="2790"/>
        <w:rPr>
          <w:rFonts w:asciiTheme="majorHAnsi" w:eastAsia="Batang" w:hAnsiTheme="majorHAnsi"/>
          <w:bCs/>
          <w:lang w:val="fr-FR"/>
        </w:rPr>
      </w:pPr>
      <w:r w:rsidRPr="003F6411">
        <w:rPr>
          <w:rFonts w:asciiTheme="majorHAnsi" w:eastAsia="Batang" w:hAnsiTheme="majorHAnsi"/>
          <w:bCs/>
          <w:lang w:val="fr-FR"/>
        </w:rPr>
        <w:t>5</w:t>
      </w:r>
      <w:r w:rsidR="001D5E38" w:rsidRPr="003F6411">
        <w:rPr>
          <w:rFonts w:asciiTheme="majorHAnsi" w:eastAsia="Batang" w:hAnsiTheme="majorHAnsi"/>
          <w:bCs/>
          <w:lang w:val="fr-FR"/>
        </w:rPr>
        <w:t>2</w:t>
      </w:r>
      <w:r w:rsidR="00082ACC" w:rsidRPr="003F6411">
        <w:rPr>
          <w:rFonts w:asciiTheme="majorHAnsi" w:eastAsia="Batang" w:hAnsiTheme="majorHAnsi"/>
          <w:bCs/>
          <w:vertAlign w:val="superscript"/>
          <w:lang w:val="fr-FR"/>
        </w:rPr>
        <w:t>e</w:t>
      </w:r>
      <w:r w:rsidR="00E01336" w:rsidRPr="003F6411">
        <w:rPr>
          <w:rFonts w:asciiTheme="majorHAnsi" w:eastAsia="Batang" w:hAnsiTheme="majorHAnsi"/>
          <w:bCs/>
          <w:lang w:val="fr-FR"/>
        </w:rPr>
        <w:t xml:space="preserve"> </w:t>
      </w:r>
      <w:r w:rsidR="00082ACC" w:rsidRPr="003F6411">
        <w:rPr>
          <w:rFonts w:asciiTheme="majorHAnsi" w:eastAsia="Batang" w:hAnsiTheme="majorHAnsi"/>
          <w:bCs/>
          <w:lang w:val="fr-FR"/>
        </w:rPr>
        <w:t>Réunion du Comité permanent</w:t>
      </w:r>
    </w:p>
    <w:p w14:paraId="5F732F71" w14:textId="42C206AF" w:rsidR="00920E7F" w:rsidRPr="003F6411" w:rsidRDefault="00920E7F" w:rsidP="00914A1A">
      <w:pPr>
        <w:pBdr>
          <w:top w:val="single" w:sz="12" w:space="0" w:color="auto" w:shadow="1"/>
          <w:left w:val="single" w:sz="12" w:space="4" w:color="auto" w:shadow="1"/>
          <w:bottom w:val="single" w:sz="12" w:space="0" w:color="auto" w:shadow="1"/>
          <w:right w:val="single" w:sz="12" w:space="7" w:color="auto" w:shadow="1"/>
        </w:pBdr>
        <w:suppressAutoHyphens/>
        <w:ind w:right="2790"/>
        <w:rPr>
          <w:rFonts w:asciiTheme="majorHAnsi" w:eastAsia="Batang" w:hAnsiTheme="majorHAnsi"/>
          <w:bCs/>
          <w:lang w:val="fr-FR"/>
        </w:rPr>
      </w:pPr>
      <w:r w:rsidRPr="003F6411">
        <w:rPr>
          <w:rFonts w:asciiTheme="majorHAnsi" w:eastAsia="Batang" w:hAnsiTheme="majorHAnsi"/>
          <w:bCs/>
          <w:lang w:val="fr-FR"/>
        </w:rPr>
        <w:t>Gland,</w:t>
      </w:r>
      <w:r w:rsidR="00E01336" w:rsidRPr="003F6411">
        <w:rPr>
          <w:rFonts w:asciiTheme="majorHAnsi" w:eastAsia="Batang" w:hAnsiTheme="majorHAnsi"/>
          <w:bCs/>
          <w:lang w:val="fr-FR"/>
        </w:rPr>
        <w:t xml:space="preserve"> </w:t>
      </w:r>
      <w:r w:rsidR="00082ACC" w:rsidRPr="003F6411">
        <w:rPr>
          <w:rFonts w:asciiTheme="majorHAnsi" w:eastAsia="Batang" w:hAnsiTheme="majorHAnsi"/>
          <w:bCs/>
          <w:lang w:val="fr-FR"/>
        </w:rPr>
        <w:t>Suisse</w:t>
      </w:r>
      <w:r w:rsidRPr="003F6411">
        <w:rPr>
          <w:rFonts w:asciiTheme="majorHAnsi" w:eastAsia="Batang" w:hAnsiTheme="majorHAnsi"/>
          <w:bCs/>
          <w:lang w:val="fr-FR"/>
        </w:rPr>
        <w:t>,</w:t>
      </w:r>
      <w:r w:rsidR="00E01336" w:rsidRPr="003F6411">
        <w:rPr>
          <w:rFonts w:asciiTheme="majorHAnsi" w:eastAsia="Batang" w:hAnsiTheme="majorHAnsi"/>
          <w:bCs/>
          <w:lang w:val="fr-FR"/>
        </w:rPr>
        <w:t xml:space="preserve"> </w:t>
      </w:r>
      <w:r w:rsidR="004B4D50" w:rsidRPr="003F6411">
        <w:rPr>
          <w:rFonts w:asciiTheme="majorHAnsi" w:eastAsia="Batang" w:hAnsiTheme="majorHAnsi"/>
          <w:bCs/>
          <w:lang w:val="fr-FR"/>
        </w:rPr>
        <w:t>1</w:t>
      </w:r>
      <w:r w:rsidR="00082ACC" w:rsidRPr="003F6411">
        <w:rPr>
          <w:rFonts w:asciiTheme="majorHAnsi" w:eastAsia="Batang" w:hAnsiTheme="majorHAnsi"/>
          <w:bCs/>
          <w:lang w:val="fr-FR"/>
        </w:rPr>
        <w:t xml:space="preserve">3 au </w:t>
      </w:r>
      <w:r w:rsidR="004B4D50" w:rsidRPr="003F6411">
        <w:rPr>
          <w:rFonts w:asciiTheme="majorHAnsi" w:eastAsia="Batang" w:hAnsiTheme="majorHAnsi"/>
          <w:bCs/>
          <w:lang w:val="fr-FR"/>
        </w:rPr>
        <w:t>1</w:t>
      </w:r>
      <w:r w:rsidRPr="003F6411">
        <w:rPr>
          <w:rFonts w:asciiTheme="majorHAnsi" w:eastAsia="Batang" w:hAnsiTheme="majorHAnsi"/>
          <w:bCs/>
          <w:lang w:val="fr-FR"/>
        </w:rPr>
        <w:t>7</w:t>
      </w:r>
      <w:r w:rsidR="00082ACC" w:rsidRPr="003F6411">
        <w:rPr>
          <w:rFonts w:asciiTheme="majorHAnsi" w:eastAsia="Batang" w:hAnsiTheme="majorHAnsi"/>
          <w:bCs/>
          <w:lang w:val="fr-FR"/>
        </w:rPr>
        <w:t> </w:t>
      </w:r>
      <w:r w:rsidR="004B4D50" w:rsidRPr="003F6411">
        <w:rPr>
          <w:rFonts w:asciiTheme="majorHAnsi" w:eastAsia="Batang" w:hAnsiTheme="majorHAnsi"/>
          <w:bCs/>
          <w:lang w:val="fr-FR"/>
        </w:rPr>
        <w:t>juin</w:t>
      </w:r>
      <w:r w:rsidR="00E01336" w:rsidRPr="003F6411">
        <w:rPr>
          <w:rFonts w:asciiTheme="majorHAnsi" w:eastAsia="Batang" w:hAnsiTheme="majorHAnsi"/>
          <w:bCs/>
          <w:lang w:val="fr-FR"/>
        </w:rPr>
        <w:t xml:space="preserve"> </w:t>
      </w:r>
      <w:r w:rsidRPr="003F6411">
        <w:rPr>
          <w:rFonts w:asciiTheme="majorHAnsi" w:eastAsia="Batang" w:hAnsiTheme="majorHAnsi"/>
          <w:bCs/>
          <w:lang w:val="fr-FR"/>
        </w:rPr>
        <w:t>201</w:t>
      </w:r>
      <w:r w:rsidR="004B4D50" w:rsidRPr="003F6411">
        <w:rPr>
          <w:rFonts w:asciiTheme="majorHAnsi" w:eastAsia="Batang" w:hAnsiTheme="majorHAnsi"/>
          <w:bCs/>
          <w:lang w:val="fr-FR"/>
        </w:rPr>
        <w:t>6</w:t>
      </w:r>
    </w:p>
    <w:p w14:paraId="60EFF613" w14:textId="77777777" w:rsidR="00920E7F" w:rsidRPr="003F6411" w:rsidRDefault="00920E7F" w:rsidP="00914A1A">
      <w:pPr>
        <w:keepNext/>
        <w:suppressAutoHyphens/>
        <w:outlineLvl w:val="0"/>
        <w:rPr>
          <w:rFonts w:asciiTheme="majorHAnsi" w:eastAsia="Batang" w:hAnsiTheme="majorHAnsi"/>
          <w:b/>
          <w:lang w:val="fr-FR"/>
        </w:rPr>
      </w:pPr>
    </w:p>
    <w:p w14:paraId="70C02E56" w14:textId="09298BB4" w:rsidR="00920E7F" w:rsidRPr="003F6411" w:rsidRDefault="00920E7F" w:rsidP="00914A1A">
      <w:pPr>
        <w:jc w:val="right"/>
        <w:rPr>
          <w:rFonts w:asciiTheme="majorHAnsi" w:eastAsiaTheme="minorHAnsi" w:hAnsiTheme="majorHAnsi" w:cstheme="minorBidi"/>
          <w:b/>
          <w:sz w:val="28"/>
          <w:szCs w:val="28"/>
          <w:lang w:val="fr-FR"/>
        </w:rPr>
      </w:pPr>
      <w:r w:rsidRPr="003F6411">
        <w:rPr>
          <w:rFonts w:asciiTheme="majorHAnsi" w:eastAsiaTheme="minorHAnsi" w:hAnsiTheme="majorHAnsi" w:cstheme="minorBidi"/>
          <w:b/>
          <w:sz w:val="28"/>
          <w:szCs w:val="28"/>
          <w:lang w:val="fr-FR"/>
        </w:rPr>
        <w:t>SC5</w:t>
      </w:r>
      <w:r w:rsidR="001D5E38" w:rsidRPr="003F6411">
        <w:rPr>
          <w:rFonts w:asciiTheme="majorHAnsi" w:eastAsiaTheme="minorHAnsi" w:hAnsiTheme="majorHAnsi" w:cstheme="minorBidi"/>
          <w:b/>
          <w:sz w:val="28"/>
          <w:szCs w:val="28"/>
          <w:lang w:val="fr-FR"/>
        </w:rPr>
        <w:t>2</w:t>
      </w:r>
      <w:r w:rsidRPr="003F6411">
        <w:rPr>
          <w:rFonts w:asciiTheme="majorHAnsi" w:eastAsiaTheme="minorHAnsi" w:hAnsiTheme="majorHAnsi" w:cstheme="minorBidi"/>
          <w:b/>
          <w:sz w:val="28"/>
          <w:szCs w:val="28"/>
          <w:lang w:val="fr-FR"/>
        </w:rPr>
        <w:t>-1</w:t>
      </w:r>
      <w:r w:rsidR="001D5E38" w:rsidRPr="003F6411">
        <w:rPr>
          <w:rFonts w:asciiTheme="majorHAnsi" w:eastAsiaTheme="minorHAnsi" w:hAnsiTheme="majorHAnsi" w:cstheme="minorBidi"/>
          <w:b/>
          <w:sz w:val="28"/>
          <w:szCs w:val="28"/>
          <w:lang w:val="fr-FR"/>
        </w:rPr>
        <w:t>0</w:t>
      </w:r>
    </w:p>
    <w:p w14:paraId="4EA7375A" w14:textId="77777777" w:rsidR="00920E7F" w:rsidRPr="003F6411" w:rsidRDefault="00920E7F" w:rsidP="00914A1A">
      <w:pPr>
        <w:jc w:val="center"/>
        <w:rPr>
          <w:rFonts w:asciiTheme="majorHAnsi" w:eastAsiaTheme="minorHAnsi" w:hAnsiTheme="majorHAnsi" w:cstheme="minorBidi"/>
          <w:b/>
          <w:sz w:val="28"/>
          <w:szCs w:val="28"/>
          <w:lang w:val="fr-FR"/>
        </w:rPr>
      </w:pPr>
    </w:p>
    <w:p w14:paraId="697379D6" w14:textId="2A088B6C" w:rsidR="00372E0C" w:rsidRPr="003F6411" w:rsidRDefault="00E01336" w:rsidP="002309E9">
      <w:pPr>
        <w:jc w:val="center"/>
        <w:rPr>
          <w:rFonts w:asciiTheme="majorHAnsi" w:eastAsiaTheme="minorHAnsi" w:hAnsiTheme="majorHAnsi" w:cstheme="minorBidi"/>
          <w:b/>
          <w:sz w:val="28"/>
          <w:szCs w:val="28"/>
          <w:lang w:val="fr-FR"/>
        </w:rPr>
      </w:pPr>
      <w:r w:rsidRPr="003F6411">
        <w:rPr>
          <w:rFonts w:asciiTheme="majorHAnsi" w:eastAsiaTheme="minorHAnsi" w:hAnsiTheme="majorHAnsi" w:cstheme="minorBidi"/>
          <w:b/>
          <w:sz w:val="28"/>
          <w:szCs w:val="28"/>
          <w:lang w:val="fr-FR"/>
        </w:rPr>
        <w:t xml:space="preserve"> </w:t>
      </w:r>
      <w:r w:rsidR="00372E0C" w:rsidRPr="003F6411">
        <w:rPr>
          <w:rFonts w:asciiTheme="majorHAnsi" w:eastAsiaTheme="minorHAnsi" w:hAnsiTheme="majorHAnsi" w:cstheme="minorBidi"/>
          <w:b/>
          <w:sz w:val="28"/>
          <w:szCs w:val="28"/>
          <w:lang w:val="fr-FR"/>
        </w:rPr>
        <w:t>R</w:t>
      </w:r>
      <w:r w:rsidR="00082ACC" w:rsidRPr="003F6411">
        <w:rPr>
          <w:rFonts w:asciiTheme="majorHAnsi" w:eastAsiaTheme="minorHAnsi" w:hAnsiTheme="majorHAnsi" w:cstheme="minorBidi"/>
          <w:b/>
          <w:sz w:val="28"/>
          <w:szCs w:val="28"/>
          <w:lang w:val="fr-FR"/>
        </w:rPr>
        <w:t xml:space="preserve">apport du Président du Groupe </w:t>
      </w:r>
      <w:r w:rsidR="002309E9" w:rsidRPr="003F6411">
        <w:rPr>
          <w:rFonts w:asciiTheme="majorHAnsi" w:eastAsiaTheme="minorHAnsi" w:hAnsiTheme="majorHAnsi" w:cstheme="minorBidi"/>
          <w:b/>
          <w:sz w:val="28"/>
          <w:szCs w:val="28"/>
          <w:lang w:val="fr-FR"/>
        </w:rPr>
        <w:t xml:space="preserve">d’évaluation </w:t>
      </w:r>
      <w:r w:rsidR="00082ACC" w:rsidRPr="003F6411">
        <w:rPr>
          <w:rFonts w:asciiTheme="majorHAnsi" w:eastAsiaTheme="minorHAnsi" w:hAnsiTheme="majorHAnsi" w:cstheme="minorBidi"/>
          <w:b/>
          <w:sz w:val="28"/>
          <w:szCs w:val="28"/>
          <w:lang w:val="fr-FR"/>
        </w:rPr>
        <w:t xml:space="preserve">scientifique et technique (GEST) et </w:t>
      </w:r>
      <w:r w:rsidR="00D24AF7" w:rsidRPr="003F6411">
        <w:rPr>
          <w:rFonts w:asciiTheme="majorHAnsi" w:eastAsiaTheme="minorHAnsi" w:hAnsiTheme="majorHAnsi" w:cstheme="minorBidi"/>
          <w:b/>
          <w:sz w:val="28"/>
          <w:szCs w:val="28"/>
          <w:lang w:val="fr-FR"/>
        </w:rPr>
        <w:t>p</w:t>
      </w:r>
      <w:r w:rsidR="00A921D3" w:rsidRPr="003F6411">
        <w:rPr>
          <w:rFonts w:asciiTheme="majorHAnsi" w:eastAsiaTheme="minorHAnsi" w:hAnsiTheme="majorHAnsi" w:cstheme="minorBidi"/>
          <w:b/>
          <w:sz w:val="28"/>
          <w:szCs w:val="28"/>
          <w:lang w:val="fr-FR"/>
        </w:rPr>
        <w:t xml:space="preserve">rojet de plan de travail amendé </w:t>
      </w:r>
      <w:r w:rsidR="005C234E">
        <w:rPr>
          <w:rFonts w:asciiTheme="majorHAnsi" w:eastAsiaTheme="minorHAnsi" w:hAnsiTheme="majorHAnsi" w:cstheme="minorBidi"/>
          <w:b/>
          <w:sz w:val="28"/>
          <w:szCs w:val="28"/>
          <w:lang w:val="fr-FR"/>
        </w:rPr>
        <w:t xml:space="preserve">du GEST </w:t>
      </w:r>
      <w:r w:rsidR="00A921D3" w:rsidRPr="003F6411">
        <w:rPr>
          <w:rFonts w:asciiTheme="majorHAnsi" w:eastAsiaTheme="minorHAnsi" w:hAnsiTheme="majorHAnsi" w:cstheme="minorBidi"/>
          <w:b/>
          <w:sz w:val="28"/>
          <w:szCs w:val="28"/>
          <w:lang w:val="fr-FR"/>
        </w:rPr>
        <w:t>pour 2016-2018</w:t>
      </w:r>
    </w:p>
    <w:p w14:paraId="229278D8" w14:textId="77777777" w:rsidR="00920E7F" w:rsidRPr="003F6411" w:rsidRDefault="00920E7F" w:rsidP="00914A1A">
      <w:pPr>
        <w:jc w:val="center"/>
        <w:rPr>
          <w:rFonts w:asciiTheme="majorHAnsi" w:eastAsiaTheme="minorHAnsi" w:hAnsiTheme="majorHAnsi" w:cstheme="minorBidi"/>
          <w:b/>
          <w:sz w:val="28"/>
          <w:szCs w:val="28"/>
          <w:lang w:val="fr-FR"/>
        </w:rPr>
      </w:pPr>
    </w:p>
    <w:bookmarkEnd w:id="0"/>
    <w:bookmarkEnd w:id="1"/>
    <w:p w14:paraId="0642857B" w14:textId="34C658ED" w:rsidR="00703261" w:rsidRPr="003F6411" w:rsidRDefault="00372E0C" w:rsidP="00914A1A">
      <w:pPr>
        <w:pBdr>
          <w:top w:val="single" w:sz="4" w:space="1" w:color="auto"/>
          <w:left w:val="single" w:sz="4" w:space="4" w:color="auto"/>
          <w:bottom w:val="single" w:sz="4" w:space="1" w:color="auto"/>
          <w:right w:val="single" w:sz="4" w:space="4" w:color="auto"/>
        </w:pBdr>
        <w:rPr>
          <w:rFonts w:asciiTheme="majorHAnsi" w:hAnsiTheme="majorHAnsi"/>
          <w:b/>
          <w:sz w:val="22"/>
          <w:szCs w:val="22"/>
          <w:lang w:val="fr-FR"/>
        </w:rPr>
      </w:pPr>
      <w:r w:rsidRPr="003F6411">
        <w:rPr>
          <w:rFonts w:asciiTheme="majorHAnsi" w:hAnsiTheme="majorHAnsi"/>
          <w:b/>
          <w:sz w:val="22"/>
          <w:szCs w:val="22"/>
          <w:lang w:val="fr-FR"/>
        </w:rPr>
        <w:t>Action</w:t>
      </w:r>
      <w:r w:rsidR="00EF211E" w:rsidRPr="003F6411">
        <w:rPr>
          <w:rFonts w:asciiTheme="majorHAnsi" w:hAnsiTheme="majorHAnsi"/>
          <w:b/>
          <w:sz w:val="22"/>
          <w:szCs w:val="22"/>
          <w:lang w:val="fr-FR"/>
        </w:rPr>
        <w:t>s</w:t>
      </w:r>
      <w:r w:rsidR="00E01336" w:rsidRPr="003F6411">
        <w:rPr>
          <w:rFonts w:asciiTheme="majorHAnsi" w:hAnsiTheme="majorHAnsi"/>
          <w:b/>
          <w:sz w:val="22"/>
          <w:szCs w:val="22"/>
          <w:lang w:val="fr-FR"/>
        </w:rPr>
        <w:t xml:space="preserve"> </w:t>
      </w:r>
      <w:r w:rsidR="002309E9" w:rsidRPr="003F6411">
        <w:rPr>
          <w:rFonts w:asciiTheme="majorHAnsi" w:hAnsiTheme="majorHAnsi"/>
          <w:b/>
          <w:sz w:val="22"/>
          <w:szCs w:val="22"/>
          <w:lang w:val="fr-FR"/>
        </w:rPr>
        <w:t>requises </w:t>
      </w:r>
      <w:r w:rsidRPr="003F6411">
        <w:rPr>
          <w:rFonts w:asciiTheme="majorHAnsi" w:hAnsiTheme="majorHAnsi"/>
          <w:b/>
          <w:sz w:val="22"/>
          <w:szCs w:val="22"/>
          <w:lang w:val="fr-FR"/>
        </w:rPr>
        <w:t>:</w:t>
      </w:r>
      <w:r w:rsidR="00E01336" w:rsidRPr="003F6411">
        <w:rPr>
          <w:rFonts w:asciiTheme="majorHAnsi" w:hAnsiTheme="majorHAnsi"/>
          <w:b/>
          <w:sz w:val="22"/>
          <w:szCs w:val="22"/>
          <w:lang w:val="fr-FR"/>
        </w:rPr>
        <w:t xml:space="preserve"> </w:t>
      </w:r>
    </w:p>
    <w:p w14:paraId="78EDDEF1" w14:textId="2E449664" w:rsidR="00656349" w:rsidRPr="003F6411" w:rsidRDefault="002309E9" w:rsidP="00914A1A">
      <w:pPr>
        <w:pBdr>
          <w:top w:val="single" w:sz="4" w:space="1" w:color="auto"/>
          <w:left w:val="single" w:sz="4" w:space="4" w:color="auto"/>
          <w:bottom w:val="single" w:sz="4" w:space="1" w:color="auto"/>
          <w:right w:val="single" w:sz="4" w:space="4" w:color="auto"/>
        </w:pBdr>
        <w:rPr>
          <w:rFonts w:asciiTheme="majorHAnsi" w:hAnsiTheme="majorHAnsi"/>
          <w:sz w:val="22"/>
          <w:szCs w:val="22"/>
          <w:lang w:val="fr-FR"/>
        </w:rPr>
      </w:pPr>
      <w:r w:rsidRPr="003F6411">
        <w:rPr>
          <w:rFonts w:asciiTheme="majorHAnsi" w:hAnsiTheme="majorHAnsi"/>
          <w:sz w:val="22"/>
          <w:szCs w:val="22"/>
          <w:lang w:val="fr-FR"/>
        </w:rPr>
        <w:t>Le Comité permanent est invité à :</w:t>
      </w:r>
    </w:p>
    <w:p w14:paraId="588ECF11" w14:textId="616ED4EA" w:rsidR="00656349" w:rsidRPr="003F6411" w:rsidRDefault="00AF1432" w:rsidP="00914A1A">
      <w:pPr>
        <w:pBdr>
          <w:top w:val="single" w:sz="4" w:space="1" w:color="auto"/>
          <w:left w:val="single" w:sz="4" w:space="4" w:color="auto"/>
          <w:bottom w:val="single" w:sz="4" w:space="1" w:color="auto"/>
          <w:right w:val="single" w:sz="4" w:space="4" w:color="auto"/>
        </w:pBdr>
        <w:tabs>
          <w:tab w:val="left" w:pos="567"/>
        </w:tabs>
        <w:ind w:left="851" w:hanging="851"/>
        <w:rPr>
          <w:rFonts w:asciiTheme="majorHAnsi" w:hAnsiTheme="majorHAnsi"/>
          <w:sz w:val="22"/>
          <w:szCs w:val="22"/>
          <w:lang w:val="fr-FR"/>
        </w:rPr>
      </w:pPr>
      <w:r w:rsidRPr="003F6411">
        <w:rPr>
          <w:rFonts w:asciiTheme="majorHAnsi" w:hAnsiTheme="majorHAnsi"/>
          <w:sz w:val="22"/>
          <w:szCs w:val="22"/>
          <w:lang w:val="fr-FR"/>
        </w:rPr>
        <w:tab/>
      </w:r>
      <w:r w:rsidR="00656349" w:rsidRPr="003F6411">
        <w:rPr>
          <w:rFonts w:asciiTheme="majorHAnsi" w:hAnsiTheme="majorHAnsi"/>
          <w:sz w:val="22"/>
          <w:szCs w:val="22"/>
          <w:lang w:val="fr-FR"/>
        </w:rPr>
        <w:t>a)</w:t>
      </w:r>
      <w:r w:rsidR="00E01336" w:rsidRPr="003F6411">
        <w:rPr>
          <w:rFonts w:asciiTheme="majorHAnsi" w:hAnsiTheme="majorHAnsi"/>
          <w:sz w:val="22"/>
          <w:szCs w:val="22"/>
          <w:lang w:val="fr-FR"/>
        </w:rPr>
        <w:t xml:space="preserve"> </w:t>
      </w:r>
      <w:r w:rsidRPr="003F6411">
        <w:rPr>
          <w:rFonts w:asciiTheme="majorHAnsi" w:hAnsiTheme="majorHAnsi"/>
          <w:sz w:val="22"/>
          <w:szCs w:val="22"/>
          <w:lang w:val="fr-FR"/>
        </w:rPr>
        <w:tab/>
      </w:r>
      <w:r w:rsidR="002309E9" w:rsidRPr="003F6411">
        <w:rPr>
          <w:rFonts w:asciiTheme="majorHAnsi" w:hAnsiTheme="majorHAnsi"/>
          <w:sz w:val="22"/>
          <w:szCs w:val="22"/>
          <w:lang w:val="fr-FR"/>
        </w:rPr>
        <w:t>prendre note du rapport du Président du GEST;</w:t>
      </w:r>
    </w:p>
    <w:p w14:paraId="79AAA167" w14:textId="7BD27A15" w:rsidR="00656349" w:rsidRPr="003F6411" w:rsidRDefault="00AF1432" w:rsidP="00914A1A">
      <w:pPr>
        <w:pBdr>
          <w:top w:val="single" w:sz="4" w:space="1" w:color="auto"/>
          <w:left w:val="single" w:sz="4" w:space="4" w:color="auto"/>
          <w:bottom w:val="single" w:sz="4" w:space="1" w:color="auto"/>
          <w:right w:val="single" w:sz="4" w:space="4" w:color="auto"/>
        </w:pBdr>
        <w:tabs>
          <w:tab w:val="left" w:pos="567"/>
        </w:tabs>
        <w:ind w:left="851" w:hanging="851"/>
        <w:rPr>
          <w:rFonts w:asciiTheme="majorHAnsi" w:hAnsiTheme="majorHAnsi"/>
          <w:sz w:val="22"/>
          <w:szCs w:val="22"/>
          <w:lang w:val="fr-FR"/>
        </w:rPr>
      </w:pPr>
      <w:r w:rsidRPr="003F6411">
        <w:rPr>
          <w:rFonts w:asciiTheme="majorHAnsi" w:hAnsiTheme="majorHAnsi"/>
          <w:sz w:val="22"/>
          <w:szCs w:val="22"/>
          <w:lang w:val="fr-FR"/>
        </w:rPr>
        <w:tab/>
      </w:r>
      <w:r w:rsidR="00656349" w:rsidRPr="003F6411">
        <w:rPr>
          <w:rFonts w:asciiTheme="majorHAnsi" w:hAnsiTheme="majorHAnsi"/>
          <w:sz w:val="22"/>
          <w:szCs w:val="22"/>
          <w:lang w:val="fr-FR"/>
        </w:rPr>
        <w:t>b)</w:t>
      </w:r>
      <w:r w:rsidR="00E01336" w:rsidRPr="003F6411">
        <w:rPr>
          <w:rFonts w:asciiTheme="majorHAnsi" w:hAnsiTheme="majorHAnsi"/>
          <w:sz w:val="22"/>
          <w:szCs w:val="22"/>
          <w:lang w:val="fr-FR"/>
        </w:rPr>
        <w:t xml:space="preserve"> </w:t>
      </w:r>
      <w:r w:rsidRPr="003F6411">
        <w:rPr>
          <w:rFonts w:asciiTheme="majorHAnsi" w:hAnsiTheme="majorHAnsi"/>
          <w:sz w:val="22"/>
          <w:szCs w:val="22"/>
          <w:lang w:val="fr-FR"/>
        </w:rPr>
        <w:tab/>
      </w:r>
      <w:r w:rsidR="002309E9" w:rsidRPr="003F6411">
        <w:rPr>
          <w:rFonts w:asciiTheme="majorHAnsi" w:hAnsiTheme="majorHAnsi"/>
          <w:sz w:val="22"/>
          <w:szCs w:val="22"/>
          <w:lang w:val="fr-FR"/>
        </w:rPr>
        <w:t xml:space="preserve">examiner et approuver le </w:t>
      </w:r>
      <w:r w:rsidR="002F0703" w:rsidRPr="003F6411">
        <w:rPr>
          <w:rFonts w:asciiTheme="majorHAnsi" w:hAnsiTheme="majorHAnsi"/>
          <w:sz w:val="22"/>
          <w:szCs w:val="22"/>
          <w:lang w:val="fr-FR"/>
        </w:rPr>
        <w:t>p</w:t>
      </w:r>
      <w:r w:rsidR="00BB65A3" w:rsidRPr="003F6411">
        <w:rPr>
          <w:rFonts w:asciiTheme="majorHAnsi" w:hAnsiTheme="majorHAnsi"/>
          <w:sz w:val="22"/>
          <w:szCs w:val="22"/>
          <w:lang w:val="fr-FR"/>
        </w:rPr>
        <w:t xml:space="preserve">rojet de plan de travail amendé du </w:t>
      </w:r>
      <w:r w:rsidR="005C234E">
        <w:rPr>
          <w:rFonts w:asciiTheme="majorHAnsi" w:hAnsiTheme="majorHAnsi"/>
          <w:sz w:val="22"/>
          <w:szCs w:val="22"/>
          <w:lang w:val="fr-FR"/>
        </w:rPr>
        <w:t>GEST</w:t>
      </w:r>
      <w:r w:rsidR="00BB65A3" w:rsidRPr="003F6411">
        <w:rPr>
          <w:rFonts w:asciiTheme="majorHAnsi" w:hAnsiTheme="majorHAnsi"/>
          <w:sz w:val="22"/>
          <w:szCs w:val="22"/>
          <w:lang w:val="fr-FR"/>
        </w:rPr>
        <w:t xml:space="preserve"> pour 2016-2018 </w:t>
      </w:r>
      <w:r w:rsidR="007B5675" w:rsidRPr="003F6411">
        <w:rPr>
          <w:rFonts w:asciiTheme="majorHAnsi" w:hAnsiTheme="majorHAnsi"/>
          <w:sz w:val="22"/>
          <w:szCs w:val="22"/>
          <w:lang w:val="fr-FR"/>
        </w:rPr>
        <w:t>(</w:t>
      </w:r>
      <w:r w:rsidR="00F80EF2" w:rsidRPr="003F6411">
        <w:rPr>
          <w:rFonts w:asciiTheme="majorHAnsi" w:hAnsiTheme="majorHAnsi"/>
          <w:sz w:val="22"/>
          <w:szCs w:val="22"/>
          <w:lang w:val="fr-FR"/>
        </w:rPr>
        <w:t>a</w:t>
      </w:r>
      <w:r w:rsidR="007B5675" w:rsidRPr="003F6411">
        <w:rPr>
          <w:rFonts w:asciiTheme="majorHAnsi" w:hAnsiTheme="majorHAnsi"/>
          <w:sz w:val="22"/>
          <w:szCs w:val="22"/>
          <w:lang w:val="fr-FR"/>
        </w:rPr>
        <w:t>nnex</w:t>
      </w:r>
      <w:r w:rsidR="001D5E38" w:rsidRPr="003F6411">
        <w:rPr>
          <w:rFonts w:asciiTheme="majorHAnsi" w:hAnsiTheme="majorHAnsi"/>
          <w:sz w:val="22"/>
          <w:szCs w:val="22"/>
          <w:lang w:val="fr-FR"/>
        </w:rPr>
        <w:t>e</w:t>
      </w:r>
      <w:r w:rsidR="007B5675" w:rsidRPr="003F6411">
        <w:rPr>
          <w:rFonts w:asciiTheme="majorHAnsi" w:hAnsiTheme="majorHAnsi"/>
          <w:sz w:val="22"/>
          <w:szCs w:val="22"/>
          <w:lang w:val="fr-FR"/>
        </w:rPr>
        <w:t>)</w:t>
      </w:r>
      <w:r w:rsidR="00656349" w:rsidRPr="003F6411">
        <w:rPr>
          <w:rFonts w:asciiTheme="majorHAnsi" w:hAnsiTheme="majorHAnsi"/>
          <w:sz w:val="22"/>
          <w:szCs w:val="22"/>
          <w:lang w:val="fr-FR"/>
        </w:rPr>
        <w:t>;</w:t>
      </w:r>
      <w:r w:rsidR="00E5617B">
        <w:rPr>
          <w:rFonts w:asciiTheme="majorHAnsi" w:hAnsiTheme="majorHAnsi"/>
          <w:sz w:val="22"/>
          <w:szCs w:val="22"/>
          <w:lang w:val="fr-FR"/>
        </w:rPr>
        <w:t xml:space="preserve"> et</w:t>
      </w:r>
      <w:r w:rsidR="00E01336" w:rsidRPr="003F6411">
        <w:rPr>
          <w:rFonts w:asciiTheme="majorHAnsi" w:hAnsiTheme="majorHAnsi"/>
          <w:sz w:val="22"/>
          <w:szCs w:val="22"/>
          <w:lang w:val="fr-FR"/>
        </w:rPr>
        <w:t xml:space="preserve"> </w:t>
      </w:r>
    </w:p>
    <w:p w14:paraId="4C88F8EB" w14:textId="031469AD" w:rsidR="00372E0C" w:rsidRPr="003F6411" w:rsidRDefault="00AF1432" w:rsidP="00914A1A">
      <w:pPr>
        <w:pBdr>
          <w:top w:val="single" w:sz="4" w:space="1" w:color="auto"/>
          <w:left w:val="single" w:sz="4" w:space="4" w:color="auto"/>
          <w:bottom w:val="single" w:sz="4" w:space="1" w:color="auto"/>
          <w:right w:val="single" w:sz="4" w:space="4" w:color="auto"/>
        </w:pBdr>
        <w:tabs>
          <w:tab w:val="left" w:pos="567"/>
        </w:tabs>
        <w:ind w:left="851" w:hanging="851"/>
        <w:rPr>
          <w:rFonts w:asciiTheme="majorHAnsi" w:hAnsiTheme="majorHAnsi"/>
          <w:b/>
          <w:sz w:val="22"/>
          <w:szCs w:val="22"/>
          <w:lang w:val="fr-FR"/>
        </w:rPr>
      </w:pPr>
      <w:r w:rsidRPr="003F6411">
        <w:rPr>
          <w:rFonts w:asciiTheme="majorHAnsi" w:hAnsiTheme="majorHAnsi"/>
          <w:sz w:val="22"/>
          <w:szCs w:val="22"/>
          <w:lang w:val="fr-FR"/>
        </w:rPr>
        <w:tab/>
      </w:r>
      <w:r w:rsidR="00656349" w:rsidRPr="003F6411">
        <w:rPr>
          <w:rFonts w:asciiTheme="majorHAnsi" w:hAnsiTheme="majorHAnsi"/>
          <w:sz w:val="22"/>
          <w:szCs w:val="22"/>
          <w:lang w:val="fr-FR"/>
        </w:rPr>
        <w:t>c)</w:t>
      </w:r>
      <w:r w:rsidR="00E01336" w:rsidRPr="003F6411">
        <w:rPr>
          <w:rFonts w:asciiTheme="majorHAnsi" w:hAnsiTheme="majorHAnsi"/>
          <w:sz w:val="22"/>
          <w:szCs w:val="22"/>
          <w:lang w:val="fr-FR"/>
        </w:rPr>
        <w:t xml:space="preserve"> </w:t>
      </w:r>
      <w:r w:rsidRPr="003F6411">
        <w:rPr>
          <w:rFonts w:asciiTheme="majorHAnsi" w:hAnsiTheme="majorHAnsi"/>
          <w:sz w:val="22"/>
          <w:szCs w:val="22"/>
          <w:lang w:val="fr-FR"/>
        </w:rPr>
        <w:tab/>
      </w:r>
      <w:r w:rsidR="002309E9" w:rsidRPr="003F6411">
        <w:rPr>
          <w:rFonts w:asciiTheme="majorHAnsi" w:hAnsiTheme="majorHAnsi"/>
          <w:sz w:val="22"/>
          <w:szCs w:val="22"/>
          <w:lang w:val="fr-FR"/>
        </w:rPr>
        <w:t xml:space="preserve">examiner les moyens de trouver un financement pour la mise en œuvre des tâches </w:t>
      </w:r>
      <w:r w:rsidR="000D57FF" w:rsidRPr="003F6411">
        <w:rPr>
          <w:rFonts w:asciiTheme="majorHAnsi" w:hAnsiTheme="majorHAnsi"/>
          <w:sz w:val="22"/>
          <w:szCs w:val="22"/>
          <w:lang w:val="fr-FR"/>
        </w:rPr>
        <w:t>décrites</w:t>
      </w:r>
      <w:r w:rsidR="002309E9" w:rsidRPr="003F6411">
        <w:rPr>
          <w:rFonts w:asciiTheme="majorHAnsi" w:hAnsiTheme="majorHAnsi"/>
          <w:sz w:val="22"/>
          <w:szCs w:val="22"/>
          <w:lang w:val="fr-FR"/>
        </w:rPr>
        <w:t xml:space="preserve"> dans le plan de travail </w:t>
      </w:r>
      <w:r w:rsidR="001D5E38" w:rsidRPr="003F6411">
        <w:rPr>
          <w:rFonts w:asciiTheme="majorHAnsi" w:hAnsiTheme="majorHAnsi"/>
          <w:sz w:val="22"/>
          <w:szCs w:val="22"/>
          <w:lang w:val="fr-FR"/>
        </w:rPr>
        <w:t>approuvé pour</w:t>
      </w:r>
      <w:r w:rsidR="002309E9" w:rsidRPr="003F6411">
        <w:rPr>
          <w:rFonts w:asciiTheme="majorHAnsi" w:hAnsiTheme="majorHAnsi"/>
          <w:sz w:val="22"/>
          <w:szCs w:val="22"/>
          <w:lang w:val="fr-FR"/>
        </w:rPr>
        <w:t xml:space="preserve"> </w:t>
      </w:r>
      <w:r w:rsidR="007B5675" w:rsidRPr="003F6411">
        <w:rPr>
          <w:rFonts w:asciiTheme="majorHAnsi" w:hAnsiTheme="majorHAnsi"/>
          <w:sz w:val="22"/>
          <w:szCs w:val="22"/>
          <w:lang w:val="fr-FR"/>
        </w:rPr>
        <w:t>2016-2018</w:t>
      </w:r>
      <w:r w:rsidR="001D5E38" w:rsidRPr="003F6411">
        <w:rPr>
          <w:rFonts w:asciiTheme="majorHAnsi" w:hAnsiTheme="majorHAnsi"/>
          <w:sz w:val="22"/>
          <w:szCs w:val="22"/>
          <w:lang w:val="fr-FR"/>
        </w:rPr>
        <w:t>, si nécessaire</w:t>
      </w:r>
      <w:r w:rsidR="002309E9" w:rsidRPr="003F6411">
        <w:rPr>
          <w:rFonts w:asciiTheme="majorHAnsi" w:hAnsiTheme="majorHAnsi"/>
          <w:sz w:val="22"/>
          <w:szCs w:val="22"/>
          <w:lang w:val="fr-FR"/>
        </w:rPr>
        <w:t>.</w:t>
      </w:r>
    </w:p>
    <w:p w14:paraId="3DC22F21" w14:textId="77777777" w:rsidR="00372E0C" w:rsidRPr="003F6411" w:rsidRDefault="00372E0C" w:rsidP="00914A1A">
      <w:pPr>
        <w:ind w:left="567" w:hanging="567"/>
        <w:rPr>
          <w:rFonts w:asciiTheme="majorHAnsi" w:hAnsiTheme="majorHAnsi"/>
          <w:b/>
          <w:sz w:val="22"/>
          <w:szCs w:val="22"/>
          <w:lang w:val="fr-FR"/>
        </w:rPr>
      </w:pPr>
    </w:p>
    <w:p w14:paraId="5D96E412" w14:textId="77777777" w:rsidR="00372E0C" w:rsidRPr="003F6411" w:rsidRDefault="00372E0C" w:rsidP="00F24C88">
      <w:pPr>
        <w:ind w:left="426" w:hanging="426"/>
        <w:rPr>
          <w:rFonts w:asciiTheme="majorHAnsi" w:hAnsiTheme="majorHAnsi"/>
          <w:b/>
          <w:sz w:val="22"/>
          <w:szCs w:val="22"/>
          <w:lang w:val="fr-FR"/>
        </w:rPr>
      </w:pPr>
      <w:r w:rsidRPr="003F6411">
        <w:rPr>
          <w:rFonts w:asciiTheme="majorHAnsi" w:hAnsiTheme="majorHAnsi"/>
          <w:b/>
          <w:sz w:val="22"/>
          <w:szCs w:val="22"/>
          <w:lang w:val="fr-FR"/>
        </w:rPr>
        <w:t>Introduction</w:t>
      </w:r>
    </w:p>
    <w:p w14:paraId="5B0B4AD1" w14:textId="77777777" w:rsidR="00496E6B" w:rsidRPr="003F6411" w:rsidRDefault="00496E6B" w:rsidP="00F24C88">
      <w:pPr>
        <w:ind w:left="426" w:hanging="426"/>
        <w:rPr>
          <w:rFonts w:asciiTheme="majorHAnsi" w:eastAsia="Calibri" w:hAnsiTheme="majorHAnsi" w:cs="Calibri"/>
          <w:sz w:val="22"/>
          <w:szCs w:val="22"/>
          <w:lang w:val="fr-FR"/>
        </w:rPr>
      </w:pPr>
    </w:p>
    <w:p w14:paraId="2880DF09" w14:textId="724AB9E3" w:rsidR="00F74AFE" w:rsidRPr="00251FB6" w:rsidRDefault="002309E9" w:rsidP="00F24C88">
      <w:pPr>
        <w:pStyle w:val="ListParagraph"/>
        <w:numPr>
          <w:ilvl w:val="0"/>
          <w:numId w:val="31"/>
        </w:numPr>
        <w:ind w:left="426" w:hanging="426"/>
        <w:rPr>
          <w:rFonts w:asciiTheme="majorHAnsi" w:hAnsiTheme="majorHAnsi"/>
          <w:szCs w:val="22"/>
          <w:lang w:val="fr-FR"/>
        </w:rPr>
      </w:pPr>
      <w:r w:rsidRPr="00251FB6">
        <w:rPr>
          <w:rFonts w:asciiTheme="majorHAnsi" w:hAnsiTheme="majorHAnsi"/>
          <w:szCs w:val="22"/>
          <w:lang w:val="fr-FR"/>
        </w:rPr>
        <w:t xml:space="preserve">Le présent rapport rédigé par le Président du Groupe d’évaluation scientifique et technique (GEST) </w:t>
      </w:r>
      <w:r w:rsidR="00251FB6" w:rsidRPr="00251FB6">
        <w:rPr>
          <w:rFonts w:asciiTheme="majorHAnsi" w:hAnsiTheme="majorHAnsi"/>
          <w:szCs w:val="22"/>
          <w:lang w:val="fr-FR"/>
        </w:rPr>
        <w:t>contient</w:t>
      </w:r>
      <w:r w:rsidRPr="00251FB6">
        <w:rPr>
          <w:rFonts w:asciiTheme="majorHAnsi" w:hAnsiTheme="majorHAnsi"/>
          <w:szCs w:val="22"/>
          <w:lang w:val="fr-FR"/>
        </w:rPr>
        <w:t xml:space="preserve"> le projet de plan de travail </w:t>
      </w:r>
      <w:r w:rsidR="001D5E38" w:rsidRPr="00251FB6">
        <w:rPr>
          <w:rFonts w:asciiTheme="majorHAnsi" w:hAnsiTheme="majorHAnsi"/>
          <w:szCs w:val="22"/>
          <w:lang w:val="fr-FR"/>
        </w:rPr>
        <w:t xml:space="preserve">amendé, </w:t>
      </w:r>
      <w:r w:rsidR="005E7862" w:rsidRPr="00251FB6">
        <w:rPr>
          <w:rFonts w:asciiTheme="majorHAnsi" w:hAnsiTheme="majorHAnsi"/>
          <w:szCs w:val="22"/>
          <w:lang w:val="fr-FR"/>
        </w:rPr>
        <w:t>y compris les efforts de consultation avec les Correspondants nationaux et Correspondants nationaux GEST, et fait une mise à jour sur les travaux de la Plateforme intergouvernementale</w:t>
      </w:r>
      <w:r w:rsidR="00251FB6" w:rsidRPr="00251FB6">
        <w:rPr>
          <w:rFonts w:asciiTheme="majorHAnsi" w:hAnsiTheme="majorHAnsi"/>
          <w:szCs w:val="22"/>
          <w:lang w:val="fr-FR"/>
        </w:rPr>
        <w:t>,</w:t>
      </w:r>
      <w:r w:rsidR="005E7862" w:rsidRPr="00251FB6">
        <w:rPr>
          <w:rFonts w:asciiTheme="majorHAnsi" w:hAnsiTheme="majorHAnsi"/>
          <w:szCs w:val="22"/>
          <w:lang w:val="fr-FR"/>
        </w:rPr>
        <w:t xml:space="preserve"> scientifique et politique</w:t>
      </w:r>
      <w:r w:rsidR="00251FB6" w:rsidRPr="00251FB6">
        <w:rPr>
          <w:rFonts w:asciiTheme="majorHAnsi" w:hAnsiTheme="majorHAnsi"/>
          <w:szCs w:val="22"/>
          <w:lang w:val="fr-FR"/>
        </w:rPr>
        <w:t>,</w:t>
      </w:r>
      <w:r w:rsidR="005E7862" w:rsidRPr="00251FB6">
        <w:rPr>
          <w:rFonts w:asciiTheme="majorHAnsi" w:hAnsiTheme="majorHAnsi"/>
          <w:szCs w:val="22"/>
          <w:lang w:val="fr-FR"/>
        </w:rPr>
        <w:t xml:space="preserve"> sur la biodiversité et les services écosystémiques </w:t>
      </w:r>
      <w:r w:rsidR="00157B1A" w:rsidRPr="00251FB6">
        <w:rPr>
          <w:rFonts w:asciiTheme="majorHAnsi" w:hAnsiTheme="majorHAnsi"/>
          <w:szCs w:val="22"/>
          <w:lang w:val="fr-FR"/>
        </w:rPr>
        <w:t>(IPBES).</w:t>
      </w:r>
      <w:r w:rsidRPr="00251FB6">
        <w:rPr>
          <w:rFonts w:asciiTheme="majorHAnsi" w:hAnsiTheme="majorHAnsi"/>
          <w:szCs w:val="22"/>
          <w:lang w:val="fr-FR"/>
        </w:rPr>
        <w:t xml:space="preserve"> </w:t>
      </w:r>
    </w:p>
    <w:p w14:paraId="72F9186F" w14:textId="77777777" w:rsidR="00372E0C" w:rsidRPr="00251FB6" w:rsidRDefault="00372E0C" w:rsidP="00F24C88">
      <w:pPr>
        <w:ind w:left="426" w:hanging="426"/>
        <w:rPr>
          <w:rFonts w:asciiTheme="majorHAnsi" w:hAnsiTheme="majorHAnsi"/>
          <w:sz w:val="22"/>
          <w:szCs w:val="22"/>
          <w:lang w:val="fr-FR"/>
        </w:rPr>
      </w:pPr>
    </w:p>
    <w:p w14:paraId="3539EA60" w14:textId="561A185E" w:rsidR="00AC45B7" w:rsidRPr="00251FB6" w:rsidRDefault="001D5E38" w:rsidP="00F24C88">
      <w:pPr>
        <w:keepNext/>
        <w:keepLines/>
        <w:rPr>
          <w:rFonts w:asciiTheme="majorHAnsi" w:hAnsiTheme="majorHAnsi"/>
          <w:b/>
          <w:sz w:val="22"/>
          <w:szCs w:val="22"/>
          <w:lang w:val="fr-FR"/>
        </w:rPr>
      </w:pPr>
      <w:r w:rsidRPr="00251FB6">
        <w:rPr>
          <w:rFonts w:asciiTheme="majorHAnsi" w:hAnsiTheme="majorHAnsi"/>
          <w:b/>
          <w:sz w:val="22"/>
          <w:szCs w:val="22"/>
          <w:lang w:val="fr-FR"/>
        </w:rPr>
        <w:t xml:space="preserve">Efforts de consultation mis en œuvre pour la révision du projet de plan de travail du GEST pour </w:t>
      </w:r>
      <w:r w:rsidR="00AC45B7" w:rsidRPr="00251FB6">
        <w:rPr>
          <w:rFonts w:asciiTheme="majorHAnsi" w:hAnsiTheme="majorHAnsi"/>
          <w:b/>
          <w:sz w:val="22"/>
          <w:szCs w:val="22"/>
          <w:lang w:val="fr-FR"/>
        </w:rPr>
        <w:t>2016-2018</w:t>
      </w:r>
      <w:r w:rsidR="00E01336" w:rsidRPr="00251FB6">
        <w:rPr>
          <w:rFonts w:asciiTheme="majorHAnsi" w:hAnsiTheme="majorHAnsi"/>
          <w:b/>
          <w:sz w:val="22"/>
          <w:szCs w:val="22"/>
          <w:lang w:val="fr-FR"/>
        </w:rPr>
        <w:t xml:space="preserve"> </w:t>
      </w:r>
    </w:p>
    <w:p w14:paraId="09E12325" w14:textId="77777777" w:rsidR="00AC45B7" w:rsidRPr="00251FB6" w:rsidRDefault="00AC45B7" w:rsidP="00F24C88">
      <w:pPr>
        <w:keepNext/>
        <w:keepLines/>
        <w:ind w:left="426" w:hanging="426"/>
        <w:rPr>
          <w:rFonts w:asciiTheme="majorHAnsi" w:hAnsiTheme="majorHAnsi"/>
          <w:sz w:val="22"/>
          <w:szCs w:val="22"/>
          <w:lang w:val="fr-FR"/>
        </w:rPr>
      </w:pPr>
    </w:p>
    <w:p w14:paraId="0C6ED6F8" w14:textId="3AFA6021" w:rsidR="009A7F56" w:rsidRPr="00251FB6" w:rsidRDefault="007B6712" w:rsidP="00F24C88">
      <w:pPr>
        <w:pStyle w:val="ListParagraph"/>
        <w:keepNext/>
        <w:keepLines/>
        <w:numPr>
          <w:ilvl w:val="0"/>
          <w:numId w:val="31"/>
        </w:numPr>
        <w:ind w:left="426" w:hanging="426"/>
        <w:rPr>
          <w:rFonts w:asciiTheme="majorHAnsi" w:hAnsiTheme="majorHAnsi"/>
          <w:szCs w:val="22"/>
          <w:lang w:val="fr-FR"/>
        </w:rPr>
      </w:pPr>
      <w:r w:rsidRPr="00251FB6">
        <w:rPr>
          <w:rFonts w:asciiTheme="majorHAnsi" w:hAnsiTheme="majorHAnsi"/>
          <w:szCs w:val="22"/>
          <w:lang w:val="fr-FR"/>
        </w:rPr>
        <w:t xml:space="preserve">La </w:t>
      </w:r>
      <w:r w:rsidR="00253A36" w:rsidRPr="00251FB6">
        <w:rPr>
          <w:rFonts w:asciiTheme="majorHAnsi" w:hAnsiTheme="majorHAnsi"/>
          <w:szCs w:val="22"/>
          <w:lang w:val="fr-FR"/>
        </w:rPr>
        <w:t>Décision SC51-07 demandait la présentation d’un plan de travail du GEST amendé</w:t>
      </w:r>
      <w:r w:rsidRPr="00251FB6">
        <w:rPr>
          <w:rFonts w:asciiTheme="majorHAnsi" w:hAnsiTheme="majorHAnsi"/>
          <w:szCs w:val="22"/>
          <w:lang w:val="fr-FR"/>
        </w:rPr>
        <w:t> </w:t>
      </w:r>
      <w:r w:rsidR="00253A36" w:rsidRPr="00251FB6">
        <w:rPr>
          <w:rFonts w:asciiTheme="majorHAnsi" w:hAnsiTheme="majorHAnsi"/>
          <w:szCs w:val="22"/>
          <w:lang w:val="fr-FR"/>
        </w:rPr>
        <w:t>à la 52</w:t>
      </w:r>
      <w:r w:rsidR="00253A36" w:rsidRPr="00251FB6">
        <w:rPr>
          <w:rFonts w:asciiTheme="majorHAnsi" w:hAnsiTheme="majorHAnsi"/>
          <w:szCs w:val="22"/>
          <w:vertAlign w:val="superscript"/>
          <w:lang w:val="fr-FR"/>
        </w:rPr>
        <w:t>e</w:t>
      </w:r>
      <w:r w:rsidR="005E7862" w:rsidRPr="00251FB6">
        <w:rPr>
          <w:rFonts w:asciiTheme="majorHAnsi" w:hAnsiTheme="majorHAnsi"/>
          <w:szCs w:val="22"/>
          <w:lang w:val="fr-FR"/>
        </w:rPr>
        <w:t> </w:t>
      </w:r>
      <w:r w:rsidR="00253A36" w:rsidRPr="00251FB6">
        <w:rPr>
          <w:rFonts w:asciiTheme="majorHAnsi" w:hAnsiTheme="majorHAnsi"/>
          <w:szCs w:val="22"/>
          <w:lang w:val="fr-FR"/>
        </w:rPr>
        <w:t>Réunion du Comité permanent, après avoir obtenu une plus grande participation des Parties contractantes et de leurs Correspondants nationaux GEST.</w:t>
      </w:r>
    </w:p>
    <w:p w14:paraId="24769D30" w14:textId="77777777" w:rsidR="009A7F56" w:rsidRPr="00251FB6" w:rsidRDefault="009A7F56" w:rsidP="00F24C88">
      <w:pPr>
        <w:ind w:left="426" w:hanging="426"/>
        <w:rPr>
          <w:rFonts w:asciiTheme="majorHAnsi" w:hAnsiTheme="majorHAnsi"/>
          <w:sz w:val="22"/>
          <w:szCs w:val="22"/>
          <w:lang w:val="fr-FR"/>
        </w:rPr>
      </w:pPr>
    </w:p>
    <w:p w14:paraId="63CA3B44" w14:textId="77777777" w:rsidR="00157B1A" w:rsidRPr="00251FB6" w:rsidRDefault="00253A36" w:rsidP="00F24C88">
      <w:pPr>
        <w:pStyle w:val="ListParagraph"/>
        <w:numPr>
          <w:ilvl w:val="0"/>
          <w:numId w:val="31"/>
        </w:numPr>
        <w:ind w:left="426" w:hanging="426"/>
        <w:rPr>
          <w:rFonts w:asciiTheme="majorHAnsi" w:hAnsiTheme="majorHAnsi"/>
          <w:szCs w:val="22"/>
          <w:lang w:val="fr-FR"/>
        </w:rPr>
      </w:pPr>
      <w:r w:rsidRPr="00251FB6">
        <w:rPr>
          <w:rFonts w:asciiTheme="majorHAnsi" w:hAnsiTheme="majorHAnsi"/>
          <w:szCs w:val="22"/>
          <w:lang w:val="fr-FR"/>
        </w:rPr>
        <w:t>Le 15 décembre 2015, l</w:t>
      </w:r>
      <w:r w:rsidR="007B6712" w:rsidRPr="00251FB6">
        <w:rPr>
          <w:rFonts w:asciiTheme="majorHAnsi" w:hAnsiTheme="majorHAnsi"/>
          <w:szCs w:val="22"/>
          <w:lang w:val="fr-FR"/>
        </w:rPr>
        <w:t xml:space="preserve">e Secrétariat </w:t>
      </w:r>
      <w:r w:rsidR="00713474" w:rsidRPr="00251FB6">
        <w:rPr>
          <w:rFonts w:asciiTheme="majorHAnsi" w:hAnsiTheme="majorHAnsi"/>
          <w:szCs w:val="22"/>
          <w:lang w:val="fr-FR"/>
        </w:rPr>
        <w:t xml:space="preserve">a </w:t>
      </w:r>
      <w:r w:rsidRPr="00251FB6">
        <w:rPr>
          <w:rFonts w:asciiTheme="majorHAnsi" w:hAnsiTheme="majorHAnsi"/>
          <w:szCs w:val="22"/>
          <w:lang w:val="fr-FR"/>
        </w:rPr>
        <w:t xml:space="preserve">envoyé un message aux chefs des Autorités administratives, aux Correspondants nationaux et aux Correspondants nationaux </w:t>
      </w:r>
      <w:r w:rsidR="00713474" w:rsidRPr="00251FB6">
        <w:rPr>
          <w:rFonts w:asciiTheme="majorHAnsi" w:hAnsiTheme="majorHAnsi"/>
          <w:szCs w:val="22"/>
          <w:lang w:val="fr-FR"/>
        </w:rPr>
        <w:t>GEST</w:t>
      </w:r>
      <w:r w:rsidRPr="00251FB6">
        <w:rPr>
          <w:rFonts w:asciiTheme="majorHAnsi" w:hAnsiTheme="majorHAnsi"/>
          <w:szCs w:val="22"/>
          <w:lang w:val="fr-FR"/>
        </w:rPr>
        <w:t>, leur demandant de commenter le projet de plan de travail du GEST 2016-2018.</w:t>
      </w:r>
    </w:p>
    <w:p w14:paraId="0F0AE4DB" w14:textId="77777777" w:rsidR="00157B1A" w:rsidRPr="003F6411" w:rsidRDefault="00157B1A" w:rsidP="00F24C88">
      <w:pPr>
        <w:pStyle w:val="ListParagraph"/>
        <w:ind w:left="426" w:hanging="426"/>
        <w:rPr>
          <w:rFonts w:asciiTheme="majorHAnsi" w:hAnsiTheme="majorHAnsi"/>
          <w:szCs w:val="22"/>
          <w:lang w:val="fr-FR"/>
        </w:rPr>
      </w:pPr>
    </w:p>
    <w:p w14:paraId="587BB0B6" w14:textId="3CFC5F9B" w:rsidR="00157B1A" w:rsidRPr="007F07C2" w:rsidRDefault="005E7862" w:rsidP="00F24C88">
      <w:pPr>
        <w:pStyle w:val="ListParagraph"/>
        <w:numPr>
          <w:ilvl w:val="0"/>
          <w:numId w:val="31"/>
        </w:numPr>
        <w:ind w:left="426" w:hanging="426"/>
        <w:rPr>
          <w:rFonts w:asciiTheme="majorHAnsi" w:hAnsiTheme="majorHAnsi"/>
          <w:szCs w:val="22"/>
          <w:lang w:val="fr-CA"/>
        </w:rPr>
      </w:pPr>
      <w:r>
        <w:rPr>
          <w:rFonts w:asciiTheme="majorHAnsi" w:hAnsiTheme="majorHAnsi"/>
          <w:szCs w:val="22"/>
          <w:lang w:val="fr-CA"/>
        </w:rPr>
        <w:t>Du 19 au 25 janvier 2016, le GEST a organisé cinq webinaires (un pour chaque domaine de travail thématique) afin d’ouvrir une nouvelle avenue permettant de recevoir les contributions des Correspondants nationaux GEST.</w:t>
      </w:r>
    </w:p>
    <w:p w14:paraId="48579C0F" w14:textId="77777777" w:rsidR="00157B1A" w:rsidRPr="007F07C2" w:rsidRDefault="00157B1A" w:rsidP="00F24C88">
      <w:pPr>
        <w:ind w:left="426" w:hanging="426"/>
        <w:rPr>
          <w:rFonts w:asciiTheme="majorHAnsi" w:hAnsiTheme="majorHAnsi"/>
          <w:szCs w:val="22"/>
          <w:lang w:val="fr-CA"/>
        </w:rPr>
      </w:pPr>
    </w:p>
    <w:p w14:paraId="174AFF93" w14:textId="1E431401" w:rsidR="00157B1A" w:rsidRPr="007F07C2" w:rsidRDefault="005E7862" w:rsidP="00F24C88">
      <w:pPr>
        <w:pStyle w:val="ListParagraph"/>
        <w:numPr>
          <w:ilvl w:val="0"/>
          <w:numId w:val="31"/>
        </w:numPr>
        <w:ind w:left="426" w:hanging="426"/>
        <w:rPr>
          <w:rFonts w:asciiTheme="majorHAnsi" w:hAnsiTheme="majorHAnsi"/>
          <w:szCs w:val="22"/>
          <w:lang w:val="fr-CA"/>
        </w:rPr>
      </w:pPr>
      <w:r>
        <w:rPr>
          <w:rFonts w:asciiTheme="majorHAnsi" w:hAnsiTheme="majorHAnsi"/>
          <w:szCs w:val="22"/>
          <w:lang w:val="fr-CA"/>
        </w:rPr>
        <w:t xml:space="preserve">Les membres du GEST ont également été priés </w:t>
      </w:r>
      <w:r w:rsidR="00251FB6">
        <w:rPr>
          <w:rFonts w:asciiTheme="majorHAnsi" w:hAnsiTheme="majorHAnsi"/>
          <w:szCs w:val="22"/>
          <w:lang w:val="fr-CA"/>
        </w:rPr>
        <w:t>de contacter</w:t>
      </w:r>
      <w:r>
        <w:rPr>
          <w:rFonts w:asciiTheme="majorHAnsi" w:hAnsiTheme="majorHAnsi"/>
          <w:szCs w:val="22"/>
          <w:lang w:val="fr-CA"/>
        </w:rPr>
        <w:t xml:space="preserve"> directement les Correspondants nationaux GEST </w:t>
      </w:r>
      <w:r w:rsidR="00251FB6">
        <w:rPr>
          <w:rFonts w:asciiTheme="majorHAnsi" w:hAnsiTheme="majorHAnsi"/>
          <w:szCs w:val="22"/>
          <w:lang w:val="fr-CA"/>
        </w:rPr>
        <w:t>pour</w:t>
      </w:r>
      <w:r>
        <w:rPr>
          <w:rFonts w:asciiTheme="majorHAnsi" w:hAnsiTheme="majorHAnsi"/>
          <w:szCs w:val="22"/>
          <w:lang w:val="fr-CA"/>
        </w:rPr>
        <w:t xml:space="preserve"> les encourager à contribuer au projet de plan de travail du GEST pour </w:t>
      </w:r>
      <w:r w:rsidR="00157B1A" w:rsidRPr="005E7862">
        <w:rPr>
          <w:rFonts w:asciiTheme="majorHAnsi" w:hAnsiTheme="majorHAnsi"/>
          <w:szCs w:val="22"/>
          <w:lang w:val="fr-CA"/>
        </w:rPr>
        <w:t>2016-2018.</w:t>
      </w:r>
    </w:p>
    <w:p w14:paraId="333B746F" w14:textId="77777777" w:rsidR="00157B1A" w:rsidRPr="007F07C2" w:rsidRDefault="00157B1A" w:rsidP="00F24C88">
      <w:pPr>
        <w:ind w:left="426" w:hanging="426"/>
        <w:rPr>
          <w:rFonts w:asciiTheme="majorHAnsi" w:hAnsiTheme="majorHAnsi"/>
          <w:sz w:val="22"/>
          <w:szCs w:val="22"/>
          <w:lang w:val="fr-CA"/>
        </w:rPr>
      </w:pPr>
    </w:p>
    <w:p w14:paraId="0AEE8B7D" w14:textId="40D65662" w:rsidR="00157B1A" w:rsidRPr="00E5617B" w:rsidRDefault="00E5617B" w:rsidP="00F24C88">
      <w:pPr>
        <w:pStyle w:val="ListParagraph"/>
        <w:numPr>
          <w:ilvl w:val="0"/>
          <w:numId w:val="31"/>
        </w:numPr>
        <w:ind w:left="426" w:hanging="426"/>
        <w:rPr>
          <w:rFonts w:asciiTheme="majorHAnsi" w:hAnsiTheme="majorHAnsi"/>
          <w:szCs w:val="22"/>
          <w:lang w:val="fr-CA"/>
        </w:rPr>
      </w:pPr>
      <w:r w:rsidRPr="00E5617B">
        <w:rPr>
          <w:rFonts w:asciiTheme="majorHAnsi" w:hAnsiTheme="majorHAnsi"/>
          <w:szCs w:val="22"/>
          <w:lang w:val="fr-CA"/>
        </w:rPr>
        <w:t>Durant le processus, n</w:t>
      </w:r>
      <w:r w:rsidR="005E7862" w:rsidRPr="00E5617B">
        <w:rPr>
          <w:rFonts w:asciiTheme="majorHAnsi" w:hAnsiTheme="majorHAnsi"/>
          <w:szCs w:val="22"/>
          <w:lang w:val="fr-CA"/>
        </w:rPr>
        <w:t xml:space="preserve">ous avons reçu des commentaires de </w:t>
      </w:r>
      <w:r w:rsidRPr="00E5617B">
        <w:rPr>
          <w:rFonts w:asciiTheme="majorHAnsi" w:hAnsiTheme="majorHAnsi"/>
          <w:szCs w:val="22"/>
          <w:lang w:val="fr-CA"/>
        </w:rPr>
        <w:t xml:space="preserve">neuf Correspondants nationaux et neuf Correspondants nationaux </w:t>
      </w:r>
      <w:r w:rsidR="005E7862" w:rsidRPr="00E5617B">
        <w:rPr>
          <w:rFonts w:asciiTheme="majorHAnsi" w:hAnsiTheme="majorHAnsi"/>
          <w:szCs w:val="22"/>
          <w:lang w:val="fr-CA"/>
        </w:rPr>
        <w:t>GEST</w:t>
      </w:r>
      <w:r w:rsidRPr="00E5617B">
        <w:rPr>
          <w:rFonts w:asciiTheme="majorHAnsi" w:hAnsiTheme="majorHAnsi"/>
          <w:szCs w:val="22"/>
          <w:lang w:val="fr-CA"/>
        </w:rPr>
        <w:t>, représentant au total 14 Parties contractantes.</w:t>
      </w:r>
      <w:r w:rsidR="00157B1A" w:rsidRPr="00E5617B">
        <w:rPr>
          <w:rFonts w:asciiTheme="majorHAnsi" w:hAnsiTheme="majorHAnsi"/>
          <w:szCs w:val="22"/>
          <w:lang w:val="fr-CA"/>
        </w:rPr>
        <w:t xml:space="preserve">. </w:t>
      </w:r>
      <w:r w:rsidR="005E7862" w:rsidRPr="00E5617B">
        <w:rPr>
          <w:rFonts w:asciiTheme="majorHAnsi" w:hAnsiTheme="majorHAnsi"/>
          <w:szCs w:val="22"/>
          <w:lang w:val="fr-CA"/>
        </w:rPr>
        <w:t>Les commentaires spécifiques, avec les réponses, se trouvent dans un tableau à l’adresse</w:t>
      </w:r>
      <w:r w:rsidRPr="00E5617B">
        <w:rPr>
          <w:rFonts w:asciiTheme="majorHAnsi" w:hAnsiTheme="majorHAnsi"/>
          <w:szCs w:val="22"/>
          <w:lang w:val="fr-CA"/>
        </w:rPr>
        <w:t xml:space="preserve"> </w:t>
      </w:r>
      <w:hyperlink r:id="rId9" w:history="1">
        <w:r w:rsidRPr="00F24C88">
          <w:rPr>
            <w:rStyle w:val="Hyperlink"/>
            <w:rFonts w:asciiTheme="majorHAnsi" w:hAnsiTheme="majorHAnsi"/>
            <w:szCs w:val="22"/>
            <w:u w:val="none"/>
            <w:lang w:val="fr-CA"/>
          </w:rPr>
          <w:t>http://www.ramsar.org/sites/default/files/documents/library/strp_draft_workplan_201618_cp_feedback.pdf</w:t>
        </w:r>
      </w:hyperlink>
      <w:r w:rsidRPr="00E5617B">
        <w:rPr>
          <w:rFonts w:asciiTheme="majorHAnsi" w:hAnsiTheme="majorHAnsi"/>
          <w:szCs w:val="22"/>
          <w:lang w:val="fr-CA"/>
        </w:rPr>
        <w:t xml:space="preserve">. </w:t>
      </w:r>
      <w:r w:rsidR="00157B1A" w:rsidRPr="00E5617B">
        <w:rPr>
          <w:rFonts w:asciiTheme="majorHAnsi" w:hAnsiTheme="majorHAnsi"/>
          <w:szCs w:val="22"/>
          <w:lang w:val="fr-CA"/>
        </w:rPr>
        <w:t>Certain</w:t>
      </w:r>
      <w:r w:rsidR="005E7862" w:rsidRPr="00E5617B">
        <w:rPr>
          <w:rFonts w:asciiTheme="majorHAnsi" w:hAnsiTheme="majorHAnsi"/>
          <w:szCs w:val="22"/>
          <w:lang w:val="fr-CA"/>
        </w:rPr>
        <w:t>es réponses sont explicitées ci</w:t>
      </w:r>
      <w:r w:rsidR="005E7862" w:rsidRPr="00E5617B">
        <w:rPr>
          <w:rFonts w:asciiTheme="majorHAnsi" w:hAnsiTheme="majorHAnsi"/>
          <w:szCs w:val="22"/>
          <w:lang w:val="fr-CA"/>
        </w:rPr>
        <w:noBreakHyphen/>
        <w:t>dessous.</w:t>
      </w:r>
    </w:p>
    <w:p w14:paraId="7C69E09F" w14:textId="77777777" w:rsidR="00157B1A" w:rsidRPr="007F07C2" w:rsidRDefault="00157B1A" w:rsidP="00157B1A">
      <w:pPr>
        <w:ind w:left="567" w:hanging="567"/>
        <w:rPr>
          <w:rFonts w:asciiTheme="majorHAnsi" w:hAnsiTheme="majorHAnsi"/>
          <w:sz w:val="22"/>
          <w:szCs w:val="22"/>
          <w:lang w:val="fr-CA"/>
        </w:rPr>
      </w:pPr>
    </w:p>
    <w:p w14:paraId="04DB2608" w14:textId="18FBFDA9" w:rsidR="00157B1A" w:rsidRPr="007F07C2" w:rsidRDefault="005E7862" w:rsidP="00F24C88">
      <w:pPr>
        <w:ind w:left="426" w:hanging="426"/>
        <w:rPr>
          <w:rFonts w:asciiTheme="majorHAnsi" w:hAnsiTheme="majorHAnsi"/>
          <w:b/>
          <w:sz w:val="22"/>
          <w:szCs w:val="22"/>
          <w:lang w:val="fr-CA"/>
        </w:rPr>
      </w:pPr>
      <w:r w:rsidRPr="007F07C2">
        <w:rPr>
          <w:rFonts w:asciiTheme="majorHAnsi" w:hAnsiTheme="majorHAnsi"/>
          <w:b/>
          <w:sz w:val="22"/>
          <w:szCs w:val="22"/>
          <w:lang w:val="fr-CA"/>
        </w:rPr>
        <w:t>Réponses</w:t>
      </w:r>
      <w:r w:rsidR="00157B1A" w:rsidRPr="007F07C2">
        <w:rPr>
          <w:rFonts w:asciiTheme="majorHAnsi" w:hAnsiTheme="majorHAnsi"/>
          <w:b/>
          <w:sz w:val="22"/>
          <w:szCs w:val="22"/>
          <w:lang w:val="fr-CA"/>
        </w:rPr>
        <w:t xml:space="preserve"> </w:t>
      </w:r>
      <w:r>
        <w:rPr>
          <w:rFonts w:asciiTheme="majorHAnsi" w:hAnsiTheme="majorHAnsi"/>
          <w:b/>
          <w:sz w:val="22"/>
          <w:szCs w:val="22"/>
          <w:lang w:val="fr-CA"/>
        </w:rPr>
        <w:t xml:space="preserve">aux contributions reçues durant le processus de consultation </w:t>
      </w:r>
    </w:p>
    <w:p w14:paraId="664EB488" w14:textId="77777777" w:rsidR="00157B1A" w:rsidRPr="007F07C2" w:rsidRDefault="00157B1A" w:rsidP="00F24C88">
      <w:pPr>
        <w:ind w:left="426" w:hanging="426"/>
        <w:rPr>
          <w:rFonts w:asciiTheme="majorHAnsi" w:hAnsiTheme="majorHAnsi"/>
          <w:sz w:val="22"/>
          <w:szCs w:val="22"/>
          <w:lang w:val="fr-CA"/>
        </w:rPr>
      </w:pPr>
    </w:p>
    <w:p w14:paraId="7470A503" w14:textId="5309EC6E" w:rsidR="00157B1A" w:rsidRPr="007F07C2" w:rsidRDefault="00251FB6" w:rsidP="00F24C88">
      <w:pPr>
        <w:pStyle w:val="ListParagraph"/>
        <w:numPr>
          <w:ilvl w:val="0"/>
          <w:numId w:val="31"/>
        </w:numPr>
        <w:ind w:left="426" w:hanging="426"/>
        <w:rPr>
          <w:rFonts w:asciiTheme="majorHAnsi" w:hAnsiTheme="majorHAnsi"/>
          <w:szCs w:val="22"/>
          <w:lang w:val="fr-CA"/>
        </w:rPr>
      </w:pPr>
      <w:r>
        <w:rPr>
          <w:rFonts w:asciiTheme="majorHAnsi" w:hAnsiTheme="majorHAnsi"/>
          <w:szCs w:val="22"/>
          <w:lang w:val="fr-CA"/>
        </w:rPr>
        <w:t>Les membres de c</w:t>
      </w:r>
      <w:r w:rsidR="00662039">
        <w:rPr>
          <w:rFonts w:asciiTheme="majorHAnsi" w:hAnsiTheme="majorHAnsi"/>
          <w:szCs w:val="22"/>
          <w:lang w:val="fr-CA"/>
        </w:rPr>
        <w:t xml:space="preserve">haque domaine de travail thématique du GEST </w:t>
      </w:r>
      <w:r>
        <w:rPr>
          <w:rFonts w:asciiTheme="majorHAnsi" w:hAnsiTheme="majorHAnsi"/>
          <w:szCs w:val="22"/>
          <w:lang w:val="fr-CA"/>
        </w:rPr>
        <w:t>ont</w:t>
      </w:r>
      <w:r w:rsidR="00662039">
        <w:rPr>
          <w:rFonts w:asciiTheme="majorHAnsi" w:hAnsiTheme="majorHAnsi"/>
          <w:szCs w:val="22"/>
          <w:lang w:val="fr-CA"/>
        </w:rPr>
        <w:t xml:space="preserve"> examiné les </w:t>
      </w:r>
      <w:r w:rsidR="00E5617B">
        <w:rPr>
          <w:rFonts w:asciiTheme="majorHAnsi" w:hAnsiTheme="majorHAnsi"/>
          <w:szCs w:val="22"/>
          <w:lang w:val="fr-CA"/>
        </w:rPr>
        <w:t>commentaires</w:t>
      </w:r>
      <w:r w:rsidR="00662039">
        <w:rPr>
          <w:rFonts w:asciiTheme="majorHAnsi" w:hAnsiTheme="majorHAnsi"/>
          <w:szCs w:val="22"/>
          <w:lang w:val="fr-CA"/>
        </w:rPr>
        <w:t xml:space="preserve"> reçus et discuté des amendements par voie électronique, à la lumière de ces commentaires. Dans certains cas, le GEST a reçu des instructions conflictuelles. Par exemple, </w:t>
      </w:r>
      <w:r>
        <w:rPr>
          <w:rFonts w:asciiTheme="majorHAnsi" w:hAnsiTheme="majorHAnsi"/>
          <w:szCs w:val="22"/>
          <w:lang w:val="fr-CA"/>
        </w:rPr>
        <w:t>l</w:t>
      </w:r>
      <w:r w:rsidR="00662039">
        <w:rPr>
          <w:rFonts w:asciiTheme="majorHAnsi" w:hAnsiTheme="majorHAnsi"/>
          <w:szCs w:val="22"/>
          <w:lang w:val="fr-CA"/>
        </w:rPr>
        <w:t xml:space="preserve">’opinion des Parties contractantes </w:t>
      </w:r>
      <w:r>
        <w:rPr>
          <w:rFonts w:asciiTheme="majorHAnsi" w:hAnsiTheme="majorHAnsi"/>
          <w:szCs w:val="22"/>
          <w:lang w:val="fr-CA"/>
        </w:rPr>
        <w:t>divergeait parfois quant aux</w:t>
      </w:r>
      <w:r w:rsidR="00662039">
        <w:rPr>
          <w:rFonts w:asciiTheme="majorHAnsi" w:hAnsiTheme="majorHAnsi"/>
          <w:szCs w:val="22"/>
          <w:lang w:val="fr-CA"/>
        </w:rPr>
        <w:t xml:space="preserve"> tâches </w:t>
      </w:r>
      <w:r>
        <w:rPr>
          <w:rFonts w:asciiTheme="majorHAnsi" w:hAnsiTheme="majorHAnsi"/>
          <w:szCs w:val="22"/>
          <w:lang w:val="fr-CA"/>
        </w:rPr>
        <w:t>à maintenir</w:t>
      </w:r>
      <w:r w:rsidR="00662039">
        <w:rPr>
          <w:rFonts w:asciiTheme="majorHAnsi" w:hAnsiTheme="majorHAnsi"/>
          <w:szCs w:val="22"/>
          <w:lang w:val="fr-CA"/>
        </w:rPr>
        <w:t xml:space="preserve"> dans le plan de travail. Dans ce cas, le GEST a décidé de laisser ces tâches dans le projet de plan de travail amendé pour examen et décision ultime du Comité permanent.</w:t>
      </w:r>
    </w:p>
    <w:p w14:paraId="20775B9A" w14:textId="77777777" w:rsidR="00157B1A" w:rsidRPr="007F07C2" w:rsidRDefault="00157B1A" w:rsidP="00F24C88">
      <w:pPr>
        <w:ind w:left="426" w:hanging="426"/>
        <w:rPr>
          <w:rFonts w:asciiTheme="majorHAnsi" w:hAnsiTheme="majorHAnsi"/>
          <w:sz w:val="22"/>
          <w:szCs w:val="22"/>
          <w:lang w:val="fr-CA"/>
        </w:rPr>
      </w:pPr>
    </w:p>
    <w:p w14:paraId="1E01F1FF" w14:textId="701D8E5D" w:rsidR="00157B1A" w:rsidRPr="007F07C2" w:rsidRDefault="00662039" w:rsidP="00F24C88">
      <w:pPr>
        <w:pStyle w:val="ListParagraph"/>
        <w:numPr>
          <w:ilvl w:val="0"/>
          <w:numId w:val="31"/>
        </w:numPr>
        <w:ind w:left="426" w:hanging="426"/>
        <w:rPr>
          <w:rFonts w:asciiTheme="majorHAnsi" w:hAnsiTheme="majorHAnsi"/>
          <w:szCs w:val="22"/>
          <w:lang w:val="fr-CA"/>
        </w:rPr>
      </w:pPr>
      <w:r>
        <w:rPr>
          <w:rFonts w:asciiTheme="majorHAnsi" w:hAnsiTheme="majorHAnsi"/>
          <w:szCs w:val="22"/>
          <w:lang w:val="fr-CA"/>
        </w:rPr>
        <w:t xml:space="preserve">Une fonction fondamentale du GEST </w:t>
      </w:r>
      <w:r w:rsidR="00B64C5B">
        <w:rPr>
          <w:rFonts w:asciiTheme="majorHAnsi" w:hAnsiTheme="majorHAnsi"/>
          <w:szCs w:val="22"/>
          <w:lang w:val="fr-CA"/>
        </w:rPr>
        <w:t xml:space="preserve">consiste à </w:t>
      </w:r>
      <w:r>
        <w:rPr>
          <w:rFonts w:asciiTheme="majorHAnsi" w:hAnsiTheme="majorHAnsi"/>
          <w:szCs w:val="22"/>
          <w:lang w:val="fr-CA"/>
        </w:rPr>
        <w:t>fourni</w:t>
      </w:r>
      <w:r w:rsidR="00B64C5B">
        <w:rPr>
          <w:rFonts w:asciiTheme="majorHAnsi" w:hAnsiTheme="majorHAnsi"/>
          <w:szCs w:val="22"/>
          <w:lang w:val="fr-CA"/>
        </w:rPr>
        <w:t>r</w:t>
      </w:r>
      <w:r>
        <w:rPr>
          <w:rFonts w:asciiTheme="majorHAnsi" w:hAnsiTheme="majorHAnsi"/>
          <w:szCs w:val="22"/>
          <w:lang w:val="fr-CA"/>
        </w:rPr>
        <w:t xml:space="preserve"> d</w:t>
      </w:r>
      <w:r w:rsidR="00B64C5B">
        <w:rPr>
          <w:rFonts w:asciiTheme="majorHAnsi" w:hAnsiTheme="majorHAnsi"/>
          <w:szCs w:val="22"/>
          <w:lang w:val="fr-CA"/>
        </w:rPr>
        <w:t xml:space="preserve">es </w:t>
      </w:r>
      <w:r>
        <w:rPr>
          <w:rFonts w:asciiTheme="majorHAnsi" w:hAnsiTheme="majorHAnsi"/>
          <w:szCs w:val="22"/>
          <w:lang w:val="fr-CA"/>
        </w:rPr>
        <w:t>avis ne conduis</w:t>
      </w:r>
      <w:r w:rsidR="00B64C5B">
        <w:rPr>
          <w:rFonts w:asciiTheme="majorHAnsi" w:hAnsiTheme="majorHAnsi"/>
          <w:szCs w:val="22"/>
          <w:lang w:val="fr-CA"/>
        </w:rPr>
        <w:t>a</w:t>
      </w:r>
      <w:r>
        <w:rPr>
          <w:rFonts w:asciiTheme="majorHAnsi" w:hAnsiTheme="majorHAnsi"/>
          <w:szCs w:val="22"/>
          <w:lang w:val="fr-CA"/>
        </w:rPr>
        <w:t>nt pas nécessairement à un produit tangible publié. Dans le cadre de la Résolution </w:t>
      </w:r>
      <w:r w:rsidR="00196C80">
        <w:rPr>
          <w:rFonts w:asciiTheme="majorHAnsi" w:hAnsiTheme="majorHAnsi"/>
          <w:szCs w:val="22"/>
          <w:lang w:val="fr-CA"/>
        </w:rPr>
        <w:t>XII.5 (</w:t>
      </w:r>
      <w:r w:rsidR="004B32FB">
        <w:rPr>
          <w:rFonts w:asciiTheme="majorHAnsi" w:hAnsiTheme="majorHAnsi"/>
          <w:szCs w:val="22"/>
          <w:lang w:val="fr-CA"/>
        </w:rPr>
        <w:t>a</w:t>
      </w:r>
      <w:r w:rsidR="00157B1A" w:rsidRPr="007F07C2">
        <w:rPr>
          <w:rFonts w:asciiTheme="majorHAnsi" w:hAnsiTheme="majorHAnsi"/>
          <w:szCs w:val="22"/>
          <w:lang w:val="fr-CA"/>
        </w:rPr>
        <w:t>nnex</w:t>
      </w:r>
      <w:r>
        <w:rPr>
          <w:rFonts w:asciiTheme="majorHAnsi" w:hAnsiTheme="majorHAnsi"/>
          <w:szCs w:val="22"/>
          <w:lang w:val="fr-CA"/>
        </w:rPr>
        <w:t>e </w:t>
      </w:r>
      <w:r w:rsidR="00157B1A" w:rsidRPr="007F07C2">
        <w:rPr>
          <w:rFonts w:asciiTheme="majorHAnsi" w:hAnsiTheme="majorHAnsi"/>
          <w:szCs w:val="22"/>
          <w:lang w:val="fr-CA"/>
        </w:rPr>
        <w:t>I, paragraph</w:t>
      </w:r>
      <w:r>
        <w:rPr>
          <w:rFonts w:asciiTheme="majorHAnsi" w:hAnsiTheme="majorHAnsi"/>
          <w:szCs w:val="22"/>
          <w:lang w:val="fr-CA"/>
        </w:rPr>
        <w:t>e</w:t>
      </w:r>
      <w:r w:rsidR="00157B1A" w:rsidRPr="007F07C2">
        <w:rPr>
          <w:rFonts w:asciiTheme="majorHAnsi" w:hAnsiTheme="majorHAnsi"/>
          <w:szCs w:val="22"/>
          <w:lang w:val="fr-CA"/>
        </w:rPr>
        <w:t xml:space="preserve">s 2, 12(v), 15 </w:t>
      </w:r>
      <w:r>
        <w:rPr>
          <w:rFonts w:asciiTheme="majorHAnsi" w:hAnsiTheme="majorHAnsi"/>
          <w:szCs w:val="22"/>
          <w:lang w:val="fr-CA"/>
        </w:rPr>
        <w:t>et </w:t>
      </w:r>
      <w:r w:rsidR="00157B1A" w:rsidRPr="007F07C2">
        <w:rPr>
          <w:rFonts w:asciiTheme="majorHAnsi" w:hAnsiTheme="majorHAnsi"/>
          <w:szCs w:val="22"/>
          <w:lang w:val="fr-CA"/>
        </w:rPr>
        <w:t xml:space="preserve">38), </w:t>
      </w:r>
      <w:r>
        <w:rPr>
          <w:rFonts w:asciiTheme="majorHAnsi" w:hAnsiTheme="majorHAnsi"/>
          <w:szCs w:val="22"/>
          <w:lang w:val="fr-CA"/>
        </w:rPr>
        <w:t xml:space="preserve">ces fonctions consultatives spéciales comprennent, entre autres : répondre aux demandes d’avis ou de contribution du Secrétariat </w:t>
      </w:r>
      <w:r w:rsidR="00157B1A" w:rsidRPr="007F07C2">
        <w:rPr>
          <w:rFonts w:asciiTheme="majorHAnsi" w:hAnsiTheme="majorHAnsi"/>
          <w:szCs w:val="22"/>
          <w:lang w:val="fr-CA"/>
        </w:rPr>
        <w:t>(</w:t>
      </w:r>
      <w:r>
        <w:rPr>
          <w:rFonts w:asciiTheme="majorHAnsi" w:hAnsiTheme="majorHAnsi"/>
          <w:szCs w:val="22"/>
          <w:lang w:val="fr-CA"/>
        </w:rPr>
        <w:t xml:space="preserve">y compris pour le Programme de CESP et les quatre indicateurs du Plan stratégique) et du Comité permanent; rédiger (à la demande des Parties contractantes) ou participer à la rédaction de projets de résolution soumis par les Parties contractantes; </w:t>
      </w:r>
      <w:r w:rsidR="004B2804">
        <w:rPr>
          <w:rFonts w:asciiTheme="majorHAnsi" w:hAnsiTheme="majorHAnsi"/>
          <w:szCs w:val="22"/>
          <w:lang w:val="fr-CA"/>
        </w:rPr>
        <w:t xml:space="preserve">répondre à des demandes spécifiques d’avis </w:t>
      </w:r>
      <w:r w:rsidR="00B64C5B">
        <w:rPr>
          <w:rFonts w:asciiTheme="majorHAnsi" w:hAnsiTheme="majorHAnsi"/>
          <w:szCs w:val="22"/>
          <w:lang w:val="fr-CA"/>
        </w:rPr>
        <w:t>venant</w:t>
      </w:r>
      <w:r w:rsidR="004B2804">
        <w:rPr>
          <w:rFonts w:asciiTheme="majorHAnsi" w:hAnsiTheme="majorHAnsi"/>
          <w:szCs w:val="22"/>
          <w:lang w:val="fr-CA"/>
        </w:rPr>
        <w:t xml:space="preserve"> des Parties</w:t>
      </w:r>
      <w:r w:rsidR="00485A40">
        <w:rPr>
          <w:rFonts w:asciiTheme="majorHAnsi" w:hAnsiTheme="majorHAnsi"/>
          <w:szCs w:val="22"/>
          <w:lang w:val="fr-CA"/>
        </w:rPr>
        <w:t xml:space="preserve"> contractantes; participer aux </w:t>
      </w:r>
      <w:r w:rsidR="00B64C5B">
        <w:rPr>
          <w:rFonts w:asciiTheme="majorHAnsi" w:hAnsiTheme="majorHAnsi"/>
          <w:szCs w:val="22"/>
          <w:lang w:val="fr-CA"/>
        </w:rPr>
        <w:t>M</w:t>
      </w:r>
      <w:r w:rsidR="004B2804">
        <w:rPr>
          <w:rFonts w:asciiTheme="majorHAnsi" w:hAnsiTheme="majorHAnsi"/>
          <w:szCs w:val="22"/>
          <w:lang w:val="fr-CA"/>
        </w:rPr>
        <w:t>issions consultatives Ramsar sur demande; donner un avis sur les demandes de suppression de Sites Ramsar du Registre de Montreux; siéger au Co</w:t>
      </w:r>
      <w:r w:rsidR="00ED4DA2">
        <w:rPr>
          <w:rFonts w:asciiTheme="majorHAnsi" w:hAnsiTheme="majorHAnsi"/>
          <w:szCs w:val="22"/>
          <w:lang w:val="fr-CA"/>
        </w:rPr>
        <w:t xml:space="preserve">mité consultatif indépendant du </w:t>
      </w:r>
      <w:r w:rsidR="00B64C5B">
        <w:rPr>
          <w:rFonts w:asciiTheme="majorHAnsi" w:hAnsiTheme="majorHAnsi"/>
          <w:szCs w:val="22"/>
          <w:lang w:val="fr-CA"/>
        </w:rPr>
        <w:t>l</w:t>
      </w:r>
      <w:r w:rsidR="004B2804">
        <w:rPr>
          <w:rFonts w:asciiTheme="majorHAnsi" w:hAnsiTheme="majorHAnsi"/>
          <w:szCs w:val="22"/>
          <w:lang w:val="fr-CA"/>
        </w:rPr>
        <w:t xml:space="preserve">abel </w:t>
      </w:r>
      <w:r w:rsidR="00B64C5B">
        <w:rPr>
          <w:rFonts w:asciiTheme="majorHAnsi" w:hAnsiTheme="majorHAnsi"/>
          <w:szCs w:val="22"/>
          <w:lang w:val="fr-CA"/>
        </w:rPr>
        <w:t>‘</w:t>
      </w:r>
      <w:r w:rsidR="004B2804">
        <w:rPr>
          <w:rFonts w:asciiTheme="majorHAnsi" w:hAnsiTheme="majorHAnsi"/>
          <w:szCs w:val="22"/>
          <w:lang w:val="fr-CA"/>
        </w:rPr>
        <w:t>Ville de</w:t>
      </w:r>
      <w:r w:rsidR="00ED4DA2">
        <w:rPr>
          <w:rFonts w:asciiTheme="majorHAnsi" w:hAnsiTheme="majorHAnsi"/>
          <w:szCs w:val="22"/>
          <w:lang w:val="fr-CA"/>
        </w:rPr>
        <w:t>s</w:t>
      </w:r>
      <w:r w:rsidR="004B2804">
        <w:rPr>
          <w:rFonts w:asciiTheme="majorHAnsi" w:hAnsiTheme="majorHAnsi"/>
          <w:szCs w:val="22"/>
          <w:lang w:val="fr-CA"/>
        </w:rPr>
        <w:t xml:space="preserve"> zones humides accréditée</w:t>
      </w:r>
      <w:r w:rsidR="00B64C5B">
        <w:rPr>
          <w:rFonts w:asciiTheme="majorHAnsi" w:hAnsiTheme="majorHAnsi"/>
          <w:szCs w:val="22"/>
          <w:lang w:val="fr-CA"/>
        </w:rPr>
        <w:t>’</w:t>
      </w:r>
      <w:r w:rsidR="004B2804">
        <w:rPr>
          <w:rFonts w:asciiTheme="majorHAnsi" w:hAnsiTheme="majorHAnsi"/>
          <w:szCs w:val="22"/>
          <w:lang w:val="fr-CA"/>
        </w:rPr>
        <w:t xml:space="preserve">; et fournir des avis sur les questions émergentes. En réponse aux commentaires, nous avons reconfiguré le plan de travail de sorte que les tâches relevant de domaines </w:t>
      </w:r>
      <w:r w:rsidR="00E5617B">
        <w:rPr>
          <w:rFonts w:asciiTheme="majorHAnsi" w:hAnsiTheme="majorHAnsi"/>
          <w:szCs w:val="22"/>
          <w:lang w:val="fr-CA"/>
        </w:rPr>
        <w:t xml:space="preserve">de travail </w:t>
      </w:r>
      <w:r w:rsidR="004B2804">
        <w:rPr>
          <w:rFonts w:asciiTheme="majorHAnsi" w:hAnsiTheme="majorHAnsi"/>
          <w:szCs w:val="22"/>
          <w:lang w:val="fr-CA"/>
        </w:rPr>
        <w:t xml:space="preserve">thématiques ne contiennent généralement que les points qui </w:t>
      </w:r>
      <w:r w:rsidR="00B64C5B">
        <w:rPr>
          <w:rFonts w:asciiTheme="majorHAnsi" w:hAnsiTheme="majorHAnsi"/>
          <w:szCs w:val="22"/>
          <w:lang w:val="fr-CA"/>
        </w:rPr>
        <w:t>aboutissent à</w:t>
      </w:r>
      <w:r w:rsidR="004B2804">
        <w:rPr>
          <w:rFonts w:asciiTheme="majorHAnsi" w:hAnsiTheme="majorHAnsi"/>
          <w:szCs w:val="22"/>
          <w:lang w:val="fr-CA"/>
        </w:rPr>
        <w:t xml:space="preserve"> un produit clair. Les tâches consultatives ne sont pas soulignées dans le plan de travail. </w:t>
      </w:r>
    </w:p>
    <w:p w14:paraId="4BAD8F50" w14:textId="77777777" w:rsidR="00157B1A" w:rsidRPr="007F07C2" w:rsidRDefault="00157B1A" w:rsidP="00F24C88">
      <w:pPr>
        <w:pStyle w:val="ListParagraph"/>
        <w:ind w:left="426" w:hanging="426"/>
        <w:rPr>
          <w:rFonts w:asciiTheme="majorHAnsi" w:hAnsiTheme="majorHAnsi"/>
          <w:szCs w:val="22"/>
          <w:lang w:val="fr-CA"/>
        </w:rPr>
      </w:pPr>
    </w:p>
    <w:p w14:paraId="5C5FDB6F" w14:textId="3ABD17E8" w:rsidR="00157B1A" w:rsidRPr="007F07C2" w:rsidRDefault="007E4FF5" w:rsidP="00F24C88">
      <w:pPr>
        <w:pStyle w:val="ListParagraph"/>
        <w:numPr>
          <w:ilvl w:val="0"/>
          <w:numId w:val="31"/>
        </w:numPr>
        <w:ind w:left="426" w:hanging="426"/>
        <w:rPr>
          <w:rFonts w:asciiTheme="majorHAnsi" w:hAnsiTheme="majorHAnsi"/>
          <w:szCs w:val="22"/>
          <w:lang w:val="fr-CA"/>
        </w:rPr>
      </w:pPr>
      <w:r>
        <w:rPr>
          <w:rFonts w:asciiTheme="majorHAnsi" w:hAnsiTheme="majorHAnsi"/>
          <w:szCs w:val="22"/>
          <w:lang w:val="fr-CA"/>
        </w:rPr>
        <w:t xml:space="preserve">Nous avons reçu </w:t>
      </w:r>
      <w:r w:rsidR="00B64C5B">
        <w:rPr>
          <w:rFonts w:asciiTheme="majorHAnsi" w:hAnsiTheme="majorHAnsi"/>
          <w:szCs w:val="22"/>
          <w:lang w:val="fr-CA"/>
        </w:rPr>
        <w:t>quelques</w:t>
      </w:r>
      <w:r>
        <w:rPr>
          <w:rFonts w:asciiTheme="majorHAnsi" w:hAnsiTheme="majorHAnsi"/>
          <w:szCs w:val="22"/>
          <w:lang w:val="fr-CA"/>
        </w:rPr>
        <w:t xml:space="preserve"> commentaires </w:t>
      </w:r>
      <w:r w:rsidR="00B64C5B">
        <w:rPr>
          <w:rFonts w:asciiTheme="majorHAnsi" w:hAnsiTheme="majorHAnsi"/>
          <w:szCs w:val="22"/>
          <w:lang w:val="fr-CA"/>
        </w:rPr>
        <w:t>préoccupés</w:t>
      </w:r>
      <w:r>
        <w:rPr>
          <w:rFonts w:asciiTheme="majorHAnsi" w:hAnsiTheme="majorHAnsi"/>
          <w:szCs w:val="22"/>
          <w:lang w:val="fr-CA"/>
        </w:rPr>
        <w:t xml:space="preserve"> quant au nombre de tâches relatives aux tourbières. Nous avons modifié le projet de plan de travail afin que les trois tâches proposées pour les tourbières dans les domaines de travail thématiques soient alignées plus étroitement sur les demandes de la COP figurant dans la </w:t>
      </w:r>
      <w:r w:rsidRPr="007F07C2">
        <w:rPr>
          <w:rFonts w:asciiTheme="majorHAnsi" w:hAnsiTheme="majorHAnsi"/>
          <w:szCs w:val="22"/>
          <w:lang w:val="fr-CA"/>
        </w:rPr>
        <w:t>Résolution</w:t>
      </w:r>
      <w:r w:rsidR="00157B1A" w:rsidRPr="007F07C2">
        <w:rPr>
          <w:rFonts w:asciiTheme="majorHAnsi" w:hAnsiTheme="majorHAnsi"/>
          <w:szCs w:val="22"/>
          <w:lang w:val="fr-CA"/>
        </w:rPr>
        <w:t xml:space="preserve"> XII.11. (</w:t>
      </w:r>
      <w:r>
        <w:rPr>
          <w:rFonts w:asciiTheme="majorHAnsi" w:hAnsiTheme="majorHAnsi"/>
          <w:szCs w:val="22"/>
          <w:lang w:val="fr-CA"/>
        </w:rPr>
        <w:t xml:space="preserve">Une quatrième tâche relative aux tourbières figure sous les tâches consultatives.) Du point de vue scientifique, il convient de noter </w:t>
      </w:r>
      <w:r w:rsidR="00A94921">
        <w:rPr>
          <w:rFonts w:asciiTheme="majorHAnsi" w:hAnsiTheme="majorHAnsi"/>
          <w:szCs w:val="22"/>
          <w:lang w:val="fr-CA"/>
        </w:rPr>
        <w:t>que le terme « tourbières » est un terme général compren</w:t>
      </w:r>
      <w:r w:rsidR="00B64C5B">
        <w:rPr>
          <w:rFonts w:asciiTheme="majorHAnsi" w:hAnsiTheme="majorHAnsi"/>
          <w:szCs w:val="22"/>
          <w:lang w:val="fr-CA"/>
        </w:rPr>
        <w:t>ant</w:t>
      </w:r>
      <w:r w:rsidR="00A94921">
        <w:rPr>
          <w:rFonts w:asciiTheme="majorHAnsi" w:hAnsiTheme="majorHAnsi"/>
          <w:szCs w:val="22"/>
          <w:lang w:val="fr-CA"/>
        </w:rPr>
        <w:t xml:space="preserve"> de nombreux types différents de zones humides. On estime qu’au niveau mondial, au moins un tiers de toutes les zones humides sont des tourbières. Dans le Système de classification des types de zones humides Ramsar, les tourbières sont </w:t>
      </w:r>
      <w:r w:rsidR="00E5617B">
        <w:rPr>
          <w:rFonts w:asciiTheme="majorHAnsi" w:hAnsiTheme="majorHAnsi"/>
          <w:szCs w:val="22"/>
          <w:lang w:val="fr-CA"/>
        </w:rPr>
        <w:t>classées</w:t>
      </w:r>
      <w:r w:rsidR="00A94921">
        <w:rPr>
          <w:rFonts w:asciiTheme="majorHAnsi" w:hAnsiTheme="majorHAnsi"/>
          <w:szCs w:val="22"/>
          <w:lang w:val="fr-CA"/>
        </w:rPr>
        <w:t xml:space="preserve"> expressément dans le type U – </w:t>
      </w:r>
      <w:r w:rsidR="00D8533F">
        <w:rPr>
          <w:rFonts w:asciiTheme="majorHAnsi" w:hAnsiTheme="majorHAnsi"/>
          <w:szCs w:val="22"/>
          <w:lang w:val="fr-CA"/>
        </w:rPr>
        <w:t>T</w:t>
      </w:r>
      <w:r w:rsidR="00A94921">
        <w:rPr>
          <w:rFonts w:asciiTheme="majorHAnsi" w:hAnsiTheme="majorHAnsi"/>
          <w:szCs w:val="22"/>
          <w:lang w:val="fr-CA"/>
        </w:rPr>
        <w:t xml:space="preserve">ourbières non boisées, qui comprend </w:t>
      </w:r>
      <w:r w:rsidR="00B64C5B">
        <w:rPr>
          <w:rFonts w:asciiTheme="majorHAnsi" w:hAnsiTheme="majorHAnsi"/>
          <w:szCs w:val="22"/>
          <w:lang w:val="fr-CA"/>
        </w:rPr>
        <w:t>les</w:t>
      </w:r>
      <w:r w:rsidR="00B64C5B" w:rsidRPr="00B64C5B">
        <w:rPr>
          <w:rFonts w:asciiTheme="majorHAnsi" w:hAnsiTheme="majorHAnsi"/>
          <w:szCs w:val="22"/>
          <w:lang w:val="fr-CA"/>
        </w:rPr>
        <w:t xml:space="preserve"> tourbières ouvertes ou couvertes de buissons</w:t>
      </w:r>
      <w:r w:rsidR="00B64C5B">
        <w:rPr>
          <w:rFonts w:asciiTheme="majorHAnsi" w:hAnsiTheme="majorHAnsi"/>
          <w:szCs w:val="22"/>
          <w:lang w:val="fr-CA"/>
        </w:rPr>
        <w:t xml:space="preserve"> et les</w:t>
      </w:r>
      <w:r w:rsidR="00B64C5B" w:rsidRPr="00B64C5B">
        <w:rPr>
          <w:rFonts w:asciiTheme="majorHAnsi" w:hAnsiTheme="majorHAnsi"/>
          <w:szCs w:val="22"/>
          <w:lang w:val="fr-CA"/>
        </w:rPr>
        <w:t xml:space="preserve"> fagnes</w:t>
      </w:r>
      <w:r w:rsidR="00A94921">
        <w:rPr>
          <w:rFonts w:asciiTheme="majorHAnsi" w:hAnsiTheme="majorHAnsi"/>
          <w:szCs w:val="22"/>
          <w:lang w:val="fr-CA"/>
        </w:rPr>
        <w:t xml:space="preserve">, et le type Xp – </w:t>
      </w:r>
      <w:r w:rsidR="00D8533F">
        <w:rPr>
          <w:rFonts w:asciiTheme="majorHAnsi" w:hAnsiTheme="majorHAnsi"/>
          <w:szCs w:val="22"/>
          <w:lang w:val="fr-CA"/>
        </w:rPr>
        <w:t>T</w:t>
      </w:r>
      <w:r w:rsidR="00A94921">
        <w:rPr>
          <w:rFonts w:asciiTheme="majorHAnsi" w:hAnsiTheme="majorHAnsi"/>
          <w:szCs w:val="22"/>
          <w:lang w:val="fr-CA"/>
        </w:rPr>
        <w:t>ourbières boisées, qui comprend les forêts marécageuses sur tourb</w:t>
      </w:r>
      <w:r w:rsidR="008656E8">
        <w:rPr>
          <w:rFonts w:asciiTheme="majorHAnsi" w:hAnsiTheme="majorHAnsi"/>
          <w:szCs w:val="22"/>
          <w:lang w:val="fr-CA"/>
        </w:rPr>
        <w:t>ière</w:t>
      </w:r>
      <w:r w:rsidR="00A94921">
        <w:rPr>
          <w:rFonts w:asciiTheme="majorHAnsi" w:hAnsiTheme="majorHAnsi"/>
          <w:szCs w:val="22"/>
          <w:lang w:val="fr-CA"/>
        </w:rPr>
        <w:t xml:space="preserve">. En outre, d’autres types de zones humides tels que le type Vt – </w:t>
      </w:r>
      <w:r w:rsidR="00D8533F">
        <w:rPr>
          <w:rFonts w:asciiTheme="majorHAnsi" w:hAnsiTheme="majorHAnsi"/>
          <w:szCs w:val="22"/>
          <w:lang w:val="fr-CA"/>
        </w:rPr>
        <w:t>Z</w:t>
      </w:r>
      <w:r w:rsidR="00A94921">
        <w:rPr>
          <w:rFonts w:asciiTheme="majorHAnsi" w:hAnsiTheme="majorHAnsi"/>
          <w:szCs w:val="22"/>
          <w:lang w:val="fr-CA"/>
        </w:rPr>
        <w:t>ones humides de toundra, comprennent des zones humides présentant des couches de sol suffisamment organique</w:t>
      </w:r>
      <w:r w:rsidR="00ED74E2">
        <w:rPr>
          <w:rFonts w:asciiTheme="majorHAnsi" w:hAnsiTheme="majorHAnsi"/>
          <w:szCs w:val="22"/>
          <w:lang w:val="fr-CA"/>
        </w:rPr>
        <w:t>s</w:t>
      </w:r>
      <w:r w:rsidR="00A94921">
        <w:rPr>
          <w:rFonts w:asciiTheme="majorHAnsi" w:hAnsiTheme="majorHAnsi"/>
          <w:szCs w:val="22"/>
          <w:lang w:val="fr-CA"/>
        </w:rPr>
        <w:t xml:space="preserve"> </w:t>
      </w:r>
      <w:r w:rsidR="005557C3">
        <w:rPr>
          <w:rFonts w:asciiTheme="majorHAnsi" w:hAnsiTheme="majorHAnsi"/>
          <w:szCs w:val="22"/>
          <w:lang w:val="fr-CA"/>
        </w:rPr>
        <w:t xml:space="preserve">pour </w:t>
      </w:r>
      <w:r w:rsidR="008656E8">
        <w:rPr>
          <w:rFonts w:asciiTheme="majorHAnsi" w:hAnsiTheme="majorHAnsi"/>
          <w:szCs w:val="22"/>
          <w:lang w:val="fr-CA"/>
        </w:rPr>
        <w:t>que l’on puisse les</w:t>
      </w:r>
      <w:r w:rsidR="005557C3">
        <w:rPr>
          <w:rFonts w:asciiTheme="majorHAnsi" w:hAnsiTheme="majorHAnsi"/>
          <w:szCs w:val="22"/>
          <w:lang w:val="fr-CA"/>
        </w:rPr>
        <w:t xml:space="preserve"> considér</w:t>
      </w:r>
      <w:r w:rsidR="008656E8">
        <w:rPr>
          <w:rFonts w:asciiTheme="majorHAnsi" w:hAnsiTheme="majorHAnsi"/>
          <w:szCs w:val="22"/>
          <w:lang w:val="fr-CA"/>
        </w:rPr>
        <w:t>er</w:t>
      </w:r>
      <w:r w:rsidR="005557C3">
        <w:rPr>
          <w:rFonts w:asciiTheme="majorHAnsi" w:hAnsiTheme="majorHAnsi"/>
          <w:szCs w:val="22"/>
          <w:lang w:val="fr-CA"/>
        </w:rPr>
        <w:t xml:space="preserve"> comme des tourbières. On trouve des tourbières dans presque tous les pays. En conséquence, dans ce contexte, et de l’avis du GEST, il n’y a pas de surenchère sur les tourbières comme on aurait pu le croire à l’origine, dans le premier projet de plan de travail. C’est </w:t>
      </w:r>
      <w:r w:rsidR="008656E8">
        <w:rPr>
          <w:rFonts w:asciiTheme="majorHAnsi" w:hAnsiTheme="majorHAnsi"/>
          <w:szCs w:val="22"/>
          <w:lang w:val="fr-CA"/>
        </w:rPr>
        <w:t>d’autant plus l</w:t>
      </w:r>
      <w:r w:rsidR="005557C3">
        <w:rPr>
          <w:rFonts w:asciiTheme="majorHAnsi" w:hAnsiTheme="majorHAnsi"/>
          <w:szCs w:val="22"/>
          <w:lang w:val="fr-CA"/>
        </w:rPr>
        <w:t xml:space="preserve">e cas si l’on considère que la tâche 1.3 traite spécifiquement des tourbières tropicales qui subissent </w:t>
      </w:r>
      <w:r w:rsidR="008656E8">
        <w:rPr>
          <w:rFonts w:asciiTheme="majorHAnsi" w:hAnsiTheme="majorHAnsi"/>
          <w:szCs w:val="22"/>
          <w:lang w:val="fr-CA"/>
        </w:rPr>
        <w:t>d’énormes</w:t>
      </w:r>
      <w:r w:rsidR="005557C3">
        <w:rPr>
          <w:rFonts w:asciiTheme="majorHAnsi" w:hAnsiTheme="majorHAnsi"/>
          <w:szCs w:val="22"/>
          <w:lang w:val="fr-CA"/>
        </w:rPr>
        <w:t xml:space="preserve"> pressions </w:t>
      </w:r>
      <w:r w:rsidR="008656E8">
        <w:rPr>
          <w:rFonts w:asciiTheme="majorHAnsi" w:hAnsiTheme="majorHAnsi"/>
          <w:szCs w:val="22"/>
          <w:lang w:val="fr-CA"/>
        </w:rPr>
        <w:t>ayant</w:t>
      </w:r>
      <w:r w:rsidR="005557C3">
        <w:rPr>
          <w:rFonts w:asciiTheme="majorHAnsi" w:hAnsiTheme="majorHAnsi"/>
          <w:szCs w:val="22"/>
          <w:lang w:val="fr-CA"/>
        </w:rPr>
        <w:t xml:space="preserve"> des </w:t>
      </w:r>
      <w:r w:rsidR="008656E8">
        <w:rPr>
          <w:rFonts w:asciiTheme="majorHAnsi" w:hAnsiTheme="majorHAnsi"/>
          <w:szCs w:val="22"/>
          <w:lang w:val="fr-CA"/>
        </w:rPr>
        <w:t>effets</w:t>
      </w:r>
      <w:r w:rsidR="005557C3">
        <w:rPr>
          <w:rFonts w:asciiTheme="majorHAnsi" w:hAnsiTheme="majorHAnsi"/>
          <w:szCs w:val="22"/>
          <w:lang w:val="fr-CA"/>
        </w:rPr>
        <w:t xml:space="preserve"> régionaux </w:t>
      </w:r>
      <w:r w:rsidR="008656E8">
        <w:rPr>
          <w:rFonts w:asciiTheme="majorHAnsi" w:hAnsiTheme="majorHAnsi"/>
          <w:szCs w:val="22"/>
          <w:lang w:val="fr-CA"/>
        </w:rPr>
        <w:t>sur</w:t>
      </w:r>
      <w:r w:rsidR="005557C3">
        <w:rPr>
          <w:rFonts w:asciiTheme="majorHAnsi" w:hAnsiTheme="majorHAnsi"/>
          <w:szCs w:val="22"/>
          <w:lang w:val="fr-CA"/>
        </w:rPr>
        <w:t xml:space="preserve"> le bien</w:t>
      </w:r>
      <w:r w:rsidR="005557C3">
        <w:rPr>
          <w:rFonts w:asciiTheme="majorHAnsi" w:hAnsiTheme="majorHAnsi"/>
          <w:szCs w:val="22"/>
          <w:lang w:val="fr-CA"/>
        </w:rPr>
        <w:noBreakHyphen/>
        <w:t xml:space="preserve">être humain et la biodiversité; la tâche 2.3 traite de la mise en œuvre </w:t>
      </w:r>
      <w:r w:rsidR="00ED74E2">
        <w:rPr>
          <w:rFonts w:asciiTheme="majorHAnsi" w:hAnsiTheme="majorHAnsi"/>
          <w:szCs w:val="22"/>
          <w:lang w:val="fr-CA"/>
        </w:rPr>
        <w:t>des L</w:t>
      </w:r>
      <w:r w:rsidR="005557C3">
        <w:rPr>
          <w:rFonts w:asciiTheme="majorHAnsi" w:hAnsiTheme="majorHAnsi"/>
          <w:szCs w:val="22"/>
          <w:lang w:val="fr-CA"/>
        </w:rPr>
        <w:t xml:space="preserve">ignes directrices </w:t>
      </w:r>
      <w:r w:rsidR="00ED74E2">
        <w:rPr>
          <w:rFonts w:asciiTheme="majorHAnsi" w:hAnsiTheme="majorHAnsi"/>
          <w:szCs w:val="22"/>
          <w:lang w:val="fr-CA"/>
        </w:rPr>
        <w:t>sur</w:t>
      </w:r>
      <w:r w:rsidR="005557C3">
        <w:rPr>
          <w:rFonts w:asciiTheme="majorHAnsi" w:hAnsiTheme="majorHAnsi"/>
          <w:szCs w:val="22"/>
          <w:lang w:val="fr-CA"/>
        </w:rPr>
        <w:t xml:space="preserve"> une action mondiale pour les tourbières; et la tâche 5.3 traite</w:t>
      </w:r>
      <w:r w:rsidR="001979B9">
        <w:rPr>
          <w:rFonts w:asciiTheme="majorHAnsi" w:hAnsiTheme="majorHAnsi"/>
          <w:szCs w:val="22"/>
          <w:lang w:val="fr-CA"/>
        </w:rPr>
        <w:t xml:space="preserve"> de techniques de restauration.</w:t>
      </w:r>
      <w:r w:rsidR="00157B1A" w:rsidRPr="007F07C2">
        <w:rPr>
          <w:rFonts w:asciiTheme="majorHAnsi" w:hAnsiTheme="majorHAnsi"/>
          <w:szCs w:val="22"/>
          <w:lang w:val="fr-CA"/>
        </w:rPr>
        <w:t xml:space="preserve"> </w:t>
      </w:r>
    </w:p>
    <w:p w14:paraId="64721653" w14:textId="77777777" w:rsidR="00157B1A" w:rsidRPr="007F07C2" w:rsidRDefault="00157B1A" w:rsidP="00F24C88">
      <w:pPr>
        <w:ind w:left="426" w:hanging="426"/>
        <w:rPr>
          <w:rFonts w:asciiTheme="majorHAnsi" w:hAnsiTheme="majorHAnsi"/>
          <w:sz w:val="22"/>
          <w:szCs w:val="22"/>
          <w:lang w:val="fr-CA"/>
        </w:rPr>
      </w:pPr>
    </w:p>
    <w:p w14:paraId="07CF68AA" w14:textId="28F09205" w:rsidR="00157B1A" w:rsidRPr="007F07C2" w:rsidRDefault="005557C3" w:rsidP="00F24C88">
      <w:pPr>
        <w:pStyle w:val="ListParagraph"/>
        <w:numPr>
          <w:ilvl w:val="0"/>
          <w:numId w:val="31"/>
        </w:numPr>
        <w:ind w:left="426" w:hanging="426"/>
        <w:rPr>
          <w:rFonts w:asciiTheme="majorHAnsi" w:hAnsiTheme="majorHAnsi"/>
          <w:szCs w:val="22"/>
          <w:lang w:val="fr-CA"/>
        </w:rPr>
      </w:pPr>
      <w:r>
        <w:rPr>
          <w:rFonts w:asciiTheme="majorHAnsi" w:hAnsiTheme="majorHAnsi"/>
          <w:szCs w:val="22"/>
          <w:lang w:val="fr-CA"/>
        </w:rPr>
        <w:t xml:space="preserve">En outre, </w:t>
      </w:r>
      <w:r w:rsidR="00ED74E2">
        <w:rPr>
          <w:rFonts w:asciiTheme="majorHAnsi" w:hAnsiTheme="majorHAnsi"/>
          <w:szCs w:val="22"/>
          <w:lang w:val="fr-CA"/>
        </w:rPr>
        <w:t xml:space="preserve">il </w:t>
      </w:r>
      <w:r w:rsidR="008656E8">
        <w:rPr>
          <w:rFonts w:asciiTheme="majorHAnsi" w:hAnsiTheme="majorHAnsi"/>
          <w:szCs w:val="22"/>
          <w:lang w:val="fr-CA"/>
        </w:rPr>
        <w:t>est</w:t>
      </w:r>
      <w:r w:rsidR="00ED74E2">
        <w:rPr>
          <w:rFonts w:asciiTheme="majorHAnsi" w:hAnsiTheme="majorHAnsi"/>
          <w:szCs w:val="22"/>
          <w:lang w:val="fr-CA"/>
        </w:rPr>
        <w:t xml:space="preserve"> utile de noter que la tâche 2.3 traite de multiples types de tourbières et présente aussi des avantages qui n’ont pas trait aux tourbières. Pour évaluer la mise en œuvre des Lignes directrices sur une action mondiale pour les tourbières, la tâche envisage de contacter 20 Correspondants nationaux GEST pour information. La tâche elle</w:t>
      </w:r>
      <w:r w:rsidR="00ED74E2">
        <w:rPr>
          <w:rFonts w:asciiTheme="majorHAnsi" w:hAnsiTheme="majorHAnsi"/>
          <w:szCs w:val="22"/>
          <w:lang w:val="fr-CA"/>
        </w:rPr>
        <w:noBreakHyphen/>
        <w:t xml:space="preserve">même aboutirait à un engagement plus marqué entre le GEST et ses Correspondants nationaux ainsi qu’à un </w:t>
      </w:r>
      <w:r w:rsidR="00ED74E2">
        <w:rPr>
          <w:rFonts w:asciiTheme="majorHAnsi" w:hAnsiTheme="majorHAnsi"/>
          <w:szCs w:val="22"/>
          <w:lang w:val="fr-CA"/>
        </w:rPr>
        <w:lastRenderedPageBreak/>
        <w:t xml:space="preserve">engagement plus important avec les Correspondants nationaux GEST et leur réseau (car la tâche nécessiterait qu’ils </w:t>
      </w:r>
      <w:r w:rsidR="008656E8">
        <w:rPr>
          <w:rFonts w:asciiTheme="majorHAnsi" w:hAnsiTheme="majorHAnsi"/>
          <w:szCs w:val="22"/>
          <w:lang w:val="fr-CA"/>
        </w:rPr>
        <w:t>coordonnent leurs travaux de collecte des</w:t>
      </w:r>
      <w:r w:rsidR="00ED74E2">
        <w:rPr>
          <w:rFonts w:asciiTheme="majorHAnsi" w:hAnsiTheme="majorHAnsi"/>
          <w:szCs w:val="22"/>
          <w:lang w:val="fr-CA"/>
        </w:rPr>
        <w:t xml:space="preserve"> données). Néanmoins, le GEST se félicite des éclaircissements et des instructions </w:t>
      </w:r>
      <w:r w:rsidR="008656E8">
        <w:rPr>
          <w:rFonts w:asciiTheme="majorHAnsi" w:hAnsiTheme="majorHAnsi"/>
          <w:szCs w:val="22"/>
          <w:lang w:val="fr-CA"/>
        </w:rPr>
        <w:t>donnés par le</w:t>
      </w:r>
      <w:r w:rsidR="00ED74E2">
        <w:rPr>
          <w:rFonts w:asciiTheme="majorHAnsi" w:hAnsiTheme="majorHAnsi"/>
          <w:szCs w:val="22"/>
          <w:lang w:val="fr-CA"/>
        </w:rPr>
        <w:t xml:space="preserve"> Comité </w:t>
      </w:r>
      <w:r w:rsidR="00ED74E2" w:rsidRPr="00E5617B">
        <w:rPr>
          <w:rFonts w:asciiTheme="majorHAnsi" w:hAnsiTheme="majorHAnsi"/>
          <w:szCs w:val="22"/>
          <w:lang w:val="fr-CA"/>
        </w:rPr>
        <w:t xml:space="preserve">permanent </w:t>
      </w:r>
      <w:r w:rsidR="008656E8" w:rsidRPr="00E5617B">
        <w:rPr>
          <w:rFonts w:asciiTheme="majorHAnsi" w:hAnsiTheme="majorHAnsi"/>
          <w:szCs w:val="22"/>
          <w:lang w:val="fr-CA"/>
        </w:rPr>
        <w:t xml:space="preserve">sur </w:t>
      </w:r>
      <w:r w:rsidR="00ED74E2" w:rsidRPr="00E5617B">
        <w:rPr>
          <w:rFonts w:asciiTheme="majorHAnsi" w:hAnsiTheme="majorHAnsi"/>
          <w:szCs w:val="22"/>
          <w:lang w:val="fr-CA"/>
        </w:rPr>
        <w:t xml:space="preserve">les tâches relatives aux tourbières </w:t>
      </w:r>
      <w:r w:rsidR="008656E8" w:rsidRPr="00E5617B">
        <w:rPr>
          <w:rFonts w:asciiTheme="majorHAnsi" w:hAnsiTheme="majorHAnsi"/>
          <w:szCs w:val="22"/>
          <w:lang w:val="fr-CA"/>
        </w:rPr>
        <w:t xml:space="preserve">qui </w:t>
      </w:r>
      <w:r w:rsidR="00ED74E2" w:rsidRPr="00E5617B">
        <w:rPr>
          <w:rFonts w:asciiTheme="majorHAnsi" w:hAnsiTheme="majorHAnsi"/>
          <w:szCs w:val="22"/>
          <w:lang w:val="fr-CA"/>
        </w:rPr>
        <w:t>doivent continuer de progresser.</w:t>
      </w:r>
    </w:p>
    <w:p w14:paraId="3AEEF48F" w14:textId="77777777" w:rsidR="00157B1A" w:rsidRPr="007F07C2" w:rsidRDefault="00157B1A" w:rsidP="00F24C88">
      <w:pPr>
        <w:pStyle w:val="ListParagraph"/>
        <w:ind w:left="426" w:hanging="426"/>
        <w:rPr>
          <w:rFonts w:asciiTheme="majorHAnsi" w:hAnsiTheme="majorHAnsi"/>
          <w:szCs w:val="22"/>
          <w:lang w:val="fr-CA"/>
        </w:rPr>
      </w:pPr>
    </w:p>
    <w:p w14:paraId="7C28F1A1" w14:textId="0B74A43A" w:rsidR="00157B1A" w:rsidRPr="00ED74E2" w:rsidRDefault="00ED74E2" w:rsidP="00F24C88">
      <w:pPr>
        <w:pStyle w:val="ListParagraph"/>
        <w:numPr>
          <w:ilvl w:val="0"/>
          <w:numId w:val="31"/>
        </w:numPr>
        <w:ind w:left="426" w:hanging="426"/>
        <w:rPr>
          <w:rFonts w:asciiTheme="majorHAnsi" w:hAnsiTheme="majorHAnsi"/>
          <w:szCs w:val="22"/>
          <w:lang w:val="fr-CA"/>
        </w:rPr>
      </w:pPr>
      <w:r>
        <w:rPr>
          <w:rFonts w:asciiTheme="majorHAnsi" w:hAnsiTheme="majorHAnsi"/>
          <w:szCs w:val="22"/>
          <w:lang w:val="fr-CA"/>
        </w:rPr>
        <w:t>Plusieurs commentaires exprimaient leur appui pour une plus grande inclusion du savoir autochtone et local (SAL) dans le projet de plan de travail. Le projet de plan de travail amendé comprend maintenant des références spécifiques au SAL dans la tâche 1.2 sur les inventaires culturels; dans les tâches 3.1 et 3.2 sur l’évaluation des zones humides; et dans la tâche 4.2</w:t>
      </w:r>
      <w:r w:rsidR="00485A40">
        <w:rPr>
          <w:rFonts w:asciiTheme="majorHAnsi" w:hAnsiTheme="majorHAnsi"/>
          <w:szCs w:val="22"/>
          <w:lang w:val="fr-CA"/>
        </w:rPr>
        <w:t xml:space="preserve"> sur l’examen des rapports de </w:t>
      </w:r>
      <w:r w:rsidR="006B11A2">
        <w:rPr>
          <w:rFonts w:asciiTheme="majorHAnsi" w:hAnsiTheme="majorHAnsi"/>
          <w:szCs w:val="22"/>
          <w:lang w:val="fr-CA"/>
        </w:rPr>
        <w:t>M</w:t>
      </w:r>
      <w:r>
        <w:rPr>
          <w:rFonts w:asciiTheme="majorHAnsi" w:hAnsiTheme="majorHAnsi"/>
          <w:szCs w:val="22"/>
          <w:lang w:val="fr-CA"/>
        </w:rPr>
        <w:t>issions consultatives Ramsar. Le GEST apprécie l’offre de la Nouvelle</w:t>
      </w:r>
      <w:r>
        <w:rPr>
          <w:rFonts w:asciiTheme="majorHAnsi" w:hAnsiTheme="majorHAnsi"/>
          <w:szCs w:val="22"/>
          <w:lang w:val="fr-CA"/>
        </w:rPr>
        <w:noBreakHyphen/>
        <w:t xml:space="preserve">Zélande de fournir des études de cas sur le SAL et se félicite de recevoir des études de cas de ce type d’autres Parties contractantes. En outre, la </w:t>
      </w:r>
      <w:r w:rsidRPr="007F07C2">
        <w:rPr>
          <w:rFonts w:asciiTheme="majorHAnsi" w:hAnsiTheme="majorHAnsi"/>
          <w:szCs w:val="22"/>
          <w:lang w:val="fr-CA"/>
        </w:rPr>
        <w:t>Résolution</w:t>
      </w:r>
      <w:r>
        <w:rPr>
          <w:rFonts w:asciiTheme="majorHAnsi" w:hAnsiTheme="majorHAnsi"/>
          <w:szCs w:val="22"/>
          <w:lang w:val="fr-CA"/>
        </w:rPr>
        <w:t> </w:t>
      </w:r>
      <w:r w:rsidR="00157B1A" w:rsidRPr="007F07C2">
        <w:rPr>
          <w:rFonts w:asciiTheme="majorHAnsi" w:hAnsiTheme="majorHAnsi"/>
          <w:szCs w:val="22"/>
          <w:lang w:val="fr-CA"/>
        </w:rPr>
        <w:t xml:space="preserve">XII.5 </w:t>
      </w:r>
      <w:r>
        <w:rPr>
          <w:rFonts w:asciiTheme="majorHAnsi" w:hAnsiTheme="majorHAnsi"/>
          <w:szCs w:val="22"/>
          <w:lang w:val="fr-CA"/>
        </w:rPr>
        <w:t>fournit un mécanisme pour une plus grande participation des experts</w:t>
      </w:r>
      <w:r w:rsidR="006B11A2">
        <w:rPr>
          <w:rFonts w:asciiTheme="majorHAnsi" w:hAnsiTheme="majorHAnsi"/>
          <w:szCs w:val="22"/>
          <w:lang w:val="fr-CA"/>
        </w:rPr>
        <w:t xml:space="preserve"> en</w:t>
      </w:r>
      <w:r>
        <w:rPr>
          <w:rFonts w:asciiTheme="majorHAnsi" w:hAnsiTheme="majorHAnsi"/>
          <w:szCs w:val="22"/>
          <w:lang w:val="fr-CA"/>
        </w:rPr>
        <w:t xml:space="preserve"> SAL. Les Parties contractantes peuvent suggérer le nom d’experts qui participeraient aux réunions ou aux processus intersessions du GEST avec </w:t>
      </w:r>
      <w:r w:rsidRPr="00ED74E2">
        <w:rPr>
          <w:rFonts w:asciiTheme="majorHAnsi" w:hAnsiTheme="majorHAnsi"/>
          <w:szCs w:val="22"/>
          <w:lang w:val="fr-CA"/>
        </w:rPr>
        <w:t>l’approbation du Président du GEST (voir Résolution </w:t>
      </w:r>
      <w:r w:rsidR="00157B1A" w:rsidRPr="00ED74E2">
        <w:rPr>
          <w:rFonts w:asciiTheme="majorHAnsi" w:hAnsiTheme="majorHAnsi"/>
          <w:szCs w:val="22"/>
          <w:lang w:val="fr-CA"/>
        </w:rPr>
        <w:t xml:space="preserve">XII. 5, </w:t>
      </w:r>
      <w:r w:rsidRPr="00ED74E2">
        <w:rPr>
          <w:rFonts w:asciiTheme="majorHAnsi" w:hAnsiTheme="majorHAnsi"/>
          <w:szCs w:val="22"/>
          <w:lang w:val="fr-CA"/>
        </w:rPr>
        <w:t>a</w:t>
      </w:r>
      <w:r w:rsidR="00157B1A" w:rsidRPr="00ED74E2">
        <w:rPr>
          <w:rFonts w:asciiTheme="majorHAnsi" w:hAnsiTheme="majorHAnsi"/>
          <w:szCs w:val="22"/>
          <w:lang w:val="fr-CA"/>
        </w:rPr>
        <w:t>nnex</w:t>
      </w:r>
      <w:r w:rsidRPr="00ED74E2">
        <w:rPr>
          <w:rFonts w:asciiTheme="majorHAnsi" w:hAnsiTheme="majorHAnsi"/>
          <w:szCs w:val="22"/>
          <w:lang w:val="fr-CA"/>
        </w:rPr>
        <w:t>e</w:t>
      </w:r>
      <w:r w:rsidR="00157B1A" w:rsidRPr="00ED74E2">
        <w:rPr>
          <w:rFonts w:asciiTheme="majorHAnsi" w:hAnsiTheme="majorHAnsi"/>
          <w:szCs w:val="22"/>
          <w:lang w:val="fr-CA"/>
        </w:rPr>
        <w:t xml:space="preserve"> 1, paragraph</w:t>
      </w:r>
      <w:r>
        <w:rPr>
          <w:rFonts w:asciiTheme="majorHAnsi" w:hAnsiTheme="majorHAnsi"/>
          <w:szCs w:val="22"/>
          <w:lang w:val="fr-CA"/>
        </w:rPr>
        <w:t>es </w:t>
      </w:r>
      <w:r w:rsidR="00157B1A" w:rsidRPr="00ED74E2">
        <w:rPr>
          <w:rFonts w:asciiTheme="majorHAnsi" w:hAnsiTheme="majorHAnsi"/>
          <w:szCs w:val="22"/>
          <w:lang w:val="fr-CA"/>
        </w:rPr>
        <w:t>9</w:t>
      </w:r>
      <w:r>
        <w:rPr>
          <w:rFonts w:asciiTheme="majorHAnsi" w:hAnsiTheme="majorHAnsi"/>
          <w:szCs w:val="22"/>
          <w:lang w:val="fr-CA"/>
        </w:rPr>
        <w:t> et </w:t>
      </w:r>
      <w:r w:rsidR="00157B1A" w:rsidRPr="00ED74E2">
        <w:rPr>
          <w:rFonts w:asciiTheme="majorHAnsi" w:hAnsiTheme="majorHAnsi"/>
          <w:szCs w:val="22"/>
          <w:lang w:val="fr-CA"/>
        </w:rPr>
        <w:t xml:space="preserve">10). </w:t>
      </w:r>
      <w:r>
        <w:rPr>
          <w:rFonts w:asciiTheme="majorHAnsi" w:hAnsiTheme="majorHAnsi"/>
          <w:szCs w:val="22"/>
          <w:lang w:val="fr-CA"/>
        </w:rPr>
        <w:t>Bien que le budget du GEST ne puisse couvrir le</w:t>
      </w:r>
      <w:r w:rsidR="006B11A2">
        <w:rPr>
          <w:rFonts w:asciiTheme="majorHAnsi" w:hAnsiTheme="majorHAnsi"/>
          <w:szCs w:val="22"/>
          <w:lang w:val="fr-CA"/>
        </w:rPr>
        <w:t>ur</w:t>
      </w:r>
      <w:r>
        <w:rPr>
          <w:rFonts w:asciiTheme="majorHAnsi" w:hAnsiTheme="majorHAnsi"/>
          <w:szCs w:val="22"/>
          <w:lang w:val="fr-CA"/>
        </w:rPr>
        <w:t xml:space="preserve">s frais de voyage, ces </w:t>
      </w:r>
      <w:r w:rsidR="006B11A2">
        <w:rPr>
          <w:rFonts w:asciiTheme="majorHAnsi" w:hAnsiTheme="majorHAnsi"/>
          <w:szCs w:val="22"/>
          <w:lang w:val="fr-CA"/>
        </w:rPr>
        <w:t>experts</w:t>
      </w:r>
      <w:r>
        <w:rPr>
          <w:rFonts w:asciiTheme="majorHAnsi" w:hAnsiTheme="majorHAnsi"/>
          <w:szCs w:val="22"/>
          <w:lang w:val="fr-CA"/>
        </w:rPr>
        <w:t xml:space="preserve"> seraient néanmoins les bienvenus s’ils peuvent obtenir un financement d’autres </w:t>
      </w:r>
      <w:r w:rsidR="002C5CD2">
        <w:rPr>
          <w:rFonts w:asciiTheme="majorHAnsi" w:hAnsiTheme="majorHAnsi"/>
          <w:szCs w:val="22"/>
          <w:lang w:val="fr-CA"/>
        </w:rPr>
        <w:t xml:space="preserve">sources. </w:t>
      </w:r>
      <w:r w:rsidR="006B11A2">
        <w:rPr>
          <w:rFonts w:asciiTheme="majorHAnsi" w:hAnsiTheme="majorHAnsi"/>
          <w:szCs w:val="22"/>
          <w:lang w:val="fr-CA"/>
        </w:rPr>
        <w:t>Ils</w:t>
      </w:r>
      <w:r w:rsidR="002C5CD2">
        <w:rPr>
          <w:rFonts w:asciiTheme="majorHAnsi" w:hAnsiTheme="majorHAnsi"/>
          <w:szCs w:val="22"/>
          <w:lang w:val="fr-CA"/>
        </w:rPr>
        <w:t xml:space="preserve"> pourraient aussi participer par voie électronique. </w:t>
      </w:r>
    </w:p>
    <w:p w14:paraId="49CAABF8" w14:textId="77777777" w:rsidR="00157B1A" w:rsidRPr="00ED74E2" w:rsidRDefault="00157B1A" w:rsidP="00F24C88">
      <w:pPr>
        <w:ind w:left="426" w:hanging="426"/>
        <w:rPr>
          <w:rFonts w:asciiTheme="majorHAnsi" w:hAnsiTheme="majorHAnsi"/>
          <w:sz w:val="22"/>
          <w:szCs w:val="22"/>
          <w:lang w:val="fr-CA"/>
        </w:rPr>
      </w:pPr>
    </w:p>
    <w:p w14:paraId="7F3413F2" w14:textId="37702A90" w:rsidR="00157B1A" w:rsidRPr="00ED74E2" w:rsidRDefault="002C5CD2" w:rsidP="00F24C88">
      <w:pPr>
        <w:pStyle w:val="ListParagraph"/>
        <w:numPr>
          <w:ilvl w:val="0"/>
          <w:numId w:val="31"/>
        </w:numPr>
        <w:ind w:left="426" w:hanging="426"/>
        <w:rPr>
          <w:rFonts w:asciiTheme="majorHAnsi" w:hAnsiTheme="majorHAnsi"/>
          <w:szCs w:val="22"/>
          <w:lang w:val="fr-CA"/>
        </w:rPr>
      </w:pPr>
      <w:r>
        <w:rPr>
          <w:rFonts w:asciiTheme="majorHAnsi" w:hAnsiTheme="majorHAnsi"/>
          <w:szCs w:val="22"/>
          <w:lang w:val="fr-CA"/>
        </w:rPr>
        <w:t>Une question a été posée sur l’</w:t>
      </w:r>
      <w:r w:rsidR="0036405F">
        <w:rPr>
          <w:rFonts w:asciiTheme="majorHAnsi" w:hAnsiTheme="majorHAnsi"/>
          <w:szCs w:val="22"/>
          <w:lang w:val="fr-CA"/>
        </w:rPr>
        <w:t>i</w:t>
      </w:r>
      <w:r>
        <w:rPr>
          <w:rFonts w:asciiTheme="majorHAnsi" w:hAnsiTheme="majorHAnsi"/>
          <w:szCs w:val="22"/>
          <w:lang w:val="fr-CA"/>
        </w:rPr>
        <w:t xml:space="preserve">ndice </w:t>
      </w:r>
      <w:r w:rsidR="0036405F">
        <w:rPr>
          <w:rFonts w:asciiTheme="majorHAnsi" w:hAnsiTheme="majorHAnsi"/>
          <w:szCs w:val="22"/>
          <w:lang w:val="fr-CA"/>
        </w:rPr>
        <w:t>WET (</w:t>
      </w:r>
      <w:r>
        <w:rPr>
          <w:rFonts w:asciiTheme="majorHAnsi" w:hAnsiTheme="majorHAnsi"/>
          <w:szCs w:val="22"/>
          <w:lang w:val="fr-CA"/>
        </w:rPr>
        <w:t>tendances d</w:t>
      </w:r>
      <w:r w:rsidR="0036405F">
        <w:rPr>
          <w:rFonts w:asciiTheme="majorHAnsi" w:hAnsiTheme="majorHAnsi"/>
          <w:szCs w:val="22"/>
          <w:lang w:val="fr-CA"/>
        </w:rPr>
        <w:t>e l</w:t>
      </w:r>
      <w:r>
        <w:rPr>
          <w:rFonts w:asciiTheme="majorHAnsi" w:hAnsiTheme="majorHAnsi"/>
          <w:szCs w:val="22"/>
          <w:lang w:val="fr-CA"/>
        </w:rPr>
        <w:t>’étendue des zones humides) et ses relations à la Convention de Ramsar et à d’autres conventions, notamment la Convention sur la diversité biologique (CDB). L’</w:t>
      </w:r>
      <w:r w:rsidR="0063048F">
        <w:rPr>
          <w:rFonts w:asciiTheme="majorHAnsi" w:hAnsiTheme="majorHAnsi"/>
          <w:szCs w:val="22"/>
          <w:lang w:val="fr-CA"/>
        </w:rPr>
        <w:t>i</w:t>
      </w:r>
      <w:r>
        <w:rPr>
          <w:rFonts w:asciiTheme="majorHAnsi" w:hAnsiTheme="majorHAnsi"/>
          <w:szCs w:val="22"/>
          <w:lang w:val="fr-CA"/>
        </w:rPr>
        <w:t xml:space="preserve">ndice WET a été conçu comme indicateur pour la Convention de Ramsar afin de combler une lacune dans la base de référence de Ramsar. </w:t>
      </w:r>
      <w:r w:rsidR="00366B51">
        <w:rPr>
          <w:rFonts w:asciiTheme="majorHAnsi" w:hAnsiTheme="majorHAnsi"/>
          <w:szCs w:val="22"/>
          <w:lang w:val="fr-CA"/>
        </w:rPr>
        <w:t>Sa première itération a été élaborée et testée par le PNUE</w:t>
      </w:r>
      <w:r w:rsidR="00366B51">
        <w:rPr>
          <w:rFonts w:asciiTheme="majorHAnsi" w:hAnsiTheme="majorHAnsi"/>
          <w:szCs w:val="22"/>
          <w:lang w:val="fr-CA"/>
        </w:rPr>
        <w:softHyphen/>
      </w:r>
      <w:r w:rsidR="00366B51">
        <w:rPr>
          <w:rFonts w:asciiTheme="majorHAnsi" w:hAnsiTheme="majorHAnsi"/>
          <w:szCs w:val="22"/>
          <w:lang w:val="fr-CA"/>
        </w:rPr>
        <w:noBreakHyphen/>
        <w:t>WCMC, avec un financement de la Convention de Ramsar et soutenue par des contributions en nature (temps) du PNUE</w:t>
      </w:r>
      <w:r w:rsidR="00366B51">
        <w:rPr>
          <w:rFonts w:asciiTheme="majorHAnsi" w:hAnsiTheme="majorHAnsi"/>
          <w:szCs w:val="22"/>
          <w:lang w:val="fr-CA"/>
        </w:rPr>
        <w:noBreakHyphen/>
        <w:t>WCMC. L’</w:t>
      </w:r>
      <w:r w:rsidR="0063048F">
        <w:rPr>
          <w:rFonts w:asciiTheme="majorHAnsi" w:hAnsiTheme="majorHAnsi"/>
          <w:szCs w:val="22"/>
          <w:lang w:val="fr-CA"/>
        </w:rPr>
        <w:t>i</w:t>
      </w:r>
      <w:r w:rsidR="00366B51">
        <w:rPr>
          <w:rFonts w:asciiTheme="majorHAnsi" w:hAnsiTheme="majorHAnsi"/>
          <w:szCs w:val="22"/>
          <w:lang w:val="fr-CA"/>
        </w:rPr>
        <w:t xml:space="preserve">ndice WET n’appartient à aucun autre processus et n’est financé ni par la CDB ni par une autre convention. Nous avons appris qu’il est inscrit dans le rapport du Groupe d’experts techniques spécial de la CDB </w:t>
      </w:r>
      <w:r w:rsidR="00157B1A" w:rsidRPr="00ED74E2">
        <w:rPr>
          <w:rFonts w:asciiTheme="majorHAnsi" w:hAnsiTheme="majorHAnsi"/>
          <w:szCs w:val="22"/>
          <w:lang w:val="fr-CA"/>
        </w:rPr>
        <w:t xml:space="preserve">(AHTEG) </w:t>
      </w:r>
      <w:r w:rsidR="0063048F">
        <w:rPr>
          <w:rFonts w:asciiTheme="majorHAnsi" w:hAnsiTheme="majorHAnsi"/>
          <w:szCs w:val="22"/>
          <w:lang w:val="fr-CA"/>
        </w:rPr>
        <w:t>aux fins de</w:t>
      </w:r>
      <w:r w:rsidR="00366B51">
        <w:rPr>
          <w:rFonts w:asciiTheme="majorHAnsi" w:hAnsiTheme="majorHAnsi"/>
          <w:szCs w:val="22"/>
          <w:lang w:val="fr-CA"/>
        </w:rPr>
        <w:t xml:space="preserve"> reconnaître son existence et sa pertinence en tant qu’indicateur pour l’Objectif d’</w:t>
      </w:r>
      <w:r w:rsidR="00782FB8">
        <w:rPr>
          <w:rFonts w:asciiTheme="majorHAnsi" w:hAnsiTheme="majorHAnsi"/>
          <w:szCs w:val="22"/>
          <w:lang w:val="fr-CA"/>
        </w:rPr>
        <w:t>Aichi 5. De toute évidence, l’</w:t>
      </w:r>
      <w:r w:rsidR="0063048F">
        <w:rPr>
          <w:rFonts w:asciiTheme="majorHAnsi" w:hAnsiTheme="majorHAnsi"/>
          <w:szCs w:val="22"/>
          <w:lang w:val="fr-CA"/>
        </w:rPr>
        <w:t>i</w:t>
      </w:r>
      <w:r w:rsidR="00782FB8">
        <w:rPr>
          <w:rFonts w:asciiTheme="majorHAnsi" w:hAnsiTheme="majorHAnsi"/>
          <w:szCs w:val="22"/>
          <w:lang w:val="fr-CA"/>
        </w:rPr>
        <w:t xml:space="preserve">ndice WET, en tant qu’indicateur de l’étendue des écosystèmes, est pertinent pour la CDB et le processus des </w:t>
      </w:r>
      <w:r w:rsidR="0063048F">
        <w:rPr>
          <w:rFonts w:asciiTheme="majorHAnsi" w:hAnsiTheme="majorHAnsi"/>
          <w:szCs w:val="22"/>
          <w:lang w:val="fr-CA"/>
        </w:rPr>
        <w:t>O</w:t>
      </w:r>
      <w:r w:rsidR="00782FB8">
        <w:rPr>
          <w:rFonts w:asciiTheme="majorHAnsi" w:hAnsiTheme="majorHAnsi"/>
          <w:szCs w:val="22"/>
          <w:lang w:val="fr-CA"/>
        </w:rPr>
        <w:t>bjectifs de développement durable (ODD) et une première analyse a été utilisée dans l</w:t>
      </w:r>
      <w:r w:rsidR="00491055">
        <w:rPr>
          <w:rFonts w:asciiTheme="majorHAnsi" w:hAnsiTheme="majorHAnsi"/>
          <w:szCs w:val="22"/>
          <w:lang w:val="fr-CA"/>
        </w:rPr>
        <w:t>a</w:t>
      </w:r>
      <w:r w:rsidR="00782FB8">
        <w:rPr>
          <w:rFonts w:asciiTheme="majorHAnsi" w:hAnsiTheme="majorHAnsi"/>
          <w:szCs w:val="22"/>
          <w:lang w:val="fr-CA"/>
        </w:rPr>
        <w:t xml:space="preserve"> quatrième </w:t>
      </w:r>
      <w:r w:rsidR="00491055">
        <w:rPr>
          <w:rFonts w:asciiTheme="majorHAnsi" w:hAnsiTheme="majorHAnsi"/>
          <w:szCs w:val="22"/>
          <w:lang w:val="fr-CA"/>
        </w:rPr>
        <w:t xml:space="preserve">édition des </w:t>
      </w:r>
      <w:r w:rsidR="00491055" w:rsidRPr="00491055">
        <w:rPr>
          <w:rFonts w:asciiTheme="majorHAnsi" w:hAnsiTheme="majorHAnsi"/>
          <w:szCs w:val="22"/>
          <w:lang w:val="fr-CA"/>
        </w:rPr>
        <w:t xml:space="preserve">Perspectives mondiales de la diversité biologique </w:t>
      </w:r>
      <w:r w:rsidR="00157B1A" w:rsidRPr="00ED74E2">
        <w:rPr>
          <w:rFonts w:asciiTheme="majorHAnsi" w:hAnsiTheme="majorHAnsi"/>
          <w:szCs w:val="22"/>
          <w:lang w:val="fr-CA"/>
        </w:rPr>
        <w:t>(GBO</w:t>
      </w:r>
      <w:r w:rsidR="00782FB8">
        <w:rPr>
          <w:rFonts w:asciiTheme="majorHAnsi" w:hAnsiTheme="majorHAnsi"/>
          <w:szCs w:val="22"/>
          <w:lang w:val="fr-CA"/>
        </w:rPr>
        <w:noBreakHyphen/>
      </w:r>
      <w:r w:rsidR="00157B1A" w:rsidRPr="00ED74E2">
        <w:rPr>
          <w:rFonts w:asciiTheme="majorHAnsi" w:hAnsiTheme="majorHAnsi"/>
          <w:szCs w:val="22"/>
          <w:lang w:val="fr-CA"/>
        </w:rPr>
        <w:t xml:space="preserve">4). </w:t>
      </w:r>
      <w:r w:rsidR="00782FB8">
        <w:rPr>
          <w:rFonts w:asciiTheme="majorHAnsi" w:hAnsiTheme="majorHAnsi"/>
          <w:szCs w:val="22"/>
          <w:lang w:val="fr-CA"/>
        </w:rPr>
        <w:t>Néanmoins, l’</w:t>
      </w:r>
      <w:r w:rsidR="00491055">
        <w:rPr>
          <w:rFonts w:asciiTheme="majorHAnsi" w:hAnsiTheme="majorHAnsi"/>
          <w:szCs w:val="22"/>
          <w:lang w:val="fr-CA"/>
        </w:rPr>
        <w:t>i</w:t>
      </w:r>
      <w:r w:rsidR="00782FB8">
        <w:rPr>
          <w:rFonts w:asciiTheme="majorHAnsi" w:hAnsiTheme="majorHAnsi"/>
          <w:szCs w:val="22"/>
          <w:lang w:val="fr-CA"/>
        </w:rPr>
        <w:t xml:space="preserve">ndice WET est et reste un indicateur Ramsar de pertinence primordiale pour l’état mondial des zones humides et de leurs services </w:t>
      </w:r>
      <w:r w:rsidR="00491055">
        <w:rPr>
          <w:rFonts w:asciiTheme="majorHAnsi" w:hAnsiTheme="majorHAnsi"/>
          <w:szCs w:val="22"/>
          <w:lang w:val="fr-CA"/>
        </w:rPr>
        <w:t>à l’humanité</w:t>
      </w:r>
      <w:r w:rsidR="00782FB8">
        <w:rPr>
          <w:rFonts w:asciiTheme="majorHAnsi" w:hAnsiTheme="majorHAnsi"/>
          <w:szCs w:val="22"/>
          <w:lang w:val="fr-CA"/>
        </w:rPr>
        <w:t xml:space="preserve"> </w:t>
      </w:r>
      <w:r w:rsidR="00157B1A" w:rsidRPr="00ED74E2">
        <w:rPr>
          <w:rFonts w:asciiTheme="majorHAnsi" w:hAnsiTheme="majorHAnsi"/>
          <w:szCs w:val="22"/>
          <w:lang w:val="fr-CA"/>
        </w:rPr>
        <w:t xml:space="preserve">(SoWWS) </w:t>
      </w:r>
      <w:r w:rsidR="00782FB8">
        <w:rPr>
          <w:rFonts w:asciiTheme="majorHAnsi" w:hAnsiTheme="majorHAnsi"/>
          <w:szCs w:val="22"/>
          <w:lang w:val="fr-CA"/>
        </w:rPr>
        <w:t>et pour exercer un suivi de l’application et de l’impact de la Convention. En conséquence, dans le plan de travail amendé, l’</w:t>
      </w:r>
      <w:r w:rsidR="00491055">
        <w:rPr>
          <w:rFonts w:asciiTheme="majorHAnsi" w:hAnsiTheme="majorHAnsi"/>
          <w:szCs w:val="22"/>
          <w:lang w:val="fr-CA"/>
        </w:rPr>
        <w:t>i</w:t>
      </w:r>
      <w:r w:rsidR="00782FB8">
        <w:rPr>
          <w:rFonts w:asciiTheme="majorHAnsi" w:hAnsiTheme="majorHAnsi"/>
          <w:szCs w:val="22"/>
          <w:lang w:val="fr-CA"/>
        </w:rPr>
        <w:t xml:space="preserve">ndice WET est </w:t>
      </w:r>
      <w:r w:rsidR="00491055">
        <w:rPr>
          <w:rFonts w:asciiTheme="majorHAnsi" w:hAnsiTheme="majorHAnsi"/>
          <w:szCs w:val="22"/>
          <w:lang w:val="fr-CA"/>
        </w:rPr>
        <w:t>désormais</w:t>
      </w:r>
      <w:r w:rsidR="00782FB8">
        <w:rPr>
          <w:rFonts w:asciiTheme="majorHAnsi" w:hAnsiTheme="majorHAnsi"/>
          <w:szCs w:val="22"/>
          <w:lang w:val="fr-CA"/>
        </w:rPr>
        <w:t xml:space="preserve"> inclus dans le cadre d</w:t>
      </w:r>
      <w:r w:rsidR="00491055">
        <w:rPr>
          <w:rFonts w:asciiTheme="majorHAnsi" w:hAnsiTheme="majorHAnsi"/>
          <w:szCs w:val="22"/>
          <w:lang w:val="fr-CA"/>
        </w:rPr>
        <w:t>e la</w:t>
      </w:r>
      <w:r w:rsidR="00782FB8">
        <w:rPr>
          <w:rFonts w:asciiTheme="majorHAnsi" w:hAnsiTheme="majorHAnsi"/>
          <w:szCs w:val="22"/>
          <w:lang w:val="fr-CA"/>
        </w:rPr>
        <w:t xml:space="preserve"> tâche </w:t>
      </w:r>
      <w:r w:rsidR="00157B1A" w:rsidRPr="00ED74E2">
        <w:rPr>
          <w:rFonts w:asciiTheme="majorHAnsi" w:hAnsiTheme="majorHAnsi"/>
          <w:szCs w:val="22"/>
          <w:lang w:val="fr-CA"/>
        </w:rPr>
        <w:t>S</w:t>
      </w:r>
      <w:r w:rsidR="00782FB8">
        <w:rPr>
          <w:rFonts w:asciiTheme="majorHAnsi" w:hAnsiTheme="majorHAnsi"/>
          <w:szCs w:val="22"/>
          <w:lang w:val="fr-CA"/>
        </w:rPr>
        <w:t>o</w:t>
      </w:r>
      <w:r w:rsidR="00157B1A" w:rsidRPr="00ED74E2">
        <w:rPr>
          <w:rFonts w:asciiTheme="majorHAnsi" w:hAnsiTheme="majorHAnsi"/>
          <w:szCs w:val="22"/>
          <w:lang w:val="fr-CA"/>
        </w:rPr>
        <w:t>WWS.</w:t>
      </w:r>
    </w:p>
    <w:p w14:paraId="0BEE165D" w14:textId="77777777" w:rsidR="00157B1A" w:rsidRPr="00ED74E2" w:rsidRDefault="00157B1A" w:rsidP="00F24C88">
      <w:pPr>
        <w:pStyle w:val="ListParagraph"/>
        <w:ind w:left="426" w:hanging="426"/>
        <w:rPr>
          <w:rFonts w:asciiTheme="majorHAnsi" w:hAnsiTheme="majorHAnsi"/>
          <w:szCs w:val="22"/>
          <w:lang w:val="fr-CA"/>
        </w:rPr>
      </w:pPr>
    </w:p>
    <w:p w14:paraId="47DCB38B" w14:textId="4FF3AD00" w:rsidR="00157B1A" w:rsidRPr="00ED74E2" w:rsidRDefault="00332C9A" w:rsidP="00F24C88">
      <w:pPr>
        <w:pStyle w:val="ListParagraph"/>
        <w:numPr>
          <w:ilvl w:val="0"/>
          <w:numId w:val="31"/>
        </w:numPr>
        <w:ind w:left="426" w:hanging="426"/>
        <w:rPr>
          <w:rFonts w:asciiTheme="majorHAnsi" w:hAnsiTheme="majorHAnsi"/>
          <w:szCs w:val="22"/>
          <w:lang w:val="fr-CA"/>
        </w:rPr>
      </w:pPr>
      <w:r>
        <w:rPr>
          <w:rFonts w:asciiTheme="majorHAnsi" w:hAnsiTheme="majorHAnsi"/>
          <w:szCs w:val="22"/>
          <w:lang w:val="fr-CA"/>
        </w:rPr>
        <w:t>Une question a été posée quant à la nécessité de poursuivre les travaux sur l’</w:t>
      </w:r>
      <w:r w:rsidR="00443FB2">
        <w:rPr>
          <w:rFonts w:asciiTheme="majorHAnsi" w:hAnsiTheme="majorHAnsi"/>
          <w:szCs w:val="22"/>
          <w:lang w:val="fr-CA"/>
        </w:rPr>
        <w:t>i</w:t>
      </w:r>
      <w:r>
        <w:rPr>
          <w:rFonts w:asciiTheme="majorHAnsi" w:hAnsiTheme="majorHAnsi"/>
          <w:szCs w:val="22"/>
          <w:lang w:val="fr-CA"/>
        </w:rPr>
        <w:t xml:space="preserve">ndice WET </w:t>
      </w:r>
      <w:r w:rsidR="00C97577">
        <w:rPr>
          <w:rFonts w:asciiTheme="majorHAnsi" w:hAnsiTheme="majorHAnsi"/>
          <w:szCs w:val="22"/>
          <w:lang w:val="fr-CA"/>
        </w:rPr>
        <w:t>(</w:t>
      </w:r>
      <w:r>
        <w:rPr>
          <w:rFonts w:asciiTheme="majorHAnsi" w:hAnsiTheme="majorHAnsi"/>
          <w:szCs w:val="22"/>
          <w:lang w:val="fr-CA"/>
        </w:rPr>
        <w:t xml:space="preserve">et son budget proposé de </w:t>
      </w:r>
      <w:r w:rsidR="00157B1A" w:rsidRPr="002C5CD2">
        <w:rPr>
          <w:rFonts w:asciiTheme="majorHAnsi" w:hAnsiTheme="majorHAnsi"/>
          <w:szCs w:val="22"/>
          <w:lang w:val="fr-CA"/>
        </w:rPr>
        <w:t>50</w:t>
      </w:r>
      <w:r>
        <w:rPr>
          <w:rFonts w:asciiTheme="majorHAnsi" w:hAnsiTheme="majorHAnsi"/>
          <w:szCs w:val="22"/>
          <w:lang w:val="fr-CA"/>
        </w:rPr>
        <w:t> </w:t>
      </w:r>
      <w:r w:rsidR="00157B1A" w:rsidRPr="002C5CD2">
        <w:rPr>
          <w:rFonts w:asciiTheme="majorHAnsi" w:hAnsiTheme="majorHAnsi"/>
          <w:szCs w:val="22"/>
          <w:lang w:val="fr-CA"/>
        </w:rPr>
        <w:t>000</w:t>
      </w:r>
      <w:r>
        <w:rPr>
          <w:rFonts w:asciiTheme="majorHAnsi" w:hAnsiTheme="majorHAnsi"/>
          <w:szCs w:val="22"/>
          <w:lang w:val="fr-CA"/>
        </w:rPr>
        <w:t> CHF</w:t>
      </w:r>
      <w:r w:rsidR="00157B1A" w:rsidRPr="002C5CD2">
        <w:rPr>
          <w:rFonts w:asciiTheme="majorHAnsi" w:hAnsiTheme="majorHAnsi"/>
          <w:szCs w:val="22"/>
          <w:lang w:val="fr-CA"/>
        </w:rPr>
        <w:t>)</w:t>
      </w:r>
      <w:r w:rsidR="00443FB2">
        <w:rPr>
          <w:rFonts w:asciiTheme="majorHAnsi" w:hAnsiTheme="majorHAnsi"/>
          <w:szCs w:val="22"/>
          <w:lang w:val="fr-CA"/>
        </w:rPr>
        <w:t>,</w:t>
      </w:r>
      <w:r w:rsidR="00157B1A" w:rsidRPr="002C5CD2">
        <w:rPr>
          <w:rFonts w:asciiTheme="majorHAnsi" w:hAnsiTheme="majorHAnsi"/>
          <w:szCs w:val="22"/>
          <w:lang w:val="fr-CA"/>
        </w:rPr>
        <w:t xml:space="preserve"> </w:t>
      </w:r>
      <w:r>
        <w:rPr>
          <w:rFonts w:asciiTheme="majorHAnsi" w:hAnsiTheme="majorHAnsi"/>
          <w:szCs w:val="22"/>
          <w:lang w:val="fr-CA"/>
        </w:rPr>
        <w:t xml:space="preserve">la méthodologie </w:t>
      </w:r>
      <w:r w:rsidR="00443FB2">
        <w:rPr>
          <w:rFonts w:asciiTheme="majorHAnsi" w:hAnsiTheme="majorHAnsi"/>
          <w:szCs w:val="22"/>
          <w:lang w:val="fr-CA"/>
        </w:rPr>
        <w:t>ayant</w:t>
      </w:r>
      <w:r>
        <w:rPr>
          <w:rFonts w:asciiTheme="majorHAnsi" w:hAnsiTheme="majorHAnsi"/>
          <w:szCs w:val="22"/>
          <w:lang w:val="fr-CA"/>
        </w:rPr>
        <w:t xml:space="preserve"> été publiée dans le journal </w:t>
      </w:r>
      <w:r w:rsidR="00157B1A" w:rsidRPr="00443FB2">
        <w:rPr>
          <w:rFonts w:asciiTheme="majorHAnsi" w:hAnsiTheme="majorHAnsi"/>
          <w:i/>
          <w:szCs w:val="22"/>
          <w:lang w:val="fr-CA"/>
        </w:rPr>
        <w:t>Biological Conservation</w:t>
      </w:r>
      <w:r>
        <w:rPr>
          <w:rFonts w:asciiTheme="majorHAnsi" w:hAnsiTheme="majorHAnsi"/>
          <w:szCs w:val="22"/>
          <w:lang w:val="fr-CA"/>
        </w:rPr>
        <w:t>, en </w:t>
      </w:r>
      <w:r w:rsidR="00157B1A" w:rsidRPr="002C5CD2">
        <w:rPr>
          <w:rFonts w:asciiTheme="majorHAnsi" w:hAnsiTheme="majorHAnsi"/>
          <w:szCs w:val="22"/>
          <w:lang w:val="fr-CA"/>
        </w:rPr>
        <w:t xml:space="preserve">2015. </w:t>
      </w:r>
      <w:r>
        <w:rPr>
          <w:rFonts w:asciiTheme="majorHAnsi" w:hAnsiTheme="majorHAnsi"/>
          <w:szCs w:val="22"/>
          <w:lang w:val="fr-CA"/>
        </w:rPr>
        <w:t>Il importe de noter que le travail initial était la première preuve de concept établissant la méthodologie et qu</w:t>
      </w:r>
      <w:r w:rsidR="00443FB2">
        <w:rPr>
          <w:rFonts w:asciiTheme="majorHAnsi" w:hAnsiTheme="majorHAnsi"/>
          <w:szCs w:val="22"/>
          <w:lang w:val="fr-CA"/>
        </w:rPr>
        <w:t>e l</w:t>
      </w:r>
      <w:r>
        <w:rPr>
          <w:rFonts w:asciiTheme="majorHAnsi" w:hAnsiTheme="majorHAnsi"/>
          <w:szCs w:val="22"/>
          <w:lang w:val="fr-CA"/>
        </w:rPr>
        <w:t>’</w:t>
      </w:r>
      <w:r w:rsidR="006A3F05">
        <w:rPr>
          <w:rFonts w:asciiTheme="majorHAnsi" w:hAnsiTheme="majorHAnsi"/>
          <w:szCs w:val="22"/>
          <w:lang w:val="fr-CA"/>
        </w:rPr>
        <w:t>analyse de tendance n’a</w:t>
      </w:r>
      <w:r w:rsidR="00443FB2">
        <w:rPr>
          <w:rFonts w:asciiTheme="majorHAnsi" w:hAnsiTheme="majorHAnsi"/>
          <w:szCs w:val="22"/>
          <w:lang w:val="fr-CA"/>
        </w:rPr>
        <w:t>llait</w:t>
      </w:r>
      <w:r w:rsidR="006A3F05">
        <w:rPr>
          <w:rFonts w:asciiTheme="majorHAnsi" w:hAnsiTheme="majorHAnsi"/>
          <w:szCs w:val="22"/>
          <w:lang w:val="fr-CA"/>
        </w:rPr>
        <w:t xml:space="preserve"> qu</w:t>
      </w:r>
      <w:r w:rsidR="00443FB2">
        <w:rPr>
          <w:rFonts w:asciiTheme="majorHAnsi" w:hAnsiTheme="majorHAnsi"/>
          <w:szCs w:val="22"/>
          <w:lang w:val="fr-CA"/>
        </w:rPr>
        <w:t>e jusqu</w:t>
      </w:r>
      <w:r w:rsidR="006A3F05">
        <w:rPr>
          <w:rFonts w:asciiTheme="majorHAnsi" w:hAnsiTheme="majorHAnsi"/>
          <w:szCs w:val="22"/>
          <w:lang w:val="fr-CA"/>
        </w:rPr>
        <w:t>’en 2008. Un investissement supplémentaire per</w:t>
      </w:r>
      <w:r w:rsidR="00C97577">
        <w:rPr>
          <w:rFonts w:asciiTheme="majorHAnsi" w:hAnsiTheme="majorHAnsi"/>
          <w:szCs w:val="22"/>
          <w:lang w:val="fr-CA"/>
        </w:rPr>
        <w:t>mettra donc de mettre à jour l’</w:t>
      </w:r>
      <w:r w:rsidR="00443FB2">
        <w:rPr>
          <w:rFonts w:asciiTheme="majorHAnsi" w:hAnsiTheme="majorHAnsi"/>
          <w:szCs w:val="22"/>
          <w:lang w:val="fr-CA"/>
        </w:rPr>
        <w:t>i</w:t>
      </w:r>
      <w:r w:rsidR="006A3F05">
        <w:rPr>
          <w:rFonts w:asciiTheme="majorHAnsi" w:hAnsiTheme="majorHAnsi"/>
          <w:szCs w:val="22"/>
          <w:lang w:val="fr-CA"/>
        </w:rPr>
        <w:t xml:space="preserve">ndice. </w:t>
      </w:r>
      <w:r w:rsidR="00443FB2">
        <w:rPr>
          <w:rFonts w:asciiTheme="majorHAnsi" w:hAnsiTheme="majorHAnsi"/>
          <w:szCs w:val="22"/>
          <w:lang w:val="fr-CA"/>
        </w:rPr>
        <w:t>Il importe d’ajouter que</w:t>
      </w:r>
      <w:r w:rsidR="006A3F05">
        <w:rPr>
          <w:rFonts w:asciiTheme="majorHAnsi" w:hAnsiTheme="majorHAnsi"/>
          <w:szCs w:val="22"/>
          <w:lang w:val="fr-CA"/>
        </w:rPr>
        <w:t xml:space="preserve"> la première preuve de </w:t>
      </w:r>
      <w:r w:rsidR="00D20081">
        <w:rPr>
          <w:rFonts w:asciiTheme="majorHAnsi" w:hAnsiTheme="majorHAnsi"/>
          <w:szCs w:val="22"/>
          <w:lang w:val="fr-CA"/>
        </w:rPr>
        <w:t>concep</w:t>
      </w:r>
      <w:r w:rsidR="00157B1A" w:rsidRPr="002C5CD2">
        <w:rPr>
          <w:rFonts w:asciiTheme="majorHAnsi" w:hAnsiTheme="majorHAnsi"/>
          <w:szCs w:val="22"/>
          <w:lang w:val="fr-CA"/>
        </w:rPr>
        <w:t xml:space="preserve">t </w:t>
      </w:r>
      <w:r w:rsidR="00D20081">
        <w:rPr>
          <w:rFonts w:asciiTheme="majorHAnsi" w:hAnsiTheme="majorHAnsi"/>
          <w:szCs w:val="22"/>
          <w:lang w:val="fr-CA"/>
        </w:rPr>
        <w:t xml:space="preserve">présentait des lacunes et des déséquilibres géographiques (surtout en Amérique latine). D’autres travaux permettront de combler ces lacunes pour en faire un indicateur mondial plus représentatif </w:t>
      </w:r>
      <w:r w:rsidR="00443FB2">
        <w:rPr>
          <w:rFonts w:asciiTheme="majorHAnsi" w:hAnsiTheme="majorHAnsi"/>
          <w:szCs w:val="22"/>
          <w:lang w:val="fr-CA"/>
        </w:rPr>
        <w:t>et</w:t>
      </w:r>
      <w:r w:rsidR="00D20081">
        <w:rPr>
          <w:rFonts w:asciiTheme="majorHAnsi" w:hAnsiTheme="majorHAnsi"/>
          <w:szCs w:val="22"/>
          <w:lang w:val="fr-CA"/>
        </w:rPr>
        <w:t xml:space="preserve"> permettre de meilleures comparaisons sous</w:t>
      </w:r>
      <w:r w:rsidR="00D20081">
        <w:rPr>
          <w:rFonts w:asciiTheme="majorHAnsi" w:hAnsiTheme="majorHAnsi"/>
          <w:szCs w:val="22"/>
          <w:lang w:val="fr-CA"/>
        </w:rPr>
        <w:noBreakHyphen/>
        <w:t>mondiales/régionales.</w:t>
      </w:r>
      <w:r w:rsidR="00157B1A" w:rsidRPr="002C5CD2">
        <w:rPr>
          <w:rFonts w:asciiTheme="majorHAnsi" w:hAnsiTheme="majorHAnsi"/>
          <w:szCs w:val="22"/>
          <w:lang w:val="fr-CA"/>
        </w:rPr>
        <w:t xml:space="preserve"> </w:t>
      </w:r>
    </w:p>
    <w:p w14:paraId="78E0B974" w14:textId="77777777" w:rsidR="00157B1A" w:rsidRPr="00ED74E2" w:rsidRDefault="00157B1A" w:rsidP="00F24C88">
      <w:pPr>
        <w:ind w:left="426" w:hanging="426"/>
        <w:rPr>
          <w:rFonts w:asciiTheme="majorHAnsi" w:hAnsiTheme="majorHAnsi"/>
          <w:sz w:val="22"/>
          <w:szCs w:val="22"/>
          <w:lang w:val="fr-CA"/>
        </w:rPr>
      </w:pPr>
    </w:p>
    <w:p w14:paraId="60378ECD" w14:textId="569364C1" w:rsidR="00157B1A" w:rsidRPr="00ED74E2" w:rsidRDefault="00D20081" w:rsidP="00F24C88">
      <w:pPr>
        <w:pStyle w:val="ListParagraph"/>
        <w:numPr>
          <w:ilvl w:val="0"/>
          <w:numId w:val="31"/>
        </w:numPr>
        <w:ind w:left="426" w:hanging="426"/>
        <w:rPr>
          <w:rFonts w:asciiTheme="majorHAnsi" w:hAnsiTheme="majorHAnsi"/>
          <w:szCs w:val="22"/>
          <w:lang w:val="fr-CA"/>
        </w:rPr>
      </w:pPr>
      <w:r>
        <w:rPr>
          <w:rFonts w:asciiTheme="majorHAnsi" w:hAnsiTheme="majorHAnsi"/>
          <w:szCs w:val="22"/>
          <w:lang w:val="fr-CA"/>
        </w:rPr>
        <w:t xml:space="preserve">En ce qui concerne le financement de la tâche </w:t>
      </w:r>
      <w:r w:rsidR="00157B1A" w:rsidRPr="00ED74E2">
        <w:rPr>
          <w:rFonts w:asciiTheme="majorHAnsi" w:hAnsiTheme="majorHAnsi"/>
          <w:szCs w:val="22"/>
          <w:lang w:val="fr-CA"/>
        </w:rPr>
        <w:t xml:space="preserve">SoWWS, </w:t>
      </w:r>
      <w:r>
        <w:rPr>
          <w:rFonts w:asciiTheme="majorHAnsi" w:hAnsiTheme="majorHAnsi"/>
          <w:szCs w:val="22"/>
          <w:lang w:val="fr-CA"/>
        </w:rPr>
        <w:t>le premier projet de plan de travail contenait deux options budgétaires</w:t>
      </w:r>
      <w:r w:rsidR="00443FB2">
        <w:rPr>
          <w:rFonts w:asciiTheme="majorHAnsi" w:hAnsiTheme="majorHAnsi"/>
          <w:szCs w:val="22"/>
          <w:lang w:val="fr-CA"/>
        </w:rPr>
        <w:t>, ce</w:t>
      </w:r>
      <w:r>
        <w:rPr>
          <w:rFonts w:asciiTheme="majorHAnsi" w:hAnsiTheme="majorHAnsi"/>
          <w:szCs w:val="22"/>
          <w:lang w:val="fr-CA"/>
        </w:rPr>
        <w:t xml:space="preserve"> qui créait une certaine ambiguïté. Le chiffre plus élevé </w:t>
      </w:r>
      <w:r w:rsidR="00157B1A" w:rsidRPr="00ED74E2">
        <w:rPr>
          <w:rFonts w:asciiTheme="majorHAnsi" w:hAnsiTheme="majorHAnsi"/>
          <w:szCs w:val="22"/>
          <w:lang w:val="fr-CA"/>
        </w:rPr>
        <w:t>(250</w:t>
      </w:r>
      <w:r>
        <w:rPr>
          <w:rFonts w:asciiTheme="majorHAnsi" w:hAnsiTheme="majorHAnsi"/>
          <w:szCs w:val="22"/>
          <w:lang w:val="fr-CA"/>
        </w:rPr>
        <w:t> </w:t>
      </w:r>
      <w:r w:rsidR="00157B1A" w:rsidRPr="00ED74E2">
        <w:rPr>
          <w:rFonts w:asciiTheme="majorHAnsi" w:hAnsiTheme="majorHAnsi"/>
          <w:szCs w:val="22"/>
          <w:lang w:val="fr-CA"/>
        </w:rPr>
        <w:t>000</w:t>
      </w:r>
      <w:r>
        <w:rPr>
          <w:rFonts w:asciiTheme="majorHAnsi" w:hAnsiTheme="majorHAnsi"/>
          <w:szCs w:val="22"/>
          <w:lang w:val="fr-CA"/>
        </w:rPr>
        <w:t> CHF</w:t>
      </w:r>
      <w:r w:rsidR="00157B1A" w:rsidRPr="00ED74E2">
        <w:rPr>
          <w:rFonts w:asciiTheme="majorHAnsi" w:hAnsiTheme="majorHAnsi"/>
          <w:szCs w:val="22"/>
          <w:lang w:val="fr-CA"/>
        </w:rPr>
        <w:t xml:space="preserve">) </w:t>
      </w:r>
      <w:r>
        <w:rPr>
          <w:rFonts w:asciiTheme="majorHAnsi" w:hAnsiTheme="majorHAnsi"/>
          <w:szCs w:val="22"/>
          <w:lang w:val="fr-CA"/>
        </w:rPr>
        <w:t xml:space="preserve">envisageait des appels de fonds et le recours à des consultants payés de chaque région Ramsar. Pour l’instant, cependant, nous ne prévoyons pas que de tels fonds seront </w:t>
      </w:r>
      <w:r>
        <w:rPr>
          <w:rFonts w:asciiTheme="majorHAnsi" w:hAnsiTheme="majorHAnsi"/>
          <w:szCs w:val="22"/>
          <w:lang w:val="fr-CA"/>
        </w:rPr>
        <w:lastRenderedPageBreak/>
        <w:t xml:space="preserve">fournis volontairement. En conséquence, nous proposons de procéder avec un </w:t>
      </w:r>
      <w:r w:rsidR="00443FB2">
        <w:rPr>
          <w:rFonts w:asciiTheme="majorHAnsi" w:hAnsiTheme="majorHAnsi"/>
          <w:szCs w:val="22"/>
          <w:lang w:val="fr-CA"/>
        </w:rPr>
        <w:t>montant inférieur</w:t>
      </w:r>
      <w:r w:rsidR="00855403">
        <w:rPr>
          <w:rFonts w:asciiTheme="majorHAnsi" w:hAnsiTheme="majorHAnsi"/>
          <w:szCs w:val="22"/>
          <w:lang w:val="fr-CA"/>
        </w:rPr>
        <w:t xml:space="preserve"> </w:t>
      </w:r>
      <w:r w:rsidR="00157B1A" w:rsidRPr="00ED74E2">
        <w:rPr>
          <w:rFonts w:asciiTheme="majorHAnsi" w:hAnsiTheme="majorHAnsi"/>
          <w:szCs w:val="22"/>
          <w:lang w:val="fr-CA"/>
        </w:rPr>
        <w:t>(137</w:t>
      </w:r>
      <w:r>
        <w:rPr>
          <w:rFonts w:asciiTheme="majorHAnsi" w:hAnsiTheme="majorHAnsi"/>
          <w:szCs w:val="22"/>
          <w:lang w:val="fr-CA"/>
        </w:rPr>
        <w:t> </w:t>
      </w:r>
      <w:r w:rsidR="00157B1A" w:rsidRPr="00ED74E2">
        <w:rPr>
          <w:rFonts w:asciiTheme="majorHAnsi" w:hAnsiTheme="majorHAnsi"/>
          <w:szCs w:val="22"/>
          <w:lang w:val="fr-CA"/>
        </w:rPr>
        <w:t>000</w:t>
      </w:r>
      <w:r>
        <w:rPr>
          <w:rFonts w:asciiTheme="majorHAnsi" w:hAnsiTheme="majorHAnsi"/>
          <w:szCs w:val="22"/>
          <w:lang w:val="fr-CA"/>
        </w:rPr>
        <w:t> CHF</w:t>
      </w:r>
      <w:r w:rsidR="00157B1A" w:rsidRPr="00ED74E2">
        <w:rPr>
          <w:rFonts w:asciiTheme="majorHAnsi" w:hAnsiTheme="majorHAnsi"/>
          <w:szCs w:val="22"/>
          <w:lang w:val="fr-CA"/>
        </w:rPr>
        <w:t xml:space="preserve">). </w:t>
      </w:r>
      <w:r>
        <w:rPr>
          <w:rFonts w:asciiTheme="majorHAnsi" w:hAnsiTheme="majorHAnsi"/>
          <w:szCs w:val="22"/>
          <w:lang w:val="fr-CA"/>
        </w:rPr>
        <w:t xml:space="preserve">Le GEST rédigerait le rapport </w:t>
      </w:r>
      <w:r w:rsidR="00157B1A" w:rsidRPr="00ED74E2">
        <w:rPr>
          <w:rFonts w:asciiTheme="majorHAnsi" w:hAnsiTheme="majorHAnsi"/>
          <w:szCs w:val="22"/>
          <w:lang w:val="fr-CA"/>
        </w:rPr>
        <w:t>SoWWS</w:t>
      </w:r>
      <w:r>
        <w:rPr>
          <w:rFonts w:asciiTheme="majorHAnsi" w:hAnsiTheme="majorHAnsi"/>
          <w:szCs w:val="22"/>
          <w:lang w:val="fr-CA"/>
        </w:rPr>
        <w:t xml:space="preserve"> et les fonds serviraient pour une réunion d’auteurs</w:t>
      </w:r>
      <w:r w:rsidR="00157B1A" w:rsidRPr="00ED74E2">
        <w:rPr>
          <w:rFonts w:asciiTheme="majorHAnsi" w:hAnsiTheme="majorHAnsi"/>
          <w:szCs w:val="22"/>
          <w:lang w:val="fr-CA"/>
        </w:rPr>
        <w:t xml:space="preserve"> (20</w:t>
      </w:r>
      <w:r>
        <w:rPr>
          <w:rFonts w:asciiTheme="majorHAnsi" w:hAnsiTheme="majorHAnsi"/>
          <w:szCs w:val="22"/>
          <w:lang w:val="fr-CA"/>
        </w:rPr>
        <w:t> </w:t>
      </w:r>
      <w:r w:rsidR="00157B1A" w:rsidRPr="00ED74E2">
        <w:rPr>
          <w:rFonts w:asciiTheme="majorHAnsi" w:hAnsiTheme="majorHAnsi"/>
          <w:szCs w:val="22"/>
          <w:lang w:val="fr-CA"/>
        </w:rPr>
        <w:t>000</w:t>
      </w:r>
      <w:r>
        <w:rPr>
          <w:rFonts w:asciiTheme="majorHAnsi" w:hAnsiTheme="majorHAnsi"/>
          <w:szCs w:val="22"/>
          <w:lang w:val="fr-CA"/>
        </w:rPr>
        <w:t> CHF</w:t>
      </w:r>
      <w:r w:rsidR="00157B1A" w:rsidRPr="00ED74E2">
        <w:rPr>
          <w:rFonts w:asciiTheme="majorHAnsi" w:hAnsiTheme="majorHAnsi"/>
          <w:szCs w:val="22"/>
          <w:lang w:val="fr-CA"/>
        </w:rPr>
        <w:t xml:space="preserve">), </w:t>
      </w:r>
      <w:r>
        <w:rPr>
          <w:rFonts w:asciiTheme="majorHAnsi" w:hAnsiTheme="majorHAnsi"/>
          <w:szCs w:val="22"/>
          <w:lang w:val="fr-CA"/>
        </w:rPr>
        <w:t>et pour les frais de mise en pages, conception, traduction et publication</w:t>
      </w:r>
      <w:r w:rsidR="00157B1A" w:rsidRPr="00ED74E2">
        <w:rPr>
          <w:rFonts w:asciiTheme="majorHAnsi" w:hAnsiTheme="majorHAnsi"/>
          <w:szCs w:val="22"/>
          <w:lang w:val="fr-CA"/>
        </w:rPr>
        <w:t xml:space="preserve"> (67</w:t>
      </w:r>
      <w:r>
        <w:rPr>
          <w:rFonts w:asciiTheme="majorHAnsi" w:hAnsiTheme="majorHAnsi"/>
          <w:szCs w:val="22"/>
          <w:lang w:val="fr-CA"/>
        </w:rPr>
        <w:t> </w:t>
      </w:r>
      <w:r w:rsidR="00157B1A" w:rsidRPr="00ED74E2">
        <w:rPr>
          <w:rFonts w:asciiTheme="majorHAnsi" w:hAnsiTheme="majorHAnsi"/>
          <w:szCs w:val="22"/>
          <w:lang w:val="fr-CA"/>
        </w:rPr>
        <w:t>000</w:t>
      </w:r>
      <w:r>
        <w:rPr>
          <w:rFonts w:asciiTheme="majorHAnsi" w:hAnsiTheme="majorHAnsi"/>
          <w:szCs w:val="22"/>
          <w:lang w:val="fr-CA"/>
        </w:rPr>
        <w:t> CHF</w:t>
      </w:r>
      <w:r w:rsidR="00157B1A" w:rsidRPr="00ED74E2">
        <w:rPr>
          <w:rFonts w:asciiTheme="majorHAnsi" w:hAnsiTheme="majorHAnsi"/>
          <w:szCs w:val="22"/>
          <w:lang w:val="fr-CA"/>
        </w:rPr>
        <w:t xml:space="preserve">). </w:t>
      </w:r>
      <w:r>
        <w:rPr>
          <w:rFonts w:asciiTheme="majorHAnsi" w:hAnsiTheme="majorHAnsi"/>
          <w:szCs w:val="22"/>
          <w:lang w:val="fr-CA"/>
        </w:rPr>
        <w:t>Avec le coût proposé pour l’</w:t>
      </w:r>
      <w:r w:rsidR="00443FB2">
        <w:rPr>
          <w:rFonts w:asciiTheme="majorHAnsi" w:hAnsiTheme="majorHAnsi"/>
          <w:szCs w:val="22"/>
          <w:lang w:val="fr-CA"/>
        </w:rPr>
        <w:t>i</w:t>
      </w:r>
      <w:r>
        <w:rPr>
          <w:rFonts w:asciiTheme="majorHAnsi" w:hAnsiTheme="majorHAnsi"/>
          <w:szCs w:val="22"/>
          <w:lang w:val="fr-CA"/>
        </w:rPr>
        <w:t xml:space="preserve">ndice WET </w:t>
      </w:r>
      <w:r w:rsidR="00157B1A" w:rsidRPr="00ED74E2">
        <w:rPr>
          <w:rFonts w:asciiTheme="majorHAnsi" w:hAnsiTheme="majorHAnsi"/>
          <w:szCs w:val="22"/>
          <w:lang w:val="fr-CA"/>
        </w:rPr>
        <w:t>(50</w:t>
      </w:r>
      <w:r>
        <w:rPr>
          <w:rFonts w:asciiTheme="majorHAnsi" w:hAnsiTheme="majorHAnsi"/>
          <w:szCs w:val="22"/>
          <w:lang w:val="fr-CA"/>
        </w:rPr>
        <w:t> </w:t>
      </w:r>
      <w:r w:rsidR="00157B1A" w:rsidRPr="00ED74E2">
        <w:rPr>
          <w:rFonts w:asciiTheme="majorHAnsi" w:hAnsiTheme="majorHAnsi"/>
          <w:szCs w:val="22"/>
          <w:lang w:val="fr-CA"/>
        </w:rPr>
        <w:t>000</w:t>
      </w:r>
      <w:r>
        <w:rPr>
          <w:rFonts w:asciiTheme="majorHAnsi" w:hAnsiTheme="majorHAnsi"/>
          <w:szCs w:val="22"/>
          <w:lang w:val="fr-CA"/>
        </w:rPr>
        <w:t> CHF</w:t>
      </w:r>
      <w:r w:rsidR="00157B1A" w:rsidRPr="00ED74E2">
        <w:rPr>
          <w:rFonts w:asciiTheme="majorHAnsi" w:hAnsiTheme="majorHAnsi"/>
          <w:szCs w:val="22"/>
          <w:lang w:val="fr-CA"/>
        </w:rPr>
        <w:t xml:space="preserve">), </w:t>
      </w:r>
      <w:r>
        <w:rPr>
          <w:rFonts w:asciiTheme="majorHAnsi" w:hAnsiTheme="majorHAnsi"/>
          <w:szCs w:val="22"/>
          <w:lang w:val="fr-CA"/>
        </w:rPr>
        <w:t xml:space="preserve">le coût </w:t>
      </w:r>
      <w:r w:rsidR="00157B1A" w:rsidRPr="00ED74E2">
        <w:rPr>
          <w:rFonts w:asciiTheme="majorHAnsi" w:hAnsiTheme="majorHAnsi"/>
          <w:szCs w:val="22"/>
          <w:lang w:val="fr-CA"/>
        </w:rPr>
        <w:t xml:space="preserve">total </w:t>
      </w:r>
      <w:r>
        <w:rPr>
          <w:rFonts w:asciiTheme="majorHAnsi" w:hAnsiTheme="majorHAnsi"/>
          <w:szCs w:val="22"/>
          <w:lang w:val="fr-CA"/>
        </w:rPr>
        <w:t xml:space="preserve">estimé pour la tâche </w:t>
      </w:r>
      <w:r w:rsidR="00157B1A" w:rsidRPr="00ED74E2">
        <w:rPr>
          <w:rFonts w:asciiTheme="majorHAnsi" w:hAnsiTheme="majorHAnsi"/>
          <w:szCs w:val="22"/>
          <w:lang w:val="fr-CA"/>
        </w:rPr>
        <w:t xml:space="preserve">SoWWS </w:t>
      </w:r>
      <w:r>
        <w:rPr>
          <w:rFonts w:asciiTheme="majorHAnsi" w:hAnsiTheme="majorHAnsi"/>
          <w:szCs w:val="22"/>
          <w:lang w:val="fr-CA"/>
        </w:rPr>
        <w:t xml:space="preserve">dans le projet de plan de travail amendé s’élève à </w:t>
      </w:r>
      <w:r w:rsidR="00157B1A" w:rsidRPr="00ED74E2">
        <w:rPr>
          <w:rFonts w:asciiTheme="majorHAnsi" w:hAnsiTheme="majorHAnsi"/>
          <w:szCs w:val="22"/>
          <w:lang w:val="fr-CA"/>
        </w:rPr>
        <w:t>137</w:t>
      </w:r>
      <w:r>
        <w:rPr>
          <w:rFonts w:asciiTheme="majorHAnsi" w:hAnsiTheme="majorHAnsi"/>
          <w:szCs w:val="22"/>
          <w:lang w:val="fr-CA"/>
        </w:rPr>
        <w:t> </w:t>
      </w:r>
      <w:r w:rsidR="00157B1A" w:rsidRPr="00ED74E2">
        <w:rPr>
          <w:rFonts w:asciiTheme="majorHAnsi" w:hAnsiTheme="majorHAnsi"/>
          <w:szCs w:val="22"/>
          <w:lang w:val="fr-CA"/>
        </w:rPr>
        <w:t>000</w:t>
      </w:r>
      <w:r>
        <w:rPr>
          <w:rFonts w:asciiTheme="majorHAnsi" w:hAnsiTheme="majorHAnsi"/>
          <w:szCs w:val="22"/>
          <w:lang w:val="fr-CA"/>
        </w:rPr>
        <w:t> CHF</w:t>
      </w:r>
      <w:r w:rsidR="00157B1A" w:rsidRPr="00ED74E2">
        <w:rPr>
          <w:rFonts w:asciiTheme="majorHAnsi" w:hAnsiTheme="majorHAnsi"/>
          <w:szCs w:val="22"/>
          <w:lang w:val="fr-CA"/>
        </w:rPr>
        <w:t xml:space="preserve">. </w:t>
      </w:r>
      <w:r>
        <w:rPr>
          <w:rFonts w:asciiTheme="majorHAnsi" w:hAnsiTheme="majorHAnsi"/>
          <w:szCs w:val="22"/>
          <w:lang w:val="fr-CA"/>
        </w:rPr>
        <w:t xml:space="preserve">Par comparaison, le budget estimé pour l’évaluation des pollinisateurs par l’IPBES (Décision </w:t>
      </w:r>
      <w:r w:rsidR="00157B1A" w:rsidRPr="00ED74E2">
        <w:rPr>
          <w:rFonts w:asciiTheme="majorHAnsi" w:hAnsiTheme="majorHAnsi"/>
          <w:szCs w:val="22"/>
          <w:lang w:val="fr-CA"/>
        </w:rPr>
        <w:t>IPBES</w:t>
      </w:r>
      <w:r>
        <w:rPr>
          <w:rFonts w:asciiTheme="majorHAnsi" w:hAnsiTheme="majorHAnsi"/>
          <w:szCs w:val="22"/>
          <w:lang w:val="fr-CA"/>
        </w:rPr>
        <w:noBreakHyphen/>
      </w:r>
      <w:r w:rsidR="00157B1A" w:rsidRPr="00ED74E2">
        <w:rPr>
          <w:rFonts w:asciiTheme="majorHAnsi" w:hAnsiTheme="majorHAnsi"/>
          <w:szCs w:val="22"/>
          <w:lang w:val="fr-CA"/>
        </w:rPr>
        <w:t xml:space="preserve">2/5) </w:t>
      </w:r>
      <w:r>
        <w:rPr>
          <w:rFonts w:asciiTheme="majorHAnsi" w:hAnsiTheme="majorHAnsi"/>
          <w:szCs w:val="22"/>
          <w:lang w:val="fr-CA"/>
        </w:rPr>
        <w:t xml:space="preserve">était de </w:t>
      </w:r>
      <w:r w:rsidR="00157B1A" w:rsidRPr="00ED74E2">
        <w:rPr>
          <w:rFonts w:asciiTheme="majorHAnsi" w:hAnsiTheme="majorHAnsi"/>
          <w:szCs w:val="22"/>
          <w:lang w:val="fr-CA"/>
        </w:rPr>
        <w:t>749</w:t>
      </w:r>
      <w:r>
        <w:rPr>
          <w:rFonts w:asciiTheme="majorHAnsi" w:hAnsiTheme="majorHAnsi"/>
          <w:szCs w:val="22"/>
          <w:lang w:val="fr-CA"/>
        </w:rPr>
        <w:t> </w:t>
      </w:r>
      <w:r w:rsidR="00157B1A" w:rsidRPr="00ED74E2">
        <w:rPr>
          <w:rFonts w:asciiTheme="majorHAnsi" w:hAnsiTheme="majorHAnsi"/>
          <w:szCs w:val="22"/>
          <w:lang w:val="fr-CA"/>
        </w:rPr>
        <w:t>250</w:t>
      </w:r>
      <w:r>
        <w:rPr>
          <w:rFonts w:asciiTheme="majorHAnsi" w:hAnsiTheme="majorHAnsi"/>
          <w:szCs w:val="22"/>
          <w:lang w:val="fr-CA"/>
        </w:rPr>
        <w:t> USD</w:t>
      </w:r>
      <w:r w:rsidR="00157B1A" w:rsidRPr="00ED74E2">
        <w:rPr>
          <w:rFonts w:asciiTheme="majorHAnsi" w:hAnsiTheme="majorHAnsi"/>
          <w:szCs w:val="22"/>
          <w:lang w:val="fr-CA"/>
        </w:rPr>
        <w:t xml:space="preserve">. </w:t>
      </w:r>
    </w:p>
    <w:p w14:paraId="4E6E2B75" w14:textId="77777777" w:rsidR="00157B1A" w:rsidRPr="00ED74E2" w:rsidRDefault="00157B1A" w:rsidP="00F24C88">
      <w:pPr>
        <w:ind w:left="426" w:hanging="426"/>
        <w:rPr>
          <w:rFonts w:asciiTheme="majorHAnsi" w:hAnsiTheme="majorHAnsi"/>
          <w:sz w:val="22"/>
          <w:szCs w:val="22"/>
          <w:lang w:val="fr-CA"/>
        </w:rPr>
      </w:pPr>
    </w:p>
    <w:p w14:paraId="7386114D" w14:textId="526B2BC7" w:rsidR="00157B1A" w:rsidRPr="00ED74E2" w:rsidRDefault="00D20081" w:rsidP="00F24C88">
      <w:pPr>
        <w:pStyle w:val="ListParagraph"/>
        <w:numPr>
          <w:ilvl w:val="0"/>
          <w:numId w:val="31"/>
        </w:numPr>
        <w:ind w:left="426" w:hanging="426"/>
        <w:rPr>
          <w:rFonts w:asciiTheme="majorHAnsi" w:hAnsiTheme="majorHAnsi"/>
          <w:szCs w:val="22"/>
          <w:lang w:val="fr-CA"/>
        </w:rPr>
      </w:pPr>
      <w:r>
        <w:rPr>
          <w:rFonts w:asciiTheme="majorHAnsi" w:hAnsiTheme="majorHAnsi"/>
          <w:szCs w:val="22"/>
          <w:lang w:val="fr-CA"/>
        </w:rPr>
        <w:t>Une étude de la littérature de toutes les orientations Ramsar et orientations des OIP a été assemblée avant la 19</w:t>
      </w:r>
      <w:r w:rsidRPr="00D20081">
        <w:rPr>
          <w:rFonts w:asciiTheme="majorHAnsi" w:hAnsiTheme="majorHAnsi"/>
          <w:szCs w:val="22"/>
          <w:vertAlign w:val="superscript"/>
          <w:lang w:val="fr-CA"/>
        </w:rPr>
        <w:t>e</w:t>
      </w:r>
      <w:r>
        <w:rPr>
          <w:rFonts w:asciiTheme="majorHAnsi" w:hAnsiTheme="majorHAnsi"/>
          <w:szCs w:val="22"/>
          <w:lang w:val="fr-CA"/>
        </w:rPr>
        <w:t xml:space="preserve"> réunion du GEST </w:t>
      </w:r>
      <w:r w:rsidR="00157B1A" w:rsidRPr="002C5CD2">
        <w:rPr>
          <w:rFonts w:asciiTheme="majorHAnsi" w:hAnsiTheme="majorHAnsi"/>
          <w:szCs w:val="22"/>
          <w:lang w:val="fr-CA"/>
        </w:rPr>
        <w:t>(</w:t>
      </w:r>
      <w:r>
        <w:rPr>
          <w:rFonts w:asciiTheme="majorHAnsi" w:hAnsiTheme="majorHAnsi"/>
          <w:szCs w:val="22"/>
          <w:lang w:val="fr-CA"/>
        </w:rPr>
        <w:t>GEST</w:t>
      </w:r>
      <w:r w:rsidR="00157B1A" w:rsidRPr="002C5CD2">
        <w:rPr>
          <w:rFonts w:asciiTheme="majorHAnsi" w:hAnsiTheme="majorHAnsi"/>
          <w:szCs w:val="22"/>
          <w:lang w:val="fr-CA"/>
        </w:rPr>
        <w:t>19)</w:t>
      </w:r>
      <w:r>
        <w:rPr>
          <w:rFonts w:asciiTheme="majorHAnsi" w:hAnsiTheme="majorHAnsi"/>
          <w:szCs w:val="22"/>
          <w:lang w:val="fr-CA"/>
        </w:rPr>
        <w:t xml:space="preserve"> et a identifié plus de </w:t>
      </w:r>
      <w:r w:rsidR="00157B1A" w:rsidRPr="002C5CD2">
        <w:rPr>
          <w:rFonts w:asciiTheme="majorHAnsi" w:hAnsiTheme="majorHAnsi"/>
          <w:szCs w:val="22"/>
          <w:lang w:val="fr-CA"/>
        </w:rPr>
        <w:t>100</w:t>
      </w:r>
      <w:r>
        <w:rPr>
          <w:rFonts w:asciiTheme="majorHAnsi" w:hAnsiTheme="majorHAnsi"/>
          <w:szCs w:val="22"/>
          <w:lang w:val="fr-CA"/>
        </w:rPr>
        <w:t xml:space="preserve"> documents d’orientation pertinents pour les domaines de travail thématiques généraux. L’étude de la littérature a été distribuée à tous les participants au GEST19 et chaque groupe de travail </w:t>
      </w:r>
      <w:r w:rsidR="00E5617B">
        <w:rPr>
          <w:rFonts w:asciiTheme="majorHAnsi" w:hAnsiTheme="majorHAnsi"/>
          <w:szCs w:val="22"/>
          <w:lang w:val="fr-CA"/>
        </w:rPr>
        <w:t>d’</w:t>
      </w:r>
      <w:r>
        <w:rPr>
          <w:rFonts w:asciiTheme="majorHAnsi" w:hAnsiTheme="majorHAnsi"/>
          <w:szCs w:val="22"/>
          <w:lang w:val="fr-CA"/>
        </w:rPr>
        <w:t xml:space="preserve">un domaine thématique </w:t>
      </w:r>
      <w:r w:rsidR="00E5617B">
        <w:rPr>
          <w:rFonts w:asciiTheme="majorHAnsi" w:hAnsiTheme="majorHAnsi"/>
          <w:szCs w:val="22"/>
          <w:lang w:val="fr-CA"/>
        </w:rPr>
        <w:t xml:space="preserve">particulier </w:t>
      </w:r>
      <w:r>
        <w:rPr>
          <w:rFonts w:asciiTheme="majorHAnsi" w:hAnsiTheme="majorHAnsi"/>
          <w:szCs w:val="22"/>
          <w:lang w:val="fr-CA"/>
        </w:rPr>
        <w:t xml:space="preserve">a été prié d’examiner les orientations disponibles afin d’élaborer des recommandations. Le </w:t>
      </w:r>
      <w:r w:rsidR="00157B1A" w:rsidRPr="00ED74E2">
        <w:rPr>
          <w:rFonts w:asciiTheme="majorHAnsi" w:hAnsiTheme="majorHAnsi"/>
          <w:szCs w:val="22"/>
          <w:lang w:val="fr-CA"/>
        </w:rPr>
        <w:t>15</w:t>
      </w:r>
      <w:r>
        <w:rPr>
          <w:rFonts w:asciiTheme="majorHAnsi" w:hAnsiTheme="majorHAnsi"/>
          <w:szCs w:val="22"/>
          <w:lang w:val="fr-CA"/>
        </w:rPr>
        <w:t> décembre </w:t>
      </w:r>
      <w:r w:rsidR="00157B1A" w:rsidRPr="00ED74E2">
        <w:rPr>
          <w:rFonts w:asciiTheme="majorHAnsi" w:hAnsiTheme="majorHAnsi"/>
          <w:szCs w:val="22"/>
          <w:lang w:val="fr-CA"/>
        </w:rPr>
        <w:t>2015</w:t>
      </w:r>
      <w:r>
        <w:rPr>
          <w:rFonts w:asciiTheme="majorHAnsi" w:hAnsiTheme="majorHAnsi"/>
          <w:szCs w:val="22"/>
          <w:lang w:val="fr-CA"/>
        </w:rPr>
        <w:t>, un</w:t>
      </w:r>
      <w:r w:rsidR="00157B1A" w:rsidRPr="00ED74E2">
        <w:rPr>
          <w:rFonts w:asciiTheme="majorHAnsi" w:hAnsiTheme="majorHAnsi"/>
          <w:szCs w:val="22"/>
          <w:lang w:val="fr-CA"/>
        </w:rPr>
        <w:t xml:space="preserve"> message </w:t>
      </w:r>
      <w:r>
        <w:rPr>
          <w:rFonts w:asciiTheme="majorHAnsi" w:hAnsiTheme="majorHAnsi"/>
          <w:szCs w:val="22"/>
          <w:lang w:val="fr-CA"/>
        </w:rPr>
        <w:t xml:space="preserve">du Secrétariat envoyé aux </w:t>
      </w:r>
      <w:r w:rsidR="00EC5666">
        <w:rPr>
          <w:rFonts w:asciiTheme="majorHAnsi" w:hAnsiTheme="majorHAnsi"/>
          <w:szCs w:val="22"/>
          <w:lang w:val="fr-CA"/>
        </w:rPr>
        <w:t>c</w:t>
      </w:r>
      <w:r>
        <w:rPr>
          <w:rFonts w:asciiTheme="majorHAnsi" w:hAnsiTheme="majorHAnsi"/>
          <w:szCs w:val="22"/>
          <w:lang w:val="fr-CA"/>
        </w:rPr>
        <w:t>hefs des Autorités administratives, Correspondants nationaux et Correspondants nationaux GEST demandait aussi une contribution sur les orientations à intégrer dans l’étude sur la littérature.</w:t>
      </w:r>
    </w:p>
    <w:p w14:paraId="7952A317" w14:textId="77777777" w:rsidR="00157B1A" w:rsidRPr="00ED74E2" w:rsidRDefault="00157B1A" w:rsidP="00F24C88">
      <w:pPr>
        <w:ind w:left="426" w:hanging="426"/>
        <w:rPr>
          <w:rFonts w:asciiTheme="majorHAnsi" w:hAnsiTheme="majorHAnsi"/>
          <w:sz w:val="22"/>
          <w:szCs w:val="22"/>
          <w:lang w:val="fr-CA"/>
        </w:rPr>
      </w:pPr>
    </w:p>
    <w:p w14:paraId="7247ADC0" w14:textId="68BB8FB4" w:rsidR="00157B1A" w:rsidRPr="00D20081" w:rsidRDefault="002E3E1D" w:rsidP="00F24C88">
      <w:pPr>
        <w:ind w:left="426" w:hanging="426"/>
        <w:rPr>
          <w:rFonts w:asciiTheme="majorHAnsi" w:hAnsiTheme="majorHAnsi"/>
          <w:b/>
          <w:sz w:val="22"/>
          <w:szCs w:val="22"/>
          <w:lang w:val="fr-CA"/>
        </w:rPr>
      </w:pPr>
      <w:r>
        <w:rPr>
          <w:rFonts w:asciiTheme="majorHAnsi" w:hAnsiTheme="majorHAnsi"/>
          <w:b/>
          <w:sz w:val="22"/>
          <w:szCs w:val="22"/>
          <w:lang w:val="fr-CA"/>
        </w:rPr>
        <w:t>Projet de plan de travail du GEST amendé pour</w:t>
      </w:r>
      <w:r w:rsidR="00157B1A" w:rsidRPr="00D20081">
        <w:rPr>
          <w:rFonts w:asciiTheme="majorHAnsi" w:hAnsiTheme="majorHAnsi"/>
          <w:b/>
          <w:sz w:val="22"/>
          <w:szCs w:val="22"/>
          <w:lang w:val="fr-CA"/>
        </w:rPr>
        <w:t xml:space="preserve"> 2016-2018</w:t>
      </w:r>
    </w:p>
    <w:p w14:paraId="42E19D74" w14:textId="77777777" w:rsidR="00157B1A" w:rsidRPr="00D20081" w:rsidRDefault="00157B1A" w:rsidP="00F24C88">
      <w:pPr>
        <w:ind w:left="426" w:hanging="426"/>
        <w:rPr>
          <w:rFonts w:asciiTheme="majorHAnsi" w:hAnsiTheme="majorHAnsi"/>
          <w:sz w:val="22"/>
          <w:szCs w:val="22"/>
          <w:lang w:val="fr-CA"/>
        </w:rPr>
      </w:pPr>
    </w:p>
    <w:p w14:paraId="64624AF9" w14:textId="1E96ABFB" w:rsidR="00157B1A" w:rsidRPr="00D20081" w:rsidRDefault="002E3E1D" w:rsidP="00F24C88">
      <w:pPr>
        <w:pStyle w:val="ListParagraph"/>
        <w:numPr>
          <w:ilvl w:val="0"/>
          <w:numId w:val="31"/>
        </w:numPr>
        <w:ind w:left="426" w:hanging="426"/>
        <w:rPr>
          <w:rFonts w:asciiTheme="majorHAnsi" w:hAnsiTheme="majorHAnsi"/>
          <w:szCs w:val="22"/>
          <w:lang w:val="fr-CA"/>
        </w:rPr>
      </w:pPr>
      <w:r w:rsidRPr="002E3E1D">
        <w:rPr>
          <w:rFonts w:asciiTheme="majorHAnsi" w:hAnsiTheme="majorHAnsi"/>
          <w:szCs w:val="22"/>
          <w:lang w:val="fr-CA"/>
        </w:rPr>
        <w:t xml:space="preserve">Le </w:t>
      </w:r>
      <w:r>
        <w:rPr>
          <w:rFonts w:asciiTheme="majorHAnsi" w:hAnsiTheme="majorHAnsi"/>
          <w:szCs w:val="22"/>
          <w:lang w:val="fr-CA"/>
        </w:rPr>
        <w:t xml:space="preserve">projet de plan de travail amendé, qui figure dans l’annexe </w:t>
      </w:r>
      <w:r w:rsidR="0032229E">
        <w:rPr>
          <w:rFonts w:asciiTheme="majorHAnsi" w:hAnsiTheme="majorHAnsi"/>
          <w:szCs w:val="22"/>
          <w:lang w:val="fr-CA"/>
        </w:rPr>
        <w:t>d</w:t>
      </w:r>
      <w:r>
        <w:rPr>
          <w:rFonts w:asciiTheme="majorHAnsi" w:hAnsiTheme="majorHAnsi"/>
          <w:szCs w:val="22"/>
          <w:lang w:val="fr-CA"/>
        </w:rPr>
        <w:t>u présent rapport, est soumis pour approbation au Comité permanent à sa 52</w:t>
      </w:r>
      <w:r w:rsidRPr="002E3E1D">
        <w:rPr>
          <w:rFonts w:asciiTheme="majorHAnsi" w:hAnsiTheme="majorHAnsi"/>
          <w:szCs w:val="22"/>
          <w:vertAlign w:val="superscript"/>
          <w:lang w:val="fr-CA"/>
        </w:rPr>
        <w:t>e</w:t>
      </w:r>
      <w:r>
        <w:rPr>
          <w:rFonts w:asciiTheme="majorHAnsi" w:hAnsiTheme="majorHAnsi"/>
          <w:szCs w:val="22"/>
          <w:lang w:val="fr-CA"/>
        </w:rPr>
        <w:t> Réunion. Le projet de plan de travail amendé tient compte des cinq domaines de travail thématiques approuvés par les Parties contractantes à la COP12 (figurant dans la Résolution </w:t>
      </w:r>
      <w:r w:rsidR="00157B1A" w:rsidRPr="002E3E1D">
        <w:rPr>
          <w:rFonts w:asciiTheme="majorHAnsi" w:hAnsiTheme="majorHAnsi"/>
          <w:szCs w:val="22"/>
          <w:lang w:val="fr-CA"/>
        </w:rPr>
        <w:t xml:space="preserve">XII.5, </w:t>
      </w:r>
      <w:r>
        <w:rPr>
          <w:rFonts w:asciiTheme="majorHAnsi" w:hAnsiTheme="majorHAnsi"/>
          <w:szCs w:val="22"/>
          <w:lang w:val="fr-CA"/>
        </w:rPr>
        <w:t>a</w:t>
      </w:r>
      <w:r w:rsidR="00157B1A" w:rsidRPr="002E3E1D">
        <w:rPr>
          <w:rFonts w:asciiTheme="majorHAnsi" w:hAnsiTheme="majorHAnsi"/>
          <w:szCs w:val="22"/>
          <w:lang w:val="fr-CA"/>
        </w:rPr>
        <w:t>nnex</w:t>
      </w:r>
      <w:r>
        <w:rPr>
          <w:rFonts w:asciiTheme="majorHAnsi" w:hAnsiTheme="majorHAnsi"/>
          <w:szCs w:val="22"/>
          <w:lang w:val="fr-CA"/>
        </w:rPr>
        <w:t>e </w:t>
      </w:r>
      <w:r w:rsidR="00157B1A" w:rsidRPr="002E3E1D">
        <w:rPr>
          <w:rFonts w:asciiTheme="majorHAnsi" w:hAnsiTheme="majorHAnsi"/>
          <w:szCs w:val="22"/>
          <w:lang w:val="fr-CA"/>
        </w:rPr>
        <w:t xml:space="preserve">3), </w:t>
      </w:r>
      <w:r w:rsidR="0032229E">
        <w:rPr>
          <w:rFonts w:asciiTheme="majorHAnsi" w:hAnsiTheme="majorHAnsi"/>
          <w:szCs w:val="22"/>
          <w:lang w:val="fr-CA"/>
        </w:rPr>
        <w:t>du</w:t>
      </w:r>
      <w:r>
        <w:rPr>
          <w:rFonts w:asciiTheme="majorHAnsi" w:hAnsiTheme="majorHAnsi"/>
          <w:szCs w:val="22"/>
          <w:lang w:val="fr-CA"/>
        </w:rPr>
        <w:t xml:space="preserve"> 4</w:t>
      </w:r>
      <w:r w:rsidRPr="002E3E1D">
        <w:rPr>
          <w:rFonts w:asciiTheme="majorHAnsi" w:hAnsiTheme="majorHAnsi"/>
          <w:szCs w:val="22"/>
          <w:vertAlign w:val="superscript"/>
          <w:lang w:val="fr-CA"/>
        </w:rPr>
        <w:t>e</w:t>
      </w:r>
      <w:r>
        <w:rPr>
          <w:rFonts w:asciiTheme="majorHAnsi" w:hAnsiTheme="majorHAnsi"/>
          <w:szCs w:val="22"/>
          <w:lang w:val="fr-CA"/>
        </w:rPr>
        <w:t xml:space="preserve"> Plan stratégique Ramsar </w:t>
      </w:r>
      <w:r w:rsidR="00157B1A" w:rsidRPr="002E3E1D">
        <w:rPr>
          <w:rFonts w:asciiTheme="majorHAnsi" w:hAnsiTheme="majorHAnsi"/>
          <w:szCs w:val="22"/>
          <w:lang w:val="fr-CA"/>
        </w:rPr>
        <w:t>(R</w:t>
      </w:r>
      <w:r>
        <w:rPr>
          <w:rFonts w:asciiTheme="majorHAnsi" w:hAnsiTheme="majorHAnsi"/>
          <w:szCs w:val="22"/>
          <w:lang w:val="fr-CA"/>
        </w:rPr>
        <w:t>é</w:t>
      </w:r>
      <w:r w:rsidR="00157B1A" w:rsidRPr="002E3E1D">
        <w:rPr>
          <w:rFonts w:asciiTheme="majorHAnsi" w:hAnsiTheme="majorHAnsi"/>
          <w:szCs w:val="22"/>
          <w:lang w:val="fr-CA"/>
        </w:rPr>
        <w:t>solution</w:t>
      </w:r>
      <w:r>
        <w:rPr>
          <w:rFonts w:asciiTheme="majorHAnsi" w:hAnsiTheme="majorHAnsi"/>
          <w:szCs w:val="22"/>
          <w:lang w:val="fr-CA"/>
        </w:rPr>
        <w:t> </w:t>
      </w:r>
      <w:r w:rsidR="00157B1A" w:rsidRPr="002E3E1D">
        <w:rPr>
          <w:rFonts w:asciiTheme="majorHAnsi" w:hAnsiTheme="majorHAnsi"/>
          <w:szCs w:val="22"/>
          <w:lang w:val="fr-CA"/>
        </w:rPr>
        <w:t xml:space="preserve">XII.2), </w:t>
      </w:r>
      <w:r w:rsidR="0032229E">
        <w:rPr>
          <w:rFonts w:asciiTheme="majorHAnsi" w:hAnsiTheme="majorHAnsi"/>
          <w:szCs w:val="22"/>
          <w:lang w:val="fr-CA"/>
        </w:rPr>
        <w:t>d</w:t>
      </w:r>
      <w:r>
        <w:rPr>
          <w:rFonts w:asciiTheme="majorHAnsi" w:hAnsiTheme="majorHAnsi"/>
          <w:szCs w:val="22"/>
          <w:lang w:val="fr-CA"/>
        </w:rPr>
        <w:t xml:space="preserve">es demandes des Parties contractantes dans les Résolutions </w:t>
      </w:r>
      <w:r w:rsidR="0032229E">
        <w:rPr>
          <w:rFonts w:asciiTheme="majorHAnsi" w:hAnsiTheme="majorHAnsi"/>
          <w:szCs w:val="22"/>
          <w:lang w:val="fr-CA"/>
        </w:rPr>
        <w:t xml:space="preserve">de la </w:t>
      </w:r>
      <w:r>
        <w:rPr>
          <w:rFonts w:asciiTheme="majorHAnsi" w:hAnsiTheme="majorHAnsi"/>
          <w:szCs w:val="22"/>
          <w:lang w:val="fr-CA"/>
        </w:rPr>
        <w:t xml:space="preserve">COP12 et </w:t>
      </w:r>
      <w:r w:rsidR="0032229E">
        <w:rPr>
          <w:rFonts w:asciiTheme="majorHAnsi" w:hAnsiTheme="majorHAnsi"/>
          <w:szCs w:val="22"/>
          <w:lang w:val="fr-CA"/>
        </w:rPr>
        <w:t xml:space="preserve">de </w:t>
      </w:r>
      <w:r>
        <w:rPr>
          <w:rFonts w:asciiTheme="majorHAnsi" w:hAnsiTheme="majorHAnsi"/>
          <w:szCs w:val="22"/>
          <w:lang w:val="fr-CA"/>
        </w:rPr>
        <w:t>la consultation supplémentaire réalisée après la 51</w:t>
      </w:r>
      <w:r w:rsidRPr="002E3E1D">
        <w:rPr>
          <w:rFonts w:asciiTheme="majorHAnsi" w:hAnsiTheme="majorHAnsi"/>
          <w:szCs w:val="22"/>
          <w:vertAlign w:val="superscript"/>
          <w:lang w:val="fr-CA"/>
        </w:rPr>
        <w:t>e</w:t>
      </w:r>
      <w:r>
        <w:rPr>
          <w:rFonts w:asciiTheme="majorHAnsi" w:hAnsiTheme="majorHAnsi"/>
          <w:szCs w:val="22"/>
          <w:lang w:val="fr-CA"/>
        </w:rPr>
        <w:t> Réunion du Comité permanent.</w:t>
      </w:r>
    </w:p>
    <w:p w14:paraId="29E31883" w14:textId="77777777" w:rsidR="00157B1A" w:rsidRPr="00D20081" w:rsidRDefault="00157B1A" w:rsidP="00F24C88">
      <w:pPr>
        <w:ind w:left="426" w:hanging="426"/>
        <w:rPr>
          <w:rFonts w:asciiTheme="majorHAnsi" w:hAnsiTheme="majorHAnsi"/>
          <w:sz w:val="22"/>
          <w:szCs w:val="22"/>
          <w:lang w:val="fr-CA"/>
        </w:rPr>
      </w:pPr>
    </w:p>
    <w:p w14:paraId="08301C34" w14:textId="50CDBB89" w:rsidR="00157B1A" w:rsidRPr="00D20081" w:rsidRDefault="002E3E1D" w:rsidP="00F24C88">
      <w:pPr>
        <w:pStyle w:val="ListParagraph"/>
        <w:numPr>
          <w:ilvl w:val="0"/>
          <w:numId w:val="31"/>
        </w:numPr>
        <w:ind w:left="426" w:hanging="426"/>
        <w:rPr>
          <w:rFonts w:asciiTheme="majorHAnsi" w:hAnsiTheme="majorHAnsi"/>
          <w:szCs w:val="22"/>
          <w:lang w:val="fr-CA"/>
        </w:rPr>
      </w:pPr>
      <w:r>
        <w:rPr>
          <w:rFonts w:asciiTheme="majorHAnsi" w:hAnsiTheme="majorHAnsi"/>
          <w:szCs w:val="22"/>
          <w:lang w:val="fr-CA"/>
        </w:rPr>
        <w:t xml:space="preserve">Le projet de plan de travail amendé comprend une nouvelle tâche relative aux avis sur la gestion </w:t>
      </w:r>
      <w:r w:rsidRPr="00E5617B">
        <w:rPr>
          <w:rFonts w:asciiTheme="majorHAnsi" w:hAnsiTheme="majorHAnsi"/>
          <w:szCs w:val="22"/>
          <w:lang w:val="fr-CA"/>
        </w:rPr>
        <w:t>des moustiques vecteurs de maladies dans les zones humides pour les administrateurs de site</w:t>
      </w:r>
      <w:r w:rsidR="00955B5D" w:rsidRPr="00E5617B">
        <w:rPr>
          <w:rFonts w:asciiTheme="majorHAnsi" w:hAnsiTheme="majorHAnsi"/>
          <w:szCs w:val="22"/>
          <w:lang w:val="fr-CA"/>
        </w:rPr>
        <w:t>s</w:t>
      </w:r>
      <w:r w:rsidRPr="00E5617B">
        <w:rPr>
          <w:rFonts w:asciiTheme="majorHAnsi" w:hAnsiTheme="majorHAnsi"/>
          <w:szCs w:val="22"/>
          <w:lang w:val="fr-CA"/>
        </w:rPr>
        <w:t>,</w:t>
      </w:r>
      <w:r>
        <w:rPr>
          <w:rFonts w:asciiTheme="majorHAnsi" w:hAnsiTheme="majorHAnsi"/>
          <w:szCs w:val="22"/>
          <w:lang w:val="fr-CA"/>
        </w:rPr>
        <w:t xml:space="preserve"> les agents de santé et les décideurs, comme question émergente dans le domaine de travail thématique 2. Nous avons aussi ajouté une nouvelle tâche relative au Registre de Montreux, également dans le domaine de travail thématique 2. </w:t>
      </w:r>
    </w:p>
    <w:p w14:paraId="38B6BCB9" w14:textId="77777777" w:rsidR="00157B1A" w:rsidRPr="00D20081" w:rsidRDefault="00157B1A" w:rsidP="00F24C88">
      <w:pPr>
        <w:ind w:left="426" w:hanging="426"/>
        <w:rPr>
          <w:rFonts w:asciiTheme="majorHAnsi" w:hAnsiTheme="majorHAnsi"/>
          <w:sz w:val="22"/>
          <w:szCs w:val="22"/>
          <w:lang w:val="fr-CA"/>
        </w:rPr>
      </w:pPr>
    </w:p>
    <w:p w14:paraId="5572EA22" w14:textId="2F77F1E1" w:rsidR="00157B1A" w:rsidRPr="00D20081" w:rsidRDefault="002E3E1D" w:rsidP="00F24C88">
      <w:pPr>
        <w:pStyle w:val="ListParagraph"/>
        <w:numPr>
          <w:ilvl w:val="0"/>
          <w:numId w:val="31"/>
        </w:numPr>
        <w:ind w:left="426" w:hanging="426"/>
        <w:rPr>
          <w:rFonts w:asciiTheme="majorHAnsi" w:hAnsiTheme="majorHAnsi"/>
          <w:szCs w:val="22"/>
          <w:lang w:val="fr-CA"/>
        </w:rPr>
      </w:pPr>
      <w:r>
        <w:rPr>
          <w:rFonts w:asciiTheme="majorHAnsi" w:hAnsiTheme="majorHAnsi"/>
          <w:szCs w:val="22"/>
          <w:lang w:val="fr-CA"/>
        </w:rPr>
        <w:t>En ce qui concerne le financement pour l’application des tâches, il y a actuellement trois sources disponibles dans le budget de la Convention. La première, environ 118 000 CHF, se compose de fonds qui ne sont pas limités dans le temps</w:t>
      </w:r>
      <w:r w:rsidR="00157B1A" w:rsidRPr="00D20081">
        <w:rPr>
          <w:rFonts w:asciiTheme="majorHAnsi" w:hAnsiTheme="majorHAnsi"/>
          <w:szCs w:val="22"/>
          <w:lang w:val="fr-CA"/>
        </w:rPr>
        <w:t xml:space="preserve"> </w:t>
      </w:r>
      <w:r>
        <w:rPr>
          <w:rFonts w:asciiTheme="majorHAnsi" w:hAnsiTheme="majorHAnsi"/>
          <w:szCs w:val="22"/>
          <w:lang w:val="fr-CA"/>
        </w:rPr>
        <w:t xml:space="preserve">et qui restent disponibles de la période triennale précédente. La deuxième, le budget pour </w:t>
      </w:r>
      <w:r w:rsidR="00157B1A" w:rsidRPr="00D20081">
        <w:rPr>
          <w:rFonts w:asciiTheme="majorHAnsi" w:hAnsiTheme="majorHAnsi"/>
          <w:szCs w:val="22"/>
          <w:lang w:val="fr-CA"/>
        </w:rPr>
        <w:t xml:space="preserve">2016-2018 </w:t>
      </w:r>
      <w:r>
        <w:rPr>
          <w:rFonts w:asciiTheme="majorHAnsi" w:hAnsiTheme="majorHAnsi"/>
          <w:szCs w:val="22"/>
          <w:lang w:val="fr-CA"/>
        </w:rPr>
        <w:t xml:space="preserve">attribue </w:t>
      </w:r>
      <w:r w:rsidR="00157B1A" w:rsidRPr="00D20081">
        <w:rPr>
          <w:rFonts w:asciiTheme="majorHAnsi" w:hAnsiTheme="majorHAnsi"/>
          <w:szCs w:val="22"/>
          <w:lang w:val="fr-CA"/>
        </w:rPr>
        <w:t>120</w:t>
      </w:r>
      <w:r>
        <w:rPr>
          <w:rFonts w:asciiTheme="majorHAnsi" w:hAnsiTheme="majorHAnsi"/>
          <w:szCs w:val="22"/>
          <w:lang w:val="fr-CA"/>
        </w:rPr>
        <w:t> </w:t>
      </w:r>
      <w:r w:rsidR="00157B1A" w:rsidRPr="00D20081">
        <w:rPr>
          <w:rFonts w:asciiTheme="majorHAnsi" w:hAnsiTheme="majorHAnsi"/>
          <w:szCs w:val="22"/>
          <w:lang w:val="fr-CA"/>
        </w:rPr>
        <w:t>000</w:t>
      </w:r>
      <w:r>
        <w:rPr>
          <w:rFonts w:asciiTheme="majorHAnsi" w:hAnsiTheme="majorHAnsi"/>
          <w:szCs w:val="22"/>
          <w:lang w:val="fr-CA"/>
        </w:rPr>
        <w:t> CHF</w:t>
      </w:r>
      <w:r w:rsidR="00157B1A" w:rsidRPr="00D20081">
        <w:rPr>
          <w:rFonts w:asciiTheme="majorHAnsi" w:hAnsiTheme="majorHAnsi"/>
          <w:szCs w:val="22"/>
          <w:lang w:val="fr-CA"/>
        </w:rPr>
        <w:t xml:space="preserve"> (40</w:t>
      </w:r>
      <w:r>
        <w:rPr>
          <w:rFonts w:asciiTheme="majorHAnsi" w:hAnsiTheme="majorHAnsi"/>
          <w:szCs w:val="22"/>
          <w:lang w:val="fr-CA"/>
        </w:rPr>
        <w:t> </w:t>
      </w:r>
      <w:r w:rsidR="00157B1A" w:rsidRPr="00D20081">
        <w:rPr>
          <w:rFonts w:asciiTheme="majorHAnsi" w:hAnsiTheme="majorHAnsi"/>
          <w:szCs w:val="22"/>
          <w:lang w:val="fr-CA"/>
        </w:rPr>
        <w:t>000</w:t>
      </w:r>
      <w:r>
        <w:rPr>
          <w:rFonts w:asciiTheme="majorHAnsi" w:hAnsiTheme="majorHAnsi"/>
          <w:szCs w:val="22"/>
          <w:lang w:val="fr-CA"/>
        </w:rPr>
        <w:t xml:space="preserve"> CHF par an) à l’application du plan de travail. La troisième, en raison d’une programmation prudente des réunions du GEST, est une somme de 50 000 CHF issue du budget de 2016 attribué aux réunions du GEST. </w:t>
      </w:r>
      <w:r w:rsidR="00157B1A" w:rsidRPr="00D20081">
        <w:rPr>
          <w:rFonts w:asciiTheme="majorHAnsi" w:hAnsiTheme="majorHAnsi"/>
          <w:szCs w:val="22"/>
          <w:lang w:val="fr-CA"/>
        </w:rPr>
        <w:t>(</w:t>
      </w:r>
      <w:r>
        <w:rPr>
          <w:rFonts w:asciiTheme="majorHAnsi" w:hAnsiTheme="majorHAnsi"/>
          <w:szCs w:val="22"/>
          <w:lang w:val="fr-CA"/>
        </w:rPr>
        <w:t>Le GEST</w:t>
      </w:r>
      <w:r w:rsidR="00157B1A" w:rsidRPr="00D20081">
        <w:rPr>
          <w:rFonts w:asciiTheme="majorHAnsi" w:hAnsiTheme="majorHAnsi"/>
          <w:szCs w:val="22"/>
          <w:lang w:val="fr-CA"/>
        </w:rPr>
        <w:t xml:space="preserve">19 </w:t>
      </w:r>
      <w:r>
        <w:rPr>
          <w:rFonts w:asciiTheme="majorHAnsi" w:hAnsiTheme="majorHAnsi"/>
          <w:szCs w:val="22"/>
          <w:lang w:val="fr-CA"/>
        </w:rPr>
        <w:t>a été organisé en </w:t>
      </w:r>
      <w:r w:rsidR="00157B1A" w:rsidRPr="00D20081">
        <w:rPr>
          <w:rFonts w:asciiTheme="majorHAnsi" w:hAnsiTheme="majorHAnsi"/>
          <w:szCs w:val="22"/>
          <w:lang w:val="fr-CA"/>
        </w:rPr>
        <w:t xml:space="preserve">2015, </w:t>
      </w:r>
      <w:r>
        <w:rPr>
          <w:rFonts w:asciiTheme="majorHAnsi" w:hAnsiTheme="majorHAnsi"/>
          <w:szCs w:val="22"/>
          <w:lang w:val="fr-CA"/>
        </w:rPr>
        <w:t xml:space="preserve">avec des fonds </w:t>
      </w:r>
      <w:r w:rsidR="002D2D47">
        <w:rPr>
          <w:rFonts w:asciiTheme="majorHAnsi" w:hAnsiTheme="majorHAnsi"/>
          <w:szCs w:val="22"/>
          <w:lang w:val="fr-CA"/>
        </w:rPr>
        <w:t>destinés aux</w:t>
      </w:r>
      <w:r>
        <w:rPr>
          <w:rFonts w:asciiTheme="majorHAnsi" w:hAnsiTheme="majorHAnsi"/>
          <w:szCs w:val="22"/>
          <w:lang w:val="fr-CA"/>
        </w:rPr>
        <w:t xml:space="preserve"> réunions </w:t>
      </w:r>
      <w:r w:rsidR="002D2D47">
        <w:rPr>
          <w:rFonts w:asciiTheme="majorHAnsi" w:hAnsiTheme="majorHAnsi"/>
          <w:szCs w:val="22"/>
          <w:lang w:val="fr-CA"/>
        </w:rPr>
        <w:t>de</w:t>
      </w:r>
      <w:r>
        <w:rPr>
          <w:rFonts w:asciiTheme="majorHAnsi" w:hAnsiTheme="majorHAnsi"/>
          <w:szCs w:val="22"/>
          <w:lang w:val="fr-CA"/>
        </w:rPr>
        <w:t> </w:t>
      </w:r>
      <w:r w:rsidR="00157B1A" w:rsidRPr="00D20081">
        <w:rPr>
          <w:rFonts w:asciiTheme="majorHAnsi" w:hAnsiTheme="majorHAnsi"/>
          <w:szCs w:val="22"/>
          <w:lang w:val="fr-CA"/>
        </w:rPr>
        <w:t xml:space="preserve">2015; </w:t>
      </w:r>
      <w:r>
        <w:rPr>
          <w:rFonts w:asciiTheme="majorHAnsi" w:hAnsiTheme="majorHAnsi"/>
          <w:szCs w:val="22"/>
          <w:lang w:val="fr-CA"/>
        </w:rPr>
        <w:t>le GEST</w:t>
      </w:r>
      <w:r w:rsidR="00157B1A" w:rsidRPr="00D20081">
        <w:rPr>
          <w:rFonts w:asciiTheme="majorHAnsi" w:hAnsiTheme="majorHAnsi"/>
          <w:szCs w:val="22"/>
          <w:lang w:val="fr-CA"/>
        </w:rPr>
        <w:t xml:space="preserve">20 </w:t>
      </w:r>
      <w:r>
        <w:rPr>
          <w:rFonts w:asciiTheme="majorHAnsi" w:hAnsiTheme="majorHAnsi"/>
          <w:szCs w:val="22"/>
          <w:lang w:val="fr-CA"/>
        </w:rPr>
        <w:t xml:space="preserve">n’aura pas lieu avant 2017 et utilisera des fonds </w:t>
      </w:r>
      <w:r w:rsidR="002D2D47">
        <w:rPr>
          <w:rFonts w:asciiTheme="majorHAnsi" w:hAnsiTheme="majorHAnsi"/>
          <w:szCs w:val="22"/>
          <w:lang w:val="fr-CA"/>
        </w:rPr>
        <w:t xml:space="preserve">destinés aux </w:t>
      </w:r>
      <w:r>
        <w:rPr>
          <w:rFonts w:asciiTheme="majorHAnsi" w:hAnsiTheme="majorHAnsi"/>
          <w:szCs w:val="22"/>
          <w:lang w:val="fr-CA"/>
        </w:rPr>
        <w:t xml:space="preserve">réunions de 2017.) Si l’on présume que les fonds </w:t>
      </w:r>
      <w:r w:rsidR="002D2D47">
        <w:rPr>
          <w:rFonts w:asciiTheme="majorHAnsi" w:hAnsiTheme="majorHAnsi"/>
          <w:szCs w:val="22"/>
          <w:lang w:val="fr-CA"/>
        </w:rPr>
        <w:t>destinés aux</w:t>
      </w:r>
      <w:r>
        <w:rPr>
          <w:rFonts w:asciiTheme="majorHAnsi" w:hAnsiTheme="majorHAnsi"/>
          <w:szCs w:val="22"/>
          <w:lang w:val="fr-CA"/>
        </w:rPr>
        <w:t xml:space="preserve"> réunions de 2016 puissent être attribués aux réunions d’auteurs et aux ateliers, environ </w:t>
      </w:r>
      <w:r w:rsidR="00157B1A" w:rsidRPr="00D20081">
        <w:rPr>
          <w:rFonts w:asciiTheme="majorHAnsi" w:hAnsiTheme="majorHAnsi"/>
          <w:szCs w:val="22"/>
          <w:lang w:val="fr-CA"/>
        </w:rPr>
        <w:t>288</w:t>
      </w:r>
      <w:r>
        <w:rPr>
          <w:rFonts w:asciiTheme="majorHAnsi" w:hAnsiTheme="majorHAnsi"/>
          <w:szCs w:val="22"/>
          <w:lang w:val="fr-CA"/>
        </w:rPr>
        <w:t> </w:t>
      </w:r>
      <w:r w:rsidR="00157B1A" w:rsidRPr="00D20081">
        <w:rPr>
          <w:rFonts w:asciiTheme="majorHAnsi" w:hAnsiTheme="majorHAnsi"/>
          <w:szCs w:val="22"/>
          <w:lang w:val="fr-CA"/>
        </w:rPr>
        <w:t>000</w:t>
      </w:r>
      <w:r w:rsidR="002D2D47">
        <w:rPr>
          <w:rFonts w:asciiTheme="majorHAnsi" w:hAnsiTheme="majorHAnsi"/>
          <w:szCs w:val="22"/>
          <w:lang w:val="fr-CA"/>
        </w:rPr>
        <w:t xml:space="preserve"> </w:t>
      </w:r>
      <w:r>
        <w:rPr>
          <w:rFonts w:asciiTheme="majorHAnsi" w:hAnsiTheme="majorHAnsi"/>
          <w:szCs w:val="22"/>
          <w:lang w:val="fr-CA"/>
        </w:rPr>
        <w:t xml:space="preserve">CHF </w:t>
      </w:r>
      <w:r w:rsidR="002D2D47">
        <w:rPr>
          <w:rFonts w:asciiTheme="majorHAnsi" w:hAnsiTheme="majorHAnsi"/>
          <w:szCs w:val="22"/>
          <w:lang w:val="fr-CA"/>
        </w:rPr>
        <w:t xml:space="preserve">sont </w:t>
      </w:r>
      <w:r>
        <w:rPr>
          <w:rFonts w:asciiTheme="majorHAnsi" w:hAnsiTheme="majorHAnsi"/>
          <w:szCs w:val="22"/>
          <w:lang w:val="fr-CA"/>
        </w:rPr>
        <w:t xml:space="preserve">disponibles pour l’application du plan de travail. </w:t>
      </w:r>
    </w:p>
    <w:p w14:paraId="348D0DE4" w14:textId="77777777" w:rsidR="00157B1A" w:rsidRPr="00D20081" w:rsidRDefault="00157B1A" w:rsidP="00F24C88">
      <w:pPr>
        <w:pStyle w:val="ListParagraph"/>
        <w:ind w:left="426" w:hanging="426"/>
        <w:rPr>
          <w:rFonts w:asciiTheme="majorHAnsi" w:hAnsiTheme="majorHAnsi"/>
          <w:szCs w:val="22"/>
          <w:lang w:val="fr-CA"/>
        </w:rPr>
      </w:pPr>
    </w:p>
    <w:p w14:paraId="225AC11E" w14:textId="4A98A9D9" w:rsidR="00157B1A" w:rsidRPr="00D20081" w:rsidRDefault="002E3E1D" w:rsidP="00F24C88">
      <w:pPr>
        <w:pStyle w:val="ListParagraph"/>
        <w:numPr>
          <w:ilvl w:val="0"/>
          <w:numId w:val="31"/>
        </w:numPr>
        <w:ind w:left="426" w:hanging="426"/>
        <w:rPr>
          <w:rFonts w:asciiTheme="majorHAnsi" w:hAnsiTheme="majorHAnsi"/>
          <w:szCs w:val="22"/>
          <w:lang w:val="fr-CA"/>
        </w:rPr>
      </w:pPr>
      <w:r>
        <w:rPr>
          <w:rFonts w:asciiTheme="majorHAnsi" w:hAnsiTheme="majorHAnsi"/>
          <w:szCs w:val="22"/>
          <w:lang w:val="fr-CA"/>
        </w:rPr>
        <w:t>En outre, le WWF pourrait être en mesure de financer intégralement la tâche 4.1 (100 000 CHF; Besoins en eau des zones humides) et de financer partiellement la tâche 4.2 (22 000 CHF; Exa</w:t>
      </w:r>
      <w:r w:rsidR="00485A40">
        <w:rPr>
          <w:rFonts w:asciiTheme="majorHAnsi" w:hAnsiTheme="majorHAnsi"/>
          <w:szCs w:val="22"/>
          <w:lang w:val="fr-CA"/>
        </w:rPr>
        <w:t xml:space="preserve">men et analyse des rapports de </w:t>
      </w:r>
      <w:r w:rsidR="002D2D47">
        <w:rPr>
          <w:rFonts w:asciiTheme="majorHAnsi" w:hAnsiTheme="majorHAnsi"/>
          <w:szCs w:val="22"/>
          <w:lang w:val="fr-CA"/>
        </w:rPr>
        <w:t>M</w:t>
      </w:r>
      <w:r>
        <w:rPr>
          <w:rFonts w:asciiTheme="majorHAnsi" w:hAnsiTheme="majorHAnsi"/>
          <w:szCs w:val="22"/>
          <w:lang w:val="fr-CA"/>
        </w:rPr>
        <w:t xml:space="preserve">issions consultatives Ramsar). Le GEST est extrêmement reconnaissant </w:t>
      </w:r>
      <w:r w:rsidR="00E5617B">
        <w:rPr>
          <w:rFonts w:asciiTheme="majorHAnsi" w:hAnsiTheme="majorHAnsi"/>
          <w:szCs w:val="22"/>
          <w:lang w:val="fr-CA"/>
        </w:rPr>
        <w:t>au WWF pour</w:t>
      </w:r>
      <w:r>
        <w:rPr>
          <w:rFonts w:asciiTheme="majorHAnsi" w:hAnsiTheme="majorHAnsi"/>
          <w:szCs w:val="22"/>
          <w:lang w:val="fr-CA"/>
        </w:rPr>
        <w:t xml:space="preserve"> l’appui </w:t>
      </w:r>
      <w:r w:rsidR="00E5617B">
        <w:rPr>
          <w:rFonts w:asciiTheme="majorHAnsi" w:hAnsiTheme="majorHAnsi"/>
          <w:szCs w:val="22"/>
          <w:lang w:val="fr-CA"/>
        </w:rPr>
        <w:t>déterminé</w:t>
      </w:r>
      <w:r>
        <w:rPr>
          <w:rFonts w:asciiTheme="majorHAnsi" w:hAnsiTheme="majorHAnsi"/>
          <w:szCs w:val="22"/>
          <w:lang w:val="fr-CA"/>
        </w:rPr>
        <w:t xml:space="preserve"> qu</w:t>
      </w:r>
      <w:r w:rsidR="00E5617B">
        <w:rPr>
          <w:rFonts w:asciiTheme="majorHAnsi" w:hAnsiTheme="majorHAnsi"/>
          <w:szCs w:val="22"/>
          <w:lang w:val="fr-CA"/>
        </w:rPr>
        <w:t>’il</w:t>
      </w:r>
      <w:r>
        <w:rPr>
          <w:rFonts w:asciiTheme="majorHAnsi" w:hAnsiTheme="majorHAnsi"/>
          <w:szCs w:val="22"/>
          <w:lang w:val="fr-CA"/>
        </w:rPr>
        <w:t xml:space="preserve"> accord</w:t>
      </w:r>
      <w:r w:rsidR="00667632">
        <w:rPr>
          <w:rFonts w:asciiTheme="majorHAnsi" w:hAnsiTheme="majorHAnsi"/>
          <w:szCs w:val="22"/>
          <w:lang w:val="fr-CA"/>
        </w:rPr>
        <w:t>e</w:t>
      </w:r>
      <w:r>
        <w:rPr>
          <w:rFonts w:asciiTheme="majorHAnsi" w:hAnsiTheme="majorHAnsi"/>
          <w:szCs w:val="22"/>
          <w:lang w:val="fr-CA"/>
        </w:rPr>
        <w:t xml:space="preserve"> à la Convention. </w:t>
      </w:r>
    </w:p>
    <w:p w14:paraId="0EAF54D9" w14:textId="77777777" w:rsidR="00157B1A" w:rsidRPr="00D20081" w:rsidRDefault="00157B1A" w:rsidP="00F24C88">
      <w:pPr>
        <w:ind w:left="426" w:hanging="426"/>
        <w:rPr>
          <w:rFonts w:asciiTheme="majorHAnsi" w:hAnsiTheme="majorHAnsi"/>
          <w:sz w:val="22"/>
          <w:szCs w:val="22"/>
          <w:lang w:val="fr-CA"/>
        </w:rPr>
      </w:pPr>
    </w:p>
    <w:p w14:paraId="7756BE1A" w14:textId="27871271" w:rsidR="00157B1A" w:rsidRPr="00D20081" w:rsidRDefault="002E3E1D" w:rsidP="00F24C88">
      <w:pPr>
        <w:pStyle w:val="ListParagraph"/>
        <w:numPr>
          <w:ilvl w:val="0"/>
          <w:numId w:val="31"/>
        </w:numPr>
        <w:ind w:left="426" w:hanging="426"/>
        <w:rPr>
          <w:rFonts w:asciiTheme="majorHAnsi" w:hAnsiTheme="majorHAnsi"/>
          <w:szCs w:val="22"/>
          <w:lang w:val="fr-CA"/>
        </w:rPr>
      </w:pPr>
      <w:r>
        <w:rPr>
          <w:rFonts w:asciiTheme="majorHAnsi" w:hAnsiTheme="majorHAnsi"/>
          <w:szCs w:val="22"/>
          <w:lang w:val="fr-CA"/>
        </w:rPr>
        <w:lastRenderedPageBreak/>
        <w:t xml:space="preserve">À la lumière des ressources disponibles, le GEST recommande qu’une attention particulière soit accordée aux dix tâches proposées suivantes, plus le rapport </w:t>
      </w:r>
      <w:r w:rsidR="00157B1A" w:rsidRPr="002E3E1D">
        <w:rPr>
          <w:rFonts w:asciiTheme="majorHAnsi" w:hAnsiTheme="majorHAnsi"/>
          <w:szCs w:val="22"/>
          <w:lang w:val="fr-CA"/>
        </w:rPr>
        <w:t xml:space="preserve">SoWWS, </w:t>
      </w:r>
      <w:r>
        <w:rPr>
          <w:rFonts w:asciiTheme="majorHAnsi" w:hAnsiTheme="majorHAnsi"/>
          <w:szCs w:val="22"/>
          <w:lang w:val="fr-CA"/>
        </w:rPr>
        <w:t>figurant en ordre d’apparition dans le plan de travail. Le coût total estimé pour ces priorités jugées élevées (« </w:t>
      </w:r>
      <w:r w:rsidR="00157B1A" w:rsidRPr="002E3E1D">
        <w:rPr>
          <w:rFonts w:asciiTheme="majorHAnsi" w:hAnsiTheme="majorHAnsi"/>
          <w:szCs w:val="22"/>
          <w:lang w:val="fr-CA"/>
        </w:rPr>
        <w:t>SoWWS</w:t>
      </w:r>
      <w:r>
        <w:rPr>
          <w:rFonts w:asciiTheme="majorHAnsi" w:hAnsiTheme="majorHAnsi"/>
          <w:szCs w:val="22"/>
          <w:lang w:val="fr-CA"/>
        </w:rPr>
        <w:t> </w:t>
      </w:r>
      <w:r w:rsidR="00157B1A" w:rsidRPr="002E3E1D">
        <w:rPr>
          <w:rFonts w:asciiTheme="majorHAnsi" w:hAnsiTheme="majorHAnsi"/>
          <w:szCs w:val="22"/>
          <w:lang w:val="fr-CA"/>
        </w:rPr>
        <w:t>+</w:t>
      </w:r>
      <w:r>
        <w:rPr>
          <w:rFonts w:asciiTheme="majorHAnsi" w:hAnsiTheme="majorHAnsi"/>
          <w:szCs w:val="22"/>
          <w:lang w:val="fr-CA"/>
        </w:rPr>
        <w:t> </w:t>
      </w:r>
      <w:r w:rsidR="00157B1A" w:rsidRPr="002E3E1D">
        <w:rPr>
          <w:rFonts w:asciiTheme="majorHAnsi" w:hAnsiTheme="majorHAnsi"/>
          <w:szCs w:val="22"/>
          <w:lang w:val="fr-CA"/>
        </w:rPr>
        <w:t>10</w:t>
      </w:r>
      <w:r>
        <w:rPr>
          <w:rFonts w:asciiTheme="majorHAnsi" w:hAnsiTheme="majorHAnsi"/>
          <w:szCs w:val="22"/>
          <w:lang w:val="fr-CA"/>
        </w:rPr>
        <w:t> »</w:t>
      </w:r>
      <w:r w:rsidR="00157B1A" w:rsidRPr="002E3E1D">
        <w:rPr>
          <w:rFonts w:asciiTheme="majorHAnsi" w:hAnsiTheme="majorHAnsi"/>
          <w:szCs w:val="22"/>
          <w:lang w:val="fr-CA"/>
        </w:rPr>
        <w:t xml:space="preserve">) </w:t>
      </w:r>
      <w:r>
        <w:rPr>
          <w:rFonts w:asciiTheme="majorHAnsi" w:hAnsiTheme="majorHAnsi"/>
          <w:szCs w:val="22"/>
          <w:lang w:val="fr-CA"/>
        </w:rPr>
        <w:t xml:space="preserve">est de </w:t>
      </w:r>
      <w:r w:rsidR="00157B1A" w:rsidRPr="002E3E1D">
        <w:rPr>
          <w:rFonts w:asciiTheme="majorHAnsi" w:hAnsiTheme="majorHAnsi"/>
          <w:szCs w:val="22"/>
          <w:lang w:val="fr-CA"/>
        </w:rPr>
        <w:t>317</w:t>
      </w:r>
      <w:r>
        <w:rPr>
          <w:rFonts w:asciiTheme="majorHAnsi" w:hAnsiTheme="majorHAnsi"/>
          <w:szCs w:val="22"/>
          <w:lang w:val="fr-CA"/>
        </w:rPr>
        <w:t> </w:t>
      </w:r>
      <w:r w:rsidR="00157B1A" w:rsidRPr="002E3E1D">
        <w:rPr>
          <w:rFonts w:asciiTheme="majorHAnsi" w:hAnsiTheme="majorHAnsi"/>
          <w:szCs w:val="22"/>
          <w:lang w:val="fr-CA"/>
        </w:rPr>
        <w:t>300</w:t>
      </w:r>
      <w:r>
        <w:rPr>
          <w:rFonts w:asciiTheme="majorHAnsi" w:hAnsiTheme="majorHAnsi"/>
          <w:szCs w:val="22"/>
          <w:lang w:val="fr-CA"/>
        </w:rPr>
        <w:t> CHF, ce qui signifie qu’il y a un déficit de 29 300 CHF. À noter toutefois que l’estimation présume généralement que le coût maximum pour la mise en pages, la conception, la révision, la traduction et la publication est le suivant : jusqu’à</w:t>
      </w:r>
      <w:r w:rsidR="00157B1A" w:rsidRPr="002E3E1D">
        <w:rPr>
          <w:rFonts w:asciiTheme="majorHAnsi" w:hAnsiTheme="majorHAnsi"/>
          <w:szCs w:val="22"/>
          <w:lang w:val="fr-CA"/>
        </w:rPr>
        <w:t xml:space="preserve"> 9000</w:t>
      </w:r>
      <w:r>
        <w:rPr>
          <w:rFonts w:asciiTheme="majorHAnsi" w:hAnsiTheme="majorHAnsi"/>
          <w:szCs w:val="22"/>
          <w:lang w:val="fr-CA"/>
        </w:rPr>
        <w:t> </w:t>
      </w:r>
      <w:r>
        <w:rPr>
          <w:rFonts w:asciiTheme="majorHAnsi" w:hAnsiTheme="majorHAnsi"/>
          <w:szCs w:val="22"/>
          <w:lang w:val="fr-CA"/>
        </w:rPr>
        <w:tab/>
        <w:t>CHF pour un document d’orientation; jusqu’à 13 000 </w:t>
      </w:r>
      <w:r w:rsidR="007C5D54">
        <w:rPr>
          <w:rFonts w:asciiTheme="majorHAnsi" w:hAnsiTheme="majorHAnsi"/>
          <w:szCs w:val="22"/>
          <w:lang w:val="fr-CA"/>
        </w:rPr>
        <w:t>CHF pour une n</w:t>
      </w:r>
      <w:r>
        <w:rPr>
          <w:rFonts w:asciiTheme="majorHAnsi" w:hAnsiTheme="majorHAnsi"/>
          <w:szCs w:val="22"/>
          <w:lang w:val="fr-CA"/>
        </w:rPr>
        <w:t>ote d’information; et jusqu’à 33 500 CHF pour un Rapport technique Ramsar. Nous espérons que, dans certains cas, les coûts réels seront inférieurs et nous sommes donc relativement confiants que les ressources actuellement disponibles</w:t>
      </w:r>
      <w:r w:rsidR="00855403">
        <w:rPr>
          <w:rFonts w:asciiTheme="majorHAnsi" w:hAnsiTheme="majorHAnsi"/>
          <w:szCs w:val="22"/>
          <w:lang w:val="fr-CA"/>
        </w:rPr>
        <w:t xml:space="preserve"> </w:t>
      </w:r>
      <w:r>
        <w:rPr>
          <w:rFonts w:asciiTheme="majorHAnsi" w:hAnsiTheme="majorHAnsi"/>
          <w:szCs w:val="22"/>
          <w:lang w:val="fr-CA"/>
        </w:rPr>
        <w:t>pourront soutenir le</w:t>
      </w:r>
      <w:r w:rsidR="002D2D47">
        <w:rPr>
          <w:rFonts w:asciiTheme="majorHAnsi" w:hAnsiTheme="majorHAnsi"/>
          <w:szCs w:val="22"/>
          <w:lang w:val="fr-CA"/>
        </w:rPr>
        <w:t>s tâches</w:t>
      </w:r>
      <w:r>
        <w:rPr>
          <w:rFonts w:asciiTheme="majorHAnsi" w:hAnsiTheme="majorHAnsi"/>
          <w:szCs w:val="22"/>
          <w:lang w:val="fr-CA"/>
        </w:rPr>
        <w:t xml:space="preserve"> « </w:t>
      </w:r>
      <w:r w:rsidR="00157B1A" w:rsidRPr="002E3E1D">
        <w:rPr>
          <w:rFonts w:asciiTheme="majorHAnsi" w:hAnsiTheme="majorHAnsi"/>
          <w:szCs w:val="22"/>
          <w:lang w:val="fr-CA"/>
        </w:rPr>
        <w:t>SoWWS</w:t>
      </w:r>
      <w:r>
        <w:rPr>
          <w:rFonts w:asciiTheme="majorHAnsi" w:hAnsiTheme="majorHAnsi"/>
          <w:szCs w:val="22"/>
          <w:lang w:val="fr-CA"/>
        </w:rPr>
        <w:t> </w:t>
      </w:r>
      <w:r w:rsidR="00157B1A" w:rsidRPr="002E3E1D">
        <w:rPr>
          <w:rFonts w:asciiTheme="majorHAnsi" w:hAnsiTheme="majorHAnsi"/>
          <w:szCs w:val="22"/>
          <w:lang w:val="fr-CA"/>
        </w:rPr>
        <w:t>+</w:t>
      </w:r>
      <w:r>
        <w:rPr>
          <w:rFonts w:asciiTheme="majorHAnsi" w:hAnsiTheme="majorHAnsi"/>
          <w:szCs w:val="22"/>
          <w:lang w:val="fr-CA"/>
        </w:rPr>
        <w:t> 10 »</w:t>
      </w:r>
      <w:r w:rsidR="00157B1A" w:rsidRPr="002E3E1D">
        <w:rPr>
          <w:rFonts w:asciiTheme="majorHAnsi" w:hAnsiTheme="majorHAnsi"/>
          <w:szCs w:val="22"/>
          <w:lang w:val="fr-CA"/>
        </w:rPr>
        <w:t>.</w:t>
      </w:r>
      <w:r w:rsidR="00157B1A" w:rsidRPr="00D20081" w:rsidDel="00CE00F8">
        <w:rPr>
          <w:rFonts w:asciiTheme="majorHAnsi" w:hAnsiTheme="majorHAnsi"/>
          <w:szCs w:val="22"/>
          <w:lang w:val="fr-CA"/>
        </w:rPr>
        <w:t xml:space="preserve"> </w:t>
      </w:r>
    </w:p>
    <w:p w14:paraId="34D82623" w14:textId="77777777" w:rsidR="00F24C88" w:rsidRPr="00251FB6" w:rsidRDefault="00F24C88" w:rsidP="00157B1A">
      <w:pPr>
        <w:ind w:left="-360"/>
        <w:rPr>
          <w:rFonts w:asciiTheme="majorHAnsi" w:hAnsiTheme="majorHAnsi"/>
          <w:sz w:val="22"/>
          <w:szCs w:val="22"/>
          <w:lang w:val="fr-CH"/>
        </w:rPr>
      </w:pPr>
    </w:p>
    <w:tbl>
      <w:tblPr>
        <w:tblW w:w="9114" w:type="dxa"/>
        <w:jc w:val="center"/>
        <w:tblBorders>
          <w:top w:val="nil"/>
          <w:left w:val="nil"/>
          <w:right w:val="nil"/>
        </w:tblBorders>
        <w:tblLayout w:type="fixed"/>
        <w:tblLook w:val="0000" w:firstRow="0" w:lastRow="0" w:firstColumn="0" w:lastColumn="0" w:noHBand="0" w:noVBand="0"/>
      </w:tblPr>
      <w:tblGrid>
        <w:gridCol w:w="2738"/>
        <w:gridCol w:w="850"/>
        <w:gridCol w:w="3544"/>
        <w:gridCol w:w="1982"/>
      </w:tblGrid>
      <w:tr w:rsidR="007D07CF" w:rsidRPr="00313789" w14:paraId="706BCCEA" w14:textId="77777777" w:rsidTr="00F24C88">
        <w:trPr>
          <w:tblHeader/>
          <w:jc w:val="center"/>
        </w:trPr>
        <w:tc>
          <w:tcPr>
            <w:tcW w:w="2738" w:type="dxa"/>
            <w:tcBorders>
              <w:top w:val="single" w:sz="10" w:space="0" w:color="000000"/>
              <w:left w:val="single" w:sz="10" w:space="0" w:color="000000"/>
              <w:bottom w:val="single" w:sz="10" w:space="0" w:color="000000"/>
              <w:right w:val="single" w:sz="10" w:space="0" w:color="000000"/>
            </w:tcBorders>
            <w:shd w:val="clear" w:color="auto" w:fill="D9D9D9" w:themeFill="background1" w:themeFillShade="D9"/>
            <w:tcMar>
              <w:top w:w="144" w:type="nil"/>
              <w:right w:w="144" w:type="nil"/>
            </w:tcMar>
          </w:tcPr>
          <w:p w14:paraId="70014849" w14:textId="311FFA78" w:rsidR="007D07CF" w:rsidRPr="00313789" w:rsidRDefault="00B07C1F" w:rsidP="00914A1A">
            <w:pPr>
              <w:widowControl w:val="0"/>
              <w:autoSpaceDE w:val="0"/>
              <w:autoSpaceDN w:val="0"/>
              <w:adjustRightInd w:val="0"/>
              <w:jc w:val="center"/>
              <w:rPr>
                <w:rFonts w:asciiTheme="majorHAnsi" w:eastAsia="Calibri" w:hAnsiTheme="majorHAnsi"/>
                <w:sz w:val="22"/>
                <w:szCs w:val="22"/>
                <w:lang w:val="fr-CA"/>
              </w:rPr>
            </w:pPr>
            <w:r w:rsidRPr="00313789">
              <w:rPr>
                <w:rFonts w:asciiTheme="majorHAnsi" w:eastAsia="Calibri" w:hAnsiTheme="majorHAnsi" w:cs="Calibri"/>
                <w:b/>
                <w:bCs/>
                <w:sz w:val="22"/>
                <w:szCs w:val="22"/>
                <w:lang w:val="fr-CA"/>
              </w:rPr>
              <w:t>Titre</w:t>
            </w:r>
          </w:p>
        </w:tc>
        <w:tc>
          <w:tcPr>
            <w:tcW w:w="850" w:type="dxa"/>
            <w:tcBorders>
              <w:top w:val="single" w:sz="10" w:space="0" w:color="000000"/>
              <w:bottom w:val="single" w:sz="10" w:space="0" w:color="000000"/>
              <w:right w:val="single" w:sz="10" w:space="0" w:color="000000"/>
            </w:tcBorders>
            <w:shd w:val="clear" w:color="auto" w:fill="D9D9D9" w:themeFill="background1" w:themeFillShade="D9"/>
            <w:tcMar>
              <w:top w:w="144" w:type="nil"/>
              <w:right w:w="144" w:type="nil"/>
            </w:tcMar>
          </w:tcPr>
          <w:p w14:paraId="176893CA" w14:textId="45009FFC" w:rsidR="007D07CF" w:rsidRPr="00313789" w:rsidRDefault="00B07C1F" w:rsidP="00914A1A">
            <w:pPr>
              <w:widowControl w:val="0"/>
              <w:autoSpaceDE w:val="0"/>
              <w:autoSpaceDN w:val="0"/>
              <w:adjustRightInd w:val="0"/>
              <w:jc w:val="center"/>
              <w:rPr>
                <w:rFonts w:asciiTheme="majorHAnsi" w:eastAsia="Calibri" w:hAnsiTheme="majorHAnsi"/>
                <w:sz w:val="22"/>
                <w:szCs w:val="22"/>
                <w:lang w:val="fr-CA"/>
              </w:rPr>
            </w:pPr>
            <w:r w:rsidRPr="00313789">
              <w:rPr>
                <w:rFonts w:asciiTheme="majorHAnsi" w:eastAsia="Calibri" w:hAnsiTheme="majorHAnsi" w:cs="Calibri"/>
                <w:b/>
                <w:bCs/>
                <w:sz w:val="22"/>
                <w:szCs w:val="22"/>
                <w:lang w:val="fr-CA"/>
              </w:rPr>
              <w:t>Tâche n</w:t>
            </w:r>
            <w:r w:rsidRPr="00313789">
              <w:rPr>
                <w:rFonts w:asciiTheme="majorHAnsi" w:eastAsia="Calibri" w:hAnsiTheme="majorHAnsi" w:cs="Calibri"/>
                <w:b/>
                <w:bCs/>
                <w:sz w:val="22"/>
                <w:szCs w:val="22"/>
                <w:vertAlign w:val="superscript"/>
                <w:lang w:val="fr-CA"/>
              </w:rPr>
              <w:t>o</w:t>
            </w:r>
          </w:p>
        </w:tc>
        <w:tc>
          <w:tcPr>
            <w:tcW w:w="3544" w:type="dxa"/>
            <w:tcBorders>
              <w:top w:val="single" w:sz="10" w:space="0" w:color="000000"/>
              <w:bottom w:val="single" w:sz="10" w:space="0" w:color="000000"/>
              <w:right w:val="single" w:sz="10" w:space="0" w:color="000000"/>
            </w:tcBorders>
            <w:shd w:val="clear" w:color="auto" w:fill="D9D9D9" w:themeFill="background1" w:themeFillShade="D9"/>
            <w:tcMar>
              <w:top w:w="144" w:type="nil"/>
              <w:right w:w="144" w:type="nil"/>
            </w:tcMar>
          </w:tcPr>
          <w:p w14:paraId="21FA5A2B" w14:textId="43CC2637" w:rsidR="007D07CF" w:rsidRPr="00313789" w:rsidRDefault="00B07C1F" w:rsidP="00914A1A">
            <w:pPr>
              <w:widowControl w:val="0"/>
              <w:autoSpaceDE w:val="0"/>
              <w:autoSpaceDN w:val="0"/>
              <w:adjustRightInd w:val="0"/>
              <w:jc w:val="center"/>
              <w:rPr>
                <w:rFonts w:asciiTheme="majorHAnsi" w:eastAsia="Calibri" w:hAnsiTheme="majorHAnsi"/>
                <w:sz w:val="22"/>
                <w:szCs w:val="22"/>
                <w:lang w:val="fr-CA"/>
              </w:rPr>
            </w:pPr>
            <w:r w:rsidRPr="00313789">
              <w:rPr>
                <w:rFonts w:asciiTheme="majorHAnsi" w:eastAsia="Calibri" w:hAnsiTheme="majorHAnsi" w:cs="Calibri"/>
                <w:b/>
                <w:bCs/>
                <w:sz w:val="22"/>
                <w:szCs w:val="22"/>
                <w:lang w:val="fr-CA"/>
              </w:rPr>
              <w:t>Public(s) ciblé</w:t>
            </w:r>
            <w:r w:rsidR="007D07CF" w:rsidRPr="00313789">
              <w:rPr>
                <w:rFonts w:asciiTheme="majorHAnsi" w:eastAsia="Calibri" w:hAnsiTheme="majorHAnsi" w:cs="Calibri"/>
                <w:b/>
                <w:bCs/>
                <w:sz w:val="22"/>
                <w:szCs w:val="22"/>
                <w:lang w:val="fr-CA"/>
              </w:rPr>
              <w:t>(s)</w:t>
            </w:r>
          </w:p>
        </w:tc>
        <w:tc>
          <w:tcPr>
            <w:tcW w:w="1982" w:type="dxa"/>
            <w:tcBorders>
              <w:top w:val="single" w:sz="10" w:space="0" w:color="000000"/>
              <w:bottom w:val="single" w:sz="10" w:space="0" w:color="000000"/>
              <w:right w:val="single" w:sz="10" w:space="0" w:color="000000"/>
            </w:tcBorders>
            <w:shd w:val="clear" w:color="auto" w:fill="D9D9D9" w:themeFill="background1" w:themeFillShade="D9"/>
            <w:tcMar>
              <w:top w:w="144" w:type="nil"/>
              <w:right w:w="144" w:type="nil"/>
            </w:tcMar>
          </w:tcPr>
          <w:p w14:paraId="1C61D66D" w14:textId="48BAC4A1" w:rsidR="007D07CF" w:rsidRPr="00313789" w:rsidRDefault="00B07C1F" w:rsidP="00914A1A">
            <w:pPr>
              <w:widowControl w:val="0"/>
              <w:autoSpaceDE w:val="0"/>
              <w:autoSpaceDN w:val="0"/>
              <w:adjustRightInd w:val="0"/>
              <w:jc w:val="center"/>
              <w:rPr>
                <w:rFonts w:asciiTheme="majorHAnsi" w:eastAsia="Calibri" w:hAnsiTheme="majorHAnsi"/>
                <w:sz w:val="22"/>
                <w:szCs w:val="22"/>
                <w:lang w:val="fr-CA"/>
              </w:rPr>
            </w:pPr>
            <w:r w:rsidRPr="00313789">
              <w:rPr>
                <w:rFonts w:asciiTheme="majorHAnsi" w:eastAsia="Calibri" w:hAnsiTheme="majorHAnsi" w:cs="Calibri"/>
                <w:b/>
                <w:bCs/>
                <w:sz w:val="22"/>
                <w:szCs w:val="22"/>
                <w:lang w:val="fr-CA"/>
              </w:rPr>
              <w:t>Coût estimé</w:t>
            </w:r>
            <w:r w:rsidR="00E01336" w:rsidRPr="00313789">
              <w:rPr>
                <w:rFonts w:asciiTheme="majorHAnsi" w:eastAsia="Calibri" w:hAnsiTheme="majorHAnsi" w:cs="Calibri"/>
                <w:b/>
                <w:bCs/>
                <w:sz w:val="22"/>
                <w:szCs w:val="22"/>
                <w:lang w:val="fr-CA"/>
              </w:rPr>
              <w:t xml:space="preserve"> </w:t>
            </w:r>
            <w:r w:rsidR="007D07CF" w:rsidRPr="00313789">
              <w:rPr>
                <w:rFonts w:asciiTheme="majorHAnsi" w:eastAsia="Calibri" w:hAnsiTheme="majorHAnsi" w:cs="Calibri"/>
                <w:b/>
                <w:bCs/>
                <w:sz w:val="22"/>
                <w:szCs w:val="22"/>
                <w:lang w:val="fr-CA"/>
              </w:rPr>
              <w:t>(CHF)</w:t>
            </w:r>
          </w:p>
        </w:tc>
      </w:tr>
      <w:tr w:rsidR="007D07CF" w:rsidRPr="00313789" w14:paraId="4C96C56D" w14:textId="77777777" w:rsidTr="00F24C88">
        <w:tblPrEx>
          <w:tblBorders>
            <w:top w:val="none" w:sz="0" w:space="0" w:color="auto"/>
          </w:tblBorders>
        </w:tblPrEx>
        <w:trPr>
          <w:jc w:val="center"/>
        </w:trPr>
        <w:tc>
          <w:tcPr>
            <w:tcW w:w="2738" w:type="dxa"/>
            <w:tcBorders>
              <w:left w:val="single" w:sz="10" w:space="0" w:color="000000"/>
              <w:bottom w:val="single" w:sz="10" w:space="0" w:color="000000"/>
              <w:right w:val="single" w:sz="10" w:space="0" w:color="000000"/>
            </w:tcBorders>
            <w:tcMar>
              <w:top w:w="144" w:type="nil"/>
              <w:right w:w="144" w:type="nil"/>
            </w:tcMar>
          </w:tcPr>
          <w:p w14:paraId="72A12B7C" w14:textId="1F13DFC7" w:rsidR="007D07CF" w:rsidRPr="00313789" w:rsidRDefault="00B07C1F" w:rsidP="00253A36">
            <w:pPr>
              <w:widowControl w:val="0"/>
              <w:autoSpaceDE w:val="0"/>
              <w:autoSpaceDN w:val="0"/>
              <w:adjustRightInd w:val="0"/>
              <w:rPr>
                <w:rFonts w:asciiTheme="majorHAnsi" w:eastAsia="Calibri" w:hAnsiTheme="majorHAnsi"/>
                <w:sz w:val="22"/>
                <w:szCs w:val="22"/>
                <w:lang w:val="fr-CA"/>
              </w:rPr>
            </w:pPr>
            <w:r w:rsidRPr="00313789">
              <w:rPr>
                <w:rFonts w:asciiTheme="majorHAnsi" w:eastAsia="Calibri" w:hAnsiTheme="majorHAnsi" w:cs="Calibri"/>
                <w:sz w:val="22"/>
                <w:szCs w:val="22"/>
                <w:lang w:val="fr-CA"/>
              </w:rPr>
              <w:t>État mondial des zones humides et de leurs services à l’humanité</w:t>
            </w:r>
            <w:r w:rsidR="00855403">
              <w:rPr>
                <w:rFonts w:asciiTheme="majorHAnsi" w:eastAsia="Calibri" w:hAnsiTheme="majorHAnsi" w:cs="Calibri"/>
                <w:sz w:val="22"/>
                <w:szCs w:val="22"/>
                <w:lang w:val="fr-CA"/>
              </w:rPr>
              <w:t xml:space="preserve"> </w:t>
            </w:r>
            <w:r w:rsidR="00C231B8" w:rsidRPr="00313789">
              <w:rPr>
                <w:rFonts w:asciiTheme="majorHAnsi" w:eastAsia="Calibri" w:hAnsiTheme="majorHAnsi" w:cs="Calibri"/>
                <w:sz w:val="22"/>
                <w:szCs w:val="22"/>
                <w:lang w:val="fr-CA"/>
              </w:rPr>
              <w:t>(SoWWS)</w:t>
            </w:r>
          </w:p>
        </w:tc>
        <w:tc>
          <w:tcPr>
            <w:tcW w:w="850" w:type="dxa"/>
            <w:tcBorders>
              <w:bottom w:val="single" w:sz="10" w:space="0" w:color="000000"/>
              <w:right w:val="single" w:sz="10" w:space="0" w:color="000000"/>
            </w:tcBorders>
            <w:tcMar>
              <w:top w:w="144" w:type="nil"/>
              <w:right w:w="144" w:type="nil"/>
            </w:tcMar>
          </w:tcPr>
          <w:p w14:paraId="35B866DD" w14:textId="33F7894C" w:rsidR="007D07CF" w:rsidRPr="00313789" w:rsidRDefault="007D07CF" w:rsidP="00914A1A">
            <w:pPr>
              <w:widowControl w:val="0"/>
              <w:autoSpaceDE w:val="0"/>
              <w:autoSpaceDN w:val="0"/>
              <w:adjustRightInd w:val="0"/>
              <w:rPr>
                <w:rFonts w:asciiTheme="majorHAnsi" w:eastAsia="Calibri" w:hAnsiTheme="majorHAnsi"/>
                <w:sz w:val="22"/>
                <w:szCs w:val="22"/>
                <w:lang w:val="fr-CA"/>
              </w:rPr>
            </w:pPr>
          </w:p>
        </w:tc>
        <w:tc>
          <w:tcPr>
            <w:tcW w:w="3544" w:type="dxa"/>
            <w:tcBorders>
              <w:bottom w:val="single" w:sz="10" w:space="0" w:color="000000"/>
              <w:right w:val="single" w:sz="10" w:space="0" w:color="000000"/>
            </w:tcBorders>
            <w:tcMar>
              <w:top w:w="144" w:type="nil"/>
              <w:right w:w="144" w:type="nil"/>
            </w:tcMar>
          </w:tcPr>
          <w:p w14:paraId="7E4EF8DC" w14:textId="3B0A7E69" w:rsidR="007D07CF" w:rsidRPr="00313789" w:rsidRDefault="00B81559" w:rsidP="00B81559">
            <w:pPr>
              <w:widowControl w:val="0"/>
              <w:autoSpaceDE w:val="0"/>
              <w:autoSpaceDN w:val="0"/>
              <w:adjustRightInd w:val="0"/>
              <w:rPr>
                <w:rFonts w:asciiTheme="majorHAnsi" w:eastAsia="Calibri" w:hAnsiTheme="majorHAnsi"/>
                <w:sz w:val="22"/>
                <w:szCs w:val="22"/>
                <w:lang w:val="fr-CA"/>
              </w:rPr>
            </w:pPr>
            <w:r>
              <w:rPr>
                <w:rFonts w:asciiTheme="majorHAnsi" w:eastAsia="Calibri" w:hAnsiTheme="majorHAnsi" w:cs="Calibri"/>
                <w:sz w:val="22"/>
                <w:szCs w:val="22"/>
                <w:lang w:val="fr-CA"/>
              </w:rPr>
              <w:t>D</w:t>
            </w:r>
            <w:r w:rsidRPr="00313789">
              <w:rPr>
                <w:rFonts w:asciiTheme="majorHAnsi" w:eastAsia="Calibri" w:hAnsiTheme="majorHAnsi" w:cs="Calibri"/>
                <w:sz w:val="22"/>
                <w:szCs w:val="22"/>
                <w:lang w:val="fr-CA"/>
              </w:rPr>
              <w:t>écideurs</w:t>
            </w:r>
            <w:r>
              <w:rPr>
                <w:rFonts w:asciiTheme="majorHAnsi" w:eastAsia="Calibri" w:hAnsiTheme="majorHAnsi" w:cs="Calibri"/>
                <w:sz w:val="22"/>
                <w:szCs w:val="22"/>
                <w:lang w:val="fr-CA"/>
              </w:rPr>
              <w:t xml:space="preserve"> et p</w:t>
            </w:r>
            <w:r w:rsidRPr="00313789">
              <w:rPr>
                <w:rFonts w:asciiTheme="majorHAnsi" w:eastAsia="Calibri" w:hAnsiTheme="majorHAnsi" w:cs="Calibri"/>
                <w:sz w:val="22"/>
                <w:szCs w:val="22"/>
                <w:lang w:val="fr-CA"/>
              </w:rPr>
              <w:t>raticiens</w:t>
            </w:r>
            <w:r>
              <w:rPr>
                <w:rFonts w:asciiTheme="majorHAnsi" w:eastAsia="Calibri" w:hAnsiTheme="majorHAnsi" w:cs="Calibri"/>
                <w:sz w:val="22"/>
                <w:szCs w:val="22"/>
                <w:lang w:val="fr-CA"/>
              </w:rPr>
              <w:t xml:space="preserve"> (</w:t>
            </w:r>
            <w:r w:rsidRPr="00313789">
              <w:rPr>
                <w:rFonts w:asciiTheme="majorHAnsi" w:eastAsia="Calibri" w:hAnsiTheme="majorHAnsi" w:cs="Calibri"/>
                <w:sz w:val="22"/>
                <w:szCs w:val="22"/>
                <w:lang w:val="fr-CA"/>
              </w:rPr>
              <w:t>administrateurs de zones humides et</w:t>
            </w:r>
            <w:r>
              <w:rPr>
                <w:rFonts w:asciiTheme="majorHAnsi" w:eastAsia="Calibri" w:hAnsiTheme="majorHAnsi" w:cs="Calibri"/>
                <w:sz w:val="22"/>
                <w:szCs w:val="22"/>
                <w:lang w:val="fr-CA"/>
              </w:rPr>
              <w:t xml:space="preserve"> acteurs, y compris </w:t>
            </w:r>
            <w:r>
              <w:rPr>
                <w:rFonts w:asciiTheme="majorHAnsi" w:eastAsia="Calibri" w:hAnsiTheme="majorHAnsi" w:cs="Calibri"/>
                <w:color w:val="000000"/>
                <w:szCs w:val="22"/>
                <w:lang w:val="fr-CA"/>
              </w:rPr>
              <w:t>administrateurs d’aires protégées et de centres d’éducation aux zones humides)</w:t>
            </w:r>
          </w:p>
        </w:tc>
        <w:tc>
          <w:tcPr>
            <w:tcW w:w="1982" w:type="dxa"/>
            <w:tcBorders>
              <w:bottom w:val="single" w:sz="10" w:space="0" w:color="000000"/>
              <w:right w:val="single" w:sz="10" w:space="0" w:color="000000"/>
            </w:tcBorders>
            <w:tcMar>
              <w:top w:w="144" w:type="nil"/>
              <w:right w:w="144" w:type="nil"/>
            </w:tcMar>
          </w:tcPr>
          <w:p w14:paraId="3C284C1D" w14:textId="0FBE07FD" w:rsidR="00A94469" w:rsidRPr="00313789" w:rsidRDefault="00253A36" w:rsidP="00914A1A">
            <w:pPr>
              <w:widowControl w:val="0"/>
              <w:autoSpaceDE w:val="0"/>
              <w:autoSpaceDN w:val="0"/>
              <w:adjustRightInd w:val="0"/>
              <w:rPr>
                <w:rFonts w:asciiTheme="majorHAnsi" w:eastAsia="Calibri" w:hAnsiTheme="majorHAnsi" w:cs="Calibri"/>
                <w:sz w:val="22"/>
                <w:szCs w:val="22"/>
                <w:lang w:val="fr-CA"/>
              </w:rPr>
            </w:pPr>
            <w:r w:rsidRPr="00313789">
              <w:rPr>
                <w:rFonts w:asciiTheme="majorHAnsi" w:eastAsia="Calibri" w:hAnsiTheme="majorHAnsi" w:cs="Calibri"/>
                <w:sz w:val="22"/>
                <w:szCs w:val="22"/>
                <w:lang w:val="fr-CA"/>
              </w:rPr>
              <w:t>13</w:t>
            </w:r>
            <w:r w:rsidR="007D07CF" w:rsidRPr="00313789">
              <w:rPr>
                <w:rFonts w:asciiTheme="majorHAnsi" w:eastAsia="Calibri" w:hAnsiTheme="majorHAnsi" w:cs="Calibri"/>
                <w:sz w:val="22"/>
                <w:szCs w:val="22"/>
                <w:lang w:val="fr-CA"/>
              </w:rPr>
              <w:t>7</w:t>
            </w:r>
            <w:r w:rsidR="00B07C1F" w:rsidRPr="00313789">
              <w:rPr>
                <w:rFonts w:asciiTheme="majorHAnsi" w:eastAsia="Calibri" w:hAnsiTheme="majorHAnsi" w:cs="Calibri"/>
                <w:sz w:val="22"/>
                <w:szCs w:val="22"/>
                <w:lang w:val="fr-CA"/>
              </w:rPr>
              <w:t> </w:t>
            </w:r>
            <w:r w:rsidR="007D07CF" w:rsidRPr="00313789">
              <w:rPr>
                <w:rFonts w:asciiTheme="majorHAnsi" w:eastAsia="Calibri" w:hAnsiTheme="majorHAnsi" w:cs="Calibri"/>
                <w:sz w:val="22"/>
                <w:szCs w:val="22"/>
                <w:lang w:val="fr-CA"/>
              </w:rPr>
              <w:t>000</w:t>
            </w:r>
            <w:r w:rsidR="00E01336" w:rsidRPr="00313789">
              <w:rPr>
                <w:rFonts w:asciiTheme="majorHAnsi" w:eastAsia="Calibri" w:hAnsiTheme="majorHAnsi" w:cs="Calibri"/>
                <w:sz w:val="22"/>
                <w:szCs w:val="22"/>
                <w:lang w:val="fr-CA"/>
              </w:rPr>
              <w:t xml:space="preserve"> </w:t>
            </w:r>
          </w:p>
          <w:p w14:paraId="36AE0230" w14:textId="08452CBC" w:rsidR="007D07CF" w:rsidRPr="00313789" w:rsidRDefault="007D07CF" w:rsidP="00B07C1F">
            <w:pPr>
              <w:widowControl w:val="0"/>
              <w:autoSpaceDE w:val="0"/>
              <w:autoSpaceDN w:val="0"/>
              <w:adjustRightInd w:val="0"/>
              <w:rPr>
                <w:rFonts w:asciiTheme="majorHAnsi" w:eastAsia="Calibri" w:hAnsiTheme="majorHAnsi"/>
                <w:sz w:val="22"/>
                <w:szCs w:val="22"/>
                <w:lang w:val="fr-CA"/>
              </w:rPr>
            </w:pPr>
          </w:p>
        </w:tc>
      </w:tr>
      <w:tr w:rsidR="007D07CF" w:rsidRPr="00313789" w14:paraId="2EE27C7D" w14:textId="77777777" w:rsidTr="00F24C88">
        <w:tblPrEx>
          <w:tblBorders>
            <w:top w:val="none" w:sz="0" w:space="0" w:color="auto"/>
          </w:tblBorders>
        </w:tblPrEx>
        <w:trPr>
          <w:jc w:val="center"/>
        </w:trPr>
        <w:tc>
          <w:tcPr>
            <w:tcW w:w="2738" w:type="dxa"/>
            <w:tcBorders>
              <w:left w:val="single" w:sz="10" w:space="0" w:color="000000"/>
              <w:bottom w:val="single" w:sz="10" w:space="0" w:color="000000"/>
              <w:right w:val="single" w:sz="10" w:space="0" w:color="000000"/>
            </w:tcBorders>
            <w:tcMar>
              <w:top w:w="144" w:type="nil"/>
              <w:right w:w="144" w:type="nil"/>
            </w:tcMar>
          </w:tcPr>
          <w:p w14:paraId="4F20C635" w14:textId="29629B8E" w:rsidR="007D07CF" w:rsidRPr="00313789" w:rsidRDefault="003B6083" w:rsidP="00313789">
            <w:pPr>
              <w:widowControl w:val="0"/>
              <w:autoSpaceDE w:val="0"/>
              <w:autoSpaceDN w:val="0"/>
              <w:adjustRightInd w:val="0"/>
              <w:rPr>
                <w:rFonts w:asciiTheme="majorHAnsi" w:eastAsia="Calibri" w:hAnsiTheme="majorHAnsi"/>
                <w:sz w:val="22"/>
                <w:szCs w:val="22"/>
                <w:lang w:val="fr-CA"/>
              </w:rPr>
            </w:pPr>
            <w:r w:rsidRPr="00313789">
              <w:rPr>
                <w:rFonts w:asciiTheme="majorHAnsi" w:hAnsiTheme="majorHAnsi" w:cs="Arial"/>
                <w:sz w:val="22"/>
                <w:szCs w:val="22"/>
                <w:lang w:val="fr-CA"/>
              </w:rPr>
              <w:t xml:space="preserve">Observation </w:t>
            </w:r>
            <w:r w:rsidR="00313789" w:rsidRPr="00313789">
              <w:rPr>
                <w:rFonts w:asciiTheme="majorHAnsi" w:hAnsiTheme="majorHAnsi" w:cs="Arial"/>
                <w:sz w:val="22"/>
                <w:szCs w:val="22"/>
                <w:lang w:val="fr-CA"/>
              </w:rPr>
              <w:t>de la Terre en tant qu’</w:t>
            </w:r>
            <w:r w:rsidR="00313789">
              <w:rPr>
                <w:rFonts w:asciiTheme="majorHAnsi" w:hAnsiTheme="majorHAnsi" w:cs="Arial"/>
                <w:sz w:val="22"/>
                <w:szCs w:val="22"/>
                <w:lang w:val="fr-CA"/>
              </w:rPr>
              <w:t>outil de « meilleure</w:t>
            </w:r>
            <w:r w:rsidR="0002742F">
              <w:rPr>
                <w:rFonts w:asciiTheme="majorHAnsi" w:hAnsiTheme="majorHAnsi" w:cs="Arial"/>
                <w:sz w:val="22"/>
                <w:szCs w:val="22"/>
                <w:lang w:val="fr-CA"/>
              </w:rPr>
              <w:t>s</w:t>
            </w:r>
            <w:r w:rsidR="00313789">
              <w:rPr>
                <w:rFonts w:asciiTheme="majorHAnsi" w:hAnsiTheme="majorHAnsi" w:cs="Arial"/>
                <w:sz w:val="22"/>
                <w:szCs w:val="22"/>
                <w:lang w:val="fr-CA"/>
              </w:rPr>
              <w:t xml:space="preserve"> pratique</w:t>
            </w:r>
            <w:r w:rsidR="0002742F">
              <w:rPr>
                <w:rFonts w:asciiTheme="majorHAnsi" w:hAnsiTheme="majorHAnsi" w:cs="Arial"/>
                <w:sz w:val="22"/>
                <w:szCs w:val="22"/>
                <w:lang w:val="fr-CA"/>
              </w:rPr>
              <w:t>s</w:t>
            </w:r>
            <w:r w:rsidR="00313789">
              <w:rPr>
                <w:rFonts w:asciiTheme="majorHAnsi" w:hAnsiTheme="majorHAnsi" w:cs="Arial"/>
                <w:sz w:val="22"/>
                <w:szCs w:val="22"/>
                <w:lang w:val="fr-CA"/>
              </w:rPr>
              <w:t xml:space="preserve"> » pour l’inventaire, la cartographie et le suivi des zones humides, y compris des Sites Ramsar </w:t>
            </w:r>
          </w:p>
        </w:tc>
        <w:tc>
          <w:tcPr>
            <w:tcW w:w="850" w:type="dxa"/>
            <w:tcBorders>
              <w:bottom w:val="single" w:sz="10" w:space="0" w:color="000000"/>
              <w:right w:val="single" w:sz="10" w:space="0" w:color="000000"/>
            </w:tcBorders>
            <w:tcMar>
              <w:top w:w="144" w:type="nil"/>
              <w:right w:w="144" w:type="nil"/>
            </w:tcMar>
          </w:tcPr>
          <w:p w14:paraId="135C2E65" w14:textId="304ABE6B" w:rsidR="007D07CF" w:rsidRPr="00313789" w:rsidRDefault="001E5EAD" w:rsidP="00914A1A">
            <w:pPr>
              <w:widowControl w:val="0"/>
              <w:autoSpaceDE w:val="0"/>
              <w:autoSpaceDN w:val="0"/>
              <w:adjustRightInd w:val="0"/>
              <w:rPr>
                <w:rFonts w:asciiTheme="majorHAnsi" w:eastAsia="Calibri" w:hAnsiTheme="majorHAnsi"/>
                <w:sz w:val="22"/>
                <w:szCs w:val="22"/>
                <w:lang w:val="fr-CA"/>
              </w:rPr>
            </w:pPr>
            <w:r w:rsidRPr="00313789">
              <w:rPr>
                <w:rFonts w:asciiTheme="majorHAnsi" w:eastAsia="Calibri" w:hAnsiTheme="majorHAnsi" w:cs="Calibri"/>
                <w:sz w:val="22"/>
                <w:szCs w:val="22"/>
                <w:lang w:val="fr-CA"/>
              </w:rPr>
              <w:t>1.1</w:t>
            </w:r>
          </w:p>
        </w:tc>
        <w:tc>
          <w:tcPr>
            <w:tcW w:w="3544" w:type="dxa"/>
            <w:tcBorders>
              <w:bottom w:val="single" w:sz="10" w:space="0" w:color="000000"/>
              <w:right w:val="single" w:sz="10" w:space="0" w:color="000000"/>
            </w:tcBorders>
            <w:tcMar>
              <w:top w:w="144" w:type="nil"/>
              <w:right w:w="144" w:type="nil"/>
            </w:tcMar>
          </w:tcPr>
          <w:p w14:paraId="526C9D66" w14:textId="3FF8B466" w:rsidR="007D07CF" w:rsidRPr="00313789" w:rsidRDefault="001E5EAD" w:rsidP="001E5EAD">
            <w:pPr>
              <w:widowControl w:val="0"/>
              <w:autoSpaceDE w:val="0"/>
              <w:autoSpaceDN w:val="0"/>
              <w:adjustRightInd w:val="0"/>
              <w:rPr>
                <w:rFonts w:asciiTheme="majorHAnsi" w:eastAsia="Calibri" w:hAnsiTheme="majorHAnsi"/>
                <w:sz w:val="22"/>
                <w:szCs w:val="22"/>
                <w:lang w:val="fr-CA"/>
              </w:rPr>
            </w:pPr>
            <w:r w:rsidRPr="00313789">
              <w:rPr>
                <w:rFonts w:asciiTheme="majorHAnsi" w:eastAsia="Calibri" w:hAnsiTheme="majorHAnsi" w:cs="Calibri"/>
                <w:sz w:val="22"/>
                <w:szCs w:val="22"/>
                <w:lang w:val="fr-CA"/>
              </w:rPr>
              <w:t>P</w:t>
            </w:r>
            <w:r w:rsidR="007D07CF" w:rsidRPr="00313789">
              <w:rPr>
                <w:rFonts w:asciiTheme="majorHAnsi" w:eastAsia="Calibri" w:hAnsiTheme="majorHAnsi" w:cs="Calibri"/>
                <w:sz w:val="22"/>
                <w:szCs w:val="22"/>
                <w:lang w:val="fr-CA"/>
              </w:rPr>
              <w:t>ra</w:t>
            </w:r>
            <w:r w:rsidR="00C03160" w:rsidRPr="00313789">
              <w:rPr>
                <w:rFonts w:asciiTheme="majorHAnsi" w:eastAsia="Calibri" w:hAnsiTheme="majorHAnsi" w:cs="Calibri"/>
                <w:sz w:val="22"/>
                <w:szCs w:val="22"/>
                <w:lang w:val="fr-CA"/>
              </w:rPr>
              <w:t>ticiens</w:t>
            </w:r>
          </w:p>
        </w:tc>
        <w:tc>
          <w:tcPr>
            <w:tcW w:w="1982" w:type="dxa"/>
            <w:tcBorders>
              <w:bottom w:val="single" w:sz="10" w:space="0" w:color="000000"/>
              <w:right w:val="single" w:sz="10" w:space="0" w:color="000000"/>
            </w:tcBorders>
            <w:tcMar>
              <w:top w:w="144" w:type="nil"/>
              <w:right w:w="144" w:type="nil"/>
            </w:tcMar>
          </w:tcPr>
          <w:p w14:paraId="2BDF418D" w14:textId="17389E51" w:rsidR="007D07CF" w:rsidRPr="00313789" w:rsidRDefault="001E5EAD" w:rsidP="001E5EAD">
            <w:pPr>
              <w:widowControl w:val="0"/>
              <w:autoSpaceDE w:val="0"/>
              <w:autoSpaceDN w:val="0"/>
              <w:adjustRightInd w:val="0"/>
              <w:rPr>
                <w:rFonts w:asciiTheme="majorHAnsi" w:eastAsia="Calibri" w:hAnsiTheme="majorHAnsi"/>
                <w:sz w:val="22"/>
                <w:szCs w:val="22"/>
                <w:lang w:val="fr-CA"/>
              </w:rPr>
            </w:pPr>
            <w:r w:rsidRPr="00313789">
              <w:rPr>
                <w:rFonts w:asciiTheme="majorHAnsi" w:eastAsia="Calibri" w:hAnsiTheme="majorHAnsi" w:cs="Calibri"/>
                <w:sz w:val="22"/>
                <w:szCs w:val="22"/>
                <w:lang w:val="fr-CA"/>
              </w:rPr>
              <w:t>3</w:t>
            </w:r>
            <w:r w:rsidR="007D07CF" w:rsidRPr="00313789">
              <w:rPr>
                <w:rFonts w:asciiTheme="majorHAnsi" w:eastAsia="Calibri" w:hAnsiTheme="majorHAnsi" w:cs="Calibri"/>
                <w:sz w:val="22"/>
                <w:szCs w:val="22"/>
                <w:lang w:val="fr-CA"/>
              </w:rPr>
              <w:t>3</w:t>
            </w:r>
            <w:r w:rsidR="00B07C1F" w:rsidRPr="00313789">
              <w:rPr>
                <w:rFonts w:asciiTheme="majorHAnsi" w:eastAsia="Calibri" w:hAnsiTheme="majorHAnsi" w:cs="Calibri"/>
                <w:sz w:val="22"/>
                <w:szCs w:val="22"/>
                <w:lang w:val="fr-CA"/>
              </w:rPr>
              <w:t> </w:t>
            </w:r>
            <w:r w:rsidRPr="00313789">
              <w:rPr>
                <w:rFonts w:asciiTheme="majorHAnsi" w:eastAsia="Calibri" w:hAnsiTheme="majorHAnsi" w:cs="Calibri"/>
                <w:sz w:val="22"/>
                <w:szCs w:val="22"/>
                <w:lang w:val="fr-CA"/>
              </w:rPr>
              <w:t>5</w:t>
            </w:r>
            <w:r w:rsidR="007D07CF" w:rsidRPr="00313789">
              <w:rPr>
                <w:rFonts w:asciiTheme="majorHAnsi" w:eastAsia="Calibri" w:hAnsiTheme="majorHAnsi" w:cs="Calibri"/>
                <w:sz w:val="22"/>
                <w:szCs w:val="22"/>
                <w:lang w:val="fr-CA"/>
              </w:rPr>
              <w:t>00</w:t>
            </w:r>
          </w:p>
        </w:tc>
      </w:tr>
      <w:tr w:rsidR="001E5EAD" w:rsidRPr="00313789" w14:paraId="0B243699" w14:textId="77777777" w:rsidTr="00F24C88">
        <w:tblPrEx>
          <w:tblBorders>
            <w:top w:val="none" w:sz="0" w:space="0" w:color="auto"/>
          </w:tblBorders>
        </w:tblPrEx>
        <w:trPr>
          <w:jc w:val="center"/>
        </w:trPr>
        <w:tc>
          <w:tcPr>
            <w:tcW w:w="2738" w:type="dxa"/>
            <w:tcBorders>
              <w:left w:val="single" w:sz="10" w:space="0" w:color="000000"/>
              <w:bottom w:val="single" w:sz="10" w:space="0" w:color="000000"/>
              <w:right w:val="single" w:sz="10" w:space="0" w:color="000000"/>
            </w:tcBorders>
            <w:tcMar>
              <w:top w:w="144" w:type="nil"/>
              <w:right w:w="144" w:type="nil"/>
            </w:tcMar>
          </w:tcPr>
          <w:p w14:paraId="4D412A2E" w14:textId="46F666D6" w:rsidR="001E5EAD" w:rsidRPr="00313789" w:rsidRDefault="00313789" w:rsidP="00313789">
            <w:pPr>
              <w:widowControl w:val="0"/>
              <w:autoSpaceDE w:val="0"/>
              <w:autoSpaceDN w:val="0"/>
              <w:adjustRightInd w:val="0"/>
              <w:rPr>
                <w:rFonts w:asciiTheme="majorHAnsi" w:eastAsia="Calibri" w:hAnsiTheme="majorHAnsi"/>
                <w:sz w:val="22"/>
                <w:szCs w:val="22"/>
                <w:lang w:val="fr-CA"/>
              </w:rPr>
            </w:pPr>
            <w:r>
              <w:rPr>
                <w:rFonts w:asciiTheme="majorHAnsi" w:hAnsiTheme="majorHAnsi"/>
                <w:sz w:val="22"/>
                <w:szCs w:val="22"/>
                <w:lang w:val="fr-CA"/>
              </w:rPr>
              <w:t xml:space="preserve">Élaboration de lignes directrices pour les inventaires de tourbières en vue d’une inscription possible sur la Liste des zones humides d’importance internationale </w:t>
            </w:r>
          </w:p>
        </w:tc>
        <w:tc>
          <w:tcPr>
            <w:tcW w:w="850" w:type="dxa"/>
            <w:tcBorders>
              <w:bottom w:val="single" w:sz="10" w:space="0" w:color="000000"/>
              <w:right w:val="single" w:sz="10" w:space="0" w:color="000000"/>
            </w:tcBorders>
            <w:tcMar>
              <w:top w:w="144" w:type="nil"/>
              <w:right w:w="144" w:type="nil"/>
            </w:tcMar>
          </w:tcPr>
          <w:p w14:paraId="57FC0C76" w14:textId="1B05FE94" w:rsidR="001E5EAD" w:rsidRPr="00313789" w:rsidRDefault="001E5EAD" w:rsidP="007A5771">
            <w:pPr>
              <w:widowControl w:val="0"/>
              <w:autoSpaceDE w:val="0"/>
              <w:autoSpaceDN w:val="0"/>
              <w:adjustRightInd w:val="0"/>
              <w:rPr>
                <w:rFonts w:asciiTheme="majorHAnsi" w:eastAsia="Calibri" w:hAnsiTheme="majorHAnsi"/>
                <w:sz w:val="22"/>
                <w:szCs w:val="22"/>
                <w:lang w:val="fr-CA"/>
              </w:rPr>
            </w:pPr>
            <w:r w:rsidRPr="00313789">
              <w:rPr>
                <w:rFonts w:asciiTheme="majorHAnsi" w:eastAsia="Calibri" w:hAnsiTheme="majorHAnsi" w:cs="Calibri"/>
                <w:sz w:val="22"/>
                <w:szCs w:val="22"/>
                <w:lang w:val="fr-CA"/>
              </w:rPr>
              <w:t>1.3</w:t>
            </w:r>
          </w:p>
        </w:tc>
        <w:tc>
          <w:tcPr>
            <w:tcW w:w="3544" w:type="dxa"/>
            <w:tcBorders>
              <w:bottom w:val="single" w:sz="10" w:space="0" w:color="000000"/>
              <w:right w:val="single" w:sz="10" w:space="0" w:color="000000"/>
            </w:tcBorders>
            <w:tcMar>
              <w:top w:w="144" w:type="nil"/>
              <w:right w:w="144" w:type="nil"/>
            </w:tcMar>
          </w:tcPr>
          <w:p w14:paraId="7B76FE54" w14:textId="5D715973" w:rsidR="001E5EAD" w:rsidRPr="00313789" w:rsidRDefault="001E5EAD" w:rsidP="002D2D47">
            <w:pPr>
              <w:widowControl w:val="0"/>
              <w:autoSpaceDE w:val="0"/>
              <w:autoSpaceDN w:val="0"/>
              <w:adjustRightInd w:val="0"/>
              <w:rPr>
                <w:rFonts w:asciiTheme="majorHAnsi" w:eastAsia="Calibri" w:hAnsiTheme="majorHAnsi"/>
                <w:sz w:val="22"/>
                <w:szCs w:val="22"/>
                <w:lang w:val="fr-CA"/>
              </w:rPr>
            </w:pPr>
            <w:r w:rsidRPr="00313789">
              <w:rPr>
                <w:rFonts w:asciiTheme="majorHAnsi" w:eastAsia="Calibri" w:hAnsiTheme="majorHAnsi" w:cs="Calibri"/>
                <w:sz w:val="22"/>
                <w:szCs w:val="22"/>
                <w:lang w:val="fr-CA"/>
              </w:rPr>
              <w:t>Praticiens (administrateurs d</w:t>
            </w:r>
            <w:r w:rsidR="007C5D54">
              <w:rPr>
                <w:rFonts w:asciiTheme="majorHAnsi" w:eastAsia="Calibri" w:hAnsiTheme="majorHAnsi" w:cs="Calibri"/>
                <w:sz w:val="22"/>
                <w:szCs w:val="22"/>
                <w:lang w:val="fr-CA"/>
              </w:rPr>
              <w:t>e Sites Ramsar) (n</w:t>
            </w:r>
            <w:r w:rsidRPr="00313789">
              <w:rPr>
                <w:rFonts w:asciiTheme="majorHAnsi" w:eastAsia="Calibri" w:hAnsiTheme="majorHAnsi" w:cs="Calibri"/>
                <w:sz w:val="22"/>
                <w:szCs w:val="22"/>
                <w:lang w:val="fr-CA"/>
              </w:rPr>
              <w:t xml:space="preserve">ote d’information) et décideurs (annexe </w:t>
            </w:r>
            <w:r w:rsidR="002D2D47">
              <w:rPr>
                <w:rFonts w:asciiTheme="majorHAnsi" w:eastAsia="Calibri" w:hAnsiTheme="majorHAnsi" w:cs="Calibri"/>
                <w:sz w:val="22"/>
                <w:szCs w:val="22"/>
                <w:lang w:val="fr-CA"/>
              </w:rPr>
              <w:t>d</w:t>
            </w:r>
            <w:r w:rsidRPr="00313789">
              <w:rPr>
                <w:rFonts w:asciiTheme="majorHAnsi" w:eastAsia="Calibri" w:hAnsiTheme="majorHAnsi" w:cs="Calibri"/>
                <w:sz w:val="22"/>
                <w:szCs w:val="22"/>
                <w:lang w:val="fr-CA"/>
              </w:rPr>
              <w:t>u projet de résolution)</w:t>
            </w:r>
          </w:p>
        </w:tc>
        <w:tc>
          <w:tcPr>
            <w:tcW w:w="1982" w:type="dxa"/>
            <w:tcBorders>
              <w:bottom w:val="single" w:sz="10" w:space="0" w:color="000000"/>
              <w:right w:val="single" w:sz="10" w:space="0" w:color="000000"/>
            </w:tcBorders>
            <w:tcMar>
              <w:top w:w="144" w:type="nil"/>
              <w:right w:w="144" w:type="nil"/>
            </w:tcMar>
          </w:tcPr>
          <w:p w14:paraId="1F07D933" w14:textId="70322304" w:rsidR="001E5EAD" w:rsidRPr="00313789" w:rsidRDefault="001E5EAD" w:rsidP="007A5771">
            <w:pPr>
              <w:widowControl w:val="0"/>
              <w:autoSpaceDE w:val="0"/>
              <w:autoSpaceDN w:val="0"/>
              <w:adjustRightInd w:val="0"/>
              <w:rPr>
                <w:rFonts w:asciiTheme="majorHAnsi" w:eastAsia="Calibri" w:hAnsiTheme="majorHAnsi"/>
                <w:sz w:val="22"/>
                <w:szCs w:val="22"/>
                <w:lang w:val="fr-CA"/>
              </w:rPr>
            </w:pPr>
            <w:r w:rsidRPr="00313789">
              <w:rPr>
                <w:rFonts w:asciiTheme="majorHAnsi" w:eastAsia="Calibri" w:hAnsiTheme="majorHAnsi"/>
                <w:sz w:val="22"/>
                <w:szCs w:val="22"/>
                <w:lang w:val="fr-CA"/>
              </w:rPr>
              <w:t>13 000</w:t>
            </w:r>
          </w:p>
        </w:tc>
      </w:tr>
      <w:tr w:rsidR="001E5EAD" w:rsidRPr="00833360" w14:paraId="7AB6EADF" w14:textId="77777777" w:rsidTr="00F24C88">
        <w:tblPrEx>
          <w:tblBorders>
            <w:top w:val="none" w:sz="0" w:space="0" w:color="auto"/>
          </w:tblBorders>
        </w:tblPrEx>
        <w:trPr>
          <w:jc w:val="center"/>
        </w:trPr>
        <w:tc>
          <w:tcPr>
            <w:tcW w:w="2738" w:type="dxa"/>
            <w:tcBorders>
              <w:left w:val="single" w:sz="10" w:space="0" w:color="000000"/>
              <w:bottom w:val="single" w:sz="10" w:space="0" w:color="000000"/>
              <w:right w:val="single" w:sz="10" w:space="0" w:color="000000"/>
            </w:tcBorders>
            <w:tcMar>
              <w:top w:w="144" w:type="nil"/>
              <w:right w:w="144" w:type="nil"/>
            </w:tcMar>
          </w:tcPr>
          <w:p w14:paraId="5DA0F08E" w14:textId="77777777" w:rsidR="001E5EAD" w:rsidRPr="00313789" w:rsidRDefault="001E5EAD" w:rsidP="007A5771">
            <w:pPr>
              <w:widowControl w:val="0"/>
              <w:autoSpaceDE w:val="0"/>
              <w:autoSpaceDN w:val="0"/>
              <w:adjustRightInd w:val="0"/>
              <w:rPr>
                <w:rFonts w:asciiTheme="majorHAnsi" w:eastAsia="Calibri" w:hAnsiTheme="majorHAnsi"/>
                <w:sz w:val="22"/>
                <w:szCs w:val="22"/>
                <w:lang w:val="fr-CA"/>
              </w:rPr>
            </w:pPr>
            <w:r w:rsidRPr="00313789">
              <w:rPr>
                <w:rFonts w:asciiTheme="majorHAnsi" w:eastAsia="Calibri" w:hAnsiTheme="majorHAnsi" w:cs="Calibri"/>
                <w:sz w:val="22"/>
                <w:szCs w:val="22"/>
                <w:lang w:val="fr-CA"/>
              </w:rPr>
              <w:t xml:space="preserve">Outil de gestion des Sites Ramsar </w:t>
            </w:r>
          </w:p>
        </w:tc>
        <w:tc>
          <w:tcPr>
            <w:tcW w:w="850" w:type="dxa"/>
            <w:tcBorders>
              <w:bottom w:val="single" w:sz="10" w:space="0" w:color="000000"/>
              <w:right w:val="single" w:sz="10" w:space="0" w:color="000000"/>
            </w:tcBorders>
            <w:tcMar>
              <w:top w:w="144" w:type="nil"/>
              <w:right w:w="144" w:type="nil"/>
            </w:tcMar>
          </w:tcPr>
          <w:p w14:paraId="02395AB8" w14:textId="77777777" w:rsidR="001E5EAD" w:rsidRPr="00313789" w:rsidRDefault="001E5EAD" w:rsidP="007A5771">
            <w:pPr>
              <w:widowControl w:val="0"/>
              <w:autoSpaceDE w:val="0"/>
              <w:autoSpaceDN w:val="0"/>
              <w:adjustRightInd w:val="0"/>
              <w:rPr>
                <w:rFonts w:asciiTheme="majorHAnsi" w:eastAsia="Calibri" w:hAnsiTheme="majorHAnsi"/>
                <w:sz w:val="22"/>
                <w:szCs w:val="22"/>
                <w:lang w:val="fr-CA"/>
              </w:rPr>
            </w:pPr>
            <w:r w:rsidRPr="00313789">
              <w:rPr>
                <w:rFonts w:asciiTheme="majorHAnsi" w:eastAsia="Calibri" w:hAnsiTheme="majorHAnsi" w:cs="Calibri"/>
                <w:sz w:val="22"/>
                <w:szCs w:val="22"/>
                <w:lang w:val="fr-CA"/>
              </w:rPr>
              <w:t>2.1</w:t>
            </w:r>
          </w:p>
        </w:tc>
        <w:tc>
          <w:tcPr>
            <w:tcW w:w="3544" w:type="dxa"/>
            <w:tcBorders>
              <w:bottom w:val="single" w:sz="10" w:space="0" w:color="000000"/>
              <w:right w:val="single" w:sz="10" w:space="0" w:color="000000"/>
            </w:tcBorders>
            <w:tcMar>
              <w:top w:w="144" w:type="nil"/>
              <w:right w:w="144" w:type="nil"/>
            </w:tcMar>
          </w:tcPr>
          <w:p w14:paraId="6D5A043B" w14:textId="77777777" w:rsidR="001E5EAD" w:rsidRPr="00313789" w:rsidRDefault="001E5EAD" w:rsidP="007A5771">
            <w:pPr>
              <w:widowControl w:val="0"/>
              <w:autoSpaceDE w:val="0"/>
              <w:autoSpaceDN w:val="0"/>
              <w:adjustRightInd w:val="0"/>
              <w:rPr>
                <w:rFonts w:asciiTheme="majorHAnsi" w:eastAsia="Calibri" w:hAnsiTheme="majorHAnsi"/>
                <w:sz w:val="22"/>
                <w:szCs w:val="22"/>
                <w:lang w:val="fr-CA"/>
              </w:rPr>
            </w:pPr>
            <w:r w:rsidRPr="00313789">
              <w:rPr>
                <w:rFonts w:asciiTheme="majorHAnsi" w:eastAsia="Calibri" w:hAnsiTheme="majorHAnsi" w:cs="Calibri"/>
                <w:sz w:val="22"/>
                <w:szCs w:val="22"/>
                <w:lang w:val="fr-CA"/>
              </w:rPr>
              <w:t>Praticiens (administrateurs de Sites Ramsar)</w:t>
            </w:r>
          </w:p>
        </w:tc>
        <w:tc>
          <w:tcPr>
            <w:tcW w:w="1982" w:type="dxa"/>
            <w:tcBorders>
              <w:bottom w:val="single" w:sz="10" w:space="0" w:color="000000"/>
              <w:right w:val="single" w:sz="10" w:space="0" w:color="000000"/>
            </w:tcBorders>
            <w:tcMar>
              <w:top w:w="144" w:type="nil"/>
              <w:right w:w="144" w:type="nil"/>
            </w:tcMar>
          </w:tcPr>
          <w:p w14:paraId="31613EE7" w14:textId="77777777" w:rsidR="001E5EAD" w:rsidRPr="00313789" w:rsidRDefault="001E5EAD" w:rsidP="007A5771">
            <w:pPr>
              <w:widowControl w:val="0"/>
              <w:autoSpaceDE w:val="0"/>
              <w:autoSpaceDN w:val="0"/>
              <w:adjustRightInd w:val="0"/>
              <w:rPr>
                <w:rFonts w:asciiTheme="majorHAnsi" w:eastAsia="Calibri" w:hAnsiTheme="majorHAnsi"/>
                <w:sz w:val="22"/>
                <w:szCs w:val="22"/>
                <w:lang w:val="fr-CA"/>
              </w:rPr>
            </w:pPr>
            <w:r w:rsidRPr="00313789">
              <w:rPr>
                <w:rFonts w:asciiTheme="majorHAnsi" w:eastAsia="Calibri" w:hAnsiTheme="majorHAnsi" w:cs="Calibri"/>
                <w:sz w:val="22"/>
                <w:szCs w:val="22"/>
                <w:lang w:val="fr-CA"/>
              </w:rPr>
              <w:t>Pas d’incidences financières pour le budget du GEST. Avis fourni à titre bénévole</w:t>
            </w:r>
          </w:p>
        </w:tc>
      </w:tr>
      <w:tr w:rsidR="007D07CF" w:rsidRPr="00313789" w14:paraId="2DFCA8F8" w14:textId="77777777" w:rsidTr="00F24C88">
        <w:tblPrEx>
          <w:tblBorders>
            <w:top w:val="none" w:sz="0" w:space="0" w:color="auto"/>
          </w:tblBorders>
        </w:tblPrEx>
        <w:trPr>
          <w:jc w:val="center"/>
        </w:trPr>
        <w:tc>
          <w:tcPr>
            <w:tcW w:w="2738" w:type="dxa"/>
            <w:tcBorders>
              <w:left w:val="single" w:sz="10" w:space="0" w:color="000000"/>
              <w:bottom w:val="single" w:sz="10" w:space="0" w:color="000000"/>
              <w:right w:val="single" w:sz="10" w:space="0" w:color="000000"/>
            </w:tcBorders>
            <w:tcMar>
              <w:top w:w="144" w:type="nil"/>
              <w:right w:w="144" w:type="nil"/>
            </w:tcMar>
          </w:tcPr>
          <w:p w14:paraId="41CE9F14" w14:textId="5947C7E5" w:rsidR="007D07CF" w:rsidRPr="00313789" w:rsidRDefault="001E5EAD" w:rsidP="00253A36">
            <w:pPr>
              <w:widowControl w:val="0"/>
              <w:autoSpaceDE w:val="0"/>
              <w:autoSpaceDN w:val="0"/>
              <w:adjustRightInd w:val="0"/>
              <w:rPr>
                <w:rFonts w:asciiTheme="majorHAnsi" w:eastAsia="Calibri" w:hAnsiTheme="majorHAnsi"/>
                <w:sz w:val="22"/>
                <w:szCs w:val="22"/>
                <w:lang w:val="fr-CA"/>
              </w:rPr>
            </w:pPr>
            <w:r w:rsidRPr="00313789">
              <w:rPr>
                <w:rFonts w:asciiTheme="majorHAnsi" w:eastAsia="Calibri" w:hAnsiTheme="majorHAnsi" w:cs="Calibri"/>
                <w:sz w:val="22"/>
                <w:szCs w:val="22"/>
                <w:lang w:val="fr-CA"/>
              </w:rPr>
              <w:t>Gestion des moustiques vecteurs de maladies dans les zones humides</w:t>
            </w:r>
            <w:r w:rsidR="00C03160" w:rsidRPr="00313789">
              <w:rPr>
                <w:rFonts w:asciiTheme="majorHAnsi" w:eastAsia="Calibri" w:hAnsiTheme="majorHAnsi" w:cs="Calibri"/>
                <w:sz w:val="22"/>
                <w:szCs w:val="22"/>
                <w:lang w:val="fr-CA"/>
              </w:rPr>
              <w:t xml:space="preserve"> </w:t>
            </w:r>
          </w:p>
        </w:tc>
        <w:tc>
          <w:tcPr>
            <w:tcW w:w="850" w:type="dxa"/>
            <w:tcBorders>
              <w:bottom w:val="single" w:sz="10" w:space="0" w:color="000000"/>
              <w:right w:val="single" w:sz="10" w:space="0" w:color="000000"/>
            </w:tcBorders>
            <w:tcMar>
              <w:top w:w="144" w:type="nil"/>
              <w:right w:w="144" w:type="nil"/>
            </w:tcMar>
          </w:tcPr>
          <w:p w14:paraId="1EE3694C" w14:textId="0F4B5AE1" w:rsidR="007D07CF" w:rsidRPr="00313789" w:rsidRDefault="007D07CF" w:rsidP="001E5EAD">
            <w:pPr>
              <w:widowControl w:val="0"/>
              <w:autoSpaceDE w:val="0"/>
              <w:autoSpaceDN w:val="0"/>
              <w:adjustRightInd w:val="0"/>
              <w:rPr>
                <w:rFonts w:asciiTheme="majorHAnsi" w:eastAsia="Calibri" w:hAnsiTheme="majorHAnsi"/>
                <w:sz w:val="22"/>
                <w:szCs w:val="22"/>
                <w:lang w:val="fr-CA"/>
              </w:rPr>
            </w:pPr>
            <w:r w:rsidRPr="00313789">
              <w:rPr>
                <w:rFonts w:asciiTheme="majorHAnsi" w:eastAsia="Calibri" w:hAnsiTheme="majorHAnsi" w:cs="Calibri"/>
                <w:sz w:val="22"/>
                <w:szCs w:val="22"/>
                <w:lang w:val="fr-CA"/>
              </w:rPr>
              <w:t>2.</w:t>
            </w:r>
            <w:r w:rsidR="001E5EAD" w:rsidRPr="00313789">
              <w:rPr>
                <w:rFonts w:asciiTheme="majorHAnsi" w:eastAsia="Calibri" w:hAnsiTheme="majorHAnsi" w:cs="Calibri"/>
                <w:sz w:val="22"/>
                <w:szCs w:val="22"/>
                <w:lang w:val="fr-CA"/>
              </w:rPr>
              <w:t>5</w:t>
            </w:r>
          </w:p>
        </w:tc>
        <w:tc>
          <w:tcPr>
            <w:tcW w:w="3544" w:type="dxa"/>
            <w:tcBorders>
              <w:bottom w:val="single" w:sz="10" w:space="0" w:color="000000"/>
              <w:right w:val="single" w:sz="10" w:space="0" w:color="000000"/>
            </w:tcBorders>
            <w:tcMar>
              <w:top w:w="144" w:type="nil"/>
              <w:right w:w="144" w:type="nil"/>
            </w:tcMar>
          </w:tcPr>
          <w:p w14:paraId="154B4BF9" w14:textId="03A02984" w:rsidR="007D07CF" w:rsidRPr="00313789" w:rsidRDefault="00C03160" w:rsidP="001E5EAD">
            <w:pPr>
              <w:widowControl w:val="0"/>
              <w:autoSpaceDE w:val="0"/>
              <w:autoSpaceDN w:val="0"/>
              <w:adjustRightInd w:val="0"/>
              <w:rPr>
                <w:rFonts w:asciiTheme="majorHAnsi" w:eastAsia="Calibri" w:hAnsiTheme="majorHAnsi"/>
                <w:sz w:val="22"/>
                <w:szCs w:val="22"/>
                <w:lang w:val="fr-CA"/>
              </w:rPr>
            </w:pPr>
            <w:r w:rsidRPr="00313789">
              <w:rPr>
                <w:rFonts w:asciiTheme="majorHAnsi" w:eastAsia="Calibri" w:hAnsiTheme="majorHAnsi" w:cs="Calibri"/>
                <w:sz w:val="22"/>
                <w:szCs w:val="22"/>
                <w:lang w:val="fr-CA"/>
              </w:rPr>
              <w:t>Praticiens</w:t>
            </w:r>
            <w:r w:rsidR="00E01336" w:rsidRPr="00313789">
              <w:rPr>
                <w:rFonts w:asciiTheme="majorHAnsi" w:eastAsia="Calibri" w:hAnsiTheme="majorHAnsi" w:cs="Calibri"/>
                <w:sz w:val="22"/>
                <w:szCs w:val="22"/>
                <w:lang w:val="fr-CA"/>
              </w:rPr>
              <w:t xml:space="preserve"> </w:t>
            </w:r>
            <w:r w:rsidR="007D07CF" w:rsidRPr="00313789">
              <w:rPr>
                <w:rFonts w:asciiTheme="majorHAnsi" w:eastAsia="Calibri" w:hAnsiTheme="majorHAnsi" w:cs="Calibri"/>
                <w:sz w:val="22"/>
                <w:szCs w:val="22"/>
                <w:lang w:val="fr-CA"/>
              </w:rPr>
              <w:t>(</w:t>
            </w:r>
            <w:r w:rsidRPr="00313789">
              <w:rPr>
                <w:rFonts w:asciiTheme="majorHAnsi" w:eastAsia="Calibri" w:hAnsiTheme="majorHAnsi" w:cs="Calibri"/>
                <w:sz w:val="22"/>
                <w:szCs w:val="22"/>
                <w:lang w:val="fr-CA"/>
              </w:rPr>
              <w:t xml:space="preserve">administrateurs de </w:t>
            </w:r>
            <w:r w:rsidR="001E5EAD" w:rsidRPr="00313789">
              <w:rPr>
                <w:rFonts w:asciiTheme="majorHAnsi" w:eastAsia="Calibri" w:hAnsiTheme="majorHAnsi" w:cs="Calibri"/>
                <w:sz w:val="22"/>
                <w:szCs w:val="22"/>
                <w:lang w:val="fr-CA"/>
              </w:rPr>
              <w:t>zones humides et agents de santé urbaine/périurbaine</w:t>
            </w:r>
            <w:r w:rsidR="007D07CF" w:rsidRPr="00313789">
              <w:rPr>
                <w:rFonts w:asciiTheme="majorHAnsi" w:eastAsia="Calibri" w:hAnsiTheme="majorHAnsi" w:cs="Calibri"/>
                <w:sz w:val="22"/>
                <w:szCs w:val="22"/>
                <w:lang w:val="fr-CA"/>
              </w:rPr>
              <w:t>)</w:t>
            </w:r>
            <w:r w:rsidR="001E5EAD" w:rsidRPr="00313789">
              <w:rPr>
                <w:rFonts w:asciiTheme="majorHAnsi" w:eastAsia="Calibri" w:hAnsiTheme="majorHAnsi" w:cs="Calibri"/>
                <w:sz w:val="22"/>
                <w:szCs w:val="22"/>
                <w:lang w:val="fr-CA"/>
              </w:rPr>
              <w:t xml:space="preserve"> et décideurs</w:t>
            </w:r>
          </w:p>
        </w:tc>
        <w:tc>
          <w:tcPr>
            <w:tcW w:w="1982" w:type="dxa"/>
            <w:tcBorders>
              <w:bottom w:val="single" w:sz="10" w:space="0" w:color="000000"/>
              <w:right w:val="single" w:sz="10" w:space="0" w:color="000000"/>
            </w:tcBorders>
            <w:tcMar>
              <w:top w:w="144" w:type="nil"/>
              <w:right w:w="144" w:type="nil"/>
            </w:tcMar>
          </w:tcPr>
          <w:p w14:paraId="04AE4E40" w14:textId="74BB7E71" w:rsidR="007D07CF" w:rsidRPr="00313789" w:rsidRDefault="001E5EAD" w:rsidP="001E5EAD">
            <w:pPr>
              <w:widowControl w:val="0"/>
              <w:autoSpaceDE w:val="0"/>
              <w:autoSpaceDN w:val="0"/>
              <w:adjustRightInd w:val="0"/>
              <w:rPr>
                <w:rFonts w:asciiTheme="majorHAnsi" w:eastAsia="Calibri" w:hAnsiTheme="majorHAnsi"/>
                <w:sz w:val="22"/>
                <w:szCs w:val="22"/>
                <w:lang w:val="fr-CA"/>
              </w:rPr>
            </w:pPr>
            <w:r w:rsidRPr="00313789">
              <w:rPr>
                <w:rFonts w:asciiTheme="majorHAnsi" w:eastAsia="Calibri" w:hAnsiTheme="majorHAnsi"/>
                <w:sz w:val="22"/>
                <w:szCs w:val="22"/>
                <w:lang w:val="fr-CA"/>
              </w:rPr>
              <w:t>22 000</w:t>
            </w:r>
          </w:p>
        </w:tc>
      </w:tr>
      <w:tr w:rsidR="007D07CF" w:rsidRPr="00313789" w14:paraId="07A26B67" w14:textId="77777777" w:rsidTr="00F24C88">
        <w:tblPrEx>
          <w:tblBorders>
            <w:top w:val="none" w:sz="0" w:space="0" w:color="auto"/>
          </w:tblBorders>
        </w:tblPrEx>
        <w:trPr>
          <w:jc w:val="center"/>
        </w:trPr>
        <w:tc>
          <w:tcPr>
            <w:tcW w:w="2738" w:type="dxa"/>
            <w:tcBorders>
              <w:left w:val="single" w:sz="10" w:space="0" w:color="000000"/>
              <w:bottom w:val="single" w:sz="10" w:space="0" w:color="000000"/>
              <w:right w:val="single" w:sz="10" w:space="0" w:color="000000"/>
            </w:tcBorders>
            <w:tcMar>
              <w:top w:w="144" w:type="nil"/>
              <w:right w:w="144" w:type="nil"/>
            </w:tcMar>
          </w:tcPr>
          <w:p w14:paraId="50EB0304" w14:textId="75F06381" w:rsidR="007D07CF" w:rsidRPr="00313789" w:rsidRDefault="001E5EAD" w:rsidP="001E5EAD">
            <w:pPr>
              <w:keepNext/>
              <w:keepLines/>
              <w:autoSpaceDE w:val="0"/>
              <w:autoSpaceDN w:val="0"/>
              <w:adjustRightInd w:val="0"/>
              <w:rPr>
                <w:rFonts w:asciiTheme="majorHAnsi" w:eastAsia="Calibri" w:hAnsiTheme="majorHAnsi"/>
                <w:sz w:val="22"/>
                <w:szCs w:val="22"/>
                <w:lang w:val="fr-CA"/>
              </w:rPr>
            </w:pPr>
            <w:r w:rsidRPr="00313789">
              <w:rPr>
                <w:rFonts w:asciiTheme="majorHAnsi" w:eastAsia="Calibri" w:hAnsiTheme="majorHAnsi" w:cs="Calibri"/>
                <w:sz w:val="22"/>
                <w:szCs w:val="22"/>
                <w:lang w:val="fr-CA"/>
              </w:rPr>
              <w:t>Note d’information sur l’é</w:t>
            </w:r>
            <w:r w:rsidR="00C03160" w:rsidRPr="00313789">
              <w:rPr>
                <w:rFonts w:asciiTheme="majorHAnsi" w:eastAsia="Calibri" w:hAnsiTheme="majorHAnsi" w:cs="Calibri"/>
                <w:sz w:val="22"/>
                <w:szCs w:val="22"/>
                <w:lang w:val="fr-CA"/>
              </w:rPr>
              <w:t xml:space="preserve">valuation </w:t>
            </w:r>
            <w:r w:rsidRPr="00313789">
              <w:rPr>
                <w:rFonts w:asciiTheme="majorHAnsi" w:eastAsia="Calibri" w:hAnsiTheme="majorHAnsi" w:cs="Calibri"/>
                <w:sz w:val="22"/>
                <w:szCs w:val="22"/>
                <w:lang w:val="fr-CA"/>
              </w:rPr>
              <w:t xml:space="preserve">et la valorisation </w:t>
            </w:r>
            <w:r w:rsidR="00C03160" w:rsidRPr="00313789">
              <w:rPr>
                <w:rFonts w:asciiTheme="majorHAnsi" w:eastAsia="Calibri" w:hAnsiTheme="majorHAnsi" w:cs="Calibri"/>
                <w:sz w:val="22"/>
                <w:szCs w:val="22"/>
                <w:lang w:val="fr-CA"/>
              </w:rPr>
              <w:t>des services écosystémiques des zones humides</w:t>
            </w:r>
            <w:r w:rsidRPr="00313789">
              <w:rPr>
                <w:rFonts w:asciiTheme="majorHAnsi" w:eastAsia="Calibri" w:hAnsiTheme="majorHAnsi" w:cs="Calibri"/>
                <w:sz w:val="22"/>
                <w:szCs w:val="22"/>
                <w:lang w:val="fr-CA"/>
              </w:rPr>
              <w:t xml:space="preserve">, avec annexe </w:t>
            </w:r>
          </w:p>
        </w:tc>
        <w:tc>
          <w:tcPr>
            <w:tcW w:w="850" w:type="dxa"/>
            <w:tcBorders>
              <w:bottom w:val="single" w:sz="10" w:space="0" w:color="000000"/>
              <w:right w:val="single" w:sz="10" w:space="0" w:color="000000"/>
            </w:tcBorders>
            <w:tcMar>
              <w:top w:w="144" w:type="nil"/>
              <w:right w:w="144" w:type="nil"/>
            </w:tcMar>
          </w:tcPr>
          <w:p w14:paraId="35C6258A" w14:textId="77777777" w:rsidR="007D07CF" w:rsidRPr="00313789" w:rsidRDefault="007D07CF" w:rsidP="00C03160">
            <w:pPr>
              <w:keepNext/>
              <w:keepLines/>
              <w:autoSpaceDE w:val="0"/>
              <w:autoSpaceDN w:val="0"/>
              <w:adjustRightInd w:val="0"/>
              <w:rPr>
                <w:rFonts w:asciiTheme="majorHAnsi" w:eastAsia="Calibri" w:hAnsiTheme="majorHAnsi"/>
                <w:sz w:val="22"/>
                <w:szCs w:val="22"/>
                <w:lang w:val="fr-CA"/>
              </w:rPr>
            </w:pPr>
            <w:r w:rsidRPr="00313789">
              <w:rPr>
                <w:rFonts w:asciiTheme="majorHAnsi" w:eastAsia="Calibri" w:hAnsiTheme="majorHAnsi" w:cs="Calibri"/>
                <w:sz w:val="22"/>
                <w:szCs w:val="22"/>
                <w:lang w:val="fr-CA"/>
              </w:rPr>
              <w:t>3.1</w:t>
            </w:r>
          </w:p>
        </w:tc>
        <w:tc>
          <w:tcPr>
            <w:tcW w:w="3544" w:type="dxa"/>
            <w:tcBorders>
              <w:bottom w:val="single" w:sz="10" w:space="0" w:color="000000"/>
              <w:right w:val="single" w:sz="10" w:space="0" w:color="000000"/>
            </w:tcBorders>
            <w:tcMar>
              <w:top w:w="144" w:type="nil"/>
              <w:right w:w="144" w:type="nil"/>
            </w:tcMar>
          </w:tcPr>
          <w:p w14:paraId="0D9AE724" w14:textId="2D27E0A6" w:rsidR="007D07CF" w:rsidRPr="00313789" w:rsidRDefault="00C03160" w:rsidP="00C03160">
            <w:pPr>
              <w:keepNext/>
              <w:keepLines/>
              <w:autoSpaceDE w:val="0"/>
              <w:autoSpaceDN w:val="0"/>
              <w:adjustRightInd w:val="0"/>
              <w:rPr>
                <w:rFonts w:asciiTheme="majorHAnsi" w:eastAsia="Calibri" w:hAnsiTheme="majorHAnsi"/>
                <w:sz w:val="22"/>
                <w:szCs w:val="22"/>
                <w:lang w:val="fr-CA"/>
              </w:rPr>
            </w:pPr>
            <w:r w:rsidRPr="00313789">
              <w:rPr>
                <w:rFonts w:asciiTheme="majorHAnsi" w:eastAsia="Calibri" w:hAnsiTheme="majorHAnsi" w:cs="Calibri"/>
                <w:sz w:val="22"/>
                <w:szCs w:val="22"/>
                <w:lang w:val="fr-CA"/>
              </w:rPr>
              <w:t>Décideurs</w:t>
            </w:r>
            <w:r w:rsidR="007C5D54">
              <w:rPr>
                <w:rFonts w:asciiTheme="majorHAnsi" w:eastAsia="Calibri" w:hAnsiTheme="majorHAnsi" w:cs="Calibri"/>
                <w:sz w:val="22"/>
                <w:szCs w:val="22"/>
                <w:lang w:val="fr-CA"/>
              </w:rPr>
              <w:t xml:space="preserve"> (n</w:t>
            </w:r>
            <w:r w:rsidR="001E5EAD" w:rsidRPr="00313789">
              <w:rPr>
                <w:rFonts w:asciiTheme="majorHAnsi" w:eastAsia="Calibri" w:hAnsiTheme="majorHAnsi" w:cs="Calibri"/>
                <w:sz w:val="22"/>
                <w:szCs w:val="22"/>
                <w:lang w:val="fr-CA"/>
              </w:rPr>
              <w:t>ote d’information) et praticiens (protocole en annexe)</w:t>
            </w:r>
          </w:p>
        </w:tc>
        <w:tc>
          <w:tcPr>
            <w:tcW w:w="1982" w:type="dxa"/>
            <w:tcBorders>
              <w:bottom w:val="single" w:sz="10" w:space="0" w:color="000000"/>
              <w:right w:val="single" w:sz="10" w:space="0" w:color="000000"/>
            </w:tcBorders>
            <w:tcMar>
              <w:top w:w="144" w:type="nil"/>
              <w:right w:w="144" w:type="nil"/>
            </w:tcMar>
          </w:tcPr>
          <w:p w14:paraId="0AA218E9" w14:textId="7282C8B0" w:rsidR="007D07CF" w:rsidRPr="00313789" w:rsidRDefault="001E5EAD" w:rsidP="00C03160">
            <w:pPr>
              <w:keepNext/>
              <w:keepLines/>
              <w:autoSpaceDE w:val="0"/>
              <w:autoSpaceDN w:val="0"/>
              <w:adjustRightInd w:val="0"/>
              <w:rPr>
                <w:rFonts w:asciiTheme="majorHAnsi" w:eastAsia="Calibri" w:hAnsiTheme="majorHAnsi"/>
                <w:sz w:val="22"/>
                <w:szCs w:val="22"/>
                <w:lang w:val="fr-CA"/>
              </w:rPr>
            </w:pPr>
            <w:r w:rsidRPr="00313789">
              <w:rPr>
                <w:rFonts w:asciiTheme="majorHAnsi" w:eastAsia="Calibri" w:hAnsiTheme="majorHAnsi" w:cs="Calibri"/>
                <w:sz w:val="22"/>
                <w:szCs w:val="22"/>
                <w:lang w:val="fr-CA"/>
              </w:rPr>
              <w:t>25 3</w:t>
            </w:r>
            <w:r w:rsidR="00B122E0" w:rsidRPr="00313789">
              <w:rPr>
                <w:rFonts w:asciiTheme="majorHAnsi" w:eastAsia="Calibri" w:hAnsiTheme="majorHAnsi" w:cs="Calibri"/>
                <w:sz w:val="22"/>
                <w:szCs w:val="22"/>
                <w:lang w:val="fr-CA"/>
              </w:rPr>
              <w:t>00</w:t>
            </w:r>
          </w:p>
        </w:tc>
      </w:tr>
      <w:tr w:rsidR="007D07CF" w:rsidRPr="00313789" w14:paraId="51131D57" w14:textId="77777777" w:rsidTr="00F24C88">
        <w:tblPrEx>
          <w:tblBorders>
            <w:top w:val="none" w:sz="0" w:space="0" w:color="auto"/>
          </w:tblBorders>
        </w:tblPrEx>
        <w:trPr>
          <w:jc w:val="center"/>
        </w:trPr>
        <w:tc>
          <w:tcPr>
            <w:tcW w:w="2738" w:type="dxa"/>
            <w:tcBorders>
              <w:left w:val="single" w:sz="10" w:space="0" w:color="000000"/>
              <w:bottom w:val="single" w:sz="10" w:space="0" w:color="000000"/>
              <w:right w:val="single" w:sz="10" w:space="0" w:color="000000"/>
            </w:tcBorders>
            <w:tcMar>
              <w:top w:w="144" w:type="nil"/>
              <w:right w:w="144" w:type="nil"/>
            </w:tcMar>
          </w:tcPr>
          <w:p w14:paraId="7CFF1034" w14:textId="0E817F73" w:rsidR="007D07CF" w:rsidRPr="00313789" w:rsidRDefault="00C03160" w:rsidP="00133427">
            <w:pPr>
              <w:widowControl w:val="0"/>
              <w:autoSpaceDE w:val="0"/>
              <w:autoSpaceDN w:val="0"/>
              <w:adjustRightInd w:val="0"/>
              <w:rPr>
                <w:rFonts w:asciiTheme="majorHAnsi" w:eastAsia="Calibri" w:hAnsiTheme="majorHAnsi"/>
                <w:sz w:val="22"/>
                <w:szCs w:val="22"/>
                <w:lang w:val="fr-CA"/>
              </w:rPr>
            </w:pPr>
            <w:r w:rsidRPr="00313789">
              <w:rPr>
                <w:rFonts w:asciiTheme="majorHAnsi" w:eastAsia="Calibri" w:hAnsiTheme="majorHAnsi" w:cs="Calibri"/>
                <w:sz w:val="22"/>
                <w:szCs w:val="22"/>
                <w:lang w:val="fr-CA"/>
              </w:rPr>
              <w:t>Protocole pour évaluer les valeurs multiples des zones humides –</w:t>
            </w:r>
            <w:r w:rsidR="00133427" w:rsidRPr="00313789">
              <w:rPr>
                <w:rFonts w:asciiTheme="majorHAnsi" w:eastAsia="Calibri" w:hAnsiTheme="majorHAnsi" w:cs="Calibri"/>
                <w:sz w:val="22"/>
                <w:szCs w:val="22"/>
                <w:lang w:val="fr-CA"/>
              </w:rPr>
              <w:t xml:space="preserve"> </w:t>
            </w:r>
            <w:r w:rsidR="005266A2" w:rsidRPr="00313789">
              <w:rPr>
                <w:rFonts w:asciiTheme="majorHAnsi" w:eastAsia="Calibri" w:hAnsiTheme="majorHAnsi" w:cs="Calibri"/>
                <w:sz w:val="22"/>
                <w:szCs w:val="22"/>
                <w:lang w:val="fr-CA"/>
              </w:rPr>
              <w:t>Panoplie d’</w:t>
            </w:r>
            <w:r w:rsidR="00133427" w:rsidRPr="00313789">
              <w:rPr>
                <w:rFonts w:asciiTheme="majorHAnsi" w:eastAsia="Calibri" w:hAnsiTheme="majorHAnsi" w:cs="Calibri"/>
                <w:sz w:val="22"/>
                <w:szCs w:val="22"/>
                <w:lang w:val="fr-CA"/>
              </w:rPr>
              <w:t>outils</w:t>
            </w:r>
            <w:r w:rsidRPr="00313789">
              <w:rPr>
                <w:rFonts w:asciiTheme="majorHAnsi" w:eastAsia="Calibri" w:hAnsiTheme="majorHAnsi" w:cs="Calibri"/>
                <w:sz w:val="22"/>
                <w:szCs w:val="22"/>
                <w:lang w:val="fr-CA"/>
              </w:rPr>
              <w:t xml:space="preserve"> (IPBES) </w:t>
            </w:r>
          </w:p>
        </w:tc>
        <w:tc>
          <w:tcPr>
            <w:tcW w:w="850" w:type="dxa"/>
            <w:tcBorders>
              <w:bottom w:val="single" w:sz="10" w:space="0" w:color="000000"/>
              <w:right w:val="single" w:sz="10" w:space="0" w:color="000000"/>
            </w:tcBorders>
            <w:tcMar>
              <w:top w:w="144" w:type="nil"/>
              <w:right w:w="144" w:type="nil"/>
            </w:tcMar>
          </w:tcPr>
          <w:p w14:paraId="67D71BDD" w14:textId="77777777" w:rsidR="007D07CF" w:rsidRPr="00313789" w:rsidRDefault="007D07CF" w:rsidP="00914A1A">
            <w:pPr>
              <w:widowControl w:val="0"/>
              <w:autoSpaceDE w:val="0"/>
              <w:autoSpaceDN w:val="0"/>
              <w:adjustRightInd w:val="0"/>
              <w:rPr>
                <w:rFonts w:asciiTheme="majorHAnsi" w:eastAsia="Calibri" w:hAnsiTheme="majorHAnsi"/>
                <w:sz w:val="22"/>
                <w:szCs w:val="22"/>
                <w:lang w:val="fr-CA"/>
              </w:rPr>
            </w:pPr>
            <w:r w:rsidRPr="00313789">
              <w:rPr>
                <w:rFonts w:asciiTheme="majorHAnsi" w:eastAsia="Calibri" w:hAnsiTheme="majorHAnsi" w:cs="Calibri"/>
                <w:sz w:val="22"/>
                <w:szCs w:val="22"/>
                <w:lang w:val="fr-CA"/>
              </w:rPr>
              <w:t>3.2</w:t>
            </w:r>
          </w:p>
        </w:tc>
        <w:tc>
          <w:tcPr>
            <w:tcW w:w="3544" w:type="dxa"/>
            <w:tcBorders>
              <w:bottom w:val="single" w:sz="10" w:space="0" w:color="000000"/>
              <w:right w:val="single" w:sz="10" w:space="0" w:color="000000"/>
            </w:tcBorders>
            <w:tcMar>
              <w:top w:w="144" w:type="nil"/>
              <w:right w:w="144" w:type="nil"/>
            </w:tcMar>
          </w:tcPr>
          <w:p w14:paraId="4254E3AC" w14:textId="59D5F1D2" w:rsidR="007D07CF" w:rsidRPr="00313789" w:rsidRDefault="00133427" w:rsidP="00914A1A">
            <w:pPr>
              <w:widowControl w:val="0"/>
              <w:autoSpaceDE w:val="0"/>
              <w:autoSpaceDN w:val="0"/>
              <w:adjustRightInd w:val="0"/>
              <w:rPr>
                <w:rFonts w:asciiTheme="majorHAnsi" w:eastAsia="Calibri" w:hAnsiTheme="majorHAnsi"/>
                <w:sz w:val="22"/>
                <w:szCs w:val="22"/>
                <w:lang w:val="fr-CA"/>
              </w:rPr>
            </w:pPr>
            <w:r w:rsidRPr="00313789">
              <w:rPr>
                <w:rFonts w:asciiTheme="majorHAnsi" w:eastAsia="Calibri" w:hAnsiTheme="majorHAnsi" w:cs="Calibri"/>
                <w:sz w:val="22"/>
                <w:szCs w:val="22"/>
                <w:lang w:val="fr-CA"/>
              </w:rPr>
              <w:t>Praticiens (administrateurs de zones humides)</w:t>
            </w:r>
          </w:p>
        </w:tc>
        <w:tc>
          <w:tcPr>
            <w:tcW w:w="1982" w:type="dxa"/>
            <w:tcBorders>
              <w:bottom w:val="single" w:sz="10" w:space="0" w:color="000000"/>
              <w:right w:val="single" w:sz="10" w:space="0" w:color="000000"/>
            </w:tcBorders>
            <w:tcMar>
              <w:top w:w="144" w:type="nil"/>
              <w:right w:w="144" w:type="nil"/>
            </w:tcMar>
          </w:tcPr>
          <w:p w14:paraId="4DAF1706" w14:textId="5BA601FC" w:rsidR="007D07CF" w:rsidRPr="00313789" w:rsidRDefault="00133427" w:rsidP="00914A1A">
            <w:pPr>
              <w:widowControl w:val="0"/>
              <w:autoSpaceDE w:val="0"/>
              <w:autoSpaceDN w:val="0"/>
              <w:adjustRightInd w:val="0"/>
              <w:rPr>
                <w:rFonts w:asciiTheme="majorHAnsi" w:eastAsia="Calibri" w:hAnsiTheme="majorHAnsi"/>
                <w:sz w:val="22"/>
                <w:szCs w:val="22"/>
                <w:lang w:val="fr-CA"/>
              </w:rPr>
            </w:pPr>
            <w:r w:rsidRPr="00313789">
              <w:rPr>
                <w:rFonts w:asciiTheme="majorHAnsi" w:eastAsia="Calibri" w:hAnsiTheme="majorHAnsi" w:cs="Calibri"/>
                <w:sz w:val="22"/>
                <w:szCs w:val="22"/>
                <w:lang w:val="fr-CA"/>
              </w:rPr>
              <w:t>33 500</w:t>
            </w:r>
          </w:p>
        </w:tc>
      </w:tr>
      <w:tr w:rsidR="00133427" w:rsidRPr="00313789" w14:paraId="24C5BEC8" w14:textId="77777777" w:rsidTr="00F24C88">
        <w:tblPrEx>
          <w:tblBorders>
            <w:top w:val="none" w:sz="0" w:space="0" w:color="auto"/>
          </w:tblBorders>
        </w:tblPrEx>
        <w:trPr>
          <w:jc w:val="center"/>
        </w:trPr>
        <w:tc>
          <w:tcPr>
            <w:tcW w:w="2738" w:type="dxa"/>
            <w:tcBorders>
              <w:left w:val="single" w:sz="10" w:space="0" w:color="000000"/>
              <w:bottom w:val="single" w:sz="10" w:space="0" w:color="000000"/>
              <w:right w:val="single" w:sz="10" w:space="0" w:color="000000"/>
            </w:tcBorders>
            <w:tcMar>
              <w:top w:w="144" w:type="nil"/>
              <w:right w:w="144" w:type="nil"/>
            </w:tcMar>
          </w:tcPr>
          <w:p w14:paraId="3D6DCE20" w14:textId="2F31692E" w:rsidR="00133427" w:rsidRPr="00313789" w:rsidRDefault="00133427" w:rsidP="00313789">
            <w:pPr>
              <w:keepNext/>
              <w:keepLines/>
              <w:autoSpaceDE w:val="0"/>
              <w:autoSpaceDN w:val="0"/>
              <w:adjustRightInd w:val="0"/>
              <w:rPr>
                <w:rFonts w:asciiTheme="majorHAnsi" w:eastAsia="Calibri" w:hAnsiTheme="majorHAnsi"/>
                <w:sz w:val="22"/>
                <w:szCs w:val="22"/>
                <w:lang w:val="fr-CA"/>
              </w:rPr>
            </w:pPr>
            <w:r w:rsidRPr="00313789">
              <w:rPr>
                <w:rFonts w:asciiTheme="majorHAnsi" w:eastAsia="Calibri" w:hAnsiTheme="majorHAnsi" w:cs="Calibri"/>
                <w:sz w:val="22"/>
                <w:szCs w:val="22"/>
                <w:lang w:val="fr-CA"/>
              </w:rPr>
              <w:lastRenderedPageBreak/>
              <w:t>Les écosystèmes de zones humides et la prévention des risques de catastrophe</w:t>
            </w:r>
          </w:p>
        </w:tc>
        <w:tc>
          <w:tcPr>
            <w:tcW w:w="850" w:type="dxa"/>
            <w:tcBorders>
              <w:bottom w:val="single" w:sz="10" w:space="0" w:color="000000"/>
              <w:right w:val="single" w:sz="10" w:space="0" w:color="000000"/>
            </w:tcBorders>
            <w:tcMar>
              <w:top w:w="144" w:type="nil"/>
              <w:right w:w="144" w:type="nil"/>
            </w:tcMar>
          </w:tcPr>
          <w:p w14:paraId="38897938" w14:textId="3D683A31" w:rsidR="00133427" w:rsidRPr="00313789" w:rsidRDefault="00133427" w:rsidP="007A5771">
            <w:pPr>
              <w:widowControl w:val="0"/>
              <w:autoSpaceDE w:val="0"/>
              <w:autoSpaceDN w:val="0"/>
              <w:adjustRightInd w:val="0"/>
              <w:rPr>
                <w:rFonts w:asciiTheme="majorHAnsi" w:eastAsia="Calibri" w:hAnsiTheme="majorHAnsi"/>
                <w:sz w:val="22"/>
                <w:szCs w:val="22"/>
                <w:lang w:val="fr-CA"/>
              </w:rPr>
            </w:pPr>
            <w:r w:rsidRPr="00313789">
              <w:rPr>
                <w:rFonts w:asciiTheme="majorHAnsi" w:eastAsia="Calibri" w:hAnsiTheme="majorHAnsi" w:cs="Calibri"/>
                <w:sz w:val="22"/>
                <w:szCs w:val="22"/>
                <w:lang w:val="fr-CA"/>
              </w:rPr>
              <w:t>3.3</w:t>
            </w:r>
          </w:p>
        </w:tc>
        <w:tc>
          <w:tcPr>
            <w:tcW w:w="3544" w:type="dxa"/>
            <w:tcBorders>
              <w:bottom w:val="single" w:sz="10" w:space="0" w:color="000000"/>
              <w:right w:val="single" w:sz="10" w:space="0" w:color="000000"/>
            </w:tcBorders>
            <w:tcMar>
              <w:top w:w="144" w:type="nil"/>
              <w:right w:w="144" w:type="nil"/>
            </w:tcMar>
          </w:tcPr>
          <w:p w14:paraId="0CFC19C9" w14:textId="628D315B" w:rsidR="00133427" w:rsidRPr="00313789" w:rsidRDefault="00133427" w:rsidP="00133427">
            <w:pPr>
              <w:widowControl w:val="0"/>
              <w:autoSpaceDE w:val="0"/>
              <w:autoSpaceDN w:val="0"/>
              <w:adjustRightInd w:val="0"/>
              <w:rPr>
                <w:rFonts w:asciiTheme="majorHAnsi" w:eastAsia="Calibri" w:hAnsiTheme="majorHAnsi"/>
                <w:sz w:val="22"/>
                <w:szCs w:val="22"/>
                <w:lang w:val="fr-CA"/>
              </w:rPr>
            </w:pPr>
            <w:r w:rsidRPr="00313789">
              <w:rPr>
                <w:rFonts w:asciiTheme="majorHAnsi" w:eastAsia="Calibri" w:hAnsiTheme="majorHAnsi" w:cs="Calibri"/>
                <w:sz w:val="22"/>
                <w:szCs w:val="22"/>
                <w:lang w:val="fr-CA"/>
              </w:rPr>
              <w:t xml:space="preserve">Décideurs </w:t>
            </w:r>
          </w:p>
        </w:tc>
        <w:tc>
          <w:tcPr>
            <w:tcW w:w="1982" w:type="dxa"/>
            <w:tcBorders>
              <w:bottom w:val="single" w:sz="10" w:space="0" w:color="000000"/>
              <w:right w:val="single" w:sz="10" w:space="0" w:color="000000"/>
            </w:tcBorders>
            <w:tcMar>
              <w:top w:w="144" w:type="nil"/>
              <w:right w:w="144" w:type="nil"/>
            </w:tcMar>
          </w:tcPr>
          <w:p w14:paraId="4D7536D7" w14:textId="6B373C53" w:rsidR="00133427" w:rsidRPr="00313789" w:rsidRDefault="00133427" w:rsidP="007A5771">
            <w:pPr>
              <w:widowControl w:val="0"/>
              <w:autoSpaceDE w:val="0"/>
              <w:autoSpaceDN w:val="0"/>
              <w:adjustRightInd w:val="0"/>
              <w:rPr>
                <w:rFonts w:asciiTheme="majorHAnsi" w:eastAsia="Calibri" w:hAnsiTheme="majorHAnsi"/>
                <w:sz w:val="22"/>
                <w:szCs w:val="22"/>
                <w:lang w:val="fr-CA"/>
              </w:rPr>
            </w:pPr>
            <w:r w:rsidRPr="00313789">
              <w:rPr>
                <w:rFonts w:asciiTheme="majorHAnsi" w:eastAsia="Calibri" w:hAnsiTheme="majorHAnsi" w:cs="Calibri"/>
                <w:sz w:val="22"/>
                <w:szCs w:val="22"/>
                <w:lang w:val="fr-CA"/>
              </w:rPr>
              <w:t>9 000</w:t>
            </w:r>
            <w:r w:rsidRPr="00313789">
              <w:rPr>
                <w:rFonts w:asciiTheme="majorHAnsi" w:hAnsiTheme="majorHAnsi" w:cs="Arial"/>
                <w:sz w:val="22"/>
                <w:szCs w:val="22"/>
                <w:lang w:val="fr-CA"/>
              </w:rPr>
              <w:t xml:space="preserve"> </w:t>
            </w:r>
          </w:p>
        </w:tc>
      </w:tr>
      <w:tr w:rsidR="007D07CF" w:rsidRPr="00313789" w14:paraId="09C10087" w14:textId="77777777" w:rsidTr="00F24C88">
        <w:tblPrEx>
          <w:tblBorders>
            <w:top w:val="none" w:sz="0" w:space="0" w:color="auto"/>
          </w:tblBorders>
        </w:tblPrEx>
        <w:trPr>
          <w:jc w:val="center"/>
        </w:trPr>
        <w:tc>
          <w:tcPr>
            <w:tcW w:w="2738" w:type="dxa"/>
            <w:tcBorders>
              <w:left w:val="single" w:sz="10" w:space="0" w:color="000000"/>
              <w:bottom w:val="single" w:sz="10" w:space="0" w:color="000000"/>
              <w:right w:val="single" w:sz="10" w:space="0" w:color="000000"/>
            </w:tcBorders>
            <w:tcMar>
              <w:top w:w="144" w:type="nil"/>
              <w:right w:w="144" w:type="nil"/>
            </w:tcMar>
          </w:tcPr>
          <w:p w14:paraId="65597C7A" w14:textId="13AB1DA7" w:rsidR="007D07CF" w:rsidRPr="00313789" w:rsidRDefault="00C03160" w:rsidP="007247E2">
            <w:pPr>
              <w:widowControl w:val="0"/>
              <w:autoSpaceDE w:val="0"/>
              <w:autoSpaceDN w:val="0"/>
              <w:adjustRightInd w:val="0"/>
              <w:rPr>
                <w:rFonts w:asciiTheme="majorHAnsi" w:eastAsia="Calibri" w:hAnsiTheme="majorHAnsi"/>
                <w:sz w:val="22"/>
                <w:szCs w:val="22"/>
                <w:lang w:val="fr-CA"/>
              </w:rPr>
            </w:pPr>
            <w:r w:rsidRPr="00313789">
              <w:rPr>
                <w:rFonts w:asciiTheme="majorHAnsi" w:eastAsia="Calibri" w:hAnsiTheme="majorHAnsi" w:cs="Calibri"/>
                <w:sz w:val="22"/>
                <w:szCs w:val="22"/>
                <w:lang w:val="fr-CA"/>
              </w:rPr>
              <w:t xml:space="preserve">Besoins en eau </w:t>
            </w:r>
            <w:r w:rsidR="007247E2" w:rsidRPr="00313789">
              <w:rPr>
                <w:rFonts w:asciiTheme="majorHAnsi" w:eastAsia="Calibri" w:hAnsiTheme="majorHAnsi" w:cs="Calibri"/>
                <w:sz w:val="22"/>
                <w:szCs w:val="22"/>
                <w:lang w:val="fr-CA"/>
              </w:rPr>
              <w:t>des</w:t>
            </w:r>
            <w:r w:rsidRPr="00313789">
              <w:rPr>
                <w:rFonts w:asciiTheme="majorHAnsi" w:eastAsia="Calibri" w:hAnsiTheme="majorHAnsi" w:cs="Calibri"/>
                <w:sz w:val="22"/>
                <w:szCs w:val="22"/>
                <w:lang w:val="fr-CA"/>
              </w:rPr>
              <w:t xml:space="preserve"> zones humides</w:t>
            </w:r>
          </w:p>
        </w:tc>
        <w:tc>
          <w:tcPr>
            <w:tcW w:w="850" w:type="dxa"/>
            <w:tcBorders>
              <w:bottom w:val="single" w:sz="10" w:space="0" w:color="000000"/>
              <w:right w:val="single" w:sz="10" w:space="0" w:color="000000"/>
            </w:tcBorders>
            <w:tcMar>
              <w:top w:w="144" w:type="nil"/>
              <w:right w:w="144" w:type="nil"/>
            </w:tcMar>
          </w:tcPr>
          <w:p w14:paraId="400560FC" w14:textId="77777777" w:rsidR="007D07CF" w:rsidRPr="00313789" w:rsidRDefault="007D07CF" w:rsidP="00914A1A">
            <w:pPr>
              <w:widowControl w:val="0"/>
              <w:autoSpaceDE w:val="0"/>
              <w:autoSpaceDN w:val="0"/>
              <w:adjustRightInd w:val="0"/>
              <w:rPr>
                <w:rFonts w:asciiTheme="majorHAnsi" w:eastAsia="Calibri" w:hAnsiTheme="majorHAnsi"/>
                <w:sz w:val="22"/>
                <w:szCs w:val="22"/>
                <w:lang w:val="fr-CA"/>
              </w:rPr>
            </w:pPr>
            <w:r w:rsidRPr="00313789">
              <w:rPr>
                <w:rFonts w:asciiTheme="majorHAnsi" w:eastAsia="Calibri" w:hAnsiTheme="majorHAnsi" w:cs="Calibri"/>
                <w:sz w:val="22"/>
                <w:szCs w:val="22"/>
                <w:lang w:val="fr-CA"/>
              </w:rPr>
              <w:t>4.1</w:t>
            </w:r>
          </w:p>
        </w:tc>
        <w:tc>
          <w:tcPr>
            <w:tcW w:w="3544" w:type="dxa"/>
            <w:tcBorders>
              <w:bottom w:val="single" w:sz="10" w:space="0" w:color="000000"/>
              <w:right w:val="single" w:sz="10" w:space="0" w:color="000000"/>
            </w:tcBorders>
            <w:tcMar>
              <w:top w:w="144" w:type="nil"/>
              <w:right w:w="144" w:type="nil"/>
            </w:tcMar>
          </w:tcPr>
          <w:p w14:paraId="29667538" w14:textId="1CA04907" w:rsidR="007D07CF" w:rsidRPr="00313789" w:rsidRDefault="00C03160" w:rsidP="00133427">
            <w:pPr>
              <w:widowControl w:val="0"/>
              <w:autoSpaceDE w:val="0"/>
              <w:autoSpaceDN w:val="0"/>
              <w:adjustRightInd w:val="0"/>
              <w:rPr>
                <w:rFonts w:asciiTheme="majorHAnsi" w:eastAsia="Calibri" w:hAnsiTheme="majorHAnsi"/>
                <w:sz w:val="22"/>
                <w:szCs w:val="22"/>
                <w:lang w:val="fr-CA"/>
              </w:rPr>
            </w:pPr>
            <w:r w:rsidRPr="00313789">
              <w:rPr>
                <w:rFonts w:asciiTheme="majorHAnsi" w:eastAsia="Calibri" w:hAnsiTheme="majorHAnsi" w:cs="Calibri"/>
                <w:sz w:val="22"/>
                <w:szCs w:val="22"/>
                <w:lang w:val="fr-CA"/>
              </w:rPr>
              <w:t>Décideurs</w:t>
            </w:r>
            <w:r w:rsidR="00133427" w:rsidRPr="00313789">
              <w:rPr>
                <w:rFonts w:asciiTheme="majorHAnsi" w:eastAsia="Calibri" w:hAnsiTheme="majorHAnsi" w:cs="Calibri"/>
                <w:sz w:val="22"/>
                <w:szCs w:val="22"/>
                <w:lang w:val="fr-CA"/>
              </w:rPr>
              <w:t xml:space="preserve"> et</w:t>
            </w:r>
            <w:r w:rsidRPr="00313789">
              <w:rPr>
                <w:rFonts w:asciiTheme="majorHAnsi" w:eastAsia="Calibri" w:hAnsiTheme="majorHAnsi" w:cs="Calibri"/>
                <w:sz w:val="22"/>
                <w:szCs w:val="22"/>
                <w:lang w:val="fr-CA"/>
              </w:rPr>
              <w:t xml:space="preserve"> praticiens aux niveaux national, du bassin </w:t>
            </w:r>
            <w:r w:rsidR="00B81559">
              <w:rPr>
                <w:rFonts w:asciiTheme="majorHAnsi" w:eastAsia="Calibri" w:hAnsiTheme="majorHAnsi" w:cs="Calibri"/>
                <w:sz w:val="22"/>
                <w:szCs w:val="22"/>
                <w:lang w:val="fr-CA"/>
              </w:rPr>
              <w:t xml:space="preserve">versant </w:t>
            </w:r>
            <w:r w:rsidRPr="00313789">
              <w:rPr>
                <w:rFonts w:asciiTheme="majorHAnsi" w:eastAsia="Calibri" w:hAnsiTheme="majorHAnsi" w:cs="Calibri"/>
                <w:sz w:val="22"/>
                <w:szCs w:val="22"/>
                <w:lang w:val="fr-CA"/>
              </w:rPr>
              <w:t xml:space="preserve">et local </w:t>
            </w:r>
          </w:p>
        </w:tc>
        <w:tc>
          <w:tcPr>
            <w:tcW w:w="1982" w:type="dxa"/>
            <w:tcBorders>
              <w:bottom w:val="single" w:sz="10" w:space="0" w:color="000000"/>
              <w:right w:val="single" w:sz="10" w:space="0" w:color="000000"/>
            </w:tcBorders>
            <w:tcMar>
              <w:top w:w="144" w:type="nil"/>
              <w:right w:w="144" w:type="nil"/>
            </w:tcMar>
          </w:tcPr>
          <w:p w14:paraId="73D737A3" w14:textId="44BFB7D7" w:rsidR="00A94469" w:rsidRPr="00313789" w:rsidRDefault="00133427" w:rsidP="00914A1A">
            <w:pPr>
              <w:widowControl w:val="0"/>
              <w:autoSpaceDE w:val="0"/>
              <w:autoSpaceDN w:val="0"/>
              <w:adjustRightInd w:val="0"/>
              <w:rPr>
                <w:rFonts w:asciiTheme="majorHAnsi" w:eastAsia="Calibri" w:hAnsiTheme="majorHAnsi" w:cs="Calibri"/>
                <w:sz w:val="22"/>
                <w:szCs w:val="22"/>
                <w:lang w:val="fr-CA"/>
              </w:rPr>
            </w:pPr>
            <w:r w:rsidRPr="00313789">
              <w:rPr>
                <w:rFonts w:asciiTheme="majorHAnsi" w:eastAsia="Calibri" w:hAnsiTheme="majorHAnsi" w:cs="Calibri"/>
                <w:sz w:val="22"/>
                <w:szCs w:val="22"/>
                <w:lang w:val="fr-CA"/>
              </w:rPr>
              <w:t>Pas d’incidences financières pour le budget du GEST.</w:t>
            </w:r>
          </w:p>
          <w:p w14:paraId="5AABBEBB" w14:textId="727D2633" w:rsidR="00176F36" w:rsidRPr="00313789" w:rsidRDefault="00133427" w:rsidP="00133427">
            <w:pPr>
              <w:widowControl w:val="0"/>
              <w:autoSpaceDE w:val="0"/>
              <w:autoSpaceDN w:val="0"/>
              <w:adjustRightInd w:val="0"/>
              <w:rPr>
                <w:rFonts w:asciiTheme="majorHAnsi" w:eastAsia="Calibri" w:hAnsiTheme="majorHAnsi"/>
                <w:sz w:val="22"/>
                <w:szCs w:val="22"/>
                <w:lang w:val="fr-CA"/>
              </w:rPr>
            </w:pPr>
            <w:r w:rsidRPr="00313789">
              <w:rPr>
                <w:rFonts w:asciiTheme="majorHAnsi" w:hAnsiTheme="majorHAnsi" w:cs="Arial"/>
                <w:sz w:val="22"/>
                <w:szCs w:val="22"/>
                <w:lang w:val="fr-CA"/>
              </w:rPr>
              <w:t xml:space="preserve">[100 000 </w:t>
            </w:r>
            <w:r w:rsidR="00C03160" w:rsidRPr="00313789">
              <w:rPr>
                <w:rFonts w:asciiTheme="majorHAnsi" w:hAnsiTheme="majorHAnsi" w:cs="Arial"/>
                <w:sz w:val="22"/>
                <w:szCs w:val="22"/>
                <w:lang w:val="fr-CA"/>
              </w:rPr>
              <w:t>fourn</w:t>
            </w:r>
            <w:r w:rsidRPr="00313789">
              <w:rPr>
                <w:rFonts w:asciiTheme="majorHAnsi" w:hAnsiTheme="majorHAnsi" w:cs="Arial"/>
                <w:sz w:val="22"/>
                <w:szCs w:val="22"/>
                <w:lang w:val="fr-CA"/>
              </w:rPr>
              <w:t>is</w:t>
            </w:r>
            <w:r w:rsidR="00C03160" w:rsidRPr="00313789">
              <w:rPr>
                <w:rFonts w:asciiTheme="majorHAnsi" w:hAnsiTheme="majorHAnsi" w:cs="Arial"/>
                <w:sz w:val="22"/>
                <w:szCs w:val="22"/>
                <w:lang w:val="fr-CA"/>
              </w:rPr>
              <w:t xml:space="preserve"> par le WWF</w:t>
            </w:r>
            <w:r w:rsidRPr="00313789">
              <w:rPr>
                <w:rFonts w:asciiTheme="majorHAnsi" w:hAnsiTheme="majorHAnsi" w:cs="Arial"/>
                <w:sz w:val="22"/>
                <w:szCs w:val="22"/>
                <w:lang w:val="fr-CA"/>
              </w:rPr>
              <w:t>]</w:t>
            </w:r>
            <w:r w:rsidR="00C03160" w:rsidRPr="00313789">
              <w:rPr>
                <w:rFonts w:asciiTheme="majorHAnsi" w:hAnsiTheme="majorHAnsi" w:cs="Arial"/>
                <w:sz w:val="22"/>
                <w:szCs w:val="22"/>
                <w:lang w:val="fr-CA"/>
              </w:rPr>
              <w:t xml:space="preserve"> </w:t>
            </w:r>
          </w:p>
        </w:tc>
      </w:tr>
      <w:tr w:rsidR="00133427" w:rsidRPr="00833360" w14:paraId="20B2987D" w14:textId="77777777" w:rsidTr="00F24C88">
        <w:trPr>
          <w:jc w:val="center"/>
        </w:trPr>
        <w:tc>
          <w:tcPr>
            <w:tcW w:w="2738" w:type="dxa"/>
            <w:tcBorders>
              <w:left w:val="single" w:sz="10" w:space="0" w:color="000000"/>
              <w:bottom w:val="single" w:sz="10" w:space="0" w:color="000000"/>
              <w:right w:val="single" w:sz="10" w:space="0" w:color="000000"/>
            </w:tcBorders>
            <w:tcMar>
              <w:top w:w="144" w:type="nil"/>
              <w:right w:w="144" w:type="nil"/>
            </w:tcMar>
          </w:tcPr>
          <w:p w14:paraId="0A43261A" w14:textId="4C1E64F0" w:rsidR="00133427" w:rsidRPr="00313789" w:rsidRDefault="00133427" w:rsidP="00B81559">
            <w:pPr>
              <w:widowControl w:val="0"/>
              <w:autoSpaceDE w:val="0"/>
              <w:autoSpaceDN w:val="0"/>
              <w:adjustRightInd w:val="0"/>
              <w:rPr>
                <w:rFonts w:asciiTheme="majorHAnsi" w:eastAsia="Calibri" w:hAnsiTheme="majorHAnsi"/>
                <w:sz w:val="22"/>
                <w:szCs w:val="22"/>
                <w:lang w:val="fr-CA"/>
              </w:rPr>
            </w:pPr>
            <w:r w:rsidRPr="00313789">
              <w:rPr>
                <w:rFonts w:asciiTheme="majorHAnsi" w:eastAsia="Calibri" w:hAnsiTheme="majorHAnsi" w:cs="Calibri"/>
                <w:sz w:val="22"/>
                <w:szCs w:val="22"/>
                <w:lang w:val="fr-CA"/>
              </w:rPr>
              <w:t>Exam</w:t>
            </w:r>
            <w:r w:rsidR="00485A40">
              <w:rPr>
                <w:rFonts w:asciiTheme="majorHAnsi" w:eastAsia="Calibri" w:hAnsiTheme="majorHAnsi" w:cs="Calibri"/>
                <w:sz w:val="22"/>
                <w:szCs w:val="22"/>
                <w:lang w:val="fr-CA"/>
              </w:rPr>
              <w:t xml:space="preserve">en et analyse des rapports de </w:t>
            </w:r>
            <w:r w:rsidR="002D2D47">
              <w:rPr>
                <w:rFonts w:asciiTheme="majorHAnsi" w:eastAsia="Calibri" w:hAnsiTheme="majorHAnsi" w:cs="Calibri"/>
                <w:sz w:val="22"/>
                <w:szCs w:val="22"/>
                <w:lang w:val="fr-CA"/>
              </w:rPr>
              <w:t>M</w:t>
            </w:r>
            <w:r w:rsidRPr="00313789">
              <w:rPr>
                <w:rFonts w:asciiTheme="majorHAnsi" w:eastAsia="Calibri" w:hAnsiTheme="majorHAnsi" w:cs="Calibri"/>
                <w:sz w:val="22"/>
                <w:szCs w:val="22"/>
                <w:lang w:val="fr-CA"/>
              </w:rPr>
              <w:t xml:space="preserve">issions consultatives Ramsar </w:t>
            </w:r>
          </w:p>
        </w:tc>
        <w:tc>
          <w:tcPr>
            <w:tcW w:w="850" w:type="dxa"/>
            <w:tcBorders>
              <w:bottom w:val="single" w:sz="10" w:space="0" w:color="000000"/>
              <w:right w:val="single" w:sz="10" w:space="0" w:color="000000"/>
            </w:tcBorders>
            <w:tcMar>
              <w:top w:w="144" w:type="nil"/>
              <w:right w:w="144" w:type="nil"/>
            </w:tcMar>
          </w:tcPr>
          <w:p w14:paraId="4D195816" w14:textId="77777777" w:rsidR="00133427" w:rsidRPr="00313789" w:rsidRDefault="00133427" w:rsidP="007A5771">
            <w:pPr>
              <w:widowControl w:val="0"/>
              <w:autoSpaceDE w:val="0"/>
              <w:autoSpaceDN w:val="0"/>
              <w:adjustRightInd w:val="0"/>
              <w:rPr>
                <w:rFonts w:asciiTheme="majorHAnsi" w:eastAsia="Calibri" w:hAnsiTheme="majorHAnsi"/>
                <w:sz w:val="22"/>
                <w:szCs w:val="22"/>
                <w:lang w:val="fr-CA"/>
              </w:rPr>
            </w:pPr>
            <w:r w:rsidRPr="00313789">
              <w:rPr>
                <w:rFonts w:asciiTheme="majorHAnsi" w:eastAsia="Calibri" w:hAnsiTheme="majorHAnsi" w:cs="Calibri"/>
                <w:sz w:val="22"/>
                <w:szCs w:val="22"/>
                <w:lang w:val="fr-CA"/>
              </w:rPr>
              <w:t>4.2</w:t>
            </w:r>
          </w:p>
        </w:tc>
        <w:tc>
          <w:tcPr>
            <w:tcW w:w="3544" w:type="dxa"/>
            <w:tcBorders>
              <w:bottom w:val="single" w:sz="10" w:space="0" w:color="000000"/>
              <w:right w:val="single" w:sz="10" w:space="0" w:color="000000"/>
            </w:tcBorders>
            <w:tcMar>
              <w:top w:w="144" w:type="nil"/>
              <w:right w:w="144" w:type="nil"/>
            </w:tcMar>
          </w:tcPr>
          <w:p w14:paraId="60552283" w14:textId="77777777" w:rsidR="00133427" w:rsidRPr="00313789" w:rsidRDefault="00133427" w:rsidP="007A5771">
            <w:pPr>
              <w:widowControl w:val="0"/>
              <w:autoSpaceDE w:val="0"/>
              <w:autoSpaceDN w:val="0"/>
              <w:adjustRightInd w:val="0"/>
              <w:rPr>
                <w:rFonts w:asciiTheme="majorHAnsi" w:eastAsia="Calibri" w:hAnsiTheme="majorHAnsi"/>
                <w:sz w:val="22"/>
                <w:szCs w:val="22"/>
                <w:lang w:val="fr-CA"/>
              </w:rPr>
            </w:pPr>
            <w:r w:rsidRPr="00313789">
              <w:rPr>
                <w:rFonts w:asciiTheme="majorHAnsi" w:eastAsia="Calibri" w:hAnsiTheme="majorHAnsi" w:cs="Calibri"/>
                <w:sz w:val="22"/>
                <w:szCs w:val="22"/>
                <w:lang w:val="fr-CA"/>
              </w:rPr>
              <w:t xml:space="preserve">Décideurs; praticiens (administrateurs de zones humides) </w:t>
            </w:r>
          </w:p>
        </w:tc>
        <w:tc>
          <w:tcPr>
            <w:tcW w:w="1982" w:type="dxa"/>
            <w:tcBorders>
              <w:bottom w:val="single" w:sz="10" w:space="0" w:color="000000"/>
              <w:right w:val="single" w:sz="10" w:space="0" w:color="000000"/>
            </w:tcBorders>
            <w:tcMar>
              <w:top w:w="144" w:type="nil"/>
              <w:right w:w="144" w:type="nil"/>
            </w:tcMar>
          </w:tcPr>
          <w:p w14:paraId="3D19EDEE" w14:textId="77777777" w:rsidR="00133427" w:rsidRPr="00313789" w:rsidRDefault="00133427" w:rsidP="007A5771">
            <w:pPr>
              <w:widowControl w:val="0"/>
              <w:autoSpaceDE w:val="0"/>
              <w:autoSpaceDN w:val="0"/>
              <w:adjustRightInd w:val="0"/>
              <w:rPr>
                <w:rFonts w:asciiTheme="majorHAnsi" w:eastAsia="Calibri" w:hAnsiTheme="majorHAnsi" w:cs="Calibri"/>
                <w:sz w:val="22"/>
                <w:szCs w:val="22"/>
                <w:lang w:val="fr-CA"/>
              </w:rPr>
            </w:pPr>
            <w:r w:rsidRPr="00313789">
              <w:rPr>
                <w:rFonts w:asciiTheme="majorHAnsi" w:eastAsia="Calibri" w:hAnsiTheme="majorHAnsi" w:cs="Calibri"/>
                <w:sz w:val="22"/>
                <w:szCs w:val="22"/>
                <w:lang w:val="fr-CA"/>
              </w:rPr>
              <w:t>22 000</w:t>
            </w:r>
          </w:p>
          <w:p w14:paraId="26C9A458" w14:textId="77777777" w:rsidR="00133427" w:rsidRPr="00313789" w:rsidRDefault="00133427" w:rsidP="007A5771">
            <w:pPr>
              <w:widowControl w:val="0"/>
              <w:autoSpaceDE w:val="0"/>
              <w:autoSpaceDN w:val="0"/>
              <w:adjustRightInd w:val="0"/>
              <w:rPr>
                <w:rFonts w:asciiTheme="majorHAnsi" w:eastAsia="Calibri" w:hAnsiTheme="majorHAnsi"/>
                <w:sz w:val="22"/>
                <w:szCs w:val="22"/>
                <w:lang w:val="fr-CA"/>
              </w:rPr>
            </w:pPr>
            <w:r w:rsidRPr="00313789">
              <w:rPr>
                <w:rFonts w:asciiTheme="majorHAnsi" w:hAnsiTheme="majorHAnsi" w:cs="Arial"/>
                <w:sz w:val="22"/>
                <w:szCs w:val="22"/>
                <w:lang w:val="fr-CA"/>
              </w:rPr>
              <w:t>[22 000 additionnels fournis par le WWF]</w:t>
            </w:r>
          </w:p>
        </w:tc>
      </w:tr>
      <w:tr w:rsidR="007D07CF" w:rsidRPr="00313789" w14:paraId="1471997D" w14:textId="77777777" w:rsidTr="00F24C88">
        <w:trPr>
          <w:jc w:val="center"/>
        </w:trPr>
        <w:tc>
          <w:tcPr>
            <w:tcW w:w="2738" w:type="dxa"/>
            <w:tcBorders>
              <w:left w:val="single" w:sz="10" w:space="0" w:color="000000"/>
              <w:bottom w:val="single" w:sz="10" w:space="0" w:color="000000"/>
              <w:right w:val="single" w:sz="10" w:space="0" w:color="000000"/>
            </w:tcBorders>
            <w:tcMar>
              <w:top w:w="144" w:type="nil"/>
              <w:right w:w="144" w:type="nil"/>
            </w:tcMar>
          </w:tcPr>
          <w:p w14:paraId="4C3DE06F" w14:textId="137DE92B" w:rsidR="007D07CF" w:rsidRPr="00313789" w:rsidRDefault="00133427" w:rsidP="00C03160">
            <w:pPr>
              <w:widowControl w:val="0"/>
              <w:autoSpaceDE w:val="0"/>
              <w:autoSpaceDN w:val="0"/>
              <w:adjustRightInd w:val="0"/>
              <w:rPr>
                <w:rFonts w:asciiTheme="majorHAnsi" w:eastAsia="Calibri" w:hAnsiTheme="majorHAnsi"/>
                <w:sz w:val="22"/>
                <w:szCs w:val="22"/>
                <w:lang w:val="fr-CA"/>
              </w:rPr>
            </w:pPr>
            <w:r w:rsidRPr="00313789">
              <w:rPr>
                <w:rFonts w:asciiTheme="majorHAnsi" w:eastAsia="Calibri" w:hAnsiTheme="majorHAnsi" w:cs="Calibri"/>
                <w:sz w:val="22"/>
                <w:szCs w:val="22"/>
                <w:lang w:val="fr-CA"/>
              </w:rPr>
              <w:t>Promotion des meilleures pratiques pour la restauration des zones humides</w:t>
            </w:r>
            <w:r w:rsidR="00C03160" w:rsidRPr="00313789">
              <w:rPr>
                <w:rFonts w:asciiTheme="majorHAnsi" w:eastAsia="Calibri" w:hAnsiTheme="majorHAnsi" w:cs="Calibri"/>
                <w:sz w:val="22"/>
                <w:szCs w:val="22"/>
                <w:lang w:val="fr-CA"/>
              </w:rPr>
              <w:t xml:space="preserve"> </w:t>
            </w:r>
          </w:p>
        </w:tc>
        <w:tc>
          <w:tcPr>
            <w:tcW w:w="850" w:type="dxa"/>
            <w:tcBorders>
              <w:bottom w:val="single" w:sz="10" w:space="0" w:color="000000"/>
              <w:right w:val="single" w:sz="10" w:space="0" w:color="000000"/>
            </w:tcBorders>
            <w:tcMar>
              <w:top w:w="144" w:type="nil"/>
              <w:right w:w="144" w:type="nil"/>
            </w:tcMar>
          </w:tcPr>
          <w:p w14:paraId="7E1240DA" w14:textId="626F723C" w:rsidR="007D07CF" w:rsidRPr="00313789" w:rsidRDefault="00133427" w:rsidP="00914A1A">
            <w:pPr>
              <w:widowControl w:val="0"/>
              <w:autoSpaceDE w:val="0"/>
              <w:autoSpaceDN w:val="0"/>
              <w:adjustRightInd w:val="0"/>
              <w:rPr>
                <w:rFonts w:asciiTheme="majorHAnsi" w:eastAsia="Calibri" w:hAnsiTheme="majorHAnsi"/>
                <w:sz w:val="22"/>
                <w:szCs w:val="22"/>
                <w:lang w:val="fr-CA"/>
              </w:rPr>
            </w:pPr>
            <w:r w:rsidRPr="00313789">
              <w:rPr>
                <w:rFonts w:asciiTheme="majorHAnsi" w:eastAsia="Calibri" w:hAnsiTheme="majorHAnsi" w:cs="Calibri"/>
                <w:sz w:val="22"/>
                <w:szCs w:val="22"/>
                <w:lang w:val="fr-CA"/>
              </w:rPr>
              <w:t>5.1</w:t>
            </w:r>
          </w:p>
        </w:tc>
        <w:tc>
          <w:tcPr>
            <w:tcW w:w="3544" w:type="dxa"/>
            <w:tcBorders>
              <w:bottom w:val="single" w:sz="10" w:space="0" w:color="000000"/>
              <w:right w:val="single" w:sz="10" w:space="0" w:color="000000"/>
            </w:tcBorders>
            <w:tcMar>
              <w:top w:w="144" w:type="nil"/>
              <w:right w:w="144" w:type="nil"/>
            </w:tcMar>
          </w:tcPr>
          <w:p w14:paraId="1D4EE628" w14:textId="51DEF6E6" w:rsidR="007D07CF" w:rsidRPr="00313789" w:rsidRDefault="006A5DA2" w:rsidP="00133427">
            <w:pPr>
              <w:widowControl w:val="0"/>
              <w:autoSpaceDE w:val="0"/>
              <w:autoSpaceDN w:val="0"/>
              <w:adjustRightInd w:val="0"/>
              <w:rPr>
                <w:rFonts w:asciiTheme="majorHAnsi" w:eastAsia="Calibri" w:hAnsiTheme="majorHAnsi"/>
                <w:sz w:val="22"/>
                <w:szCs w:val="22"/>
                <w:lang w:val="fr-CA"/>
              </w:rPr>
            </w:pPr>
            <w:r w:rsidRPr="00313789">
              <w:rPr>
                <w:rFonts w:asciiTheme="majorHAnsi" w:eastAsia="Calibri" w:hAnsiTheme="majorHAnsi" w:cs="Calibri"/>
                <w:sz w:val="22"/>
                <w:szCs w:val="22"/>
                <w:lang w:val="fr-CA"/>
              </w:rPr>
              <w:t>D</w:t>
            </w:r>
            <w:r w:rsidR="00C03160" w:rsidRPr="00313789">
              <w:rPr>
                <w:rFonts w:asciiTheme="majorHAnsi" w:eastAsia="Calibri" w:hAnsiTheme="majorHAnsi" w:cs="Calibri"/>
                <w:sz w:val="22"/>
                <w:szCs w:val="22"/>
                <w:lang w:val="fr-CA"/>
              </w:rPr>
              <w:t>écideurs</w:t>
            </w:r>
            <w:r w:rsidR="00133427" w:rsidRPr="00313789">
              <w:rPr>
                <w:rFonts w:asciiTheme="majorHAnsi" w:eastAsia="Calibri" w:hAnsiTheme="majorHAnsi" w:cs="Calibri"/>
                <w:sz w:val="22"/>
                <w:szCs w:val="22"/>
                <w:lang w:val="fr-CA"/>
              </w:rPr>
              <w:t xml:space="preserve"> et</w:t>
            </w:r>
            <w:r w:rsidR="00E01336" w:rsidRPr="00313789">
              <w:rPr>
                <w:rFonts w:asciiTheme="majorHAnsi" w:eastAsia="Calibri" w:hAnsiTheme="majorHAnsi" w:cs="Calibri"/>
                <w:sz w:val="22"/>
                <w:szCs w:val="22"/>
                <w:lang w:val="fr-CA"/>
              </w:rPr>
              <w:t xml:space="preserve"> </w:t>
            </w:r>
            <w:r w:rsidR="00C03160" w:rsidRPr="00313789">
              <w:rPr>
                <w:rFonts w:asciiTheme="majorHAnsi" w:eastAsia="Calibri" w:hAnsiTheme="majorHAnsi" w:cs="Calibri"/>
                <w:sz w:val="22"/>
                <w:szCs w:val="22"/>
                <w:lang w:val="fr-CA"/>
              </w:rPr>
              <w:t xml:space="preserve">praticiens (administrateurs de </w:t>
            </w:r>
            <w:r w:rsidR="00133427" w:rsidRPr="00313789">
              <w:rPr>
                <w:rFonts w:asciiTheme="majorHAnsi" w:eastAsia="Calibri" w:hAnsiTheme="majorHAnsi" w:cs="Calibri"/>
                <w:sz w:val="22"/>
                <w:szCs w:val="22"/>
                <w:lang w:val="fr-CA"/>
              </w:rPr>
              <w:t>zones humides</w:t>
            </w:r>
            <w:r w:rsidR="00C03160" w:rsidRPr="00313789">
              <w:rPr>
                <w:rFonts w:asciiTheme="majorHAnsi" w:eastAsia="Calibri" w:hAnsiTheme="majorHAnsi" w:cs="Calibri"/>
                <w:sz w:val="22"/>
                <w:szCs w:val="22"/>
                <w:lang w:val="fr-CA"/>
              </w:rPr>
              <w:t xml:space="preserve">) </w:t>
            </w:r>
          </w:p>
        </w:tc>
        <w:tc>
          <w:tcPr>
            <w:tcW w:w="1982" w:type="dxa"/>
            <w:tcBorders>
              <w:bottom w:val="single" w:sz="10" w:space="0" w:color="000000"/>
              <w:right w:val="single" w:sz="10" w:space="0" w:color="000000"/>
            </w:tcBorders>
            <w:tcMar>
              <w:top w:w="144" w:type="nil"/>
              <w:right w:w="144" w:type="nil"/>
            </w:tcMar>
          </w:tcPr>
          <w:p w14:paraId="68B8E2C6" w14:textId="77777777" w:rsidR="007D07CF" w:rsidRPr="00313789" w:rsidRDefault="00133427" w:rsidP="00914A1A">
            <w:pPr>
              <w:widowControl w:val="0"/>
              <w:autoSpaceDE w:val="0"/>
              <w:autoSpaceDN w:val="0"/>
              <w:adjustRightInd w:val="0"/>
              <w:rPr>
                <w:rFonts w:asciiTheme="majorHAnsi" w:eastAsia="Calibri" w:hAnsiTheme="majorHAnsi" w:cs="Calibri"/>
                <w:sz w:val="22"/>
                <w:szCs w:val="22"/>
                <w:lang w:val="fr-CA"/>
              </w:rPr>
            </w:pPr>
            <w:r w:rsidRPr="00313789">
              <w:rPr>
                <w:rFonts w:asciiTheme="majorHAnsi" w:eastAsia="Calibri" w:hAnsiTheme="majorHAnsi" w:cs="Calibri"/>
                <w:sz w:val="22"/>
                <w:szCs w:val="22"/>
                <w:lang w:val="fr-CA"/>
              </w:rPr>
              <w:t>22</w:t>
            </w:r>
            <w:r w:rsidR="00B07C1F" w:rsidRPr="00313789">
              <w:rPr>
                <w:rFonts w:asciiTheme="majorHAnsi" w:eastAsia="Calibri" w:hAnsiTheme="majorHAnsi" w:cs="Calibri"/>
                <w:sz w:val="22"/>
                <w:szCs w:val="22"/>
                <w:lang w:val="fr-CA"/>
              </w:rPr>
              <w:t> </w:t>
            </w:r>
            <w:r w:rsidR="007D07CF" w:rsidRPr="00313789">
              <w:rPr>
                <w:rFonts w:asciiTheme="majorHAnsi" w:eastAsia="Calibri" w:hAnsiTheme="majorHAnsi" w:cs="Calibri"/>
                <w:sz w:val="22"/>
                <w:szCs w:val="22"/>
                <w:lang w:val="fr-CA"/>
              </w:rPr>
              <w:t>000</w:t>
            </w:r>
          </w:p>
          <w:p w14:paraId="76E042DA" w14:textId="71B2B995" w:rsidR="00133427" w:rsidRPr="00313789" w:rsidRDefault="00133427" w:rsidP="00133427">
            <w:pPr>
              <w:widowControl w:val="0"/>
              <w:autoSpaceDE w:val="0"/>
              <w:autoSpaceDN w:val="0"/>
              <w:adjustRightInd w:val="0"/>
              <w:rPr>
                <w:rFonts w:asciiTheme="majorHAnsi" w:eastAsia="Calibri" w:hAnsiTheme="majorHAnsi"/>
                <w:sz w:val="22"/>
                <w:szCs w:val="22"/>
                <w:lang w:val="fr-CA"/>
              </w:rPr>
            </w:pPr>
          </w:p>
        </w:tc>
      </w:tr>
    </w:tbl>
    <w:p w14:paraId="74DE45A7" w14:textId="1E3264B3" w:rsidR="00176F36" w:rsidRPr="003F6411" w:rsidRDefault="00E01336" w:rsidP="00914A1A">
      <w:pPr>
        <w:ind w:left="360" w:hanging="360"/>
        <w:rPr>
          <w:rFonts w:asciiTheme="majorHAnsi" w:hAnsiTheme="majorHAnsi"/>
          <w:sz w:val="22"/>
          <w:szCs w:val="22"/>
          <w:lang w:val="fr-FR"/>
        </w:rPr>
      </w:pPr>
      <w:r w:rsidRPr="003F6411">
        <w:rPr>
          <w:rFonts w:asciiTheme="majorHAnsi" w:eastAsia="Calibri" w:hAnsiTheme="majorHAnsi" w:cs="Calibri"/>
          <w:sz w:val="22"/>
          <w:szCs w:val="22"/>
          <w:lang w:val="fr-FR"/>
        </w:rPr>
        <w:t xml:space="preserve"> </w:t>
      </w:r>
    </w:p>
    <w:p w14:paraId="3F6CBFB8" w14:textId="15960DFA" w:rsidR="003B6083" w:rsidRPr="00313789" w:rsidRDefault="00313789" w:rsidP="00F24C88">
      <w:pPr>
        <w:pStyle w:val="ListParagraph"/>
        <w:numPr>
          <w:ilvl w:val="0"/>
          <w:numId w:val="31"/>
        </w:numPr>
        <w:ind w:left="426" w:hanging="426"/>
        <w:rPr>
          <w:rFonts w:asciiTheme="majorHAnsi" w:hAnsiTheme="majorHAnsi"/>
          <w:szCs w:val="22"/>
          <w:lang w:val="fr-CA"/>
        </w:rPr>
      </w:pPr>
      <w:r>
        <w:rPr>
          <w:rFonts w:asciiTheme="majorHAnsi" w:hAnsiTheme="majorHAnsi"/>
          <w:szCs w:val="22"/>
          <w:lang w:val="fr-CA"/>
        </w:rPr>
        <w:t>En ce qui concerne les tâches</w:t>
      </w:r>
      <w:r w:rsidR="003B6083" w:rsidRPr="00313789">
        <w:rPr>
          <w:rFonts w:asciiTheme="majorHAnsi" w:hAnsiTheme="majorHAnsi"/>
          <w:szCs w:val="22"/>
          <w:lang w:val="fr-CA"/>
        </w:rPr>
        <w:t xml:space="preserve"> 4.2 </w:t>
      </w:r>
      <w:r>
        <w:rPr>
          <w:rFonts w:asciiTheme="majorHAnsi" w:hAnsiTheme="majorHAnsi"/>
          <w:szCs w:val="22"/>
          <w:lang w:val="fr-CA"/>
        </w:rPr>
        <w:t>et</w:t>
      </w:r>
      <w:r w:rsidR="003B6083" w:rsidRPr="00313789">
        <w:rPr>
          <w:rFonts w:asciiTheme="majorHAnsi" w:hAnsiTheme="majorHAnsi"/>
          <w:szCs w:val="22"/>
          <w:lang w:val="fr-CA"/>
        </w:rPr>
        <w:t xml:space="preserve"> 4.3, </w:t>
      </w:r>
      <w:r>
        <w:rPr>
          <w:rFonts w:asciiTheme="majorHAnsi" w:hAnsiTheme="majorHAnsi"/>
          <w:szCs w:val="22"/>
          <w:lang w:val="fr-CA"/>
        </w:rPr>
        <w:t>les fonds fournis par le WWF doivent être engagés avant la Réunion du Comité permanent en juin 2016</w:t>
      </w:r>
      <w:r w:rsidR="00B81559">
        <w:rPr>
          <w:rFonts w:asciiTheme="majorHAnsi" w:hAnsiTheme="majorHAnsi"/>
          <w:szCs w:val="22"/>
          <w:lang w:val="fr-CA"/>
        </w:rPr>
        <w:t>,</w:t>
      </w:r>
      <w:r w:rsidR="002D2D47">
        <w:rPr>
          <w:rFonts w:asciiTheme="majorHAnsi" w:hAnsiTheme="majorHAnsi"/>
          <w:szCs w:val="22"/>
          <w:lang w:val="fr-CA"/>
        </w:rPr>
        <w:t xml:space="preserve"> s</w:t>
      </w:r>
      <w:r>
        <w:rPr>
          <w:rFonts w:asciiTheme="majorHAnsi" w:hAnsiTheme="majorHAnsi"/>
          <w:szCs w:val="22"/>
          <w:lang w:val="fr-CA"/>
        </w:rPr>
        <w:t>inon</w:t>
      </w:r>
      <w:r w:rsidR="002D2D47">
        <w:rPr>
          <w:rFonts w:asciiTheme="majorHAnsi" w:hAnsiTheme="majorHAnsi"/>
          <w:szCs w:val="22"/>
          <w:lang w:val="fr-CA"/>
        </w:rPr>
        <w:t xml:space="preserve"> ils</w:t>
      </w:r>
      <w:r>
        <w:rPr>
          <w:rFonts w:asciiTheme="majorHAnsi" w:hAnsiTheme="majorHAnsi"/>
          <w:szCs w:val="22"/>
          <w:lang w:val="fr-CA"/>
        </w:rPr>
        <w:t xml:space="preserve"> ne seront plus disponibles pour ces tâches du GEST. En conséquence, le Président du GEST travaillera avec la Secrétaire générale par intérim et le Président du Comité permanent pour étudier des mécanismes permettant de faire progresser les travaux sur ces tâches avant la 52</w:t>
      </w:r>
      <w:r w:rsidRPr="00313789">
        <w:rPr>
          <w:rFonts w:asciiTheme="majorHAnsi" w:hAnsiTheme="majorHAnsi"/>
          <w:szCs w:val="22"/>
          <w:vertAlign w:val="superscript"/>
          <w:lang w:val="fr-CA"/>
        </w:rPr>
        <w:t>e</w:t>
      </w:r>
      <w:r>
        <w:rPr>
          <w:rFonts w:asciiTheme="majorHAnsi" w:hAnsiTheme="majorHAnsi"/>
          <w:szCs w:val="22"/>
          <w:lang w:val="fr-CA"/>
        </w:rPr>
        <w:t xml:space="preserve"> Réunion du Comité permanent. </w:t>
      </w:r>
    </w:p>
    <w:p w14:paraId="4A03D9DF" w14:textId="77777777" w:rsidR="003B6083" w:rsidRPr="00251FB6" w:rsidRDefault="003B6083" w:rsidP="00F24C88">
      <w:pPr>
        <w:ind w:left="426"/>
        <w:rPr>
          <w:rFonts w:asciiTheme="majorHAnsi" w:hAnsiTheme="majorHAnsi"/>
          <w:szCs w:val="22"/>
          <w:lang w:val="fr-CH"/>
        </w:rPr>
      </w:pPr>
    </w:p>
    <w:p w14:paraId="10CA2CA9" w14:textId="7FA0594C" w:rsidR="003B6083" w:rsidRPr="00313789" w:rsidRDefault="001127FC" w:rsidP="00F24C88">
      <w:pPr>
        <w:pStyle w:val="ListParagraph"/>
        <w:numPr>
          <w:ilvl w:val="0"/>
          <w:numId w:val="31"/>
        </w:numPr>
        <w:ind w:left="426" w:hanging="426"/>
        <w:rPr>
          <w:rFonts w:asciiTheme="majorHAnsi" w:hAnsiTheme="majorHAnsi"/>
          <w:szCs w:val="22"/>
          <w:lang w:val="fr-CA"/>
        </w:rPr>
      </w:pPr>
      <w:r>
        <w:rPr>
          <w:rFonts w:asciiTheme="majorHAnsi" w:hAnsiTheme="majorHAnsi"/>
          <w:szCs w:val="22"/>
          <w:lang w:val="fr-CA"/>
        </w:rPr>
        <w:t>Les priorités dans la catégorie des fonctions consultatives spéciales et de la collaboration avec d’autres organismes internationaux comprennent la collaboration avec le Secrétariat et le Centre régional Ramsar – Asie de l’Est à un manuel simplifié pour les administrateurs de Site</w:t>
      </w:r>
      <w:r w:rsidR="00955B5D">
        <w:rPr>
          <w:rFonts w:asciiTheme="majorHAnsi" w:hAnsiTheme="majorHAnsi"/>
          <w:szCs w:val="22"/>
          <w:lang w:val="fr-CA"/>
        </w:rPr>
        <w:t>s</w:t>
      </w:r>
      <w:r>
        <w:rPr>
          <w:rFonts w:asciiTheme="majorHAnsi" w:hAnsiTheme="majorHAnsi"/>
          <w:szCs w:val="22"/>
          <w:lang w:val="fr-CA"/>
        </w:rPr>
        <w:t xml:space="preserve"> Ramsar et à faire participer l’IPBES au processus. </w:t>
      </w:r>
    </w:p>
    <w:p w14:paraId="37201168" w14:textId="77777777" w:rsidR="003B6083" w:rsidRPr="00251FB6" w:rsidRDefault="003B6083" w:rsidP="00F24C88">
      <w:pPr>
        <w:ind w:left="426"/>
        <w:rPr>
          <w:rFonts w:asciiTheme="majorHAnsi" w:hAnsiTheme="majorHAnsi"/>
          <w:szCs w:val="22"/>
          <w:lang w:val="fr-CH"/>
        </w:rPr>
      </w:pPr>
    </w:p>
    <w:p w14:paraId="64489D98" w14:textId="5AFEBA56" w:rsidR="003B6083" w:rsidRPr="00D805BB" w:rsidRDefault="00D805BB" w:rsidP="00F24C88">
      <w:pPr>
        <w:ind w:left="426"/>
        <w:rPr>
          <w:rFonts w:asciiTheme="majorHAnsi" w:hAnsiTheme="majorHAnsi"/>
          <w:b/>
          <w:sz w:val="22"/>
          <w:szCs w:val="22"/>
          <w:lang w:val="fr-CA"/>
        </w:rPr>
      </w:pPr>
      <w:r w:rsidRPr="00D805BB">
        <w:rPr>
          <w:rFonts w:asciiTheme="majorHAnsi" w:hAnsiTheme="majorHAnsi"/>
          <w:b/>
          <w:sz w:val="22"/>
          <w:szCs w:val="22"/>
          <w:lang w:val="fr-CA"/>
        </w:rPr>
        <w:t>Mise à jour sur l’</w:t>
      </w:r>
      <w:r w:rsidR="003B6083" w:rsidRPr="00D805BB">
        <w:rPr>
          <w:rFonts w:asciiTheme="majorHAnsi" w:hAnsiTheme="majorHAnsi"/>
          <w:b/>
          <w:sz w:val="22"/>
          <w:szCs w:val="22"/>
          <w:lang w:val="fr-CA"/>
        </w:rPr>
        <w:t xml:space="preserve">IPBES </w:t>
      </w:r>
    </w:p>
    <w:p w14:paraId="50D2AFC0" w14:textId="77777777" w:rsidR="003B6083" w:rsidRPr="00D805BB" w:rsidRDefault="003B6083" w:rsidP="00F24C88">
      <w:pPr>
        <w:ind w:left="426"/>
        <w:rPr>
          <w:rFonts w:asciiTheme="majorHAnsi" w:hAnsiTheme="majorHAnsi"/>
          <w:sz w:val="22"/>
          <w:szCs w:val="22"/>
          <w:lang w:val="fr-CA"/>
        </w:rPr>
      </w:pPr>
    </w:p>
    <w:p w14:paraId="3DAD494B" w14:textId="11351595" w:rsidR="003B6083" w:rsidRPr="00D805BB" w:rsidRDefault="00D805BB" w:rsidP="00F24C88">
      <w:pPr>
        <w:pStyle w:val="ListParagraph"/>
        <w:numPr>
          <w:ilvl w:val="0"/>
          <w:numId w:val="31"/>
        </w:numPr>
        <w:ind w:left="426" w:hanging="426"/>
        <w:rPr>
          <w:rFonts w:asciiTheme="majorHAnsi" w:hAnsiTheme="majorHAnsi"/>
          <w:szCs w:val="22"/>
          <w:lang w:val="fr-CA"/>
        </w:rPr>
      </w:pPr>
      <w:r>
        <w:rPr>
          <w:rFonts w:asciiTheme="majorHAnsi" w:hAnsiTheme="majorHAnsi"/>
          <w:szCs w:val="22"/>
          <w:lang w:val="fr-CA"/>
        </w:rPr>
        <w:t>La Quatrième séance plénière de la Plateforme intergouvernementale</w:t>
      </w:r>
      <w:r w:rsidR="002D2D47">
        <w:rPr>
          <w:rFonts w:asciiTheme="majorHAnsi" w:hAnsiTheme="majorHAnsi"/>
          <w:szCs w:val="22"/>
          <w:lang w:val="fr-CA"/>
        </w:rPr>
        <w:t>,</w:t>
      </w:r>
      <w:r>
        <w:rPr>
          <w:rFonts w:asciiTheme="majorHAnsi" w:hAnsiTheme="majorHAnsi"/>
          <w:szCs w:val="22"/>
          <w:lang w:val="fr-CA"/>
        </w:rPr>
        <w:t xml:space="preserve"> scientifique et politique</w:t>
      </w:r>
      <w:r w:rsidR="002D2D47">
        <w:rPr>
          <w:rFonts w:asciiTheme="majorHAnsi" w:hAnsiTheme="majorHAnsi"/>
          <w:szCs w:val="22"/>
          <w:lang w:val="fr-CA"/>
        </w:rPr>
        <w:t>,</w:t>
      </w:r>
      <w:r>
        <w:rPr>
          <w:rFonts w:asciiTheme="majorHAnsi" w:hAnsiTheme="majorHAnsi"/>
          <w:szCs w:val="22"/>
          <w:lang w:val="fr-CA"/>
        </w:rPr>
        <w:t xml:space="preserve"> sur la biodiversité et les services </w:t>
      </w:r>
      <w:r w:rsidR="00B24644">
        <w:rPr>
          <w:rFonts w:asciiTheme="majorHAnsi" w:hAnsiTheme="majorHAnsi"/>
          <w:szCs w:val="22"/>
          <w:lang w:val="fr-CA"/>
        </w:rPr>
        <w:t xml:space="preserve">écosystémiques </w:t>
      </w:r>
      <w:r w:rsidR="003B6083" w:rsidRPr="00D805BB">
        <w:rPr>
          <w:rFonts w:asciiTheme="majorHAnsi" w:hAnsiTheme="majorHAnsi"/>
          <w:szCs w:val="22"/>
          <w:lang w:val="fr-CA"/>
        </w:rPr>
        <w:t>(IP</w:t>
      </w:r>
      <w:r w:rsidR="00B24644">
        <w:rPr>
          <w:rFonts w:asciiTheme="majorHAnsi" w:hAnsiTheme="majorHAnsi"/>
          <w:szCs w:val="22"/>
          <w:lang w:val="fr-CA"/>
        </w:rPr>
        <w:t>BES</w:t>
      </w:r>
      <w:r w:rsidR="00B24644">
        <w:rPr>
          <w:rFonts w:asciiTheme="majorHAnsi" w:hAnsiTheme="majorHAnsi"/>
          <w:szCs w:val="22"/>
          <w:lang w:val="fr-CA"/>
        </w:rPr>
        <w:noBreakHyphen/>
      </w:r>
      <w:r w:rsidR="003B6083" w:rsidRPr="00D805BB">
        <w:rPr>
          <w:rFonts w:asciiTheme="majorHAnsi" w:hAnsiTheme="majorHAnsi"/>
          <w:szCs w:val="22"/>
          <w:lang w:val="fr-CA"/>
        </w:rPr>
        <w:t xml:space="preserve">4) </w:t>
      </w:r>
      <w:r w:rsidR="00B24644">
        <w:rPr>
          <w:rFonts w:asciiTheme="majorHAnsi" w:hAnsiTheme="majorHAnsi"/>
          <w:szCs w:val="22"/>
          <w:lang w:val="fr-CA"/>
        </w:rPr>
        <w:t xml:space="preserve">a eu lieu à </w:t>
      </w:r>
      <w:r w:rsidR="003B6083" w:rsidRPr="00D805BB">
        <w:rPr>
          <w:rFonts w:asciiTheme="majorHAnsi" w:hAnsiTheme="majorHAnsi"/>
          <w:szCs w:val="22"/>
          <w:lang w:val="fr-CA"/>
        </w:rPr>
        <w:t>Kuala Lumpur, Mala</w:t>
      </w:r>
      <w:r w:rsidR="00B24644">
        <w:rPr>
          <w:rFonts w:asciiTheme="majorHAnsi" w:hAnsiTheme="majorHAnsi"/>
          <w:szCs w:val="22"/>
          <w:lang w:val="fr-CA"/>
        </w:rPr>
        <w:t>i</w:t>
      </w:r>
      <w:r w:rsidR="003B6083" w:rsidRPr="00D805BB">
        <w:rPr>
          <w:rFonts w:asciiTheme="majorHAnsi" w:hAnsiTheme="majorHAnsi"/>
          <w:szCs w:val="22"/>
          <w:lang w:val="fr-CA"/>
        </w:rPr>
        <w:t>si</w:t>
      </w:r>
      <w:r w:rsidR="00B24644">
        <w:rPr>
          <w:rFonts w:asciiTheme="majorHAnsi" w:hAnsiTheme="majorHAnsi"/>
          <w:szCs w:val="22"/>
          <w:lang w:val="fr-CA"/>
        </w:rPr>
        <w:t>e</w:t>
      </w:r>
      <w:r w:rsidR="003B6083" w:rsidRPr="00D805BB">
        <w:rPr>
          <w:rFonts w:asciiTheme="majorHAnsi" w:hAnsiTheme="majorHAnsi"/>
          <w:szCs w:val="22"/>
          <w:lang w:val="fr-CA"/>
        </w:rPr>
        <w:t xml:space="preserve">, </w:t>
      </w:r>
      <w:r w:rsidR="00B24644">
        <w:rPr>
          <w:rFonts w:asciiTheme="majorHAnsi" w:hAnsiTheme="majorHAnsi"/>
          <w:szCs w:val="22"/>
          <w:lang w:val="fr-CA"/>
        </w:rPr>
        <w:t xml:space="preserve">du 22 au 28 février 2016. Le Président du GEST, qui </w:t>
      </w:r>
      <w:r w:rsidR="002D2D47">
        <w:rPr>
          <w:rFonts w:asciiTheme="majorHAnsi" w:hAnsiTheme="majorHAnsi"/>
          <w:szCs w:val="22"/>
          <w:lang w:val="fr-CA"/>
        </w:rPr>
        <w:t xml:space="preserve">est </w:t>
      </w:r>
      <w:r w:rsidR="00B24644">
        <w:rPr>
          <w:rFonts w:asciiTheme="majorHAnsi" w:hAnsiTheme="majorHAnsi"/>
          <w:szCs w:val="22"/>
          <w:lang w:val="fr-CA"/>
        </w:rPr>
        <w:t>observateur auprès du Groupe d’experts multidisciplinaire de l’IPBES, a assisté à l’</w:t>
      </w:r>
      <w:r w:rsidR="003B6083" w:rsidRPr="00D805BB">
        <w:rPr>
          <w:rFonts w:asciiTheme="majorHAnsi" w:hAnsiTheme="majorHAnsi"/>
          <w:szCs w:val="22"/>
          <w:lang w:val="fr-CA"/>
        </w:rPr>
        <w:t>IPBES</w:t>
      </w:r>
      <w:r w:rsidR="00B24644">
        <w:rPr>
          <w:rFonts w:asciiTheme="majorHAnsi" w:hAnsiTheme="majorHAnsi"/>
          <w:szCs w:val="22"/>
          <w:lang w:val="fr-CA"/>
        </w:rPr>
        <w:noBreakHyphen/>
      </w:r>
      <w:r w:rsidR="003B6083" w:rsidRPr="00D805BB">
        <w:rPr>
          <w:rFonts w:asciiTheme="majorHAnsi" w:hAnsiTheme="majorHAnsi"/>
          <w:szCs w:val="22"/>
          <w:lang w:val="fr-CA"/>
        </w:rPr>
        <w:t>4.</w:t>
      </w:r>
    </w:p>
    <w:p w14:paraId="3BE19558" w14:textId="77777777" w:rsidR="003B6083" w:rsidRPr="00D805BB" w:rsidRDefault="003B6083" w:rsidP="00F24C88">
      <w:pPr>
        <w:ind w:left="426"/>
        <w:rPr>
          <w:rFonts w:asciiTheme="majorHAnsi" w:hAnsiTheme="majorHAnsi"/>
          <w:szCs w:val="22"/>
          <w:lang w:val="fr-CA"/>
        </w:rPr>
      </w:pPr>
    </w:p>
    <w:p w14:paraId="582B154D" w14:textId="07893A52" w:rsidR="003B6083" w:rsidRPr="00D805BB" w:rsidRDefault="00884941" w:rsidP="00F24C88">
      <w:pPr>
        <w:pStyle w:val="ListParagraph"/>
        <w:numPr>
          <w:ilvl w:val="0"/>
          <w:numId w:val="31"/>
        </w:numPr>
        <w:ind w:left="426" w:hanging="426"/>
        <w:rPr>
          <w:rFonts w:asciiTheme="majorHAnsi" w:hAnsiTheme="majorHAnsi"/>
          <w:szCs w:val="22"/>
          <w:lang w:val="fr-CA"/>
        </w:rPr>
      </w:pPr>
      <w:r>
        <w:rPr>
          <w:rFonts w:asciiTheme="majorHAnsi" w:hAnsiTheme="majorHAnsi"/>
          <w:szCs w:val="22"/>
          <w:lang w:val="fr-CA"/>
        </w:rPr>
        <w:t xml:space="preserve">Il convient de retenir que la première évaluation thématique de l’IPBES – consacrée aux pollinisateurs, à la pollinisation et à la production alimentaire – a été acceptée par la Plateforme. Un des messages clés est que « l’abondance, la diversité et la santé des pollinisateurs et la tâche de pollinisation sont menacées par des </w:t>
      </w:r>
      <w:r w:rsidR="002D2D47">
        <w:rPr>
          <w:rFonts w:asciiTheme="majorHAnsi" w:hAnsiTheme="majorHAnsi"/>
          <w:szCs w:val="22"/>
          <w:lang w:val="fr-CA"/>
        </w:rPr>
        <w:t>facteurs</w:t>
      </w:r>
      <w:r>
        <w:rPr>
          <w:rFonts w:asciiTheme="majorHAnsi" w:hAnsiTheme="majorHAnsi"/>
          <w:szCs w:val="22"/>
          <w:lang w:val="fr-CA"/>
        </w:rPr>
        <w:t xml:space="preserve"> directs qui génèrent des risques pour les sociétés et les écosystèmes. », y compris les changements dans les</w:t>
      </w:r>
      <w:r w:rsidR="00855403">
        <w:rPr>
          <w:rFonts w:asciiTheme="majorHAnsi" w:hAnsiTheme="majorHAnsi"/>
          <w:szCs w:val="22"/>
          <w:lang w:val="fr-CA"/>
        </w:rPr>
        <w:t xml:space="preserve"> </w:t>
      </w:r>
      <w:r>
        <w:rPr>
          <w:rFonts w:asciiTheme="majorHAnsi" w:hAnsiTheme="majorHAnsi"/>
          <w:szCs w:val="22"/>
          <w:lang w:val="fr-CA"/>
        </w:rPr>
        <w:t>modes d’occupation des sols. Les zones humides sont mentionnées dans l’évaluation dans les points suivants :</w:t>
      </w:r>
    </w:p>
    <w:p w14:paraId="07DD1DFE" w14:textId="77777777" w:rsidR="003B6083" w:rsidRPr="00D805BB" w:rsidRDefault="003B6083" w:rsidP="003B6083">
      <w:pPr>
        <w:rPr>
          <w:rFonts w:asciiTheme="majorHAnsi" w:hAnsiTheme="majorHAnsi"/>
          <w:sz w:val="22"/>
          <w:szCs w:val="22"/>
          <w:lang w:val="fr-CA"/>
        </w:rPr>
      </w:pPr>
    </w:p>
    <w:p w14:paraId="48D445C8" w14:textId="2ABC44B2" w:rsidR="003B6083" w:rsidRPr="00D805BB" w:rsidRDefault="003B6083" w:rsidP="00F24C88">
      <w:pPr>
        <w:ind w:left="851" w:hanging="425"/>
        <w:rPr>
          <w:rFonts w:asciiTheme="majorHAnsi" w:hAnsiTheme="majorHAnsi"/>
          <w:sz w:val="22"/>
          <w:szCs w:val="22"/>
          <w:lang w:val="fr-CA"/>
        </w:rPr>
      </w:pPr>
      <w:r w:rsidRPr="00D805BB">
        <w:rPr>
          <w:rFonts w:asciiTheme="majorHAnsi" w:hAnsiTheme="majorHAnsi"/>
          <w:sz w:val="22"/>
          <w:szCs w:val="22"/>
          <w:lang w:val="fr-CA"/>
        </w:rPr>
        <w:t>i)</w:t>
      </w:r>
      <w:r w:rsidRPr="00D805BB">
        <w:rPr>
          <w:rFonts w:asciiTheme="majorHAnsi" w:hAnsiTheme="majorHAnsi"/>
          <w:sz w:val="22"/>
          <w:szCs w:val="22"/>
          <w:lang w:val="fr-CA"/>
        </w:rPr>
        <w:tab/>
      </w:r>
      <w:r w:rsidR="00884941">
        <w:rPr>
          <w:rFonts w:asciiTheme="majorHAnsi" w:hAnsiTheme="majorHAnsi"/>
          <w:sz w:val="22"/>
          <w:szCs w:val="22"/>
          <w:lang w:val="fr-CA"/>
        </w:rPr>
        <w:t>une déclaration indiquant que la diminution de plusieurs espèces de bourdons et de papillons</w:t>
      </w:r>
      <w:r w:rsidR="002D2D47">
        <w:rPr>
          <w:rFonts w:asciiTheme="majorHAnsi" w:hAnsiTheme="majorHAnsi"/>
          <w:sz w:val="22"/>
          <w:szCs w:val="22"/>
          <w:lang w:val="fr-CA"/>
        </w:rPr>
        <w:t>,</w:t>
      </w:r>
      <w:r w:rsidR="00884941">
        <w:rPr>
          <w:rFonts w:asciiTheme="majorHAnsi" w:hAnsiTheme="majorHAnsi"/>
          <w:sz w:val="22"/>
          <w:szCs w:val="22"/>
          <w:lang w:val="fr-CA"/>
        </w:rPr>
        <w:t xml:space="preserve"> en Europe</w:t>
      </w:r>
      <w:r w:rsidR="002D2D47">
        <w:rPr>
          <w:rFonts w:asciiTheme="majorHAnsi" w:hAnsiTheme="majorHAnsi"/>
          <w:sz w:val="22"/>
          <w:szCs w:val="22"/>
          <w:lang w:val="fr-CA"/>
        </w:rPr>
        <w:t>,</w:t>
      </w:r>
      <w:r w:rsidR="00884941">
        <w:rPr>
          <w:rFonts w:asciiTheme="majorHAnsi" w:hAnsiTheme="majorHAnsi"/>
          <w:sz w:val="22"/>
          <w:szCs w:val="22"/>
          <w:lang w:val="fr-CA"/>
        </w:rPr>
        <w:t xml:space="preserve"> est probablement imputable à la disparition de prairies, landes, zones humides et tourbières non gérées;</w:t>
      </w:r>
    </w:p>
    <w:p w14:paraId="1285DF74" w14:textId="77777777" w:rsidR="003B6083" w:rsidRPr="00D805BB" w:rsidRDefault="003B6083" w:rsidP="00F24C88">
      <w:pPr>
        <w:ind w:left="851" w:hanging="425"/>
        <w:rPr>
          <w:rFonts w:asciiTheme="majorHAnsi" w:hAnsiTheme="majorHAnsi"/>
          <w:sz w:val="22"/>
          <w:szCs w:val="22"/>
          <w:lang w:val="fr-CA"/>
        </w:rPr>
      </w:pPr>
    </w:p>
    <w:p w14:paraId="34DA17CB" w14:textId="1BACCCF3" w:rsidR="003B6083" w:rsidRPr="00D805BB" w:rsidRDefault="003B6083" w:rsidP="00F24C88">
      <w:pPr>
        <w:ind w:left="851" w:hanging="425"/>
        <w:rPr>
          <w:rFonts w:asciiTheme="majorHAnsi" w:hAnsiTheme="majorHAnsi"/>
          <w:sz w:val="22"/>
          <w:szCs w:val="22"/>
          <w:lang w:val="fr-CA"/>
        </w:rPr>
      </w:pPr>
      <w:r w:rsidRPr="00D805BB">
        <w:rPr>
          <w:rFonts w:asciiTheme="majorHAnsi" w:hAnsiTheme="majorHAnsi"/>
          <w:sz w:val="22"/>
          <w:szCs w:val="22"/>
          <w:lang w:val="fr-CA"/>
        </w:rPr>
        <w:lastRenderedPageBreak/>
        <w:t>ii)</w:t>
      </w:r>
      <w:r w:rsidRPr="00D805BB">
        <w:rPr>
          <w:rFonts w:asciiTheme="majorHAnsi" w:hAnsiTheme="majorHAnsi"/>
          <w:sz w:val="22"/>
          <w:szCs w:val="22"/>
          <w:lang w:val="fr-CA"/>
        </w:rPr>
        <w:tab/>
      </w:r>
      <w:r w:rsidR="00884941">
        <w:rPr>
          <w:rFonts w:asciiTheme="majorHAnsi" w:hAnsiTheme="majorHAnsi"/>
          <w:sz w:val="22"/>
          <w:szCs w:val="22"/>
          <w:lang w:val="fr-CA"/>
        </w:rPr>
        <w:t xml:space="preserve">un exemple décrivant l’apiculture </w:t>
      </w:r>
      <w:r w:rsidR="008945FD">
        <w:rPr>
          <w:rFonts w:asciiTheme="majorHAnsi" w:hAnsiTheme="majorHAnsi"/>
          <w:sz w:val="22"/>
          <w:szCs w:val="22"/>
          <w:lang w:val="fr-CA"/>
        </w:rPr>
        <w:t xml:space="preserve">dans les mangroves </w:t>
      </w:r>
      <w:r w:rsidR="002D2D47">
        <w:rPr>
          <w:rFonts w:asciiTheme="majorHAnsi" w:hAnsiTheme="majorHAnsi"/>
          <w:sz w:val="22"/>
          <w:szCs w:val="22"/>
          <w:lang w:val="fr-CA"/>
        </w:rPr>
        <w:t>comme moyen d’existence,</w:t>
      </w:r>
      <w:r w:rsidR="00884941">
        <w:rPr>
          <w:rFonts w:asciiTheme="majorHAnsi" w:hAnsiTheme="majorHAnsi"/>
          <w:sz w:val="22"/>
          <w:szCs w:val="22"/>
          <w:lang w:val="fr-CA"/>
        </w:rPr>
        <w:t xml:space="preserve"> en Guinée</w:t>
      </w:r>
      <w:r w:rsidR="00884941">
        <w:rPr>
          <w:rFonts w:asciiTheme="majorHAnsi" w:hAnsiTheme="majorHAnsi"/>
          <w:sz w:val="22"/>
          <w:szCs w:val="22"/>
          <w:lang w:val="fr-CA"/>
        </w:rPr>
        <w:noBreakHyphen/>
        <w:t xml:space="preserve">Bissau; </w:t>
      </w:r>
    </w:p>
    <w:p w14:paraId="2DCF987F" w14:textId="77777777" w:rsidR="003B6083" w:rsidRPr="00D805BB" w:rsidRDefault="003B6083" w:rsidP="00F24C88">
      <w:pPr>
        <w:ind w:left="851" w:hanging="425"/>
        <w:rPr>
          <w:rFonts w:asciiTheme="majorHAnsi" w:hAnsiTheme="majorHAnsi"/>
          <w:sz w:val="22"/>
          <w:szCs w:val="22"/>
          <w:lang w:val="fr-CA"/>
        </w:rPr>
      </w:pPr>
    </w:p>
    <w:p w14:paraId="1019FA22" w14:textId="59BA4725" w:rsidR="003B6083" w:rsidRPr="00D805BB" w:rsidRDefault="003B6083" w:rsidP="00F24C88">
      <w:pPr>
        <w:ind w:left="851" w:hanging="425"/>
        <w:rPr>
          <w:rFonts w:asciiTheme="majorHAnsi" w:hAnsiTheme="majorHAnsi"/>
          <w:sz w:val="22"/>
          <w:szCs w:val="22"/>
          <w:lang w:val="fr-CA"/>
        </w:rPr>
      </w:pPr>
      <w:r w:rsidRPr="00D805BB">
        <w:rPr>
          <w:rFonts w:asciiTheme="majorHAnsi" w:hAnsiTheme="majorHAnsi"/>
          <w:sz w:val="22"/>
          <w:szCs w:val="22"/>
          <w:lang w:val="fr-CA"/>
        </w:rPr>
        <w:t>iii)</w:t>
      </w:r>
      <w:r w:rsidRPr="00D805BB">
        <w:rPr>
          <w:rFonts w:asciiTheme="majorHAnsi" w:hAnsiTheme="majorHAnsi"/>
          <w:sz w:val="22"/>
          <w:szCs w:val="22"/>
          <w:lang w:val="fr-CA"/>
        </w:rPr>
        <w:tab/>
      </w:r>
      <w:r w:rsidR="00884941">
        <w:rPr>
          <w:rFonts w:asciiTheme="majorHAnsi" w:hAnsiTheme="majorHAnsi"/>
          <w:sz w:val="22"/>
          <w:szCs w:val="22"/>
          <w:lang w:val="fr-CA"/>
        </w:rPr>
        <w:t xml:space="preserve">une observation selon laquelle « de grandes amplitudes de changements climatiques affecteront particulièrement les espèces qui ont des populations restreintes sur le plan spatial comme les espèces relictuelles boréo-alpines et celles qui sont confinées à de petits habitats isolés (p. ex., des tourbières), car elles pourraient ne plus trouver d’habitats leur convenant, ou </w:t>
      </w:r>
      <w:r w:rsidR="008945FD">
        <w:rPr>
          <w:rFonts w:asciiTheme="majorHAnsi" w:hAnsiTheme="majorHAnsi"/>
          <w:sz w:val="22"/>
          <w:szCs w:val="22"/>
          <w:lang w:val="fr-CA"/>
        </w:rPr>
        <w:t>aux</w:t>
      </w:r>
      <w:r w:rsidR="00884941">
        <w:rPr>
          <w:rFonts w:asciiTheme="majorHAnsi" w:hAnsiTheme="majorHAnsi"/>
          <w:sz w:val="22"/>
          <w:szCs w:val="22"/>
          <w:lang w:val="fr-CA"/>
        </w:rPr>
        <w:t xml:space="preserve"> sommets de</w:t>
      </w:r>
      <w:r w:rsidR="008945FD">
        <w:rPr>
          <w:rFonts w:asciiTheme="majorHAnsi" w:hAnsiTheme="majorHAnsi"/>
          <w:sz w:val="22"/>
          <w:szCs w:val="22"/>
          <w:lang w:val="fr-CA"/>
        </w:rPr>
        <w:t>s</w:t>
      </w:r>
      <w:r w:rsidR="00884941">
        <w:rPr>
          <w:rFonts w:asciiTheme="majorHAnsi" w:hAnsiTheme="majorHAnsi"/>
          <w:sz w:val="22"/>
          <w:szCs w:val="22"/>
          <w:lang w:val="fr-CA"/>
        </w:rPr>
        <w:t xml:space="preserve"> montagne</w:t>
      </w:r>
      <w:r w:rsidR="008945FD">
        <w:rPr>
          <w:rFonts w:asciiTheme="majorHAnsi" w:hAnsiTheme="majorHAnsi"/>
          <w:sz w:val="22"/>
          <w:szCs w:val="22"/>
          <w:lang w:val="fr-CA"/>
        </w:rPr>
        <w:t>s</w:t>
      </w:r>
      <w:r w:rsidR="00884941">
        <w:rPr>
          <w:rFonts w:asciiTheme="majorHAnsi" w:hAnsiTheme="majorHAnsi"/>
          <w:sz w:val="22"/>
          <w:szCs w:val="22"/>
          <w:lang w:val="fr-CA"/>
        </w:rPr>
        <w:t xml:space="preserve"> (aucun mouvement </w:t>
      </w:r>
      <w:r w:rsidR="008945FD">
        <w:rPr>
          <w:rFonts w:asciiTheme="majorHAnsi" w:hAnsiTheme="majorHAnsi"/>
          <w:sz w:val="22"/>
          <w:szCs w:val="22"/>
          <w:lang w:val="fr-CA"/>
        </w:rPr>
        <w:t>en altitude n’étant possible</w:t>
      </w:r>
      <w:r w:rsidR="00884941">
        <w:rPr>
          <w:rFonts w:asciiTheme="majorHAnsi" w:hAnsiTheme="majorHAnsi"/>
          <w:sz w:val="22"/>
          <w:szCs w:val="22"/>
          <w:lang w:val="fr-CA"/>
        </w:rPr>
        <w:t xml:space="preserve">), même si les espèces ont la capacité biologique de se déplacer assez vite pour trouver des climats qui leur conviennent. » </w:t>
      </w:r>
    </w:p>
    <w:p w14:paraId="4F9DB474" w14:textId="77777777" w:rsidR="003B6083" w:rsidRPr="00D805BB" w:rsidRDefault="003B6083" w:rsidP="00F24C88">
      <w:pPr>
        <w:ind w:left="851" w:hanging="425"/>
        <w:rPr>
          <w:rFonts w:asciiTheme="majorHAnsi" w:hAnsiTheme="majorHAnsi"/>
          <w:sz w:val="22"/>
          <w:szCs w:val="22"/>
          <w:lang w:val="fr-CA"/>
        </w:rPr>
      </w:pPr>
    </w:p>
    <w:p w14:paraId="7020B8A1" w14:textId="38A2DCC7" w:rsidR="003B6083" w:rsidRPr="00D805BB" w:rsidRDefault="003B6083" w:rsidP="00F24C88">
      <w:pPr>
        <w:ind w:left="851" w:hanging="425"/>
        <w:rPr>
          <w:rFonts w:asciiTheme="majorHAnsi" w:hAnsiTheme="majorHAnsi"/>
          <w:sz w:val="22"/>
          <w:szCs w:val="22"/>
          <w:lang w:val="fr-CA"/>
        </w:rPr>
      </w:pPr>
      <w:r w:rsidRPr="00D805BB">
        <w:rPr>
          <w:rFonts w:asciiTheme="majorHAnsi" w:hAnsiTheme="majorHAnsi"/>
          <w:sz w:val="22"/>
          <w:szCs w:val="22"/>
          <w:lang w:val="fr-CA"/>
        </w:rPr>
        <w:t>iv)</w:t>
      </w:r>
      <w:r w:rsidRPr="00D805BB">
        <w:rPr>
          <w:rFonts w:asciiTheme="majorHAnsi" w:hAnsiTheme="majorHAnsi"/>
          <w:sz w:val="22"/>
          <w:szCs w:val="22"/>
          <w:lang w:val="fr-CA"/>
        </w:rPr>
        <w:tab/>
      </w:r>
      <w:r w:rsidR="00884941">
        <w:rPr>
          <w:rFonts w:asciiTheme="majorHAnsi" w:hAnsiTheme="majorHAnsi"/>
          <w:sz w:val="22"/>
          <w:szCs w:val="22"/>
          <w:lang w:val="fr-CA"/>
        </w:rPr>
        <w:t xml:space="preserve">Un rapport des récolteurs de miel du lac </w:t>
      </w:r>
      <w:r w:rsidRPr="00D805BB">
        <w:rPr>
          <w:rFonts w:asciiTheme="majorHAnsi" w:hAnsiTheme="majorHAnsi"/>
          <w:sz w:val="22"/>
          <w:szCs w:val="22"/>
          <w:lang w:val="fr-CA"/>
        </w:rPr>
        <w:t xml:space="preserve">Sentarum, </w:t>
      </w:r>
      <w:r w:rsidR="00884941">
        <w:rPr>
          <w:rFonts w:asciiTheme="majorHAnsi" w:hAnsiTheme="majorHAnsi"/>
          <w:sz w:val="22"/>
          <w:szCs w:val="22"/>
          <w:lang w:val="fr-CA"/>
        </w:rPr>
        <w:t xml:space="preserve">en </w:t>
      </w:r>
      <w:r w:rsidR="00884941" w:rsidRPr="00D805BB">
        <w:rPr>
          <w:rFonts w:asciiTheme="majorHAnsi" w:hAnsiTheme="majorHAnsi"/>
          <w:sz w:val="22"/>
          <w:szCs w:val="22"/>
          <w:lang w:val="fr-CA"/>
        </w:rPr>
        <w:t>Indonésie</w:t>
      </w:r>
      <w:r w:rsidR="00884941">
        <w:rPr>
          <w:rFonts w:asciiTheme="majorHAnsi" w:hAnsiTheme="majorHAnsi"/>
          <w:sz w:val="22"/>
          <w:szCs w:val="22"/>
          <w:lang w:val="fr-CA"/>
        </w:rPr>
        <w:t xml:space="preserve">, selon lequel « la fumée venant du déboisement des plantations a un impact négatif direct sur l’arrivée des essaims et en conséquence sur la production de miel. » </w:t>
      </w:r>
    </w:p>
    <w:p w14:paraId="3257E74F" w14:textId="77777777" w:rsidR="003B6083" w:rsidRPr="00D805BB" w:rsidRDefault="003B6083" w:rsidP="003B6083">
      <w:pPr>
        <w:rPr>
          <w:rFonts w:asciiTheme="majorHAnsi" w:hAnsiTheme="majorHAnsi"/>
          <w:sz w:val="22"/>
          <w:szCs w:val="22"/>
          <w:lang w:val="fr-CA"/>
        </w:rPr>
      </w:pPr>
    </w:p>
    <w:p w14:paraId="71518E0C" w14:textId="47FB20F1" w:rsidR="003B6083" w:rsidRPr="00D805BB" w:rsidRDefault="00A53EFE" w:rsidP="00F24C88">
      <w:pPr>
        <w:pStyle w:val="ListParagraph"/>
        <w:numPr>
          <w:ilvl w:val="0"/>
          <w:numId w:val="31"/>
        </w:numPr>
        <w:ind w:left="426" w:hanging="426"/>
        <w:rPr>
          <w:rFonts w:asciiTheme="majorHAnsi" w:hAnsiTheme="majorHAnsi"/>
          <w:szCs w:val="22"/>
          <w:lang w:val="fr-CA"/>
        </w:rPr>
      </w:pPr>
      <w:r>
        <w:rPr>
          <w:rFonts w:asciiTheme="majorHAnsi" w:hAnsiTheme="majorHAnsi"/>
          <w:szCs w:val="22"/>
          <w:lang w:val="fr-CA"/>
        </w:rPr>
        <w:t>Concernant d’autres évaluations thématiques particulièrement pertinentes pour Ramsar, l’</w:t>
      </w:r>
      <w:r w:rsidR="003B6083" w:rsidRPr="00D805BB">
        <w:rPr>
          <w:rFonts w:asciiTheme="majorHAnsi" w:hAnsiTheme="majorHAnsi"/>
          <w:szCs w:val="22"/>
          <w:lang w:val="fr-CA"/>
        </w:rPr>
        <w:t xml:space="preserve">IPBES-4 </w:t>
      </w:r>
      <w:r>
        <w:rPr>
          <w:rFonts w:asciiTheme="majorHAnsi" w:hAnsiTheme="majorHAnsi"/>
          <w:szCs w:val="22"/>
          <w:lang w:val="fr-CA"/>
        </w:rPr>
        <w:t>s’est félicitée des progrès accomplis en matière d’évaluation de la dégradation et de la restauration des sols qui devrait être examinée à l’</w:t>
      </w:r>
      <w:r w:rsidR="003B6083" w:rsidRPr="00D805BB">
        <w:rPr>
          <w:rFonts w:asciiTheme="majorHAnsi" w:hAnsiTheme="majorHAnsi"/>
          <w:szCs w:val="22"/>
          <w:lang w:val="fr-CA"/>
        </w:rPr>
        <w:t xml:space="preserve">IPBES-6 </w:t>
      </w:r>
      <w:r>
        <w:rPr>
          <w:rFonts w:asciiTheme="majorHAnsi" w:hAnsiTheme="majorHAnsi"/>
          <w:szCs w:val="22"/>
          <w:lang w:val="fr-CA"/>
        </w:rPr>
        <w:t>e</w:t>
      </w:r>
      <w:r w:rsidR="003B6083" w:rsidRPr="00D805BB">
        <w:rPr>
          <w:rFonts w:asciiTheme="majorHAnsi" w:hAnsiTheme="majorHAnsi"/>
          <w:szCs w:val="22"/>
          <w:lang w:val="fr-CA"/>
        </w:rPr>
        <w:t>n</w:t>
      </w:r>
      <w:r>
        <w:rPr>
          <w:rFonts w:asciiTheme="majorHAnsi" w:hAnsiTheme="majorHAnsi"/>
          <w:szCs w:val="22"/>
          <w:lang w:val="fr-CA"/>
        </w:rPr>
        <w:t> </w:t>
      </w:r>
      <w:r w:rsidR="003B6083" w:rsidRPr="00D805BB">
        <w:rPr>
          <w:rFonts w:asciiTheme="majorHAnsi" w:hAnsiTheme="majorHAnsi"/>
          <w:szCs w:val="22"/>
          <w:lang w:val="fr-CA"/>
        </w:rPr>
        <w:t xml:space="preserve">2018. </w:t>
      </w:r>
      <w:r>
        <w:rPr>
          <w:rFonts w:asciiTheme="majorHAnsi" w:hAnsiTheme="majorHAnsi"/>
          <w:szCs w:val="22"/>
          <w:lang w:val="fr-CA"/>
        </w:rPr>
        <w:t>Le rapport préparatoire de l’évaluation sur les espèces exotiques envahissantes et leur contrôle a été approuvé mais la décision d’entreprendre ou non cette évaluation relève de l’IPBES-5, e</w:t>
      </w:r>
      <w:r w:rsidR="003B6083" w:rsidRPr="00D805BB">
        <w:rPr>
          <w:rFonts w:asciiTheme="majorHAnsi" w:hAnsiTheme="majorHAnsi"/>
          <w:szCs w:val="22"/>
          <w:lang w:val="fr-CA"/>
        </w:rPr>
        <w:t xml:space="preserve">n 2017. </w:t>
      </w:r>
      <w:r>
        <w:rPr>
          <w:rFonts w:asciiTheme="majorHAnsi" w:hAnsiTheme="majorHAnsi"/>
          <w:szCs w:val="22"/>
          <w:lang w:val="fr-CA"/>
        </w:rPr>
        <w:t>De même, un rapport préparatoire révisé pour l’évaluation sur l’utilisation durable et la biodiversité sera également examiné à l’</w:t>
      </w:r>
      <w:r w:rsidR="003B6083" w:rsidRPr="00D805BB">
        <w:rPr>
          <w:rFonts w:asciiTheme="majorHAnsi" w:hAnsiTheme="majorHAnsi"/>
          <w:szCs w:val="22"/>
          <w:lang w:val="fr-CA"/>
        </w:rPr>
        <w:t>I</w:t>
      </w:r>
      <w:r>
        <w:rPr>
          <w:rFonts w:asciiTheme="majorHAnsi" w:hAnsiTheme="majorHAnsi"/>
          <w:szCs w:val="22"/>
          <w:lang w:val="fr-CA"/>
        </w:rPr>
        <w:t>PB</w:t>
      </w:r>
      <w:r w:rsidR="003B6083" w:rsidRPr="00D805BB">
        <w:rPr>
          <w:rFonts w:asciiTheme="majorHAnsi" w:hAnsiTheme="majorHAnsi"/>
          <w:szCs w:val="22"/>
          <w:lang w:val="fr-CA"/>
        </w:rPr>
        <w:t xml:space="preserve">ES-5. </w:t>
      </w:r>
    </w:p>
    <w:p w14:paraId="60C36615" w14:textId="77777777" w:rsidR="003B6083" w:rsidRPr="00D805BB" w:rsidRDefault="003B6083" w:rsidP="00F24C88">
      <w:pPr>
        <w:ind w:left="426"/>
        <w:rPr>
          <w:rFonts w:asciiTheme="majorHAnsi" w:hAnsiTheme="majorHAnsi"/>
          <w:sz w:val="22"/>
          <w:szCs w:val="22"/>
          <w:lang w:val="fr-CA"/>
        </w:rPr>
      </w:pPr>
    </w:p>
    <w:p w14:paraId="43301A0E" w14:textId="50343825" w:rsidR="003B6083" w:rsidRPr="00D805BB" w:rsidRDefault="00A53EFE" w:rsidP="00F24C88">
      <w:pPr>
        <w:pStyle w:val="ListParagraph"/>
        <w:numPr>
          <w:ilvl w:val="0"/>
          <w:numId w:val="31"/>
        </w:numPr>
        <w:ind w:left="426" w:hanging="426"/>
        <w:rPr>
          <w:rFonts w:asciiTheme="majorHAnsi" w:hAnsiTheme="majorHAnsi"/>
          <w:szCs w:val="22"/>
          <w:lang w:val="fr-CA"/>
        </w:rPr>
      </w:pPr>
      <w:r>
        <w:rPr>
          <w:rFonts w:asciiTheme="majorHAnsi" w:hAnsiTheme="majorHAnsi"/>
          <w:szCs w:val="22"/>
          <w:lang w:val="fr-CA"/>
        </w:rPr>
        <w:t>L’</w:t>
      </w:r>
      <w:r w:rsidR="003B6083" w:rsidRPr="00D805BB">
        <w:rPr>
          <w:rFonts w:asciiTheme="majorHAnsi" w:hAnsiTheme="majorHAnsi"/>
          <w:szCs w:val="22"/>
          <w:lang w:val="fr-CA"/>
        </w:rPr>
        <w:t xml:space="preserve">IPBES-4 </w:t>
      </w:r>
      <w:r>
        <w:rPr>
          <w:rFonts w:asciiTheme="majorHAnsi" w:hAnsiTheme="majorHAnsi"/>
          <w:szCs w:val="22"/>
          <w:lang w:val="fr-CA"/>
        </w:rPr>
        <w:t>a demandé au Secrétaire exécutif de l’</w:t>
      </w:r>
      <w:r w:rsidR="003B6083" w:rsidRPr="00D805BB">
        <w:rPr>
          <w:rFonts w:asciiTheme="majorHAnsi" w:hAnsiTheme="majorHAnsi"/>
          <w:szCs w:val="22"/>
          <w:lang w:val="fr-CA"/>
        </w:rPr>
        <w:t xml:space="preserve">IPBES </w:t>
      </w:r>
      <w:r>
        <w:rPr>
          <w:rFonts w:asciiTheme="majorHAnsi" w:hAnsiTheme="majorHAnsi"/>
          <w:szCs w:val="22"/>
          <w:lang w:val="fr-CA"/>
        </w:rPr>
        <w:t>de finaliser le mémorandum de coopération avec les secrétariats de différentes conventions relatives à la biodiversité, y compris</w:t>
      </w:r>
      <w:r w:rsidR="008945FD">
        <w:rPr>
          <w:rFonts w:asciiTheme="majorHAnsi" w:hAnsiTheme="majorHAnsi"/>
          <w:szCs w:val="22"/>
          <w:lang w:val="fr-CA"/>
        </w:rPr>
        <w:t xml:space="preserve"> entre</w:t>
      </w:r>
      <w:r>
        <w:rPr>
          <w:rFonts w:asciiTheme="majorHAnsi" w:hAnsiTheme="majorHAnsi"/>
          <w:szCs w:val="22"/>
          <w:lang w:val="fr-CA"/>
        </w:rPr>
        <w:t xml:space="preserve"> la Convention de Ramsar et le Secrétariat de la Plateforme.</w:t>
      </w:r>
    </w:p>
    <w:p w14:paraId="2764708A" w14:textId="77777777" w:rsidR="003B6083" w:rsidRPr="00D805BB" w:rsidRDefault="003B6083" w:rsidP="00F24C88">
      <w:pPr>
        <w:ind w:left="426"/>
        <w:rPr>
          <w:rFonts w:asciiTheme="majorHAnsi" w:hAnsiTheme="majorHAnsi"/>
          <w:sz w:val="22"/>
          <w:szCs w:val="22"/>
          <w:lang w:val="fr-CA"/>
        </w:rPr>
      </w:pPr>
    </w:p>
    <w:p w14:paraId="533E35B9" w14:textId="7867587C" w:rsidR="003B6083" w:rsidRPr="00D805BB" w:rsidRDefault="00A53EFE" w:rsidP="00F24C88">
      <w:pPr>
        <w:pStyle w:val="ListParagraph"/>
        <w:numPr>
          <w:ilvl w:val="0"/>
          <w:numId w:val="31"/>
        </w:numPr>
        <w:ind w:left="426" w:hanging="426"/>
        <w:rPr>
          <w:rFonts w:asciiTheme="majorHAnsi" w:hAnsiTheme="majorHAnsi"/>
          <w:szCs w:val="22"/>
          <w:lang w:val="fr-CA"/>
        </w:rPr>
      </w:pPr>
      <w:r>
        <w:rPr>
          <w:rFonts w:asciiTheme="majorHAnsi" w:hAnsiTheme="majorHAnsi"/>
          <w:szCs w:val="22"/>
          <w:lang w:val="fr-CA"/>
        </w:rPr>
        <w:t xml:space="preserve">Les membres de la communauté </w:t>
      </w:r>
      <w:r w:rsidR="003B6083" w:rsidRPr="00D805BB">
        <w:rPr>
          <w:rFonts w:asciiTheme="majorHAnsi" w:hAnsiTheme="majorHAnsi"/>
          <w:szCs w:val="22"/>
          <w:lang w:val="fr-CA"/>
        </w:rPr>
        <w:t xml:space="preserve">Ramsar </w:t>
      </w:r>
      <w:r>
        <w:rPr>
          <w:rFonts w:asciiTheme="majorHAnsi" w:hAnsiTheme="majorHAnsi"/>
          <w:szCs w:val="22"/>
          <w:lang w:val="fr-CA"/>
        </w:rPr>
        <w:t>restent engagés dans les travaux de l’IPBES, y compris les membres du GEST</w:t>
      </w:r>
      <w:r w:rsidR="008945FD">
        <w:rPr>
          <w:rFonts w:asciiTheme="majorHAnsi" w:hAnsiTheme="majorHAnsi"/>
          <w:szCs w:val="22"/>
          <w:lang w:val="fr-CA"/>
        </w:rPr>
        <w:t> :</w:t>
      </w:r>
      <w:r>
        <w:rPr>
          <w:rFonts w:asciiTheme="majorHAnsi" w:hAnsiTheme="majorHAnsi"/>
          <w:szCs w:val="22"/>
          <w:lang w:val="fr-CA"/>
        </w:rPr>
        <w:t xml:space="preserve"> </w:t>
      </w:r>
      <w:r w:rsidR="003B6083" w:rsidRPr="00D805BB">
        <w:rPr>
          <w:rFonts w:asciiTheme="majorHAnsi" w:hAnsiTheme="majorHAnsi"/>
          <w:szCs w:val="22"/>
          <w:lang w:val="fr-CA"/>
        </w:rPr>
        <w:t>Ritesh Kumar (</w:t>
      </w:r>
      <w:r>
        <w:rPr>
          <w:rFonts w:asciiTheme="majorHAnsi" w:hAnsiTheme="majorHAnsi"/>
          <w:szCs w:val="22"/>
          <w:lang w:val="fr-CA"/>
        </w:rPr>
        <w:t xml:space="preserve">groupe d’experts sur les méthodologies d’évaluation et les évaluations régionales/sous-régionales de la biodiversité et des services écosystémiques) et </w:t>
      </w:r>
      <w:r w:rsidR="003B6083" w:rsidRPr="00D805BB">
        <w:rPr>
          <w:rFonts w:asciiTheme="majorHAnsi" w:hAnsiTheme="majorHAnsi"/>
          <w:szCs w:val="22"/>
          <w:lang w:val="fr-CA"/>
        </w:rPr>
        <w:t>Siobhan Fennessy (</w:t>
      </w:r>
      <w:r>
        <w:rPr>
          <w:rFonts w:asciiTheme="majorHAnsi" w:hAnsiTheme="majorHAnsi"/>
          <w:szCs w:val="22"/>
          <w:lang w:val="fr-CA"/>
        </w:rPr>
        <w:t xml:space="preserve">principal auteur de l’évaluation thématique sur la dégradation et la restauration des terres) ainsi que </w:t>
      </w:r>
      <w:r w:rsidR="003B6083" w:rsidRPr="00D805BB">
        <w:rPr>
          <w:rFonts w:asciiTheme="majorHAnsi" w:hAnsiTheme="majorHAnsi"/>
          <w:szCs w:val="22"/>
          <w:lang w:val="fr-CA"/>
        </w:rPr>
        <w:t xml:space="preserve">Sonali Senaratna Sellamuttu, </w:t>
      </w:r>
      <w:r>
        <w:rPr>
          <w:rFonts w:asciiTheme="majorHAnsi" w:hAnsiTheme="majorHAnsi"/>
          <w:szCs w:val="22"/>
          <w:lang w:val="fr-CA"/>
        </w:rPr>
        <w:t>ancienne représentant</w:t>
      </w:r>
      <w:r w:rsidR="006B1DFA">
        <w:rPr>
          <w:rFonts w:asciiTheme="majorHAnsi" w:hAnsiTheme="majorHAnsi"/>
          <w:szCs w:val="22"/>
          <w:lang w:val="fr-CA"/>
        </w:rPr>
        <w:t>e</w:t>
      </w:r>
      <w:r>
        <w:rPr>
          <w:rFonts w:asciiTheme="majorHAnsi" w:hAnsiTheme="majorHAnsi"/>
          <w:szCs w:val="22"/>
          <w:lang w:val="fr-CA"/>
        </w:rPr>
        <w:t xml:space="preserve"> de l’</w:t>
      </w:r>
      <w:r w:rsidR="003B6083" w:rsidRPr="00D805BB">
        <w:rPr>
          <w:rFonts w:asciiTheme="majorHAnsi" w:hAnsiTheme="majorHAnsi"/>
          <w:szCs w:val="22"/>
          <w:lang w:val="fr-CA"/>
        </w:rPr>
        <w:t>IWMI</w:t>
      </w:r>
      <w:r>
        <w:rPr>
          <w:rFonts w:asciiTheme="majorHAnsi" w:hAnsiTheme="majorHAnsi"/>
          <w:szCs w:val="22"/>
          <w:lang w:val="fr-CA"/>
        </w:rPr>
        <w:t xml:space="preserve"> auprès du GEST (coprésidente de l’évaluation régionale Asie-Pacifique) et l’ancienne experte invitée du GEST </w:t>
      </w:r>
      <w:r w:rsidR="003B6083" w:rsidRPr="00D805BB">
        <w:rPr>
          <w:rFonts w:asciiTheme="majorHAnsi" w:hAnsiTheme="majorHAnsi"/>
          <w:szCs w:val="22"/>
          <w:lang w:val="fr-CA"/>
        </w:rPr>
        <w:t>Susan Galatowitsch (</w:t>
      </w:r>
      <w:r>
        <w:rPr>
          <w:rFonts w:asciiTheme="majorHAnsi" w:hAnsiTheme="majorHAnsi"/>
          <w:szCs w:val="22"/>
          <w:lang w:val="fr-CA"/>
        </w:rPr>
        <w:t xml:space="preserve">éditeur du </w:t>
      </w:r>
      <w:r w:rsidRPr="00E13E42">
        <w:rPr>
          <w:rFonts w:asciiTheme="majorHAnsi" w:hAnsiTheme="majorHAnsi"/>
          <w:szCs w:val="22"/>
          <w:lang w:val="fr-CA"/>
        </w:rPr>
        <w:t>chapitre six</w:t>
      </w:r>
      <w:r>
        <w:rPr>
          <w:rFonts w:asciiTheme="majorHAnsi" w:hAnsiTheme="majorHAnsi"/>
          <w:szCs w:val="22"/>
          <w:lang w:val="fr-CA"/>
        </w:rPr>
        <w:t xml:space="preserve"> de l’évaluation thématique de la dégradation et de la restauration des sols). En outre, </w:t>
      </w:r>
      <w:r w:rsidR="003B6083" w:rsidRPr="00D805BB">
        <w:rPr>
          <w:rFonts w:asciiTheme="majorHAnsi" w:hAnsiTheme="majorHAnsi"/>
          <w:szCs w:val="22"/>
          <w:lang w:val="fr-CA"/>
        </w:rPr>
        <w:t xml:space="preserve">Rashad Allahverdiev, </w:t>
      </w:r>
      <w:r>
        <w:rPr>
          <w:rFonts w:asciiTheme="majorHAnsi" w:hAnsiTheme="majorHAnsi"/>
          <w:szCs w:val="22"/>
          <w:lang w:val="fr-CA"/>
        </w:rPr>
        <w:t>le Correspondant national Ramsar pour l’</w:t>
      </w:r>
      <w:r w:rsidRPr="00D805BB">
        <w:rPr>
          <w:rFonts w:asciiTheme="majorHAnsi" w:hAnsiTheme="majorHAnsi"/>
          <w:szCs w:val="22"/>
          <w:lang w:val="fr-CA"/>
        </w:rPr>
        <w:t>Azerbaïdjan</w:t>
      </w:r>
      <w:r w:rsidR="003B6083" w:rsidRPr="00D805BB">
        <w:rPr>
          <w:rFonts w:asciiTheme="majorHAnsi" w:hAnsiTheme="majorHAnsi"/>
          <w:szCs w:val="22"/>
          <w:lang w:val="fr-CA"/>
        </w:rPr>
        <w:t xml:space="preserve">, </w:t>
      </w:r>
      <w:r>
        <w:rPr>
          <w:rFonts w:asciiTheme="majorHAnsi" w:hAnsiTheme="majorHAnsi"/>
          <w:szCs w:val="22"/>
          <w:lang w:val="fr-CA"/>
        </w:rPr>
        <w:t>a été élu au Bureau de l’IPBES à l’occasion de l’</w:t>
      </w:r>
      <w:r w:rsidR="003B6083" w:rsidRPr="00D805BB">
        <w:rPr>
          <w:rFonts w:asciiTheme="majorHAnsi" w:hAnsiTheme="majorHAnsi"/>
          <w:szCs w:val="22"/>
          <w:lang w:val="fr-CA"/>
        </w:rPr>
        <w:t>IPBES-4.</w:t>
      </w:r>
    </w:p>
    <w:p w14:paraId="149FE103" w14:textId="77777777" w:rsidR="003B6083" w:rsidRPr="00D805BB" w:rsidRDefault="003B6083" w:rsidP="00F24C88">
      <w:pPr>
        <w:ind w:left="426"/>
        <w:rPr>
          <w:rFonts w:asciiTheme="majorHAnsi" w:hAnsiTheme="majorHAnsi"/>
          <w:sz w:val="22"/>
          <w:szCs w:val="22"/>
          <w:lang w:val="fr-CA"/>
        </w:rPr>
      </w:pPr>
    </w:p>
    <w:p w14:paraId="5487EBA8" w14:textId="1FB729E5" w:rsidR="003B6083" w:rsidRPr="00D805BB" w:rsidRDefault="00A53EFE" w:rsidP="00F24C88">
      <w:pPr>
        <w:ind w:left="426"/>
        <w:rPr>
          <w:rFonts w:asciiTheme="majorHAnsi" w:hAnsiTheme="majorHAnsi"/>
          <w:b/>
          <w:sz w:val="22"/>
          <w:szCs w:val="22"/>
          <w:lang w:val="fr-CA"/>
        </w:rPr>
      </w:pPr>
      <w:r>
        <w:rPr>
          <w:rFonts w:asciiTheme="majorHAnsi" w:hAnsiTheme="majorHAnsi"/>
          <w:b/>
          <w:sz w:val="22"/>
          <w:szCs w:val="22"/>
          <w:lang w:val="fr-CA"/>
        </w:rPr>
        <w:t>GEST</w:t>
      </w:r>
      <w:r w:rsidR="003B6083" w:rsidRPr="00D805BB">
        <w:rPr>
          <w:rFonts w:asciiTheme="majorHAnsi" w:hAnsiTheme="majorHAnsi"/>
          <w:b/>
          <w:sz w:val="22"/>
          <w:szCs w:val="22"/>
          <w:lang w:val="fr-CA"/>
        </w:rPr>
        <w:t>20</w:t>
      </w:r>
    </w:p>
    <w:p w14:paraId="7D687561" w14:textId="77777777" w:rsidR="003B6083" w:rsidRPr="00D805BB" w:rsidRDefault="003B6083" w:rsidP="00F24C88">
      <w:pPr>
        <w:ind w:left="426"/>
        <w:rPr>
          <w:rFonts w:asciiTheme="majorHAnsi" w:hAnsiTheme="majorHAnsi"/>
          <w:sz w:val="22"/>
          <w:szCs w:val="22"/>
          <w:lang w:val="fr-CA"/>
        </w:rPr>
      </w:pPr>
    </w:p>
    <w:p w14:paraId="2B6BF2EA" w14:textId="3BF872C0" w:rsidR="003B6083" w:rsidRPr="00D805BB" w:rsidRDefault="00A53EFE" w:rsidP="00F24C88">
      <w:pPr>
        <w:pStyle w:val="ListParagraph"/>
        <w:numPr>
          <w:ilvl w:val="0"/>
          <w:numId w:val="31"/>
        </w:numPr>
        <w:ind w:left="426" w:hanging="426"/>
        <w:rPr>
          <w:rFonts w:asciiTheme="majorHAnsi" w:hAnsiTheme="majorHAnsi"/>
          <w:szCs w:val="22"/>
          <w:lang w:val="fr-CA"/>
        </w:rPr>
      </w:pPr>
      <w:r>
        <w:rPr>
          <w:rFonts w:asciiTheme="majorHAnsi" w:hAnsiTheme="majorHAnsi"/>
          <w:szCs w:val="22"/>
          <w:lang w:val="fr-CA"/>
        </w:rPr>
        <w:t xml:space="preserve">Lorsque le Comité permanent aura officiellement approuvé le plan de travail, les leaders des tâches ont l’intention de commencer à travailler par voie électronique. Il est prévu que le GEST20 aura lieu au début de 2017 pour évaluer les progrès du plan de travail approuvé. </w:t>
      </w:r>
    </w:p>
    <w:p w14:paraId="6752CB67" w14:textId="77777777" w:rsidR="003B6083" w:rsidRPr="00D805BB" w:rsidRDefault="003B6083" w:rsidP="00F24C88">
      <w:pPr>
        <w:ind w:left="426"/>
        <w:rPr>
          <w:rFonts w:asciiTheme="majorHAnsi" w:hAnsiTheme="majorHAnsi"/>
          <w:sz w:val="22"/>
          <w:szCs w:val="22"/>
          <w:lang w:val="fr-CA"/>
        </w:rPr>
      </w:pPr>
    </w:p>
    <w:p w14:paraId="232C1449" w14:textId="4408E81F" w:rsidR="00914A1A" w:rsidRPr="00D805BB" w:rsidRDefault="00914A1A" w:rsidP="00914A1A">
      <w:pPr>
        <w:rPr>
          <w:rFonts w:asciiTheme="majorHAnsi" w:hAnsiTheme="majorHAnsi"/>
          <w:szCs w:val="22"/>
          <w:lang w:val="fr-CA"/>
        </w:rPr>
      </w:pPr>
    </w:p>
    <w:p w14:paraId="379E8140" w14:textId="77777777" w:rsidR="00914A1A" w:rsidRPr="00251FB6" w:rsidRDefault="00914A1A" w:rsidP="00914A1A">
      <w:pPr>
        <w:rPr>
          <w:rFonts w:asciiTheme="majorHAnsi" w:eastAsia="MS Mincho" w:hAnsiTheme="majorHAnsi"/>
          <w:sz w:val="22"/>
          <w:szCs w:val="22"/>
          <w:lang w:val="fr-CH" w:eastAsia="ja-JP"/>
        </w:rPr>
        <w:sectPr w:rsidR="00914A1A" w:rsidRPr="00251FB6" w:rsidSect="00A94469">
          <w:footerReference w:type="default" r:id="rId10"/>
          <w:pgSz w:w="11907" w:h="16839" w:code="9"/>
          <w:pgMar w:top="1440" w:right="1440" w:bottom="1440" w:left="1440" w:header="720" w:footer="720" w:gutter="0"/>
          <w:cols w:space="720"/>
          <w:titlePg/>
          <w:docGrid w:linePitch="360"/>
        </w:sectPr>
      </w:pPr>
    </w:p>
    <w:p w14:paraId="42110D22" w14:textId="15C4529E" w:rsidR="00914A1A" w:rsidRPr="003F6411" w:rsidRDefault="00914A1A" w:rsidP="00914A1A">
      <w:pPr>
        <w:rPr>
          <w:rFonts w:asciiTheme="majorHAnsi" w:hAnsiTheme="majorHAnsi" w:cs="Arial"/>
          <w:b/>
          <w:lang w:val="fr-FR"/>
        </w:rPr>
      </w:pPr>
      <w:r w:rsidRPr="003F6411">
        <w:rPr>
          <w:rFonts w:asciiTheme="majorHAnsi" w:hAnsiTheme="majorHAnsi" w:cs="Arial"/>
          <w:b/>
          <w:lang w:val="fr-FR"/>
        </w:rPr>
        <w:lastRenderedPageBreak/>
        <w:t>Annex</w:t>
      </w:r>
      <w:r w:rsidR="00F80EF2" w:rsidRPr="003F6411">
        <w:rPr>
          <w:rFonts w:asciiTheme="majorHAnsi" w:hAnsiTheme="majorHAnsi" w:cs="Arial"/>
          <w:b/>
          <w:lang w:val="fr-FR"/>
        </w:rPr>
        <w:t>e</w:t>
      </w:r>
    </w:p>
    <w:p w14:paraId="035C6CED" w14:textId="77777777" w:rsidR="00914A1A" w:rsidRPr="003F6411" w:rsidRDefault="00914A1A" w:rsidP="00914A1A">
      <w:pPr>
        <w:rPr>
          <w:rFonts w:asciiTheme="majorHAnsi" w:hAnsiTheme="majorHAnsi" w:cs="Arial"/>
          <w:b/>
          <w:lang w:val="fr-FR"/>
        </w:rPr>
      </w:pPr>
    </w:p>
    <w:p w14:paraId="233199F6" w14:textId="65FF5CA8" w:rsidR="00914A1A" w:rsidRPr="003F6411" w:rsidRDefault="00F80EF2" w:rsidP="00B81559">
      <w:pPr>
        <w:jc w:val="center"/>
        <w:rPr>
          <w:rFonts w:asciiTheme="majorHAnsi" w:hAnsiTheme="majorHAnsi" w:cs="Arial"/>
          <w:b/>
          <w:lang w:val="fr-FR"/>
        </w:rPr>
      </w:pPr>
      <w:r w:rsidRPr="003F6411">
        <w:rPr>
          <w:rFonts w:asciiTheme="majorHAnsi" w:hAnsiTheme="majorHAnsi" w:cs="Arial"/>
          <w:b/>
          <w:lang w:val="fr-FR"/>
        </w:rPr>
        <w:t xml:space="preserve">Projet de plan de travail </w:t>
      </w:r>
      <w:r w:rsidR="0005002E" w:rsidRPr="003F6411">
        <w:rPr>
          <w:rFonts w:asciiTheme="majorHAnsi" w:hAnsiTheme="majorHAnsi" w:cs="Arial"/>
          <w:b/>
          <w:lang w:val="fr-FR"/>
        </w:rPr>
        <w:t xml:space="preserve">amendé </w:t>
      </w:r>
      <w:r w:rsidRPr="003F6411">
        <w:rPr>
          <w:rFonts w:asciiTheme="majorHAnsi" w:hAnsiTheme="majorHAnsi" w:cs="Arial"/>
          <w:b/>
          <w:lang w:val="fr-FR"/>
        </w:rPr>
        <w:t>du G</w:t>
      </w:r>
      <w:r w:rsidR="0005002E" w:rsidRPr="003F6411">
        <w:rPr>
          <w:rFonts w:asciiTheme="majorHAnsi" w:hAnsiTheme="majorHAnsi" w:cs="Arial"/>
          <w:b/>
          <w:lang w:val="fr-FR"/>
        </w:rPr>
        <w:t xml:space="preserve">roupe </w:t>
      </w:r>
      <w:r w:rsidR="00B2784B" w:rsidRPr="003F6411">
        <w:rPr>
          <w:rFonts w:asciiTheme="majorHAnsi" w:hAnsiTheme="majorHAnsi" w:cs="Arial"/>
          <w:b/>
          <w:lang w:val="fr-FR"/>
        </w:rPr>
        <w:t>d’évaluation scientifique et technique</w:t>
      </w:r>
      <w:r w:rsidR="006B5C5F" w:rsidRPr="003F6411">
        <w:rPr>
          <w:rFonts w:asciiTheme="majorHAnsi" w:hAnsiTheme="majorHAnsi" w:cs="Arial"/>
          <w:b/>
          <w:lang w:val="fr-FR"/>
        </w:rPr>
        <w:t xml:space="preserve"> pour</w:t>
      </w:r>
      <w:r w:rsidRPr="003F6411">
        <w:rPr>
          <w:rFonts w:asciiTheme="majorHAnsi" w:hAnsiTheme="majorHAnsi" w:cs="Arial"/>
          <w:b/>
          <w:lang w:val="fr-FR"/>
        </w:rPr>
        <w:t xml:space="preserve"> </w:t>
      </w:r>
      <w:r w:rsidR="00914A1A" w:rsidRPr="003F6411">
        <w:rPr>
          <w:rFonts w:asciiTheme="majorHAnsi" w:hAnsiTheme="majorHAnsi" w:cs="Arial"/>
          <w:b/>
          <w:lang w:val="fr-FR"/>
        </w:rPr>
        <w:t>2016-2018</w:t>
      </w:r>
    </w:p>
    <w:p w14:paraId="40EC2638" w14:textId="77777777" w:rsidR="00914A1A" w:rsidRPr="003F6411" w:rsidRDefault="00914A1A" w:rsidP="00914A1A">
      <w:pPr>
        <w:rPr>
          <w:rFonts w:asciiTheme="majorHAnsi" w:hAnsiTheme="majorHAnsi" w:cs="Arial"/>
          <w:sz w:val="20"/>
          <w:szCs w:val="20"/>
          <w:lang w:val="fr-FR"/>
        </w:rPr>
      </w:pPr>
    </w:p>
    <w:p w14:paraId="3E83007F" w14:textId="7E4508B7" w:rsidR="00914A1A" w:rsidRPr="00A53EFE" w:rsidRDefault="00F80EF2" w:rsidP="00914A1A">
      <w:pPr>
        <w:rPr>
          <w:rFonts w:asciiTheme="majorHAnsi" w:eastAsia="Calibri" w:hAnsiTheme="majorHAnsi" w:cs="Calibri"/>
          <w:color w:val="000000"/>
          <w:sz w:val="22"/>
          <w:szCs w:val="22"/>
          <w:lang w:val="fr-CA"/>
        </w:rPr>
      </w:pPr>
      <w:r w:rsidRPr="003F6411">
        <w:rPr>
          <w:rFonts w:asciiTheme="majorHAnsi" w:eastAsia="Calibri" w:hAnsiTheme="majorHAnsi" w:cs="Calibri"/>
          <w:color w:val="000000"/>
          <w:sz w:val="22"/>
          <w:szCs w:val="22"/>
          <w:lang w:val="fr-FR"/>
        </w:rPr>
        <w:t xml:space="preserve">Le GEST a préparé </w:t>
      </w:r>
      <w:r w:rsidR="00EC5C59" w:rsidRPr="003F6411">
        <w:rPr>
          <w:rFonts w:asciiTheme="majorHAnsi" w:eastAsia="Calibri" w:hAnsiTheme="majorHAnsi" w:cs="Calibri"/>
          <w:color w:val="000000"/>
          <w:sz w:val="22"/>
          <w:szCs w:val="22"/>
          <w:lang w:val="fr-FR"/>
        </w:rPr>
        <w:t>son</w:t>
      </w:r>
      <w:r w:rsidRPr="003F6411">
        <w:rPr>
          <w:rFonts w:asciiTheme="majorHAnsi" w:eastAsia="Calibri" w:hAnsiTheme="majorHAnsi" w:cs="Calibri"/>
          <w:color w:val="000000"/>
          <w:sz w:val="22"/>
          <w:szCs w:val="22"/>
          <w:lang w:val="fr-FR"/>
        </w:rPr>
        <w:t xml:space="preserve"> plan de travail pour la période triennale </w:t>
      </w:r>
      <w:r w:rsidR="00914A1A" w:rsidRPr="003F6411">
        <w:rPr>
          <w:rFonts w:asciiTheme="majorHAnsi" w:eastAsia="Calibri" w:hAnsiTheme="majorHAnsi" w:cs="Calibri"/>
          <w:color w:val="000000"/>
          <w:sz w:val="22"/>
          <w:szCs w:val="22"/>
          <w:lang w:val="fr-FR"/>
        </w:rPr>
        <w:t>2016-2018</w:t>
      </w:r>
      <w:r w:rsidR="00E01336" w:rsidRPr="003F6411">
        <w:rPr>
          <w:rFonts w:asciiTheme="majorHAnsi" w:eastAsia="Calibri" w:hAnsiTheme="majorHAnsi" w:cs="Calibri"/>
          <w:color w:val="000000"/>
          <w:sz w:val="22"/>
          <w:szCs w:val="22"/>
          <w:lang w:val="fr-FR"/>
        </w:rPr>
        <w:t xml:space="preserve"> </w:t>
      </w:r>
      <w:r w:rsidRPr="003F6411">
        <w:rPr>
          <w:rFonts w:asciiTheme="majorHAnsi" w:eastAsia="Calibri" w:hAnsiTheme="majorHAnsi" w:cs="Calibri"/>
          <w:color w:val="000000"/>
          <w:sz w:val="22"/>
          <w:szCs w:val="22"/>
          <w:lang w:val="fr-FR"/>
        </w:rPr>
        <w:t>à sa 19</w:t>
      </w:r>
      <w:r w:rsidRPr="003F6411">
        <w:rPr>
          <w:rFonts w:asciiTheme="majorHAnsi" w:eastAsia="Calibri" w:hAnsiTheme="majorHAnsi" w:cs="Calibri"/>
          <w:color w:val="000000"/>
          <w:sz w:val="22"/>
          <w:szCs w:val="22"/>
          <w:vertAlign w:val="superscript"/>
          <w:lang w:val="fr-FR"/>
        </w:rPr>
        <w:t>e</w:t>
      </w:r>
      <w:r w:rsidRPr="003F6411">
        <w:rPr>
          <w:rFonts w:asciiTheme="majorHAnsi" w:eastAsia="Calibri" w:hAnsiTheme="majorHAnsi" w:cs="Calibri"/>
          <w:color w:val="000000"/>
          <w:sz w:val="22"/>
          <w:szCs w:val="22"/>
          <w:lang w:val="fr-FR"/>
        </w:rPr>
        <w:t> Réunion (2 au 6 novembre 2015) pour approbation par le Comité permanent à sa 51</w:t>
      </w:r>
      <w:r w:rsidRPr="003F6411">
        <w:rPr>
          <w:rFonts w:asciiTheme="majorHAnsi" w:eastAsia="Calibri" w:hAnsiTheme="majorHAnsi" w:cs="Calibri"/>
          <w:color w:val="000000"/>
          <w:sz w:val="22"/>
          <w:szCs w:val="22"/>
          <w:vertAlign w:val="superscript"/>
          <w:lang w:val="fr-FR"/>
        </w:rPr>
        <w:t>e</w:t>
      </w:r>
      <w:r w:rsidRPr="003F6411">
        <w:rPr>
          <w:rFonts w:asciiTheme="majorHAnsi" w:eastAsia="Calibri" w:hAnsiTheme="majorHAnsi" w:cs="Calibri"/>
          <w:color w:val="000000"/>
          <w:sz w:val="22"/>
          <w:szCs w:val="22"/>
          <w:lang w:val="fr-FR"/>
        </w:rPr>
        <w:t> Réunion, conformément à la Résolution</w:t>
      </w:r>
      <w:r w:rsidR="007A5CFB" w:rsidRPr="003F6411">
        <w:rPr>
          <w:rFonts w:asciiTheme="majorHAnsi" w:eastAsia="Calibri" w:hAnsiTheme="majorHAnsi" w:cs="Calibri"/>
          <w:color w:val="000000"/>
          <w:sz w:val="22"/>
          <w:szCs w:val="22"/>
          <w:lang w:val="fr-FR"/>
        </w:rPr>
        <w:t xml:space="preserve"> </w:t>
      </w:r>
      <w:r w:rsidR="00914A1A" w:rsidRPr="003F6411">
        <w:rPr>
          <w:rFonts w:asciiTheme="majorHAnsi" w:eastAsia="Calibri" w:hAnsiTheme="majorHAnsi" w:cs="Calibri"/>
          <w:color w:val="000000"/>
          <w:sz w:val="22"/>
          <w:szCs w:val="22"/>
          <w:lang w:val="fr-FR"/>
        </w:rPr>
        <w:t>XII.</w:t>
      </w:r>
      <w:r w:rsidR="00E01336" w:rsidRPr="003F6411">
        <w:rPr>
          <w:rFonts w:asciiTheme="majorHAnsi" w:eastAsia="Calibri" w:hAnsiTheme="majorHAnsi" w:cs="Calibri"/>
          <w:color w:val="000000"/>
          <w:sz w:val="22"/>
          <w:szCs w:val="22"/>
          <w:lang w:val="fr-FR"/>
        </w:rPr>
        <w:t xml:space="preserve"> </w:t>
      </w:r>
      <w:r w:rsidR="00914A1A" w:rsidRPr="003F6411">
        <w:rPr>
          <w:rFonts w:asciiTheme="majorHAnsi" w:eastAsia="Calibri" w:hAnsiTheme="majorHAnsi" w:cs="Calibri"/>
          <w:color w:val="000000"/>
          <w:sz w:val="22"/>
          <w:szCs w:val="22"/>
          <w:lang w:val="fr-FR"/>
        </w:rPr>
        <w:t>5</w:t>
      </w:r>
      <w:r w:rsidR="00E01336" w:rsidRPr="003F6411">
        <w:rPr>
          <w:rFonts w:asciiTheme="majorHAnsi" w:eastAsia="Calibri" w:hAnsiTheme="majorHAnsi" w:cs="Calibri"/>
          <w:color w:val="000000"/>
          <w:sz w:val="22"/>
          <w:szCs w:val="22"/>
          <w:lang w:val="fr-FR"/>
        </w:rPr>
        <w:t xml:space="preserve"> </w:t>
      </w:r>
      <w:r w:rsidR="00914A1A" w:rsidRPr="003F6411">
        <w:rPr>
          <w:rFonts w:asciiTheme="majorHAnsi" w:eastAsia="Calibri" w:hAnsiTheme="majorHAnsi" w:cs="Calibri"/>
          <w:color w:val="000000"/>
          <w:sz w:val="22"/>
          <w:szCs w:val="22"/>
          <w:lang w:val="fr-FR"/>
        </w:rPr>
        <w:t>(</w:t>
      </w:r>
      <w:r w:rsidR="004B32FB">
        <w:rPr>
          <w:rFonts w:asciiTheme="majorHAnsi" w:eastAsia="Calibri" w:hAnsiTheme="majorHAnsi" w:cs="Calibri"/>
          <w:color w:val="000000"/>
          <w:sz w:val="22"/>
          <w:szCs w:val="22"/>
          <w:lang w:val="fr-FR"/>
        </w:rPr>
        <w:t>a</w:t>
      </w:r>
      <w:r w:rsidR="00914A1A" w:rsidRPr="003F6411">
        <w:rPr>
          <w:rFonts w:asciiTheme="majorHAnsi" w:eastAsia="Calibri" w:hAnsiTheme="majorHAnsi" w:cs="Calibri"/>
          <w:color w:val="000000"/>
          <w:sz w:val="22"/>
          <w:szCs w:val="22"/>
          <w:lang w:val="fr-FR"/>
        </w:rPr>
        <w:t>nnex</w:t>
      </w:r>
      <w:r w:rsidRPr="003F6411">
        <w:rPr>
          <w:rFonts w:asciiTheme="majorHAnsi" w:eastAsia="Calibri" w:hAnsiTheme="majorHAnsi" w:cs="Calibri"/>
          <w:color w:val="000000"/>
          <w:sz w:val="22"/>
          <w:szCs w:val="22"/>
          <w:lang w:val="fr-FR"/>
        </w:rPr>
        <w:t>e</w:t>
      </w:r>
      <w:r w:rsidR="00E01336" w:rsidRPr="003F6411">
        <w:rPr>
          <w:rFonts w:asciiTheme="majorHAnsi" w:eastAsia="Calibri" w:hAnsiTheme="majorHAnsi" w:cs="Calibri"/>
          <w:color w:val="000000"/>
          <w:sz w:val="22"/>
          <w:szCs w:val="22"/>
          <w:lang w:val="fr-FR"/>
        </w:rPr>
        <w:t xml:space="preserve"> </w:t>
      </w:r>
      <w:r w:rsidR="002F7DF2" w:rsidRPr="003F6411">
        <w:rPr>
          <w:rFonts w:asciiTheme="majorHAnsi" w:eastAsia="Calibri" w:hAnsiTheme="majorHAnsi" w:cs="Calibri"/>
          <w:color w:val="000000"/>
          <w:sz w:val="22"/>
          <w:szCs w:val="22"/>
          <w:lang w:val="fr-FR"/>
        </w:rPr>
        <w:t>1</w:t>
      </w:r>
      <w:r w:rsidR="00914A1A" w:rsidRPr="003F6411">
        <w:rPr>
          <w:rFonts w:asciiTheme="majorHAnsi" w:eastAsia="Calibri" w:hAnsiTheme="majorHAnsi" w:cs="Calibri"/>
          <w:color w:val="000000"/>
          <w:sz w:val="22"/>
          <w:szCs w:val="22"/>
          <w:lang w:val="fr-FR"/>
        </w:rPr>
        <w:t>,</w:t>
      </w:r>
      <w:r w:rsidR="00E01336" w:rsidRPr="003F6411">
        <w:rPr>
          <w:rFonts w:asciiTheme="majorHAnsi" w:eastAsia="Calibri" w:hAnsiTheme="majorHAnsi" w:cs="Calibri"/>
          <w:color w:val="000000"/>
          <w:sz w:val="22"/>
          <w:szCs w:val="22"/>
          <w:lang w:val="fr-FR"/>
        </w:rPr>
        <w:t xml:space="preserve"> </w:t>
      </w:r>
      <w:r w:rsidR="00914A1A" w:rsidRPr="003F6411">
        <w:rPr>
          <w:rFonts w:asciiTheme="majorHAnsi" w:eastAsia="Calibri" w:hAnsiTheme="majorHAnsi" w:cs="Calibri"/>
          <w:color w:val="000000"/>
          <w:sz w:val="22"/>
          <w:szCs w:val="22"/>
          <w:lang w:val="fr-FR"/>
        </w:rPr>
        <w:t>paragraph</w:t>
      </w:r>
      <w:r w:rsidRPr="003F6411">
        <w:rPr>
          <w:rFonts w:asciiTheme="majorHAnsi" w:eastAsia="Calibri" w:hAnsiTheme="majorHAnsi" w:cs="Calibri"/>
          <w:color w:val="000000"/>
          <w:sz w:val="22"/>
          <w:szCs w:val="22"/>
          <w:lang w:val="fr-FR"/>
        </w:rPr>
        <w:t>e</w:t>
      </w:r>
      <w:r w:rsidR="00E01336" w:rsidRPr="003F6411">
        <w:rPr>
          <w:rFonts w:asciiTheme="majorHAnsi" w:eastAsia="Calibri" w:hAnsiTheme="majorHAnsi" w:cs="Calibri"/>
          <w:color w:val="000000"/>
          <w:sz w:val="22"/>
          <w:szCs w:val="22"/>
          <w:lang w:val="fr-FR"/>
        </w:rPr>
        <w:t xml:space="preserve"> </w:t>
      </w:r>
      <w:r w:rsidR="00914A1A" w:rsidRPr="003F6411">
        <w:rPr>
          <w:rFonts w:asciiTheme="majorHAnsi" w:eastAsia="Calibri" w:hAnsiTheme="majorHAnsi" w:cs="Calibri"/>
          <w:color w:val="000000"/>
          <w:sz w:val="22"/>
          <w:szCs w:val="22"/>
          <w:lang w:val="fr-FR"/>
        </w:rPr>
        <w:t>49),</w:t>
      </w:r>
      <w:r w:rsidR="00E01336" w:rsidRPr="003F6411">
        <w:rPr>
          <w:rFonts w:asciiTheme="majorHAnsi" w:eastAsia="Calibri" w:hAnsiTheme="majorHAnsi" w:cs="Calibri"/>
          <w:color w:val="000000"/>
          <w:sz w:val="22"/>
          <w:szCs w:val="22"/>
          <w:lang w:val="fr-FR"/>
        </w:rPr>
        <w:t xml:space="preserve"> </w:t>
      </w:r>
      <w:r w:rsidRPr="003F6411">
        <w:rPr>
          <w:rFonts w:asciiTheme="majorHAnsi" w:eastAsia="Calibri" w:hAnsiTheme="majorHAnsi" w:cs="Calibri"/>
          <w:color w:val="000000"/>
          <w:sz w:val="22"/>
          <w:szCs w:val="22"/>
          <w:lang w:val="fr-FR"/>
        </w:rPr>
        <w:t xml:space="preserve">en tenant compte des cinq domaines de travail thématiques prioritaires approuvés par les Parties contractantes à la </w:t>
      </w:r>
      <w:r w:rsidR="00914A1A" w:rsidRPr="003F6411">
        <w:rPr>
          <w:rFonts w:asciiTheme="majorHAnsi" w:eastAsia="Calibri" w:hAnsiTheme="majorHAnsi" w:cs="Calibri"/>
          <w:color w:val="000000"/>
          <w:sz w:val="22"/>
          <w:szCs w:val="22"/>
          <w:lang w:val="fr-FR"/>
        </w:rPr>
        <w:t>COP12</w:t>
      </w:r>
      <w:r w:rsidR="00E01336" w:rsidRPr="003F6411">
        <w:rPr>
          <w:rFonts w:asciiTheme="majorHAnsi" w:eastAsia="Calibri" w:hAnsiTheme="majorHAnsi" w:cs="Calibri"/>
          <w:color w:val="000000"/>
          <w:sz w:val="22"/>
          <w:szCs w:val="22"/>
          <w:lang w:val="fr-FR"/>
        </w:rPr>
        <w:t xml:space="preserve"> </w:t>
      </w:r>
      <w:r w:rsidR="00914A1A" w:rsidRPr="003F6411">
        <w:rPr>
          <w:rFonts w:asciiTheme="majorHAnsi" w:eastAsia="Calibri" w:hAnsiTheme="majorHAnsi" w:cs="Calibri"/>
          <w:color w:val="000000"/>
          <w:sz w:val="22"/>
          <w:szCs w:val="22"/>
          <w:lang w:val="fr-FR"/>
        </w:rPr>
        <w:t>(</w:t>
      </w:r>
      <w:r w:rsidR="004B32FB">
        <w:rPr>
          <w:rFonts w:asciiTheme="majorHAnsi" w:eastAsia="Calibri" w:hAnsiTheme="majorHAnsi" w:cs="Calibri"/>
          <w:color w:val="000000"/>
          <w:sz w:val="22"/>
          <w:szCs w:val="22"/>
          <w:lang w:val="fr-FR"/>
        </w:rPr>
        <w:t>a</w:t>
      </w:r>
      <w:r w:rsidR="00914A1A" w:rsidRPr="003F6411">
        <w:rPr>
          <w:rFonts w:asciiTheme="majorHAnsi" w:eastAsia="Calibri" w:hAnsiTheme="majorHAnsi" w:cs="Calibri"/>
          <w:color w:val="000000"/>
          <w:sz w:val="22"/>
          <w:szCs w:val="22"/>
          <w:lang w:val="fr-FR"/>
        </w:rPr>
        <w:t>nnex</w:t>
      </w:r>
      <w:r w:rsidRPr="003F6411">
        <w:rPr>
          <w:rFonts w:asciiTheme="majorHAnsi" w:eastAsia="Calibri" w:hAnsiTheme="majorHAnsi" w:cs="Calibri"/>
          <w:color w:val="000000"/>
          <w:sz w:val="22"/>
          <w:szCs w:val="22"/>
          <w:lang w:val="fr-FR"/>
        </w:rPr>
        <w:t>e</w:t>
      </w:r>
      <w:r w:rsidR="00E01336" w:rsidRPr="003F6411">
        <w:rPr>
          <w:rFonts w:asciiTheme="majorHAnsi" w:eastAsia="Calibri" w:hAnsiTheme="majorHAnsi" w:cs="Calibri"/>
          <w:color w:val="000000"/>
          <w:sz w:val="22"/>
          <w:szCs w:val="22"/>
          <w:lang w:val="fr-FR"/>
        </w:rPr>
        <w:t xml:space="preserve"> </w:t>
      </w:r>
      <w:r w:rsidR="002F7DF2" w:rsidRPr="003F6411">
        <w:rPr>
          <w:rFonts w:asciiTheme="majorHAnsi" w:eastAsia="Calibri" w:hAnsiTheme="majorHAnsi" w:cs="Calibri"/>
          <w:color w:val="000000"/>
          <w:sz w:val="22"/>
          <w:szCs w:val="22"/>
          <w:lang w:val="fr-FR"/>
        </w:rPr>
        <w:t>3</w:t>
      </w:r>
      <w:r w:rsidR="00914A1A" w:rsidRPr="003F6411">
        <w:rPr>
          <w:rFonts w:asciiTheme="majorHAnsi" w:eastAsia="Calibri" w:hAnsiTheme="majorHAnsi" w:cs="Calibri"/>
          <w:color w:val="000000"/>
          <w:sz w:val="22"/>
          <w:szCs w:val="22"/>
          <w:lang w:val="fr-FR"/>
        </w:rPr>
        <w:t>),</w:t>
      </w:r>
      <w:r w:rsidR="00E01336" w:rsidRPr="003F6411">
        <w:rPr>
          <w:rFonts w:asciiTheme="majorHAnsi" w:eastAsia="Calibri" w:hAnsiTheme="majorHAnsi" w:cs="Calibri"/>
          <w:color w:val="000000"/>
          <w:sz w:val="22"/>
          <w:szCs w:val="22"/>
          <w:lang w:val="fr-FR"/>
        </w:rPr>
        <w:t xml:space="preserve"> </w:t>
      </w:r>
      <w:r w:rsidR="005C7E58" w:rsidRPr="003F6411">
        <w:rPr>
          <w:rFonts w:asciiTheme="majorHAnsi" w:eastAsia="Calibri" w:hAnsiTheme="majorHAnsi" w:cs="Calibri"/>
          <w:color w:val="000000"/>
          <w:sz w:val="22"/>
          <w:szCs w:val="22"/>
          <w:lang w:val="fr-FR"/>
        </w:rPr>
        <w:t>du</w:t>
      </w:r>
      <w:r w:rsidRPr="003F6411">
        <w:rPr>
          <w:rFonts w:asciiTheme="majorHAnsi" w:eastAsia="Calibri" w:hAnsiTheme="majorHAnsi" w:cs="Calibri"/>
          <w:color w:val="000000"/>
          <w:sz w:val="22"/>
          <w:szCs w:val="22"/>
          <w:lang w:val="fr-FR"/>
        </w:rPr>
        <w:t xml:space="preserve"> 4</w:t>
      </w:r>
      <w:r w:rsidRPr="003F6411">
        <w:rPr>
          <w:rFonts w:asciiTheme="majorHAnsi" w:eastAsia="Calibri" w:hAnsiTheme="majorHAnsi" w:cs="Calibri"/>
          <w:color w:val="000000"/>
          <w:sz w:val="22"/>
          <w:szCs w:val="22"/>
          <w:vertAlign w:val="superscript"/>
          <w:lang w:val="fr-FR"/>
        </w:rPr>
        <w:t>e</w:t>
      </w:r>
      <w:r w:rsidRPr="003F6411">
        <w:rPr>
          <w:rFonts w:asciiTheme="majorHAnsi" w:eastAsia="Calibri" w:hAnsiTheme="majorHAnsi" w:cs="Calibri"/>
          <w:color w:val="000000"/>
          <w:sz w:val="22"/>
          <w:szCs w:val="22"/>
          <w:lang w:val="fr-FR"/>
        </w:rPr>
        <w:t> Plan stratégique Ramsar 2016</w:t>
      </w:r>
      <w:r w:rsidRPr="003F6411">
        <w:rPr>
          <w:rFonts w:asciiTheme="majorHAnsi" w:eastAsia="Calibri" w:hAnsiTheme="majorHAnsi" w:cs="Calibri"/>
          <w:color w:val="000000"/>
          <w:sz w:val="22"/>
          <w:szCs w:val="22"/>
          <w:lang w:val="fr-FR"/>
        </w:rPr>
        <w:noBreakHyphen/>
      </w:r>
      <w:r w:rsidR="00914A1A" w:rsidRPr="003F6411">
        <w:rPr>
          <w:rFonts w:asciiTheme="majorHAnsi" w:eastAsia="Calibri" w:hAnsiTheme="majorHAnsi" w:cs="Calibri"/>
          <w:color w:val="000000"/>
          <w:sz w:val="22"/>
          <w:szCs w:val="22"/>
          <w:lang w:val="fr-FR"/>
        </w:rPr>
        <w:t>2024</w:t>
      </w:r>
      <w:r w:rsidR="00E01336" w:rsidRPr="003F6411">
        <w:rPr>
          <w:rFonts w:asciiTheme="majorHAnsi" w:eastAsia="Calibri" w:hAnsiTheme="majorHAnsi" w:cs="Calibri"/>
          <w:color w:val="000000"/>
          <w:sz w:val="22"/>
          <w:szCs w:val="22"/>
          <w:lang w:val="fr-FR"/>
        </w:rPr>
        <w:t xml:space="preserve"> </w:t>
      </w:r>
      <w:r w:rsidR="00914A1A" w:rsidRPr="003F6411">
        <w:rPr>
          <w:rFonts w:asciiTheme="majorHAnsi" w:eastAsia="Calibri" w:hAnsiTheme="majorHAnsi" w:cs="Calibri"/>
          <w:color w:val="000000"/>
          <w:sz w:val="22"/>
          <w:szCs w:val="22"/>
          <w:lang w:val="fr-FR"/>
        </w:rPr>
        <w:t>(</w:t>
      </w:r>
      <w:r w:rsidRPr="003F6411">
        <w:rPr>
          <w:rFonts w:asciiTheme="majorHAnsi" w:eastAsia="Calibri" w:hAnsiTheme="majorHAnsi" w:cs="Calibri"/>
          <w:color w:val="000000"/>
          <w:sz w:val="22"/>
          <w:szCs w:val="22"/>
          <w:lang w:val="fr-FR"/>
        </w:rPr>
        <w:t>Résolution </w:t>
      </w:r>
      <w:r w:rsidR="00914A1A" w:rsidRPr="003F6411">
        <w:rPr>
          <w:rFonts w:asciiTheme="majorHAnsi" w:eastAsia="Calibri" w:hAnsiTheme="majorHAnsi" w:cs="Calibri"/>
          <w:color w:val="000000"/>
          <w:sz w:val="22"/>
          <w:szCs w:val="22"/>
          <w:lang w:val="fr-FR"/>
        </w:rPr>
        <w:t>XII.2)</w:t>
      </w:r>
      <w:r w:rsidRPr="003F6411">
        <w:rPr>
          <w:rFonts w:asciiTheme="majorHAnsi" w:eastAsia="Calibri" w:hAnsiTheme="majorHAnsi" w:cs="Calibri"/>
          <w:color w:val="000000"/>
          <w:sz w:val="22"/>
          <w:szCs w:val="22"/>
          <w:lang w:val="fr-FR"/>
        </w:rPr>
        <w:t xml:space="preserve"> et des demandes formulées par les Parties contractantes dans les Résolutions de la </w:t>
      </w:r>
      <w:r w:rsidR="00914A1A" w:rsidRPr="003F6411">
        <w:rPr>
          <w:rFonts w:asciiTheme="majorHAnsi" w:eastAsia="Calibri" w:hAnsiTheme="majorHAnsi" w:cs="Calibri"/>
          <w:color w:val="000000"/>
          <w:sz w:val="22"/>
          <w:szCs w:val="22"/>
          <w:lang w:val="fr-FR"/>
        </w:rPr>
        <w:t>COP12.</w:t>
      </w:r>
      <w:r w:rsidR="0049265A" w:rsidRPr="003F6411">
        <w:rPr>
          <w:rFonts w:asciiTheme="majorHAnsi" w:eastAsia="Calibri" w:hAnsiTheme="majorHAnsi" w:cs="Calibri"/>
          <w:color w:val="000000"/>
          <w:sz w:val="22"/>
          <w:szCs w:val="22"/>
          <w:lang w:val="fr-FR"/>
        </w:rPr>
        <w:t xml:space="preserve"> </w:t>
      </w:r>
      <w:r w:rsidR="00A53EFE" w:rsidRPr="00A53EFE">
        <w:rPr>
          <w:rFonts w:asciiTheme="majorHAnsi" w:eastAsia="Calibri" w:hAnsiTheme="majorHAnsi" w:cs="Calibri"/>
          <w:color w:val="000000"/>
          <w:sz w:val="22"/>
          <w:szCs w:val="22"/>
          <w:lang w:val="fr-CA"/>
        </w:rPr>
        <w:t xml:space="preserve">Conformément </w:t>
      </w:r>
      <w:r w:rsidR="00A53EFE" w:rsidRPr="00251FB6">
        <w:rPr>
          <w:rFonts w:asciiTheme="majorHAnsi" w:eastAsia="Calibri" w:hAnsiTheme="majorHAnsi" w:cs="Calibri"/>
          <w:color w:val="000000"/>
          <w:sz w:val="22"/>
          <w:szCs w:val="22"/>
          <w:lang w:val="fr-CH"/>
        </w:rPr>
        <w:t xml:space="preserve">à la </w:t>
      </w:r>
      <w:r w:rsidR="00C9443F" w:rsidRPr="00A53EFE">
        <w:rPr>
          <w:rFonts w:ascii="Calibri" w:hAnsi="Calibri"/>
          <w:bCs/>
          <w:sz w:val="22"/>
          <w:szCs w:val="22"/>
          <w:lang w:val="fr-CA"/>
        </w:rPr>
        <w:t>D</w:t>
      </w:r>
      <w:r w:rsidR="00A53EFE">
        <w:rPr>
          <w:rFonts w:ascii="Calibri" w:hAnsi="Calibri"/>
          <w:bCs/>
          <w:sz w:val="22"/>
          <w:szCs w:val="22"/>
          <w:lang w:val="fr-CA"/>
        </w:rPr>
        <w:t>é</w:t>
      </w:r>
      <w:r w:rsidR="00C9443F" w:rsidRPr="00A53EFE">
        <w:rPr>
          <w:rFonts w:ascii="Calibri" w:hAnsi="Calibri"/>
          <w:bCs/>
          <w:sz w:val="22"/>
          <w:szCs w:val="22"/>
          <w:lang w:val="fr-CA"/>
        </w:rPr>
        <w:t xml:space="preserve">cision SC51-07, </w:t>
      </w:r>
      <w:r w:rsidR="00A53EFE">
        <w:rPr>
          <w:rFonts w:ascii="Calibri" w:hAnsi="Calibri"/>
          <w:bCs/>
          <w:sz w:val="22"/>
          <w:szCs w:val="22"/>
          <w:lang w:val="fr-CA"/>
        </w:rPr>
        <w:t xml:space="preserve">le projet de plan de travail a été révisé après un vaste processus de consultation avec les Correspondants nationaux et les Correspondants nationaux GEST. </w:t>
      </w:r>
    </w:p>
    <w:p w14:paraId="165B3316" w14:textId="77777777" w:rsidR="0085476E" w:rsidRPr="00A53EFE" w:rsidRDefault="0085476E" w:rsidP="00914A1A">
      <w:pPr>
        <w:rPr>
          <w:rFonts w:asciiTheme="majorHAnsi" w:eastAsia="Calibri" w:hAnsiTheme="majorHAnsi" w:cs="Calibri"/>
          <w:color w:val="000000"/>
          <w:sz w:val="22"/>
          <w:szCs w:val="22"/>
          <w:lang w:val="fr-CA"/>
        </w:rPr>
      </w:pPr>
    </w:p>
    <w:p w14:paraId="6650FC90" w14:textId="77777777" w:rsidR="005E30D4" w:rsidRPr="00A53EFE" w:rsidRDefault="0085476E" w:rsidP="00914A1A">
      <w:pPr>
        <w:rPr>
          <w:rFonts w:asciiTheme="majorHAnsi" w:eastAsia="Calibri" w:hAnsiTheme="majorHAnsi" w:cs="Calibri"/>
          <w:color w:val="000000"/>
          <w:sz w:val="22"/>
          <w:szCs w:val="22"/>
          <w:lang w:val="fr-CA"/>
        </w:rPr>
      </w:pPr>
      <w:r w:rsidRPr="00A53EFE">
        <w:rPr>
          <w:rFonts w:asciiTheme="majorHAnsi" w:eastAsia="Calibri" w:hAnsiTheme="majorHAnsi" w:cs="Calibri"/>
          <w:color w:val="000000"/>
          <w:sz w:val="22"/>
          <w:szCs w:val="22"/>
          <w:lang w:val="fr-CA"/>
        </w:rPr>
        <w:t xml:space="preserve">Outre les tâches </w:t>
      </w:r>
      <w:r w:rsidR="00AD7D43" w:rsidRPr="00A53EFE">
        <w:rPr>
          <w:rFonts w:asciiTheme="majorHAnsi" w:eastAsia="Calibri" w:hAnsiTheme="majorHAnsi" w:cs="Calibri"/>
          <w:color w:val="000000"/>
          <w:sz w:val="22"/>
          <w:szCs w:val="22"/>
          <w:lang w:val="fr-CA"/>
        </w:rPr>
        <w:t xml:space="preserve">et les Domaines </w:t>
      </w:r>
      <w:r w:rsidR="00FA09BF" w:rsidRPr="00A53EFE">
        <w:rPr>
          <w:rFonts w:asciiTheme="majorHAnsi" w:eastAsia="Calibri" w:hAnsiTheme="majorHAnsi" w:cs="Calibri"/>
          <w:color w:val="000000"/>
          <w:sz w:val="22"/>
          <w:szCs w:val="22"/>
          <w:lang w:val="fr-CA"/>
        </w:rPr>
        <w:t xml:space="preserve">de travail thématiques </w:t>
      </w:r>
      <w:r w:rsidRPr="00A53EFE">
        <w:rPr>
          <w:rFonts w:asciiTheme="majorHAnsi" w:eastAsia="Calibri" w:hAnsiTheme="majorHAnsi" w:cs="Calibri"/>
          <w:color w:val="000000"/>
          <w:sz w:val="22"/>
          <w:szCs w:val="22"/>
          <w:lang w:val="fr-CA"/>
        </w:rPr>
        <w:t xml:space="preserve">décrits </w:t>
      </w:r>
      <w:r w:rsidR="00166876" w:rsidRPr="00A53EFE">
        <w:rPr>
          <w:rFonts w:asciiTheme="majorHAnsi" w:eastAsia="Calibri" w:hAnsiTheme="majorHAnsi" w:cs="Calibri"/>
          <w:color w:val="000000"/>
          <w:sz w:val="22"/>
          <w:szCs w:val="22"/>
          <w:lang w:val="fr-CA"/>
        </w:rPr>
        <w:t>ci-après</w:t>
      </w:r>
      <w:r w:rsidRPr="00A53EFE">
        <w:rPr>
          <w:rFonts w:asciiTheme="majorHAnsi" w:eastAsia="Calibri" w:hAnsiTheme="majorHAnsi" w:cs="Calibri"/>
          <w:color w:val="000000"/>
          <w:sz w:val="22"/>
          <w:szCs w:val="22"/>
          <w:lang w:val="fr-CA"/>
        </w:rPr>
        <w:t>, il importe de rappel</w:t>
      </w:r>
      <w:r w:rsidR="00E00AFA" w:rsidRPr="00A53EFE">
        <w:rPr>
          <w:rFonts w:asciiTheme="majorHAnsi" w:eastAsia="Calibri" w:hAnsiTheme="majorHAnsi" w:cs="Calibri"/>
          <w:color w:val="000000"/>
          <w:sz w:val="22"/>
          <w:szCs w:val="22"/>
          <w:lang w:val="fr-CA"/>
        </w:rPr>
        <w:t xml:space="preserve">er que </w:t>
      </w:r>
      <w:r w:rsidRPr="00A53EFE">
        <w:rPr>
          <w:rFonts w:asciiTheme="majorHAnsi" w:eastAsia="Calibri" w:hAnsiTheme="majorHAnsi" w:cs="Calibri"/>
          <w:color w:val="000000"/>
          <w:sz w:val="22"/>
          <w:szCs w:val="22"/>
          <w:lang w:val="fr-CA"/>
        </w:rPr>
        <w:t>différentes fonctions consultatives fondamentales du GEST sont mentionnées</w:t>
      </w:r>
      <w:r w:rsidR="00865CE0" w:rsidRPr="00A53EFE">
        <w:rPr>
          <w:rFonts w:asciiTheme="majorHAnsi" w:eastAsia="Calibri" w:hAnsiTheme="majorHAnsi" w:cs="Calibri"/>
          <w:color w:val="000000"/>
          <w:sz w:val="22"/>
          <w:szCs w:val="22"/>
          <w:lang w:val="fr-CA"/>
        </w:rPr>
        <w:t xml:space="preserve"> dans la Résolution XII.5</w:t>
      </w:r>
      <w:r w:rsidR="000202EE" w:rsidRPr="00A53EFE">
        <w:rPr>
          <w:rFonts w:asciiTheme="majorHAnsi" w:eastAsia="Calibri" w:hAnsiTheme="majorHAnsi" w:cs="Calibri"/>
          <w:color w:val="000000"/>
          <w:sz w:val="22"/>
          <w:szCs w:val="22"/>
          <w:lang w:val="fr-CA"/>
        </w:rPr>
        <w:t xml:space="preserve"> (voir ci-dessous)</w:t>
      </w:r>
      <w:r w:rsidRPr="00A53EFE">
        <w:rPr>
          <w:rFonts w:asciiTheme="majorHAnsi" w:eastAsia="Calibri" w:hAnsiTheme="majorHAnsi" w:cs="Calibri"/>
          <w:color w:val="000000"/>
          <w:sz w:val="22"/>
          <w:szCs w:val="22"/>
          <w:lang w:val="fr-CA"/>
        </w:rPr>
        <w:t>.</w:t>
      </w:r>
    </w:p>
    <w:p w14:paraId="2A366C4E" w14:textId="77777777" w:rsidR="00840BB1" w:rsidRPr="00A53EFE" w:rsidRDefault="00840BB1" w:rsidP="00914A1A">
      <w:pPr>
        <w:rPr>
          <w:rFonts w:asciiTheme="majorHAnsi" w:eastAsia="Calibri" w:hAnsiTheme="majorHAnsi" w:cs="Calibri"/>
          <w:color w:val="000000"/>
          <w:sz w:val="22"/>
          <w:szCs w:val="22"/>
          <w:lang w:val="fr-CA"/>
        </w:rPr>
      </w:pPr>
    </w:p>
    <w:p w14:paraId="234414C7" w14:textId="76647EFC" w:rsidR="003B6083" w:rsidRPr="00A53EFE" w:rsidRDefault="00A53EFE" w:rsidP="003B6083">
      <w:pPr>
        <w:rPr>
          <w:rFonts w:asciiTheme="majorHAnsi" w:eastAsia="Calibri" w:hAnsiTheme="majorHAnsi" w:cs="Calibri"/>
          <w:color w:val="000000"/>
          <w:sz w:val="22"/>
          <w:szCs w:val="22"/>
          <w:lang w:val="fr-CA"/>
        </w:rPr>
      </w:pPr>
      <w:r>
        <w:rPr>
          <w:rFonts w:asciiTheme="majorHAnsi" w:eastAsia="Calibri" w:hAnsiTheme="majorHAnsi" w:cs="Calibri"/>
          <w:color w:val="000000"/>
          <w:sz w:val="22"/>
          <w:szCs w:val="22"/>
          <w:lang w:val="fr-CA"/>
        </w:rPr>
        <w:t xml:space="preserve">Les résultats proposés dans ce projet de plan de travail sont adressés à deux publics cibles, conformément à la </w:t>
      </w:r>
      <w:r w:rsidRPr="00A53EFE">
        <w:rPr>
          <w:rFonts w:asciiTheme="majorHAnsi" w:eastAsia="Calibri" w:hAnsiTheme="majorHAnsi" w:cs="Calibri"/>
          <w:color w:val="000000"/>
          <w:sz w:val="22"/>
          <w:szCs w:val="22"/>
          <w:lang w:val="fr-CA"/>
        </w:rPr>
        <w:t>Résolution</w:t>
      </w:r>
      <w:r w:rsidR="003B6083" w:rsidRPr="00A53EFE">
        <w:rPr>
          <w:rFonts w:asciiTheme="majorHAnsi" w:eastAsia="Calibri" w:hAnsiTheme="majorHAnsi" w:cs="Calibri"/>
          <w:color w:val="000000"/>
          <w:sz w:val="22"/>
          <w:szCs w:val="22"/>
          <w:lang w:val="fr-CA"/>
        </w:rPr>
        <w:t xml:space="preserve"> XII. 5, </w:t>
      </w:r>
      <w:r>
        <w:rPr>
          <w:rFonts w:asciiTheme="majorHAnsi" w:eastAsia="Calibri" w:hAnsiTheme="majorHAnsi" w:cs="Calibri"/>
          <w:color w:val="000000"/>
          <w:sz w:val="22"/>
          <w:szCs w:val="22"/>
          <w:lang w:val="fr-CA"/>
        </w:rPr>
        <w:t>a</w:t>
      </w:r>
      <w:r w:rsidR="003B6083" w:rsidRPr="00A53EFE">
        <w:rPr>
          <w:rFonts w:asciiTheme="majorHAnsi" w:eastAsia="Calibri" w:hAnsiTheme="majorHAnsi" w:cs="Calibri"/>
          <w:color w:val="000000"/>
          <w:sz w:val="22"/>
          <w:szCs w:val="22"/>
          <w:lang w:val="fr-CA"/>
        </w:rPr>
        <w:t>nnex</w:t>
      </w:r>
      <w:r>
        <w:rPr>
          <w:rFonts w:asciiTheme="majorHAnsi" w:eastAsia="Calibri" w:hAnsiTheme="majorHAnsi" w:cs="Calibri"/>
          <w:color w:val="000000"/>
          <w:sz w:val="22"/>
          <w:szCs w:val="22"/>
          <w:lang w:val="fr-CA"/>
        </w:rPr>
        <w:t>e </w:t>
      </w:r>
      <w:r w:rsidR="003B6083" w:rsidRPr="00A53EFE">
        <w:rPr>
          <w:rFonts w:asciiTheme="majorHAnsi" w:eastAsia="Calibri" w:hAnsiTheme="majorHAnsi" w:cs="Calibri"/>
          <w:color w:val="000000"/>
          <w:sz w:val="22"/>
          <w:szCs w:val="22"/>
          <w:lang w:val="fr-CA"/>
        </w:rPr>
        <w:t>1, paragraph</w:t>
      </w:r>
      <w:r>
        <w:rPr>
          <w:rFonts w:asciiTheme="majorHAnsi" w:eastAsia="Calibri" w:hAnsiTheme="majorHAnsi" w:cs="Calibri"/>
          <w:color w:val="000000"/>
          <w:sz w:val="22"/>
          <w:szCs w:val="22"/>
          <w:lang w:val="fr-CA"/>
        </w:rPr>
        <w:t>e </w:t>
      </w:r>
      <w:r w:rsidR="003B6083" w:rsidRPr="00A53EFE">
        <w:rPr>
          <w:rFonts w:asciiTheme="majorHAnsi" w:eastAsia="Calibri" w:hAnsiTheme="majorHAnsi" w:cs="Calibri"/>
          <w:color w:val="000000"/>
          <w:sz w:val="22"/>
          <w:szCs w:val="22"/>
          <w:lang w:val="fr-CA"/>
        </w:rPr>
        <w:t xml:space="preserve">54, </w:t>
      </w:r>
      <w:r>
        <w:rPr>
          <w:rFonts w:asciiTheme="majorHAnsi" w:eastAsia="Calibri" w:hAnsiTheme="majorHAnsi" w:cs="Calibri"/>
          <w:color w:val="000000"/>
          <w:sz w:val="22"/>
          <w:szCs w:val="22"/>
          <w:lang w:val="fr-CA"/>
        </w:rPr>
        <w:t>comme suit :</w:t>
      </w:r>
    </w:p>
    <w:p w14:paraId="05DDE678" w14:textId="16E8F65B" w:rsidR="003B6083" w:rsidRPr="00A53EFE" w:rsidRDefault="00A53EFE" w:rsidP="003B6083">
      <w:pPr>
        <w:pStyle w:val="ListParagraph"/>
        <w:numPr>
          <w:ilvl w:val="0"/>
          <w:numId w:val="34"/>
        </w:numPr>
        <w:rPr>
          <w:rFonts w:asciiTheme="majorHAnsi" w:eastAsia="Calibri" w:hAnsiTheme="majorHAnsi" w:cs="Calibri"/>
          <w:color w:val="000000"/>
          <w:szCs w:val="22"/>
          <w:lang w:val="fr-CA"/>
        </w:rPr>
      </w:pPr>
      <w:r>
        <w:rPr>
          <w:rFonts w:asciiTheme="majorHAnsi" w:eastAsia="Calibri" w:hAnsiTheme="majorHAnsi" w:cs="Calibri"/>
          <w:color w:val="000000"/>
          <w:szCs w:val="22"/>
          <w:lang w:val="fr-CA"/>
        </w:rPr>
        <w:t>les décideurs, y compris ceux des secteurs de l’environnement et de l’eau et d’autres secteurs connexes tels que l’énergie, la santé et l’assainissement, l’</w:t>
      </w:r>
      <w:r w:rsidR="003B6083" w:rsidRPr="00A53EFE">
        <w:rPr>
          <w:rFonts w:asciiTheme="majorHAnsi" w:eastAsia="Calibri" w:hAnsiTheme="majorHAnsi" w:cs="Calibri"/>
          <w:color w:val="000000"/>
          <w:szCs w:val="22"/>
          <w:lang w:val="fr-CA"/>
        </w:rPr>
        <w:t xml:space="preserve">agriculture, </w:t>
      </w:r>
      <w:r>
        <w:rPr>
          <w:rFonts w:asciiTheme="majorHAnsi" w:eastAsia="Calibri" w:hAnsiTheme="majorHAnsi" w:cs="Calibri"/>
          <w:color w:val="000000"/>
          <w:szCs w:val="22"/>
          <w:lang w:val="fr-CA"/>
        </w:rPr>
        <w:t>l’</w:t>
      </w:r>
      <w:r w:rsidR="003B6083" w:rsidRPr="00A53EFE">
        <w:rPr>
          <w:rFonts w:asciiTheme="majorHAnsi" w:eastAsia="Calibri" w:hAnsiTheme="majorHAnsi" w:cs="Calibri"/>
          <w:color w:val="000000"/>
          <w:szCs w:val="22"/>
          <w:lang w:val="fr-CA"/>
        </w:rPr>
        <w:t xml:space="preserve">infrastructure; </w:t>
      </w:r>
      <w:r>
        <w:rPr>
          <w:rFonts w:asciiTheme="majorHAnsi" w:eastAsia="Calibri" w:hAnsiTheme="majorHAnsi" w:cs="Calibri"/>
          <w:color w:val="000000"/>
          <w:szCs w:val="22"/>
          <w:lang w:val="fr-CA"/>
        </w:rPr>
        <w:t>et</w:t>
      </w:r>
    </w:p>
    <w:p w14:paraId="2CDF4AB5" w14:textId="22E0F189" w:rsidR="003B6083" w:rsidRPr="00A53EFE" w:rsidRDefault="00A53EFE" w:rsidP="003B6083">
      <w:pPr>
        <w:pStyle w:val="ListParagraph"/>
        <w:numPr>
          <w:ilvl w:val="0"/>
          <w:numId w:val="34"/>
        </w:numPr>
        <w:rPr>
          <w:rFonts w:asciiTheme="majorHAnsi" w:eastAsia="Calibri" w:hAnsiTheme="majorHAnsi" w:cs="Calibri"/>
          <w:color w:val="000000"/>
          <w:szCs w:val="22"/>
          <w:lang w:val="fr-CA"/>
        </w:rPr>
      </w:pPr>
      <w:r>
        <w:rPr>
          <w:rFonts w:asciiTheme="majorHAnsi" w:eastAsia="Calibri" w:hAnsiTheme="majorHAnsi" w:cs="Calibri"/>
          <w:color w:val="000000"/>
          <w:szCs w:val="22"/>
          <w:lang w:val="fr-CA"/>
        </w:rPr>
        <w:t>les praticiens et en particulier les administrateurs de zones humides et les acteurs mais aussi d’autres personnes d’autres domaines connexes telles que les administrateurs d’aires protégées et le personnel des centres d’éducation aux zones humides.</w:t>
      </w:r>
      <w:r w:rsidR="003B6083" w:rsidRPr="00A53EFE">
        <w:rPr>
          <w:rFonts w:asciiTheme="majorHAnsi" w:eastAsia="Calibri" w:hAnsiTheme="majorHAnsi" w:cs="Calibri"/>
          <w:color w:val="000000"/>
          <w:szCs w:val="22"/>
          <w:lang w:val="fr-CA"/>
        </w:rPr>
        <w:t xml:space="preserve"> </w:t>
      </w:r>
    </w:p>
    <w:p w14:paraId="0D41D5AD" w14:textId="77777777" w:rsidR="003B6083" w:rsidRPr="00A53EFE" w:rsidRDefault="003B6083" w:rsidP="003B6083">
      <w:pPr>
        <w:pStyle w:val="ListParagraph"/>
        <w:rPr>
          <w:rFonts w:asciiTheme="majorHAnsi" w:eastAsia="Calibri" w:hAnsiTheme="majorHAnsi" w:cs="Calibri"/>
          <w:color w:val="000000"/>
          <w:szCs w:val="22"/>
          <w:lang w:val="fr-CA"/>
        </w:rPr>
      </w:pPr>
    </w:p>
    <w:p w14:paraId="31AF121C" w14:textId="4FC1EE77" w:rsidR="003B6083" w:rsidRPr="00A53EFE" w:rsidRDefault="00CD7998" w:rsidP="003B6083">
      <w:pPr>
        <w:rPr>
          <w:rFonts w:asciiTheme="majorHAnsi" w:eastAsia="Calibri" w:hAnsiTheme="majorHAnsi" w:cs="Calibri"/>
          <w:color w:val="000000"/>
          <w:sz w:val="22"/>
          <w:szCs w:val="22"/>
          <w:lang w:val="fr-CA"/>
        </w:rPr>
      </w:pPr>
      <w:r>
        <w:rPr>
          <w:rFonts w:asciiTheme="majorHAnsi" w:eastAsia="Calibri" w:hAnsiTheme="majorHAnsi" w:cs="Calibri"/>
          <w:color w:val="000000"/>
          <w:sz w:val="22"/>
          <w:szCs w:val="22"/>
          <w:lang w:val="fr-CA"/>
        </w:rPr>
        <w:t>À noter, par souci de clarté que pour les résultats qui visent les administrateurs de Sites Ramsar, le public cible est spécifié dans les termes suivants : « praticiens (administrateurs de Sites Ramsar) ». Toutefois, pour les résultats qui s’adressent aux</w:t>
      </w:r>
      <w:r w:rsidR="00855403">
        <w:rPr>
          <w:rFonts w:asciiTheme="majorHAnsi" w:eastAsia="Calibri" w:hAnsiTheme="majorHAnsi" w:cs="Calibri"/>
          <w:color w:val="000000"/>
          <w:sz w:val="22"/>
          <w:szCs w:val="22"/>
          <w:lang w:val="fr-CA"/>
        </w:rPr>
        <w:t xml:space="preserve"> </w:t>
      </w:r>
      <w:r>
        <w:rPr>
          <w:rFonts w:asciiTheme="majorHAnsi" w:eastAsia="Calibri" w:hAnsiTheme="majorHAnsi" w:cs="Calibri"/>
          <w:color w:val="000000"/>
          <w:sz w:val="22"/>
          <w:szCs w:val="22"/>
          <w:lang w:val="fr-CA"/>
        </w:rPr>
        <w:t>administrateurs de zones humides en général, le public cible e</w:t>
      </w:r>
      <w:r w:rsidR="007A5E09">
        <w:rPr>
          <w:rFonts w:asciiTheme="majorHAnsi" w:eastAsia="Calibri" w:hAnsiTheme="majorHAnsi" w:cs="Calibri"/>
          <w:color w:val="000000"/>
          <w:sz w:val="22"/>
          <w:szCs w:val="22"/>
          <w:lang w:val="fr-CA"/>
        </w:rPr>
        <w:t>s</w:t>
      </w:r>
      <w:r>
        <w:rPr>
          <w:rFonts w:asciiTheme="majorHAnsi" w:eastAsia="Calibri" w:hAnsiTheme="majorHAnsi" w:cs="Calibri"/>
          <w:color w:val="000000"/>
          <w:sz w:val="22"/>
          <w:szCs w:val="22"/>
          <w:lang w:val="fr-CA"/>
        </w:rPr>
        <w:t xml:space="preserve">t précisé </w:t>
      </w:r>
      <w:r w:rsidR="004B32FB">
        <w:rPr>
          <w:rFonts w:asciiTheme="majorHAnsi" w:eastAsia="Calibri" w:hAnsiTheme="majorHAnsi" w:cs="Calibri"/>
          <w:color w:val="000000"/>
          <w:sz w:val="22"/>
          <w:szCs w:val="22"/>
          <w:lang w:val="fr-CA"/>
        </w:rPr>
        <w:t xml:space="preserve">dans </w:t>
      </w:r>
      <w:r>
        <w:rPr>
          <w:rFonts w:asciiTheme="majorHAnsi" w:eastAsia="Calibri" w:hAnsiTheme="majorHAnsi" w:cs="Calibri"/>
          <w:color w:val="000000"/>
          <w:sz w:val="22"/>
          <w:szCs w:val="22"/>
          <w:lang w:val="fr-CA"/>
        </w:rPr>
        <w:t>les termes</w:t>
      </w:r>
      <w:r w:rsidR="004B32FB">
        <w:rPr>
          <w:rFonts w:asciiTheme="majorHAnsi" w:eastAsia="Calibri" w:hAnsiTheme="majorHAnsi" w:cs="Calibri"/>
          <w:color w:val="000000"/>
          <w:sz w:val="22"/>
          <w:szCs w:val="22"/>
          <w:lang w:val="fr-CA"/>
        </w:rPr>
        <w:t xml:space="preserve"> suivants</w:t>
      </w:r>
      <w:r>
        <w:rPr>
          <w:rFonts w:asciiTheme="majorHAnsi" w:eastAsia="Calibri" w:hAnsiTheme="majorHAnsi" w:cs="Calibri"/>
          <w:color w:val="000000"/>
          <w:sz w:val="22"/>
          <w:szCs w:val="22"/>
          <w:lang w:val="fr-CA"/>
        </w:rPr>
        <w:t xml:space="preserve"> : « praticiens (administrateurs de zones humides). » </w:t>
      </w:r>
    </w:p>
    <w:p w14:paraId="4B28E31E" w14:textId="77777777" w:rsidR="003B6083" w:rsidRPr="00A53EFE" w:rsidRDefault="003B6083" w:rsidP="00914A1A">
      <w:pPr>
        <w:rPr>
          <w:rFonts w:asciiTheme="majorHAnsi" w:eastAsia="Calibri" w:hAnsiTheme="majorHAnsi" w:cs="Calibri"/>
          <w:color w:val="000000"/>
          <w:sz w:val="22"/>
          <w:szCs w:val="22"/>
          <w:lang w:val="fr-CA"/>
        </w:rPr>
      </w:pPr>
    </w:p>
    <w:p w14:paraId="11C48805" w14:textId="121457DB" w:rsidR="003B6083" w:rsidRPr="00A53EFE" w:rsidRDefault="003B6083" w:rsidP="003B6083">
      <w:pPr>
        <w:rPr>
          <w:rFonts w:asciiTheme="majorHAnsi" w:hAnsiTheme="majorHAnsi" w:cs="Arial"/>
          <w:sz w:val="22"/>
          <w:szCs w:val="22"/>
          <w:lang w:val="fr-CA"/>
        </w:rPr>
      </w:pPr>
      <w:r w:rsidRPr="00A53EFE">
        <w:rPr>
          <w:rFonts w:asciiTheme="majorHAnsi" w:hAnsiTheme="majorHAnsi" w:cs="Tahoma"/>
          <w:color w:val="000000"/>
          <w:sz w:val="22"/>
          <w:szCs w:val="22"/>
          <w:shd w:val="clear" w:color="auto" w:fill="FFFFFF"/>
          <w:lang w:val="fr-CA"/>
        </w:rPr>
        <w:t xml:space="preserve">Le budget indicatif pour l’exécution des tâches présume généralement que les coûts de mise en pages, conception, révision, traduction et publication s’élèvent à </w:t>
      </w:r>
      <w:r w:rsidRPr="00A53EFE">
        <w:rPr>
          <w:rFonts w:asciiTheme="majorHAnsi" w:hAnsiTheme="majorHAnsi" w:cs="Arial"/>
          <w:sz w:val="22"/>
          <w:szCs w:val="22"/>
          <w:lang w:val="fr-CA"/>
        </w:rPr>
        <w:t>6000 CHF pour une fiche technique, 9000 CHF pour un document d’orientation, 13 000 CHF pour une note d’inf</w:t>
      </w:r>
      <w:r w:rsidR="00955B5D">
        <w:rPr>
          <w:rFonts w:asciiTheme="majorHAnsi" w:hAnsiTheme="majorHAnsi" w:cs="Arial"/>
          <w:sz w:val="22"/>
          <w:szCs w:val="22"/>
          <w:lang w:val="fr-CA"/>
        </w:rPr>
        <w:t>ormation et 35 500 CHF pour un R</w:t>
      </w:r>
      <w:r w:rsidRPr="00A53EFE">
        <w:rPr>
          <w:rFonts w:asciiTheme="majorHAnsi" w:hAnsiTheme="majorHAnsi" w:cs="Arial"/>
          <w:sz w:val="22"/>
          <w:szCs w:val="22"/>
          <w:lang w:val="fr-CA"/>
        </w:rPr>
        <w:t>apport technique Ramsar. Ces estimations sont basées sur les directives de publication du Secrétariat et les coûts de traduction par page.</w:t>
      </w:r>
    </w:p>
    <w:p w14:paraId="02593B1E" w14:textId="77777777" w:rsidR="003B6083" w:rsidRPr="003F6411" w:rsidRDefault="003B6083" w:rsidP="00914A1A">
      <w:pPr>
        <w:rPr>
          <w:rFonts w:asciiTheme="majorHAnsi" w:eastAsia="Calibri" w:hAnsiTheme="majorHAnsi" w:cs="Calibri"/>
          <w:color w:val="000000"/>
          <w:sz w:val="22"/>
          <w:szCs w:val="22"/>
          <w:lang w:val="fr-FR"/>
        </w:rPr>
      </w:pPr>
    </w:p>
    <w:p w14:paraId="787BBB00" w14:textId="436F9261" w:rsidR="003B6083" w:rsidRPr="000B0E5D" w:rsidRDefault="000B0E5D" w:rsidP="000B0E5D">
      <w:pPr>
        <w:keepNext/>
        <w:keepLines/>
        <w:pBdr>
          <w:top w:val="single" w:sz="4" w:space="1" w:color="auto"/>
          <w:left w:val="single" w:sz="4" w:space="4" w:color="auto"/>
          <w:bottom w:val="single" w:sz="4" w:space="1" w:color="auto"/>
          <w:right w:val="single" w:sz="4" w:space="4" w:color="auto"/>
        </w:pBdr>
        <w:shd w:val="clear" w:color="auto" w:fill="000000" w:themeFill="text1"/>
        <w:rPr>
          <w:rFonts w:asciiTheme="majorHAnsi" w:hAnsiTheme="majorHAnsi" w:cs="Arial"/>
          <w:b/>
          <w:color w:val="FFFFFF" w:themeColor="background1"/>
          <w:sz w:val="20"/>
          <w:szCs w:val="20"/>
          <w:lang w:val="fr-CA"/>
        </w:rPr>
      </w:pPr>
      <w:r>
        <w:rPr>
          <w:rFonts w:asciiTheme="majorHAnsi" w:hAnsiTheme="majorHAnsi" w:cs="Arial"/>
          <w:b/>
          <w:color w:val="FFFFFF" w:themeColor="background1"/>
          <w:sz w:val="20"/>
          <w:szCs w:val="20"/>
          <w:lang w:val="fr-CA"/>
        </w:rPr>
        <w:lastRenderedPageBreak/>
        <w:t>Fonctions consultatives spéciales et collaboration avec d’autres organes et processus internationaux</w:t>
      </w:r>
    </w:p>
    <w:p w14:paraId="3DC1D55A" w14:textId="77777777" w:rsidR="003B6083" w:rsidRPr="000B0E5D" w:rsidRDefault="003B6083" w:rsidP="000B0E5D">
      <w:pPr>
        <w:keepNext/>
        <w:keepLines/>
        <w:rPr>
          <w:rFonts w:asciiTheme="majorHAnsi" w:hAnsiTheme="majorHAnsi" w:cs="Arial"/>
          <w:sz w:val="20"/>
          <w:szCs w:val="20"/>
          <w:lang w:val="fr-CA"/>
        </w:rPr>
      </w:pPr>
    </w:p>
    <w:tbl>
      <w:tblPr>
        <w:tblStyle w:val="TableGrid"/>
        <w:tblW w:w="0" w:type="auto"/>
        <w:tblLook w:val="04A0" w:firstRow="1" w:lastRow="0" w:firstColumn="1" w:lastColumn="0" w:noHBand="0" w:noVBand="1"/>
      </w:tblPr>
      <w:tblGrid>
        <w:gridCol w:w="3172"/>
        <w:gridCol w:w="1399"/>
        <w:gridCol w:w="992"/>
        <w:gridCol w:w="5658"/>
        <w:gridCol w:w="2953"/>
      </w:tblGrid>
      <w:tr w:rsidR="00ED4DA2" w:rsidRPr="000B0E5D" w14:paraId="2DF734DA" w14:textId="77777777" w:rsidTr="007A5771">
        <w:tc>
          <w:tcPr>
            <w:tcW w:w="0" w:type="auto"/>
            <w:shd w:val="clear" w:color="auto" w:fill="BFBFBF" w:themeFill="background1" w:themeFillShade="BF"/>
          </w:tcPr>
          <w:p w14:paraId="5022BC54" w14:textId="2D9E7D1C" w:rsidR="003B6083" w:rsidRPr="000B0E5D" w:rsidRDefault="003B6083" w:rsidP="000B0E5D">
            <w:pPr>
              <w:keepNext/>
              <w:keepLines/>
              <w:jc w:val="center"/>
              <w:rPr>
                <w:rFonts w:asciiTheme="majorHAnsi" w:hAnsiTheme="majorHAnsi" w:cs="Arial"/>
                <w:sz w:val="20"/>
                <w:szCs w:val="20"/>
                <w:lang w:val="fr-CA"/>
              </w:rPr>
            </w:pPr>
            <w:r w:rsidRPr="000B0E5D">
              <w:rPr>
                <w:rFonts w:asciiTheme="majorHAnsi" w:hAnsiTheme="majorHAnsi" w:cs="Arial"/>
                <w:sz w:val="20"/>
                <w:szCs w:val="20"/>
                <w:lang w:val="fr-CA"/>
              </w:rPr>
              <w:t xml:space="preserve">Type </w:t>
            </w:r>
            <w:r w:rsidR="000B0E5D">
              <w:rPr>
                <w:rFonts w:asciiTheme="majorHAnsi" w:hAnsiTheme="majorHAnsi" w:cs="Arial"/>
                <w:sz w:val="20"/>
                <w:szCs w:val="20"/>
                <w:lang w:val="fr-CA"/>
              </w:rPr>
              <w:t>d’avis</w:t>
            </w:r>
            <w:r w:rsidRPr="000B0E5D">
              <w:rPr>
                <w:rFonts w:asciiTheme="majorHAnsi" w:hAnsiTheme="majorHAnsi" w:cs="Arial"/>
                <w:sz w:val="20"/>
                <w:szCs w:val="20"/>
                <w:lang w:val="fr-CA"/>
              </w:rPr>
              <w:t>/collaboration</w:t>
            </w:r>
          </w:p>
        </w:tc>
        <w:tc>
          <w:tcPr>
            <w:tcW w:w="0" w:type="auto"/>
            <w:shd w:val="clear" w:color="auto" w:fill="BFBFBF" w:themeFill="background1" w:themeFillShade="BF"/>
          </w:tcPr>
          <w:p w14:paraId="5F9FCC2A" w14:textId="677EDDBE" w:rsidR="003B6083" w:rsidRPr="000B0E5D" w:rsidRDefault="003B6083" w:rsidP="004B32FB">
            <w:pPr>
              <w:keepNext/>
              <w:keepLines/>
              <w:jc w:val="center"/>
              <w:rPr>
                <w:rFonts w:asciiTheme="majorHAnsi" w:hAnsiTheme="majorHAnsi" w:cs="Arial"/>
                <w:b w:val="0"/>
                <w:sz w:val="20"/>
                <w:szCs w:val="20"/>
                <w:lang w:val="fr-CA"/>
              </w:rPr>
            </w:pPr>
            <w:r w:rsidRPr="000B0E5D">
              <w:rPr>
                <w:rFonts w:asciiTheme="majorHAnsi" w:hAnsiTheme="majorHAnsi" w:cs="Arial"/>
                <w:sz w:val="20"/>
                <w:szCs w:val="20"/>
                <w:lang w:val="fr-CA"/>
              </w:rPr>
              <w:t>R</w:t>
            </w:r>
            <w:r w:rsidR="00787C8D">
              <w:rPr>
                <w:rFonts w:asciiTheme="majorHAnsi" w:hAnsiTheme="majorHAnsi" w:cs="Arial"/>
                <w:sz w:val="20"/>
                <w:szCs w:val="20"/>
                <w:lang w:val="fr-CA"/>
              </w:rPr>
              <w:t>é</w:t>
            </w:r>
            <w:r w:rsidRPr="000B0E5D">
              <w:rPr>
                <w:rFonts w:asciiTheme="majorHAnsi" w:hAnsiTheme="majorHAnsi" w:cs="Arial"/>
                <w:sz w:val="20"/>
                <w:szCs w:val="20"/>
                <w:lang w:val="fr-CA"/>
              </w:rPr>
              <w:t>s</w:t>
            </w:r>
            <w:r w:rsidR="004B32FB">
              <w:rPr>
                <w:rFonts w:asciiTheme="majorHAnsi" w:hAnsiTheme="majorHAnsi" w:cs="Arial"/>
                <w:sz w:val="20"/>
                <w:szCs w:val="20"/>
                <w:lang w:val="fr-CA"/>
              </w:rPr>
              <w:t>olution</w:t>
            </w:r>
          </w:p>
        </w:tc>
        <w:tc>
          <w:tcPr>
            <w:tcW w:w="0" w:type="auto"/>
            <w:shd w:val="clear" w:color="auto" w:fill="BFBFBF" w:themeFill="background1" w:themeFillShade="BF"/>
          </w:tcPr>
          <w:p w14:paraId="10684572" w14:textId="31253BA4" w:rsidR="003B6083" w:rsidRPr="000B0E5D" w:rsidRDefault="00787C8D" w:rsidP="00787C8D">
            <w:pPr>
              <w:keepNext/>
              <w:keepLines/>
              <w:jc w:val="center"/>
              <w:rPr>
                <w:rFonts w:asciiTheme="majorHAnsi" w:hAnsiTheme="majorHAnsi" w:cs="Arial"/>
                <w:sz w:val="20"/>
                <w:szCs w:val="20"/>
                <w:lang w:val="fr-CA"/>
              </w:rPr>
            </w:pPr>
            <w:r>
              <w:rPr>
                <w:rFonts w:asciiTheme="majorHAnsi" w:eastAsia="Calibri" w:hAnsiTheme="majorHAnsi" w:cs="Arial"/>
                <w:sz w:val="20"/>
                <w:szCs w:val="20"/>
                <w:lang w:val="fr-CA"/>
              </w:rPr>
              <w:t>But et objectif du PS</w:t>
            </w:r>
          </w:p>
        </w:tc>
        <w:tc>
          <w:tcPr>
            <w:tcW w:w="0" w:type="auto"/>
            <w:shd w:val="clear" w:color="auto" w:fill="BFBFBF" w:themeFill="background1" w:themeFillShade="BF"/>
          </w:tcPr>
          <w:p w14:paraId="0B3CE642" w14:textId="77777777" w:rsidR="003B6083" w:rsidRPr="000B0E5D" w:rsidRDefault="003B6083" w:rsidP="000B0E5D">
            <w:pPr>
              <w:keepNext/>
              <w:keepLines/>
              <w:jc w:val="center"/>
              <w:rPr>
                <w:rFonts w:asciiTheme="majorHAnsi" w:hAnsiTheme="majorHAnsi" w:cs="Arial"/>
                <w:sz w:val="20"/>
                <w:szCs w:val="20"/>
                <w:lang w:val="fr-CA"/>
              </w:rPr>
            </w:pPr>
            <w:r w:rsidRPr="000B0E5D">
              <w:rPr>
                <w:rFonts w:asciiTheme="majorHAnsi" w:hAnsiTheme="majorHAnsi" w:cs="Arial"/>
                <w:sz w:val="20"/>
                <w:szCs w:val="20"/>
                <w:lang w:val="fr-CA"/>
              </w:rPr>
              <w:t>Description</w:t>
            </w:r>
          </w:p>
        </w:tc>
        <w:tc>
          <w:tcPr>
            <w:tcW w:w="0" w:type="auto"/>
            <w:shd w:val="clear" w:color="auto" w:fill="BFBFBF" w:themeFill="background1" w:themeFillShade="BF"/>
          </w:tcPr>
          <w:p w14:paraId="3A5A1C29" w14:textId="0F3F7203" w:rsidR="003B6083" w:rsidRPr="000B0E5D" w:rsidRDefault="00787C8D" w:rsidP="000B0E5D">
            <w:pPr>
              <w:keepNext/>
              <w:keepLines/>
              <w:jc w:val="center"/>
              <w:rPr>
                <w:rFonts w:asciiTheme="majorHAnsi" w:hAnsiTheme="majorHAnsi" w:cs="Arial"/>
                <w:sz w:val="20"/>
                <w:szCs w:val="20"/>
                <w:lang w:val="fr-CA"/>
              </w:rPr>
            </w:pPr>
            <w:r>
              <w:rPr>
                <w:rFonts w:asciiTheme="majorHAnsi" w:hAnsiTheme="majorHAnsi" w:cs="Arial"/>
                <w:sz w:val="20"/>
                <w:szCs w:val="20"/>
                <w:lang w:val="fr-CA"/>
              </w:rPr>
              <w:t>Coûts</w:t>
            </w:r>
            <w:r w:rsidR="003B6083" w:rsidRPr="000B0E5D">
              <w:rPr>
                <w:rFonts w:asciiTheme="majorHAnsi" w:hAnsiTheme="majorHAnsi" w:cs="Arial"/>
                <w:sz w:val="20"/>
                <w:szCs w:val="20"/>
                <w:lang w:val="fr-CA"/>
              </w:rPr>
              <w:t xml:space="preserve"> CHF</w:t>
            </w:r>
          </w:p>
        </w:tc>
      </w:tr>
      <w:tr w:rsidR="003B6083" w:rsidRPr="00833360" w14:paraId="1CD7BDBA" w14:textId="77777777" w:rsidTr="007A5771">
        <w:tc>
          <w:tcPr>
            <w:tcW w:w="0" w:type="auto"/>
            <w:gridSpan w:val="5"/>
            <w:shd w:val="clear" w:color="auto" w:fill="D9D9D9" w:themeFill="background1" w:themeFillShade="D9"/>
          </w:tcPr>
          <w:p w14:paraId="7FB34E82" w14:textId="624AF54D" w:rsidR="003B6083" w:rsidRPr="000B0E5D" w:rsidRDefault="00787C8D" w:rsidP="00787C8D">
            <w:pPr>
              <w:keepNext/>
              <w:keepLines/>
              <w:jc w:val="center"/>
              <w:rPr>
                <w:rFonts w:asciiTheme="majorHAnsi" w:hAnsiTheme="majorHAnsi" w:cs="Arial"/>
                <w:sz w:val="20"/>
                <w:szCs w:val="20"/>
                <w:lang w:val="fr-CA"/>
              </w:rPr>
            </w:pPr>
            <w:r>
              <w:rPr>
                <w:rFonts w:asciiTheme="majorHAnsi" w:hAnsiTheme="majorHAnsi" w:cs="Arial"/>
                <w:sz w:val="20"/>
                <w:szCs w:val="20"/>
                <w:lang w:val="fr-CA"/>
              </w:rPr>
              <w:t xml:space="preserve">Processus de la Convention de </w:t>
            </w:r>
            <w:r w:rsidR="003B6083" w:rsidRPr="000B0E5D">
              <w:rPr>
                <w:rFonts w:asciiTheme="majorHAnsi" w:hAnsiTheme="majorHAnsi" w:cs="Arial"/>
                <w:sz w:val="20"/>
                <w:szCs w:val="20"/>
                <w:lang w:val="fr-CA"/>
              </w:rPr>
              <w:t xml:space="preserve">Ramsar </w:t>
            </w:r>
          </w:p>
        </w:tc>
      </w:tr>
      <w:tr w:rsidR="00ED4DA2" w:rsidRPr="00833360" w14:paraId="535307DA" w14:textId="77777777" w:rsidTr="007A5771">
        <w:tc>
          <w:tcPr>
            <w:tcW w:w="0" w:type="auto"/>
          </w:tcPr>
          <w:p w14:paraId="1B963CA6" w14:textId="65AA8B1F" w:rsidR="003B6083" w:rsidRPr="000B0E5D" w:rsidRDefault="005C7A49" w:rsidP="005C7A49">
            <w:pPr>
              <w:keepNext/>
              <w:keepLines/>
              <w:rPr>
                <w:rFonts w:asciiTheme="majorHAnsi" w:hAnsiTheme="majorHAnsi" w:cs="Arial"/>
                <w:b w:val="0"/>
                <w:sz w:val="20"/>
                <w:szCs w:val="20"/>
                <w:lang w:val="fr-CA"/>
              </w:rPr>
            </w:pPr>
            <w:r>
              <w:rPr>
                <w:rFonts w:asciiTheme="majorHAnsi" w:hAnsiTheme="majorHAnsi" w:cs="Arial"/>
                <w:b w:val="0"/>
                <w:sz w:val="20"/>
                <w:szCs w:val="20"/>
                <w:lang w:val="fr-CA"/>
              </w:rPr>
              <w:t xml:space="preserve">Fournir des avis aux Parties contractantes et aux acteurs sur l’état mondial des zones humides et de leurs services à l’humanité </w:t>
            </w:r>
            <w:r w:rsidR="003B6083" w:rsidRPr="000B0E5D">
              <w:rPr>
                <w:rFonts w:asciiTheme="majorHAnsi" w:hAnsiTheme="majorHAnsi" w:cs="Arial"/>
                <w:b w:val="0"/>
                <w:sz w:val="20"/>
                <w:szCs w:val="20"/>
                <w:lang w:val="fr-CA"/>
              </w:rPr>
              <w:t>(SoWWS)</w:t>
            </w:r>
          </w:p>
        </w:tc>
        <w:tc>
          <w:tcPr>
            <w:tcW w:w="0" w:type="auto"/>
          </w:tcPr>
          <w:p w14:paraId="6DA168FF" w14:textId="77777777" w:rsidR="003B6083" w:rsidRPr="000B0E5D" w:rsidRDefault="003B6083" w:rsidP="000B0E5D">
            <w:pPr>
              <w:keepNext/>
              <w:keepLines/>
              <w:rPr>
                <w:rFonts w:asciiTheme="majorHAnsi" w:hAnsiTheme="majorHAnsi" w:cs="Arial"/>
                <w:b w:val="0"/>
                <w:sz w:val="20"/>
                <w:szCs w:val="20"/>
                <w:lang w:val="fr-CA"/>
              </w:rPr>
            </w:pPr>
            <w:r w:rsidRPr="000B0E5D">
              <w:rPr>
                <w:rFonts w:asciiTheme="majorHAnsi" w:hAnsiTheme="majorHAnsi" w:cs="Arial"/>
                <w:b w:val="0"/>
                <w:sz w:val="20"/>
                <w:szCs w:val="20"/>
                <w:lang w:val="fr-CA"/>
              </w:rPr>
              <w:t xml:space="preserve">XII.5, </w:t>
            </w:r>
            <w:r w:rsidRPr="000B0E5D">
              <w:rPr>
                <w:rFonts w:ascii="Calibri" w:hAnsi="Calibri" w:cs="Arial"/>
                <w:b w:val="0"/>
                <w:sz w:val="20"/>
                <w:szCs w:val="20"/>
                <w:lang w:val="fr-CA"/>
              </w:rPr>
              <w:t>¶</w:t>
            </w:r>
            <w:r w:rsidRPr="000B0E5D">
              <w:rPr>
                <w:rFonts w:asciiTheme="majorHAnsi" w:hAnsiTheme="majorHAnsi" w:cs="Arial"/>
                <w:b w:val="0"/>
                <w:sz w:val="20"/>
                <w:szCs w:val="20"/>
                <w:lang w:val="fr-CA"/>
              </w:rPr>
              <w:t xml:space="preserve"> 25</w:t>
            </w:r>
          </w:p>
        </w:tc>
        <w:tc>
          <w:tcPr>
            <w:tcW w:w="0" w:type="auto"/>
          </w:tcPr>
          <w:p w14:paraId="6445DD6B" w14:textId="77777777" w:rsidR="003B6083" w:rsidRPr="000B0E5D" w:rsidRDefault="003B6083" w:rsidP="000B0E5D">
            <w:pPr>
              <w:keepNext/>
              <w:keepLines/>
              <w:rPr>
                <w:rFonts w:asciiTheme="majorHAnsi" w:hAnsiTheme="majorHAnsi" w:cs="Arial"/>
                <w:b w:val="0"/>
                <w:sz w:val="20"/>
                <w:szCs w:val="20"/>
                <w:lang w:val="fr-CA"/>
              </w:rPr>
            </w:pPr>
            <w:r w:rsidRPr="000B0E5D">
              <w:rPr>
                <w:rFonts w:asciiTheme="majorHAnsi" w:hAnsiTheme="majorHAnsi" w:cs="Arial"/>
                <w:b w:val="0"/>
                <w:sz w:val="20"/>
                <w:szCs w:val="20"/>
                <w:lang w:val="fr-CA"/>
              </w:rPr>
              <w:t>3.11, 4.14, 4.16</w:t>
            </w:r>
          </w:p>
        </w:tc>
        <w:tc>
          <w:tcPr>
            <w:tcW w:w="0" w:type="auto"/>
          </w:tcPr>
          <w:p w14:paraId="674C4988" w14:textId="46365C5E" w:rsidR="003B6083" w:rsidRPr="000B0E5D" w:rsidRDefault="005C7A49" w:rsidP="000B0E5D">
            <w:pPr>
              <w:keepNext/>
              <w:keepLines/>
              <w:rPr>
                <w:rFonts w:asciiTheme="majorHAnsi" w:hAnsiTheme="majorHAnsi" w:cs="Arial"/>
                <w:b w:val="0"/>
                <w:sz w:val="20"/>
                <w:szCs w:val="20"/>
                <w:lang w:val="fr-CA"/>
              </w:rPr>
            </w:pPr>
            <w:r>
              <w:rPr>
                <w:rFonts w:asciiTheme="majorHAnsi" w:hAnsiTheme="majorHAnsi" w:cs="Arial"/>
                <w:b w:val="0"/>
                <w:sz w:val="20"/>
                <w:szCs w:val="20"/>
                <w:u w:val="single"/>
                <w:lang w:val="fr-CA"/>
              </w:rPr>
              <w:t>Description de tâche</w:t>
            </w:r>
            <w:r w:rsidRPr="005C7A49">
              <w:rPr>
                <w:rFonts w:asciiTheme="majorHAnsi" w:hAnsiTheme="majorHAnsi" w:cs="Arial"/>
                <w:b w:val="0"/>
                <w:sz w:val="20"/>
                <w:szCs w:val="20"/>
                <w:lang w:val="fr-CA"/>
              </w:rPr>
              <w:t> </w:t>
            </w:r>
            <w:r w:rsidR="003B6083" w:rsidRPr="000B0E5D">
              <w:rPr>
                <w:rFonts w:asciiTheme="majorHAnsi" w:hAnsiTheme="majorHAnsi" w:cs="Arial"/>
                <w:b w:val="0"/>
                <w:sz w:val="20"/>
                <w:szCs w:val="20"/>
                <w:lang w:val="fr-CA"/>
              </w:rPr>
              <w:t>: Produ</w:t>
            </w:r>
            <w:r>
              <w:rPr>
                <w:rFonts w:asciiTheme="majorHAnsi" w:hAnsiTheme="majorHAnsi" w:cs="Arial"/>
                <w:b w:val="0"/>
                <w:sz w:val="20"/>
                <w:szCs w:val="20"/>
                <w:lang w:val="fr-CA"/>
              </w:rPr>
              <w:t xml:space="preserve">ire une édition </w:t>
            </w:r>
            <w:r w:rsidR="003B6083" w:rsidRPr="000B0E5D">
              <w:rPr>
                <w:rFonts w:asciiTheme="majorHAnsi" w:hAnsiTheme="majorHAnsi" w:cs="Arial"/>
                <w:b w:val="0"/>
                <w:sz w:val="20"/>
                <w:szCs w:val="20"/>
                <w:lang w:val="fr-CA"/>
              </w:rPr>
              <w:t xml:space="preserve">2018 </w:t>
            </w:r>
            <w:r>
              <w:rPr>
                <w:rFonts w:asciiTheme="majorHAnsi" w:hAnsiTheme="majorHAnsi" w:cs="Arial"/>
                <w:b w:val="0"/>
                <w:sz w:val="20"/>
                <w:szCs w:val="20"/>
                <w:lang w:val="fr-CA"/>
              </w:rPr>
              <w:t>de la publication emblématique périodique sur l’état mondial des zones humides, les moteurs de la perte des zones humides et les réponses en vue de promouvoir les objectifs de la Convention, avec des liens vers le Plan stratégique et d’autres processus internationaux (</w:t>
            </w:r>
            <w:r w:rsidR="00F81995">
              <w:rPr>
                <w:rFonts w:asciiTheme="majorHAnsi" w:hAnsiTheme="majorHAnsi" w:cs="Arial"/>
                <w:b w:val="0"/>
                <w:sz w:val="20"/>
                <w:szCs w:val="20"/>
                <w:lang w:val="fr-CA"/>
              </w:rPr>
              <w:t>O</w:t>
            </w:r>
            <w:r>
              <w:rPr>
                <w:rFonts w:asciiTheme="majorHAnsi" w:hAnsiTheme="majorHAnsi" w:cs="Arial"/>
                <w:b w:val="0"/>
                <w:sz w:val="20"/>
                <w:szCs w:val="20"/>
                <w:lang w:val="fr-CA"/>
              </w:rPr>
              <w:t xml:space="preserve">bjectifs de développement durable (ODD), Objectifs d’Aichi, </w:t>
            </w:r>
            <w:r w:rsidR="00F81995" w:rsidRPr="00F81995">
              <w:rPr>
                <w:rFonts w:asciiTheme="majorHAnsi" w:hAnsiTheme="majorHAnsi" w:cs="Arial"/>
                <w:b w:val="0"/>
                <w:sz w:val="20"/>
                <w:szCs w:val="20"/>
                <w:lang w:val="fr-CA"/>
              </w:rPr>
              <w:t>Perspectives mondiales de la diversité biologique</w:t>
            </w:r>
            <w:r>
              <w:rPr>
                <w:rFonts w:asciiTheme="majorHAnsi" w:hAnsiTheme="majorHAnsi" w:cs="Arial"/>
                <w:b w:val="0"/>
                <w:sz w:val="20"/>
                <w:szCs w:val="20"/>
                <w:lang w:val="fr-CA"/>
              </w:rPr>
              <w:t>).</w:t>
            </w:r>
            <w:r w:rsidR="003B6083" w:rsidRPr="000B0E5D">
              <w:rPr>
                <w:rFonts w:asciiTheme="majorHAnsi" w:hAnsiTheme="majorHAnsi" w:cs="Arial"/>
                <w:b w:val="0"/>
                <w:sz w:val="20"/>
                <w:szCs w:val="20"/>
                <w:lang w:val="fr-CA"/>
              </w:rPr>
              <w:t xml:space="preserve"> </w:t>
            </w:r>
          </w:p>
          <w:p w14:paraId="74ADC350" w14:textId="77777777" w:rsidR="003B6083" w:rsidRPr="000B0E5D" w:rsidRDefault="003B6083" w:rsidP="000B0E5D">
            <w:pPr>
              <w:keepNext/>
              <w:keepLines/>
              <w:rPr>
                <w:rFonts w:asciiTheme="majorHAnsi" w:hAnsiTheme="majorHAnsi" w:cs="Arial"/>
                <w:b w:val="0"/>
                <w:sz w:val="20"/>
                <w:szCs w:val="20"/>
                <w:lang w:val="fr-CA"/>
              </w:rPr>
            </w:pPr>
          </w:p>
          <w:p w14:paraId="492ADD42" w14:textId="48A95BA3" w:rsidR="003B6083" w:rsidRPr="000B0E5D" w:rsidRDefault="005C7A49" w:rsidP="000B0E5D">
            <w:pPr>
              <w:keepNext/>
              <w:keepLines/>
              <w:rPr>
                <w:rFonts w:asciiTheme="majorHAnsi" w:hAnsiTheme="majorHAnsi" w:cs="Arial"/>
                <w:b w:val="0"/>
                <w:sz w:val="20"/>
                <w:szCs w:val="20"/>
                <w:lang w:val="fr-CA"/>
              </w:rPr>
            </w:pPr>
            <w:r>
              <w:rPr>
                <w:rFonts w:asciiTheme="majorHAnsi" w:hAnsiTheme="majorHAnsi" w:cs="Arial"/>
                <w:b w:val="0"/>
                <w:sz w:val="20"/>
                <w:szCs w:val="20"/>
                <w:lang w:val="fr-CA"/>
              </w:rPr>
              <w:t>Comme élément important de cette tâche, le GEST, en collaboration avec le PNUE-WCMC, mettra à jour l’</w:t>
            </w:r>
            <w:r w:rsidR="00F81995">
              <w:rPr>
                <w:rFonts w:asciiTheme="majorHAnsi" w:hAnsiTheme="majorHAnsi" w:cs="Arial"/>
                <w:b w:val="0"/>
                <w:sz w:val="20"/>
                <w:szCs w:val="20"/>
                <w:lang w:val="fr-CA"/>
              </w:rPr>
              <w:t>i</w:t>
            </w:r>
            <w:r>
              <w:rPr>
                <w:rFonts w:asciiTheme="majorHAnsi" w:hAnsiTheme="majorHAnsi" w:cs="Arial"/>
                <w:b w:val="0"/>
                <w:sz w:val="20"/>
                <w:szCs w:val="20"/>
                <w:lang w:val="fr-CA"/>
              </w:rPr>
              <w:t xml:space="preserve">ndice </w:t>
            </w:r>
            <w:r w:rsidR="00F81995">
              <w:rPr>
                <w:rFonts w:asciiTheme="majorHAnsi" w:hAnsiTheme="majorHAnsi" w:cs="Arial"/>
                <w:b w:val="0"/>
                <w:sz w:val="20"/>
                <w:szCs w:val="20"/>
                <w:lang w:val="fr-CA"/>
              </w:rPr>
              <w:t xml:space="preserve">WET </w:t>
            </w:r>
            <w:r>
              <w:rPr>
                <w:rFonts w:asciiTheme="majorHAnsi" w:hAnsiTheme="majorHAnsi" w:cs="Arial"/>
                <w:b w:val="0"/>
                <w:sz w:val="20"/>
                <w:szCs w:val="20"/>
                <w:lang w:val="fr-CA"/>
              </w:rPr>
              <w:t>des tendances d</w:t>
            </w:r>
            <w:r w:rsidR="00B81559">
              <w:rPr>
                <w:rFonts w:asciiTheme="majorHAnsi" w:hAnsiTheme="majorHAnsi" w:cs="Arial"/>
                <w:b w:val="0"/>
                <w:sz w:val="20"/>
                <w:szCs w:val="20"/>
                <w:lang w:val="fr-CA"/>
              </w:rPr>
              <w:t>e l</w:t>
            </w:r>
            <w:r>
              <w:rPr>
                <w:rFonts w:asciiTheme="majorHAnsi" w:hAnsiTheme="majorHAnsi" w:cs="Arial"/>
                <w:b w:val="0"/>
                <w:sz w:val="20"/>
                <w:szCs w:val="20"/>
                <w:lang w:val="fr-CA"/>
              </w:rPr>
              <w:t xml:space="preserve">’étendue des zones humides dirigé par Ramsar, afin de fournir une analyse des tendances </w:t>
            </w:r>
            <w:r w:rsidR="008E6B37">
              <w:rPr>
                <w:rFonts w:asciiTheme="majorHAnsi" w:hAnsiTheme="majorHAnsi" w:cs="Arial"/>
                <w:b w:val="0"/>
                <w:sz w:val="20"/>
                <w:szCs w:val="20"/>
                <w:lang w:val="fr-CA"/>
              </w:rPr>
              <w:t xml:space="preserve">à partir de </w:t>
            </w:r>
            <w:r>
              <w:rPr>
                <w:rFonts w:asciiTheme="majorHAnsi" w:hAnsiTheme="majorHAnsi" w:cs="Arial"/>
                <w:b w:val="0"/>
                <w:sz w:val="20"/>
                <w:szCs w:val="20"/>
                <w:lang w:val="fr-CA"/>
              </w:rPr>
              <w:t>2008 et de corriger les lacunes et déséquilibres géographiques (surtout en Amérique latine et dans la région des Caraïbes) à partir de la preuve initiale de concept. En outre, l’analyse des données d</w:t>
            </w:r>
            <w:r w:rsidR="00F81995">
              <w:rPr>
                <w:rFonts w:asciiTheme="majorHAnsi" w:hAnsiTheme="majorHAnsi" w:cs="Arial"/>
                <w:b w:val="0"/>
                <w:sz w:val="20"/>
                <w:szCs w:val="20"/>
                <w:lang w:val="fr-CA"/>
              </w:rPr>
              <w:t>e</w:t>
            </w:r>
            <w:r>
              <w:rPr>
                <w:rFonts w:asciiTheme="majorHAnsi" w:hAnsiTheme="majorHAnsi" w:cs="Arial"/>
                <w:b w:val="0"/>
                <w:sz w:val="20"/>
                <w:szCs w:val="20"/>
                <w:lang w:val="fr-CA"/>
              </w:rPr>
              <w:t xml:space="preserve"> </w:t>
            </w:r>
            <w:r w:rsidR="003B6083" w:rsidRPr="000B0E5D">
              <w:rPr>
                <w:rFonts w:asciiTheme="majorHAnsi" w:hAnsiTheme="majorHAnsi" w:cs="Arial"/>
                <w:b w:val="0"/>
                <w:sz w:val="20"/>
                <w:szCs w:val="20"/>
                <w:lang w:val="fr-CA"/>
              </w:rPr>
              <w:t xml:space="preserve">Global Mangrove Watch </w:t>
            </w:r>
            <w:r w:rsidR="00F81995">
              <w:rPr>
                <w:rFonts w:asciiTheme="majorHAnsi" w:hAnsiTheme="majorHAnsi" w:cs="Arial"/>
                <w:b w:val="0"/>
                <w:sz w:val="20"/>
                <w:szCs w:val="20"/>
                <w:lang w:val="fr-CA"/>
              </w:rPr>
              <w:t xml:space="preserve">produites </w:t>
            </w:r>
            <w:r>
              <w:rPr>
                <w:rFonts w:asciiTheme="majorHAnsi" w:hAnsiTheme="majorHAnsi" w:cs="Arial"/>
                <w:b w:val="0"/>
                <w:sz w:val="20"/>
                <w:szCs w:val="20"/>
                <w:lang w:val="fr-CA"/>
              </w:rPr>
              <w:t xml:space="preserve">par </w:t>
            </w:r>
            <w:r w:rsidR="003B6083" w:rsidRPr="000B0E5D">
              <w:rPr>
                <w:rFonts w:asciiTheme="majorHAnsi" w:hAnsiTheme="majorHAnsi" w:cs="Arial"/>
                <w:b w:val="0"/>
                <w:sz w:val="20"/>
                <w:szCs w:val="20"/>
                <w:lang w:val="fr-CA"/>
              </w:rPr>
              <w:t xml:space="preserve">JAXA </w:t>
            </w:r>
            <w:r>
              <w:rPr>
                <w:rFonts w:asciiTheme="majorHAnsi" w:hAnsiTheme="majorHAnsi" w:cs="Arial"/>
                <w:b w:val="0"/>
                <w:sz w:val="20"/>
                <w:szCs w:val="20"/>
                <w:lang w:val="fr-CA"/>
              </w:rPr>
              <w:t>et</w:t>
            </w:r>
            <w:r w:rsidR="003B6083" w:rsidRPr="000B0E5D">
              <w:rPr>
                <w:rFonts w:asciiTheme="majorHAnsi" w:hAnsiTheme="majorHAnsi" w:cs="Arial"/>
                <w:b w:val="0"/>
                <w:sz w:val="20"/>
                <w:szCs w:val="20"/>
                <w:lang w:val="fr-CA"/>
              </w:rPr>
              <w:t xml:space="preserve"> </w:t>
            </w:r>
            <w:r w:rsidR="00F81995">
              <w:rPr>
                <w:rFonts w:asciiTheme="majorHAnsi" w:hAnsiTheme="majorHAnsi" w:cs="Arial"/>
                <w:b w:val="0"/>
                <w:sz w:val="20"/>
                <w:szCs w:val="20"/>
                <w:lang w:val="fr-CA"/>
              </w:rPr>
              <w:t xml:space="preserve">de </w:t>
            </w:r>
            <w:r w:rsidR="003B6083" w:rsidRPr="000B0E5D">
              <w:rPr>
                <w:rFonts w:asciiTheme="majorHAnsi" w:hAnsiTheme="majorHAnsi" w:cs="Arial"/>
                <w:b w:val="0"/>
                <w:sz w:val="20"/>
                <w:szCs w:val="20"/>
                <w:lang w:val="fr-CA"/>
              </w:rPr>
              <w:t>GlobWetland Afri</w:t>
            </w:r>
            <w:r>
              <w:rPr>
                <w:rFonts w:asciiTheme="majorHAnsi" w:hAnsiTheme="majorHAnsi" w:cs="Arial"/>
                <w:b w:val="0"/>
                <w:sz w:val="20"/>
                <w:szCs w:val="20"/>
                <w:lang w:val="fr-CA"/>
              </w:rPr>
              <w:t xml:space="preserve">que </w:t>
            </w:r>
            <w:r w:rsidRPr="00F81995">
              <w:rPr>
                <w:rFonts w:asciiTheme="majorHAnsi" w:hAnsiTheme="majorHAnsi" w:cs="Arial"/>
                <w:b w:val="0"/>
                <w:sz w:val="20"/>
                <w:szCs w:val="20"/>
                <w:lang w:val="fr-CA"/>
              </w:rPr>
              <w:t>produit</w:t>
            </w:r>
            <w:r w:rsidR="00414C93" w:rsidRPr="00F81995">
              <w:rPr>
                <w:rFonts w:asciiTheme="majorHAnsi" w:hAnsiTheme="majorHAnsi" w:cs="Arial"/>
                <w:b w:val="0"/>
                <w:sz w:val="20"/>
                <w:szCs w:val="20"/>
                <w:lang w:val="fr-CA"/>
              </w:rPr>
              <w:t>e</w:t>
            </w:r>
            <w:r w:rsidR="00F81995" w:rsidRPr="00F81995">
              <w:rPr>
                <w:rFonts w:asciiTheme="majorHAnsi" w:hAnsiTheme="majorHAnsi" w:cs="Arial"/>
                <w:b w:val="0"/>
                <w:sz w:val="20"/>
                <w:szCs w:val="20"/>
                <w:lang w:val="fr-CA"/>
              </w:rPr>
              <w:t>s</w:t>
            </w:r>
            <w:r>
              <w:rPr>
                <w:rFonts w:asciiTheme="majorHAnsi" w:hAnsiTheme="majorHAnsi" w:cs="Arial"/>
                <w:b w:val="0"/>
                <w:sz w:val="20"/>
                <w:szCs w:val="20"/>
                <w:lang w:val="fr-CA"/>
              </w:rPr>
              <w:t xml:space="preserve"> par l’ESA</w:t>
            </w:r>
            <w:r w:rsidR="003B6083" w:rsidRPr="000B0E5D">
              <w:rPr>
                <w:rFonts w:asciiTheme="majorHAnsi" w:hAnsiTheme="majorHAnsi" w:cs="Arial"/>
                <w:b w:val="0"/>
                <w:sz w:val="20"/>
                <w:szCs w:val="20"/>
                <w:lang w:val="fr-CA"/>
              </w:rPr>
              <w:t xml:space="preserve"> (</w:t>
            </w:r>
            <w:r>
              <w:rPr>
                <w:rFonts w:asciiTheme="majorHAnsi" w:hAnsiTheme="majorHAnsi" w:cs="Arial"/>
                <w:b w:val="0"/>
                <w:sz w:val="20"/>
                <w:szCs w:val="20"/>
                <w:lang w:val="fr-CA"/>
              </w:rPr>
              <w:t>voir aussi tâche </w:t>
            </w:r>
            <w:r w:rsidR="003B6083" w:rsidRPr="000B0E5D">
              <w:rPr>
                <w:rFonts w:asciiTheme="majorHAnsi" w:hAnsiTheme="majorHAnsi" w:cs="Arial"/>
                <w:b w:val="0"/>
                <w:sz w:val="20"/>
                <w:szCs w:val="20"/>
                <w:lang w:val="fr-CA"/>
              </w:rPr>
              <w:t xml:space="preserve">1.1) </w:t>
            </w:r>
            <w:r>
              <w:rPr>
                <w:rFonts w:asciiTheme="majorHAnsi" w:hAnsiTheme="majorHAnsi" w:cs="Arial"/>
                <w:b w:val="0"/>
                <w:sz w:val="20"/>
                <w:szCs w:val="20"/>
                <w:lang w:val="fr-CA"/>
              </w:rPr>
              <w:t xml:space="preserve">apportera des contributions capitales au </w:t>
            </w:r>
            <w:r w:rsidR="003B6083" w:rsidRPr="000B0E5D">
              <w:rPr>
                <w:rFonts w:asciiTheme="majorHAnsi" w:hAnsiTheme="majorHAnsi" w:cs="Arial"/>
                <w:b w:val="0"/>
                <w:sz w:val="20"/>
                <w:szCs w:val="20"/>
                <w:lang w:val="fr-CA"/>
              </w:rPr>
              <w:t>S</w:t>
            </w:r>
            <w:r>
              <w:rPr>
                <w:rFonts w:asciiTheme="majorHAnsi" w:hAnsiTheme="majorHAnsi" w:cs="Arial"/>
                <w:b w:val="0"/>
                <w:sz w:val="20"/>
                <w:szCs w:val="20"/>
                <w:lang w:val="fr-CA"/>
              </w:rPr>
              <w:t>o</w:t>
            </w:r>
            <w:r w:rsidR="003B6083" w:rsidRPr="000B0E5D">
              <w:rPr>
                <w:rFonts w:asciiTheme="majorHAnsi" w:hAnsiTheme="majorHAnsi" w:cs="Arial"/>
                <w:b w:val="0"/>
                <w:sz w:val="20"/>
                <w:szCs w:val="20"/>
                <w:lang w:val="fr-CA"/>
              </w:rPr>
              <w:t xml:space="preserve">WWS. </w:t>
            </w:r>
          </w:p>
          <w:p w14:paraId="0C76F6EF" w14:textId="77777777" w:rsidR="003B6083" w:rsidRPr="000B0E5D" w:rsidRDefault="003B6083" w:rsidP="000B0E5D">
            <w:pPr>
              <w:keepNext/>
              <w:keepLines/>
              <w:rPr>
                <w:rFonts w:asciiTheme="majorHAnsi" w:hAnsiTheme="majorHAnsi" w:cs="Arial"/>
                <w:b w:val="0"/>
                <w:sz w:val="20"/>
                <w:szCs w:val="20"/>
                <w:lang w:val="fr-CA"/>
              </w:rPr>
            </w:pPr>
          </w:p>
          <w:p w14:paraId="4AEBED04" w14:textId="2A4F5B3F" w:rsidR="003B6083" w:rsidRPr="000B0E5D" w:rsidRDefault="00414C93" w:rsidP="000B0E5D">
            <w:pPr>
              <w:keepNext/>
              <w:keepLines/>
              <w:rPr>
                <w:rFonts w:asciiTheme="majorHAnsi" w:hAnsiTheme="majorHAnsi" w:cs="Arial"/>
                <w:b w:val="0"/>
                <w:sz w:val="20"/>
                <w:szCs w:val="20"/>
                <w:lang w:val="fr-CA"/>
              </w:rPr>
            </w:pPr>
            <w:r>
              <w:rPr>
                <w:rFonts w:asciiTheme="majorHAnsi" w:hAnsiTheme="majorHAnsi" w:cs="Arial"/>
                <w:b w:val="0"/>
                <w:sz w:val="20"/>
                <w:szCs w:val="20"/>
                <w:u w:val="single"/>
                <w:lang w:val="fr-CA"/>
              </w:rPr>
              <w:t>Résultat(s) es</w:t>
            </w:r>
            <w:r w:rsidR="005C7A49">
              <w:rPr>
                <w:rFonts w:asciiTheme="majorHAnsi" w:hAnsiTheme="majorHAnsi" w:cs="Arial"/>
                <w:b w:val="0"/>
                <w:sz w:val="20"/>
                <w:szCs w:val="20"/>
                <w:u w:val="single"/>
                <w:lang w:val="fr-CA"/>
              </w:rPr>
              <w:t>compté(s)</w:t>
            </w:r>
            <w:r w:rsidR="005C7A49" w:rsidRPr="005C7A49">
              <w:rPr>
                <w:rFonts w:asciiTheme="majorHAnsi" w:hAnsiTheme="majorHAnsi" w:cs="Arial"/>
                <w:b w:val="0"/>
                <w:sz w:val="20"/>
                <w:szCs w:val="20"/>
                <w:lang w:val="fr-CA"/>
              </w:rPr>
              <w:t> </w:t>
            </w:r>
            <w:r w:rsidR="003B6083" w:rsidRPr="000B0E5D">
              <w:rPr>
                <w:rFonts w:asciiTheme="majorHAnsi" w:hAnsiTheme="majorHAnsi" w:cs="Arial"/>
                <w:b w:val="0"/>
                <w:sz w:val="20"/>
                <w:szCs w:val="20"/>
                <w:lang w:val="fr-CA"/>
              </w:rPr>
              <w:t xml:space="preserve">: </w:t>
            </w:r>
            <w:r w:rsidR="005C7A49">
              <w:rPr>
                <w:rFonts w:asciiTheme="majorHAnsi" w:hAnsiTheme="majorHAnsi" w:cs="Arial"/>
                <w:b w:val="0"/>
                <w:sz w:val="20"/>
                <w:szCs w:val="20"/>
                <w:lang w:val="fr-CA"/>
              </w:rPr>
              <w:t xml:space="preserve">Un rapport mondial avec des résultats </w:t>
            </w:r>
            <w:r w:rsidR="00F81995">
              <w:rPr>
                <w:rFonts w:asciiTheme="majorHAnsi" w:hAnsiTheme="majorHAnsi" w:cs="Arial"/>
                <w:b w:val="0"/>
                <w:sz w:val="20"/>
                <w:szCs w:val="20"/>
                <w:lang w:val="fr-CA"/>
              </w:rPr>
              <w:t>adaptés à</w:t>
            </w:r>
            <w:r w:rsidR="005C7A49">
              <w:rPr>
                <w:rFonts w:asciiTheme="majorHAnsi" w:hAnsiTheme="majorHAnsi" w:cs="Arial"/>
                <w:b w:val="0"/>
                <w:sz w:val="20"/>
                <w:szCs w:val="20"/>
                <w:lang w:val="fr-CA"/>
              </w:rPr>
              <w:t xml:space="preserve"> des publics spécifiques (p. ex., </w:t>
            </w:r>
            <w:r w:rsidR="00F81995">
              <w:rPr>
                <w:rFonts w:asciiTheme="majorHAnsi" w:hAnsiTheme="majorHAnsi" w:cs="Arial"/>
                <w:b w:val="0"/>
                <w:sz w:val="20"/>
                <w:szCs w:val="20"/>
                <w:lang w:val="fr-CA"/>
              </w:rPr>
              <w:t>documents</w:t>
            </w:r>
            <w:r w:rsidR="005C7A49">
              <w:rPr>
                <w:rFonts w:asciiTheme="majorHAnsi" w:hAnsiTheme="majorHAnsi" w:cs="Arial"/>
                <w:b w:val="0"/>
                <w:sz w:val="20"/>
                <w:szCs w:val="20"/>
                <w:lang w:val="fr-CA"/>
              </w:rPr>
              <w:t xml:space="preserve"> d’orientation</w:t>
            </w:r>
            <w:r w:rsidR="00F81995">
              <w:rPr>
                <w:rFonts w:asciiTheme="majorHAnsi" w:hAnsiTheme="majorHAnsi" w:cs="Arial"/>
                <w:b w:val="0"/>
                <w:sz w:val="20"/>
                <w:szCs w:val="20"/>
                <w:lang w:val="fr-CA"/>
              </w:rPr>
              <w:t>,</w:t>
            </w:r>
            <w:r w:rsidR="005C7A49">
              <w:rPr>
                <w:rFonts w:asciiTheme="majorHAnsi" w:hAnsiTheme="majorHAnsi" w:cs="Arial"/>
                <w:b w:val="0"/>
                <w:sz w:val="20"/>
                <w:szCs w:val="20"/>
                <w:lang w:val="fr-CA"/>
              </w:rPr>
              <w:t xml:space="preserve"> notes d’information), sous réserve des ressources disponibles. </w:t>
            </w:r>
          </w:p>
          <w:p w14:paraId="57F08326" w14:textId="77777777" w:rsidR="003B6083" w:rsidRPr="000B0E5D" w:rsidRDefault="003B6083" w:rsidP="000B0E5D">
            <w:pPr>
              <w:keepNext/>
              <w:keepLines/>
              <w:rPr>
                <w:rFonts w:asciiTheme="majorHAnsi" w:hAnsiTheme="majorHAnsi" w:cs="Arial"/>
                <w:b w:val="0"/>
                <w:sz w:val="20"/>
                <w:szCs w:val="20"/>
                <w:lang w:val="fr-CA"/>
              </w:rPr>
            </w:pPr>
          </w:p>
          <w:p w14:paraId="40E43AB2" w14:textId="22B20CE1" w:rsidR="003B6083" w:rsidRPr="000B0E5D" w:rsidRDefault="005C7A49" w:rsidP="005C7A49">
            <w:pPr>
              <w:keepNext/>
              <w:keepLines/>
              <w:rPr>
                <w:rFonts w:asciiTheme="majorHAnsi" w:hAnsiTheme="majorHAnsi" w:cs="Arial"/>
                <w:b w:val="0"/>
                <w:sz w:val="20"/>
                <w:szCs w:val="20"/>
                <w:lang w:val="fr-CA"/>
              </w:rPr>
            </w:pPr>
            <w:r>
              <w:rPr>
                <w:rFonts w:asciiTheme="majorHAnsi" w:hAnsiTheme="majorHAnsi" w:cs="Arial"/>
                <w:b w:val="0"/>
                <w:sz w:val="20"/>
                <w:szCs w:val="20"/>
                <w:u w:val="single"/>
                <w:lang w:val="fr-CA"/>
              </w:rPr>
              <w:t>Public</w:t>
            </w:r>
            <w:r w:rsidR="003B6083" w:rsidRPr="000B0E5D">
              <w:rPr>
                <w:rFonts w:asciiTheme="majorHAnsi" w:hAnsiTheme="majorHAnsi" w:cs="Arial"/>
                <w:b w:val="0"/>
                <w:sz w:val="20"/>
                <w:szCs w:val="20"/>
                <w:u w:val="single"/>
                <w:lang w:val="fr-CA"/>
              </w:rPr>
              <w:t>(s)</w:t>
            </w:r>
            <w:r>
              <w:rPr>
                <w:rFonts w:asciiTheme="majorHAnsi" w:hAnsiTheme="majorHAnsi" w:cs="Arial"/>
                <w:b w:val="0"/>
                <w:sz w:val="20"/>
                <w:szCs w:val="20"/>
                <w:u w:val="single"/>
                <w:lang w:val="fr-CA"/>
              </w:rPr>
              <w:t xml:space="preserve"> ciblé(s)</w:t>
            </w:r>
            <w:r w:rsidRPr="005C7A49">
              <w:rPr>
                <w:rFonts w:asciiTheme="majorHAnsi" w:hAnsiTheme="majorHAnsi" w:cs="Arial"/>
                <w:b w:val="0"/>
                <w:sz w:val="20"/>
                <w:szCs w:val="20"/>
                <w:lang w:val="fr-CA"/>
              </w:rPr>
              <w:t xml:space="preserve"> </w:t>
            </w:r>
            <w:r w:rsidR="003B6083" w:rsidRPr="000B0E5D">
              <w:rPr>
                <w:rFonts w:asciiTheme="majorHAnsi" w:hAnsiTheme="majorHAnsi" w:cs="Arial"/>
                <w:b w:val="0"/>
                <w:sz w:val="20"/>
                <w:szCs w:val="20"/>
                <w:lang w:val="fr-CA"/>
              </w:rPr>
              <w:t xml:space="preserve">: </w:t>
            </w:r>
            <w:r>
              <w:rPr>
                <w:rFonts w:asciiTheme="majorHAnsi" w:hAnsiTheme="majorHAnsi" w:cs="Arial"/>
                <w:b w:val="0"/>
                <w:sz w:val="20"/>
                <w:szCs w:val="20"/>
                <w:lang w:val="fr-CA"/>
              </w:rPr>
              <w:t>Décideurs et praticiens (administrateurs de zones humides et acteurs, y compris administrateurs d’aires protégées et centres</w:t>
            </w:r>
            <w:r w:rsidR="0093570F">
              <w:rPr>
                <w:rFonts w:asciiTheme="majorHAnsi" w:hAnsiTheme="majorHAnsi" w:cs="Arial"/>
                <w:b w:val="0"/>
                <w:sz w:val="20"/>
                <w:szCs w:val="20"/>
                <w:lang w:val="fr-CA"/>
              </w:rPr>
              <w:t xml:space="preserve"> d’éducation aux zones humides).</w:t>
            </w:r>
          </w:p>
        </w:tc>
        <w:tc>
          <w:tcPr>
            <w:tcW w:w="0" w:type="auto"/>
          </w:tcPr>
          <w:p w14:paraId="0EAC9C1A" w14:textId="3144D88C" w:rsidR="003B6083" w:rsidRPr="000B0E5D" w:rsidRDefault="003B6083" w:rsidP="000B0E5D">
            <w:pPr>
              <w:keepNext/>
              <w:keepLines/>
              <w:rPr>
                <w:rFonts w:asciiTheme="majorHAnsi" w:hAnsiTheme="majorHAnsi" w:cs="Arial"/>
                <w:b w:val="0"/>
                <w:sz w:val="20"/>
                <w:szCs w:val="20"/>
                <w:lang w:val="fr-CA"/>
              </w:rPr>
            </w:pPr>
            <w:r w:rsidRPr="000B0E5D">
              <w:rPr>
                <w:rFonts w:asciiTheme="majorHAnsi" w:hAnsiTheme="majorHAnsi" w:cs="Arial"/>
                <w:b w:val="0"/>
                <w:sz w:val="20"/>
                <w:szCs w:val="20"/>
                <w:lang w:val="fr-CA"/>
              </w:rPr>
              <w:t>137</w:t>
            </w:r>
            <w:r w:rsidR="005C7A49">
              <w:rPr>
                <w:rFonts w:asciiTheme="majorHAnsi" w:hAnsiTheme="majorHAnsi" w:cs="Arial"/>
                <w:b w:val="0"/>
                <w:sz w:val="20"/>
                <w:szCs w:val="20"/>
                <w:lang w:val="fr-CA"/>
              </w:rPr>
              <w:t xml:space="preserve"> </w:t>
            </w:r>
            <w:r w:rsidRPr="000B0E5D">
              <w:rPr>
                <w:rFonts w:asciiTheme="majorHAnsi" w:hAnsiTheme="majorHAnsi" w:cs="Arial"/>
                <w:b w:val="0"/>
                <w:sz w:val="20"/>
                <w:szCs w:val="20"/>
                <w:lang w:val="fr-CA"/>
              </w:rPr>
              <w:t xml:space="preserve">000 </w:t>
            </w:r>
          </w:p>
          <w:p w14:paraId="0EED5855" w14:textId="0174293F" w:rsidR="003B6083" w:rsidRPr="000B0E5D" w:rsidRDefault="003B6083" w:rsidP="000B0E5D">
            <w:pPr>
              <w:keepNext/>
              <w:keepLines/>
              <w:rPr>
                <w:rFonts w:asciiTheme="majorHAnsi" w:hAnsiTheme="majorHAnsi" w:cs="Arial"/>
                <w:b w:val="0"/>
                <w:sz w:val="20"/>
                <w:szCs w:val="20"/>
                <w:lang w:val="fr-CA"/>
              </w:rPr>
            </w:pPr>
            <w:r w:rsidRPr="000B0E5D">
              <w:rPr>
                <w:rFonts w:asciiTheme="majorHAnsi" w:hAnsiTheme="majorHAnsi" w:cs="Arial"/>
                <w:b w:val="0"/>
                <w:sz w:val="20"/>
                <w:szCs w:val="20"/>
                <w:lang w:val="fr-CA"/>
              </w:rPr>
              <w:t>[67</w:t>
            </w:r>
            <w:r w:rsidR="005C7A49">
              <w:rPr>
                <w:rFonts w:asciiTheme="majorHAnsi" w:hAnsiTheme="majorHAnsi" w:cs="Arial"/>
                <w:b w:val="0"/>
                <w:sz w:val="20"/>
                <w:szCs w:val="20"/>
                <w:lang w:val="fr-CA"/>
              </w:rPr>
              <w:t xml:space="preserve"> </w:t>
            </w:r>
            <w:r w:rsidRPr="000B0E5D">
              <w:rPr>
                <w:rFonts w:asciiTheme="majorHAnsi" w:hAnsiTheme="majorHAnsi" w:cs="Arial"/>
                <w:b w:val="0"/>
                <w:sz w:val="20"/>
                <w:szCs w:val="20"/>
                <w:lang w:val="fr-CA"/>
              </w:rPr>
              <w:t xml:space="preserve">000 </w:t>
            </w:r>
            <w:r w:rsidR="005C7A49">
              <w:rPr>
                <w:rFonts w:asciiTheme="majorHAnsi" w:hAnsiTheme="majorHAnsi" w:cs="Arial"/>
                <w:b w:val="0"/>
                <w:sz w:val="20"/>
                <w:szCs w:val="20"/>
                <w:lang w:val="fr-CA"/>
              </w:rPr>
              <w:t>pour la mise en pages, la conception, la révision, la traduction et la publication; 2</w:t>
            </w:r>
            <w:r w:rsidRPr="000B0E5D">
              <w:rPr>
                <w:rFonts w:asciiTheme="majorHAnsi" w:hAnsiTheme="majorHAnsi" w:cs="Arial"/>
                <w:b w:val="0"/>
                <w:sz w:val="20"/>
                <w:szCs w:val="20"/>
                <w:lang w:val="fr-CA"/>
              </w:rPr>
              <w:t>0</w:t>
            </w:r>
            <w:r w:rsidR="005C7A49">
              <w:rPr>
                <w:rFonts w:asciiTheme="majorHAnsi" w:hAnsiTheme="majorHAnsi" w:cs="Arial"/>
                <w:b w:val="0"/>
                <w:sz w:val="20"/>
                <w:szCs w:val="20"/>
                <w:lang w:val="fr-CA"/>
              </w:rPr>
              <w:t> </w:t>
            </w:r>
            <w:r w:rsidRPr="000B0E5D">
              <w:rPr>
                <w:rFonts w:asciiTheme="majorHAnsi" w:hAnsiTheme="majorHAnsi" w:cs="Arial"/>
                <w:b w:val="0"/>
                <w:sz w:val="20"/>
                <w:szCs w:val="20"/>
                <w:lang w:val="fr-CA"/>
              </w:rPr>
              <w:t>0</w:t>
            </w:r>
            <w:r w:rsidR="005C7A49">
              <w:rPr>
                <w:rFonts w:asciiTheme="majorHAnsi" w:hAnsiTheme="majorHAnsi" w:cs="Arial"/>
                <w:b w:val="0"/>
                <w:sz w:val="20"/>
                <w:szCs w:val="20"/>
                <w:lang w:val="fr-CA"/>
              </w:rPr>
              <w:t>00 pour les réunions d’auteurs; et 50 000 pour la mise à jour de l’</w:t>
            </w:r>
            <w:r w:rsidR="00F81995">
              <w:rPr>
                <w:rFonts w:asciiTheme="majorHAnsi" w:hAnsiTheme="majorHAnsi" w:cs="Arial"/>
                <w:b w:val="0"/>
                <w:sz w:val="20"/>
                <w:szCs w:val="20"/>
                <w:lang w:val="fr-CA"/>
              </w:rPr>
              <w:t>i</w:t>
            </w:r>
            <w:r w:rsidR="005C7A49">
              <w:rPr>
                <w:rFonts w:asciiTheme="majorHAnsi" w:hAnsiTheme="majorHAnsi" w:cs="Arial"/>
                <w:b w:val="0"/>
                <w:sz w:val="20"/>
                <w:szCs w:val="20"/>
                <w:lang w:val="fr-CA"/>
              </w:rPr>
              <w:t>ndice WET</w:t>
            </w:r>
            <w:r w:rsidRPr="000B0E5D">
              <w:rPr>
                <w:rFonts w:asciiTheme="majorHAnsi" w:hAnsiTheme="majorHAnsi" w:cs="Arial"/>
                <w:b w:val="0"/>
                <w:sz w:val="20"/>
                <w:szCs w:val="20"/>
                <w:lang w:val="fr-CA"/>
              </w:rPr>
              <w:t>]</w:t>
            </w:r>
          </w:p>
          <w:p w14:paraId="426261E9" w14:textId="77777777" w:rsidR="003B6083" w:rsidRPr="000B0E5D" w:rsidRDefault="003B6083" w:rsidP="000B0E5D">
            <w:pPr>
              <w:keepNext/>
              <w:keepLines/>
              <w:rPr>
                <w:rFonts w:asciiTheme="majorHAnsi" w:hAnsiTheme="majorHAnsi" w:cs="Arial"/>
                <w:b w:val="0"/>
                <w:sz w:val="20"/>
                <w:szCs w:val="20"/>
                <w:lang w:val="fr-CA"/>
              </w:rPr>
            </w:pPr>
          </w:p>
        </w:tc>
      </w:tr>
      <w:tr w:rsidR="00ED4DA2" w:rsidRPr="00833360" w14:paraId="3372BA7C" w14:textId="77777777" w:rsidTr="007A5771">
        <w:tc>
          <w:tcPr>
            <w:tcW w:w="0" w:type="auto"/>
          </w:tcPr>
          <w:p w14:paraId="336118BA" w14:textId="441B339A" w:rsidR="003B6083" w:rsidRPr="000B0E5D" w:rsidRDefault="00676F53" w:rsidP="00676F53">
            <w:pPr>
              <w:rPr>
                <w:rFonts w:asciiTheme="majorHAnsi" w:hAnsiTheme="majorHAnsi" w:cs="Arial"/>
                <w:b w:val="0"/>
                <w:sz w:val="20"/>
                <w:szCs w:val="20"/>
                <w:lang w:val="fr-CA"/>
              </w:rPr>
            </w:pPr>
            <w:r>
              <w:rPr>
                <w:rFonts w:asciiTheme="majorHAnsi" w:hAnsiTheme="majorHAnsi" w:cs="Arial"/>
                <w:b w:val="0"/>
                <w:sz w:val="20"/>
                <w:szCs w:val="20"/>
                <w:lang w:val="fr-CA"/>
              </w:rPr>
              <w:t xml:space="preserve">Répondre à des demandes d’avis ou de contributions du Secrétariat et du Comité permanent </w:t>
            </w:r>
          </w:p>
        </w:tc>
        <w:tc>
          <w:tcPr>
            <w:tcW w:w="0" w:type="auto"/>
          </w:tcPr>
          <w:p w14:paraId="2EFE6BF1" w14:textId="3CA8DA04" w:rsidR="003B6083" w:rsidRPr="000B0E5D" w:rsidRDefault="003B6083" w:rsidP="004B32FB">
            <w:pPr>
              <w:rPr>
                <w:rFonts w:asciiTheme="majorHAnsi" w:hAnsiTheme="majorHAnsi" w:cs="Arial"/>
                <w:b w:val="0"/>
                <w:sz w:val="20"/>
                <w:szCs w:val="20"/>
                <w:lang w:val="fr-CA"/>
              </w:rPr>
            </w:pPr>
            <w:r w:rsidRPr="000B0E5D">
              <w:rPr>
                <w:rFonts w:asciiTheme="majorHAnsi" w:hAnsiTheme="majorHAnsi" w:cs="Arial"/>
                <w:b w:val="0"/>
                <w:sz w:val="20"/>
                <w:szCs w:val="20"/>
                <w:lang w:val="fr-CA"/>
              </w:rPr>
              <w:t xml:space="preserve">XII.5, </w:t>
            </w:r>
            <w:r w:rsidR="004B32FB">
              <w:rPr>
                <w:rFonts w:asciiTheme="majorHAnsi" w:hAnsiTheme="majorHAnsi" w:cs="Arial"/>
                <w:b w:val="0"/>
                <w:sz w:val="20"/>
                <w:szCs w:val="20"/>
                <w:lang w:val="fr-CA"/>
              </w:rPr>
              <w:t>a</w:t>
            </w:r>
            <w:r w:rsidRPr="000B0E5D">
              <w:rPr>
                <w:rFonts w:asciiTheme="majorHAnsi" w:hAnsiTheme="majorHAnsi" w:cs="Arial"/>
                <w:b w:val="0"/>
                <w:sz w:val="20"/>
                <w:szCs w:val="20"/>
                <w:lang w:val="fr-CA"/>
              </w:rPr>
              <w:t>nnex</w:t>
            </w:r>
            <w:r w:rsidR="00676F53">
              <w:rPr>
                <w:rFonts w:asciiTheme="majorHAnsi" w:hAnsiTheme="majorHAnsi" w:cs="Arial"/>
                <w:b w:val="0"/>
                <w:sz w:val="20"/>
                <w:szCs w:val="20"/>
                <w:lang w:val="fr-CA"/>
              </w:rPr>
              <w:t>e</w:t>
            </w:r>
            <w:r w:rsidRPr="000B0E5D">
              <w:rPr>
                <w:rFonts w:asciiTheme="majorHAnsi" w:hAnsiTheme="majorHAnsi" w:cs="Arial"/>
                <w:b w:val="0"/>
                <w:sz w:val="20"/>
                <w:szCs w:val="20"/>
                <w:lang w:val="fr-CA"/>
              </w:rPr>
              <w:t xml:space="preserve"> 1, </w:t>
            </w:r>
            <w:r w:rsidRPr="000B0E5D">
              <w:rPr>
                <w:rFonts w:ascii="Calibri" w:hAnsi="Calibri" w:cs="Arial"/>
                <w:b w:val="0"/>
                <w:sz w:val="20"/>
                <w:szCs w:val="20"/>
                <w:lang w:val="fr-CA"/>
              </w:rPr>
              <w:t>¶¶ 1-2; 12 (iii), (v); 15</w:t>
            </w:r>
          </w:p>
        </w:tc>
        <w:tc>
          <w:tcPr>
            <w:tcW w:w="0" w:type="auto"/>
          </w:tcPr>
          <w:p w14:paraId="717FC441" w14:textId="77777777" w:rsidR="003B6083" w:rsidRPr="000B0E5D" w:rsidRDefault="003B6083" w:rsidP="007A5771">
            <w:pPr>
              <w:rPr>
                <w:rFonts w:asciiTheme="majorHAnsi" w:hAnsiTheme="majorHAnsi" w:cs="Arial"/>
                <w:b w:val="0"/>
                <w:sz w:val="20"/>
                <w:szCs w:val="20"/>
                <w:lang w:val="fr-CA"/>
              </w:rPr>
            </w:pPr>
            <w:r w:rsidRPr="000B0E5D">
              <w:rPr>
                <w:rFonts w:asciiTheme="majorHAnsi" w:hAnsiTheme="majorHAnsi" w:cs="Arial"/>
                <w:b w:val="0"/>
                <w:sz w:val="20"/>
                <w:szCs w:val="20"/>
                <w:lang w:val="fr-CA"/>
              </w:rPr>
              <w:t>4.14</w:t>
            </w:r>
          </w:p>
        </w:tc>
        <w:tc>
          <w:tcPr>
            <w:tcW w:w="0" w:type="auto"/>
          </w:tcPr>
          <w:p w14:paraId="4D98EB4C" w14:textId="242D47AB" w:rsidR="003B6083" w:rsidRPr="000B0E5D" w:rsidRDefault="00676F53" w:rsidP="00506C10">
            <w:pPr>
              <w:rPr>
                <w:rFonts w:asciiTheme="majorHAnsi" w:hAnsiTheme="majorHAnsi" w:cs="Arial"/>
                <w:sz w:val="20"/>
                <w:szCs w:val="20"/>
                <w:lang w:val="fr-CA"/>
              </w:rPr>
            </w:pPr>
            <w:r>
              <w:rPr>
                <w:rFonts w:asciiTheme="majorHAnsi" w:hAnsiTheme="majorHAnsi" w:cs="Arial"/>
                <w:b w:val="0"/>
                <w:sz w:val="20"/>
                <w:szCs w:val="20"/>
                <w:lang w:val="fr-CA"/>
              </w:rPr>
              <w:t>Cela peut comprendre, entre autres, des avis au Secrétariat sur le Programme de CESP, les indicateurs du 4</w:t>
            </w:r>
            <w:r w:rsidRPr="00676F53">
              <w:rPr>
                <w:rFonts w:asciiTheme="majorHAnsi" w:hAnsiTheme="majorHAnsi" w:cs="Arial"/>
                <w:b w:val="0"/>
                <w:sz w:val="20"/>
                <w:szCs w:val="20"/>
                <w:vertAlign w:val="superscript"/>
                <w:lang w:val="fr-CA"/>
              </w:rPr>
              <w:t>e</w:t>
            </w:r>
            <w:r>
              <w:rPr>
                <w:rFonts w:asciiTheme="majorHAnsi" w:hAnsiTheme="majorHAnsi" w:cs="Arial"/>
                <w:b w:val="0"/>
                <w:sz w:val="20"/>
                <w:szCs w:val="20"/>
                <w:lang w:val="fr-CA"/>
              </w:rPr>
              <w:t> Plan stratégique, la révision des Manuels Ramsar</w:t>
            </w:r>
            <w:r w:rsidR="008E6B37">
              <w:rPr>
                <w:rFonts w:asciiTheme="majorHAnsi" w:hAnsiTheme="majorHAnsi" w:cs="Arial"/>
                <w:b w:val="0"/>
                <w:sz w:val="20"/>
                <w:szCs w:val="20"/>
                <w:lang w:val="fr-CA"/>
              </w:rPr>
              <w:t>,</w:t>
            </w:r>
            <w:r w:rsidR="00506C10">
              <w:rPr>
                <w:rFonts w:asciiTheme="majorHAnsi" w:hAnsiTheme="majorHAnsi" w:cs="Arial"/>
                <w:b w:val="0"/>
                <w:sz w:val="20"/>
                <w:szCs w:val="20"/>
                <w:lang w:val="fr-CA"/>
              </w:rPr>
              <w:t xml:space="preserve"> la participation au</w:t>
            </w:r>
            <w:r>
              <w:rPr>
                <w:rFonts w:asciiTheme="majorHAnsi" w:hAnsiTheme="majorHAnsi" w:cs="Arial"/>
                <w:b w:val="0"/>
                <w:sz w:val="20"/>
                <w:szCs w:val="20"/>
                <w:lang w:val="fr-CA"/>
              </w:rPr>
              <w:t xml:space="preserve"> développement du Système mondial d’observation des zones humides </w:t>
            </w:r>
            <w:r w:rsidR="003B6083" w:rsidRPr="000B0E5D">
              <w:rPr>
                <w:rFonts w:asciiTheme="majorHAnsi" w:hAnsiTheme="majorHAnsi" w:cs="Arial"/>
                <w:b w:val="0"/>
                <w:sz w:val="20"/>
                <w:szCs w:val="20"/>
                <w:lang w:val="fr-CA"/>
              </w:rPr>
              <w:t xml:space="preserve">(GWOS), </w:t>
            </w:r>
            <w:r>
              <w:rPr>
                <w:rFonts w:asciiTheme="majorHAnsi" w:hAnsiTheme="majorHAnsi" w:cs="Arial"/>
                <w:b w:val="0"/>
                <w:sz w:val="20"/>
                <w:szCs w:val="20"/>
                <w:lang w:val="fr-CA"/>
              </w:rPr>
              <w:t xml:space="preserve">la </w:t>
            </w:r>
            <w:r w:rsidR="003B6083" w:rsidRPr="000B0E5D">
              <w:rPr>
                <w:rFonts w:asciiTheme="majorHAnsi" w:hAnsiTheme="majorHAnsi" w:cs="Arial"/>
                <w:b w:val="0"/>
                <w:sz w:val="20"/>
                <w:szCs w:val="20"/>
                <w:lang w:val="fr-CA"/>
              </w:rPr>
              <w:lastRenderedPageBreak/>
              <w:t xml:space="preserve">collaboration </w:t>
            </w:r>
            <w:r>
              <w:rPr>
                <w:rFonts w:asciiTheme="majorHAnsi" w:hAnsiTheme="majorHAnsi" w:cs="Arial"/>
                <w:b w:val="0"/>
                <w:sz w:val="20"/>
                <w:szCs w:val="20"/>
                <w:lang w:val="fr-CA"/>
              </w:rPr>
              <w:t xml:space="preserve">avec le Partenariat pour l’environnement et la prévention des risques de catastrophe </w:t>
            </w:r>
            <w:r w:rsidR="003B6083" w:rsidRPr="000B0E5D">
              <w:rPr>
                <w:rFonts w:asciiTheme="majorHAnsi" w:hAnsiTheme="majorHAnsi" w:cs="Arial"/>
                <w:b w:val="0"/>
                <w:sz w:val="20"/>
                <w:szCs w:val="20"/>
                <w:lang w:val="fr-CA"/>
              </w:rPr>
              <w:t>(PE</w:t>
            </w:r>
            <w:r>
              <w:rPr>
                <w:rFonts w:asciiTheme="majorHAnsi" w:hAnsiTheme="majorHAnsi" w:cs="Arial"/>
                <w:b w:val="0"/>
                <w:sz w:val="20"/>
                <w:szCs w:val="20"/>
                <w:lang w:val="fr-CA"/>
              </w:rPr>
              <w:t>PRC</w:t>
            </w:r>
            <w:r w:rsidR="003B6083" w:rsidRPr="000B0E5D">
              <w:rPr>
                <w:rFonts w:asciiTheme="majorHAnsi" w:hAnsiTheme="majorHAnsi" w:cs="Arial"/>
                <w:b w:val="0"/>
                <w:sz w:val="20"/>
                <w:szCs w:val="20"/>
                <w:lang w:val="fr-CA"/>
              </w:rPr>
              <w:t xml:space="preserve">) </w:t>
            </w:r>
            <w:r>
              <w:rPr>
                <w:rFonts w:asciiTheme="majorHAnsi" w:hAnsiTheme="majorHAnsi" w:cs="Arial"/>
                <w:b w:val="0"/>
                <w:sz w:val="20"/>
                <w:szCs w:val="20"/>
                <w:lang w:val="fr-CA"/>
              </w:rPr>
              <w:t xml:space="preserve">et la simplification et la reformulation des orientations existantes sur la gestion des Sites Ramsar pour la production d’un manuel simplifié, etc. </w:t>
            </w:r>
          </w:p>
        </w:tc>
        <w:tc>
          <w:tcPr>
            <w:tcW w:w="0" w:type="auto"/>
          </w:tcPr>
          <w:p w14:paraId="7E879BD8" w14:textId="7BF16C02" w:rsidR="003B6083" w:rsidRPr="000B0E5D" w:rsidRDefault="00676F53" w:rsidP="00676F53">
            <w:pPr>
              <w:rPr>
                <w:rFonts w:asciiTheme="majorHAnsi" w:hAnsiTheme="majorHAnsi" w:cs="Arial"/>
                <w:b w:val="0"/>
                <w:sz w:val="20"/>
                <w:szCs w:val="20"/>
                <w:lang w:val="fr-CA"/>
              </w:rPr>
            </w:pPr>
            <w:r>
              <w:rPr>
                <w:rFonts w:asciiTheme="majorHAnsi" w:hAnsiTheme="majorHAnsi" w:cs="Arial"/>
                <w:b w:val="0"/>
                <w:sz w:val="20"/>
                <w:szCs w:val="20"/>
                <w:lang w:val="fr-CA"/>
              </w:rPr>
              <w:lastRenderedPageBreak/>
              <w:t xml:space="preserve">Pas d’incidences financières pour le budget du GEST. Les avis sont fournis à titre bénévole. </w:t>
            </w:r>
          </w:p>
        </w:tc>
      </w:tr>
      <w:tr w:rsidR="00ED4DA2" w:rsidRPr="00833360" w14:paraId="74DED2E0" w14:textId="77777777" w:rsidTr="007A5771">
        <w:tc>
          <w:tcPr>
            <w:tcW w:w="0" w:type="auto"/>
          </w:tcPr>
          <w:p w14:paraId="5368FB31" w14:textId="48964FE1" w:rsidR="003B6083" w:rsidRPr="000B0E5D" w:rsidRDefault="00676F53" w:rsidP="007A5771">
            <w:pPr>
              <w:rPr>
                <w:rFonts w:asciiTheme="majorHAnsi" w:hAnsiTheme="majorHAnsi" w:cs="Arial"/>
                <w:b w:val="0"/>
                <w:sz w:val="20"/>
                <w:szCs w:val="20"/>
                <w:lang w:val="fr-CA"/>
              </w:rPr>
            </w:pPr>
            <w:r>
              <w:rPr>
                <w:rFonts w:asciiTheme="majorHAnsi" w:hAnsiTheme="majorHAnsi" w:cs="Arial"/>
                <w:b w:val="0"/>
                <w:sz w:val="20"/>
                <w:szCs w:val="20"/>
                <w:lang w:val="fr-CA"/>
              </w:rPr>
              <w:lastRenderedPageBreak/>
              <w:t>Rédaction ou participation à la rédaction de projets de résolution</w:t>
            </w:r>
            <w:r w:rsidR="00C8217C">
              <w:rPr>
                <w:rFonts w:asciiTheme="majorHAnsi" w:hAnsiTheme="majorHAnsi" w:cs="Arial"/>
                <w:b w:val="0"/>
                <w:sz w:val="20"/>
                <w:szCs w:val="20"/>
                <w:lang w:val="fr-CA"/>
              </w:rPr>
              <w:t>s</w:t>
            </w:r>
            <w:r>
              <w:rPr>
                <w:rFonts w:asciiTheme="majorHAnsi" w:hAnsiTheme="majorHAnsi" w:cs="Arial"/>
                <w:b w:val="0"/>
                <w:sz w:val="20"/>
                <w:szCs w:val="20"/>
                <w:lang w:val="fr-CA"/>
              </w:rPr>
              <w:t xml:space="preserve"> </w:t>
            </w:r>
          </w:p>
          <w:p w14:paraId="7D795FF6" w14:textId="77777777" w:rsidR="003B6083" w:rsidRPr="000B0E5D" w:rsidRDefault="003B6083" w:rsidP="007A5771">
            <w:pPr>
              <w:rPr>
                <w:rFonts w:asciiTheme="majorHAnsi" w:hAnsiTheme="majorHAnsi" w:cs="Arial"/>
                <w:b w:val="0"/>
                <w:sz w:val="20"/>
                <w:szCs w:val="20"/>
                <w:lang w:val="fr-CA"/>
              </w:rPr>
            </w:pPr>
          </w:p>
        </w:tc>
        <w:tc>
          <w:tcPr>
            <w:tcW w:w="0" w:type="auto"/>
          </w:tcPr>
          <w:p w14:paraId="3463666A" w14:textId="52245471" w:rsidR="003B6083" w:rsidRPr="000B0E5D" w:rsidRDefault="003B6083" w:rsidP="007A5771">
            <w:pPr>
              <w:rPr>
                <w:rFonts w:asciiTheme="majorHAnsi" w:hAnsiTheme="majorHAnsi" w:cs="Arial"/>
                <w:sz w:val="20"/>
                <w:szCs w:val="20"/>
                <w:lang w:val="fr-CA"/>
              </w:rPr>
            </w:pPr>
            <w:r w:rsidRPr="000B0E5D">
              <w:rPr>
                <w:rFonts w:asciiTheme="majorHAnsi" w:hAnsiTheme="majorHAnsi" w:cs="Arial"/>
                <w:b w:val="0"/>
                <w:sz w:val="20"/>
                <w:szCs w:val="20"/>
                <w:lang w:val="fr-CA"/>
              </w:rPr>
              <w:t xml:space="preserve">XII.5, </w:t>
            </w:r>
            <w:r w:rsidR="004B32FB">
              <w:rPr>
                <w:rFonts w:asciiTheme="majorHAnsi" w:hAnsiTheme="majorHAnsi" w:cs="Arial"/>
                <w:b w:val="0"/>
                <w:sz w:val="20"/>
                <w:szCs w:val="20"/>
                <w:lang w:val="fr-CA"/>
              </w:rPr>
              <w:t>annexe</w:t>
            </w:r>
            <w:r w:rsidRPr="000B0E5D">
              <w:rPr>
                <w:rFonts w:asciiTheme="majorHAnsi" w:hAnsiTheme="majorHAnsi" w:cs="Arial"/>
                <w:b w:val="0"/>
                <w:sz w:val="20"/>
                <w:szCs w:val="20"/>
                <w:lang w:val="fr-CA"/>
              </w:rPr>
              <w:t xml:space="preserve"> 1, </w:t>
            </w:r>
            <w:r w:rsidRPr="000B0E5D">
              <w:rPr>
                <w:rFonts w:ascii="Calibri" w:hAnsi="Calibri" w:cs="Arial"/>
                <w:b w:val="0"/>
                <w:sz w:val="20"/>
                <w:szCs w:val="20"/>
                <w:lang w:val="fr-CA"/>
              </w:rPr>
              <w:t>¶¶ 1-2, 12 (iii)</w:t>
            </w:r>
          </w:p>
        </w:tc>
        <w:tc>
          <w:tcPr>
            <w:tcW w:w="0" w:type="auto"/>
          </w:tcPr>
          <w:p w14:paraId="645CC8B2" w14:textId="77777777" w:rsidR="003B6083" w:rsidRPr="000B0E5D" w:rsidRDefault="003B6083" w:rsidP="007A5771">
            <w:pPr>
              <w:rPr>
                <w:rFonts w:asciiTheme="majorHAnsi" w:hAnsiTheme="majorHAnsi" w:cs="Arial"/>
                <w:sz w:val="20"/>
                <w:szCs w:val="20"/>
                <w:lang w:val="fr-CA"/>
              </w:rPr>
            </w:pPr>
            <w:r w:rsidRPr="000B0E5D">
              <w:rPr>
                <w:rFonts w:asciiTheme="majorHAnsi" w:hAnsiTheme="majorHAnsi" w:cs="Arial"/>
                <w:b w:val="0"/>
                <w:sz w:val="20"/>
                <w:szCs w:val="20"/>
                <w:lang w:val="fr-CA"/>
              </w:rPr>
              <w:t>4.14</w:t>
            </w:r>
          </w:p>
        </w:tc>
        <w:tc>
          <w:tcPr>
            <w:tcW w:w="0" w:type="auto"/>
          </w:tcPr>
          <w:p w14:paraId="568C4CD9" w14:textId="49833ECF" w:rsidR="003B6083" w:rsidRPr="000B0E5D" w:rsidRDefault="00676F53" w:rsidP="00676F53">
            <w:pPr>
              <w:rPr>
                <w:rFonts w:asciiTheme="majorHAnsi" w:hAnsiTheme="majorHAnsi" w:cs="Arial"/>
                <w:sz w:val="20"/>
                <w:szCs w:val="20"/>
                <w:lang w:val="fr-CA"/>
              </w:rPr>
            </w:pPr>
            <w:r>
              <w:rPr>
                <w:rFonts w:asciiTheme="majorHAnsi" w:hAnsiTheme="majorHAnsi" w:cs="Arial"/>
                <w:b w:val="0"/>
                <w:sz w:val="20"/>
                <w:szCs w:val="20"/>
                <w:lang w:val="fr-CA"/>
              </w:rPr>
              <w:t>Le GEST peut rédiger, à la demande des Parties contractantes, un projet de résolution ou fournir une contribution à des projets de résolution</w:t>
            </w:r>
            <w:r w:rsidR="00C8217C">
              <w:rPr>
                <w:rFonts w:asciiTheme="majorHAnsi" w:hAnsiTheme="majorHAnsi" w:cs="Arial"/>
                <w:b w:val="0"/>
                <w:sz w:val="20"/>
                <w:szCs w:val="20"/>
                <w:lang w:val="fr-CA"/>
              </w:rPr>
              <w:t>s</w:t>
            </w:r>
            <w:r>
              <w:rPr>
                <w:rFonts w:asciiTheme="majorHAnsi" w:hAnsiTheme="majorHAnsi" w:cs="Arial"/>
                <w:b w:val="0"/>
                <w:sz w:val="20"/>
                <w:szCs w:val="20"/>
                <w:lang w:val="fr-CA"/>
              </w:rPr>
              <w:t xml:space="preserve"> soumis à la COP par les Parties contractantes. </w:t>
            </w:r>
          </w:p>
        </w:tc>
        <w:tc>
          <w:tcPr>
            <w:tcW w:w="0" w:type="auto"/>
          </w:tcPr>
          <w:p w14:paraId="5F6D0828" w14:textId="2113B0A0" w:rsidR="003B6083" w:rsidRPr="000B0E5D" w:rsidRDefault="00676F53" w:rsidP="007A5771">
            <w:pPr>
              <w:rPr>
                <w:rFonts w:asciiTheme="majorHAnsi" w:hAnsiTheme="majorHAnsi" w:cs="Arial"/>
                <w:b w:val="0"/>
                <w:sz w:val="20"/>
                <w:szCs w:val="20"/>
                <w:lang w:val="fr-CA"/>
              </w:rPr>
            </w:pPr>
            <w:r>
              <w:rPr>
                <w:rFonts w:asciiTheme="majorHAnsi" w:hAnsiTheme="majorHAnsi" w:cs="Arial"/>
                <w:b w:val="0"/>
                <w:sz w:val="20"/>
                <w:szCs w:val="20"/>
                <w:lang w:val="fr-CA"/>
              </w:rPr>
              <w:t>Pas d’incidences financières pour le budget du GEST. Les avis sont fournis à titre bénévole</w:t>
            </w:r>
            <w:r w:rsidR="003B6083" w:rsidRPr="000B0E5D">
              <w:rPr>
                <w:rFonts w:asciiTheme="majorHAnsi" w:hAnsiTheme="majorHAnsi" w:cs="Arial"/>
                <w:b w:val="0"/>
                <w:sz w:val="20"/>
                <w:szCs w:val="20"/>
                <w:lang w:val="fr-CA"/>
              </w:rPr>
              <w:t>.</w:t>
            </w:r>
          </w:p>
        </w:tc>
      </w:tr>
      <w:tr w:rsidR="00ED4DA2" w:rsidRPr="00833360" w14:paraId="7EE23F0A" w14:textId="77777777" w:rsidTr="007A5771">
        <w:tc>
          <w:tcPr>
            <w:tcW w:w="0" w:type="auto"/>
          </w:tcPr>
          <w:p w14:paraId="234CCE3E" w14:textId="102E3057" w:rsidR="003B6083" w:rsidRPr="000B0E5D" w:rsidRDefault="00ED4DA2" w:rsidP="00C8217C">
            <w:pPr>
              <w:rPr>
                <w:rFonts w:asciiTheme="majorHAnsi" w:hAnsiTheme="majorHAnsi" w:cs="Arial"/>
                <w:b w:val="0"/>
                <w:sz w:val="20"/>
                <w:szCs w:val="20"/>
                <w:lang w:val="fr-CA"/>
              </w:rPr>
            </w:pPr>
            <w:r>
              <w:rPr>
                <w:rFonts w:asciiTheme="majorHAnsi" w:hAnsiTheme="majorHAnsi" w:cs="Arial"/>
                <w:b w:val="0"/>
                <w:sz w:val="20"/>
                <w:szCs w:val="20"/>
                <w:lang w:val="fr-CA"/>
              </w:rPr>
              <w:t xml:space="preserve">Répondre aux demandes </w:t>
            </w:r>
            <w:r w:rsidR="00C8217C">
              <w:rPr>
                <w:rFonts w:asciiTheme="majorHAnsi" w:hAnsiTheme="majorHAnsi" w:cs="Arial"/>
                <w:b w:val="0"/>
                <w:sz w:val="20"/>
                <w:szCs w:val="20"/>
                <w:lang w:val="fr-CA"/>
              </w:rPr>
              <w:t xml:space="preserve">d’avis, </w:t>
            </w:r>
            <w:r>
              <w:rPr>
                <w:rFonts w:asciiTheme="majorHAnsi" w:hAnsiTheme="majorHAnsi" w:cs="Arial"/>
                <w:b w:val="0"/>
                <w:sz w:val="20"/>
                <w:szCs w:val="20"/>
                <w:lang w:val="fr-CA"/>
              </w:rPr>
              <w:t>nationales ou régionales</w:t>
            </w:r>
            <w:r w:rsidR="00C8217C">
              <w:rPr>
                <w:rFonts w:asciiTheme="majorHAnsi" w:hAnsiTheme="majorHAnsi" w:cs="Arial"/>
                <w:b w:val="0"/>
                <w:sz w:val="20"/>
                <w:szCs w:val="20"/>
                <w:lang w:val="fr-CA"/>
              </w:rPr>
              <w:t>,</w:t>
            </w:r>
            <w:r>
              <w:rPr>
                <w:rFonts w:asciiTheme="majorHAnsi" w:hAnsiTheme="majorHAnsi" w:cs="Arial"/>
                <w:b w:val="0"/>
                <w:sz w:val="20"/>
                <w:szCs w:val="20"/>
                <w:lang w:val="fr-CA"/>
              </w:rPr>
              <w:t xml:space="preserve"> des Parties contractantes </w:t>
            </w:r>
          </w:p>
        </w:tc>
        <w:tc>
          <w:tcPr>
            <w:tcW w:w="0" w:type="auto"/>
          </w:tcPr>
          <w:p w14:paraId="5490E588" w14:textId="5CB789BF" w:rsidR="003B6083" w:rsidRPr="000B0E5D" w:rsidRDefault="00ED4DA2" w:rsidP="007A5771">
            <w:pPr>
              <w:rPr>
                <w:rFonts w:asciiTheme="majorHAnsi" w:hAnsiTheme="majorHAnsi" w:cs="Arial"/>
                <w:sz w:val="20"/>
                <w:szCs w:val="20"/>
                <w:lang w:val="fr-CA"/>
              </w:rPr>
            </w:pPr>
            <w:r>
              <w:rPr>
                <w:rFonts w:asciiTheme="majorHAnsi" w:hAnsiTheme="majorHAnsi" w:cs="Arial"/>
                <w:b w:val="0"/>
                <w:sz w:val="20"/>
                <w:szCs w:val="20"/>
                <w:lang w:val="fr-CA"/>
              </w:rPr>
              <w:t xml:space="preserve">XII.5, </w:t>
            </w:r>
            <w:r w:rsidR="004B32FB">
              <w:rPr>
                <w:rFonts w:asciiTheme="majorHAnsi" w:hAnsiTheme="majorHAnsi" w:cs="Arial"/>
                <w:b w:val="0"/>
                <w:sz w:val="20"/>
                <w:szCs w:val="20"/>
                <w:lang w:val="fr-CA"/>
              </w:rPr>
              <w:t>annexe</w:t>
            </w:r>
            <w:r>
              <w:rPr>
                <w:rFonts w:asciiTheme="majorHAnsi" w:hAnsiTheme="majorHAnsi" w:cs="Arial"/>
                <w:b w:val="0"/>
                <w:sz w:val="20"/>
                <w:szCs w:val="20"/>
                <w:lang w:val="fr-CA"/>
              </w:rPr>
              <w:t xml:space="preserve"> </w:t>
            </w:r>
            <w:r w:rsidR="003B6083" w:rsidRPr="000B0E5D">
              <w:rPr>
                <w:rFonts w:asciiTheme="majorHAnsi" w:hAnsiTheme="majorHAnsi" w:cs="Arial"/>
                <w:b w:val="0"/>
                <w:sz w:val="20"/>
                <w:szCs w:val="20"/>
                <w:lang w:val="fr-CA"/>
              </w:rPr>
              <w:t xml:space="preserve">1, </w:t>
            </w:r>
            <w:r w:rsidR="003B6083" w:rsidRPr="000B0E5D">
              <w:rPr>
                <w:rFonts w:ascii="Calibri" w:hAnsi="Calibri" w:cs="Arial"/>
                <w:b w:val="0"/>
                <w:sz w:val="20"/>
                <w:szCs w:val="20"/>
                <w:lang w:val="fr-CA"/>
              </w:rPr>
              <w:t>¶¶ 2, 59</w:t>
            </w:r>
          </w:p>
        </w:tc>
        <w:tc>
          <w:tcPr>
            <w:tcW w:w="0" w:type="auto"/>
          </w:tcPr>
          <w:p w14:paraId="55C27769" w14:textId="77777777" w:rsidR="003B6083" w:rsidRPr="000B0E5D" w:rsidRDefault="003B6083" w:rsidP="007A5771">
            <w:pPr>
              <w:rPr>
                <w:rFonts w:asciiTheme="majorHAnsi" w:hAnsiTheme="majorHAnsi" w:cs="Arial"/>
                <w:sz w:val="20"/>
                <w:szCs w:val="20"/>
                <w:lang w:val="fr-CA"/>
              </w:rPr>
            </w:pPr>
            <w:r w:rsidRPr="000B0E5D">
              <w:rPr>
                <w:rFonts w:asciiTheme="majorHAnsi" w:hAnsiTheme="majorHAnsi" w:cs="Arial"/>
                <w:b w:val="0"/>
                <w:sz w:val="20"/>
                <w:szCs w:val="20"/>
                <w:lang w:val="fr-CA"/>
              </w:rPr>
              <w:t>4.14</w:t>
            </w:r>
          </w:p>
        </w:tc>
        <w:tc>
          <w:tcPr>
            <w:tcW w:w="0" w:type="auto"/>
          </w:tcPr>
          <w:p w14:paraId="206BCB4B" w14:textId="5045F54A" w:rsidR="003B6083" w:rsidRPr="000B0E5D" w:rsidRDefault="00ED4DA2" w:rsidP="00ED4DA2">
            <w:pPr>
              <w:rPr>
                <w:rFonts w:asciiTheme="majorHAnsi" w:hAnsiTheme="majorHAnsi" w:cs="Arial"/>
                <w:sz w:val="20"/>
                <w:szCs w:val="20"/>
                <w:lang w:val="fr-CA"/>
              </w:rPr>
            </w:pPr>
            <w:r>
              <w:rPr>
                <w:rFonts w:asciiTheme="majorHAnsi" w:hAnsiTheme="majorHAnsi" w:cs="Arial"/>
                <w:b w:val="0"/>
                <w:sz w:val="20"/>
                <w:szCs w:val="20"/>
                <w:lang w:val="fr-CA"/>
              </w:rPr>
              <w:t>Le GEST peut, s’il y a lieu, fournir des avis aux Parties contractantes qui le lui demandent.</w:t>
            </w:r>
          </w:p>
        </w:tc>
        <w:tc>
          <w:tcPr>
            <w:tcW w:w="0" w:type="auto"/>
          </w:tcPr>
          <w:p w14:paraId="6262AF0C" w14:textId="3E9A7FCD" w:rsidR="003B6083" w:rsidRPr="000B0E5D" w:rsidRDefault="00676F53" w:rsidP="007A5771">
            <w:pPr>
              <w:rPr>
                <w:rFonts w:asciiTheme="majorHAnsi" w:hAnsiTheme="majorHAnsi" w:cs="Arial"/>
                <w:b w:val="0"/>
                <w:sz w:val="20"/>
                <w:szCs w:val="20"/>
                <w:lang w:val="fr-CA"/>
              </w:rPr>
            </w:pPr>
            <w:r>
              <w:rPr>
                <w:rFonts w:asciiTheme="majorHAnsi" w:hAnsiTheme="majorHAnsi" w:cs="Arial"/>
                <w:b w:val="0"/>
                <w:sz w:val="20"/>
                <w:szCs w:val="20"/>
                <w:lang w:val="fr-CA"/>
              </w:rPr>
              <w:t>Pas d’incidences financières pour le budget du GEST. Les avis sont fournis à titre bénévole</w:t>
            </w:r>
            <w:r w:rsidR="003B6083" w:rsidRPr="000B0E5D">
              <w:rPr>
                <w:rFonts w:asciiTheme="majorHAnsi" w:hAnsiTheme="majorHAnsi" w:cs="Arial"/>
                <w:b w:val="0"/>
                <w:sz w:val="20"/>
                <w:szCs w:val="20"/>
                <w:lang w:val="fr-CA"/>
              </w:rPr>
              <w:t>.</w:t>
            </w:r>
          </w:p>
        </w:tc>
      </w:tr>
      <w:tr w:rsidR="00ED4DA2" w:rsidRPr="00833360" w14:paraId="356C4B98" w14:textId="77777777" w:rsidTr="007A5771">
        <w:tc>
          <w:tcPr>
            <w:tcW w:w="0" w:type="auto"/>
          </w:tcPr>
          <w:p w14:paraId="4899611D" w14:textId="2319E9CA" w:rsidR="003B6083" w:rsidRPr="000B0E5D" w:rsidRDefault="00ED4DA2" w:rsidP="007A5771">
            <w:pPr>
              <w:rPr>
                <w:rFonts w:asciiTheme="majorHAnsi" w:hAnsiTheme="majorHAnsi" w:cs="Arial"/>
                <w:b w:val="0"/>
                <w:sz w:val="20"/>
                <w:szCs w:val="20"/>
                <w:lang w:val="fr-CA"/>
              </w:rPr>
            </w:pPr>
            <w:r>
              <w:rPr>
                <w:rFonts w:asciiTheme="majorHAnsi" w:hAnsiTheme="majorHAnsi" w:cs="Arial"/>
                <w:b w:val="0"/>
                <w:sz w:val="20"/>
                <w:szCs w:val="20"/>
                <w:lang w:val="fr-CA"/>
              </w:rPr>
              <w:t xml:space="preserve">Missions consultatives </w:t>
            </w:r>
            <w:r w:rsidR="003B6083" w:rsidRPr="000B0E5D">
              <w:rPr>
                <w:rFonts w:asciiTheme="majorHAnsi" w:hAnsiTheme="majorHAnsi" w:cs="Arial"/>
                <w:b w:val="0"/>
                <w:sz w:val="20"/>
                <w:szCs w:val="20"/>
                <w:lang w:val="fr-CA"/>
              </w:rPr>
              <w:t xml:space="preserve">Ramsar </w:t>
            </w:r>
          </w:p>
          <w:p w14:paraId="3F2F6064" w14:textId="77777777" w:rsidR="003B6083" w:rsidRPr="000B0E5D" w:rsidRDefault="003B6083" w:rsidP="007A5771">
            <w:pPr>
              <w:rPr>
                <w:rFonts w:asciiTheme="majorHAnsi" w:hAnsiTheme="majorHAnsi" w:cs="Arial"/>
                <w:b w:val="0"/>
                <w:sz w:val="20"/>
                <w:szCs w:val="20"/>
                <w:lang w:val="fr-CA"/>
              </w:rPr>
            </w:pPr>
          </w:p>
        </w:tc>
        <w:tc>
          <w:tcPr>
            <w:tcW w:w="0" w:type="auto"/>
          </w:tcPr>
          <w:p w14:paraId="1791A16A" w14:textId="253C3EA8" w:rsidR="003B6083" w:rsidRPr="000B0E5D" w:rsidRDefault="003B6083" w:rsidP="007A5771">
            <w:pPr>
              <w:rPr>
                <w:rFonts w:asciiTheme="majorHAnsi" w:hAnsiTheme="majorHAnsi" w:cs="Arial"/>
                <w:sz w:val="20"/>
                <w:szCs w:val="20"/>
                <w:lang w:val="fr-CA"/>
              </w:rPr>
            </w:pPr>
            <w:r w:rsidRPr="000B0E5D">
              <w:rPr>
                <w:rFonts w:asciiTheme="majorHAnsi" w:hAnsiTheme="majorHAnsi" w:cs="Arial"/>
                <w:b w:val="0"/>
                <w:sz w:val="20"/>
                <w:szCs w:val="20"/>
                <w:lang w:val="fr-CA"/>
              </w:rPr>
              <w:t xml:space="preserve">XII.5, </w:t>
            </w:r>
            <w:r w:rsidR="004B32FB">
              <w:rPr>
                <w:rFonts w:asciiTheme="majorHAnsi" w:hAnsiTheme="majorHAnsi" w:cs="Arial"/>
                <w:b w:val="0"/>
                <w:sz w:val="20"/>
                <w:szCs w:val="20"/>
                <w:lang w:val="fr-CA"/>
              </w:rPr>
              <w:t>annexe</w:t>
            </w:r>
            <w:r w:rsidRPr="000B0E5D">
              <w:rPr>
                <w:rFonts w:asciiTheme="majorHAnsi" w:hAnsiTheme="majorHAnsi" w:cs="Arial"/>
                <w:b w:val="0"/>
                <w:sz w:val="20"/>
                <w:szCs w:val="20"/>
                <w:lang w:val="fr-CA"/>
              </w:rPr>
              <w:t xml:space="preserve"> 1, </w:t>
            </w:r>
            <w:r w:rsidRPr="000B0E5D">
              <w:rPr>
                <w:rFonts w:ascii="Calibri" w:hAnsi="Calibri" w:cs="Arial"/>
                <w:b w:val="0"/>
                <w:sz w:val="20"/>
                <w:szCs w:val="20"/>
                <w:lang w:val="fr-CA"/>
              </w:rPr>
              <w:t xml:space="preserve">¶¶ 1-2, 12 </w:t>
            </w:r>
          </w:p>
        </w:tc>
        <w:tc>
          <w:tcPr>
            <w:tcW w:w="0" w:type="auto"/>
          </w:tcPr>
          <w:p w14:paraId="48EA251E" w14:textId="77777777" w:rsidR="003B6083" w:rsidRPr="000B0E5D" w:rsidRDefault="003B6083" w:rsidP="007A5771">
            <w:pPr>
              <w:rPr>
                <w:rFonts w:asciiTheme="majorHAnsi" w:hAnsiTheme="majorHAnsi" w:cs="Arial"/>
                <w:sz w:val="20"/>
                <w:szCs w:val="20"/>
                <w:lang w:val="fr-CA"/>
              </w:rPr>
            </w:pPr>
            <w:r w:rsidRPr="000B0E5D">
              <w:rPr>
                <w:rFonts w:asciiTheme="majorHAnsi" w:hAnsiTheme="majorHAnsi" w:cs="Arial"/>
                <w:b w:val="0"/>
                <w:sz w:val="20"/>
                <w:szCs w:val="20"/>
                <w:lang w:val="fr-CA"/>
              </w:rPr>
              <w:t>2.5, 2.7, 4.14</w:t>
            </w:r>
          </w:p>
        </w:tc>
        <w:tc>
          <w:tcPr>
            <w:tcW w:w="0" w:type="auto"/>
          </w:tcPr>
          <w:p w14:paraId="599EBFEC" w14:textId="6184C34F" w:rsidR="003B6083" w:rsidRPr="000B0E5D" w:rsidRDefault="00ED4DA2" w:rsidP="00C8217C">
            <w:pPr>
              <w:rPr>
                <w:rFonts w:asciiTheme="majorHAnsi" w:hAnsiTheme="majorHAnsi" w:cs="Arial"/>
                <w:sz w:val="20"/>
                <w:szCs w:val="20"/>
                <w:lang w:val="fr-CA"/>
              </w:rPr>
            </w:pPr>
            <w:r>
              <w:rPr>
                <w:rFonts w:asciiTheme="majorHAnsi" w:hAnsiTheme="majorHAnsi" w:cs="Arial"/>
                <w:b w:val="0"/>
                <w:sz w:val="20"/>
                <w:szCs w:val="20"/>
                <w:lang w:val="fr-CA"/>
              </w:rPr>
              <w:t xml:space="preserve">Les experts </w:t>
            </w:r>
            <w:r w:rsidR="00485A40">
              <w:rPr>
                <w:rFonts w:asciiTheme="majorHAnsi" w:hAnsiTheme="majorHAnsi" w:cs="Arial"/>
                <w:b w:val="0"/>
                <w:sz w:val="20"/>
                <w:szCs w:val="20"/>
                <w:lang w:val="fr-CA"/>
              </w:rPr>
              <w:t xml:space="preserve">du GEST peuvent participer aux </w:t>
            </w:r>
            <w:r w:rsidR="00C8217C">
              <w:rPr>
                <w:rFonts w:asciiTheme="majorHAnsi" w:hAnsiTheme="majorHAnsi" w:cs="Arial"/>
                <w:b w:val="0"/>
                <w:sz w:val="20"/>
                <w:szCs w:val="20"/>
                <w:lang w:val="fr-CA"/>
              </w:rPr>
              <w:t>M</w:t>
            </w:r>
            <w:r>
              <w:rPr>
                <w:rFonts w:asciiTheme="majorHAnsi" w:hAnsiTheme="majorHAnsi" w:cs="Arial"/>
                <w:b w:val="0"/>
                <w:sz w:val="20"/>
                <w:szCs w:val="20"/>
                <w:lang w:val="fr-CA"/>
              </w:rPr>
              <w:t>issions consultatives Ramsar lorsqu’ils en sont priés et s’il y a des fonds disponibles dans le budget du Secrétariat pour couvrir les dépenses de voyage.</w:t>
            </w:r>
            <w:r w:rsidR="003B6083" w:rsidRPr="000B0E5D">
              <w:rPr>
                <w:rFonts w:asciiTheme="majorHAnsi" w:hAnsiTheme="majorHAnsi" w:cs="Arial"/>
                <w:b w:val="0"/>
                <w:sz w:val="20"/>
                <w:szCs w:val="20"/>
                <w:lang w:val="fr-CA"/>
              </w:rPr>
              <w:t xml:space="preserve"> </w:t>
            </w:r>
          </w:p>
        </w:tc>
        <w:tc>
          <w:tcPr>
            <w:tcW w:w="0" w:type="auto"/>
          </w:tcPr>
          <w:p w14:paraId="3A359A46" w14:textId="6A3F0902" w:rsidR="003B6083" w:rsidRPr="000B0E5D" w:rsidRDefault="00676F53" w:rsidP="007A5771">
            <w:pPr>
              <w:rPr>
                <w:rFonts w:asciiTheme="majorHAnsi" w:hAnsiTheme="majorHAnsi" w:cs="Arial"/>
                <w:sz w:val="20"/>
                <w:szCs w:val="20"/>
                <w:lang w:val="fr-CA"/>
              </w:rPr>
            </w:pPr>
            <w:r>
              <w:rPr>
                <w:rFonts w:asciiTheme="majorHAnsi" w:hAnsiTheme="majorHAnsi" w:cs="Arial"/>
                <w:b w:val="0"/>
                <w:sz w:val="20"/>
                <w:szCs w:val="20"/>
                <w:lang w:val="fr-CA"/>
              </w:rPr>
              <w:t>Pas d’incidences financières pour le budget du GEST. Les avis sont fournis à titre bénévole</w:t>
            </w:r>
            <w:r w:rsidR="003B6083" w:rsidRPr="000B0E5D">
              <w:rPr>
                <w:rFonts w:asciiTheme="majorHAnsi" w:hAnsiTheme="majorHAnsi" w:cs="Arial"/>
                <w:b w:val="0"/>
                <w:sz w:val="20"/>
                <w:szCs w:val="20"/>
                <w:lang w:val="fr-CA"/>
              </w:rPr>
              <w:t xml:space="preserve">. </w:t>
            </w:r>
          </w:p>
        </w:tc>
      </w:tr>
      <w:tr w:rsidR="00ED4DA2" w:rsidRPr="00833360" w14:paraId="534A903C" w14:textId="77777777" w:rsidTr="007A5771">
        <w:tc>
          <w:tcPr>
            <w:tcW w:w="0" w:type="auto"/>
          </w:tcPr>
          <w:p w14:paraId="169CC9BB" w14:textId="07DD26E9" w:rsidR="003B6083" w:rsidRPr="000B0E5D" w:rsidRDefault="00ED4DA2" w:rsidP="00ED4DA2">
            <w:pPr>
              <w:rPr>
                <w:rFonts w:asciiTheme="majorHAnsi" w:hAnsiTheme="majorHAnsi" w:cs="Arial"/>
                <w:b w:val="0"/>
                <w:sz w:val="20"/>
                <w:szCs w:val="20"/>
                <w:lang w:val="fr-CA"/>
              </w:rPr>
            </w:pPr>
            <w:r>
              <w:rPr>
                <w:rFonts w:asciiTheme="majorHAnsi" w:hAnsiTheme="majorHAnsi" w:cs="Arial"/>
                <w:b w:val="0"/>
                <w:sz w:val="20"/>
                <w:szCs w:val="20"/>
                <w:lang w:val="fr-CA"/>
              </w:rPr>
              <w:t xml:space="preserve">Suppression de Sites Ramsar du Registre de Montreux </w:t>
            </w:r>
          </w:p>
        </w:tc>
        <w:tc>
          <w:tcPr>
            <w:tcW w:w="0" w:type="auto"/>
          </w:tcPr>
          <w:p w14:paraId="17F3D7AA" w14:textId="12B6328D" w:rsidR="003B6083" w:rsidRPr="000B0E5D" w:rsidRDefault="003B6083" w:rsidP="007A5771">
            <w:pPr>
              <w:rPr>
                <w:rFonts w:asciiTheme="majorHAnsi" w:hAnsiTheme="majorHAnsi" w:cs="Arial"/>
                <w:sz w:val="20"/>
                <w:szCs w:val="20"/>
                <w:lang w:val="fr-CA"/>
              </w:rPr>
            </w:pPr>
            <w:r w:rsidRPr="000B0E5D">
              <w:rPr>
                <w:rFonts w:asciiTheme="majorHAnsi" w:hAnsiTheme="majorHAnsi" w:cs="Arial"/>
                <w:b w:val="0"/>
                <w:sz w:val="20"/>
                <w:szCs w:val="20"/>
                <w:lang w:val="fr-CA"/>
              </w:rPr>
              <w:t xml:space="preserve">XII.5, </w:t>
            </w:r>
            <w:r w:rsidR="004B32FB">
              <w:rPr>
                <w:rFonts w:asciiTheme="majorHAnsi" w:hAnsiTheme="majorHAnsi" w:cs="Arial"/>
                <w:b w:val="0"/>
                <w:sz w:val="20"/>
                <w:szCs w:val="20"/>
                <w:lang w:val="fr-CA"/>
              </w:rPr>
              <w:t>annexe</w:t>
            </w:r>
            <w:r w:rsidRPr="000B0E5D">
              <w:rPr>
                <w:rFonts w:asciiTheme="majorHAnsi" w:hAnsiTheme="majorHAnsi" w:cs="Arial"/>
                <w:b w:val="0"/>
                <w:sz w:val="20"/>
                <w:szCs w:val="20"/>
                <w:lang w:val="fr-CA"/>
              </w:rPr>
              <w:t xml:space="preserve"> 1, </w:t>
            </w:r>
            <w:r w:rsidRPr="000B0E5D">
              <w:rPr>
                <w:rFonts w:ascii="Calibri" w:hAnsi="Calibri" w:cs="Arial"/>
                <w:b w:val="0"/>
                <w:sz w:val="20"/>
                <w:szCs w:val="20"/>
                <w:lang w:val="fr-CA"/>
              </w:rPr>
              <w:t>¶</w:t>
            </w:r>
            <w:r w:rsidRPr="000B0E5D">
              <w:rPr>
                <w:rFonts w:asciiTheme="majorHAnsi" w:hAnsiTheme="majorHAnsi" w:cs="Arial"/>
                <w:b w:val="0"/>
                <w:sz w:val="20"/>
                <w:szCs w:val="20"/>
                <w:lang w:val="fr-CA"/>
              </w:rPr>
              <w:t>¶ 1-</w:t>
            </w:r>
            <w:r w:rsidRPr="000B0E5D">
              <w:rPr>
                <w:rFonts w:ascii="Calibri" w:hAnsi="Calibri" w:cs="Arial"/>
                <w:b w:val="0"/>
                <w:sz w:val="20"/>
                <w:szCs w:val="20"/>
                <w:lang w:val="fr-CA"/>
              </w:rPr>
              <w:t xml:space="preserve"> 2, 12 (v), 15, 38</w:t>
            </w:r>
          </w:p>
        </w:tc>
        <w:tc>
          <w:tcPr>
            <w:tcW w:w="0" w:type="auto"/>
          </w:tcPr>
          <w:p w14:paraId="00A5483D" w14:textId="77777777" w:rsidR="003B6083" w:rsidRPr="000B0E5D" w:rsidRDefault="003B6083" w:rsidP="007A5771">
            <w:pPr>
              <w:rPr>
                <w:rFonts w:asciiTheme="majorHAnsi" w:hAnsiTheme="majorHAnsi" w:cs="Arial"/>
                <w:sz w:val="20"/>
                <w:szCs w:val="20"/>
                <w:lang w:val="fr-CA"/>
              </w:rPr>
            </w:pPr>
            <w:r w:rsidRPr="000B0E5D">
              <w:rPr>
                <w:rFonts w:asciiTheme="majorHAnsi" w:hAnsiTheme="majorHAnsi" w:cs="Arial"/>
                <w:b w:val="0"/>
                <w:sz w:val="20"/>
                <w:szCs w:val="20"/>
                <w:lang w:val="fr-CA"/>
              </w:rPr>
              <w:t>2.5, 2.7, 4.14</w:t>
            </w:r>
          </w:p>
        </w:tc>
        <w:tc>
          <w:tcPr>
            <w:tcW w:w="0" w:type="auto"/>
          </w:tcPr>
          <w:p w14:paraId="5FD0F778" w14:textId="664DEF76" w:rsidR="003B6083" w:rsidRPr="000B0E5D" w:rsidRDefault="00ED4DA2" w:rsidP="00ED4DA2">
            <w:pPr>
              <w:rPr>
                <w:rFonts w:asciiTheme="majorHAnsi" w:hAnsiTheme="majorHAnsi" w:cs="Arial"/>
                <w:sz w:val="20"/>
                <w:szCs w:val="20"/>
                <w:lang w:val="fr-CA"/>
              </w:rPr>
            </w:pPr>
            <w:r>
              <w:rPr>
                <w:rFonts w:asciiTheme="majorHAnsi" w:hAnsiTheme="majorHAnsi" w:cs="Arial"/>
                <w:b w:val="0"/>
                <w:sz w:val="20"/>
                <w:szCs w:val="20"/>
                <w:lang w:val="fr-CA"/>
              </w:rPr>
              <w:t>Le GEST peut répondre aux demandes des Parties contractantes, s’il y a lieu, concernant la suppression de Sites Ramsar du Registre de Montreux.</w:t>
            </w:r>
          </w:p>
        </w:tc>
        <w:tc>
          <w:tcPr>
            <w:tcW w:w="0" w:type="auto"/>
          </w:tcPr>
          <w:p w14:paraId="6EB28FFB" w14:textId="110090B6" w:rsidR="003B6083" w:rsidRPr="000B0E5D" w:rsidRDefault="00676F53" w:rsidP="007A5771">
            <w:pPr>
              <w:rPr>
                <w:rFonts w:asciiTheme="majorHAnsi" w:hAnsiTheme="majorHAnsi" w:cs="Arial"/>
                <w:sz w:val="20"/>
                <w:szCs w:val="20"/>
                <w:lang w:val="fr-CA"/>
              </w:rPr>
            </w:pPr>
            <w:r>
              <w:rPr>
                <w:rFonts w:asciiTheme="majorHAnsi" w:hAnsiTheme="majorHAnsi" w:cs="Arial"/>
                <w:b w:val="0"/>
                <w:sz w:val="20"/>
                <w:szCs w:val="20"/>
                <w:lang w:val="fr-CA"/>
              </w:rPr>
              <w:t>Pas d’incidences financières pour le budget du GEST. Les avis sont fournis à titre bénévole</w:t>
            </w:r>
            <w:r w:rsidR="003B6083" w:rsidRPr="000B0E5D">
              <w:rPr>
                <w:rFonts w:asciiTheme="majorHAnsi" w:hAnsiTheme="majorHAnsi" w:cs="Arial"/>
                <w:b w:val="0"/>
                <w:sz w:val="20"/>
                <w:szCs w:val="20"/>
                <w:lang w:val="fr-CA"/>
              </w:rPr>
              <w:t>.</w:t>
            </w:r>
          </w:p>
        </w:tc>
      </w:tr>
      <w:tr w:rsidR="00ED4DA2" w:rsidRPr="00833360" w14:paraId="1D175483" w14:textId="77777777" w:rsidTr="007A5771">
        <w:tc>
          <w:tcPr>
            <w:tcW w:w="0" w:type="auto"/>
          </w:tcPr>
          <w:p w14:paraId="6E8C37F8" w14:textId="3532B640" w:rsidR="003B6083" w:rsidRPr="000B0E5D" w:rsidRDefault="00ED4DA2" w:rsidP="00C8217C">
            <w:pPr>
              <w:rPr>
                <w:rFonts w:asciiTheme="majorHAnsi" w:hAnsiTheme="majorHAnsi" w:cs="Arial"/>
                <w:sz w:val="22"/>
                <w:szCs w:val="22"/>
                <w:lang w:val="fr-CA"/>
              </w:rPr>
            </w:pPr>
            <w:r>
              <w:rPr>
                <w:rFonts w:asciiTheme="majorHAnsi" w:hAnsiTheme="majorHAnsi" w:cs="Arial"/>
                <w:b w:val="0"/>
                <w:sz w:val="20"/>
                <w:szCs w:val="20"/>
                <w:lang w:val="fr-CA"/>
              </w:rPr>
              <w:t xml:space="preserve">Comité consultatif indépendant du </w:t>
            </w:r>
            <w:r w:rsidR="00C8217C">
              <w:rPr>
                <w:rFonts w:asciiTheme="majorHAnsi" w:hAnsiTheme="majorHAnsi" w:cs="Arial"/>
                <w:b w:val="0"/>
                <w:sz w:val="20"/>
                <w:szCs w:val="20"/>
                <w:lang w:val="fr-CA"/>
              </w:rPr>
              <w:t>l</w:t>
            </w:r>
            <w:r>
              <w:rPr>
                <w:rFonts w:asciiTheme="majorHAnsi" w:hAnsiTheme="majorHAnsi" w:cs="Arial"/>
                <w:b w:val="0"/>
                <w:sz w:val="20"/>
                <w:szCs w:val="20"/>
                <w:lang w:val="fr-CA"/>
              </w:rPr>
              <w:t xml:space="preserve">abel </w:t>
            </w:r>
            <w:r w:rsidR="00C8217C">
              <w:rPr>
                <w:rFonts w:asciiTheme="majorHAnsi" w:hAnsiTheme="majorHAnsi" w:cs="Arial"/>
                <w:b w:val="0"/>
                <w:sz w:val="20"/>
                <w:szCs w:val="20"/>
                <w:lang w:val="fr-CA"/>
              </w:rPr>
              <w:t>‘</w:t>
            </w:r>
            <w:r>
              <w:rPr>
                <w:rFonts w:asciiTheme="majorHAnsi" w:hAnsiTheme="majorHAnsi" w:cs="Arial"/>
                <w:b w:val="0"/>
                <w:sz w:val="20"/>
                <w:szCs w:val="20"/>
                <w:lang w:val="fr-CA"/>
              </w:rPr>
              <w:t>Ville des zones humides accréditée</w:t>
            </w:r>
            <w:r w:rsidR="00C8217C">
              <w:rPr>
                <w:rFonts w:asciiTheme="majorHAnsi" w:hAnsiTheme="majorHAnsi" w:cs="Arial"/>
                <w:b w:val="0"/>
                <w:sz w:val="20"/>
                <w:szCs w:val="20"/>
                <w:lang w:val="fr-CA"/>
              </w:rPr>
              <w:t>’</w:t>
            </w:r>
            <w:r>
              <w:rPr>
                <w:rFonts w:asciiTheme="majorHAnsi" w:hAnsiTheme="majorHAnsi" w:cs="Arial"/>
                <w:b w:val="0"/>
                <w:sz w:val="20"/>
                <w:szCs w:val="20"/>
                <w:lang w:val="fr-CA"/>
              </w:rPr>
              <w:t xml:space="preserve"> </w:t>
            </w:r>
          </w:p>
        </w:tc>
        <w:tc>
          <w:tcPr>
            <w:tcW w:w="0" w:type="auto"/>
          </w:tcPr>
          <w:p w14:paraId="144C0DB2" w14:textId="00988B68" w:rsidR="003B6083" w:rsidRPr="000B0E5D" w:rsidRDefault="003B6083" w:rsidP="00ED4DA2">
            <w:pPr>
              <w:rPr>
                <w:rFonts w:asciiTheme="majorHAnsi" w:hAnsiTheme="majorHAnsi" w:cs="Arial"/>
                <w:sz w:val="22"/>
                <w:szCs w:val="22"/>
                <w:lang w:val="fr-CA"/>
              </w:rPr>
            </w:pPr>
            <w:r w:rsidRPr="000B0E5D">
              <w:rPr>
                <w:rFonts w:asciiTheme="majorHAnsi" w:hAnsiTheme="majorHAnsi" w:cs="Arial"/>
                <w:b w:val="0"/>
                <w:sz w:val="20"/>
                <w:szCs w:val="20"/>
                <w:lang w:val="fr-CA"/>
              </w:rPr>
              <w:t>R</w:t>
            </w:r>
            <w:r w:rsidR="00ED4DA2">
              <w:rPr>
                <w:rFonts w:asciiTheme="majorHAnsi" w:hAnsiTheme="majorHAnsi" w:cs="Arial"/>
                <w:b w:val="0"/>
                <w:sz w:val="20"/>
                <w:szCs w:val="20"/>
                <w:lang w:val="fr-CA"/>
              </w:rPr>
              <w:t>é</w:t>
            </w:r>
            <w:r w:rsidRPr="000B0E5D">
              <w:rPr>
                <w:rFonts w:asciiTheme="majorHAnsi" w:hAnsiTheme="majorHAnsi" w:cs="Arial"/>
                <w:b w:val="0"/>
                <w:sz w:val="20"/>
                <w:szCs w:val="20"/>
                <w:lang w:val="fr-CA"/>
              </w:rPr>
              <w:t xml:space="preserve">s. XII.10, </w:t>
            </w:r>
            <w:r w:rsidR="004B32FB">
              <w:rPr>
                <w:rFonts w:asciiTheme="majorHAnsi" w:hAnsiTheme="majorHAnsi" w:cs="Arial"/>
                <w:b w:val="0"/>
                <w:sz w:val="20"/>
                <w:szCs w:val="20"/>
                <w:lang w:val="fr-CA"/>
              </w:rPr>
              <w:t>annexe</w:t>
            </w:r>
            <w:r w:rsidRPr="000B0E5D">
              <w:rPr>
                <w:rFonts w:asciiTheme="majorHAnsi" w:hAnsiTheme="majorHAnsi" w:cs="Arial"/>
                <w:b w:val="0"/>
                <w:sz w:val="20"/>
                <w:szCs w:val="20"/>
                <w:lang w:val="fr-CA"/>
              </w:rPr>
              <w:t xml:space="preserve">, </w:t>
            </w:r>
            <w:r w:rsidRPr="000B0E5D">
              <w:rPr>
                <w:rFonts w:ascii="Calibri" w:hAnsi="Calibri" w:cs="Arial"/>
                <w:b w:val="0"/>
                <w:sz w:val="20"/>
                <w:szCs w:val="20"/>
                <w:lang w:val="fr-CA"/>
              </w:rPr>
              <w:t>¶</w:t>
            </w:r>
            <w:r w:rsidRPr="000B0E5D">
              <w:rPr>
                <w:rFonts w:asciiTheme="majorHAnsi" w:hAnsiTheme="majorHAnsi" w:cs="Arial"/>
                <w:b w:val="0"/>
                <w:sz w:val="20"/>
                <w:szCs w:val="20"/>
                <w:lang w:val="fr-CA"/>
              </w:rPr>
              <w:t xml:space="preserve"> 16 (e)</w:t>
            </w:r>
          </w:p>
        </w:tc>
        <w:tc>
          <w:tcPr>
            <w:tcW w:w="0" w:type="auto"/>
          </w:tcPr>
          <w:p w14:paraId="44B62F05" w14:textId="77777777" w:rsidR="003B6083" w:rsidRPr="000B0E5D" w:rsidRDefault="003B6083" w:rsidP="007A5771">
            <w:pPr>
              <w:rPr>
                <w:rFonts w:asciiTheme="majorHAnsi" w:hAnsiTheme="majorHAnsi" w:cs="Arial"/>
                <w:sz w:val="22"/>
                <w:szCs w:val="22"/>
                <w:lang w:val="fr-CA"/>
              </w:rPr>
            </w:pPr>
            <w:r w:rsidRPr="000B0E5D">
              <w:rPr>
                <w:rFonts w:asciiTheme="majorHAnsi" w:hAnsiTheme="majorHAnsi" w:cs="Arial"/>
                <w:b w:val="0"/>
                <w:sz w:val="20"/>
                <w:szCs w:val="20"/>
                <w:lang w:val="fr-CA"/>
              </w:rPr>
              <w:t>3.11, 4.14, 4.16</w:t>
            </w:r>
          </w:p>
        </w:tc>
        <w:tc>
          <w:tcPr>
            <w:tcW w:w="0" w:type="auto"/>
          </w:tcPr>
          <w:p w14:paraId="1C36A5FD" w14:textId="7EB1D7C7" w:rsidR="003B6083" w:rsidRPr="000B0E5D" w:rsidRDefault="00ED4DA2" w:rsidP="00C8217C">
            <w:pPr>
              <w:rPr>
                <w:rFonts w:asciiTheme="majorHAnsi" w:hAnsiTheme="majorHAnsi" w:cs="Arial"/>
                <w:b w:val="0"/>
                <w:sz w:val="20"/>
                <w:szCs w:val="20"/>
                <w:lang w:val="fr-CA"/>
              </w:rPr>
            </w:pPr>
            <w:r>
              <w:rPr>
                <w:rFonts w:asciiTheme="majorHAnsi" w:hAnsiTheme="majorHAnsi" w:cs="Arial"/>
                <w:b w:val="0"/>
                <w:sz w:val="20"/>
                <w:szCs w:val="20"/>
                <w:lang w:val="fr-CA"/>
              </w:rPr>
              <w:t xml:space="preserve">Un expert du GEST siégera au Comité consultatif indépendant du </w:t>
            </w:r>
            <w:r w:rsidR="00C8217C">
              <w:rPr>
                <w:rFonts w:asciiTheme="majorHAnsi" w:hAnsiTheme="majorHAnsi" w:cs="Arial"/>
                <w:b w:val="0"/>
                <w:sz w:val="20"/>
                <w:szCs w:val="20"/>
                <w:lang w:val="fr-CA"/>
              </w:rPr>
              <w:t>l</w:t>
            </w:r>
            <w:r>
              <w:rPr>
                <w:rFonts w:asciiTheme="majorHAnsi" w:hAnsiTheme="majorHAnsi" w:cs="Arial"/>
                <w:b w:val="0"/>
                <w:sz w:val="20"/>
                <w:szCs w:val="20"/>
                <w:lang w:val="fr-CA"/>
              </w:rPr>
              <w:t xml:space="preserve">abel </w:t>
            </w:r>
            <w:r w:rsidR="00C8217C">
              <w:rPr>
                <w:rFonts w:asciiTheme="majorHAnsi" w:hAnsiTheme="majorHAnsi" w:cs="Arial"/>
                <w:b w:val="0"/>
                <w:sz w:val="20"/>
                <w:szCs w:val="20"/>
                <w:lang w:val="fr-CA"/>
              </w:rPr>
              <w:t>‘</w:t>
            </w:r>
            <w:r>
              <w:rPr>
                <w:rFonts w:asciiTheme="majorHAnsi" w:hAnsiTheme="majorHAnsi" w:cs="Arial"/>
                <w:b w:val="0"/>
                <w:sz w:val="20"/>
                <w:szCs w:val="20"/>
                <w:lang w:val="fr-CA"/>
              </w:rPr>
              <w:t>Ville des zones humides accréditée</w:t>
            </w:r>
            <w:r w:rsidR="00C8217C">
              <w:rPr>
                <w:rFonts w:asciiTheme="majorHAnsi" w:hAnsiTheme="majorHAnsi" w:cs="Arial"/>
                <w:b w:val="0"/>
                <w:sz w:val="20"/>
                <w:szCs w:val="20"/>
                <w:lang w:val="fr-CA"/>
              </w:rPr>
              <w:t>’</w:t>
            </w:r>
            <w:r>
              <w:rPr>
                <w:rFonts w:asciiTheme="majorHAnsi" w:hAnsiTheme="majorHAnsi" w:cs="Arial"/>
                <w:b w:val="0"/>
                <w:sz w:val="20"/>
                <w:szCs w:val="20"/>
                <w:lang w:val="fr-CA"/>
              </w:rPr>
              <w:t xml:space="preserve"> </w:t>
            </w:r>
          </w:p>
        </w:tc>
        <w:tc>
          <w:tcPr>
            <w:tcW w:w="0" w:type="auto"/>
          </w:tcPr>
          <w:p w14:paraId="778AA636" w14:textId="1A912734" w:rsidR="003B6083" w:rsidRPr="000B0E5D" w:rsidRDefault="00676F53" w:rsidP="007A5771">
            <w:pPr>
              <w:rPr>
                <w:rFonts w:asciiTheme="majorHAnsi" w:hAnsiTheme="majorHAnsi" w:cs="Arial"/>
                <w:sz w:val="22"/>
                <w:szCs w:val="22"/>
                <w:lang w:val="fr-CA"/>
              </w:rPr>
            </w:pPr>
            <w:r>
              <w:rPr>
                <w:rFonts w:asciiTheme="majorHAnsi" w:hAnsiTheme="majorHAnsi" w:cs="Arial"/>
                <w:b w:val="0"/>
                <w:sz w:val="20"/>
                <w:szCs w:val="20"/>
                <w:lang w:val="fr-CA"/>
              </w:rPr>
              <w:t>Pas d’incidences financières pour le budget du GEST. Les avis sont fournis à titre bénévole</w:t>
            </w:r>
            <w:r w:rsidR="003B6083" w:rsidRPr="000B0E5D">
              <w:rPr>
                <w:rFonts w:asciiTheme="majorHAnsi" w:hAnsiTheme="majorHAnsi" w:cs="Arial"/>
                <w:b w:val="0"/>
                <w:sz w:val="20"/>
                <w:szCs w:val="20"/>
                <w:lang w:val="fr-CA"/>
              </w:rPr>
              <w:t>.</w:t>
            </w:r>
          </w:p>
        </w:tc>
      </w:tr>
      <w:tr w:rsidR="00ED4DA2" w:rsidRPr="00833360" w14:paraId="34373613" w14:textId="77777777" w:rsidTr="007A5771">
        <w:tc>
          <w:tcPr>
            <w:tcW w:w="0" w:type="auto"/>
          </w:tcPr>
          <w:p w14:paraId="2311F8D6" w14:textId="61FCC902" w:rsidR="003B6083" w:rsidRPr="000B0E5D" w:rsidRDefault="00ED4DA2" w:rsidP="00ED4DA2">
            <w:pPr>
              <w:rPr>
                <w:rFonts w:asciiTheme="majorHAnsi" w:hAnsiTheme="majorHAnsi" w:cs="Arial"/>
                <w:sz w:val="20"/>
                <w:szCs w:val="20"/>
                <w:lang w:val="fr-CA"/>
              </w:rPr>
            </w:pPr>
            <w:r>
              <w:rPr>
                <w:rFonts w:asciiTheme="majorHAnsi" w:hAnsiTheme="majorHAnsi" w:cs="Arial"/>
                <w:b w:val="0"/>
                <w:sz w:val="20"/>
                <w:szCs w:val="20"/>
                <w:lang w:val="fr-CA"/>
              </w:rPr>
              <w:t xml:space="preserve">Fournir des avis sur des questions émergentes </w:t>
            </w:r>
          </w:p>
        </w:tc>
        <w:tc>
          <w:tcPr>
            <w:tcW w:w="0" w:type="auto"/>
          </w:tcPr>
          <w:p w14:paraId="0383FC04" w14:textId="728BDE2A" w:rsidR="003B6083" w:rsidRPr="000B0E5D" w:rsidRDefault="003B6083" w:rsidP="007A5771">
            <w:pPr>
              <w:rPr>
                <w:rFonts w:asciiTheme="majorHAnsi" w:hAnsiTheme="majorHAnsi" w:cs="Arial"/>
                <w:sz w:val="22"/>
                <w:szCs w:val="22"/>
                <w:lang w:val="fr-CA"/>
              </w:rPr>
            </w:pPr>
            <w:r w:rsidRPr="000B0E5D">
              <w:rPr>
                <w:rFonts w:asciiTheme="majorHAnsi" w:hAnsiTheme="majorHAnsi" w:cs="Arial"/>
                <w:b w:val="0"/>
                <w:sz w:val="20"/>
                <w:szCs w:val="20"/>
                <w:lang w:val="fr-CA"/>
              </w:rPr>
              <w:t xml:space="preserve">XII.5, </w:t>
            </w:r>
            <w:r w:rsidR="004B32FB">
              <w:rPr>
                <w:rFonts w:asciiTheme="majorHAnsi" w:hAnsiTheme="majorHAnsi" w:cs="Arial"/>
                <w:b w:val="0"/>
                <w:sz w:val="20"/>
                <w:szCs w:val="20"/>
                <w:lang w:val="fr-CA"/>
              </w:rPr>
              <w:t>annexe</w:t>
            </w:r>
            <w:r w:rsidRPr="000B0E5D">
              <w:rPr>
                <w:rFonts w:asciiTheme="majorHAnsi" w:hAnsiTheme="majorHAnsi" w:cs="Arial"/>
                <w:b w:val="0"/>
                <w:sz w:val="20"/>
                <w:szCs w:val="20"/>
                <w:lang w:val="fr-CA"/>
              </w:rPr>
              <w:t xml:space="preserve"> 1, ¶</w:t>
            </w:r>
            <w:r w:rsidRPr="000B0E5D">
              <w:rPr>
                <w:rFonts w:ascii="Calibri" w:hAnsi="Calibri" w:cs="Arial"/>
                <w:b w:val="0"/>
                <w:sz w:val="20"/>
                <w:szCs w:val="20"/>
                <w:lang w:val="fr-CA"/>
              </w:rPr>
              <w:t>¶2, 15 (ii), 38</w:t>
            </w:r>
          </w:p>
        </w:tc>
        <w:tc>
          <w:tcPr>
            <w:tcW w:w="0" w:type="auto"/>
          </w:tcPr>
          <w:p w14:paraId="7967E9DC" w14:textId="77777777" w:rsidR="003B6083" w:rsidRPr="000B0E5D" w:rsidRDefault="003B6083" w:rsidP="007A5771">
            <w:pPr>
              <w:rPr>
                <w:rFonts w:asciiTheme="majorHAnsi" w:hAnsiTheme="majorHAnsi" w:cs="Arial"/>
                <w:sz w:val="22"/>
                <w:szCs w:val="22"/>
                <w:lang w:val="fr-CA"/>
              </w:rPr>
            </w:pPr>
            <w:r w:rsidRPr="000B0E5D">
              <w:rPr>
                <w:rFonts w:asciiTheme="majorHAnsi" w:hAnsiTheme="majorHAnsi" w:cs="Arial"/>
                <w:b w:val="0"/>
                <w:sz w:val="20"/>
                <w:szCs w:val="20"/>
                <w:lang w:val="fr-CA"/>
              </w:rPr>
              <w:t>4.14</w:t>
            </w:r>
          </w:p>
        </w:tc>
        <w:tc>
          <w:tcPr>
            <w:tcW w:w="0" w:type="auto"/>
          </w:tcPr>
          <w:p w14:paraId="228396E8" w14:textId="013D09A6" w:rsidR="003B6083" w:rsidRPr="000B0E5D" w:rsidRDefault="00ED4DA2" w:rsidP="00C8217C">
            <w:pPr>
              <w:rPr>
                <w:rFonts w:asciiTheme="majorHAnsi" w:hAnsiTheme="majorHAnsi" w:cs="Arial"/>
                <w:b w:val="0"/>
                <w:sz w:val="20"/>
                <w:szCs w:val="20"/>
                <w:lang w:val="fr-CA"/>
              </w:rPr>
            </w:pPr>
            <w:r>
              <w:rPr>
                <w:rFonts w:asciiTheme="majorHAnsi" w:hAnsiTheme="majorHAnsi" w:cs="Arial"/>
                <w:b w:val="0"/>
                <w:sz w:val="20"/>
                <w:szCs w:val="20"/>
                <w:lang w:val="fr-CA"/>
              </w:rPr>
              <w:t xml:space="preserve">Le GEST peut, si nécessaire et s’il y a lieu, exercer un suivi </w:t>
            </w:r>
            <w:r w:rsidR="00C8217C">
              <w:rPr>
                <w:rFonts w:asciiTheme="majorHAnsi" w:hAnsiTheme="majorHAnsi" w:cs="Arial"/>
                <w:b w:val="0"/>
                <w:sz w:val="20"/>
                <w:szCs w:val="20"/>
                <w:lang w:val="fr-CA"/>
              </w:rPr>
              <w:t>des</w:t>
            </w:r>
            <w:r>
              <w:rPr>
                <w:rFonts w:asciiTheme="majorHAnsi" w:hAnsiTheme="majorHAnsi" w:cs="Arial"/>
                <w:b w:val="0"/>
                <w:sz w:val="20"/>
                <w:szCs w:val="20"/>
                <w:lang w:val="fr-CA"/>
              </w:rPr>
              <w:t xml:space="preserve"> questions émergentes et plus stratégiques intéressant la Convention qui peuvent nécessiter une action ou un avis dans un avenir proche ou à moyen terme. </w:t>
            </w:r>
          </w:p>
        </w:tc>
        <w:tc>
          <w:tcPr>
            <w:tcW w:w="0" w:type="auto"/>
          </w:tcPr>
          <w:p w14:paraId="2D411108" w14:textId="1F2ADCF9" w:rsidR="003B6083" w:rsidRPr="000B0E5D" w:rsidRDefault="00676F53" w:rsidP="007A5771">
            <w:pPr>
              <w:rPr>
                <w:rFonts w:asciiTheme="majorHAnsi" w:hAnsiTheme="majorHAnsi" w:cs="Arial"/>
                <w:sz w:val="22"/>
                <w:szCs w:val="22"/>
                <w:lang w:val="fr-CA"/>
              </w:rPr>
            </w:pPr>
            <w:r>
              <w:rPr>
                <w:rFonts w:asciiTheme="majorHAnsi" w:hAnsiTheme="majorHAnsi" w:cs="Arial"/>
                <w:b w:val="0"/>
                <w:sz w:val="20"/>
                <w:szCs w:val="20"/>
                <w:lang w:val="fr-CA"/>
              </w:rPr>
              <w:t>Pas d’incidences financières pour le budget du GEST. Les avis sont fournis à titre bénévole</w:t>
            </w:r>
            <w:r w:rsidR="003B6083" w:rsidRPr="000B0E5D">
              <w:rPr>
                <w:rFonts w:asciiTheme="majorHAnsi" w:hAnsiTheme="majorHAnsi" w:cs="Arial"/>
                <w:b w:val="0"/>
                <w:sz w:val="20"/>
                <w:szCs w:val="20"/>
                <w:lang w:val="fr-CA"/>
              </w:rPr>
              <w:t>.</w:t>
            </w:r>
          </w:p>
        </w:tc>
      </w:tr>
      <w:tr w:rsidR="003B6083" w:rsidRPr="00833360" w14:paraId="4FD9A232" w14:textId="77777777" w:rsidTr="007A5771">
        <w:tc>
          <w:tcPr>
            <w:tcW w:w="0" w:type="auto"/>
            <w:gridSpan w:val="5"/>
            <w:shd w:val="clear" w:color="auto" w:fill="D9D9D9" w:themeFill="background1" w:themeFillShade="D9"/>
          </w:tcPr>
          <w:p w14:paraId="45224C65" w14:textId="66CEC56A" w:rsidR="003B6083" w:rsidRPr="000B0E5D" w:rsidRDefault="00ED4DA2" w:rsidP="00ED4DA2">
            <w:pPr>
              <w:jc w:val="center"/>
              <w:rPr>
                <w:rFonts w:asciiTheme="majorHAnsi" w:hAnsiTheme="majorHAnsi" w:cs="Arial"/>
                <w:sz w:val="20"/>
                <w:szCs w:val="20"/>
                <w:lang w:val="fr-CA"/>
              </w:rPr>
            </w:pPr>
            <w:r>
              <w:rPr>
                <w:rFonts w:asciiTheme="majorHAnsi" w:hAnsiTheme="majorHAnsi" w:cs="Arial"/>
                <w:sz w:val="20"/>
                <w:szCs w:val="20"/>
                <w:lang w:val="fr-CA"/>
              </w:rPr>
              <w:t xml:space="preserve">Autres processus internationaux pertinents pour la Convention et contribuant à l’application du Plan stratégique de la Convention </w:t>
            </w:r>
          </w:p>
        </w:tc>
      </w:tr>
      <w:tr w:rsidR="00ED4DA2" w:rsidRPr="00833360" w14:paraId="157AC3C4" w14:textId="77777777" w:rsidTr="007A5771">
        <w:tc>
          <w:tcPr>
            <w:tcW w:w="0" w:type="auto"/>
          </w:tcPr>
          <w:p w14:paraId="6B303A65" w14:textId="01D5BABF" w:rsidR="003B6083" w:rsidRPr="000B0E5D" w:rsidRDefault="003B6083" w:rsidP="00ED4DA2">
            <w:pPr>
              <w:rPr>
                <w:rFonts w:asciiTheme="majorHAnsi" w:hAnsiTheme="majorHAnsi" w:cs="Arial"/>
                <w:b w:val="0"/>
                <w:sz w:val="20"/>
                <w:szCs w:val="20"/>
                <w:lang w:val="fr-CA"/>
              </w:rPr>
            </w:pPr>
            <w:r w:rsidRPr="000B0E5D">
              <w:rPr>
                <w:rFonts w:asciiTheme="majorHAnsi" w:hAnsiTheme="majorHAnsi" w:cs="Arial"/>
                <w:b w:val="0"/>
                <w:sz w:val="20"/>
                <w:szCs w:val="20"/>
                <w:lang w:val="fr-CA"/>
              </w:rPr>
              <w:t xml:space="preserve">Engagement </w:t>
            </w:r>
            <w:r w:rsidR="00ED4DA2">
              <w:rPr>
                <w:rFonts w:asciiTheme="majorHAnsi" w:hAnsiTheme="majorHAnsi" w:cs="Arial"/>
                <w:b w:val="0"/>
                <w:sz w:val="20"/>
                <w:szCs w:val="20"/>
                <w:lang w:val="fr-CA"/>
              </w:rPr>
              <w:t>auprès de l’</w:t>
            </w:r>
            <w:r w:rsidRPr="000B0E5D">
              <w:rPr>
                <w:rFonts w:asciiTheme="majorHAnsi" w:hAnsiTheme="majorHAnsi" w:cs="Arial"/>
                <w:b w:val="0"/>
                <w:sz w:val="20"/>
                <w:szCs w:val="20"/>
                <w:lang w:val="fr-CA"/>
              </w:rPr>
              <w:t>IPBES</w:t>
            </w:r>
          </w:p>
        </w:tc>
        <w:tc>
          <w:tcPr>
            <w:tcW w:w="0" w:type="auto"/>
          </w:tcPr>
          <w:p w14:paraId="343D138D" w14:textId="77777777" w:rsidR="003B6083" w:rsidRPr="000B0E5D" w:rsidRDefault="003B6083" w:rsidP="007A5771">
            <w:pPr>
              <w:rPr>
                <w:rFonts w:asciiTheme="majorHAnsi" w:hAnsiTheme="majorHAnsi" w:cs="Arial"/>
                <w:b w:val="0"/>
                <w:sz w:val="20"/>
                <w:szCs w:val="20"/>
                <w:lang w:val="fr-CA"/>
              </w:rPr>
            </w:pPr>
            <w:r w:rsidRPr="000B0E5D">
              <w:rPr>
                <w:rFonts w:asciiTheme="majorHAnsi" w:hAnsiTheme="majorHAnsi" w:cs="Arial"/>
                <w:b w:val="0"/>
                <w:sz w:val="20"/>
                <w:szCs w:val="20"/>
                <w:lang w:val="fr-CA"/>
              </w:rPr>
              <w:t>XII.2, ¶ 24;</w:t>
            </w:r>
          </w:p>
          <w:p w14:paraId="2623E091" w14:textId="77777777" w:rsidR="003B6083" w:rsidRPr="000B0E5D" w:rsidRDefault="003B6083" w:rsidP="007A5771">
            <w:pPr>
              <w:rPr>
                <w:rFonts w:asciiTheme="majorHAnsi" w:hAnsiTheme="majorHAnsi" w:cs="Arial"/>
                <w:b w:val="0"/>
                <w:sz w:val="20"/>
                <w:szCs w:val="20"/>
                <w:lang w:val="fr-CA"/>
              </w:rPr>
            </w:pPr>
            <w:r w:rsidRPr="000B0E5D">
              <w:rPr>
                <w:rFonts w:asciiTheme="majorHAnsi" w:hAnsiTheme="majorHAnsi" w:cs="Arial"/>
                <w:b w:val="0"/>
                <w:sz w:val="20"/>
                <w:szCs w:val="20"/>
                <w:lang w:val="fr-CA"/>
              </w:rPr>
              <w:t xml:space="preserve">XII.3, ¶¶ 48, 49; </w:t>
            </w:r>
          </w:p>
          <w:p w14:paraId="496AD412" w14:textId="722E8399" w:rsidR="003B6083" w:rsidRPr="000B0E5D" w:rsidRDefault="003B6083" w:rsidP="007A5771">
            <w:pPr>
              <w:rPr>
                <w:rFonts w:asciiTheme="majorHAnsi" w:hAnsiTheme="majorHAnsi" w:cs="Arial"/>
                <w:b w:val="0"/>
                <w:sz w:val="20"/>
                <w:szCs w:val="20"/>
                <w:lang w:val="fr-CA"/>
              </w:rPr>
            </w:pPr>
            <w:r w:rsidRPr="000B0E5D">
              <w:rPr>
                <w:rFonts w:asciiTheme="majorHAnsi" w:hAnsiTheme="majorHAnsi" w:cs="Arial"/>
                <w:b w:val="0"/>
                <w:sz w:val="20"/>
                <w:szCs w:val="20"/>
                <w:lang w:val="fr-CA"/>
              </w:rPr>
              <w:t xml:space="preserve">XII.5, </w:t>
            </w:r>
            <w:r w:rsidR="004B32FB">
              <w:rPr>
                <w:rFonts w:asciiTheme="majorHAnsi" w:hAnsiTheme="majorHAnsi" w:cs="Arial"/>
                <w:b w:val="0"/>
                <w:sz w:val="20"/>
                <w:szCs w:val="20"/>
                <w:lang w:val="fr-CA"/>
              </w:rPr>
              <w:t>annexe</w:t>
            </w:r>
            <w:r w:rsidR="001979B9">
              <w:rPr>
                <w:rFonts w:asciiTheme="majorHAnsi" w:hAnsiTheme="majorHAnsi" w:cs="Arial"/>
                <w:b w:val="0"/>
                <w:sz w:val="20"/>
                <w:szCs w:val="20"/>
                <w:lang w:val="fr-CA"/>
              </w:rPr>
              <w:t xml:space="preserve"> 1,</w:t>
            </w:r>
            <w:r w:rsidRPr="000B0E5D">
              <w:rPr>
                <w:rFonts w:asciiTheme="majorHAnsi" w:hAnsiTheme="majorHAnsi" w:cs="Arial"/>
                <w:b w:val="0"/>
                <w:sz w:val="20"/>
                <w:szCs w:val="20"/>
                <w:lang w:val="fr-CA"/>
              </w:rPr>
              <w:t xml:space="preserve"> ¶ 13 (ix), 51</w:t>
            </w:r>
          </w:p>
        </w:tc>
        <w:tc>
          <w:tcPr>
            <w:tcW w:w="0" w:type="auto"/>
          </w:tcPr>
          <w:p w14:paraId="225695A0" w14:textId="77777777" w:rsidR="003B6083" w:rsidRPr="000B0E5D" w:rsidRDefault="003B6083" w:rsidP="007A5771">
            <w:pPr>
              <w:rPr>
                <w:rFonts w:asciiTheme="majorHAnsi" w:hAnsiTheme="majorHAnsi" w:cs="Arial"/>
                <w:sz w:val="22"/>
                <w:szCs w:val="22"/>
                <w:lang w:val="fr-CA"/>
              </w:rPr>
            </w:pPr>
            <w:r w:rsidRPr="000B0E5D">
              <w:rPr>
                <w:rFonts w:asciiTheme="majorHAnsi" w:hAnsiTheme="majorHAnsi" w:cs="Arial"/>
                <w:b w:val="0"/>
                <w:sz w:val="20"/>
                <w:szCs w:val="20"/>
                <w:lang w:val="fr-CA"/>
              </w:rPr>
              <w:t>4.14, 4.18</w:t>
            </w:r>
          </w:p>
        </w:tc>
        <w:tc>
          <w:tcPr>
            <w:tcW w:w="0" w:type="auto"/>
          </w:tcPr>
          <w:p w14:paraId="6EB6E1DB" w14:textId="568CE2E0" w:rsidR="003B6083" w:rsidRPr="000B0E5D" w:rsidRDefault="00ED4DA2" w:rsidP="00ED4DA2">
            <w:pPr>
              <w:rPr>
                <w:rFonts w:asciiTheme="majorHAnsi" w:hAnsiTheme="majorHAnsi" w:cs="Arial"/>
                <w:sz w:val="20"/>
                <w:szCs w:val="20"/>
                <w:lang w:val="fr-CA"/>
              </w:rPr>
            </w:pPr>
            <w:r>
              <w:rPr>
                <w:rFonts w:asciiTheme="majorHAnsi" w:hAnsiTheme="majorHAnsi" w:cs="Arial"/>
                <w:b w:val="0"/>
                <w:sz w:val="20"/>
                <w:szCs w:val="20"/>
                <w:lang w:val="fr-CA"/>
              </w:rPr>
              <w:t>Continuer de participer aux travaux de l’IPBES par les moyens suivants : participation du Président du GEST aux réunions de l’IPBES et du GEM, participation de membres du GEST et d’autres experts Ramsar à des évaluations mondiales et régionales, examen des demandes à l’IPBES pour des évaluations thématiques, y compris une évaluation thématique sur l’état et les tendances actuelles des zones humides et l’intégration des résultats des évaluations de l’IPBES (p. ex., pollinisateurs, dégradation et restauration des sols) dans les travaux du GEST.</w:t>
            </w:r>
          </w:p>
        </w:tc>
        <w:tc>
          <w:tcPr>
            <w:tcW w:w="0" w:type="auto"/>
          </w:tcPr>
          <w:p w14:paraId="79037A61" w14:textId="7B9B9724" w:rsidR="003B6083" w:rsidRPr="000B0E5D" w:rsidRDefault="00ED4DA2" w:rsidP="00C8217C">
            <w:pPr>
              <w:rPr>
                <w:rFonts w:asciiTheme="majorHAnsi" w:hAnsiTheme="majorHAnsi" w:cs="Arial"/>
                <w:sz w:val="22"/>
                <w:szCs w:val="22"/>
                <w:lang w:val="fr-CA"/>
              </w:rPr>
            </w:pPr>
            <w:r>
              <w:rPr>
                <w:rFonts w:asciiTheme="majorHAnsi" w:hAnsiTheme="majorHAnsi" w:cs="Arial"/>
                <w:b w:val="0"/>
                <w:sz w:val="20"/>
                <w:szCs w:val="20"/>
                <w:lang w:val="fr-CA"/>
              </w:rPr>
              <w:t xml:space="preserve">Le fonds </w:t>
            </w:r>
            <w:r w:rsidR="00C8217C">
              <w:rPr>
                <w:rFonts w:asciiTheme="majorHAnsi" w:hAnsiTheme="majorHAnsi" w:cs="Arial"/>
                <w:b w:val="0"/>
                <w:sz w:val="20"/>
                <w:szCs w:val="20"/>
                <w:lang w:val="fr-CA"/>
              </w:rPr>
              <w:t>pour les</w:t>
            </w:r>
            <w:r>
              <w:rPr>
                <w:rFonts w:asciiTheme="majorHAnsi" w:hAnsiTheme="majorHAnsi" w:cs="Arial"/>
                <w:b w:val="0"/>
                <w:sz w:val="20"/>
                <w:szCs w:val="20"/>
                <w:lang w:val="fr-CA"/>
              </w:rPr>
              <w:t xml:space="preserve"> voyage</w:t>
            </w:r>
            <w:r w:rsidR="00C8217C">
              <w:rPr>
                <w:rFonts w:asciiTheme="majorHAnsi" w:hAnsiTheme="majorHAnsi" w:cs="Arial"/>
                <w:b w:val="0"/>
                <w:sz w:val="20"/>
                <w:szCs w:val="20"/>
                <w:lang w:val="fr-CA"/>
              </w:rPr>
              <w:t>s</w:t>
            </w:r>
            <w:r>
              <w:rPr>
                <w:rFonts w:asciiTheme="majorHAnsi" w:hAnsiTheme="majorHAnsi" w:cs="Arial"/>
                <w:b w:val="0"/>
                <w:sz w:val="20"/>
                <w:szCs w:val="20"/>
                <w:lang w:val="fr-CA"/>
              </w:rPr>
              <w:t xml:space="preserve"> du Président du GEST pour couvrir les frais de voyage. </w:t>
            </w:r>
          </w:p>
        </w:tc>
      </w:tr>
      <w:tr w:rsidR="00ED4DA2" w:rsidRPr="00833360" w14:paraId="7F9C5860" w14:textId="77777777" w:rsidTr="007A5771">
        <w:tc>
          <w:tcPr>
            <w:tcW w:w="0" w:type="auto"/>
          </w:tcPr>
          <w:p w14:paraId="21B4F8AB" w14:textId="3567D376" w:rsidR="003B6083" w:rsidRPr="000B0E5D" w:rsidRDefault="00ED4DA2" w:rsidP="00ED4DA2">
            <w:pPr>
              <w:rPr>
                <w:rFonts w:asciiTheme="majorHAnsi" w:hAnsiTheme="majorHAnsi" w:cs="Arial"/>
                <w:b w:val="0"/>
                <w:sz w:val="20"/>
                <w:szCs w:val="20"/>
                <w:lang w:val="fr-CA"/>
              </w:rPr>
            </w:pPr>
            <w:r>
              <w:rPr>
                <w:rFonts w:asciiTheme="majorHAnsi" w:hAnsiTheme="majorHAnsi" w:cs="Arial"/>
                <w:b w:val="0"/>
                <w:sz w:val="20"/>
                <w:szCs w:val="20"/>
                <w:lang w:val="fr-CA"/>
              </w:rPr>
              <w:t>Atlas des points chauds de tourbières</w:t>
            </w:r>
          </w:p>
        </w:tc>
        <w:tc>
          <w:tcPr>
            <w:tcW w:w="0" w:type="auto"/>
          </w:tcPr>
          <w:p w14:paraId="36B47005" w14:textId="48A24F78" w:rsidR="003B6083" w:rsidRPr="000B0E5D" w:rsidRDefault="003B6083" w:rsidP="007A5771">
            <w:pPr>
              <w:rPr>
                <w:rFonts w:asciiTheme="majorHAnsi" w:hAnsiTheme="majorHAnsi" w:cs="Arial"/>
                <w:b w:val="0"/>
                <w:sz w:val="20"/>
                <w:szCs w:val="20"/>
                <w:lang w:val="fr-CA"/>
              </w:rPr>
            </w:pPr>
            <w:r w:rsidRPr="000B0E5D">
              <w:rPr>
                <w:rFonts w:asciiTheme="majorHAnsi" w:hAnsiTheme="majorHAnsi" w:cs="Arial"/>
                <w:b w:val="0"/>
                <w:sz w:val="20"/>
                <w:szCs w:val="20"/>
                <w:lang w:val="fr-CA"/>
              </w:rPr>
              <w:t xml:space="preserve">XII.5, </w:t>
            </w:r>
            <w:r w:rsidR="004B32FB">
              <w:rPr>
                <w:rFonts w:asciiTheme="majorHAnsi" w:hAnsiTheme="majorHAnsi" w:cs="Arial"/>
                <w:b w:val="0"/>
                <w:sz w:val="20"/>
                <w:szCs w:val="20"/>
                <w:lang w:val="fr-CA"/>
              </w:rPr>
              <w:t>annexe</w:t>
            </w:r>
            <w:r w:rsidRPr="000B0E5D">
              <w:rPr>
                <w:rFonts w:asciiTheme="majorHAnsi" w:hAnsiTheme="majorHAnsi" w:cs="Arial"/>
                <w:b w:val="0"/>
                <w:sz w:val="20"/>
                <w:szCs w:val="20"/>
                <w:lang w:val="fr-CA"/>
              </w:rPr>
              <w:t xml:space="preserve"> 1, </w:t>
            </w:r>
            <w:r w:rsidRPr="000B0E5D">
              <w:rPr>
                <w:rFonts w:ascii="Calibri" w:hAnsi="Calibri" w:cs="Arial"/>
                <w:b w:val="0"/>
                <w:sz w:val="20"/>
                <w:szCs w:val="20"/>
                <w:lang w:val="fr-CA"/>
              </w:rPr>
              <w:t>¶</w:t>
            </w:r>
            <w:r w:rsidRPr="000B0E5D">
              <w:rPr>
                <w:rFonts w:asciiTheme="majorHAnsi" w:hAnsiTheme="majorHAnsi" w:cs="Arial"/>
                <w:b w:val="0"/>
                <w:sz w:val="20"/>
                <w:szCs w:val="20"/>
                <w:lang w:val="fr-CA"/>
              </w:rPr>
              <w:t>¶</w:t>
            </w:r>
            <w:r w:rsidR="00855403">
              <w:rPr>
                <w:rFonts w:asciiTheme="majorHAnsi" w:hAnsiTheme="majorHAnsi" w:cs="Arial"/>
                <w:b w:val="0"/>
                <w:sz w:val="20"/>
                <w:szCs w:val="20"/>
                <w:lang w:val="fr-CA"/>
              </w:rPr>
              <w:t xml:space="preserve"> </w:t>
            </w:r>
            <w:r w:rsidRPr="000B0E5D">
              <w:rPr>
                <w:rFonts w:ascii="Calibri" w:hAnsi="Calibri" w:cs="Arial"/>
                <w:b w:val="0"/>
                <w:sz w:val="20"/>
                <w:szCs w:val="20"/>
                <w:lang w:val="fr-CA"/>
              </w:rPr>
              <w:t>1-2</w:t>
            </w:r>
          </w:p>
        </w:tc>
        <w:tc>
          <w:tcPr>
            <w:tcW w:w="0" w:type="auto"/>
          </w:tcPr>
          <w:p w14:paraId="433A36A0" w14:textId="77777777" w:rsidR="003B6083" w:rsidRPr="000B0E5D" w:rsidRDefault="003B6083" w:rsidP="007A5771">
            <w:pPr>
              <w:rPr>
                <w:rFonts w:asciiTheme="majorHAnsi" w:hAnsiTheme="majorHAnsi" w:cs="Arial"/>
                <w:sz w:val="22"/>
                <w:szCs w:val="22"/>
                <w:lang w:val="fr-CA"/>
              </w:rPr>
            </w:pPr>
            <w:r w:rsidRPr="000B0E5D">
              <w:rPr>
                <w:rFonts w:asciiTheme="majorHAnsi" w:hAnsiTheme="majorHAnsi" w:cs="Arial"/>
                <w:b w:val="0"/>
                <w:sz w:val="20"/>
                <w:szCs w:val="20"/>
                <w:lang w:val="fr-CA"/>
              </w:rPr>
              <w:t>4.14, 4.18</w:t>
            </w:r>
          </w:p>
        </w:tc>
        <w:tc>
          <w:tcPr>
            <w:tcW w:w="0" w:type="auto"/>
          </w:tcPr>
          <w:p w14:paraId="2B4E648E" w14:textId="3D4C9FCD" w:rsidR="003B6083" w:rsidRPr="000B0E5D" w:rsidRDefault="00ED4DA2" w:rsidP="00C8217C">
            <w:pPr>
              <w:rPr>
                <w:rFonts w:asciiTheme="majorHAnsi" w:hAnsiTheme="majorHAnsi" w:cs="Arial"/>
                <w:b w:val="0"/>
                <w:sz w:val="20"/>
                <w:szCs w:val="20"/>
                <w:lang w:val="fr-CA"/>
              </w:rPr>
            </w:pPr>
            <w:r>
              <w:rPr>
                <w:rFonts w:asciiTheme="majorHAnsi" w:hAnsiTheme="majorHAnsi" w:cs="Arial"/>
                <w:b w:val="0"/>
                <w:sz w:val="20"/>
                <w:szCs w:val="20"/>
                <w:lang w:val="fr-CA"/>
              </w:rPr>
              <w:t xml:space="preserve">Fournir des avis, s’il y a lieu et si nécessaire, au projet d’Atlas des points chauds de tourbières, un projet en collaboration entre </w:t>
            </w:r>
            <w:r w:rsidR="003B6083" w:rsidRPr="000B0E5D">
              <w:rPr>
                <w:rFonts w:asciiTheme="majorHAnsi" w:hAnsiTheme="majorHAnsi" w:cs="Arial"/>
                <w:b w:val="0"/>
                <w:sz w:val="20"/>
                <w:szCs w:val="20"/>
                <w:lang w:val="fr-CA"/>
              </w:rPr>
              <w:t xml:space="preserve">Wetlands International (WI), </w:t>
            </w:r>
            <w:r>
              <w:rPr>
                <w:rFonts w:asciiTheme="majorHAnsi" w:hAnsiTheme="majorHAnsi" w:cs="Arial"/>
                <w:b w:val="0"/>
                <w:sz w:val="20"/>
                <w:szCs w:val="20"/>
                <w:lang w:val="fr-CA"/>
              </w:rPr>
              <w:t xml:space="preserve">la </w:t>
            </w:r>
            <w:r w:rsidR="003B6083" w:rsidRPr="000B0E5D">
              <w:rPr>
                <w:rFonts w:asciiTheme="majorHAnsi" w:hAnsiTheme="majorHAnsi" w:cs="Arial"/>
                <w:b w:val="0"/>
                <w:sz w:val="20"/>
                <w:szCs w:val="20"/>
                <w:lang w:val="fr-CA"/>
              </w:rPr>
              <w:t>C</w:t>
            </w:r>
            <w:r>
              <w:rPr>
                <w:rFonts w:asciiTheme="majorHAnsi" w:hAnsiTheme="majorHAnsi" w:cs="Arial"/>
                <w:b w:val="0"/>
                <w:sz w:val="20"/>
                <w:szCs w:val="20"/>
                <w:lang w:val="fr-CA"/>
              </w:rPr>
              <w:t>DB</w:t>
            </w:r>
            <w:r w:rsidR="003B6083" w:rsidRPr="000B0E5D">
              <w:rPr>
                <w:rFonts w:asciiTheme="majorHAnsi" w:hAnsiTheme="majorHAnsi" w:cs="Arial"/>
                <w:b w:val="0"/>
                <w:sz w:val="20"/>
                <w:szCs w:val="20"/>
                <w:lang w:val="fr-CA"/>
              </w:rPr>
              <w:t xml:space="preserve">, </w:t>
            </w:r>
            <w:r>
              <w:rPr>
                <w:rFonts w:asciiTheme="majorHAnsi" w:hAnsiTheme="majorHAnsi" w:cs="Arial"/>
                <w:b w:val="0"/>
                <w:sz w:val="20"/>
                <w:szCs w:val="20"/>
                <w:lang w:val="fr-CA"/>
              </w:rPr>
              <w:t xml:space="preserve">la CNULD et </w:t>
            </w:r>
            <w:r w:rsidR="003B6083" w:rsidRPr="000B0E5D">
              <w:rPr>
                <w:rFonts w:asciiTheme="majorHAnsi" w:hAnsiTheme="majorHAnsi" w:cs="Arial"/>
                <w:b w:val="0"/>
                <w:sz w:val="20"/>
                <w:szCs w:val="20"/>
                <w:lang w:val="fr-CA"/>
              </w:rPr>
              <w:t xml:space="preserve">Ramsar, </w:t>
            </w:r>
            <w:r>
              <w:rPr>
                <w:rFonts w:asciiTheme="majorHAnsi" w:hAnsiTheme="majorHAnsi" w:cs="Arial"/>
                <w:b w:val="0"/>
                <w:sz w:val="20"/>
                <w:szCs w:val="20"/>
                <w:lang w:val="fr-CA"/>
              </w:rPr>
              <w:t xml:space="preserve">lancé à </w:t>
            </w:r>
            <w:r>
              <w:rPr>
                <w:rFonts w:asciiTheme="majorHAnsi" w:hAnsiTheme="majorHAnsi" w:cs="Arial"/>
                <w:b w:val="0"/>
                <w:sz w:val="20"/>
                <w:szCs w:val="20"/>
                <w:lang w:val="fr-CA"/>
              </w:rPr>
              <w:lastRenderedPageBreak/>
              <w:t xml:space="preserve">la COP21 de la CCNUCC. Il pourrait y avoir un potentiel de produits Ramsar dérivés, sous réserve des ressources disponibles et de l’approbation du Comité permanent. </w:t>
            </w:r>
          </w:p>
        </w:tc>
        <w:tc>
          <w:tcPr>
            <w:tcW w:w="0" w:type="auto"/>
          </w:tcPr>
          <w:p w14:paraId="7974598C" w14:textId="259FC436" w:rsidR="003B6083" w:rsidRPr="000B0E5D" w:rsidRDefault="00ED4DA2" w:rsidP="007A5771">
            <w:pPr>
              <w:rPr>
                <w:rFonts w:asciiTheme="majorHAnsi" w:hAnsiTheme="majorHAnsi" w:cs="Arial"/>
                <w:b w:val="0"/>
                <w:sz w:val="20"/>
                <w:szCs w:val="20"/>
                <w:lang w:val="fr-CA"/>
              </w:rPr>
            </w:pPr>
            <w:r>
              <w:rPr>
                <w:rFonts w:asciiTheme="majorHAnsi" w:hAnsiTheme="majorHAnsi" w:cs="Arial"/>
                <w:b w:val="0"/>
                <w:sz w:val="20"/>
                <w:szCs w:val="20"/>
                <w:lang w:val="fr-CA"/>
              </w:rPr>
              <w:lastRenderedPageBreak/>
              <w:t>Pas d’incidences financières pour le budget du GEST. Les avis sont fournis à titre bénévole</w:t>
            </w:r>
            <w:r w:rsidR="003B6083" w:rsidRPr="000B0E5D">
              <w:rPr>
                <w:rFonts w:asciiTheme="majorHAnsi" w:hAnsiTheme="majorHAnsi" w:cs="Arial"/>
                <w:b w:val="0"/>
                <w:sz w:val="20"/>
                <w:szCs w:val="20"/>
                <w:lang w:val="fr-CA"/>
              </w:rPr>
              <w:t>.</w:t>
            </w:r>
          </w:p>
        </w:tc>
      </w:tr>
    </w:tbl>
    <w:p w14:paraId="371A3560" w14:textId="77777777" w:rsidR="005E30D4" w:rsidRPr="00251FB6" w:rsidRDefault="005E30D4" w:rsidP="00914A1A">
      <w:pPr>
        <w:rPr>
          <w:rFonts w:asciiTheme="majorHAnsi" w:eastAsia="Calibri" w:hAnsiTheme="majorHAnsi" w:cs="Calibri"/>
          <w:color w:val="000000"/>
          <w:sz w:val="22"/>
          <w:szCs w:val="22"/>
          <w:lang w:val="fr-CH"/>
        </w:rPr>
      </w:pPr>
    </w:p>
    <w:p w14:paraId="425E629F" w14:textId="77777777" w:rsidR="00836984" w:rsidRPr="00251FB6" w:rsidRDefault="00836984" w:rsidP="00914A1A">
      <w:pPr>
        <w:rPr>
          <w:rFonts w:asciiTheme="majorHAnsi" w:hAnsiTheme="majorHAnsi" w:cs="Tahoma"/>
          <w:color w:val="000000"/>
          <w:sz w:val="20"/>
          <w:szCs w:val="20"/>
          <w:lang w:val="fr-CH"/>
        </w:rPr>
      </w:pPr>
    </w:p>
    <w:tbl>
      <w:tblPr>
        <w:tblStyle w:val="TableGrid1"/>
        <w:tblW w:w="5000" w:type="pct"/>
        <w:tblLook w:val="04A0" w:firstRow="1" w:lastRow="0" w:firstColumn="1" w:lastColumn="0" w:noHBand="0" w:noVBand="1"/>
      </w:tblPr>
      <w:tblGrid>
        <w:gridCol w:w="14174"/>
      </w:tblGrid>
      <w:tr w:rsidR="00914A1A" w:rsidRPr="00833360" w14:paraId="1241FB1D" w14:textId="77777777" w:rsidTr="00914A1A">
        <w:tc>
          <w:tcPr>
            <w:tcW w:w="5000" w:type="pct"/>
            <w:shd w:val="clear" w:color="auto" w:fill="000000" w:themeFill="text1"/>
          </w:tcPr>
          <w:p w14:paraId="5E94EC81" w14:textId="7D7B6CBB" w:rsidR="00914A1A" w:rsidRPr="003F6411" w:rsidRDefault="00C769FD" w:rsidP="000B0E5D">
            <w:pPr>
              <w:keepNext/>
              <w:keepLines/>
              <w:rPr>
                <w:rFonts w:asciiTheme="majorHAnsi" w:hAnsiTheme="majorHAnsi" w:cs="Arial"/>
                <w:sz w:val="20"/>
                <w:szCs w:val="20"/>
                <w:lang w:val="fr-FR"/>
              </w:rPr>
            </w:pPr>
            <w:r w:rsidRPr="003F6411">
              <w:rPr>
                <w:rFonts w:asciiTheme="majorHAnsi" w:hAnsiTheme="majorHAnsi" w:cs="Arial"/>
                <w:sz w:val="20"/>
                <w:szCs w:val="20"/>
                <w:lang w:val="fr-FR"/>
              </w:rPr>
              <w:t>Domaine de travail thématique n</w:t>
            </w:r>
            <w:r w:rsidRPr="003F6411">
              <w:rPr>
                <w:rFonts w:asciiTheme="majorHAnsi" w:hAnsiTheme="majorHAnsi" w:cs="Arial"/>
                <w:sz w:val="20"/>
                <w:szCs w:val="20"/>
                <w:vertAlign w:val="superscript"/>
                <w:lang w:val="fr-FR"/>
              </w:rPr>
              <w:t>o</w:t>
            </w:r>
            <w:r w:rsidRPr="003F6411">
              <w:rPr>
                <w:rFonts w:asciiTheme="majorHAnsi" w:hAnsiTheme="majorHAnsi" w:cs="Arial"/>
                <w:sz w:val="20"/>
                <w:szCs w:val="20"/>
                <w:lang w:val="fr-FR"/>
              </w:rPr>
              <w:t xml:space="preserve"> 1 : Méthodes et outils sur les meilleures pratiques pour le suivi des Sites Ramsar, y compris études, cartographies et inventaires reconnaissant les pratiques traditionnelles des peuples autochtones et des communautés locales </w:t>
            </w:r>
          </w:p>
        </w:tc>
      </w:tr>
    </w:tbl>
    <w:p w14:paraId="084B50BE" w14:textId="77777777" w:rsidR="00914A1A" w:rsidRPr="003F6411" w:rsidRDefault="00914A1A" w:rsidP="000B0E5D">
      <w:pPr>
        <w:keepNext/>
        <w:keepLines/>
        <w:rPr>
          <w:rFonts w:asciiTheme="majorHAnsi" w:hAnsiTheme="majorHAnsi" w:cs="Arial"/>
          <w:sz w:val="20"/>
          <w:szCs w:val="20"/>
          <w:lang w:val="fr-FR"/>
        </w:rPr>
      </w:pPr>
    </w:p>
    <w:tbl>
      <w:tblPr>
        <w:tblStyle w:val="TableGrid21"/>
        <w:tblW w:w="5000" w:type="pct"/>
        <w:jc w:val="center"/>
        <w:tblLook w:val="04A0" w:firstRow="1" w:lastRow="0" w:firstColumn="1" w:lastColumn="0" w:noHBand="0" w:noVBand="1"/>
      </w:tblPr>
      <w:tblGrid>
        <w:gridCol w:w="3561"/>
        <w:gridCol w:w="10613"/>
      </w:tblGrid>
      <w:tr w:rsidR="00914A1A" w:rsidRPr="00833360" w14:paraId="5691AA28" w14:textId="77777777" w:rsidTr="00914A1A">
        <w:trPr>
          <w:jc w:val="center"/>
        </w:trPr>
        <w:tc>
          <w:tcPr>
            <w:tcW w:w="1256" w:type="pct"/>
          </w:tcPr>
          <w:p w14:paraId="65780D85" w14:textId="3CF8F9DD" w:rsidR="00914A1A" w:rsidRPr="003F6411" w:rsidRDefault="00A1768B" w:rsidP="000B0E5D">
            <w:pPr>
              <w:keepNext/>
              <w:keepLines/>
              <w:rPr>
                <w:rFonts w:asciiTheme="majorHAnsi" w:eastAsia="Calibri" w:hAnsiTheme="majorHAnsi" w:cs="Arial"/>
                <w:sz w:val="20"/>
                <w:szCs w:val="20"/>
                <w:lang w:val="fr-FR"/>
              </w:rPr>
            </w:pPr>
            <w:r w:rsidRPr="003F6411">
              <w:rPr>
                <w:rFonts w:asciiTheme="majorHAnsi" w:eastAsia="Calibri" w:hAnsiTheme="majorHAnsi" w:cs="Arial"/>
                <w:sz w:val="20"/>
                <w:szCs w:val="20"/>
                <w:lang w:val="fr-FR"/>
              </w:rPr>
              <w:t>Leader</w:t>
            </w:r>
            <w:r w:rsidR="00C769FD" w:rsidRPr="003F6411">
              <w:rPr>
                <w:rFonts w:asciiTheme="majorHAnsi" w:eastAsia="Calibri" w:hAnsiTheme="majorHAnsi" w:cs="Arial"/>
                <w:sz w:val="20"/>
                <w:szCs w:val="20"/>
                <w:lang w:val="fr-FR"/>
              </w:rPr>
              <w:t>(s) de groupe de travail et</w:t>
            </w:r>
            <w:r w:rsidR="00E01336" w:rsidRPr="003F6411">
              <w:rPr>
                <w:rFonts w:asciiTheme="majorHAnsi" w:eastAsia="Calibri" w:hAnsiTheme="majorHAnsi" w:cs="Arial"/>
                <w:sz w:val="20"/>
                <w:szCs w:val="20"/>
                <w:lang w:val="fr-FR"/>
              </w:rPr>
              <w:t xml:space="preserve"> </w:t>
            </w:r>
            <w:r w:rsidR="00914A1A" w:rsidRPr="003F6411">
              <w:rPr>
                <w:rFonts w:asciiTheme="majorHAnsi" w:eastAsia="Calibri" w:hAnsiTheme="majorHAnsi" w:cs="Arial"/>
                <w:sz w:val="20"/>
                <w:szCs w:val="20"/>
                <w:lang w:val="fr-FR"/>
              </w:rPr>
              <w:t>participants</w:t>
            </w:r>
            <w:r w:rsidR="009746C1" w:rsidRPr="003F6411">
              <w:rPr>
                <w:rFonts w:asciiTheme="majorHAnsi" w:eastAsia="Calibri" w:hAnsiTheme="majorHAnsi" w:cs="Arial"/>
                <w:sz w:val="20"/>
                <w:szCs w:val="20"/>
                <w:lang w:val="fr-FR"/>
              </w:rPr>
              <w:t> :</w:t>
            </w:r>
          </w:p>
        </w:tc>
        <w:tc>
          <w:tcPr>
            <w:tcW w:w="3744" w:type="pct"/>
          </w:tcPr>
          <w:p w14:paraId="49AB9576" w14:textId="01A714B8" w:rsidR="00914A1A" w:rsidRPr="003F6411" w:rsidRDefault="003B6083" w:rsidP="000B0E5D">
            <w:pPr>
              <w:keepNext/>
              <w:keepLines/>
              <w:tabs>
                <w:tab w:val="left" w:pos="1095"/>
              </w:tabs>
              <w:rPr>
                <w:rFonts w:asciiTheme="majorHAnsi" w:eastAsia="Calibri" w:hAnsiTheme="majorHAnsi" w:cs="Arial"/>
                <w:b w:val="0"/>
                <w:sz w:val="20"/>
                <w:szCs w:val="20"/>
                <w:lang w:val="fr-FR"/>
              </w:rPr>
            </w:pPr>
            <w:r w:rsidRPr="003F6411">
              <w:rPr>
                <w:rFonts w:asciiTheme="majorHAnsi" w:eastAsia="Calibri" w:hAnsiTheme="majorHAnsi" w:cs="Arial"/>
                <w:b w:val="0"/>
                <w:sz w:val="20"/>
                <w:szCs w:val="20"/>
                <w:lang w:val="fr-FR"/>
              </w:rPr>
              <w:t xml:space="preserve">Lars Dinesen, </w:t>
            </w:r>
            <w:r w:rsidR="00914A1A" w:rsidRPr="003F6411">
              <w:rPr>
                <w:rFonts w:asciiTheme="majorHAnsi" w:eastAsia="Calibri" w:hAnsiTheme="majorHAnsi" w:cs="Arial"/>
                <w:b w:val="0"/>
                <w:sz w:val="20"/>
                <w:szCs w:val="20"/>
                <w:lang w:val="fr-FR"/>
              </w:rPr>
              <w:t>Max</w:t>
            </w:r>
            <w:r w:rsidR="00E01336" w:rsidRPr="003F6411">
              <w:rPr>
                <w:rFonts w:asciiTheme="majorHAnsi" w:eastAsia="Calibri" w:hAnsiTheme="majorHAnsi" w:cs="Arial"/>
                <w:b w:val="0"/>
                <w:sz w:val="20"/>
                <w:szCs w:val="20"/>
                <w:lang w:val="fr-FR"/>
              </w:rPr>
              <w:t xml:space="preserve"> </w:t>
            </w:r>
            <w:r w:rsidR="00914A1A" w:rsidRPr="003F6411">
              <w:rPr>
                <w:rFonts w:asciiTheme="majorHAnsi" w:eastAsia="Calibri" w:hAnsiTheme="majorHAnsi" w:cs="Arial"/>
                <w:b w:val="0"/>
                <w:sz w:val="20"/>
                <w:szCs w:val="20"/>
                <w:lang w:val="fr-FR"/>
              </w:rPr>
              <w:t>Finlayson</w:t>
            </w:r>
            <w:r w:rsidR="00E01336" w:rsidRPr="003F6411">
              <w:rPr>
                <w:rFonts w:asciiTheme="majorHAnsi" w:eastAsia="Calibri" w:hAnsiTheme="majorHAnsi" w:cs="Arial"/>
                <w:b w:val="0"/>
                <w:sz w:val="20"/>
                <w:szCs w:val="20"/>
                <w:lang w:val="fr-FR"/>
              </w:rPr>
              <w:t xml:space="preserve"> </w:t>
            </w:r>
            <w:r w:rsidR="00914A1A" w:rsidRPr="003F6411">
              <w:rPr>
                <w:rFonts w:asciiTheme="majorHAnsi" w:eastAsia="Calibri" w:hAnsiTheme="majorHAnsi" w:cs="Arial"/>
                <w:b w:val="0"/>
                <w:sz w:val="20"/>
                <w:szCs w:val="20"/>
                <w:lang w:val="fr-FR"/>
              </w:rPr>
              <w:t>(</w:t>
            </w:r>
            <w:r w:rsidR="00A1768B" w:rsidRPr="003F6411">
              <w:rPr>
                <w:rFonts w:asciiTheme="majorHAnsi" w:eastAsia="Calibri" w:hAnsiTheme="majorHAnsi" w:cs="Arial"/>
                <w:b w:val="0"/>
                <w:sz w:val="20"/>
                <w:szCs w:val="20"/>
                <w:lang w:val="fr-FR"/>
              </w:rPr>
              <w:t>leader</w:t>
            </w:r>
            <w:r w:rsidR="00914A1A" w:rsidRPr="003F6411">
              <w:rPr>
                <w:rFonts w:asciiTheme="majorHAnsi" w:eastAsia="Calibri" w:hAnsiTheme="majorHAnsi" w:cs="Arial"/>
                <w:b w:val="0"/>
                <w:sz w:val="20"/>
                <w:szCs w:val="20"/>
                <w:lang w:val="fr-FR"/>
              </w:rPr>
              <w:t>),</w:t>
            </w:r>
            <w:r w:rsidR="00E01336" w:rsidRPr="003F6411">
              <w:rPr>
                <w:rFonts w:asciiTheme="majorHAnsi" w:eastAsia="Calibri" w:hAnsiTheme="majorHAnsi" w:cs="Arial"/>
                <w:b w:val="0"/>
                <w:sz w:val="20"/>
                <w:szCs w:val="20"/>
                <w:lang w:val="fr-FR"/>
              </w:rPr>
              <w:t xml:space="preserve"> </w:t>
            </w:r>
            <w:r w:rsidR="00914A1A" w:rsidRPr="003F6411">
              <w:rPr>
                <w:rFonts w:asciiTheme="majorHAnsi" w:eastAsia="Calibri" w:hAnsiTheme="majorHAnsi" w:cs="Arial"/>
                <w:b w:val="0"/>
                <w:sz w:val="20"/>
                <w:szCs w:val="20"/>
                <w:lang w:val="fr-FR"/>
              </w:rPr>
              <w:t>Roy</w:t>
            </w:r>
            <w:r w:rsidR="00E01336" w:rsidRPr="003F6411">
              <w:rPr>
                <w:rFonts w:asciiTheme="majorHAnsi" w:eastAsia="Calibri" w:hAnsiTheme="majorHAnsi" w:cs="Arial"/>
                <w:b w:val="0"/>
                <w:sz w:val="20"/>
                <w:szCs w:val="20"/>
                <w:lang w:val="fr-FR"/>
              </w:rPr>
              <w:t xml:space="preserve"> </w:t>
            </w:r>
            <w:r w:rsidR="00914A1A" w:rsidRPr="003F6411">
              <w:rPr>
                <w:rFonts w:asciiTheme="majorHAnsi" w:eastAsia="Calibri" w:hAnsiTheme="majorHAnsi" w:cs="Arial"/>
                <w:b w:val="0"/>
                <w:sz w:val="20"/>
                <w:szCs w:val="20"/>
                <w:lang w:val="fr-FR"/>
              </w:rPr>
              <w:t>Gardner,</w:t>
            </w:r>
            <w:r w:rsidR="00E01336" w:rsidRPr="003F6411">
              <w:rPr>
                <w:rFonts w:asciiTheme="majorHAnsi" w:eastAsia="Calibri" w:hAnsiTheme="majorHAnsi" w:cs="Arial"/>
                <w:b w:val="0"/>
                <w:sz w:val="20"/>
                <w:szCs w:val="20"/>
                <w:lang w:val="fr-FR"/>
              </w:rPr>
              <w:t xml:space="preserve"> </w:t>
            </w:r>
            <w:r w:rsidR="00914A1A" w:rsidRPr="003F6411">
              <w:rPr>
                <w:rFonts w:asciiTheme="majorHAnsi" w:eastAsia="Calibri" w:hAnsiTheme="majorHAnsi" w:cs="Arial"/>
                <w:b w:val="0"/>
                <w:sz w:val="20"/>
                <w:szCs w:val="20"/>
                <w:lang w:val="fr-FR"/>
              </w:rPr>
              <w:t>Vincent</w:t>
            </w:r>
            <w:r w:rsidRPr="003F6411">
              <w:rPr>
                <w:rFonts w:asciiTheme="majorHAnsi" w:eastAsia="Calibri" w:hAnsiTheme="majorHAnsi" w:cs="Arial"/>
                <w:b w:val="0"/>
                <w:sz w:val="20"/>
                <w:szCs w:val="20"/>
                <w:lang w:val="fr-FR"/>
              </w:rPr>
              <w:t xml:space="preserve"> V.</w:t>
            </w:r>
            <w:r w:rsidR="00E01336" w:rsidRPr="003F6411">
              <w:rPr>
                <w:rFonts w:asciiTheme="majorHAnsi" w:eastAsia="Calibri" w:hAnsiTheme="majorHAnsi" w:cs="Arial"/>
                <w:b w:val="0"/>
                <w:sz w:val="20"/>
                <w:szCs w:val="20"/>
                <w:lang w:val="fr-FR"/>
              </w:rPr>
              <w:t xml:space="preserve"> </w:t>
            </w:r>
            <w:r w:rsidR="00914A1A" w:rsidRPr="003F6411">
              <w:rPr>
                <w:rFonts w:asciiTheme="majorHAnsi" w:eastAsia="Calibri" w:hAnsiTheme="majorHAnsi" w:cs="Arial"/>
                <w:b w:val="0"/>
                <w:sz w:val="20"/>
                <w:szCs w:val="20"/>
                <w:lang w:val="fr-FR"/>
              </w:rPr>
              <w:t>Hilomen,</w:t>
            </w:r>
            <w:r w:rsidR="00E01336" w:rsidRPr="003F6411">
              <w:rPr>
                <w:rFonts w:asciiTheme="majorHAnsi" w:eastAsia="Calibri" w:hAnsiTheme="majorHAnsi" w:cs="Arial"/>
                <w:b w:val="0"/>
                <w:sz w:val="20"/>
                <w:szCs w:val="20"/>
                <w:lang w:val="fr-FR"/>
              </w:rPr>
              <w:t xml:space="preserve"> </w:t>
            </w:r>
            <w:r w:rsidR="00F82E36" w:rsidRPr="003F6411">
              <w:rPr>
                <w:rFonts w:asciiTheme="majorHAnsi" w:eastAsia="Calibri" w:hAnsiTheme="majorHAnsi" w:cs="Arial"/>
                <w:b w:val="0"/>
                <w:sz w:val="20"/>
                <w:szCs w:val="20"/>
                <w:lang w:val="fr-FR"/>
              </w:rPr>
              <w:t xml:space="preserve">Jari Ilmonen, </w:t>
            </w:r>
            <w:r w:rsidR="00914A1A" w:rsidRPr="003F6411">
              <w:rPr>
                <w:rFonts w:asciiTheme="majorHAnsi" w:eastAsia="Calibri" w:hAnsiTheme="majorHAnsi" w:cs="Arial"/>
                <w:b w:val="0"/>
                <w:sz w:val="20"/>
                <w:szCs w:val="20"/>
                <w:lang w:val="fr-FR"/>
              </w:rPr>
              <w:t>Laura</w:t>
            </w:r>
            <w:r w:rsidR="00E01336" w:rsidRPr="003F6411">
              <w:rPr>
                <w:rFonts w:asciiTheme="majorHAnsi" w:eastAsia="Calibri" w:hAnsiTheme="majorHAnsi" w:cs="Arial"/>
                <w:b w:val="0"/>
                <w:sz w:val="20"/>
                <w:szCs w:val="20"/>
                <w:lang w:val="fr-FR"/>
              </w:rPr>
              <w:t xml:space="preserve"> </w:t>
            </w:r>
            <w:r w:rsidR="00914A1A" w:rsidRPr="003F6411">
              <w:rPr>
                <w:rFonts w:asciiTheme="majorHAnsi" w:eastAsia="Calibri" w:hAnsiTheme="majorHAnsi" w:cs="Arial"/>
                <w:b w:val="0"/>
                <w:sz w:val="20"/>
                <w:szCs w:val="20"/>
                <w:lang w:val="fr-FR"/>
              </w:rPr>
              <w:t>Martinez,</w:t>
            </w:r>
            <w:r w:rsidR="00E01336" w:rsidRPr="003F6411">
              <w:rPr>
                <w:rFonts w:asciiTheme="majorHAnsi" w:eastAsia="Calibri" w:hAnsiTheme="majorHAnsi" w:cs="Arial"/>
                <w:b w:val="0"/>
                <w:sz w:val="20"/>
                <w:szCs w:val="20"/>
                <w:lang w:val="fr-FR"/>
              </w:rPr>
              <w:t xml:space="preserve"> </w:t>
            </w:r>
            <w:r w:rsidR="00F82E36" w:rsidRPr="003F6411">
              <w:rPr>
                <w:rFonts w:asciiTheme="majorHAnsi" w:eastAsia="Calibri" w:hAnsiTheme="majorHAnsi" w:cs="Arial"/>
                <w:b w:val="0"/>
                <w:sz w:val="20"/>
                <w:szCs w:val="20"/>
                <w:lang w:val="fr-FR"/>
              </w:rPr>
              <w:t xml:space="preserve">Dulce Infante Mata, Rubén Quintana, </w:t>
            </w:r>
            <w:r w:rsidR="00914A1A" w:rsidRPr="003F6411">
              <w:rPr>
                <w:rFonts w:asciiTheme="majorHAnsi" w:eastAsia="Calibri" w:hAnsiTheme="majorHAnsi" w:cs="Arial"/>
                <w:b w:val="0"/>
                <w:sz w:val="20"/>
                <w:szCs w:val="20"/>
                <w:lang w:val="fr-FR"/>
              </w:rPr>
              <w:t>Lisa-Maria</w:t>
            </w:r>
            <w:r w:rsidR="00E01336" w:rsidRPr="003F6411">
              <w:rPr>
                <w:rFonts w:asciiTheme="majorHAnsi" w:eastAsia="Calibri" w:hAnsiTheme="majorHAnsi" w:cs="Arial"/>
                <w:b w:val="0"/>
                <w:sz w:val="20"/>
                <w:szCs w:val="20"/>
                <w:lang w:val="fr-FR"/>
              </w:rPr>
              <w:t xml:space="preserve"> </w:t>
            </w:r>
            <w:r w:rsidR="00914A1A" w:rsidRPr="003F6411">
              <w:rPr>
                <w:rFonts w:asciiTheme="majorHAnsi" w:eastAsia="Calibri" w:hAnsiTheme="majorHAnsi" w:cs="Arial"/>
                <w:b w:val="0"/>
                <w:sz w:val="20"/>
                <w:szCs w:val="20"/>
                <w:lang w:val="fr-FR"/>
              </w:rPr>
              <w:t>Rebelo</w:t>
            </w:r>
            <w:r w:rsidR="00F82E36" w:rsidRPr="003F6411">
              <w:rPr>
                <w:rFonts w:asciiTheme="majorHAnsi" w:eastAsia="Calibri" w:hAnsiTheme="majorHAnsi" w:cs="Arial"/>
                <w:b w:val="0"/>
                <w:sz w:val="20"/>
                <w:szCs w:val="20"/>
                <w:lang w:val="fr-FR"/>
              </w:rPr>
              <w:t>, Matt Walpole</w:t>
            </w:r>
          </w:p>
        </w:tc>
      </w:tr>
      <w:tr w:rsidR="00914A1A" w:rsidRPr="00833360" w14:paraId="4393D55A" w14:textId="77777777" w:rsidTr="00914A1A">
        <w:trPr>
          <w:jc w:val="center"/>
        </w:trPr>
        <w:tc>
          <w:tcPr>
            <w:tcW w:w="1256" w:type="pct"/>
          </w:tcPr>
          <w:p w14:paraId="2D3995A7" w14:textId="2DCF2CA3" w:rsidR="00914A1A" w:rsidRPr="003F6411" w:rsidRDefault="00914A1A" w:rsidP="00C769FD">
            <w:pPr>
              <w:rPr>
                <w:rFonts w:asciiTheme="majorHAnsi" w:eastAsia="Calibri" w:hAnsiTheme="majorHAnsi" w:cs="Arial"/>
                <w:sz w:val="20"/>
                <w:szCs w:val="20"/>
                <w:lang w:val="fr-FR"/>
              </w:rPr>
            </w:pPr>
          </w:p>
        </w:tc>
        <w:tc>
          <w:tcPr>
            <w:tcW w:w="3744" w:type="pct"/>
          </w:tcPr>
          <w:p w14:paraId="152EE856" w14:textId="10EB4BFF" w:rsidR="00914A1A" w:rsidRPr="003F6411" w:rsidRDefault="00914A1A" w:rsidP="00914A1A">
            <w:pPr>
              <w:rPr>
                <w:rFonts w:asciiTheme="majorHAnsi" w:eastAsia="Calibri" w:hAnsiTheme="majorHAnsi" w:cs="Arial"/>
                <w:b w:val="0"/>
                <w:sz w:val="20"/>
                <w:szCs w:val="20"/>
                <w:lang w:val="fr-FR"/>
              </w:rPr>
            </w:pPr>
          </w:p>
        </w:tc>
      </w:tr>
      <w:tr w:rsidR="00914A1A" w:rsidRPr="00833360" w14:paraId="43752BD9" w14:textId="77777777" w:rsidTr="00914A1A">
        <w:trPr>
          <w:jc w:val="center"/>
        </w:trPr>
        <w:tc>
          <w:tcPr>
            <w:tcW w:w="1256" w:type="pct"/>
          </w:tcPr>
          <w:p w14:paraId="196CBAAF" w14:textId="7504885F" w:rsidR="00914A1A" w:rsidRPr="003F6411" w:rsidRDefault="00C769FD" w:rsidP="00C769FD">
            <w:pPr>
              <w:rPr>
                <w:rFonts w:asciiTheme="majorHAnsi" w:eastAsia="Calibri" w:hAnsiTheme="majorHAnsi" w:cs="Arial"/>
                <w:sz w:val="20"/>
                <w:szCs w:val="20"/>
                <w:lang w:val="fr-FR"/>
              </w:rPr>
            </w:pPr>
            <w:r w:rsidRPr="003F6411">
              <w:rPr>
                <w:rFonts w:asciiTheme="majorHAnsi" w:eastAsia="Calibri" w:hAnsiTheme="majorHAnsi" w:cs="Arial"/>
                <w:sz w:val="20"/>
                <w:szCs w:val="20"/>
                <w:lang w:val="fr-FR"/>
              </w:rPr>
              <w:t xml:space="preserve">Organisations participantes : </w:t>
            </w:r>
            <w:r w:rsidR="00914A1A" w:rsidRPr="003F6411">
              <w:rPr>
                <w:rFonts w:asciiTheme="majorHAnsi" w:eastAsia="Calibri" w:hAnsiTheme="majorHAnsi" w:cs="Arial"/>
                <w:sz w:val="20"/>
                <w:szCs w:val="20"/>
                <w:lang w:val="fr-FR"/>
              </w:rPr>
              <w:t>[</w:t>
            </w:r>
            <w:r w:rsidRPr="003F6411">
              <w:rPr>
                <w:rFonts w:asciiTheme="majorHAnsi" w:eastAsia="Calibri" w:hAnsiTheme="majorHAnsi" w:cs="Arial"/>
                <w:sz w:val="20"/>
                <w:szCs w:val="20"/>
                <w:lang w:val="fr-FR"/>
              </w:rPr>
              <w:t>OIP</w:t>
            </w:r>
            <w:r w:rsidR="00914A1A" w:rsidRPr="003F6411">
              <w:rPr>
                <w:rFonts w:asciiTheme="majorHAnsi" w:eastAsia="Calibri" w:hAnsiTheme="majorHAnsi" w:cs="Arial"/>
                <w:sz w:val="20"/>
                <w:szCs w:val="20"/>
                <w:lang w:val="fr-FR"/>
              </w:rPr>
              <w:t>/observ</w:t>
            </w:r>
            <w:r w:rsidRPr="003F6411">
              <w:rPr>
                <w:rFonts w:asciiTheme="majorHAnsi" w:eastAsia="Calibri" w:hAnsiTheme="majorHAnsi" w:cs="Arial"/>
                <w:sz w:val="20"/>
                <w:szCs w:val="20"/>
                <w:lang w:val="fr-FR"/>
              </w:rPr>
              <w:t>ateurs</w:t>
            </w:r>
            <w:r w:rsidR="00914A1A" w:rsidRPr="003F6411">
              <w:rPr>
                <w:rFonts w:asciiTheme="majorHAnsi" w:eastAsia="Calibri" w:hAnsiTheme="majorHAnsi" w:cs="Arial"/>
                <w:sz w:val="20"/>
                <w:szCs w:val="20"/>
                <w:lang w:val="fr-FR"/>
              </w:rPr>
              <w:t>/</w:t>
            </w:r>
            <w:r w:rsidRPr="003F6411">
              <w:rPr>
                <w:rFonts w:asciiTheme="majorHAnsi" w:eastAsia="Calibri" w:hAnsiTheme="majorHAnsi" w:cs="Arial"/>
                <w:sz w:val="20"/>
                <w:szCs w:val="20"/>
                <w:lang w:val="fr-FR"/>
              </w:rPr>
              <w:t>autres</w:t>
            </w:r>
            <w:r w:rsidR="00914A1A" w:rsidRPr="003F6411">
              <w:rPr>
                <w:rFonts w:asciiTheme="majorHAnsi" w:eastAsia="Calibri" w:hAnsiTheme="majorHAnsi" w:cs="Arial"/>
                <w:sz w:val="20"/>
                <w:szCs w:val="20"/>
                <w:lang w:val="fr-FR"/>
              </w:rPr>
              <w:t>]</w:t>
            </w:r>
          </w:p>
        </w:tc>
        <w:tc>
          <w:tcPr>
            <w:tcW w:w="3744" w:type="pct"/>
          </w:tcPr>
          <w:p w14:paraId="7B428F02" w14:textId="23421BCB" w:rsidR="00914A1A" w:rsidRPr="003F6411" w:rsidRDefault="00914A1A" w:rsidP="00833360">
            <w:pPr>
              <w:rPr>
                <w:rFonts w:asciiTheme="majorHAnsi" w:eastAsia="Calibri" w:hAnsiTheme="majorHAnsi" w:cs="Arial"/>
                <w:b w:val="0"/>
                <w:sz w:val="20"/>
                <w:szCs w:val="20"/>
                <w:lang w:val="fr-FR"/>
              </w:rPr>
            </w:pPr>
            <w:r w:rsidRPr="003F6411">
              <w:rPr>
                <w:rFonts w:asciiTheme="majorHAnsi" w:eastAsia="Calibri" w:hAnsiTheme="majorHAnsi" w:cs="Arial"/>
                <w:b w:val="0"/>
                <w:sz w:val="20"/>
                <w:szCs w:val="20"/>
                <w:lang w:val="fr-FR"/>
              </w:rPr>
              <w:t>Wetlands</w:t>
            </w:r>
            <w:r w:rsidR="00E01336" w:rsidRPr="003F6411">
              <w:rPr>
                <w:rFonts w:asciiTheme="majorHAnsi" w:eastAsia="Calibri" w:hAnsiTheme="majorHAnsi" w:cs="Arial"/>
                <w:b w:val="0"/>
                <w:sz w:val="20"/>
                <w:szCs w:val="20"/>
                <w:lang w:val="fr-FR"/>
              </w:rPr>
              <w:t xml:space="preserve"> </w:t>
            </w:r>
            <w:r w:rsidRPr="003F6411">
              <w:rPr>
                <w:rFonts w:asciiTheme="majorHAnsi" w:eastAsia="Calibri" w:hAnsiTheme="majorHAnsi" w:cs="Arial"/>
                <w:b w:val="0"/>
                <w:sz w:val="20"/>
                <w:szCs w:val="20"/>
                <w:lang w:val="fr-FR"/>
              </w:rPr>
              <w:t>International</w:t>
            </w:r>
            <w:r w:rsidR="00E01336" w:rsidRPr="003F6411">
              <w:rPr>
                <w:rFonts w:asciiTheme="majorHAnsi" w:eastAsia="Calibri" w:hAnsiTheme="majorHAnsi" w:cs="Arial"/>
                <w:b w:val="0"/>
                <w:sz w:val="20"/>
                <w:szCs w:val="20"/>
                <w:lang w:val="fr-FR"/>
              </w:rPr>
              <w:t xml:space="preserve"> </w:t>
            </w:r>
            <w:r w:rsidRPr="003F6411">
              <w:rPr>
                <w:rFonts w:asciiTheme="majorHAnsi" w:eastAsia="Calibri" w:hAnsiTheme="majorHAnsi" w:cs="Arial"/>
                <w:b w:val="0"/>
                <w:sz w:val="20"/>
                <w:szCs w:val="20"/>
                <w:lang w:val="fr-FR"/>
              </w:rPr>
              <w:t>(WI)</w:t>
            </w:r>
            <w:r w:rsidR="00E01336" w:rsidRPr="003F6411">
              <w:rPr>
                <w:rFonts w:asciiTheme="majorHAnsi" w:eastAsia="Calibri" w:hAnsiTheme="majorHAnsi" w:cs="Arial"/>
                <w:b w:val="0"/>
                <w:sz w:val="20"/>
                <w:szCs w:val="20"/>
                <w:lang w:val="fr-FR"/>
              </w:rPr>
              <w:t xml:space="preserve"> </w:t>
            </w:r>
            <w:r w:rsidRPr="003F6411">
              <w:rPr>
                <w:rFonts w:asciiTheme="majorHAnsi" w:eastAsia="Calibri" w:hAnsiTheme="majorHAnsi" w:cs="Arial"/>
                <w:b w:val="0"/>
                <w:sz w:val="20"/>
                <w:szCs w:val="20"/>
                <w:lang w:val="fr-FR"/>
              </w:rPr>
              <w:t>(Marcel</w:t>
            </w:r>
            <w:r w:rsidR="00E01336" w:rsidRPr="003F6411">
              <w:rPr>
                <w:rFonts w:asciiTheme="majorHAnsi" w:eastAsia="Calibri" w:hAnsiTheme="majorHAnsi" w:cs="Arial"/>
                <w:b w:val="0"/>
                <w:sz w:val="20"/>
                <w:szCs w:val="20"/>
                <w:lang w:val="fr-FR"/>
              </w:rPr>
              <w:t xml:space="preserve"> </w:t>
            </w:r>
            <w:r w:rsidRPr="003F6411">
              <w:rPr>
                <w:rFonts w:asciiTheme="majorHAnsi" w:eastAsia="Calibri" w:hAnsiTheme="majorHAnsi" w:cs="Arial"/>
                <w:b w:val="0"/>
                <w:sz w:val="20"/>
                <w:szCs w:val="20"/>
                <w:lang w:val="fr-FR"/>
              </w:rPr>
              <w:t>Silvius),</w:t>
            </w:r>
            <w:r w:rsidR="00E01336" w:rsidRPr="003F6411">
              <w:rPr>
                <w:rFonts w:asciiTheme="majorHAnsi" w:eastAsia="Calibri" w:hAnsiTheme="majorHAnsi" w:cs="Arial"/>
                <w:b w:val="0"/>
                <w:sz w:val="20"/>
                <w:szCs w:val="20"/>
                <w:lang w:val="fr-FR"/>
              </w:rPr>
              <w:t xml:space="preserve"> </w:t>
            </w:r>
            <w:r w:rsidRPr="003F6411">
              <w:rPr>
                <w:rFonts w:asciiTheme="majorHAnsi" w:eastAsia="Calibri" w:hAnsiTheme="majorHAnsi" w:cs="Arial"/>
                <w:b w:val="0"/>
                <w:sz w:val="20"/>
                <w:szCs w:val="20"/>
                <w:lang w:val="fr-FR"/>
              </w:rPr>
              <w:t>WWF</w:t>
            </w:r>
            <w:r w:rsidR="00E01336" w:rsidRPr="003F6411">
              <w:rPr>
                <w:rFonts w:asciiTheme="majorHAnsi" w:eastAsia="Calibri" w:hAnsiTheme="majorHAnsi" w:cs="Arial"/>
                <w:b w:val="0"/>
                <w:sz w:val="20"/>
                <w:szCs w:val="20"/>
                <w:lang w:val="fr-FR"/>
              </w:rPr>
              <w:t xml:space="preserve"> </w:t>
            </w:r>
            <w:r w:rsidRPr="003F6411">
              <w:rPr>
                <w:rFonts w:asciiTheme="majorHAnsi" w:eastAsia="Calibri" w:hAnsiTheme="majorHAnsi" w:cs="Arial"/>
                <w:b w:val="0"/>
                <w:sz w:val="20"/>
                <w:szCs w:val="20"/>
                <w:lang w:val="fr-FR"/>
              </w:rPr>
              <w:t>International</w:t>
            </w:r>
            <w:r w:rsidR="00E01336" w:rsidRPr="003F6411">
              <w:rPr>
                <w:rFonts w:asciiTheme="majorHAnsi" w:eastAsia="Calibri" w:hAnsiTheme="majorHAnsi" w:cs="Arial"/>
                <w:b w:val="0"/>
                <w:sz w:val="20"/>
                <w:szCs w:val="20"/>
                <w:lang w:val="fr-FR"/>
              </w:rPr>
              <w:t xml:space="preserve"> </w:t>
            </w:r>
            <w:r w:rsidRPr="003F6411">
              <w:rPr>
                <w:rFonts w:asciiTheme="majorHAnsi" w:eastAsia="Calibri" w:hAnsiTheme="majorHAnsi" w:cs="Arial"/>
                <w:b w:val="0"/>
                <w:sz w:val="20"/>
                <w:szCs w:val="20"/>
                <w:lang w:val="fr-FR"/>
              </w:rPr>
              <w:t>(Denis</w:t>
            </w:r>
            <w:r w:rsidR="00E01336" w:rsidRPr="003F6411">
              <w:rPr>
                <w:rFonts w:asciiTheme="majorHAnsi" w:eastAsia="Calibri" w:hAnsiTheme="majorHAnsi" w:cs="Arial"/>
                <w:b w:val="0"/>
                <w:sz w:val="20"/>
                <w:szCs w:val="20"/>
                <w:lang w:val="fr-FR"/>
              </w:rPr>
              <w:t xml:space="preserve"> </w:t>
            </w:r>
            <w:r w:rsidRPr="003F6411">
              <w:rPr>
                <w:rFonts w:asciiTheme="majorHAnsi" w:eastAsia="Calibri" w:hAnsiTheme="majorHAnsi" w:cs="Arial"/>
                <w:b w:val="0"/>
                <w:sz w:val="20"/>
                <w:szCs w:val="20"/>
                <w:lang w:val="fr-FR"/>
              </w:rPr>
              <w:t>Landenbergue)/</w:t>
            </w:r>
            <w:r w:rsidR="00E01336" w:rsidRPr="003F6411">
              <w:rPr>
                <w:rFonts w:asciiTheme="majorHAnsi" w:eastAsia="Calibri" w:hAnsiTheme="majorHAnsi" w:cs="Arial"/>
                <w:b w:val="0"/>
                <w:sz w:val="20"/>
                <w:szCs w:val="20"/>
                <w:lang w:val="fr-FR"/>
              </w:rPr>
              <w:t xml:space="preserve"> </w:t>
            </w:r>
            <w:r w:rsidR="00130D8F" w:rsidRPr="003F6411">
              <w:rPr>
                <w:rFonts w:asciiTheme="majorHAnsi" w:eastAsia="Calibri" w:hAnsiTheme="majorHAnsi" w:cs="Arial"/>
                <w:b w:val="0"/>
                <w:sz w:val="20"/>
                <w:szCs w:val="20"/>
                <w:lang w:val="fr-FR"/>
              </w:rPr>
              <w:t>Secrétariat de la CDB</w:t>
            </w:r>
            <w:r w:rsidR="00E01336" w:rsidRPr="003F6411">
              <w:rPr>
                <w:rFonts w:asciiTheme="majorHAnsi" w:eastAsia="Calibri" w:hAnsiTheme="majorHAnsi" w:cs="Arial"/>
                <w:b w:val="0"/>
                <w:sz w:val="20"/>
                <w:szCs w:val="20"/>
                <w:lang w:val="fr-FR"/>
              </w:rPr>
              <w:t xml:space="preserve"> </w:t>
            </w:r>
            <w:r w:rsidRPr="003F6411">
              <w:rPr>
                <w:rFonts w:asciiTheme="majorHAnsi" w:eastAsia="Calibri" w:hAnsiTheme="majorHAnsi" w:cs="Arial"/>
                <w:b w:val="0"/>
                <w:sz w:val="20"/>
                <w:szCs w:val="20"/>
                <w:lang w:val="fr-FR"/>
              </w:rPr>
              <w:t>(David</w:t>
            </w:r>
            <w:r w:rsidR="00E01336" w:rsidRPr="003F6411">
              <w:rPr>
                <w:rFonts w:asciiTheme="majorHAnsi" w:eastAsia="Calibri" w:hAnsiTheme="majorHAnsi" w:cs="Arial"/>
                <w:b w:val="0"/>
                <w:sz w:val="20"/>
                <w:szCs w:val="20"/>
                <w:lang w:val="fr-FR"/>
              </w:rPr>
              <w:t xml:space="preserve"> </w:t>
            </w:r>
            <w:r w:rsidRPr="003F6411">
              <w:rPr>
                <w:rFonts w:asciiTheme="majorHAnsi" w:eastAsia="Calibri" w:hAnsiTheme="majorHAnsi" w:cs="Arial"/>
                <w:b w:val="0"/>
                <w:sz w:val="20"/>
                <w:szCs w:val="20"/>
                <w:lang w:val="fr-FR"/>
              </w:rPr>
              <w:t>Coates),</w:t>
            </w:r>
            <w:r w:rsidR="00E01336" w:rsidRPr="003F6411">
              <w:rPr>
                <w:rFonts w:asciiTheme="majorHAnsi" w:eastAsia="Calibri" w:hAnsiTheme="majorHAnsi" w:cs="Arial"/>
                <w:b w:val="0"/>
                <w:sz w:val="20"/>
                <w:szCs w:val="20"/>
                <w:lang w:val="fr-FR"/>
              </w:rPr>
              <w:t xml:space="preserve"> </w:t>
            </w:r>
            <w:r w:rsidR="00130D8F" w:rsidRPr="003F6411">
              <w:rPr>
                <w:rFonts w:asciiTheme="majorHAnsi" w:eastAsia="Calibri" w:hAnsiTheme="majorHAnsi" w:cs="Arial"/>
                <w:b w:val="0"/>
                <w:sz w:val="20"/>
                <w:szCs w:val="20"/>
                <w:lang w:val="fr-FR"/>
              </w:rPr>
              <w:t>Agence spatiale européenne</w:t>
            </w:r>
            <w:r w:rsidR="00E01336" w:rsidRPr="003F6411">
              <w:rPr>
                <w:rFonts w:asciiTheme="majorHAnsi" w:eastAsia="Calibri" w:hAnsiTheme="majorHAnsi" w:cs="Arial"/>
                <w:b w:val="0"/>
                <w:sz w:val="20"/>
                <w:szCs w:val="20"/>
                <w:lang w:val="fr-FR"/>
              </w:rPr>
              <w:t xml:space="preserve"> </w:t>
            </w:r>
            <w:r w:rsidRPr="003F6411">
              <w:rPr>
                <w:rFonts w:asciiTheme="majorHAnsi" w:eastAsia="Calibri" w:hAnsiTheme="majorHAnsi" w:cs="Arial"/>
                <w:b w:val="0"/>
                <w:sz w:val="20"/>
                <w:szCs w:val="20"/>
                <w:lang w:val="fr-FR"/>
              </w:rPr>
              <w:t>(ESA)</w:t>
            </w:r>
            <w:r w:rsidR="00E01336" w:rsidRPr="003F6411">
              <w:rPr>
                <w:rFonts w:asciiTheme="majorHAnsi" w:eastAsia="Calibri" w:hAnsiTheme="majorHAnsi" w:cs="Arial"/>
                <w:b w:val="0"/>
                <w:sz w:val="20"/>
                <w:szCs w:val="20"/>
                <w:lang w:val="fr-FR"/>
              </w:rPr>
              <w:t xml:space="preserve"> </w:t>
            </w:r>
            <w:r w:rsidRPr="003F6411">
              <w:rPr>
                <w:rFonts w:asciiTheme="majorHAnsi" w:eastAsia="Calibri" w:hAnsiTheme="majorHAnsi" w:cs="Arial"/>
                <w:b w:val="0"/>
                <w:sz w:val="20"/>
                <w:szCs w:val="20"/>
                <w:lang w:val="fr-FR"/>
              </w:rPr>
              <w:t>(Marc</w:t>
            </w:r>
            <w:r w:rsidR="00E01336" w:rsidRPr="003F6411">
              <w:rPr>
                <w:rFonts w:asciiTheme="majorHAnsi" w:eastAsia="Calibri" w:hAnsiTheme="majorHAnsi" w:cs="Arial"/>
                <w:b w:val="0"/>
                <w:sz w:val="20"/>
                <w:szCs w:val="20"/>
                <w:lang w:val="fr-FR"/>
              </w:rPr>
              <w:t xml:space="preserve"> </w:t>
            </w:r>
            <w:r w:rsidRPr="003F6411">
              <w:rPr>
                <w:rFonts w:asciiTheme="majorHAnsi" w:eastAsia="Calibri" w:hAnsiTheme="majorHAnsi" w:cs="Arial"/>
                <w:b w:val="0"/>
                <w:sz w:val="20"/>
                <w:szCs w:val="20"/>
                <w:lang w:val="fr-FR"/>
              </w:rPr>
              <w:t>Paganini),</w:t>
            </w:r>
            <w:r w:rsidR="00E01336" w:rsidRPr="003F6411">
              <w:rPr>
                <w:rFonts w:asciiTheme="majorHAnsi" w:eastAsia="Calibri" w:hAnsiTheme="majorHAnsi" w:cs="Arial"/>
                <w:b w:val="0"/>
                <w:sz w:val="20"/>
                <w:szCs w:val="20"/>
                <w:lang w:val="fr-FR"/>
              </w:rPr>
              <w:t xml:space="preserve"> </w:t>
            </w:r>
            <w:r w:rsidR="003B6083" w:rsidRPr="003F6411">
              <w:rPr>
                <w:rFonts w:asciiTheme="majorHAnsi" w:eastAsia="Calibri" w:hAnsiTheme="majorHAnsi" w:cs="Arial"/>
                <w:b w:val="0"/>
                <w:sz w:val="20"/>
                <w:szCs w:val="20"/>
                <w:lang w:val="fr-FR"/>
              </w:rPr>
              <w:t xml:space="preserve">Société internationale de la tourbe (SIT) (Jack Rieley), </w:t>
            </w:r>
            <w:r w:rsidR="00130D8F" w:rsidRPr="003F6411">
              <w:rPr>
                <w:rFonts w:asciiTheme="majorHAnsi" w:eastAsia="Calibri" w:hAnsiTheme="majorHAnsi" w:cs="Arial"/>
                <w:b w:val="0"/>
                <w:sz w:val="20"/>
                <w:szCs w:val="20"/>
                <w:lang w:val="fr-FR"/>
              </w:rPr>
              <w:t>Agence japonaise d’exploration aérospatiale</w:t>
            </w:r>
            <w:r w:rsidR="00E01336" w:rsidRPr="003F6411">
              <w:rPr>
                <w:rFonts w:asciiTheme="majorHAnsi" w:eastAsia="Calibri" w:hAnsiTheme="majorHAnsi" w:cs="Arial"/>
                <w:b w:val="0"/>
                <w:sz w:val="20"/>
                <w:szCs w:val="20"/>
                <w:lang w:val="fr-FR"/>
              </w:rPr>
              <w:t xml:space="preserve"> </w:t>
            </w:r>
            <w:r w:rsidRPr="003F6411">
              <w:rPr>
                <w:rFonts w:asciiTheme="majorHAnsi" w:eastAsia="Calibri" w:hAnsiTheme="majorHAnsi" w:cs="Arial"/>
                <w:b w:val="0"/>
                <w:sz w:val="20"/>
                <w:szCs w:val="20"/>
                <w:lang w:val="fr-FR"/>
              </w:rPr>
              <w:t>(JAXA)</w:t>
            </w:r>
            <w:r w:rsidR="00E01336" w:rsidRPr="003F6411">
              <w:rPr>
                <w:rFonts w:asciiTheme="majorHAnsi" w:eastAsia="Calibri" w:hAnsiTheme="majorHAnsi" w:cs="Arial"/>
                <w:b w:val="0"/>
                <w:sz w:val="20"/>
                <w:szCs w:val="20"/>
                <w:lang w:val="fr-FR"/>
              </w:rPr>
              <w:t xml:space="preserve"> </w:t>
            </w:r>
            <w:r w:rsidRPr="003F6411">
              <w:rPr>
                <w:rFonts w:asciiTheme="majorHAnsi" w:eastAsia="Calibri" w:hAnsiTheme="majorHAnsi" w:cs="Arial"/>
                <w:b w:val="0"/>
                <w:sz w:val="20"/>
                <w:szCs w:val="20"/>
                <w:lang w:val="fr-FR"/>
              </w:rPr>
              <w:t>(Ake</w:t>
            </w:r>
            <w:r w:rsidR="00E01336" w:rsidRPr="003F6411">
              <w:rPr>
                <w:rFonts w:asciiTheme="majorHAnsi" w:eastAsia="Calibri" w:hAnsiTheme="majorHAnsi" w:cs="Arial"/>
                <w:b w:val="0"/>
                <w:sz w:val="20"/>
                <w:szCs w:val="20"/>
                <w:lang w:val="fr-FR"/>
              </w:rPr>
              <w:t xml:space="preserve"> </w:t>
            </w:r>
            <w:r w:rsidRPr="003F6411">
              <w:rPr>
                <w:rFonts w:asciiTheme="majorHAnsi" w:eastAsia="Calibri" w:hAnsiTheme="majorHAnsi" w:cs="Arial"/>
                <w:b w:val="0"/>
                <w:sz w:val="20"/>
                <w:szCs w:val="20"/>
                <w:lang w:val="fr-FR"/>
              </w:rPr>
              <w:t>Rosenqvist,</w:t>
            </w:r>
            <w:r w:rsidR="00E01336" w:rsidRPr="003F6411">
              <w:rPr>
                <w:rFonts w:asciiTheme="majorHAnsi" w:eastAsia="Calibri" w:hAnsiTheme="majorHAnsi" w:cs="Arial"/>
                <w:b w:val="0"/>
                <w:sz w:val="20"/>
                <w:szCs w:val="20"/>
                <w:lang w:val="fr-FR"/>
              </w:rPr>
              <w:t xml:space="preserve"> </w:t>
            </w:r>
            <w:r w:rsidR="00833360" w:rsidRPr="00833360">
              <w:rPr>
                <w:rFonts w:asciiTheme="majorHAnsi" w:eastAsia="Calibri" w:hAnsiTheme="majorHAnsi" w:cs="Arial"/>
                <w:b w:val="0"/>
                <w:sz w:val="20"/>
                <w:szCs w:val="20"/>
                <w:lang w:val="fr-FR"/>
              </w:rPr>
              <w:t xml:space="preserve">Shizu Yabe </w:t>
            </w:r>
            <w:bookmarkStart w:id="2" w:name="_GoBack"/>
            <w:bookmarkEnd w:id="2"/>
            <w:r w:rsidR="00833360">
              <w:rPr>
                <w:rStyle w:val="FootnoteReference"/>
                <w:rFonts w:asciiTheme="majorHAnsi" w:eastAsia="Calibri" w:hAnsiTheme="majorHAnsi" w:cs="Arial"/>
                <w:b w:val="0"/>
                <w:sz w:val="20"/>
                <w:szCs w:val="20"/>
                <w:lang w:val="fr-FR"/>
              </w:rPr>
              <w:footnoteReference w:id="1"/>
            </w:r>
            <w:r w:rsidRPr="003F6411">
              <w:rPr>
                <w:rFonts w:asciiTheme="majorHAnsi" w:eastAsia="Calibri" w:hAnsiTheme="majorHAnsi" w:cs="Arial"/>
                <w:b w:val="0"/>
                <w:sz w:val="20"/>
                <w:szCs w:val="20"/>
                <w:lang w:val="fr-FR"/>
              </w:rPr>
              <w:t>),</w:t>
            </w:r>
            <w:r w:rsidR="00E01336" w:rsidRPr="003F6411">
              <w:rPr>
                <w:rFonts w:asciiTheme="majorHAnsi" w:eastAsia="Calibri" w:hAnsiTheme="majorHAnsi" w:cs="Arial"/>
                <w:b w:val="0"/>
                <w:sz w:val="20"/>
                <w:szCs w:val="20"/>
                <w:lang w:val="fr-FR"/>
              </w:rPr>
              <w:t xml:space="preserve"> </w:t>
            </w:r>
            <w:r w:rsidRPr="003F6411">
              <w:rPr>
                <w:rFonts w:asciiTheme="majorHAnsi" w:eastAsia="Calibri" w:hAnsiTheme="majorHAnsi" w:cs="Arial"/>
                <w:b w:val="0"/>
                <w:sz w:val="20"/>
                <w:szCs w:val="20"/>
                <w:lang w:val="fr-FR"/>
              </w:rPr>
              <w:t>Society</w:t>
            </w:r>
            <w:r w:rsidR="00E01336" w:rsidRPr="003F6411">
              <w:rPr>
                <w:rFonts w:asciiTheme="majorHAnsi" w:eastAsia="Calibri" w:hAnsiTheme="majorHAnsi" w:cs="Arial"/>
                <w:b w:val="0"/>
                <w:sz w:val="20"/>
                <w:szCs w:val="20"/>
                <w:lang w:val="fr-FR"/>
              </w:rPr>
              <w:t xml:space="preserve"> </w:t>
            </w:r>
            <w:r w:rsidRPr="003F6411">
              <w:rPr>
                <w:rFonts w:asciiTheme="majorHAnsi" w:eastAsia="Calibri" w:hAnsiTheme="majorHAnsi" w:cs="Arial"/>
                <w:b w:val="0"/>
                <w:sz w:val="20"/>
                <w:szCs w:val="20"/>
                <w:lang w:val="fr-FR"/>
              </w:rPr>
              <w:t>of</w:t>
            </w:r>
            <w:r w:rsidR="00E01336" w:rsidRPr="003F6411">
              <w:rPr>
                <w:rFonts w:asciiTheme="majorHAnsi" w:eastAsia="Calibri" w:hAnsiTheme="majorHAnsi" w:cs="Arial"/>
                <w:b w:val="0"/>
                <w:sz w:val="20"/>
                <w:szCs w:val="20"/>
                <w:lang w:val="fr-FR"/>
              </w:rPr>
              <w:t xml:space="preserve"> </w:t>
            </w:r>
            <w:r w:rsidRPr="003F6411">
              <w:rPr>
                <w:rFonts w:asciiTheme="majorHAnsi" w:eastAsia="Calibri" w:hAnsiTheme="majorHAnsi" w:cs="Arial"/>
                <w:b w:val="0"/>
                <w:sz w:val="20"/>
                <w:szCs w:val="20"/>
                <w:lang w:val="fr-FR"/>
              </w:rPr>
              <w:t>Wetland</w:t>
            </w:r>
            <w:r w:rsidR="00E01336" w:rsidRPr="003F6411">
              <w:rPr>
                <w:rFonts w:asciiTheme="majorHAnsi" w:eastAsia="Calibri" w:hAnsiTheme="majorHAnsi" w:cs="Arial"/>
                <w:b w:val="0"/>
                <w:sz w:val="20"/>
                <w:szCs w:val="20"/>
                <w:lang w:val="fr-FR"/>
              </w:rPr>
              <w:t xml:space="preserve"> </w:t>
            </w:r>
            <w:r w:rsidRPr="003F6411">
              <w:rPr>
                <w:rFonts w:asciiTheme="majorHAnsi" w:eastAsia="Calibri" w:hAnsiTheme="majorHAnsi" w:cs="Arial"/>
                <w:b w:val="0"/>
                <w:sz w:val="20"/>
                <w:szCs w:val="20"/>
                <w:lang w:val="fr-FR"/>
              </w:rPr>
              <w:t>Scientists</w:t>
            </w:r>
            <w:r w:rsidR="00E01336" w:rsidRPr="003F6411">
              <w:rPr>
                <w:rFonts w:asciiTheme="majorHAnsi" w:eastAsia="Calibri" w:hAnsiTheme="majorHAnsi" w:cs="Arial"/>
                <w:b w:val="0"/>
                <w:sz w:val="20"/>
                <w:szCs w:val="20"/>
                <w:lang w:val="fr-FR"/>
              </w:rPr>
              <w:t xml:space="preserve"> </w:t>
            </w:r>
            <w:r w:rsidRPr="003F6411">
              <w:rPr>
                <w:rFonts w:asciiTheme="majorHAnsi" w:eastAsia="Calibri" w:hAnsiTheme="majorHAnsi" w:cs="Arial"/>
                <w:b w:val="0"/>
                <w:sz w:val="20"/>
                <w:szCs w:val="20"/>
                <w:lang w:val="fr-FR"/>
              </w:rPr>
              <w:t>(SWS)</w:t>
            </w:r>
            <w:r w:rsidR="00E01336" w:rsidRPr="003F6411">
              <w:rPr>
                <w:rFonts w:asciiTheme="majorHAnsi" w:eastAsia="Calibri" w:hAnsiTheme="majorHAnsi" w:cs="Arial"/>
                <w:b w:val="0"/>
                <w:sz w:val="20"/>
                <w:szCs w:val="20"/>
                <w:lang w:val="fr-FR"/>
              </w:rPr>
              <w:t xml:space="preserve"> </w:t>
            </w:r>
            <w:r w:rsidRPr="003F6411">
              <w:rPr>
                <w:rFonts w:asciiTheme="majorHAnsi" w:eastAsia="Calibri" w:hAnsiTheme="majorHAnsi" w:cs="Arial"/>
                <w:b w:val="0"/>
                <w:sz w:val="20"/>
                <w:szCs w:val="20"/>
                <w:lang w:val="fr-FR"/>
              </w:rPr>
              <w:t>(Nick</w:t>
            </w:r>
            <w:r w:rsidR="00E01336" w:rsidRPr="003F6411">
              <w:rPr>
                <w:rFonts w:asciiTheme="majorHAnsi" w:eastAsia="Calibri" w:hAnsiTheme="majorHAnsi" w:cs="Arial"/>
                <w:b w:val="0"/>
                <w:sz w:val="20"/>
                <w:szCs w:val="20"/>
                <w:lang w:val="fr-FR"/>
              </w:rPr>
              <w:t xml:space="preserve"> </w:t>
            </w:r>
            <w:r w:rsidRPr="003F6411">
              <w:rPr>
                <w:rFonts w:asciiTheme="majorHAnsi" w:eastAsia="Calibri" w:hAnsiTheme="majorHAnsi" w:cs="Arial"/>
                <w:b w:val="0"/>
                <w:sz w:val="20"/>
                <w:szCs w:val="20"/>
                <w:lang w:val="fr-FR"/>
              </w:rPr>
              <w:t>Davidson),</w:t>
            </w:r>
            <w:r w:rsidR="00E01336" w:rsidRPr="003F6411">
              <w:rPr>
                <w:rFonts w:asciiTheme="majorHAnsi" w:eastAsia="Calibri" w:hAnsiTheme="majorHAnsi" w:cs="Arial"/>
                <w:b w:val="0"/>
                <w:sz w:val="20"/>
                <w:szCs w:val="20"/>
                <w:lang w:val="fr-FR"/>
              </w:rPr>
              <w:t xml:space="preserve"> </w:t>
            </w:r>
            <w:r w:rsidR="003B6083" w:rsidRPr="003F6411">
              <w:rPr>
                <w:rFonts w:asciiTheme="majorHAnsi" w:eastAsia="Calibri" w:hAnsiTheme="majorHAnsi" w:cs="Arial"/>
                <w:b w:val="0"/>
                <w:sz w:val="20"/>
                <w:szCs w:val="20"/>
                <w:lang w:val="fr-FR"/>
              </w:rPr>
              <w:t>TNC (Boze Hancok)</w:t>
            </w:r>
            <w:r w:rsidR="00F571E9" w:rsidRPr="003F6411">
              <w:rPr>
                <w:rFonts w:asciiTheme="majorHAnsi" w:eastAsia="Calibri" w:hAnsiTheme="majorHAnsi" w:cs="Arial"/>
                <w:b w:val="0"/>
                <w:sz w:val="20"/>
                <w:szCs w:val="20"/>
                <w:lang w:val="fr-FR"/>
              </w:rPr>
              <w:t xml:space="preserve">, </w:t>
            </w:r>
            <w:r w:rsidRPr="003F6411">
              <w:rPr>
                <w:rFonts w:asciiTheme="majorHAnsi" w:eastAsia="Calibri" w:hAnsiTheme="majorHAnsi" w:cs="Arial"/>
                <w:b w:val="0"/>
                <w:sz w:val="20"/>
                <w:szCs w:val="20"/>
                <w:lang w:val="fr-FR"/>
              </w:rPr>
              <w:t>Tour</w:t>
            </w:r>
            <w:r w:rsidR="00E01336" w:rsidRPr="003F6411">
              <w:rPr>
                <w:rFonts w:asciiTheme="majorHAnsi" w:eastAsia="Calibri" w:hAnsiTheme="majorHAnsi" w:cs="Arial"/>
                <w:b w:val="0"/>
                <w:sz w:val="20"/>
                <w:szCs w:val="20"/>
                <w:lang w:val="fr-FR"/>
              </w:rPr>
              <w:t xml:space="preserve"> </w:t>
            </w:r>
            <w:r w:rsidRPr="003F6411">
              <w:rPr>
                <w:rFonts w:asciiTheme="majorHAnsi" w:eastAsia="Calibri" w:hAnsiTheme="majorHAnsi" w:cs="Arial"/>
                <w:b w:val="0"/>
                <w:sz w:val="20"/>
                <w:szCs w:val="20"/>
                <w:lang w:val="fr-FR"/>
              </w:rPr>
              <w:t>du</w:t>
            </w:r>
            <w:r w:rsidR="00E01336" w:rsidRPr="003F6411">
              <w:rPr>
                <w:rFonts w:asciiTheme="majorHAnsi" w:eastAsia="Calibri" w:hAnsiTheme="majorHAnsi" w:cs="Arial"/>
                <w:b w:val="0"/>
                <w:sz w:val="20"/>
                <w:szCs w:val="20"/>
                <w:lang w:val="fr-FR"/>
              </w:rPr>
              <w:t xml:space="preserve"> </w:t>
            </w:r>
            <w:r w:rsidRPr="003F6411">
              <w:rPr>
                <w:rFonts w:asciiTheme="majorHAnsi" w:eastAsia="Calibri" w:hAnsiTheme="majorHAnsi" w:cs="Arial"/>
                <w:b w:val="0"/>
                <w:sz w:val="20"/>
                <w:szCs w:val="20"/>
                <w:lang w:val="fr-FR"/>
              </w:rPr>
              <w:t>Valat</w:t>
            </w:r>
            <w:r w:rsidR="00E01336" w:rsidRPr="003F6411">
              <w:rPr>
                <w:rFonts w:asciiTheme="majorHAnsi" w:eastAsia="Calibri" w:hAnsiTheme="majorHAnsi" w:cs="Arial"/>
                <w:b w:val="0"/>
                <w:sz w:val="20"/>
                <w:szCs w:val="20"/>
                <w:lang w:val="fr-FR"/>
              </w:rPr>
              <w:t xml:space="preserve"> </w:t>
            </w:r>
            <w:r w:rsidRPr="003F6411">
              <w:rPr>
                <w:rFonts w:asciiTheme="majorHAnsi" w:eastAsia="Calibri" w:hAnsiTheme="majorHAnsi" w:cs="Arial"/>
                <w:b w:val="0"/>
                <w:sz w:val="20"/>
                <w:szCs w:val="20"/>
                <w:lang w:val="fr-FR"/>
              </w:rPr>
              <w:t>(Christian</w:t>
            </w:r>
            <w:r w:rsidR="00E01336" w:rsidRPr="003F6411">
              <w:rPr>
                <w:rFonts w:asciiTheme="majorHAnsi" w:eastAsia="Calibri" w:hAnsiTheme="majorHAnsi" w:cs="Arial"/>
                <w:b w:val="0"/>
                <w:sz w:val="20"/>
                <w:szCs w:val="20"/>
                <w:lang w:val="fr-FR"/>
              </w:rPr>
              <w:t xml:space="preserve"> </w:t>
            </w:r>
            <w:r w:rsidRPr="003F6411">
              <w:rPr>
                <w:rFonts w:asciiTheme="majorHAnsi" w:eastAsia="Calibri" w:hAnsiTheme="majorHAnsi" w:cs="Arial"/>
                <w:b w:val="0"/>
                <w:sz w:val="20"/>
                <w:szCs w:val="20"/>
                <w:lang w:val="fr-FR"/>
              </w:rPr>
              <w:t>Perennou),</w:t>
            </w:r>
            <w:r w:rsidR="00E01336" w:rsidRPr="003F6411">
              <w:rPr>
                <w:rFonts w:asciiTheme="majorHAnsi" w:eastAsia="Calibri" w:hAnsiTheme="majorHAnsi" w:cs="Arial"/>
                <w:b w:val="0"/>
                <w:sz w:val="20"/>
                <w:szCs w:val="20"/>
                <w:lang w:val="fr-FR"/>
              </w:rPr>
              <w:t xml:space="preserve"> </w:t>
            </w:r>
            <w:r w:rsidRPr="003F6411">
              <w:rPr>
                <w:rFonts w:asciiTheme="majorHAnsi" w:eastAsia="Calibri" w:hAnsiTheme="majorHAnsi" w:cs="Arial"/>
                <w:b w:val="0"/>
                <w:sz w:val="20"/>
                <w:szCs w:val="20"/>
                <w:lang w:val="fr-FR"/>
              </w:rPr>
              <w:t>UNESCO-IHE</w:t>
            </w:r>
            <w:r w:rsidR="00E01336" w:rsidRPr="003F6411">
              <w:rPr>
                <w:rFonts w:asciiTheme="majorHAnsi" w:eastAsia="Calibri" w:hAnsiTheme="majorHAnsi" w:cs="Arial"/>
                <w:b w:val="0"/>
                <w:sz w:val="20"/>
                <w:szCs w:val="20"/>
                <w:lang w:val="fr-FR"/>
              </w:rPr>
              <w:t xml:space="preserve"> </w:t>
            </w:r>
            <w:r w:rsidRPr="003F6411">
              <w:rPr>
                <w:rFonts w:asciiTheme="majorHAnsi" w:eastAsia="Calibri" w:hAnsiTheme="majorHAnsi" w:cs="Arial"/>
                <w:b w:val="0"/>
                <w:sz w:val="20"/>
                <w:szCs w:val="20"/>
                <w:lang w:val="fr-FR"/>
              </w:rPr>
              <w:t>(Anne</w:t>
            </w:r>
            <w:r w:rsidR="00E01336" w:rsidRPr="003F6411">
              <w:rPr>
                <w:rFonts w:asciiTheme="majorHAnsi" w:eastAsia="Calibri" w:hAnsiTheme="majorHAnsi" w:cs="Arial"/>
                <w:b w:val="0"/>
                <w:sz w:val="20"/>
                <w:szCs w:val="20"/>
                <w:lang w:val="fr-FR"/>
              </w:rPr>
              <w:t xml:space="preserve"> </w:t>
            </w:r>
            <w:r w:rsidRPr="003F6411">
              <w:rPr>
                <w:rFonts w:asciiTheme="majorHAnsi" w:eastAsia="Calibri" w:hAnsiTheme="majorHAnsi" w:cs="Arial"/>
                <w:b w:val="0"/>
                <w:sz w:val="20"/>
                <w:szCs w:val="20"/>
                <w:lang w:val="fr-FR"/>
              </w:rPr>
              <w:t>van</w:t>
            </w:r>
            <w:r w:rsidR="00E01336" w:rsidRPr="003F6411">
              <w:rPr>
                <w:rFonts w:asciiTheme="majorHAnsi" w:eastAsia="Calibri" w:hAnsiTheme="majorHAnsi" w:cs="Arial"/>
                <w:b w:val="0"/>
                <w:sz w:val="20"/>
                <w:szCs w:val="20"/>
                <w:lang w:val="fr-FR"/>
              </w:rPr>
              <w:t xml:space="preserve"> </w:t>
            </w:r>
            <w:r w:rsidRPr="003F6411">
              <w:rPr>
                <w:rFonts w:asciiTheme="majorHAnsi" w:eastAsia="Calibri" w:hAnsiTheme="majorHAnsi" w:cs="Arial"/>
                <w:b w:val="0"/>
                <w:sz w:val="20"/>
                <w:szCs w:val="20"/>
                <w:lang w:val="fr-FR"/>
              </w:rPr>
              <w:t>Dam),</w:t>
            </w:r>
            <w:r w:rsidR="00E01336" w:rsidRPr="003F6411">
              <w:rPr>
                <w:rFonts w:asciiTheme="majorHAnsi" w:eastAsia="Calibri" w:hAnsiTheme="majorHAnsi" w:cs="Arial"/>
                <w:b w:val="0"/>
                <w:sz w:val="20"/>
                <w:szCs w:val="20"/>
                <w:lang w:val="fr-FR"/>
              </w:rPr>
              <w:t xml:space="preserve"> </w:t>
            </w:r>
            <w:r w:rsidR="00F571E9" w:rsidRPr="003F6411">
              <w:rPr>
                <w:rFonts w:asciiTheme="majorHAnsi" w:eastAsia="Calibri" w:hAnsiTheme="majorHAnsi" w:cs="Arial"/>
                <w:b w:val="0"/>
                <w:sz w:val="20"/>
                <w:szCs w:val="20"/>
                <w:lang w:val="fr-FR"/>
              </w:rPr>
              <w:t xml:space="preserve">WCMC (Diego Juffe-Bignoli), </w:t>
            </w:r>
            <w:r w:rsidR="00130D8F" w:rsidRPr="003F6411">
              <w:rPr>
                <w:rFonts w:asciiTheme="majorHAnsi" w:eastAsia="Calibri" w:hAnsiTheme="majorHAnsi" w:cs="Arial"/>
                <w:b w:val="0"/>
                <w:sz w:val="20"/>
                <w:szCs w:val="20"/>
                <w:lang w:val="fr-FR"/>
              </w:rPr>
              <w:t>Centre du patrimoine mondial</w:t>
            </w:r>
            <w:r w:rsidR="00E01336" w:rsidRPr="003F6411">
              <w:rPr>
                <w:rFonts w:asciiTheme="majorHAnsi" w:eastAsia="Calibri" w:hAnsiTheme="majorHAnsi" w:cs="Arial"/>
                <w:b w:val="0"/>
                <w:sz w:val="20"/>
                <w:szCs w:val="20"/>
                <w:lang w:val="fr-FR"/>
              </w:rPr>
              <w:t xml:space="preserve"> </w:t>
            </w:r>
            <w:r w:rsidRPr="003F6411">
              <w:rPr>
                <w:rFonts w:asciiTheme="majorHAnsi" w:eastAsia="Calibri" w:hAnsiTheme="majorHAnsi" w:cs="Arial"/>
                <w:b w:val="0"/>
                <w:sz w:val="20"/>
                <w:szCs w:val="20"/>
                <w:lang w:val="fr-FR"/>
              </w:rPr>
              <w:t>(Tim</w:t>
            </w:r>
            <w:r w:rsidR="00E01336" w:rsidRPr="003F6411">
              <w:rPr>
                <w:rFonts w:asciiTheme="majorHAnsi" w:eastAsia="Calibri" w:hAnsiTheme="majorHAnsi" w:cs="Arial"/>
                <w:b w:val="0"/>
                <w:sz w:val="20"/>
                <w:szCs w:val="20"/>
                <w:lang w:val="fr-FR"/>
              </w:rPr>
              <w:t xml:space="preserve"> </w:t>
            </w:r>
            <w:r w:rsidRPr="003F6411">
              <w:rPr>
                <w:rFonts w:asciiTheme="majorHAnsi" w:eastAsia="Calibri" w:hAnsiTheme="majorHAnsi" w:cs="Arial"/>
                <w:b w:val="0"/>
                <w:sz w:val="20"/>
                <w:szCs w:val="20"/>
                <w:lang w:val="fr-FR"/>
              </w:rPr>
              <w:t>Badman)/</w:t>
            </w:r>
            <w:r w:rsidR="00E01336" w:rsidRPr="003F6411">
              <w:rPr>
                <w:rFonts w:asciiTheme="majorHAnsi" w:eastAsia="Calibri" w:hAnsiTheme="majorHAnsi" w:cs="Arial"/>
                <w:b w:val="0"/>
                <w:sz w:val="20"/>
                <w:szCs w:val="20"/>
                <w:lang w:val="fr-FR"/>
              </w:rPr>
              <w:t xml:space="preserve"> </w:t>
            </w:r>
            <w:r w:rsidR="00130D8F" w:rsidRPr="003F6411">
              <w:rPr>
                <w:rFonts w:asciiTheme="majorHAnsi" w:eastAsia="Calibri" w:hAnsiTheme="majorHAnsi" w:cs="Arial"/>
                <w:b w:val="0"/>
                <w:sz w:val="20"/>
                <w:szCs w:val="20"/>
                <w:lang w:val="fr-FR"/>
              </w:rPr>
              <w:t>CN GEST</w:t>
            </w:r>
            <w:r w:rsidR="00E01336" w:rsidRPr="003F6411">
              <w:rPr>
                <w:rFonts w:asciiTheme="majorHAnsi" w:eastAsia="Calibri" w:hAnsiTheme="majorHAnsi" w:cs="Arial"/>
                <w:b w:val="0"/>
                <w:sz w:val="20"/>
                <w:szCs w:val="20"/>
                <w:lang w:val="fr-FR"/>
              </w:rPr>
              <w:t xml:space="preserve"> </w:t>
            </w:r>
            <w:r w:rsidRPr="003F6411">
              <w:rPr>
                <w:rFonts w:asciiTheme="majorHAnsi" w:eastAsia="Calibri" w:hAnsiTheme="majorHAnsi" w:cs="Arial"/>
                <w:b w:val="0"/>
                <w:sz w:val="20"/>
                <w:szCs w:val="20"/>
                <w:lang w:val="fr-FR"/>
              </w:rPr>
              <w:t>Canada</w:t>
            </w:r>
            <w:r w:rsidR="00E01336" w:rsidRPr="003F6411">
              <w:rPr>
                <w:rFonts w:asciiTheme="majorHAnsi" w:eastAsia="Calibri" w:hAnsiTheme="majorHAnsi" w:cs="Arial"/>
                <w:b w:val="0"/>
                <w:sz w:val="20"/>
                <w:szCs w:val="20"/>
                <w:lang w:val="fr-FR"/>
              </w:rPr>
              <w:t xml:space="preserve"> </w:t>
            </w:r>
            <w:r w:rsidRPr="003F6411">
              <w:rPr>
                <w:rFonts w:asciiTheme="majorHAnsi" w:eastAsia="Calibri" w:hAnsiTheme="majorHAnsi" w:cs="Arial"/>
                <w:b w:val="0"/>
                <w:sz w:val="20"/>
                <w:szCs w:val="20"/>
                <w:lang w:val="fr-FR"/>
              </w:rPr>
              <w:t>(Barry</w:t>
            </w:r>
            <w:r w:rsidR="00E01336" w:rsidRPr="003F6411">
              <w:rPr>
                <w:rFonts w:asciiTheme="majorHAnsi" w:eastAsia="Calibri" w:hAnsiTheme="majorHAnsi" w:cs="Arial"/>
                <w:b w:val="0"/>
                <w:sz w:val="20"/>
                <w:szCs w:val="20"/>
                <w:lang w:val="fr-FR"/>
              </w:rPr>
              <w:t xml:space="preserve"> </w:t>
            </w:r>
            <w:r w:rsidRPr="003F6411">
              <w:rPr>
                <w:rFonts w:asciiTheme="majorHAnsi" w:eastAsia="Calibri" w:hAnsiTheme="majorHAnsi" w:cs="Arial"/>
                <w:b w:val="0"/>
                <w:sz w:val="20"/>
                <w:szCs w:val="20"/>
                <w:lang w:val="fr-FR"/>
              </w:rPr>
              <w:t>Warner),</w:t>
            </w:r>
            <w:r w:rsidR="00E01336" w:rsidRPr="003F6411">
              <w:rPr>
                <w:rFonts w:asciiTheme="majorHAnsi" w:eastAsia="Calibri" w:hAnsiTheme="majorHAnsi" w:cs="Arial"/>
                <w:b w:val="0"/>
                <w:sz w:val="20"/>
                <w:szCs w:val="20"/>
                <w:lang w:val="fr-FR"/>
              </w:rPr>
              <w:t xml:space="preserve"> </w:t>
            </w:r>
            <w:r w:rsidR="00130D8F" w:rsidRPr="003F6411">
              <w:rPr>
                <w:rFonts w:asciiTheme="majorHAnsi" w:eastAsia="Calibri" w:hAnsiTheme="majorHAnsi" w:cs="Arial"/>
                <w:b w:val="0"/>
                <w:sz w:val="20"/>
                <w:szCs w:val="20"/>
                <w:lang w:val="fr-FR"/>
              </w:rPr>
              <w:t>CN GEST Malaisie</w:t>
            </w:r>
            <w:r w:rsidR="00E01336" w:rsidRPr="003F6411">
              <w:rPr>
                <w:rFonts w:asciiTheme="majorHAnsi" w:eastAsia="Calibri" w:hAnsiTheme="majorHAnsi" w:cs="Arial"/>
                <w:b w:val="0"/>
                <w:sz w:val="20"/>
                <w:szCs w:val="20"/>
                <w:lang w:val="fr-FR"/>
              </w:rPr>
              <w:t xml:space="preserve"> </w:t>
            </w:r>
            <w:r w:rsidRPr="003F6411">
              <w:rPr>
                <w:rFonts w:asciiTheme="majorHAnsi" w:eastAsia="Calibri" w:hAnsiTheme="majorHAnsi" w:cs="Arial"/>
                <w:b w:val="0"/>
                <w:sz w:val="20"/>
                <w:szCs w:val="20"/>
                <w:lang w:val="fr-FR"/>
              </w:rPr>
              <w:t>(Abdul,</w:t>
            </w:r>
            <w:r w:rsidR="00E01336" w:rsidRPr="003F6411">
              <w:rPr>
                <w:rFonts w:asciiTheme="majorHAnsi" w:eastAsia="Calibri" w:hAnsiTheme="majorHAnsi" w:cs="Arial"/>
                <w:b w:val="0"/>
                <w:sz w:val="20"/>
                <w:szCs w:val="20"/>
                <w:lang w:val="fr-FR"/>
              </w:rPr>
              <w:t xml:space="preserve"> </w:t>
            </w:r>
            <w:r w:rsidRPr="003F6411">
              <w:rPr>
                <w:rFonts w:asciiTheme="majorHAnsi" w:eastAsia="Calibri" w:hAnsiTheme="majorHAnsi" w:cs="Arial"/>
                <w:b w:val="0"/>
                <w:sz w:val="20"/>
                <w:szCs w:val="20"/>
                <w:lang w:val="fr-FR"/>
              </w:rPr>
              <w:t>Rahman</w:t>
            </w:r>
            <w:r w:rsidR="00F571E9" w:rsidRPr="003F6411">
              <w:rPr>
                <w:rFonts w:asciiTheme="majorHAnsi" w:eastAsia="Calibri" w:hAnsiTheme="majorHAnsi" w:cs="Arial"/>
                <w:b w:val="0"/>
                <w:sz w:val="20"/>
                <w:szCs w:val="20"/>
                <w:lang w:val="fr-FR"/>
              </w:rPr>
              <w:t xml:space="preserve"> Kassim</w:t>
            </w:r>
            <w:r w:rsidRPr="003F6411">
              <w:rPr>
                <w:rFonts w:asciiTheme="majorHAnsi" w:eastAsia="Calibri" w:hAnsiTheme="majorHAnsi" w:cs="Arial"/>
                <w:b w:val="0"/>
                <w:sz w:val="20"/>
                <w:szCs w:val="20"/>
                <w:lang w:val="fr-FR"/>
              </w:rPr>
              <w:t>)</w:t>
            </w:r>
            <w:r w:rsidR="00F571E9" w:rsidRPr="003F6411">
              <w:rPr>
                <w:rFonts w:asciiTheme="majorHAnsi" w:eastAsia="Calibri" w:hAnsiTheme="majorHAnsi" w:cs="Arial"/>
                <w:b w:val="0"/>
                <w:sz w:val="20"/>
                <w:szCs w:val="20"/>
                <w:lang w:val="fr-FR"/>
              </w:rPr>
              <w:t>, CN GEST Portugal (Ana Mendes)</w:t>
            </w:r>
          </w:p>
        </w:tc>
      </w:tr>
    </w:tbl>
    <w:p w14:paraId="012001DF" w14:textId="412C8A5B" w:rsidR="00914A1A" w:rsidRPr="003F6411" w:rsidRDefault="00914A1A" w:rsidP="00914A1A">
      <w:pPr>
        <w:rPr>
          <w:rFonts w:asciiTheme="majorHAnsi" w:hAnsiTheme="majorHAnsi" w:cs="Arial"/>
          <w:sz w:val="20"/>
          <w:szCs w:val="20"/>
          <w:lang w:val="fr-FR"/>
        </w:rPr>
      </w:pPr>
    </w:p>
    <w:tbl>
      <w:tblPr>
        <w:tblStyle w:val="TableGrid1"/>
        <w:tblW w:w="5000" w:type="pct"/>
        <w:tblLayout w:type="fixed"/>
        <w:tblCellMar>
          <w:top w:w="57" w:type="dxa"/>
          <w:left w:w="57" w:type="dxa"/>
          <w:bottom w:w="57" w:type="dxa"/>
          <w:right w:w="57" w:type="dxa"/>
        </w:tblCellMar>
        <w:tblLook w:val="04A0" w:firstRow="1" w:lastRow="0" w:firstColumn="1" w:lastColumn="0" w:noHBand="0" w:noVBand="1"/>
      </w:tblPr>
      <w:tblGrid>
        <w:gridCol w:w="1373"/>
        <w:gridCol w:w="847"/>
        <w:gridCol w:w="1098"/>
        <w:gridCol w:w="1134"/>
        <w:gridCol w:w="8221"/>
        <w:gridCol w:w="1399"/>
      </w:tblGrid>
      <w:tr w:rsidR="00914A1A" w:rsidRPr="00955B5D" w14:paraId="143AE3EB" w14:textId="77777777" w:rsidTr="00130D8F">
        <w:trPr>
          <w:tblHeader/>
        </w:trPr>
        <w:tc>
          <w:tcPr>
            <w:tcW w:w="488" w:type="pct"/>
            <w:shd w:val="clear" w:color="auto" w:fill="D9D9D9" w:themeFill="background1" w:themeFillShade="D9"/>
          </w:tcPr>
          <w:p w14:paraId="377126C8" w14:textId="75A654E5" w:rsidR="00914A1A" w:rsidRPr="00955B5D" w:rsidRDefault="00130D8F" w:rsidP="00130D8F">
            <w:pPr>
              <w:jc w:val="center"/>
              <w:rPr>
                <w:rFonts w:asciiTheme="majorHAnsi" w:hAnsiTheme="majorHAnsi" w:cs="Arial"/>
                <w:sz w:val="20"/>
                <w:szCs w:val="20"/>
                <w:lang w:val="fr-CA"/>
              </w:rPr>
            </w:pPr>
            <w:r w:rsidRPr="00955B5D">
              <w:rPr>
                <w:rFonts w:asciiTheme="majorHAnsi" w:hAnsiTheme="majorHAnsi" w:cs="Arial"/>
                <w:sz w:val="20"/>
                <w:szCs w:val="20"/>
                <w:lang w:val="fr-CA"/>
              </w:rPr>
              <w:t>N</w:t>
            </w:r>
            <w:r w:rsidRPr="00955B5D">
              <w:rPr>
                <w:rFonts w:asciiTheme="majorHAnsi" w:hAnsiTheme="majorHAnsi" w:cs="Arial"/>
                <w:sz w:val="20"/>
                <w:szCs w:val="20"/>
                <w:vertAlign w:val="superscript"/>
                <w:lang w:val="fr-CA"/>
              </w:rPr>
              <w:t>o</w:t>
            </w:r>
            <w:r w:rsidRPr="00955B5D">
              <w:rPr>
                <w:rFonts w:asciiTheme="majorHAnsi" w:hAnsiTheme="majorHAnsi" w:cs="Arial"/>
                <w:sz w:val="20"/>
                <w:szCs w:val="20"/>
                <w:lang w:val="fr-CA"/>
              </w:rPr>
              <w:t xml:space="preserve"> de tâche, titre </w:t>
            </w:r>
          </w:p>
        </w:tc>
        <w:tc>
          <w:tcPr>
            <w:tcW w:w="301" w:type="pct"/>
            <w:shd w:val="clear" w:color="auto" w:fill="D9D9D9" w:themeFill="background1" w:themeFillShade="D9"/>
          </w:tcPr>
          <w:p w14:paraId="0AE98500" w14:textId="57B223AA" w:rsidR="00914A1A" w:rsidRPr="00955B5D" w:rsidRDefault="00130D8F" w:rsidP="00914A1A">
            <w:pPr>
              <w:jc w:val="center"/>
              <w:rPr>
                <w:rFonts w:asciiTheme="majorHAnsi" w:hAnsiTheme="majorHAnsi" w:cs="Arial"/>
                <w:sz w:val="20"/>
                <w:szCs w:val="20"/>
                <w:lang w:val="fr-CA"/>
              </w:rPr>
            </w:pPr>
            <w:r w:rsidRPr="00955B5D">
              <w:rPr>
                <w:rFonts w:asciiTheme="majorHAnsi" w:hAnsiTheme="majorHAnsi" w:cs="Arial"/>
                <w:sz w:val="20"/>
                <w:szCs w:val="20"/>
                <w:lang w:val="fr-CA"/>
              </w:rPr>
              <w:t>Priorité</w:t>
            </w:r>
          </w:p>
        </w:tc>
        <w:tc>
          <w:tcPr>
            <w:tcW w:w="390" w:type="pct"/>
            <w:shd w:val="clear" w:color="auto" w:fill="D9D9D9" w:themeFill="background1" w:themeFillShade="D9"/>
          </w:tcPr>
          <w:p w14:paraId="3BA00946" w14:textId="6B19A106" w:rsidR="00914A1A" w:rsidRPr="00955B5D" w:rsidRDefault="00130D8F" w:rsidP="00130D8F">
            <w:pPr>
              <w:jc w:val="center"/>
              <w:rPr>
                <w:rFonts w:asciiTheme="majorHAnsi" w:hAnsiTheme="majorHAnsi" w:cs="Arial"/>
                <w:sz w:val="20"/>
                <w:szCs w:val="20"/>
                <w:lang w:val="fr-CA"/>
              </w:rPr>
            </w:pPr>
            <w:r w:rsidRPr="00955B5D">
              <w:rPr>
                <w:rFonts w:asciiTheme="majorHAnsi" w:hAnsiTheme="majorHAnsi" w:cs="Arial"/>
                <w:sz w:val="20"/>
                <w:szCs w:val="20"/>
                <w:lang w:val="fr-CA"/>
              </w:rPr>
              <w:t>Ré</w:t>
            </w:r>
            <w:r w:rsidR="00914A1A" w:rsidRPr="00955B5D">
              <w:rPr>
                <w:rFonts w:asciiTheme="majorHAnsi" w:hAnsiTheme="majorHAnsi" w:cs="Arial"/>
                <w:sz w:val="20"/>
                <w:szCs w:val="20"/>
                <w:lang w:val="fr-CA"/>
              </w:rPr>
              <w:t>s</w:t>
            </w:r>
            <w:r w:rsidRPr="00955B5D">
              <w:rPr>
                <w:rFonts w:asciiTheme="majorHAnsi" w:hAnsiTheme="majorHAnsi" w:cs="Arial"/>
                <w:sz w:val="20"/>
                <w:szCs w:val="20"/>
                <w:lang w:val="fr-CA"/>
              </w:rPr>
              <w:t>olution</w:t>
            </w:r>
          </w:p>
        </w:tc>
        <w:tc>
          <w:tcPr>
            <w:tcW w:w="403" w:type="pct"/>
            <w:shd w:val="clear" w:color="auto" w:fill="D9D9D9" w:themeFill="background1" w:themeFillShade="D9"/>
          </w:tcPr>
          <w:p w14:paraId="059085B8" w14:textId="3CCEF230" w:rsidR="00914A1A" w:rsidRPr="00955B5D" w:rsidRDefault="00130D8F" w:rsidP="00914A1A">
            <w:pPr>
              <w:jc w:val="center"/>
              <w:rPr>
                <w:rFonts w:asciiTheme="majorHAnsi" w:hAnsiTheme="majorHAnsi" w:cs="Arial"/>
                <w:sz w:val="20"/>
                <w:szCs w:val="20"/>
                <w:lang w:val="fr-CA"/>
              </w:rPr>
            </w:pPr>
            <w:r w:rsidRPr="00955B5D">
              <w:rPr>
                <w:rFonts w:asciiTheme="majorHAnsi" w:eastAsia="Calibri" w:hAnsiTheme="majorHAnsi" w:cs="Arial"/>
                <w:sz w:val="20"/>
                <w:szCs w:val="20"/>
                <w:lang w:val="fr-CA"/>
              </w:rPr>
              <w:t>But et objectif PS</w:t>
            </w:r>
          </w:p>
        </w:tc>
        <w:tc>
          <w:tcPr>
            <w:tcW w:w="2921" w:type="pct"/>
            <w:shd w:val="clear" w:color="auto" w:fill="D9D9D9" w:themeFill="background1" w:themeFillShade="D9"/>
          </w:tcPr>
          <w:p w14:paraId="14669BAB" w14:textId="7DA6700E" w:rsidR="00914A1A" w:rsidRPr="00955B5D" w:rsidRDefault="00130D8F" w:rsidP="008E6B37">
            <w:pPr>
              <w:jc w:val="center"/>
              <w:rPr>
                <w:rFonts w:asciiTheme="majorHAnsi" w:hAnsiTheme="majorHAnsi" w:cs="Arial"/>
                <w:sz w:val="20"/>
                <w:szCs w:val="20"/>
                <w:lang w:val="fr-CA"/>
              </w:rPr>
            </w:pPr>
            <w:r w:rsidRPr="00955B5D">
              <w:rPr>
                <w:rFonts w:asciiTheme="majorHAnsi" w:hAnsiTheme="majorHAnsi" w:cs="Arial"/>
                <w:sz w:val="20"/>
                <w:szCs w:val="20"/>
                <w:lang w:val="fr-CA"/>
              </w:rPr>
              <w:t xml:space="preserve">Description de tâche, résultats escomptés </w:t>
            </w:r>
            <w:r w:rsidR="008E6B37">
              <w:rPr>
                <w:rFonts w:asciiTheme="majorHAnsi" w:hAnsiTheme="majorHAnsi" w:cs="Arial"/>
                <w:sz w:val="20"/>
                <w:szCs w:val="20"/>
                <w:lang w:val="fr-CA"/>
              </w:rPr>
              <w:t>et publics ciblés</w:t>
            </w:r>
          </w:p>
        </w:tc>
        <w:tc>
          <w:tcPr>
            <w:tcW w:w="497" w:type="pct"/>
            <w:shd w:val="clear" w:color="auto" w:fill="D9D9D9" w:themeFill="background1" w:themeFillShade="D9"/>
          </w:tcPr>
          <w:p w14:paraId="3F6EAEF6" w14:textId="0F2C6720" w:rsidR="00914A1A" w:rsidRPr="00955B5D" w:rsidRDefault="00130D8F" w:rsidP="00914A1A">
            <w:pPr>
              <w:jc w:val="center"/>
              <w:rPr>
                <w:rFonts w:asciiTheme="majorHAnsi" w:hAnsiTheme="majorHAnsi" w:cs="Arial"/>
                <w:sz w:val="20"/>
                <w:szCs w:val="20"/>
                <w:lang w:val="fr-CA"/>
              </w:rPr>
            </w:pPr>
            <w:r w:rsidRPr="00955B5D">
              <w:rPr>
                <w:rFonts w:asciiTheme="majorHAnsi" w:hAnsiTheme="majorHAnsi" w:cs="Arial"/>
                <w:sz w:val="20"/>
                <w:szCs w:val="20"/>
                <w:lang w:val="fr-CA"/>
              </w:rPr>
              <w:t>Coût</w:t>
            </w:r>
            <w:r w:rsidR="00914A1A" w:rsidRPr="00955B5D">
              <w:rPr>
                <w:rFonts w:asciiTheme="majorHAnsi" w:hAnsiTheme="majorHAnsi" w:cs="Arial"/>
                <w:sz w:val="20"/>
                <w:szCs w:val="20"/>
                <w:lang w:val="fr-CA"/>
              </w:rPr>
              <w:t>s</w:t>
            </w:r>
            <w:r w:rsidR="00E01336" w:rsidRPr="00955B5D">
              <w:rPr>
                <w:rFonts w:asciiTheme="majorHAnsi" w:hAnsiTheme="majorHAnsi" w:cs="Arial"/>
                <w:sz w:val="20"/>
                <w:szCs w:val="20"/>
                <w:lang w:val="fr-CA"/>
              </w:rPr>
              <w:t xml:space="preserve"> </w:t>
            </w:r>
            <w:r w:rsidR="00914A1A" w:rsidRPr="00955B5D">
              <w:rPr>
                <w:rFonts w:asciiTheme="majorHAnsi" w:hAnsiTheme="majorHAnsi" w:cs="Arial"/>
                <w:sz w:val="20"/>
                <w:szCs w:val="20"/>
                <w:lang w:val="fr-CA"/>
              </w:rPr>
              <w:t>CHF</w:t>
            </w:r>
          </w:p>
        </w:tc>
      </w:tr>
      <w:tr w:rsidR="00914A1A" w:rsidRPr="00955B5D" w14:paraId="354E164F" w14:textId="77777777" w:rsidTr="00130D8F">
        <w:tc>
          <w:tcPr>
            <w:tcW w:w="488" w:type="pct"/>
          </w:tcPr>
          <w:p w14:paraId="32466BF7" w14:textId="3F9B596F" w:rsidR="00914A1A" w:rsidRPr="00955B5D" w:rsidRDefault="00914A1A" w:rsidP="00C8217C">
            <w:pPr>
              <w:rPr>
                <w:rFonts w:asciiTheme="majorHAnsi" w:hAnsiTheme="majorHAnsi" w:cs="Arial"/>
                <w:b w:val="0"/>
                <w:sz w:val="20"/>
                <w:szCs w:val="20"/>
                <w:lang w:val="fr-CA"/>
              </w:rPr>
            </w:pPr>
            <w:r w:rsidRPr="00955B5D">
              <w:rPr>
                <w:rFonts w:asciiTheme="majorHAnsi" w:hAnsiTheme="majorHAnsi" w:cs="Arial"/>
                <w:b w:val="0"/>
                <w:sz w:val="20"/>
                <w:szCs w:val="20"/>
                <w:lang w:val="fr-CA"/>
              </w:rPr>
              <w:t>N</w:t>
            </w:r>
            <w:r w:rsidRPr="00955B5D">
              <w:rPr>
                <w:rFonts w:asciiTheme="majorHAnsi" w:hAnsiTheme="majorHAnsi" w:cs="Arial"/>
                <w:b w:val="0"/>
                <w:sz w:val="20"/>
                <w:szCs w:val="20"/>
                <w:vertAlign w:val="superscript"/>
                <w:lang w:val="fr-CA"/>
              </w:rPr>
              <w:t>o</w:t>
            </w:r>
            <w:r w:rsidR="00130D8F" w:rsidRPr="00955B5D">
              <w:rPr>
                <w:rFonts w:asciiTheme="majorHAnsi" w:hAnsiTheme="majorHAnsi" w:cs="Arial"/>
                <w:b w:val="0"/>
                <w:sz w:val="20"/>
                <w:szCs w:val="20"/>
                <w:vertAlign w:val="superscript"/>
                <w:lang w:val="fr-CA"/>
              </w:rPr>
              <w:t> </w:t>
            </w:r>
            <w:r w:rsidRPr="00955B5D">
              <w:rPr>
                <w:rFonts w:asciiTheme="majorHAnsi" w:hAnsiTheme="majorHAnsi" w:cs="Arial"/>
                <w:b w:val="0"/>
                <w:sz w:val="20"/>
                <w:szCs w:val="20"/>
                <w:lang w:val="fr-CA"/>
              </w:rPr>
              <w:t>1.1</w:t>
            </w:r>
            <w:r w:rsidR="00E56010" w:rsidRPr="00955B5D">
              <w:rPr>
                <w:rFonts w:asciiTheme="majorHAnsi" w:hAnsiTheme="majorHAnsi" w:cs="Arial"/>
                <w:b w:val="0"/>
                <w:sz w:val="20"/>
                <w:szCs w:val="20"/>
                <w:lang w:val="fr-CA"/>
              </w:rPr>
              <w:t xml:space="preserve"> </w:t>
            </w:r>
            <w:r w:rsidR="00955B5D" w:rsidRPr="00955B5D">
              <w:rPr>
                <w:rFonts w:asciiTheme="majorHAnsi" w:hAnsiTheme="majorHAnsi" w:cs="Arial"/>
                <w:b w:val="0"/>
                <w:sz w:val="20"/>
                <w:szCs w:val="20"/>
                <w:lang w:val="fr-CA"/>
              </w:rPr>
              <w:t xml:space="preserve">L’observation de la Terre </w:t>
            </w:r>
            <w:r w:rsidR="00955B5D">
              <w:rPr>
                <w:rFonts w:asciiTheme="majorHAnsi" w:hAnsiTheme="majorHAnsi" w:cs="Arial"/>
                <w:b w:val="0"/>
                <w:sz w:val="20"/>
                <w:szCs w:val="20"/>
                <w:lang w:val="fr-CA"/>
              </w:rPr>
              <w:t>en tant qu’outil de « meilleure</w:t>
            </w:r>
            <w:r w:rsidR="0002742F">
              <w:rPr>
                <w:rFonts w:asciiTheme="majorHAnsi" w:hAnsiTheme="majorHAnsi" w:cs="Arial"/>
                <w:b w:val="0"/>
                <w:sz w:val="20"/>
                <w:szCs w:val="20"/>
                <w:lang w:val="fr-CA"/>
              </w:rPr>
              <w:t>s</w:t>
            </w:r>
            <w:r w:rsidR="00955B5D">
              <w:rPr>
                <w:rFonts w:asciiTheme="majorHAnsi" w:hAnsiTheme="majorHAnsi" w:cs="Arial"/>
                <w:b w:val="0"/>
                <w:sz w:val="20"/>
                <w:szCs w:val="20"/>
                <w:lang w:val="fr-CA"/>
              </w:rPr>
              <w:t xml:space="preserve"> pratique</w:t>
            </w:r>
            <w:r w:rsidR="0002742F">
              <w:rPr>
                <w:rFonts w:asciiTheme="majorHAnsi" w:hAnsiTheme="majorHAnsi" w:cs="Arial"/>
                <w:b w:val="0"/>
                <w:sz w:val="20"/>
                <w:szCs w:val="20"/>
                <w:lang w:val="fr-CA"/>
              </w:rPr>
              <w:t>s</w:t>
            </w:r>
            <w:r w:rsidR="00955B5D">
              <w:rPr>
                <w:rFonts w:asciiTheme="majorHAnsi" w:hAnsiTheme="majorHAnsi" w:cs="Arial"/>
                <w:b w:val="0"/>
                <w:sz w:val="20"/>
                <w:szCs w:val="20"/>
                <w:lang w:val="fr-CA"/>
              </w:rPr>
              <w:t xml:space="preserve"> » pour inventorier, cartographier et surveiller les zones humides, </w:t>
            </w:r>
            <w:r w:rsidR="00955B5D">
              <w:rPr>
                <w:rFonts w:asciiTheme="majorHAnsi" w:hAnsiTheme="majorHAnsi" w:cs="Arial"/>
                <w:b w:val="0"/>
                <w:sz w:val="20"/>
                <w:szCs w:val="20"/>
                <w:lang w:val="fr-CA"/>
              </w:rPr>
              <w:lastRenderedPageBreak/>
              <w:t xml:space="preserve">y compris les Sites Ramsar </w:t>
            </w:r>
          </w:p>
        </w:tc>
        <w:tc>
          <w:tcPr>
            <w:tcW w:w="301" w:type="pct"/>
          </w:tcPr>
          <w:p w14:paraId="52A8A20B" w14:textId="7B9808DB" w:rsidR="00914A1A" w:rsidRPr="00955B5D" w:rsidRDefault="008E6B37" w:rsidP="00914A1A">
            <w:pPr>
              <w:rPr>
                <w:rFonts w:asciiTheme="majorHAnsi" w:hAnsiTheme="majorHAnsi" w:cs="Arial"/>
                <w:b w:val="0"/>
                <w:sz w:val="20"/>
                <w:szCs w:val="20"/>
                <w:lang w:val="fr-CA"/>
              </w:rPr>
            </w:pPr>
            <w:r>
              <w:rPr>
                <w:rFonts w:asciiTheme="majorHAnsi" w:hAnsiTheme="majorHAnsi" w:cs="Arial"/>
                <w:b w:val="0"/>
                <w:sz w:val="20"/>
                <w:szCs w:val="20"/>
                <w:lang w:val="fr-CA"/>
              </w:rPr>
              <w:lastRenderedPageBreak/>
              <w:t>Très haute</w:t>
            </w:r>
          </w:p>
        </w:tc>
        <w:tc>
          <w:tcPr>
            <w:tcW w:w="390" w:type="pct"/>
          </w:tcPr>
          <w:p w14:paraId="46D566E5" w14:textId="77777777" w:rsidR="00914A1A" w:rsidRPr="00955B5D" w:rsidRDefault="00914A1A" w:rsidP="00914A1A">
            <w:pPr>
              <w:rPr>
                <w:rFonts w:asciiTheme="majorHAnsi" w:hAnsiTheme="majorHAnsi" w:cs="Arial"/>
                <w:b w:val="0"/>
                <w:sz w:val="20"/>
                <w:szCs w:val="20"/>
                <w:lang w:val="fr-CA"/>
              </w:rPr>
            </w:pPr>
            <w:r w:rsidRPr="00955B5D">
              <w:rPr>
                <w:rFonts w:asciiTheme="majorHAnsi" w:hAnsiTheme="majorHAnsi" w:cs="Arial"/>
                <w:b w:val="0"/>
                <w:sz w:val="20"/>
                <w:szCs w:val="20"/>
                <w:lang w:val="fr-CA"/>
              </w:rPr>
              <w:t>XII.5,</w:t>
            </w:r>
            <w:r w:rsidR="00E01336" w:rsidRPr="00955B5D">
              <w:rPr>
                <w:rFonts w:asciiTheme="majorHAnsi" w:hAnsiTheme="majorHAnsi" w:cs="Arial"/>
                <w:b w:val="0"/>
                <w:sz w:val="20"/>
                <w:szCs w:val="20"/>
                <w:lang w:val="fr-CA"/>
              </w:rPr>
              <w:t xml:space="preserve"> </w:t>
            </w:r>
            <w:r w:rsidRPr="00955B5D">
              <w:rPr>
                <w:rFonts w:asciiTheme="majorHAnsi" w:hAnsiTheme="majorHAnsi" w:cs="Arial"/>
                <w:b w:val="0"/>
                <w:sz w:val="20"/>
                <w:szCs w:val="20"/>
                <w:lang w:val="fr-CA"/>
              </w:rPr>
              <w:t>¶25</w:t>
            </w:r>
          </w:p>
          <w:p w14:paraId="2A5D6C7E" w14:textId="317B2548" w:rsidR="00E56010" w:rsidRPr="00955B5D" w:rsidRDefault="00E56010" w:rsidP="00955B5D">
            <w:pPr>
              <w:rPr>
                <w:rFonts w:asciiTheme="majorHAnsi" w:hAnsiTheme="majorHAnsi" w:cs="Arial"/>
                <w:b w:val="0"/>
                <w:sz w:val="20"/>
                <w:szCs w:val="20"/>
                <w:lang w:val="fr-CA"/>
              </w:rPr>
            </w:pPr>
            <w:r w:rsidRPr="00955B5D">
              <w:rPr>
                <w:rFonts w:asciiTheme="majorHAnsi" w:hAnsiTheme="majorHAnsi" w:cs="Arial"/>
                <w:b w:val="0"/>
                <w:sz w:val="20"/>
                <w:szCs w:val="20"/>
                <w:lang w:val="fr-CA"/>
              </w:rPr>
              <w:t>(comme élément de SoWWS)</w:t>
            </w:r>
          </w:p>
        </w:tc>
        <w:tc>
          <w:tcPr>
            <w:tcW w:w="403" w:type="pct"/>
          </w:tcPr>
          <w:p w14:paraId="5D17F836" w14:textId="38EF13BF" w:rsidR="00914A1A" w:rsidRPr="00955B5D" w:rsidRDefault="00E56010" w:rsidP="00E56010">
            <w:pPr>
              <w:rPr>
                <w:rFonts w:asciiTheme="majorHAnsi" w:hAnsiTheme="majorHAnsi" w:cs="Arial"/>
                <w:b w:val="0"/>
                <w:sz w:val="20"/>
                <w:szCs w:val="20"/>
                <w:lang w:val="fr-CA"/>
              </w:rPr>
            </w:pPr>
            <w:r w:rsidRPr="00955B5D">
              <w:rPr>
                <w:rFonts w:asciiTheme="majorHAnsi" w:hAnsiTheme="majorHAnsi" w:cs="Arial"/>
                <w:b w:val="0"/>
                <w:sz w:val="20"/>
                <w:szCs w:val="20"/>
                <w:lang w:val="fr-CA"/>
              </w:rPr>
              <w:t xml:space="preserve">2.5, 2.7; </w:t>
            </w:r>
            <w:r w:rsidR="00914A1A" w:rsidRPr="00955B5D">
              <w:rPr>
                <w:rFonts w:asciiTheme="majorHAnsi" w:hAnsiTheme="majorHAnsi" w:cs="Arial"/>
                <w:b w:val="0"/>
                <w:sz w:val="20"/>
                <w:szCs w:val="20"/>
                <w:lang w:val="fr-CA"/>
              </w:rPr>
              <w:t>4.14</w:t>
            </w:r>
            <w:r w:rsidR="00E01336" w:rsidRPr="00955B5D">
              <w:rPr>
                <w:rFonts w:asciiTheme="majorHAnsi" w:hAnsiTheme="majorHAnsi" w:cs="Arial"/>
                <w:b w:val="0"/>
                <w:sz w:val="20"/>
                <w:szCs w:val="20"/>
                <w:lang w:val="fr-CA"/>
              </w:rPr>
              <w:t xml:space="preserve"> </w:t>
            </w:r>
          </w:p>
        </w:tc>
        <w:tc>
          <w:tcPr>
            <w:tcW w:w="2921" w:type="pct"/>
          </w:tcPr>
          <w:p w14:paraId="7B9A12AB" w14:textId="028B9735" w:rsidR="00914A1A" w:rsidRPr="00955B5D" w:rsidRDefault="00130D8F" w:rsidP="00914A1A">
            <w:pPr>
              <w:rPr>
                <w:rFonts w:asciiTheme="majorHAnsi" w:hAnsiTheme="majorHAnsi" w:cs="Arial"/>
                <w:b w:val="0"/>
                <w:sz w:val="20"/>
                <w:szCs w:val="20"/>
                <w:lang w:val="fr-CA"/>
              </w:rPr>
            </w:pPr>
            <w:r w:rsidRPr="00955B5D">
              <w:rPr>
                <w:rFonts w:asciiTheme="majorHAnsi" w:hAnsiTheme="majorHAnsi" w:cs="Arial"/>
                <w:b w:val="0"/>
                <w:sz w:val="20"/>
                <w:szCs w:val="20"/>
                <w:u w:val="single"/>
                <w:lang w:val="fr-CA"/>
              </w:rPr>
              <w:t>Description de tâche</w:t>
            </w:r>
            <w:r w:rsidRPr="00955B5D">
              <w:rPr>
                <w:rFonts w:asciiTheme="majorHAnsi" w:hAnsiTheme="majorHAnsi" w:cs="Arial"/>
                <w:b w:val="0"/>
                <w:sz w:val="20"/>
                <w:szCs w:val="20"/>
                <w:lang w:val="fr-CA"/>
              </w:rPr>
              <w:t> </w:t>
            </w:r>
            <w:r w:rsidR="00914A1A" w:rsidRPr="00955B5D">
              <w:rPr>
                <w:rFonts w:asciiTheme="majorHAnsi" w:hAnsiTheme="majorHAnsi" w:cs="Arial"/>
                <w:b w:val="0"/>
                <w:sz w:val="20"/>
                <w:szCs w:val="20"/>
                <w:lang w:val="fr-CA"/>
              </w:rPr>
              <w:t>:</w:t>
            </w:r>
            <w:r w:rsidR="00E01336" w:rsidRPr="00955B5D">
              <w:rPr>
                <w:rFonts w:asciiTheme="majorHAnsi" w:hAnsiTheme="majorHAnsi" w:cs="Arial"/>
                <w:b w:val="0"/>
                <w:sz w:val="20"/>
                <w:szCs w:val="20"/>
                <w:lang w:val="fr-CA"/>
              </w:rPr>
              <w:t xml:space="preserve"> </w:t>
            </w:r>
            <w:r w:rsidR="00955B5D">
              <w:rPr>
                <w:rFonts w:asciiTheme="majorHAnsi" w:hAnsiTheme="majorHAnsi" w:cs="Arial"/>
                <w:b w:val="0"/>
                <w:sz w:val="20"/>
                <w:szCs w:val="20"/>
                <w:lang w:val="fr-CA"/>
              </w:rPr>
              <w:t xml:space="preserve">Examiner et faire rapport sur le rôle et l’utilisation de l’observation de la Terre pour inventorier, cartographier et surveiller les zones humides, y compris les Sites Ramsar. </w:t>
            </w:r>
            <w:r w:rsidR="00C8217C">
              <w:rPr>
                <w:rFonts w:asciiTheme="majorHAnsi" w:hAnsiTheme="majorHAnsi" w:cs="Arial"/>
                <w:b w:val="0"/>
                <w:sz w:val="20"/>
                <w:szCs w:val="20"/>
                <w:lang w:val="fr-CA"/>
              </w:rPr>
              <w:t xml:space="preserve">Un </w:t>
            </w:r>
            <w:r w:rsidR="00C8217C">
              <w:rPr>
                <w:rFonts w:asciiTheme="majorHAnsi" w:hAnsiTheme="majorHAnsi" w:cs="Calibri"/>
                <w:b w:val="0"/>
                <w:bCs/>
                <w:sz w:val="20"/>
                <w:szCs w:val="20"/>
                <w:lang w:val="fr-CA"/>
              </w:rPr>
              <w:t>Rapport technique Ramsar (RTR) sera consacré au</w:t>
            </w:r>
            <w:r w:rsidR="00536C73" w:rsidRPr="00955B5D">
              <w:rPr>
                <w:rFonts w:asciiTheme="majorHAnsi" w:hAnsiTheme="majorHAnsi" w:cs="Calibri"/>
                <w:b w:val="0"/>
                <w:bCs/>
                <w:sz w:val="20"/>
                <w:szCs w:val="20"/>
                <w:lang w:val="fr-CA"/>
              </w:rPr>
              <w:t xml:space="preserve"> Global Mangrove Watch,</w:t>
            </w:r>
            <w:r w:rsidR="00C8217C">
              <w:rPr>
                <w:rFonts w:asciiTheme="majorHAnsi" w:hAnsiTheme="majorHAnsi" w:cs="Calibri"/>
                <w:b w:val="0"/>
                <w:bCs/>
                <w:sz w:val="20"/>
                <w:szCs w:val="20"/>
                <w:lang w:val="fr-CA"/>
              </w:rPr>
              <w:t xml:space="preserve"> à</w:t>
            </w:r>
            <w:r w:rsidR="00536C73" w:rsidRPr="00955B5D">
              <w:rPr>
                <w:rFonts w:asciiTheme="majorHAnsi" w:hAnsiTheme="majorHAnsi" w:cs="Calibri"/>
                <w:b w:val="0"/>
                <w:bCs/>
                <w:sz w:val="20"/>
                <w:szCs w:val="20"/>
                <w:lang w:val="fr-CA"/>
              </w:rPr>
              <w:t xml:space="preserve"> GlobWetland Afri</w:t>
            </w:r>
            <w:r w:rsidR="00955B5D">
              <w:rPr>
                <w:rFonts w:asciiTheme="majorHAnsi" w:hAnsiTheme="majorHAnsi" w:cs="Calibri"/>
                <w:b w:val="0"/>
                <w:bCs/>
                <w:sz w:val="20"/>
                <w:szCs w:val="20"/>
                <w:lang w:val="fr-CA"/>
              </w:rPr>
              <w:t xml:space="preserve">que et </w:t>
            </w:r>
            <w:r w:rsidR="00C8217C">
              <w:rPr>
                <w:rFonts w:asciiTheme="majorHAnsi" w:hAnsiTheme="majorHAnsi" w:cs="Calibri"/>
                <w:b w:val="0"/>
                <w:bCs/>
                <w:sz w:val="20"/>
                <w:szCs w:val="20"/>
                <w:lang w:val="fr-CA"/>
              </w:rPr>
              <w:t>à d’</w:t>
            </w:r>
            <w:r w:rsidR="00955B5D">
              <w:rPr>
                <w:rFonts w:asciiTheme="majorHAnsi" w:hAnsiTheme="majorHAnsi" w:cs="Calibri"/>
                <w:b w:val="0"/>
                <w:bCs/>
                <w:sz w:val="20"/>
                <w:szCs w:val="20"/>
                <w:lang w:val="fr-CA"/>
              </w:rPr>
              <w:t xml:space="preserve">autres efforts d’observation de la Terre. Ce RTR discutera de l’utilisation de l’imagerie radar </w:t>
            </w:r>
            <w:r w:rsidR="00C8217C">
              <w:rPr>
                <w:rFonts w:asciiTheme="majorHAnsi" w:hAnsiTheme="majorHAnsi" w:cs="Calibri"/>
                <w:b w:val="0"/>
                <w:bCs/>
                <w:sz w:val="20"/>
                <w:szCs w:val="20"/>
                <w:lang w:val="fr-CA"/>
              </w:rPr>
              <w:t>par</w:t>
            </w:r>
            <w:r w:rsidR="00955B5D">
              <w:rPr>
                <w:rFonts w:asciiTheme="majorHAnsi" w:hAnsiTheme="majorHAnsi" w:cs="Calibri"/>
                <w:b w:val="0"/>
                <w:bCs/>
                <w:sz w:val="20"/>
                <w:szCs w:val="20"/>
                <w:lang w:val="fr-CA"/>
              </w:rPr>
              <w:t xml:space="preserve"> satellite lancée par JAXA comme outil de « meilleure</w:t>
            </w:r>
            <w:r w:rsidR="0002742F">
              <w:rPr>
                <w:rFonts w:asciiTheme="majorHAnsi" w:hAnsiTheme="majorHAnsi" w:cs="Calibri"/>
                <w:b w:val="0"/>
                <w:bCs/>
                <w:sz w:val="20"/>
                <w:szCs w:val="20"/>
                <w:lang w:val="fr-CA"/>
              </w:rPr>
              <w:t>s</w:t>
            </w:r>
            <w:r w:rsidR="00955B5D">
              <w:rPr>
                <w:rFonts w:asciiTheme="majorHAnsi" w:hAnsiTheme="majorHAnsi" w:cs="Calibri"/>
                <w:b w:val="0"/>
                <w:bCs/>
                <w:sz w:val="20"/>
                <w:szCs w:val="20"/>
                <w:lang w:val="fr-CA"/>
              </w:rPr>
              <w:t xml:space="preserve"> pratique</w:t>
            </w:r>
            <w:r w:rsidR="0002742F">
              <w:rPr>
                <w:rFonts w:asciiTheme="majorHAnsi" w:hAnsiTheme="majorHAnsi" w:cs="Calibri"/>
                <w:b w:val="0"/>
                <w:bCs/>
                <w:sz w:val="20"/>
                <w:szCs w:val="20"/>
                <w:lang w:val="fr-CA"/>
              </w:rPr>
              <w:t>s</w:t>
            </w:r>
            <w:r w:rsidR="00955B5D">
              <w:rPr>
                <w:rFonts w:asciiTheme="majorHAnsi" w:hAnsiTheme="majorHAnsi" w:cs="Calibri"/>
                <w:b w:val="0"/>
                <w:bCs/>
                <w:sz w:val="20"/>
                <w:szCs w:val="20"/>
                <w:lang w:val="fr-CA"/>
              </w:rPr>
              <w:t xml:space="preserve"> » pour cartographier les changements dans l’étendue mondiale des mangroves avec le temps, y compris leur expansion </w:t>
            </w:r>
            <w:r w:rsidR="00C8217C">
              <w:rPr>
                <w:rFonts w:asciiTheme="majorHAnsi" w:hAnsiTheme="majorHAnsi" w:cs="Calibri"/>
                <w:b w:val="0"/>
                <w:bCs/>
                <w:sz w:val="20"/>
                <w:szCs w:val="20"/>
                <w:lang w:val="fr-CA"/>
              </w:rPr>
              <w:t>sur</w:t>
            </w:r>
            <w:r w:rsidR="00955B5D">
              <w:rPr>
                <w:rFonts w:asciiTheme="majorHAnsi" w:hAnsiTheme="majorHAnsi" w:cs="Calibri"/>
                <w:b w:val="0"/>
                <w:bCs/>
                <w:sz w:val="20"/>
                <w:szCs w:val="20"/>
                <w:lang w:val="fr-CA"/>
              </w:rPr>
              <w:t xml:space="preserve"> la mer et leur retraite. La cartographie de l’état </w:t>
            </w:r>
            <w:r w:rsidR="00C8217C">
              <w:rPr>
                <w:rFonts w:asciiTheme="majorHAnsi" w:hAnsiTheme="majorHAnsi" w:cs="Calibri"/>
                <w:b w:val="0"/>
                <w:bCs/>
                <w:sz w:val="20"/>
                <w:szCs w:val="20"/>
                <w:lang w:val="fr-CA"/>
              </w:rPr>
              <w:t>variable</w:t>
            </w:r>
            <w:r w:rsidR="00955B5D">
              <w:rPr>
                <w:rFonts w:asciiTheme="majorHAnsi" w:hAnsiTheme="majorHAnsi" w:cs="Calibri"/>
                <w:b w:val="0"/>
                <w:bCs/>
                <w:sz w:val="20"/>
                <w:szCs w:val="20"/>
                <w:lang w:val="fr-CA"/>
              </w:rPr>
              <w:t xml:space="preserve"> des mangroves aux plans mondial et régional peut faciliter la priorisation des efforts de protection et d’identification des possibilités de restauration [voir aussi, par exemple, le Système de suivi des mangroves du Mexique (SMMM)</w:t>
            </w:r>
            <w:r w:rsidR="00955B5D">
              <w:rPr>
                <w:rFonts w:ascii="Calibri" w:hAnsi="Calibri" w:cs="Calibri"/>
                <w:b w:val="0"/>
                <w:bCs/>
                <w:sz w:val="20"/>
                <w:szCs w:val="20"/>
                <w:lang w:val="fr-CA"/>
              </w:rPr>
              <w:t xml:space="preserve">]. Le </w:t>
            </w:r>
            <w:r w:rsidR="00536C73" w:rsidRPr="00955B5D">
              <w:rPr>
                <w:rFonts w:asciiTheme="majorHAnsi" w:hAnsiTheme="majorHAnsi" w:cs="Calibri"/>
                <w:b w:val="0"/>
                <w:bCs/>
                <w:sz w:val="20"/>
                <w:szCs w:val="20"/>
                <w:lang w:val="fr-CA"/>
              </w:rPr>
              <w:t xml:space="preserve">RTR </w:t>
            </w:r>
            <w:r w:rsidR="00955B5D">
              <w:rPr>
                <w:rFonts w:asciiTheme="majorHAnsi" w:hAnsiTheme="majorHAnsi" w:cs="Calibri"/>
                <w:b w:val="0"/>
                <w:bCs/>
                <w:sz w:val="20"/>
                <w:szCs w:val="20"/>
                <w:lang w:val="fr-CA"/>
              </w:rPr>
              <w:t xml:space="preserve">examinera également les données </w:t>
            </w:r>
            <w:r w:rsidR="00C8217C">
              <w:rPr>
                <w:rFonts w:asciiTheme="majorHAnsi" w:hAnsiTheme="majorHAnsi" w:cs="Calibri"/>
                <w:b w:val="0"/>
                <w:bCs/>
                <w:sz w:val="20"/>
                <w:szCs w:val="20"/>
                <w:lang w:val="fr-CA"/>
              </w:rPr>
              <w:t>par</w:t>
            </w:r>
            <w:r w:rsidR="00955B5D">
              <w:rPr>
                <w:rFonts w:asciiTheme="majorHAnsi" w:hAnsiTheme="majorHAnsi" w:cs="Calibri"/>
                <w:b w:val="0"/>
                <w:bCs/>
                <w:sz w:val="20"/>
                <w:szCs w:val="20"/>
                <w:lang w:val="fr-CA"/>
              </w:rPr>
              <w:t xml:space="preserve"> satellite de </w:t>
            </w:r>
            <w:r w:rsidR="00536C73" w:rsidRPr="00955B5D">
              <w:rPr>
                <w:rFonts w:asciiTheme="majorHAnsi" w:hAnsiTheme="majorHAnsi" w:cs="Calibri"/>
                <w:b w:val="0"/>
                <w:bCs/>
                <w:sz w:val="20"/>
                <w:szCs w:val="20"/>
                <w:lang w:val="fr-CA"/>
              </w:rPr>
              <w:t>GlobWetland Afri</w:t>
            </w:r>
            <w:r w:rsidR="00955B5D">
              <w:rPr>
                <w:rFonts w:asciiTheme="majorHAnsi" w:hAnsiTheme="majorHAnsi" w:cs="Calibri"/>
                <w:b w:val="0"/>
                <w:bCs/>
                <w:sz w:val="20"/>
                <w:szCs w:val="20"/>
                <w:lang w:val="fr-CA"/>
              </w:rPr>
              <w:t>que</w:t>
            </w:r>
            <w:r w:rsidR="00536C73" w:rsidRPr="00955B5D">
              <w:rPr>
                <w:rFonts w:asciiTheme="majorHAnsi" w:hAnsiTheme="majorHAnsi" w:cs="Calibri"/>
                <w:b w:val="0"/>
                <w:bCs/>
                <w:sz w:val="20"/>
                <w:szCs w:val="20"/>
                <w:lang w:val="fr-CA"/>
              </w:rPr>
              <w:t xml:space="preserve"> (</w:t>
            </w:r>
            <w:r w:rsidR="00955B5D">
              <w:rPr>
                <w:rFonts w:asciiTheme="majorHAnsi" w:hAnsiTheme="majorHAnsi" w:cs="Calibri"/>
                <w:b w:val="0"/>
                <w:bCs/>
                <w:sz w:val="20"/>
                <w:szCs w:val="20"/>
                <w:lang w:val="fr-CA"/>
              </w:rPr>
              <w:t>produites par l’Agence spatiale européenne et des partenaires nationaux et locaux) et ses outils et articles scientifiques, soulignant l’observation de la Terre comme outil de « meilleure</w:t>
            </w:r>
            <w:r w:rsidR="0002742F">
              <w:rPr>
                <w:rFonts w:asciiTheme="majorHAnsi" w:hAnsiTheme="majorHAnsi" w:cs="Calibri"/>
                <w:b w:val="0"/>
                <w:bCs/>
                <w:sz w:val="20"/>
                <w:szCs w:val="20"/>
                <w:lang w:val="fr-CA"/>
              </w:rPr>
              <w:t>s</w:t>
            </w:r>
            <w:r w:rsidR="00955B5D">
              <w:rPr>
                <w:rFonts w:asciiTheme="majorHAnsi" w:hAnsiTheme="majorHAnsi" w:cs="Calibri"/>
                <w:b w:val="0"/>
                <w:bCs/>
                <w:sz w:val="20"/>
                <w:szCs w:val="20"/>
                <w:lang w:val="fr-CA"/>
              </w:rPr>
              <w:t xml:space="preserve"> pratique</w:t>
            </w:r>
            <w:r w:rsidR="0002742F">
              <w:rPr>
                <w:rFonts w:asciiTheme="majorHAnsi" w:hAnsiTheme="majorHAnsi" w:cs="Calibri"/>
                <w:b w:val="0"/>
                <w:bCs/>
                <w:sz w:val="20"/>
                <w:szCs w:val="20"/>
                <w:lang w:val="fr-CA"/>
              </w:rPr>
              <w:t>s</w:t>
            </w:r>
            <w:r w:rsidR="0093570F">
              <w:rPr>
                <w:rFonts w:asciiTheme="majorHAnsi" w:hAnsiTheme="majorHAnsi" w:cs="Calibri"/>
                <w:b w:val="0"/>
                <w:bCs/>
                <w:sz w:val="20"/>
                <w:szCs w:val="20"/>
                <w:lang w:val="fr-CA"/>
              </w:rPr>
              <w:t> »</w:t>
            </w:r>
            <w:r w:rsidR="00955B5D">
              <w:rPr>
                <w:rFonts w:asciiTheme="majorHAnsi" w:hAnsiTheme="majorHAnsi" w:cs="Calibri"/>
                <w:b w:val="0"/>
                <w:bCs/>
                <w:sz w:val="20"/>
                <w:szCs w:val="20"/>
                <w:lang w:val="fr-CA"/>
              </w:rPr>
              <w:t xml:space="preserve"> pour </w:t>
            </w:r>
            <w:r w:rsidR="00955B5D">
              <w:rPr>
                <w:rFonts w:asciiTheme="majorHAnsi" w:hAnsiTheme="majorHAnsi" w:cs="Calibri"/>
                <w:b w:val="0"/>
                <w:bCs/>
                <w:sz w:val="20"/>
                <w:szCs w:val="20"/>
                <w:lang w:val="fr-CA"/>
              </w:rPr>
              <w:lastRenderedPageBreak/>
              <w:t>inventorier, cartographier et surveiller les zones humides africaines, y compris les Sites Ramsar. Les avantages du Système d’observation des zones humides par satellite (SWOS) pour la gestion des sites seront également examinés.</w:t>
            </w:r>
          </w:p>
          <w:p w14:paraId="60CB2F44" w14:textId="1E128EA9" w:rsidR="00914A1A" w:rsidRPr="00955B5D" w:rsidRDefault="00E01336" w:rsidP="00914A1A">
            <w:pPr>
              <w:rPr>
                <w:rFonts w:asciiTheme="majorHAnsi" w:hAnsiTheme="majorHAnsi" w:cs="Arial"/>
                <w:b w:val="0"/>
                <w:sz w:val="20"/>
                <w:szCs w:val="20"/>
                <w:lang w:val="fr-CA"/>
              </w:rPr>
            </w:pPr>
            <w:r w:rsidRPr="00955B5D">
              <w:rPr>
                <w:rFonts w:asciiTheme="majorHAnsi" w:hAnsiTheme="majorHAnsi" w:cs="Arial"/>
                <w:b w:val="0"/>
                <w:sz w:val="20"/>
                <w:szCs w:val="20"/>
                <w:lang w:val="fr-CA"/>
              </w:rPr>
              <w:t xml:space="preserve"> </w:t>
            </w:r>
          </w:p>
          <w:p w14:paraId="74AF3BB1" w14:textId="23A4D05B" w:rsidR="00914A1A" w:rsidRPr="00955B5D" w:rsidRDefault="00130D8F" w:rsidP="00914A1A">
            <w:pPr>
              <w:rPr>
                <w:rFonts w:asciiTheme="majorHAnsi" w:hAnsiTheme="majorHAnsi" w:cs="Arial"/>
                <w:b w:val="0"/>
                <w:sz w:val="20"/>
                <w:szCs w:val="20"/>
                <w:lang w:val="fr-CA"/>
              </w:rPr>
            </w:pPr>
            <w:r w:rsidRPr="00955B5D">
              <w:rPr>
                <w:rFonts w:asciiTheme="majorHAnsi" w:hAnsiTheme="majorHAnsi" w:cs="Arial"/>
                <w:b w:val="0"/>
                <w:sz w:val="20"/>
                <w:szCs w:val="20"/>
                <w:u w:val="single"/>
                <w:lang w:val="fr-CA"/>
              </w:rPr>
              <w:t>Résultat</w:t>
            </w:r>
            <w:r w:rsidR="00914A1A" w:rsidRPr="00955B5D">
              <w:rPr>
                <w:rFonts w:asciiTheme="majorHAnsi" w:hAnsiTheme="majorHAnsi" w:cs="Arial"/>
                <w:b w:val="0"/>
                <w:sz w:val="20"/>
                <w:szCs w:val="20"/>
                <w:u w:val="single"/>
                <w:lang w:val="fr-CA"/>
              </w:rPr>
              <w:t>(s)</w:t>
            </w:r>
            <w:r w:rsidRPr="00955B5D">
              <w:rPr>
                <w:rFonts w:asciiTheme="majorHAnsi" w:hAnsiTheme="majorHAnsi" w:cs="Arial"/>
                <w:b w:val="0"/>
                <w:sz w:val="20"/>
                <w:szCs w:val="20"/>
                <w:u w:val="single"/>
                <w:lang w:val="fr-CA"/>
              </w:rPr>
              <w:t xml:space="preserve"> escompté(s)</w:t>
            </w:r>
            <w:r w:rsidRPr="00955B5D">
              <w:rPr>
                <w:rFonts w:asciiTheme="majorHAnsi" w:hAnsiTheme="majorHAnsi" w:cs="Arial"/>
                <w:b w:val="0"/>
                <w:sz w:val="20"/>
                <w:szCs w:val="20"/>
                <w:lang w:val="fr-CA"/>
              </w:rPr>
              <w:t> :</w:t>
            </w:r>
            <w:r w:rsidR="00E56010" w:rsidRPr="00955B5D">
              <w:rPr>
                <w:rFonts w:asciiTheme="majorHAnsi" w:hAnsiTheme="majorHAnsi" w:cs="Arial"/>
                <w:b w:val="0"/>
                <w:sz w:val="20"/>
                <w:szCs w:val="20"/>
                <w:lang w:val="fr-CA"/>
              </w:rPr>
              <w:t xml:space="preserve"> </w:t>
            </w:r>
            <w:r w:rsidRPr="00955B5D">
              <w:rPr>
                <w:rFonts w:asciiTheme="majorHAnsi" w:hAnsiTheme="majorHAnsi" w:cs="Arial"/>
                <w:b w:val="0"/>
                <w:sz w:val="20"/>
                <w:szCs w:val="20"/>
                <w:lang w:val="fr-CA"/>
              </w:rPr>
              <w:t xml:space="preserve">Rapport </w:t>
            </w:r>
            <w:r w:rsidR="00E56010" w:rsidRPr="00955B5D">
              <w:rPr>
                <w:rFonts w:asciiTheme="majorHAnsi" w:hAnsiTheme="majorHAnsi" w:cs="Arial"/>
                <w:b w:val="0"/>
                <w:sz w:val="20"/>
                <w:szCs w:val="20"/>
                <w:lang w:val="fr-CA"/>
              </w:rPr>
              <w:t>technique Ramsar</w:t>
            </w:r>
            <w:r w:rsidR="0093570F">
              <w:rPr>
                <w:rFonts w:asciiTheme="majorHAnsi" w:hAnsiTheme="majorHAnsi" w:cs="Arial"/>
                <w:b w:val="0"/>
                <w:sz w:val="20"/>
                <w:szCs w:val="20"/>
                <w:lang w:val="fr-CA"/>
              </w:rPr>
              <w:t>.</w:t>
            </w:r>
            <w:r w:rsidRPr="00955B5D">
              <w:rPr>
                <w:rFonts w:asciiTheme="majorHAnsi" w:hAnsiTheme="majorHAnsi" w:cs="Arial"/>
                <w:b w:val="0"/>
                <w:sz w:val="20"/>
                <w:szCs w:val="20"/>
                <w:lang w:val="fr-CA"/>
              </w:rPr>
              <w:t xml:space="preserve"> </w:t>
            </w:r>
          </w:p>
          <w:p w14:paraId="0191FE80" w14:textId="77777777" w:rsidR="00914A1A" w:rsidRPr="00955B5D" w:rsidRDefault="00914A1A" w:rsidP="00914A1A">
            <w:pPr>
              <w:rPr>
                <w:rFonts w:asciiTheme="majorHAnsi" w:hAnsiTheme="majorHAnsi" w:cs="Arial"/>
                <w:b w:val="0"/>
                <w:sz w:val="20"/>
                <w:szCs w:val="20"/>
                <w:lang w:val="fr-CA"/>
              </w:rPr>
            </w:pPr>
          </w:p>
          <w:p w14:paraId="58DD1817" w14:textId="04DA0AE1" w:rsidR="00914A1A" w:rsidRPr="00251FB6" w:rsidRDefault="00130D8F" w:rsidP="00E56010">
            <w:pPr>
              <w:rPr>
                <w:rFonts w:asciiTheme="majorHAnsi" w:hAnsiTheme="majorHAnsi" w:cs="Arial"/>
                <w:b w:val="0"/>
                <w:sz w:val="20"/>
                <w:szCs w:val="20"/>
              </w:rPr>
            </w:pPr>
            <w:r w:rsidRPr="00251FB6">
              <w:rPr>
                <w:rFonts w:asciiTheme="majorHAnsi" w:hAnsiTheme="majorHAnsi" w:cs="Arial"/>
                <w:b w:val="0"/>
                <w:sz w:val="20"/>
                <w:szCs w:val="20"/>
                <w:u w:val="single"/>
              </w:rPr>
              <w:t>Public</w:t>
            </w:r>
            <w:r w:rsidR="00914A1A" w:rsidRPr="00251FB6">
              <w:rPr>
                <w:rFonts w:asciiTheme="majorHAnsi" w:hAnsiTheme="majorHAnsi" w:cs="Arial"/>
                <w:b w:val="0"/>
                <w:sz w:val="20"/>
                <w:szCs w:val="20"/>
                <w:u w:val="single"/>
              </w:rPr>
              <w:t>(s)</w:t>
            </w:r>
            <w:r w:rsidRPr="00251FB6">
              <w:rPr>
                <w:rFonts w:asciiTheme="majorHAnsi" w:hAnsiTheme="majorHAnsi" w:cs="Arial"/>
                <w:b w:val="0"/>
                <w:sz w:val="20"/>
                <w:szCs w:val="20"/>
                <w:u w:val="single"/>
              </w:rPr>
              <w:t xml:space="preserve"> ciblé(s)</w:t>
            </w:r>
            <w:r w:rsidRPr="00251FB6">
              <w:rPr>
                <w:rFonts w:asciiTheme="majorHAnsi" w:hAnsiTheme="majorHAnsi" w:cs="Arial"/>
                <w:b w:val="0"/>
                <w:sz w:val="20"/>
                <w:szCs w:val="20"/>
              </w:rPr>
              <w:t> </w:t>
            </w:r>
            <w:r w:rsidR="00914A1A" w:rsidRPr="00251FB6">
              <w:rPr>
                <w:rFonts w:asciiTheme="majorHAnsi" w:hAnsiTheme="majorHAnsi" w:cs="Arial"/>
                <w:b w:val="0"/>
                <w:sz w:val="20"/>
                <w:szCs w:val="20"/>
              </w:rPr>
              <w:t>:</w:t>
            </w:r>
            <w:r w:rsidR="00E01336" w:rsidRPr="00251FB6">
              <w:rPr>
                <w:rFonts w:asciiTheme="majorHAnsi" w:hAnsiTheme="majorHAnsi" w:cs="Arial"/>
                <w:b w:val="0"/>
                <w:sz w:val="20"/>
                <w:szCs w:val="20"/>
              </w:rPr>
              <w:t xml:space="preserve"> </w:t>
            </w:r>
            <w:r w:rsidR="00E56010" w:rsidRPr="00251FB6">
              <w:rPr>
                <w:rFonts w:asciiTheme="majorHAnsi" w:hAnsiTheme="majorHAnsi" w:cs="Arial"/>
                <w:b w:val="0"/>
                <w:sz w:val="20"/>
                <w:szCs w:val="20"/>
              </w:rPr>
              <w:t>Praticiens</w:t>
            </w:r>
            <w:r w:rsidR="0093570F" w:rsidRPr="00251FB6">
              <w:rPr>
                <w:rFonts w:asciiTheme="majorHAnsi" w:hAnsiTheme="majorHAnsi" w:cs="Arial"/>
                <w:b w:val="0"/>
                <w:sz w:val="20"/>
                <w:szCs w:val="20"/>
              </w:rPr>
              <w:t>.</w:t>
            </w:r>
            <w:r w:rsidRPr="00251FB6">
              <w:rPr>
                <w:rFonts w:asciiTheme="majorHAnsi" w:hAnsiTheme="majorHAnsi" w:cs="Arial"/>
                <w:b w:val="0"/>
                <w:sz w:val="20"/>
                <w:szCs w:val="20"/>
              </w:rPr>
              <w:t xml:space="preserve"> </w:t>
            </w:r>
          </w:p>
        </w:tc>
        <w:tc>
          <w:tcPr>
            <w:tcW w:w="497" w:type="pct"/>
          </w:tcPr>
          <w:p w14:paraId="4B4DB4B6" w14:textId="34D70BDE" w:rsidR="00914A1A" w:rsidRPr="00955B5D" w:rsidRDefault="00E56010" w:rsidP="00914A1A">
            <w:pPr>
              <w:rPr>
                <w:rFonts w:asciiTheme="majorHAnsi" w:hAnsiTheme="majorHAnsi" w:cs="Arial"/>
                <w:b w:val="0"/>
                <w:sz w:val="20"/>
                <w:szCs w:val="20"/>
                <w:lang w:val="fr-CA"/>
              </w:rPr>
            </w:pPr>
            <w:r w:rsidRPr="00955B5D">
              <w:rPr>
                <w:rFonts w:asciiTheme="majorHAnsi" w:hAnsiTheme="majorHAnsi" w:cs="Arial"/>
                <w:b w:val="0"/>
                <w:sz w:val="20"/>
                <w:szCs w:val="20"/>
                <w:lang w:val="fr-CA"/>
              </w:rPr>
              <w:lastRenderedPageBreak/>
              <w:t>Jusqu’à 33 500</w:t>
            </w:r>
          </w:p>
          <w:p w14:paraId="7F1A76D7" w14:textId="77777777" w:rsidR="00914A1A" w:rsidRPr="00955B5D" w:rsidRDefault="00914A1A" w:rsidP="00914A1A">
            <w:pPr>
              <w:jc w:val="center"/>
              <w:rPr>
                <w:rFonts w:asciiTheme="majorHAnsi" w:hAnsiTheme="majorHAnsi" w:cs="Arial"/>
                <w:b w:val="0"/>
                <w:sz w:val="20"/>
                <w:szCs w:val="20"/>
                <w:lang w:val="fr-CA"/>
              </w:rPr>
            </w:pPr>
          </w:p>
        </w:tc>
      </w:tr>
      <w:tr w:rsidR="00914A1A" w:rsidRPr="00955B5D" w14:paraId="71270C32" w14:textId="77777777" w:rsidTr="00130D8F">
        <w:tc>
          <w:tcPr>
            <w:tcW w:w="488" w:type="pct"/>
          </w:tcPr>
          <w:p w14:paraId="0FBAA673" w14:textId="7EE82317" w:rsidR="00914A1A" w:rsidRPr="00955B5D" w:rsidRDefault="00914A1A" w:rsidP="00C8217C">
            <w:pPr>
              <w:rPr>
                <w:rFonts w:asciiTheme="majorHAnsi" w:hAnsiTheme="majorHAnsi" w:cs="Arial"/>
                <w:b w:val="0"/>
                <w:sz w:val="20"/>
                <w:szCs w:val="20"/>
                <w:lang w:val="fr-CA"/>
              </w:rPr>
            </w:pPr>
            <w:r w:rsidRPr="00955B5D">
              <w:rPr>
                <w:rFonts w:asciiTheme="majorHAnsi" w:hAnsiTheme="majorHAnsi" w:cs="Arial"/>
                <w:b w:val="0"/>
                <w:sz w:val="20"/>
                <w:szCs w:val="20"/>
                <w:lang w:val="fr-CA"/>
              </w:rPr>
              <w:lastRenderedPageBreak/>
              <w:t>N</w:t>
            </w:r>
            <w:r w:rsidRPr="00955B5D">
              <w:rPr>
                <w:rFonts w:asciiTheme="majorHAnsi" w:hAnsiTheme="majorHAnsi" w:cs="Arial"/>
                <w:b w:val="0"/>
                <w:sz w:val="20"/>
                <w:szCs w:val="20"/>
                <w:vertAlign w:val="superscript"/>
                <w:lang w:val="fr-CA"/>
              </w:rPr>
              <w:t>o</w:t>
            </w:r>
            <w:r w:rsidR="00130D8F" w:rsidRPr="00955B5D">
              <w:rPr>
                <w:rFonts w:asciiTheme="majorHAnsi" w:hAnsiTheme="majorHAnsi" w:cs="Arial"/>
                <w:b w:val="0"/>
                <w:sz w:val="20"/>
                <w:szCs w:val="20"/>
                <w:vertAlign w:val="superscript"/>
                <w:lang w:val="fr-CA"/>
              </w:rPr>
              <w:t> </w:t>
            </w:r>
            <w:r w:rsidRPr="00955B5D">
              <w:rPr>
                <w:rFonts w:asciiTheme="majorHAnsi" w:hAnsiTheme="majorHAnsi" w:cs="Arial"/>
                <w:b w:val="0"/>
                <w:sz w:val="20"/>
                <w:szCs w:val="20"/>
                <w:lang w:val="fr-CA"/>
              </w:rPr>
              <w:t>1.2</w:t>
            </w:r>
            <w:r w:rsidR="00E56010" w:rsidRPr="00955B5D">
              <w:rPr>
                <w:rFonts w:asciiTheme="majorHAnsi" w:hAnsiTheme="majorHAnsi" w:cs="Arial"/>
                <w:b w:val="0"/>
                <w:sz w:val="20"/>
                <w:szCs w:val="20"/>
                <w:lang w:val="fr-CA"/>
              </w:rPr>
              <w:t xml:space="preserve"> </w:t>
            </w:r>
            <w:r w:rsidR="00955B5D">
              <w:rPr>
                <w:rFonts w:asciiTheme="majorHAnsi" w:hAnsiTheme="majorHAnsi" w:cs="Arial"/>
                <w:b w:val="0"/>
                <w:sz w:val="20"/>
                <w:szCs w:val="20"/>
                <w:lang w:val="fr-CA"/>
              </w:rPr>
              <w:t>Atelier</w:t>
            </w:r>
            <w:r w:rsidR="00C8217C">
              <w:rPr>
                <w:rFonts w:asciiTheme="majorHAnsi" w:hAnsiTheme="majorHAnsi" w:cs="Arial"/>
                <w:b w:val="0"/>
                <w:sz w:val="20"/>
                <w:szCs w:val="20"/>
                <w:lang w:val="fr-CA"/>
              </w:rPr>
              <w:t xml:space="preserve"> sur l’</w:t>
            </w:r>
            <w:r w:rsidR="00955B5D">
              <w:rPr>
                <w:rFonts w:asciiTheme="majorHAnsi" w:hAnsiTheme="majorHAnsi" w:cs="Arial"/>
                <w:b w:val="0"/>
                <w:sz w:val="20"/>
                <w:szCs w:val="20"/>
                <w:lang w:val="fr-CA"/>
              </w:rPr>
              <w:t xml:space="preserve">application des inventaires culturels des zones humides </w:t>
            </w:r>
          </w:p>
        </w:tc>
        <w:tc>
          <w:tcPr>
            <w:tcW w:w="301" w:type="pct"/>
          </w:tcPr>
          <w:p w14:paraId="069043C7" w14:textId="77777777" w:rsidR="00914A1A" w:rsidRPr="00955B5D" w:rsidRDefault="00914A1A" w:rsidP="00914A1A">
            <w:pPr>
              <w:rPr>
                <w:rFonts w:asciiTheme="majorHAnsi" w:hAnsiTheme="majorHAnsi" w:cs="Arial"/>
                <w:b w:val="0"/>
                <w:sz w:val="20"/>
                <w:szCs w:val="20"/>
                <w:lang w:val="fr-CA"/>
              </w:rPr>
            </w:pPr>
          </w:p>
        </w:tc>
        <w:tc>
          <w:tcPr>
            <w:tcW w:w="390" w:type="pct"/>
          </w:tcPr>
          <w:p w14:paraId="6784CD08" w14:textId="38DC99AB" w:rsidR="00914A1A" w:rsidRPr="00955B5D" w:rsidRDefault="00914A1A" w:rsidP="00914A1A">
            <w:pPr>
              <w:rPr>
                <w:rFonts w:asciiTheme="majorHAnsi" w:hAnsiTheme="majorHAnsi" w:cs="Arial"/>
                <w:b w:val="0"/>
                <w:sz w:val="20"/>
                <w:szCs w:val="20"/>
                <w:lang w:val="fr-CA"/>
              </w:rPr>
            </w:pPr>
            <w:r w:rsidRPr="00955B5D">
              <w:rPr>
                <w:rFonts w:asciiTheme="majorHAnsi" w:hAnsiTheme="majorHAnsi" w:cs="Arial"/>
                <w:b w:val="0"/>
                <w:sz w:val="20"/>
                <w:szCs w:val="20"/>
                <w:lang w:val="fr-CA"/>
              </w:rPr>
              <w:t>XII.2,</w:t>
            </w:r>
            <w:r w:rsidR="00E01336" w:rsidRPr="00955B5D">
              <w:rPr>
                <w:rFonts w:asciiTheme="majorHAnsi" w:hAnsiTheme="majorHAnsi" w:cs="Arial"/>
                <w:b w:val="0"/>
                <w:sz w:val="20"/>
                <w:szCs w:val="20"/>
                <w:lang w:val="fr-CA"/>
              </w:rPr>
              <w:t xml:space="preserve"> </w:t>
            </w:r>
            <w:r w:rsidRPr="00955B5D">
              <w:rPr>
                <w:rFonts w:asciiTheme="majorHAnsi" w:hAnsiTheme="majorHAnsi" w:cs="Arial"/>
                <w:b w:val="0"/>
                <w:sz w:val="20"/>
                <w:szCs w:val="20"/>
                <w:lang w:val="fr-CA"/>
              </w:rPr>
              <w:t>¶24;</w:t>
            </w:r>
          </w:p>
          <w:p w14:paraId="6CBA9E65" w14:textId="5414AA06" w:rsidR="00914A1A" w:rsidRPr="00955B5D" w:rsidRDefault="00914A1A" w:rsidP="00914A1A">
            <w:pPr>
              <w:rPr>
                <w:rFonts w:asciiTheme="majorHAnsi" w:hAnsiTheme="majorHAnsi" w:cs="Arial"/>
                <w:b w:val="0"/>
                <w:sz w:val="20"/>
                <w:szCs w:val="20"/>
                <w:lang w:val="fr-CA"/>
              </w:rPr>
            </w:pPr>
            <w:r w:rsidRPr="00955B5D">
              <w:rPr>
                <w:rFonts w:asciiTheme="majorHAnsi" w:hAnsiTheme="majorHAnsi" w:cs="Arial"/>
                <w:b w:val="0"/>
                <w:sz w:val="20"/>
                <w:szCs w:val="20"/>
                <w:lang w:val="fr-CA"/>
              </w:rPr>
              <w:t>XII.3,</w:t>
            </w:r>
            <w:r w:rsidR="00E01336" w:rsidRPr="00955B5D">
              <w:rPr>
                <w:rFonts w:asciiTheme="majorHAnsi" w:hAnsiTheme="majorHAnsi" w:cs="Arial"/>
                <w:b w:val="0"/>
                <w:sz w:val="20"/>
                <w:szCs w:val="20"/>
                <w:lang w:val="fr-CA"/>
              </w:rPr>
              <w:t xml:space="preserve"> </w:t>
            </w:r>
            <w:r w:rsidRPr="00955B5D">
              <w:rPr>
                <w:rFonts w:asciiTheme="majorHAnsi" w:hAnsiTheme="majorHAnsi" w:cs="Arial"/>
                <w:b w:val="0"/>
                <w:sz w:val="20"/>
                <w:szCs w:val="20"/>
                <w:lang w:val="fr-CA"/>
              </w:rPr>
              <w:t>¶¶</w:t>
            </w:r>
            <w:r w:rsidR="00E01336" w:rsidRPr="00955B5D">
              <w:rPr>
                <w:rFonts w:asciiTheme="majorHAnsi" w:hAnsiTheme="majorHAnsi" w:cs="Arial"/>
                <w:b w:val="0"/>
                <w:sz w:val="20"/>
                <w:szCs w:val="20"/>
                <w:lang w:val="fr-CA"/>
              </w:rPr>
              <w:t xml:space="preserve"> </w:t>
            </w:r>
            <w:r w:rsidRPr="00955B5D">
              <w:rPr>
                <w:rFonts w:asciiTheme="majorHAnsi" w:hAnsiTheme="majorHAnsi" w:cs="Arial"/>
                <w:b w:val="0"/>
                <w:sz w:val="20"/>
                <w:szCs w:val="20"/>
                <w:lang w:val="fr-CA"/>
              </w:rPr>
              <w:t>48,</w:t>
            </w:r>
            <w:r w:rsidR="00E01336" w:rsidRPr="00955B5D">
              <w:rPr>
                <w:rFonts w:asciiTheme="majorHAnsi" w:hAnsiTheme="majorHAnsi" w:cs="Arial"/>
                <w:b w:val="0"/>
                <w:sz w:val="20"/>
                <w:szCs w:val="20"/>
                <w:lang w:val="fr-CA"/>
              </w:rPr>
              <w:t xml:space="preserve"> </w:t>
            </w:r>
            <w:r w:rsidRPr="00955B5D">
              <w:rPr>
                <w:rFonts w:asciiTheme="majorHAnsi" w:hAnsiTheme="majorHAnsi" w:cs="Arial"/>
                <w:b w:val="0"/>
                <w:sz w:val="20"/>
                <w:szCs w:val="20"/>
                <w:lang w:val="fr-CA"/>
              </w:rPr>
              <w:t>49</w:t>
            </w:r>
          </w:p>
        </w:tc>
        <w:tc>
          <w:tcPr>
            <w:tcW w:w="403" w:type="pct"/>
          </w:tcPr>
          <w:p w14:paraId="2604A8F2" w14:textId="13B6A137" w:rsidR="00914A1A" w:rsidRPr="00955B5D" w:rsidRDefault="00955B5D" w:rsidP="00955B5D">
            <w:pPr>
              <w:rPr>
                <w:rFonts w:asciiTheme="majorHAnsi" w:hAnsiTheme="majorHAnsi" w:cs="Arial"/>
                <w:sz w:val="20"/>
                <w:szCs w:val="20"/>
                <w:lang w:val="fr-CA"/>
              </w:rPr>
            </w:pPr>
            <w:r>
              <w:rPr>
                <w:rFonts w:asciiTheme="majorHAnsi" w:hAnsiTheme="majorHAnsi" w:cs="Arial"/>
                <w:b w:val="0"/>
                <w:sz w:val="20"/>
                <w:szCs w:val="20"/>
                <w:lang w:val="fr-CA"/>
              </w:rPr>
              <w:t>2.5, 2.7; 3.10, 3.11; 4.14, 4.16, 4.19</w:t>
            </w:r>
          </w:p>
        </w:tc>
        <w:tc>
          <w:tcPr>
            <w:tcW w:w="2921" w:type="pct"/>
          </w:tcPr>
          <w:p w14:paraId="1BD202EA" w14:textId="2A971554" w:rsidR="00914A1A" w:rsidRPr="00955B5D" w:rsidRDefault="00130D8F" w:rsidP="00914A1A">
            <w:pPr>
              <w:rPr>
                <w:rFonts w:asciiTheme="majorHAnsi" w:hAnsiTheme="majorHAnsi" w:cs="Arial"/>
                <w:b w:val="0"/>
                <w:sz w:val="20"/>
                <w:szCs w:val="20"/>
                <w:lang w:val="fr-CA"/>
              </w:rPr>
            </w:pPr>
            <w:r w:rsidRPr="00955B5D">
              <w:rPr>
                <w:rFonts w:asciiTheme="majorHAnsi" w:hAnsiTheme="majorHAnsi" w:cs="Arial"/>
                <w:b w:val="0"/>
                <w:sz w:val="20"/>
                <w:szCs w:val="20"/>
                <w:u w:val="single"/>
                <w:lang w:val="fr-CA"/>
              </w:rPr>
              <w:t>Description de tâche</w:t>
            </w:r>
            <w:r w:rsidRPr="00955B5D">
              <w:rPr>
                <w:rFonts w:asciiTheme="majorHAnsi" w:hAnsiTheme="majorHAnsi" w:cs="Arial"/>
                <w:b w:val="0"/>
                <w:sz w:val="20"/>
                <w:szCs w:val="20"/>
                <w:lang w:val="fr-CA"/>
              </w:rPr>
              <w:t> :</w:t>
            </w:r>
            <w:r w:rsidR="00331336" w:rsidRPr="00955B5D">
              <w:rPr>
                <w:rFonts w:asciiTheme="majorHAnsi" w:hAnsiTheme="majorHAnsi" w:cs="Arial"/>
                <w:b w:val="0"/>
                <w:sz w:val="20"/>
                <w:szCs w:val="20"/>
                <w:lang w:val="fr-CA"/>
              </w:rPr>
              <w:t xml:space="preserve"> </w:t>
            </w:r>
            <w:r w:rsidR="00955B5D">
              <w:rPr>
                <w:rFonts w:asciiTheme="majorHAnsi" w:hAnsiTheme="majorHAnsi" w:cs="Arial"/>
                <w:b w:val="0"/>
                <w:sz w:val="20"/>
                <w:szCs w:val="20"/>
                <w:lang w:val="fr-CA"/>
              </w:rPr>
              <w:t>E</w:t>
            </w:r>
            <w:r w:rsidR="00536C73" w:rsidRPr="00955B5D">
              <w:rPr>
                <w:rFonts w:asciiTheme="majorHAnsi" w:hAnsiTheme="majorHAnsi" w:cs="Arial"/>
                <w:b w:val="0"/>
                <w:sz w:val="20"/>
                <w:szCs w:val="20"/>
                <w:lang w:val="fr-CA"/>
              </w:rPr>
              <w:t xml:space="preserve">n collaboration </w:t>
            </w:r>
            <w:r w:rsidR="00955B5D">
              <w:rPr>
                <w:rFonts w:asciiTheme="majorHAnsi" w:hAnsiTheme="majorHAnsi" w:cs="Arial"/>
                <w:b w:val="0"/>
                <w:sz w:val="20"/>
                <w:szCs w:val="20"/>
                <w:lang w:val="fr-CA"/>
              </w:rPr>
              <w:t xml:space="preserve">avec le Réseau culturel Ramsar et le Centre régional Ramsar pour la formation et la recherche dans l’hémisphère occidental (CREHO), convoquer un petit atelier de renforcement des capacités pour les administrateurs de Sites Ramsar et les Correspondants nationaux GEST afin d’examiner l’application pratique des inventaires culturels. Compiler un ensemble d’études de cas illustrant l’application des inventaires culturels des zones humides, y compris avec des exemples intégrant les connaissances autochtones et locales. </w:t>
            </w:r>
          </w:p>
          <w:p w14:paraId="62C68AEB" w14:textId="77777777" w:rsidR="00914A1A" w:rsidRPr="00955B5D" w:rsidRDefault="00914A1A" w:rsidP="00914A1A">
            <w:pPr>
              <w:rPr>
                <w:rFonts w:asciiTheme="majorHAnsi" w:hAnsiTheme="majorHAnsi" w:cs="Arial"/>
                <w:b w:val="0"/>
                <w:sz w:val="20"/>
                <w:szCs w:val="20"/>
                <w:lang w:val="fr-CA"/>
              </w:rPr>
            </w:pPr>
          </w:p>
          <w:p w14:paraId="75CC573F" w14:textId="011A079E" w:rsidR="00914A1A" w:rsidRPr="00955B5D" w:rsidRDefault="00130D8F" w:rsidP="00914A1A">
            <w:pPr>
              <w:rPr>
                <w:rFonts w:asciiTheme="majorHAnsi" w:hAnsiTheme="majorHAnsi" w:cs="Arial"/>
                <w:b w:val="0"/>
                <w:sz w:val="20"/>
                <w:szCs w:val="20"/>
                <w:lang w:val="fr-CA"/>
              </w:rPr>
            </w:pPr>
            <w:r w:rsidRPr="00955B5D">
              <w:rPr>
                <w:rFonts w:asciiTheme="majorHAnsi" w:hAnsiTheme="majorHAnsi" w:cs="Arial"/>
                <w:b w:val="0"/>
                <w:sz w:val="20"/>
                <w:szCs w:val="20"/>
                <w:u w:val="single"/>
                <w:lang w:val="fr-CA"/>
              </w:rPr>
              <w:t>Résultat(s) escompté(s)</w:t>
            </w:r>
            <w:r w:rsidRPr="00955B5D">
              <w:rPr>
                <w:rFonts w:asciiTheme="majorHAnsi" w:hAnsiTheme="majorHAnsi" w:cs="Arial"/>
                <w:b w:val="0"/>
                <w:sz w:val="20"/>
                <w:szCs w:val="20"/>
                <w:lang w:val="fr-CA"/>
              </w:rPr>
              <w:t> :</w:t>
            </w:r>
            <w:r w:rsidR="00536C73" w:rsidRPr="00955B5D">
              <w:rPr>
                <w:rFonts w:asciiTheme="majorHAnsi" w:hAnsiTheme="majorHAnsi" w:cs="Arial"/>
                <w:b w:val="0"/>
                <w:sz w:val="20"/>
                <w:szCs w:val="20"/>
                <w:lang w:val="fr-CA"/>
              </w:rPr>
              <w:t xml:space="preserve"> </w:t>
            </w:r>
            <w:r w:rsidR="00955B5D">
              <w:rPr>
                <w:rFonts w:asciiTheme="majorHAnsi" w:hAnsiTheme="majorHAnsi" w:cs="Arial"/>
                <w:b w:val="0"/>
                <w:sz w:val="20"/>
                <w:szCs w:val="20"/>
                <w:lang w:val="fr-CA"/>
              </w:rPr>
              <w:t>Atelier de renforcement des capacités, un ensemble d’études de cas à publier sur le site web de Ramsar dans le cadre de l’Outil de gestion des Sites Ramsar (voir tâche n</w:t>
            </w:r>
            <w:r w:rsidR="00955B5D" w:rsidRPr="00955B5D">
              <w:rPr>
                <w:rFonts w:asciiTheme="majorHAnsi" w:hAnsiTheme="majorHAnsi" w:cs="Arial"/>
                <w:b w:val="0"/>
                <w:sz w:val="20"/>
                <w:szCs w:val="20"/>
                <w:vertAlign w:val="superscript"/>
                <w:lang w:val="fr-CA"/>
              </w:rPr>
              <w:t>o</w:t>
            </w:r>
            <w:r w:rsidR="00955B5D">
              <w:rPr>
                <w:rFonts w:asciiTheme="majorHAnsi" w:hAnsiTheme="majorHAnsi" w:cs="Arial"/>
                <w:b w:val="0"/>
                <w:sz w:val="20"/>
                <w:szCs w:val="20"/>
                <w:lang w:val="fr-CA"/>
              </w:rPr>
              <w:t> 2.1 ci</w:t>
            </w:r>
            <w:r w:rsidR="00955B5D">
              <w:rPr>
                <w:rFonts w:asciiTheme="majorHAnsi" w:hAnsiTheme="majorHAnsi" w:cs="Arial"/>
                <w:b w:val="0"/>
                <w:sz w:val="20"/>
                <w:szCs w:val="20"/>
                <w:lang w:val="fr-CA"/>
              </w:rPr>
              <w:noBreakHyphen/>
              <w:t>dessous) et un webinaire sur les inventaires culturels.</w:t>
            </w:r>
          </w:p>
          <w:p w14:paraId="3B3C1215" w14:textId="77777777" w:rsidR="00914A1A" w:rsidRPr="00955B5D" w:rsidRDefault="00914A1A" w:rsidP="00914A1A">
            <w:pPr>
              <w:rPr>
                <w:rFonts w:asciiTheme="majorHAnsi" w:hAnsiTheme="majorHAnsi" w:cs="Arial"/>
                <w:b w:val="0"/>
                <w:sz w:val="20"/>
                <w:szCs w:val="20"/>
                <w:lang w:val="fr-CA"/>
              </w:rPr>
            </w:pPr>
          </w:p>
          <w:p w14:paraId="1B13FD0F" w14:textId="697FBAB8" w:rsidR="00914A1A" w:rsidRPr="00955B5D" w:rsidRDefault="00130D8F" w:rsidP="00331336">
            <w:pPr>
              <w:rPr>
                <w:rFonts w:asciiTheme="majorHAnsi" w:hAnsiTheme="majorHAnsi" w:cs="Arial"/>
                <w:b w:val="0"/>
                <w:sz w:val="20"/>
                <w:szCs w:val="20"/>
                <w:lang w:val="fr-CA"/>
              </w:rPr>
            </w:pPr>
            <w:r w:rsidRPr="00955B5D">
              <w:rPr>
                <w:rFonts w:asciiTheme="majorHAnsi" w:hAnsiTheme="majorHAnsi" w:cs="Arial"/>
                <w:b w:val="0"/>
                <w:sz w:val="20"/>
                <w:szCs w:val="20"/>
                <w:u w:val="single"/>
                <w:lang w:val="fr-CA"/>
              </w:rPr>
              <w:t>Public(s) ciblé(s)</w:t>
            </w:r>
            <w:r w:rsidRPr="00955B5D">
              <w:rPr>
                <w:rFonts w:asciiTheme="majorHAnsi" w:hAnsiTheme="majorHAnsi" w:cs="Arial"/>
                <w:b w:val="0"/>
                <w:sz w:val="20"/>
                <w:szCs w:val="20"/>
                <w:lang w:val="fr-CA"/>
              </w:rPr>
              <w:t xml:space="preserve"> : </w:t>
            </w:r>
            <w:r w:rsidR="00536C73" w:rsidRPr="00955B5D">
              <w:rPr>
                <w:rFonts w:asciiTheme="majorHAnsi" w:hAnsiTheme="majorHAnsi" w:cs="Arial"/>
                <w:b w:val="0"/>
                <w:sz w:val="20"/>
                <w:szCs w:val="20"/>
                <w:lang w:val="fr-CA"/>
              </w:rPr>
              <w:t>Praticiens (administrateurs de Sites Ramsar)</w:t>
            </w:r>
            <w:r w:rsidR="00331336" w:rsidRPr="00955B5D">
              <w:rPr>
                <w:rFonts w:asciiTheme="majorHAnsi" w:hAnsiTheme="majorHAnsi" w:cs="Arial"/>
                <w:b w:val="0"/>
                <w:sz w:val="20"/>
                <w:szCs w:val="20"/>
                <w:lang w:val="fr-CA"/>
              </w:rPr>
              <w:t>.</w:t>
            </w:r>
          </w:p>
        </w:tc>
        <w:tc>
          <w:tcPr>
            <w:tcW w:w="497" w:type="pct"/>
          </w:tcPr>
          <w:p w14:paraId="68DFEA29" w14:textId="3B47541F" w:rsidR="00914A1A" w:rsidRPr="00955B5D" w:rsidRDefault="00536C73" w:rsidP="00331336">
            <w:pPr>
              <w:rPr>
                <w:rFonts w:asciiTheme="majorHAnsi" w:hAnsiTheme="majorHAnsi" w:cs="Arial"/>
                <w:b w:val="0"/>
                <w:sz w:val="20"/>
                <w:szCs w:val="20"/>
                <w:lang w:val="fr-CA"/>
              </w:rPr>
            </w:pPr>
            <w:r w:rsidRPr="00955B5D">
              <w:rPr>
                <w:rFonts w:asciiTheme="majorHAnsi" w:hAnsiTheme="majorHAnsi" w:cs="Arial"/>
                <w:b w:val="0"/>
                <w:sz w:val="20"/>
                <w:szCs w:val="20"/>
                <w:lang w:val="fr-CA"/>
              </w:rPr>
              <w:t>Jusqu’à 10 000</w:t>
            </w:r>
          </w:p>
        </w:tc>
      </w:tr>
      <w:tr w:rsidR="00914A1A" w:rsidRPr="00955B5D" w14:paraId="1D8E7ADE" w14:textId="77777777" w:rsidTr="00130D8F">
        <w:tc>
          <w:tcPr>
            <w:tcW w:w="488" w:type="pct"/>
          </w:tcPr>
          <w:p w14:paraId="07B27864" w14:textId="6E1DDBA7" w:rsidR="00914A1A" w:rsidRPr="00955B5D" w:rsidRDefault="00130D8F" w:rsidP="00E56010">
            <w:pPr>
              <w:keepNext/>
              <w:keepLines/>
              <w:rPr>
                <w:rFonts w:asciiTheme="majorHAnsi" w:hAnsiTheme="majorHAnsi" w:cs="Arial"/>
                <w:b w:val="0"/>
                <w:sz w:val="20"/>
                <w:szCs w:val="20"/>
                <w:lang w:val="fr-CA"/>
              </w:rPr>
            </w:pPr>
            <w:r w:rsidRPr="00955B5D">
              <w:rPr>
                <w:rFonts w:asciiTheme="majorHAnsi" w:hAnsiTheme="majorHAnsi" w:cs="Arial"/>
                <w:b w:val="0"/>
                <w:sz w:val="20"/>
                <w:szCs w:val="20"/>
                <w:lang w:val="fr-CA"/>
              </w:rPr>
              <w:lastRenderedPageBreak/>
              <w:t>N</w:t>
            </w:r>
            <w:r w:rsidRPr="00955B5D">
              <w:rPr>
                <w:rFonts w:asciiTheme="majorHAnsi" w:hAnsiTheme="majorHAnsi" w:cs="Arial"/>
                <w:b w:val="0"/>
                <w:sz w:val="20"/>
                <w:szCs w:val="20"/>
                <w:vertAlign w:val="superscript"/>
                <w:lang w:val="fr-CA"/>
              </w:rPr>
              <w:t>o</w:t>
            </w:r>
            <w:r w:rsidR="007A5CFB" w:rsidRPr="00955B5D">
              <w:rPr>
                <w:rFonts w:asciiTheme="majorHAnsi" w:hAnsiTheme="majorHAnsi" w:cs="Arial"/>
                <w:b w:val="0"/>
                <w:sz w:val="20"/>
                <w:szCs w:val="20"/>
                <w:vertAlign w:val="superscript"/>
                <w:lang w:val="fr-CA"/>
              </w:rPr>
              <w:t xml:space="preserve"> </w:t>
            </w:r>
            <w:r w:rsidR="00914A1A" w:rsidRPr="00955B5D">
              <w:rPr>
                <w:rFonts w:asciiTheme="majorHAnsi" w:hAnsiTheme="majorHAnsi" w:cs="Arial"/>
                <w:b w:val="0"/>
                <w:sz w:val="20"/>
                <w:szCs w:val="20"/>
                <w:lang w:val="fr-CA"/>
              </w:rPr>
              <w:t>1.</w:t>
            </w:r>
            <w:r w:rsidR="00E56010" w:rsidRPr="00955B5D">
              <w:rPr>
                <w:rFonts w:asciiTheme="majorHAnsi" w:hAnsiTheme="majorHAnsi" w:cs="Arial"/>
                <w:b w:val="0"/>
                <w:sz w:val="20"/>
                <w:szCs w:val="20"/>
                <w:lang w:val="fr-CA"/>
              </w:rPr>
              <w:t>3</w:t>
            </w:r>
            <w:r w:rsidR="00E01336" w:rsidRPr="00955B5D">
              <w:rPr>
                <w:rFonts w:asciiTheme="majorHAnsi" w:hAnsiTheme="majorHAnsi" w:cs="Arial"/>
                <w:b w:val="0"/>
                <w:sz w:val="20"/>
                <w:szCs w:val="20"/>
                <w:lang w:val="fr-CA"/>
              </w:rPr>
              <w:t xml:space="preserve"> </w:t>
            </w:r>
            <w:r w:rsidR="00975E7E" w:rsidRPr="00955B5D">
              <w:rPr>
                <w:rFonts w:asciiTheme="majorHAnsi" w:hAnsiTheme="majorHAnsi" w:cs="Arial"/>
                <w:b w:val="0"/>
                <w:sz w:val="20"/>
                <w:szCs w:val="20"/>
                <w:lang w:val="fr-CA"/>
              </w:rPr>
              <w:t>Élaboration de lignes directrices pour les inventaires de tourbières</w:t>
            </w:r>
            <w:r w:rsidR="00855403">
              <w:rPr>
                <w:rFonts w:asciiTheme="majorHAnsi" w:hAnsiTheme="majorHAnsi" w:cs="Arial"/>
                <w:b w:val="0"/>
                <w:sz w:val="20"/>
                <w:szCs w:val="20"/>
                <w:lang w:val="fr-CA"/>
              </w:rPr>
              <w:t xml:space="preserve"> </w:t>
            </w:r>
            <w:r w:rsidR="00E81E1C" w:rsidRPr="00955B5D">
              <w:rPr>
                <w:rFonts w:asciiTheme="majorHAnsi" w:hAnsiTheme="majorHAnsi" w:cs="Arial"/>
                <w:b w:val="0"/>
                <w:sz w:val="20"/>
                <w:szCs w:val="20"/>
                <w:lang w:val="fr-CA"/>
              </w:rPr>
              <w:t>en vue d’une éventuelle inscription sur la Liste des zones humides d’importance internationale</w:t>
            </w:r>
          </w:p>
        </w:tc>
        <w:tc>
          <w:tcPr>
            <w:tcW w:w="301" w:type="pct"/>
          </w:tcPr>
          <w:p w14:paraId="64C136DE" w14:textId="07188B3B" w:rsidR="00914A1A" w:rsidRPr="00955B5D" w:rsidRDefault="008E6B37" w:rsidP="00975E7E">
            <w:pPr>
              <w:keepNext/>
              <w:keepLines/>
              <w:rPr>
                <w:rFonts w:asciiTheme="majorHAnsi" w:hAnsiTheme="majorHAnsi" w:cs="Arial"/>
                <w:b w:val="0"/>
                <w:sz w:val="20"/>
                <w:szCs w:val="20"/>
                <w:lang w:val="fr-CA"/>
              </w:rPr>
            </w:pPr>
            <w:r>
              <w:rPr>
                <w:rFonts w:asciiTheme="majorHAnsi" w:hAnsiTheme="majorHAnsi" w:cs="Arial"/>
                <w:b w:val="0"/>
                <w:sz w:val="20"/>
                <w:szCs w:val="20"/>
                <w:lang w:val="fr-CA"/>
              </w:rPr>
              <w:t>Très haute</w:t>
            </w:r>
          </w:p>
        </w:tc>
        <w:tc>
          <w:tcPr>
            <w:tcW w:w="390" w:type="pct"/>
          </w:tcPr>
          <w:p w14:paraId="6362D8BC" w14:textId="60402371" w:rsidR="00914A1A" w:rsidRPr="00955B5D" w:rsidRDefault="00914A1A" w:rsidP="00975E7E">
            <w:pPr>
              <w:keepNext/>
              <w:keepLines/>
              <w:rPr>
                <w:rFonts w:asciiTheme="majorHAnsi" w:hAnsiTheme="majorHAnsi" w:cs="Arial"/>
                <w:b w:val="0"/>
                <w:sz w:val="20"/>
                <w:szCs w:val="20"/>
                <w:lang w:val="fr-CA"/>
              </w:rPr>
            </w:pPr>
            <w:r w:rsidRPr="00955B5D">
              <w:rPr>
                <w:rFonts w:asciiTheme="majorHAnsi" w:hAnsiTheme="majorHAnsi" w:cs="Arial"/>
                <w:b w:val="0"/>
                <w:sz w:val="20"/>
                <w:szCs w:val="20"/>
                <w:lang w:val="fr-CA"/>
              </w:rPr>
              <w:t>XII.11,</w:t>
            </w:r>
            <w:r w:rsidR="00E01336" w:rsidRPr="00955B5D">
              <w:rPr>
                <w:rFonts w:asciiTheme="majorHAnsi" w:hAnsiTheme="majorHAnsi" w:cs="Arial"/>
                <w:b w:val="0"/>
                <w:sz w:val="20"/>
                <w:szCs w:val="20"/>
                <w:lang w:val="fr-CA"/>
              </w:rPr>
              <w:t xml:space="preserve"> </w:t>
            </w:r>
            <w:r w:rsidRPr="00955B5D">
              <w:rPr>
                <w:rFonts w:asciiTheme="majorHAnsi" w:hAnsiTheme="majorHAnsi" w:cs="Arial"/>
                <w:b w:val="0"/>
                <w:sz w:val="20"/>
                <w:szCs w:val="20"/>
                <w:lang w:val="fr-CA"/>
              </w:rPr>
              <w:t>¶24</w:t>
            </w:r>
            <w:r w:rsidR="001A0653">
              <w:rPr>
                <w:rFonts w:asciiTheme="majorHAnsi" w:hAnsiTheme="majorHAnsi" w:cs="Arial"/>
                <w:b w:val="0"/>
                <w:sz w:val="20"/>
                <w:szCs w:val="20"/>
                <w:lang w:val="fr-CA"/>
              </w:rPr>
              <w:t xml:space="preserve"> (a) et (b)</w:t>
            </w:r>
          </w:p>
        </w:tc>
        <w:tc>
          <w:tcPr>
            <w:tcW w:w="403" w:type="pct"/>
          </w:tcPr>
          <w:p w14:paraId="62218853" w14:textId="179C80CB" w:rsidR="00914A1A" w:rsidRPr="00955B5D" w:rsidRDefault="001A0653" w:rsidP="00975E7E">
            <w:pPr>
              <w:keepNext/>
              <w:keepLines/>
              <w:rPr>
                <w:rFonts w:asciiTheme="majorHAnsi" w:hAnsiTheme="majorHAnsi" w:cs="Arial"/>
                <w:b w:val="0"/>
                <w:sz w:val="20"/>
                <w:szCs w:val="20"/>
                <w:lang w:val="fr-CA"/>
              </w:rPr>
            </w:pPr>
            <w:r>
              <w:rPr>
                <w:rFonts w:asciiTheme="majorHAnsi" w:hAnsiTheme="majorHAnsi" w:cs="Arial"/>
                <w:b w:val="0"/>
                <w:sz w:val="20"/>
                <w:szCs w:val="20"/>
                <w:lang w:val="fr-CA"/>
              </w:rPr>
              <w:t xml:space="preserve">2.6; 3.8, 3.9, 3.11, 3.12; </w:t>
            </w:r>
            <w:r w:rsidR="00914A1A" w:rsidRPr="00955B5D">
              <w:rPr>
                <w:rFonts w:asciiTheme="majorHAnsi" w:hAnsiTheme="majorHAnsi" w:cs="Arial"/>
                <w:b w:val="0"/>
                <w:sz w:val="20"/>
                <w:szCs w:val="20"/>
                <w:lang w:val="fr-CA"/>
              </w:rPr>
              <w:t>4.14</w:t>
            </w:r>
          </w:p>
        </w:tc>
        <w:tc>
          <w:tcPr>
            <w:tcW w:w="2921" w:type="pct"/>
          </w:tcPr>
          <w:p w14:paraId="3B77C4CD" w14:textId="2070B8BF" w:rsidR="00914A1A" w:rsidRPr="00955B5D" w:rsidRDefault="00130D8F" w:rsidP="00975E7E">
            <w:pPr>
              <w:keepNext/>
              <w:keepLines/>
              <w:rPr>
                <w:rFonts w:asciiTheme="majorHAnsi" w:hAnsiTheme="majorHAnsi" w:cs="Arial"/>
                <w:b w:val="0"/>
                <w:sz w:val="20"/>
                <w:szCs w:val="20"/>
                <w:lang w:val="fr-CA"/>
              </w:rPr>
            </w:pPr>
            <w:r w:rsidRPr="00955B5D">
              <w:rPr>
                <w:rFonts w:asciiTheme="majorHAnsi" w:hAnsiTheme="majorHAnsi" w:cs="Arial"/>
                <w:b w:val="0"/>
                <w:sz w:val="20"/>
                <w:szCs w:val="20"/>
                <w:u w:val="single"/>
                <w:lang w:val="fr-CA"/>
              </w:rPr>
              <w:t>Description de tâche</w:t>
            </w:r>
            <w:r w:rsidRPr="00955B5D">
              <w:rPr>
                <w:rFonts w:asciiTheme="majorHAnsi" w:hAnsiTheme="majorHAnsi" w:cs="Arial"/>
                <w:b w:val="0"/>
                <w:sz w:val="20"/>
                <w:szCs w:val="20"/>
                <w:lang w:val="fr-CA"/>
              </w:rPr>
              <w:t xml:space="preserve"> : </w:t>
            </w:r>
            <w:r w:rsidR="00B32124" w:rsidRPr="00955B5D">
              <w:rPr>
                <w:rFonts w:asciiTheme="majorHAnsi" w:hAnsiTheme="majorHAnsi" w:cs="Arial"/>
                <w:b w:val="0"/>
                <w:sz w:val="20"/>
                <w:szCs w:val="20"/>
                <w:lang w:val="fr-CA"/>
              </w:rPr>
              <w:t>E</w:t>
            </w:r>
            <w:r w:rsidR="00975E7E" w:rsidRPr="00955B5D">
              <w:rPr>
                <w:rFonts w:asciiTheme="majorHAnsi" w:hAnsiTheme="majorHAnsi" w:cs="Arial"/>
                <w:b w:val="0"/>
                <w:sz w:val="20"/>
                <w:szCs w:val="20"/>
                <w:lang w:val="fr-CA"/>
              </w:rPr>
              <w:t>xamen et projet d’orientation</w:t>
            </w:r>
            <w:r w:rsidR="00255A2D" w:rsidRPr="00955B5D">
              <w:rPr>
                <w:rFonts w:asciiTheme="majorHAnsi" w:hAnsiTheme="majorHAnsi" w:cs="Arial"/>
                <w:b w:val="0"/>
                <w:sz w:val="20"/>
                <w:szCs w:val="20"/>
                <w:lang w:val="fr-CA"/>
              </w:rPr>
              <w:t>s</w:t>
            </w:r>
            <w:r w:rsidR="00975E7E" w:rsidRPr="00955B5D">
              <w:rPr>
                <w:rFonts w:asciiTheme="majorHAnsi" w:hAnsiTheme="majorHAnsi" w:cs="Arial"/>
                <w:b w:val="0"/>
                <w:sz w:val="20"/>
                <w:szCs w:val="20"/>
                <w:lang w:val="fr-CA"/>
              </w:rPr>
              <w:t xml:space="preserve"> pour les inventaires de tourbières tropicales,</w:t>
            </w:r>
            <w:r w:rsidR="00E81E1C" w:rsidRPr="00955B5D">
              <w:rPr>
                <w:rFonts w:asciiTheme="majorHAnsi" w:hAnsiTheme="majorHAnsi" w:cs="Arial"/>
                <w:b w:val="0"/>
                <w:sz w:val="20"/>
                <w:szCs w:val="20"/>
                <w:lang w:val="fr-CA"/>
              </w:rPr>
              <w:t xml:space="preserve"> en vue de leur inscription sur la Liste des zones humides d’importance internationale</w:t>
            </w:r>
            <w:r w:rsidR="00975E7E" w:rsidRPr="00955B5D">
              <w:rPr>
                <w:rFonts w:asciiTheme="majorHAnsi" w:hAnsiTheme="majorHAnsi" w:cs="Arial"/>
                <w:b w:val="0"/>
                <w:sz w:val="20"/>
                <w:szCs w:val="20"/>
                <w:lang w:val="fr-CA"/>
              </w:rPr>
              <w:t xml:space="preserve">. </w:t>
            </w:r>
            <w:r w:rsidR="001A0653">
              <w:rPr>
                <w:rFonts w:asciiTheme="majorHAnsi" w:hAnsiTheme="majorHAnsi" w:cs="Calibri"/>
                <w:b w:val="0"/>
                <w:bCs/>
                <w:sz w:val="20"/>
                <w:szCs w:val="20"/>
                <w:lang w:val="fr-CA"/>
              </w:rPr>
              <w:t xml:space="preserve">Les lignes directrices scientifiques et techniques sur les « meilleures pratiques » seront discutées dans une Note d’information couvrant l’étendue, la profondeur, la qualité, l’élévation et les méthodes d’étude. En outre, des lignes directrices seront élaborées concernant l’inscription de tourbières sur la Liste des zones humides d’importance internationale, en particulier au regard du Critère 1 et du paragraphe 121 (vi) de </w:t>
            </w:r>
            <w:r w:rsidR="001A0653" w:rsidRPr="008E6B37">
              <w:rPr>
                <w:rFonts w:asciiTheme="majorHAnsi" w:hAnsiTheme="majorHAnsi" w:cs="Calibri"/>
                <w:b w:val="0"/>
                <w:bCs/>
                <w:sz w:val="20"/>
                <w:szCs w:val="20"/>
                <w:lang w:val="fr-CA"/>
              </w:rPr>
              <w:t>l’annexe 2 de la Résolution XI.8 (</w:t>
            </w:r>
            <w:r w:rsidR="008E6B37" w:rsidRPr="008E6B37">
              <w:rPr>
                <w:rFonts w:asciiTheme="majorHAnsi" w:hAnsiTheme="majorHAnsi" w:cs="Calibri"/>
                <w:b w:val="0"/>
                <w:bCs/>
                <w:sz w:val="20"/>
                <w:szCs w:val="20"/>
                <w:lang w:val="fr-CA"/>
              </w:rPr>
              <w:t>influence</w:t>
            </w:r>
            <w:r w:rsidR="001A0653" w:rsidRPr="008E6B37">
              <w:rPr>
                <w:rFonts w:asciiTheme="majorHAnsi" w:hAnsiTheme="majorHAnsi" w:cs="Calibri"/>
                <w:b w:val="0"/>
                <w:bCs/>
                <w:sz w:val="20"/>
                <w:szCs w:val="20"/>
                <w:lang w:val="fr-CA"/>
              </w:rPr>
              <w:t xml:space="preserve"> hydrologique </w:t>
            </w:r>
            <w:r w:rsidR="008E6B37" w:rsidRPr="008E6B37">
              <w:rPr>
                <w:rFonts w:asciiTheme="majorHAnsi" w:hAnsiTheme="majorHAnsi" w:cs="Calibri"/>
                <w:b w:val="0"/>
                <w:bCs/>
                <w:sz w:val="20"/>
                <w:szCs w:val="20"/>
                <w:lang w:val="fr-CA"/>
              </w:rPr>
              <w:t>essentielle, au moins, de la</w:t>
            </w:r>
            <w:r w:rsidR="001A0653" w:rsidRPr="008E6B37">
              <w:rPr>
                <w:rFonts w:asciiTheme="majorHAnsi" w:hAnsiTheme="majorHAnsi" w:cs="Calibri"/>
                <w:b w:val="0"/>
                <w:bCs/>
                <w:sz w:val="20"/>
                <w:szCs w:val="20"/>
                <w:lang w:val="fr-CA"/>
              </w:rPr>
              <w:t xml:space="preserve"> régulation ou </w:t>
            </w:r>
            <w:r w:rsidR="008E6B37" w:rsidRPr="008E6B37">
              <w:rPr>
                <w:rFonts w:asciiTheme="majorHAnsi" w:hAnsiTheme="majorHAnsi" w:cs="Calibri"/>
                <w:b w:val="0"/>
                <w:bCs/>
                <w:sz w:val="20"/>
                <w:szCs w:val="20"/>
                <w:lang w:val="fr-CA"/>
              </w:rPr>
              <w:t>de la</w:t>
            </w:r>
            <w:r w:rsidR="001A0653" w:rsidRPr="008E6B37">
              <w:rPr>
                <w:rFonts w:asciiTheme="majorHAnsi" w:hAnsiTheme="majorHAnsi" w:cs="Calibri"/>
                <w:b w:val="0"/>
                <w:bCs/>
                <w:sz w:val="20"/>
                <w:szCs w:val="20"/>
                <w:lang w:val="fr-CA"/>
              </w:rPr>
              <w:t xml:space="preserve"> stabilité du climat régional).</w:t>
            </w:r>
            <w:r w:rsidR="001A0653">
              <w:rPr>
                <w:rFonts w:asciiTheme="majorHAnsi" w:hAnsiTheme="majorHAnsi" w:cs="Calibri"/>
                <w:b w:val="0"/>
                <w:bCs/>
                <w:sz w:val="20"/>
                <w:szCs w:val="20"/>
                <w:lang w:val="fr-CA"/>
              </w:rPr>
              <w:t xml:space="preserve"> </w:t>
            </w:r>
          </w:p>
          <w:p w14:paraId="7CC5AE7B" w14:textId="77777777" w:rsidR="00914A1A" w:rsidRPr="00955B5D" w:rsidRDefault="00914A1A" w:rsidP="00975E7E">
            <w:pPr>
              <w:pStyle w:val="Default"/>
              <w:keepNext/>
              <w:keepLines/>
              <w:rPr>
                <w:rFonts w:asciiTheme="majorHAnsi" w:hAnsiTheme="majorHAnsi" w:cs="Arial"/>
                <w:b w:val="0"/>
                <w:color w:val="auto"/>
                <w:sz w:val="20"/>
                <w:szCs w:val="20"/>
                <w:u w:val="single"/>
                <w:lang w:val="fr-CA"/>
              </w:rPr>
            </w:pPr>
          </w:p>
          <w:p w14:paraId="46C3A5DC" w14:textId="1BE4167D" w:rsidR="00914A1A" w:rsidRPr="00955B5D" w:rsidRDefault="00130D8F" w:rsidP="00975E7E">
            <w:pPr>
              <w:pStyle w:val="Default"/>
              <w:keepNext/>
              <w:keepLines/>
              <w:rPr>
                <w:rFonts w:asciiTheme="majorHAnsi" w:hAnsiTheme="majorHAnsi" w:cs="Arial"/>
                <w:b w:val="0"/>
                <w:color w:val="auto"/>
                <w:sz w:val="20"/>
                <w:szCs w:val="20"/>
                <w:lang w:val="fr-CA"/>
              </w:rPr>
            </w:pPr>
            <w:r w:rsidRPr="00955B5D">
              <w:rPr>
                <w:rFonts w:asciiTheme="majorHAnsi" w:hAnsiTheme="majorHAnsi" w:cs="Arial"/>
                <w:b w:val="0"/>
                <w:sz w:val="20"/>
                <w:szCs w:val="20"/>
                <w:u w:val="single"/>
                <w:lang w:val="fr-CA"/>
              </w:rPr>
              <w:t>Résultat(s) escompté(s)</w:t>
            </w:r>
            <w:r w:rsidRPr="00955B5D">
              <w:rPr>
                <w:rFonts w:asciiTheme="majorHAnsi" w:hAnsiTheme="majorHAnsi" w:cs="Arial"/>
                <w:b w:val="0"/>
                <w:sz w:val="20"/>
                <w:szCs w:val="20"/>
                <w:lang w:val="fr-CA"/>
              </w:rPr>
              <w:t> :</w:t>
            </w:r>
            <w:r w:rsidR="00E01336" w:rsidRPr="00955B5D">
              <w:rPr>
                <w:rFonts w:asciiTheme="majorHAnsi" w:hAnsiTheme="majorHAnsi" w:cs="Arial"/>
                <w:b w:val="0"/>
                <w:color w:val="auto"/>
                <w:sz w:val="20"/>
                <w:szCs w:val="20"/>
                <w:lang w:val="fr-CA"/>
              </w:rPr>
              <w:t xml:space="preserve"> </w:t>
            </w:r>
          </w:p>
          <w:p w14:paraId="5ABEC874" w14:textId="6A059DF2" w:rsidR="00914A1A" w:rsidRPr="00955B5D" w:rsidRDefault="00914A1A" w:rsidP="00975E7E">
            <w:pPr>
              <w:pStyle w:val="Default"/>
              <w:keepNext/>
              <w:keepLines/>
              <w:rPr>
                <w:rFonts w:asciiTheme="majorHAnsi" w:hAnsiTheme="majorHAnsi" w:cs="Arial"/>
                <w:b w:val="0"/>
                <w:color w:val="auto"/>
                <w:sz w:val="20"/>
                <w:szCs w:val="20"/>
                <w:lang w:val="fr-CA"/>
              </w:rPr>
            </w:pPr>
            <w:r w:rsidRPr="00955B5D">
              <w:rPr>
                <w:rFonts w:asciiTheme="majorHAnsi" w:hAnsiTheme="majorHAnsi" w:cs="Arial"/>
                <w:b w:val="0"/>
                <w:color w:val="auto"/>
                <w:sz w:val="20"/>
                <w:szCs w:val="20"/>
                <w:lang w:val="fr-CA"/>
              </w:rPr>
              <w:t>1)</w:t>
            </w:r>
            <w:r w:rsidR="00E01336" w:rsidRPr="00955B5D">
              <w:rPr>
                <w:rFonts w:asciiTheme="majorHAnsi" w:hAnsiTheme="majorHAnsi" w:cs="Arial"/>
                <w:b w:val="0"/>
                <w:color w:val="auto"/>
                <w:sz w:val="20"/>
                <w:szCs w:val="20"/>
                <w:lang w:val="fr-CA"/>
              </w:rPr>
              <w:t xml:space="preserve"> </w:t>
            </w:r>
            <w:r w:rsidR="00975E7E" w:rsidRPr="00955B5D">
              <w:rPr>
                <w:rFonts w:asciiTheme="majorHAnsi" w:hAnsiTheme="majorHAnsi" w:cs="Arial"/>
                <w:b w:val="0"/>
                <w:color w:val="auto"/>
                <w:sz w:val="20"/>
                <w:szCs w:val="20"/>
                <w:lang w:val="fr-CA"/>
              </w:rPr>
              <w:t>Note d’information pour les praticiens (administrateurs de site</w:t>
            </w:r>
            <w:r w:rsidR="001A0653">
              <w:rPr>
                <w:rFonts w:asciiTheme="majorHAnsi" w:hAnsiTheme="majorHAnsi" w:cs="Arial"/>
                <w:b w:val="0"/>
                <w:color w:val="auto"/>
                <w:sz w:val="20"/>
                <w:szCs w:val="20"/>
                <w:lang w:val="fr-CA"/>
              </w:rPr>
              <w:t>s</w:t>
            </w:r>
            <w:r w:rsidR="00975E7E" w:rsidRPr="00955B5D">
              <w:rPr>
                <w:rFonts w:asciiTheme="majorHAnsi" w:hAnsiTheme="majorHAnsi" w:cs="Arial"/>
                <w:b w:val="0"/>
                <w:color w:val="auto"/>
                <w:sz w:val="20"/>
                <w:szCs w:val="20"/>
                <w:lang w:val="fr-CA"/>
              </w:rPr>
              <w:t>)</w:t>
            </w:r>
            <w:r w:rsidR="00E81E1C" w:rsidRPr="00955B5D">
              <w:rPr>
                <w:rFonts w:asciiTheme="majorHAnsi" w:hAnsiTheme="majorHAnsi" w:cs="Arial"/>
                <w:b w:val="0"/>
                <w:color w:val="auto"/>
                <w:sz w:val="20"/>
                <w:szCs w:val="20"/>
                <w:lang w:val="fr-CA"/>
              </w:rPr>
              <w:t xml:space="preserve"> pour inclure l’étendue, la profondeur, la qualité, l’élévation et les méthodes d’étude</w:t>
            </w:r>
            <w:r w:rsidR="00975E7E" w:rsidRPr="00955B5D">
              <w:rPr>
                <w:rFonts w:asciiTheme="majorHAnsi" w:hAnsiTheme="majorHAnsi" w:cs="Arial"/>
                <w:b w:val="0"/>
                <w:color w:val="auto"/>
                <w:sz w:val="20"/>
                <w:szCs w:val="20"/>
                <w:lang w:val="fr-CA"/>
              </w:rPr>
              <w:t xml:space="preserve">. </w:t>
            </w:r>
          </w:p>
          <w:p w14:paraId="641CFAAE" w14:textId="77777777" w:rsidR="00914A1A" w:rsidRPr="00955B5D" w:rsidRDefault="00914A1A" w:rsidP="00975E7E">
            <w:pPr>
              <w:pStyle w:val="Default"/>
              <w:keepNext/>
              <w:keepLines/>
              <w:rPr>
                <w:rFonts w:asciiTheme="majorHAnsi" w:hAnsiTheme="majorHAnsi" w:cs="Arial"/>
                <w:b w:val="0"/>
                <w:color w:val="auto"/>
                <w:sz w:val="20"/>
                <w:szCs w:val="20"/>
                <w:lang w:val="fr-CA"/>
              </w:rPr>
            </w:pPr>
          </w:p>
          <w:p w14:paraId="46C9DEAB" w14:textId="7F227EDD" w:rsidR="00914A1A" w:rsidRPr="00955B5D" w:rsidRDefault="00914A1A" w:rsidP="00975E7E">
            <w:pPr>
              <w:pStyle w:val="Default"/>
              <w:keepNext/>
              <w:keepLines/>
              <w:rPr>
                <w:rFonts w:asciiTheme="majorHAnsi" w:hAnsiTheme="majorHAnsi" w:cs="Arial"/>
                <w:b w:val="0"/>
                <w:color w:val="auto"/>
                <w:sz w:val="20"/>
                <w:szCs w:val="20"/>
                <w:lang w:val="fr-CA"/>
              </w:rPr>
            </w:pPr>
            <w:r w:rsidRPr="00955B5D">
              <w:rPr>
                <w:rFonts w:asciiTheme="majorHAnsi" w:hAnsiTheme="majorHAnsi" w:cs="Arial"/>
                <w:b w:val="0"/>
                <w:color w:val="auto"/>
                <w:sz w:val="20"/>
                <w:szCs w:val="20"/>
                <w:lang w:val="fr-CA"/>
              </w:rPr>
              <w:t>2)</w:t>
            </w:r>
            <w:r w:rsidR="00E01336" w:rsidRPr="00955B5D">
              <w:rPr>
                <w:rFonts w:asciiTheme="majorHAnsi" w:hAnsiTheme="majorHAnsi" w:cs="Arial"/>
                <w:b w:val="0"/>
                <w:color w:val="auto"/>
                <w:sz w:val="20"/>
                <w:szCs w:val="20"/>
                <w:lang w:val="fr-CA"/>
              </w:rPr>
              <w:t xml:space="preserve"> </w:t>
            </w:r>
            <w:r w:rsidR="00975E7E" w:rsidRPr="00955B5D">
              <w:rPr>
                <w:rFonts w:asciiTheme="majorHAnsi" w:hAnsiTheme="majorHAnsi" w:cs="Arial"/>
                <w:b w:val="0"/>
                <w:color w:val="auto"/>
                <w:sz w:val="20"/>
                <w:szCs w:val="20"/>
                <w:lang w:val="fr-CA"/>
              </w:rPr>
              <w:t>Document d’orientation</w:t>
            </w:r>
            <w:r w:rsidR="00855403">
              <w:rPr>
                <w:rFonts w:asciiTheme="majorHAnsi" w:hAnsiTheme="majorHAnsi" w:cs="Arial"/>
                <w:b w:val="0"/>
                <w:color w:val="auto"/>
                <w:sz w:val="20"/>
                <w:szCs w:val="20"/>
                <w:lang w:val="fr-CA"/>
              </w:rPr>
              <w:t xml:space="preserve"> </w:t>
            </w:r>
            <w:r w:rsidR="00E81E1C" w:rsidRPr="00955B5D">
              <w:rPr>
                <w:rFonts w:asciiTheme="majorHAnsi" w:hAnsiTheme="majorHAnsi" w:cs="Arial"/>
                <w:b w:val="0"/>
                <w:color w:val="auto"/>
                <w:sz w:val="20"/>
                <w:szCs w:val="20"/>
                <w:lang w:val="fr-CA"/>
              </w:rPr>
              <w:t>révisé en annexe à un projet de résolution qui sera soumis au Comité permanent et à la 13</w:t>
            </w:r>
            <w:r w:rsidR="00E81E1C" w:rsidRPr="00955B5D">
              <w:rPr>
                <w:rFonts w:asciiTheme="majorHAnsi" w:hAnsiTheme="majorHAnsi" w:cs="Arial"/>
                <w:b w:val="0"/>
                <w:color w:val="auto"/>
                <w:sz w:val="20"/>
                <w:szCs w:val="20"/>
                <w:vertAlign w:val="superscript"/>
                <w:lang w:val="fr-CA"/>
              </w:rPr>
              <w:t>e</w:t>
            </w:r>
            <w:r w:rsidR="00E81E1C" w:rsidRPr="00955B5D">
              <w:rPr>
                <w:rFonts w:asciiTheme="majorHAnsi" w:hAnsiTheme="majorHAnsi" w:cs="Arial"/>
                <w:b w:val="0"/>
                <w:color w:val="auto"/>
                <w:sz w:val="20"/>
                <w:szCs w:val="20"/>
                <w:lang w:val="fr-CA"/>
              </w:rPr>
              <w:t xml:space="preserve"> Session de la Conférence des Parties</w:t>
            </w:r>
            <w:r w:rsidR="00975E7E" w:rsidRPr="00955B5D">
              <w:rPr>
                <w:rFonts w:asciiTheme="majorHAnsi" w:hAnsiTheme="majorHAnsi" w:cs="Arial"/>
                <w:b w:val="0"/>
                <w:color w:val="auto"/>
                <w:sz w:val="20"/>
                <w:szCs w:val="20"/>
                <w:lang w:val="fr-CA"/>
              </w:rPr>
              <w:t xml:space="preserve">. </w:t>
            </w:r>
          </w:p>
          <w:p w14:paraId="497030D2" w14:textId="77777777" w:rsidR="00914A1A" w:rsidRPr="00955B5D" w:rsidRDefault="00914A1A" w:rsidP="00975E7E">
            <w:pPr>
              <w:pStyle w:val="Default"/>
              <w:keepNext/>
              <w:keepLines/>
              <w:rPr>
                <w:rFonts w:asciiTheme="majorHAnsi" w:hAnsiTheme="majorHAnsi" w:cs="Arial"/>
                <w:b w:val="0"/>
                <w:color w:val="auto"/>
                <w:sz w:val="20"/>
                <w:szCs w:val="20"/>
                <w:lang w:val="fr-CA"/>
              </w:rPr>
            </w:pPr>
          </w:p>
          <w:p w14:paraId="242A892E" w14:textId="2002D330" w:rsidR="00914A1A" w:rsidRPr="00955B5D" w:rsidRDefault="00130D8F" w:rsidP="00E81E1C">
            <w:pPr>
              <w:pStyle w:val="Default"/>
              <w:keepNext/>
              <w:keepLines/>
              <w:rPr>
                <w:rFonts w:asciiTheme="majorHAnsi" w:hAnsiTheme="majorHAnsi" w:cs="Arial"/>
                <w:b w:val="0"/>
                <w:color w:val="auto"/>
                <w:sz w:val="20"/>
                <w:szCs w:val="20"/>
                <w:u w:val="single"/>
                <w:lang w:val="fr-CA"/>
              </w:rPr>
            </w:pPr>
            <w:r w:rsidRPr="00955B5D">
              <w:rPr>
                <w:rFonts w:asciiTheme="majorHAnsi" w:hAnsiTheme="majorHAnsi" w:cs="Arial"/>
                <w:b w:val="0"/>
                <w:sz w:val="20"/>
                <w:szCs w:val="20"/>
                <w:u w:val="single"/>
                <w:lang w:val="fr-CA"/>
              </w:rPr>
              <w:t>Public(s) ciblé(s)</w:t>
            </w:r>
            <w:r w:rsidRPr="00955B5D">
              <w:rPr>
                <w:rFonts w:asciiTheme="majorHAnsi" w:hAnsiTheme="majorHAnsi" w:cs="Arial"/>
                <w:b w:val="0"/>
                <w:sz w:val="20"/>
                <w:szCs w:val="20"/>
                <w:lang w:val="fr-CA"/>
              </w:rPr>
              <w:t xml:space="preserve"> : </w:t>
            </w:r>
            <w:r w:rsidR="00975E7E" w:rsidRPr="00955B5D">
              <w:rPr>
                <w:rFonts w:asciiTheme="majorHAnsi" w:hAnsiTheme="majorHAnsi" w:cs="Arial"/>
                <w:b w:val="0"/>
                <w:color w:val="auto"/>
                <w:sz w:val="20"/>
                <w:szCs w:val="20"/>
                <w:lang w:val="fr-CA"/>
              </w:rPr>
              <w:t>Praticiens</w:t>
            </w:r>
            <w:r w:rsidR="007A5CFB" w:rsidRPr="00955B5D">
              <w:rPr>
                <w:rFonts w:asciiTheme="majorHAnsi" w:hAnsiTheme="majorHAnsi" w:cs="Arial"/>
                <w:b w:val="0"/>
                <w:color w:val="auto"/>
                <w:sz w:val="20"/>
                <w:szCs w:val="20"/>
                <w:lang w:val="fr-CA"/>
              </w:rPr>
              <w:t xml:space="preserve"> </w:t>
            </w:r>
            <w:r w:rsidR="00914A1A" w:rsidRPr="00955B5D">
              <w:rPr>
                <w:rFonts w:asciiTheme="majorHAnsi" w:hAnsiTheme="majorHAnsi" w:cs="Arial"/>
                <w:b w:val="0"/>
                <w:color w:val="auto"/>
                <w:sz w:val="20"/>
                <w:szCs w:val="20"/>
                <w:lang w:val="fr-CA"/>
              </w:rPr>
              <w:t>(</w:t>
            </w:r>
            <w:r w:rsidR="00975E7E" w:rsidRPr="00955B5D">
              <w:rPr>
                <w:rFonts w:asciiTheme="majorHAnsi" w:hAnsiTheme="majorHAnsi" w:cs="Arial"/>
                <w:b w:val="0"/>
                <w:color w:val="auto"/>
                <w:sz w:val="20"/>
                <w:szCs w:val="20"/>
                <w:lang w:val="fr-CA"/>
              </w:rPr>
              <w:t>administrateurs de Sites Ramsar</w:t>
            </w:r>
            <w:r w:rsidR="00914A1A" w:rsidRPr="00955B5D">
              <w:rPr>
                <w:rFonts w:asciiTheme="majorHAnsi" w:hAnsiTheme="majorHAnsi" w:cs="Arial"/>
                <w:b w:val="0"/>
                <w:color w:val="auto"/>
                <w:sz w:val="20"/>
                <w:szCs w:val="20"/>
                <w:lang w:val="fr-CA"/>
              </w:rPr>
              <w:t>)</w:t>
            </w:r>
            <w:r w:rsidR="00E81E1C" w:rsidRPr="00955B5D">
              <w:rPr>
                <w:rFonts w:asciiTheme="majorHAnsi" w:hAnsiTheme="majorHAnsi" w:cs="Arial"/>
                <w:b w:val="0"/>
                <w:color w:val="auto"/>
                <w:sz w:val="20"/>
                <w:szCs w:val="20"/>
                <w:lang w:val="fr-CA"/>
              </w:rPr>
              <w:t xml:space="preserve"> (note d’information)</w:t>
            </w:r>
            <w:r w:rsidR="00E01336" w:rsidRPr="00955B5D">
              <w:rPr>
                <w:rFonts w:asciiTheme="majorHAnsi" w:hAnsiTheme="majorHAnsi" w:cs="Arial"/>
                <w:b w:val="0"/>
                <w:color w:val="auto"/>
                <w:sz w:val="20"/>
                <w:szCs w:val="20"/>
                <w:lang w:val="fr-CA"/>
              </w:rPr>
              <w:t xml:space="preserve"> </w:t>
            </w:r>
            <w:r w:rsidR="00975E7E" w:rsidRPr="00955B5D">
              <w:rPr>
                <w:rFonts w:asciiTheme="majorHAnsi" w:hAnsiTheme="majorHAnsi" w:cs="Arial"/>
                <w:b w:val="0"/>
                <w:color w:val="auto"/>
                <w:sz w:val="20"/>
                <w:szCs w:val="20"/>
                <w:lang w:val="fr-CA"/>
              </w:rPr>
              <w:t>et décideurs</w:t>
            </w:r>
            <w:r w:rsidR="00E81E1C" w:rsidRPr="00955B5D">
              <w:rPr>
                <w:rFonts w:asciiTheme="majorHAnsi" w:hAnsiTheme="majorHAnsi" w:cs="Arial"/>
                <w:b w:val="0"/>
                <w:color w:val="auto"/>
                <w:sz w:val="20"/>
                <w:szCs w:val="20"/>
                <w:lang w:val="fr-CA"/>
              </w:rPr>
              <w:t xml:space="preserve"> (annexe au projet de résolution)</w:t>
            </w:r>
            <w:r w:rsidR="00975E7E" w:rsidRPr="00955B5D">
              <w:rPr>
                <w:rFonts w:asciiTheme="majorHAnsi" w:hAnsiTheme="majorHAnsi" w:cs="Arial"/>
                <w:b w:val="0"/>
                <w:color w:val="auto"/>
                <w:sz w:val="20"/>
                <w:szCs w:val="20"/>
                <w:lang w:val="fr-CA"/>
              </w:rPr>
              <w:t xml:space="preserve">. </w:t>
            </w:r>
          </w:p>
        </w:tc>
        <w:tc>
          <w:tcPr>
            <w:tcW w:w="497" w:type="pct"/>
          </w:tcPr>
          <w:p w14:paraId="5002FC1B" w14:textId="5A5E5F1E" w:rsidR="00914A1A" w:rsidRPr="00955B5D" w:rsidRDefault="00F02C6F" w:rsidP="00331336">
            <w:pPr>
              <w:rPr>
                <w:rFonts w:asciiTheme="majorHAnsi" w:hAnsiTheme="majorHAnsi" w:cs="Arial"/>
                <w:b w:val="0"/>
                <w:sz w:val="20"/>
                <w:szCs w:val="20"/>
                <w:lang w:val="fr-CA"/>
              </w:rPr>
            </w:pPr>
            <w:r w:rsidRPr="00955B5D">
              <w:rPr>
                <w:rFonts w:asciiTheme="majorHAnsi" w:hAnsiTheme="majorHAnsi" w:cs="Arial"/>
                <w:b w:val="0"/>
                <w:sz w:val="20"/>
                <w:szCs w:val="20"/>
                <w:lang w:val="fr-CA"/>
              </w:rPr>
              <w:t xml:space="preserve">Jusqu’à 13 </w:t>
            </w:r>
            <w:r w:rsidR="00914A1A" w:rsidRPr="00955B5D">
              <w:rPr>
                <w:rFonts w:asciiTheme="majorHAnsi" w:hAnsiTheme="majorHAnsi" w:cs="Arial"/>
                <w:b w:val="0"/>
                <w:sz w:val="20"/>
                <w:szCs w:val="20"/>
                <w:lang w:val="fr-CA"/>
              </w:rPr>
              <w:t>000</w:t>
            </w:r>
          </w:p>
        </w:tc>
      </w:tr>
    </w:tbl>
    <w:p w14:paraId="153BC251" w14:textId="77777777" w:rsidR="00914A1A" w:rsidRPr="003F6411" w:rsidRDefault="00914A1A" w:rsidP="00914A1A">
      <w:pPr>
        <w:rPr>
          <w:rFonts w:asciiTheme="majorHAnsi" w:hAnsiTheme="majorHAnsi" w:cs="Arial"/>
          <w:sz w:val="20"/>
          <w:szCs w:val="20"/>
          <w:lang w:val="fr-FR"/>
        </w:rPr>
      </w:pPr>
    </w:p>
    <w:p w14:paraId="4B724D6A" w14:textId="77777777" w:rsidR="007A0789" w:rsidRPr="003F6411" w:rsidRDefault="007A0789" w:rsidP="00B50244">
      <w:pPr>
        <w:keepNext/>
        <w:keepLines/>
        <w:rPr>
          <w:rFonts w:asciiTheme="majorHAnsi" w:hAnsiTheme="majorHAnsi" w:cs="Arial"/>
          <w:sz w:val="20"/>
          <w:szCs w:val="20"/>
          <w:lang w:val="fr-FR"/>
        </w:rPr>
      </w:pPr>
    </w:p>
    <w:tbl>
      <w:tblPr>
        <w:tblStyle w:val="TableGrid11"/>
        <w:tblW w:w="5000" w:type="pct"/>
        <w:tblLook w:val="04A0" w:firstRow="1" w:lastRow="0" w:firstColumn="1" w:lastColumn="0" w:noHBand="0" w:noVBand="1"/>
      </w:tblPr>
      <w:tblGrid>
        <w:gridCol w:w="14174"/>
      </w:tblGrid>
      <w:tr w:rsidR="007A0789" w:rsidRPr="00833360" w14:paraId="78937166" w14:textId="77777777" w:rsidTr="007A0789">
        <w:tc>
          <w:tcPr>
            <w:tcW w:w="5000" w:type="pct"/>
            <w:shd w:val="clear" w:color="auto" w:fill="000000" w:themeFill="text1"/>
          </w:tcPr>
          <w:p w14:paraId="57ABE595" w14:textId="32B367AD" w:rsidR="007A0789" w:rsidRPr="003F6411" w:rsidRDefault="00B50244" w:rsidP="00B50244">
            <w:pPr>
              <w:keepNext/>
              <w:keepLines/>
              <w:rPr>
                <w:rFonts w:asciiTheme="majorHAnsi" w:hAnsiTheme="majorHAnsi" w:cs="Arial"/>
                <w:sz w:val="20"/>
                <w:szCs w:val="20"/>
                <w:lang w:val="fr-FR" w:eastAsia="en-US"/>
              </w:rPr>
            </w:pPr>
            <w:r w:rsidRPr="003F6411">
              <w:rPr>
                <w:rFonts w:asciiTheme="majorHAnsi" w:hAnsiTheme="majorHAnsi" w:cs="Arial"/>
                <w:sz w:val="20"/>
                <w:szCs w:val="20"/>
                <w:lang w:val="fr-FR" w:eastAsia="en-US"/>
              </w:rPr>
              <w:t>Domaine de travail thématique n</w:t>
            </w:r>
            <w:r w:rsidRPr="003F6411">
              <w:rPr>
                <w:rFonts w:asciiTheme="majorHAnsi" w:hAnsiTheme="majorHAnsi" w:cs="Arial"/>
                <w:sz w:val="20"/>
                <w:szCs w:val="20"/>
                <w:vertAlign w:val="superscript"/>
                <w:lang w:val="fr-FR" w:eastAsia="en-US"/>
              </w:rPr>
              <w:t>o</w:t>
            </w:r>
            <w:r w:rsidRPr="003F6411">
              <w:rPr>
                <w:rFonts w:asciiTheme="majorHAnsi" w:hAnsiTheme="majorHAnsi" w:cs="Arial"/>
                <w:sz w:val="20"/>
                <w:szCs w:val="20"/>
                <w:lang w:val="fr-FR" w:eastAsia="en-US"/>
              </w:rPr>
              <w:t> 2 : Bonnes pratiques pour élaborer et appliquer les plans de gestion, les plans d’action et autres outils pour les Sites Ramsar et autres zones humides</w:t>
            </w:r>
          </w:p>
        </w:tc>
      </w:tr>
    </w:tbl>
    <w:p w14:paraId="2B1B9FB9" w14:textId="151B7FDC" w:rsidR="00914A1A" w:rsidRPr="003F6411" w:rsidRDefault="00914A1A" w:rsidP="00B50244">
      <w:pPr>
        <w:keepNext/>
        <w:keepLines/>
        <w:rPr>
          <w:rFonts w:asciiTheme="majorHAnsi" w:hAnsiTheme="majorHAnsi" w:cs="Arial"/>
          <w:b/>
          <w:sz w:val="20"/>
          <w:szCs w:val="20"/>
          <w:lang w:val="fr-FR" w:eastAsia="ja-JP"/>
        </w:rPr>
      </w:pPr>
    </w:p>
    <w:tbl>
      <w:tblPr>
        <w:tblStyle w:val="TableGrid21"/>
        <w:tblW w:w="5000" w:type="pct"/>
        <w:jc w:val="center"/>
        <w:tblLook w:val="04A0" w:firstRow="1" w:lastRow="0" w:firstColumn="1" w:lastColumn="0" w:noHBand="0" w:noVBand="1"/>
      </w:tblPr>
      <w:tblGrid>
        <w:gridCol w:w="3561"/>
        <w:gridCol w:w="10613"/>
      </w:tblGrid>
      <w:tr w:rsidR="00914A1A" w:rsidRPr="003F6411" w14:paraId="1D006C6F" w14:textId="77777777" w:rsidTr="00501577">
        <w:trPr>
          <w:jc w:val="center"/>
        </w:trPr>
        <w:tc>
          <w:tcPr>
            <w:tcW w:w="1256" w:type="pct"/>
          </w:tcPr>
          <w:p w14:paraId="0B3E3BF5" w14:textId="33730DC5" w:rsidR="00914A1A" w:rsidRPr="003F6411" w:rsidRDefault="00A1768B" w:rsidP="00B50244">
            <w:pPr>
              <w:keepNext/>
              <w:keepLines/>
              <w:rPr>
                <w:rFonts w:asciiTheme="majorHAnsi" w:eastAsia="Calibri" w:hAnsiTheme="majorHAnsi" w:cs="Arial"/>
                <w:sz w:val="20"/>
                <w:szCs w:val="20"/>
                <w:lang w:val="fr-FR"/>
              </w:rPr>
            </w:pPr>
            <w:r w:rsidRPr="003F6411">
              <w:rPr>
                <w:rFonts w:asciiTheme="majorHAnsi" w:eastAsia="Calibri" w:hAnsiTheme="majorHAnsi" w:cs="Arial"/>
                <w:sz w:val="20"/>
                <w:szCs w:val="20"/>
                <w:lang w:val="fr-FR"/>
              </w:rPr>
              <w:t>Leader</w:t>
            </w:r>
            <w:r w:rsidR="00B50244" w:rsidRPr="003F6411">
              <w:rPr>
                <w:rFonts w:asciiTheme="majorHAnsi" w:eastAsia="Calibri" w:hAnsiTheme="majorHAnsi" w:cs="Arial"/>
                <w:sz w:val="20"/>
                <w:szCs w:val="20"/>
                <w:lang w:val="fr-FR"/>
              </w:rPr>
              <w:t>(s) de groupe de travail et participants :</w:t>
            </w:r>
          </w:p>
        </w:tc>
        <w:tc>
          <w:tcPr>
            <w:tcW w:w="3744" w:type="pct"/>
          </w:tcPr>
          <w:p w14:paraId="6D8EDEA6" w14:textId="7448A5A1" w:rsidR="00914A1A" w:rsidRPr="003F6411" w:rsidRDefault="00E81E1C" w:rsidP="00E81E1C">
            <w:pPr>
              <w:keepNext/>
              <w:keepLines/>
              <w:tabs>
                <w:tab w:val="left" w:pos="1095"/>
              </w:tabs>
              <w:rPr>
                <w:rFonts w:asciiTheme="majorHAnsi" w:eastAsia="Calibri" w:hAnsiTheme="majorHAnsi" w:cs="Arial"/>
                <w:b w:val="0"/>
                <w:sz w:val="20"/>
                <w:szCs w:val="20"/>
                <w:lang w:val="fr-FR"/>
              </w:rPr>
            </w:pPr>
            <w:r w:rsidRPr="003F6411">
              <w:rPr>
                <w:rFonts w:asciiTheme="majorHAnsi" w:eastAsia="Calibri" w:hAnsiTheme="majorHAnsi" w:cs="Arial"/>
                <w:b w:val="0"/>
                <w:sz w:val="20"/>
                <w:szCs w:val="20"/>
                <w:lang w:val="fr-FR"/>
              </w:rPr>
              <w:t xml:space="preserve">Susanna Aguilar, </w:t>
            </w:r>
            <w:r w:rsidR="00914A1A" w:rsidRPr="003F6411">
              <w:rPr>
                <w:rFonts w:asciiTheme="majorHAnsi" w:eastAsia="Calibri" w:hAnsiTheme="majorHAnsi" w:cs="Arial"/>
                <w:b w:val="0"/>
                <w:sz w:val="20"/>
                <w:szCs w:val="20"/>
                <w:lang w:val="fr-FR"/>
              </w:rPr>
              <w:t>Channa</w:t>
            </w:r>
            <w:r w:rsidR="00E01336" w:rsidRPr="003F6411">
              <w:rPr>
                <w:rFonts w:asciiTheme="majorHAnsi" w:eastAsia="Calibri" w:hAnsiTheme="majorHAnsi" w:cs="Arial"/>
                <w:b w:val="0"/>
                <w:sz w:val="20"/>
                <w:szCs w:val="20"/>
                <w:lang w:val="fr-FR"/>
              </w:rPr>
              <w:t xml:space="preserve"> </w:t>
            </w:r>
            <w:r w:rsidR="00914A1A" w:rsidRPr="003F6411">
              <w:rPr>
                <w:rFonts w:asciiTheme="majorHAnsi" w:eastAsia="Calibri" w:hAnsiTheme="majorHAnsi" w:cs="Arial"/>
                <w:b w:val="0"/>
                <w:sz w:val="20"/>
                <w:szCs w:val="20"/>
                <w:lang w:val="fr-FR"/>
              </w:rPr>
              <w:t>Bambaradeniya</w:t>
            </w:r>
            <w:r w:rsidR="00E01336" w:rsidRPr="003F6411">
              <w:rPr>
                <w:rFonts w:asciiTheme="majorHAnsi" w:eastAsia="Calibri" w:hAnsiTheme="majorHAnsi" w:cs="Arial"/>
                <w:b w:val="0"/>
                <w:sz w:val="20"/>
                <w:szCs w:val="20"/>
                <w:lang w:val="fr-FR"/>
              </w:rPr>
              <w:t xml:space="preserve"> </w:t>
            </w:r>
            <w:r w:rsidR="00914A1A" w:rsidRPr="003F6411">
              <w:rPr>
                <w:rFonts w:asciiTheme="majorHAnsi" w:eastAsia="Calibri" w:hAnsiTheme="majorHAnsi" w:cs="Arial"/>
                <w:b w:val="0"/>
                <w:sz w:val="20"/>
                <w:szCs w:val="20"/>
                <w:lang w:val="fr-FR"/>
              </w:rPr>
              <w:t>(</w:t>
            </w:r>
            <w:r w:rsidR="00A1768B" w:rsidRPr="003F6411">
              <w:rPr>
                <w:rFonts w:asciiTheme="majorHAnsi" w:eastAsia="Calibri" w:hAnsiTheme="majorHAnsi" w:cs="Arial"/>
                <w:b w:val="0"/>
                <w:sz w:val="20"/>
                <w:szCs w:val="20"/>
                <w:lang w:val="fr-FR"/>
              </w:rPr>
              <w:t>leader</w:t>
            </w:r>
            <w:r w:rsidR="00914A1A" w:rsidRPr="003F6411">
              <w:rPr>
                <w:rFonts w:asciiTheme="majorHAnsi" w:eastAsia="Calibri" w:hAnsiTheme="majorHAnsi" w:cs="Arial"/>
                <w:b w:val="0"/>
                <w:sz w:val="20"/>
                <w:szCs w:val="20"/>
                <w:lang w:val="fr-FR"/>
              </w:rPr>
              <w:t>),</w:t>
            </w:r>
            <w:r w:rsidR="00E01336" w:rsidRPr="003F6411">
              <w:rPr>
                <w:rFonts w:asciiTheme="majorHAnsi" w:eastAsia="Calibri" w:hAnsiTheme="majorHAnsi" w:cs="Arial"/>
                <w:b w:val="0"/>
                <w:sz w:val="20"/>
                <w:szCs w:val="20"/>
                <w:lang w:val="fr-FR"/>
              </w:rPr>
              <w:t xml:space="preserve"> </w:t>
            </w:r>
            <w:r w:rsidRPr="003F6411">
              <w:rPr>
                <w:rFonts w:asciiTheme="majorHAnsi" w:eastAsia="Calibri" w:hAnsiTheme="majorHAnsi" w:cs="Arial"/>
                <w:b w:val="0"/>
                <w:sz w:val="20"/>
                <w:szCs w:val="20"/>
                <w:lang w:val="fr-FR"/>
              </w:rPr>
              <w:t xml:space="preserve">Ruth Cromie, </w:t>
            </w:r>
            <w:r w:rsidR="00914A1A" w:rsidRPr="003F6411">
              <w:rPr>
                <w:rFonts w:asciiTheme="majorHAnsi" w:eastAsia="Calibri" w:hAnsiTheme="majorHAnsi" w:cs="Arial"/>
                <w:b w:val="0"/>
                <w:sz w:val="20"/>
                <w:szCs w:val="20"/>
                <w:lang w:val="fr-FR"/>
              </w:rPr>
              <w:t>Lars</w:t>
            </w:r>
            <w:r w:rsidR="00E01336" w:rsidRPr="003F6411">
              <w:rPr>
                <w:rFonts w:asciiTheme="majorHAnsi" w:eastAsia="Calibri" w:hAnsiTheme="majorHAnsi" w:cs="Arial"/>
                <w:b w:val="0"/>
                <w:sz w:val="20"/>
                <w:szCs w:val="20"/>
                <w:lang w:val="fr-FR"/>
              </w:rPr>
              <w:t xml:space="preserve"> </w:t>
            </w:r>
            <w:r w:rsidR="00914A1A" w:rsidRPr="003F6411">
              <w:rPr>
                <w:rFonts w:asciiTheme="majorHAnsi" w:eastAsia="Calibri" w:hAnsiTheme="majorHAnsi" w:cs="Arial"/>
                <w:b w:val="0"/>
                <w:sz w:val="20"/>
                <w:szCs w:val="20"/>
                <w:lang w:val="fr-FR"/>
              </w:rPr>
              <w:t>Dinesen,</w:t>
            </w:r>
            <w:r w:rsidR="00E01336" w:rsidRPr="003F6411">
              <w:rPr>
                <w:rFonts w:asciiTheme="majorHAnsi" w:eastAsia="Calibri" w:hAnsiTheme="majorHAnsi" w:cs="Arial"/>
                <w:b w:val="0"/>
                <w:sz w:val="20"/>
                <w:szCs w:val="20"/>
                <w:lang w:val="fr-FR"/>
              </w:rPr>
              <w:t xml:space="preserve"> </w:t>
            </w:r>
            <w:r w:rsidR="00914A1A" w:rsidRPr="003F6411">
              <w:rPr>
                <w:rFonts w:asciiTheme="majorHAnsi" w:eastAsia="Calibri" w:hAnsiTheme="majorHAnsi" w:cs="Arial"/>
                <w:b w:val="0"/>
                <w:sz w:val="20"/>
                <w:szCs w:val="20"/>
                <w:lang w:val="fr-FR"/>
              </w:rPr>
              <w:t>Jari</w:t>
            </w:r>
            <w:r w:rsidR="00E01336" w:rsidRPr="003F6411">
              <w:rPr>
                <w:rFonts w:asciiTheme="majorHAnsi" w:eastAsia="Calibri" w:hAnsiTheme="majorHAnsi" w:cs="Arial"/>
                <w:b w:val="0"/>
                <w:sz w:val="20"/>
                <w:szCs w:val="20"/>
                <w:lang w:val="fr-FR"/>
              </w:rPr>
              <w:t xml:space="preserve"> </w:t>
            </w:r>
            <w:r w:rsidR="00914A1A" w:rsidRPr="003F6411">
              <w:rPr>
                <w:rFonts w:asciiTheme="majorHAnsi" w:eastAsia="Calibri" w:hAnsiTheme="majorHAnsi" w:cs="Arial"/>
                <w:b w:val="0"/>
                <w:sz w:val="20"/>
                <w:szCs w:val="20"/>
                <w:lang w:val="fr-FR"/>
              </w:rPr>
              <w:t>Ilmonen,</w:t>
            </w:r>
            <w:r w:rsidR="00E01336" w:rsidRPr="003F6411">
              <w:rPr>
                <w:rFonts w:asciiTheme="majorHAnsi" w:eastAsia="Calibri" w:hAnsiTheme="majorHAnsi" w:cs="Arial"/>
                <w:b w:val="0"/>
                <w:sz w:val="20"/>
                <w:szCs w:val="20"/>
                <w:lang w:val="fr-FR"/>
              </w:rPr>
              <w:t xml:space="preserve"> </w:t>
            </w:r>
            <w:r w:rsidR="00914A1A" w:rsidRPr="003F6411">
              <w:rPr>
                <w:rFonts w:asciiTheme="majorHAnsi" w:eastAsia="Calibri" w:hAnsiTheme="majorHAnsi" w:cs="Arial"/>
                <w:b w:val="0"/>
                <w:sz w:val="20"/>
                <w:szCs w:val="20"/>
                <w:lang w:val="fr-FR"/>
              </w:rPr>
              <w:t>Guangchun</w:t>
            </w:r>
            <w:r w:rsidR="00E01336" w:rsidRPr="003F6411">
              <w:rPr>
                <w:rFonts w:asciiTheme="majorHAnsi" w:eastAsia="Calibri" w:hAnsiTheme="majorHAnsi" w:cs="Arial"/>
                <w:b w:val="0"/>
                <w:sz w:val="20"/>
                <w:szCs w:val="20"/>
                <w:lang w:val="fr-FR"/>
              </w:rPr>
              <w:t xml:space="preserve"> </w:t>
            </w:r>
            <w:r w:rsidR="00914A1A" w:rsidRPr="003F6411">
              <w:rPr>
                <w:rFonts w:asciiTheme="majorHAnsi" w:eastAsia="Calibri" w:hAnsiTheme="majorHAnsi" w:cs="Arial"/>
                <w:b w:val="0"/>
                <w:sz w:val="20"/>
                <w:szCs w:val="20"/>
                <w:lang w:val="fr-FR"/>
              </w:rPr>
              <w:t>Lei,</w:t>
            </w:r>
            <w:r w:rsidR="00E01336" w:rsidRPr="003F6411">
              <w:rPr>
                <w:rFonts w:asciiTheme="majorHAnsi" w:eastAsia="Calibri" w:hAnsiTheme="majorHAnsi" w:cs="Arial"/>
                <w:b w:val="0"/>
                <w:sz w:val="20"/>
                <w:szCs w:val="20"/>
                <w:lang w:val="fr-FR"/>
              </w:rPr>
              <w:t xml:space="preserve"> </w:t>
            </w:r>
            <w:r w:rsidR="00914A1A" w:rsidRPr="003F6411">
              <w:rPr>
                <w:rFonts w:asciiTheme="majorHAnsi" w:eastAsia="Calibri" w:hAnsiTheme="majorHAnsi" w:cs="Arial"/>
                <w:b w:val="0"/>
                <w:sz w:val="20"/>
                <w:szCs w:val="20"/>
                <w:lang w:val="fr-FR"/>
              </w:rPr>
              <w:t>Kassim</w:t>
            </w:r>
            <w:r w:rsidR="00E01336" w:rsidRPr="003F6411">
              <w:rPr>
                <w:rFonts w:asciiTheme="majorHAnsi" w:eastAsia="Calibri" w:hAnsiTheme="majorHAnsi" w:cs="Arial"/>
                <w:b w:val="0"/>
                <w:sz w:val="20"/>
                <w:szCs w:val="20"/>
                <w:lang w:val="fr-FR"/>
              </w:rPr>
              <w:t xml:space="preserve"> </w:t>
            </w:r>
            <w:r w:rsidR="00914A1A" w:rsidRPr="003F6411">
              <w:rPr>
                <w:rFonts w:asciiTheme="majorHAnsi" w:eastAsia="Calibri" w:hAnsiTheme="majorHAnsi" w:cs="Arial"/>
                <w:b w:val="0"/>
                <w:sz w:val="20"/>
                <w:szCs w:val="20"/>
                <w:lang w:val="fr-FR"/>
              </w:rPr>
              <w:t>Kulindwa,</w:t>
            </w:r>
            <w:r w:rsidR="00E01336" w:rsidRPr="003F6411">
              <w:rPr>
                <w:rFonts w:asciiTheme="majorHAnsi" w:eastAsia="Calibri" w:hAnsiTheme="majorHAnsi" w:cs="Arial"/>
                <w:b w:val="0"/>
                <w:sz w:val="20"/>
                <w:szCs w:val="20"/>
                <w:lang w:val="fr-FR"/>
              </w:rPr>
              <w:t xml:space="preserve"> </w:t>
            </w:r>
            <w:r w:rsidR="00914A1A" w:rsidRPr="003F6411">
              <w:rPr>
                <w:rFonts w:asciiTheme="majorHAnsi" w:eastAsia="Calibri" w:hAnsiTheme="majorHAnsi" w:cs="Arial"/>
                <w:b w:val="0"/>
                <w:sz w:val="20"/>
                <w:szCs w:val="20"/>
                <w:lang w:val="fr-FR"/>
              </w:rPr>
              <w:t>Ritesh</w:t>
            </w:r>
            <w:r w:rsidR="00E01336" w:rsidRPr="003F6411">
              <w:rPr>
                <w:rFonts w:asciiTheme="majorHAnsi" w:eastAsia="Calibri" w:hAnsiTheme="majorHAnsi" w:cs="Arial"/>
                <w:b w:val="0"/>
                <w:sz w:val="20"/>
                <w:szCs w:val="20"/>
                <w:lang w:val="fr-FR"/>
              </w:rPr>
              <w:t xml:space="preserve"> </w:t>
            </w:r>
            <w:r w:rsidR="00914A1A" w:rsidRPr="003F6411">
              <w:rPr>
                <w:rFonts w:asciiTheme="majorHAnsi" w:eastAsia="Calibri" w:hAnsiTheme="majorHAnsi" w:cs="Arial"/>
                <w:b w:val="0"/>
                <w:sz w:val="20"/>
                <w:szCs w:val="20"/>
                <w:lang w:val="fr-FR"/>
              </w:rPr>
              <w:t>Kumar</w:t>
            </w:r>
            <w:r w:rsidR="00E01336" w:rsidRPr="003F6411">
              <w:rPr>
                <w:rFonts w:asciiTheme="majorHAnsi" w:eastAsia="Calibri" w:hAnsiTheme="majorHAnsi" w:cs="Arial"/>
                <w:b w:val="0"/>
                <w:sz w:val="20"/>
                <w:szCs w:val="20"/>
                <w:lang w:val="fr-FR"/>
              </w:rPr>
              <w:t xml:space="preserve"> </w:t>
            </w:r>
          </w:p>
        </w:tc>
      </w:tr>
      <w:tr w:rsidR="00914A1A" w:rsidRPr="003F6411" w14:paraId="37F4CF78" w14:textId="77777777" w:rsidTr="00501577">
        <w:trPr>
          <w:jc w:val="center"/>
        </w:trPr>
        <w:tc>
          <w:tcPr>
            <w:tcW w:w="1256" w:type="pct"/>
          </w:tcPr>
          <w:p w14:paraId="344CA7FB" w14:textId="3754DCD1" w:rsidR="00914A1A" w:rsidRPr="003F6411" w:rsidRDefault="00914A1A" w:rsidP="00B50244">
            <w:pPr>
              <w:keepNext/>
              <w:keepLines/>
              <w:rPr>
                <w:rFonts w:asciiTheme="majorHAnsi" w:eastAsia="Calibri" w:hAnsiTheme="majorHAnsi" w:cs="Arial"/>
                <w:sz w:val="20"/>
                <w:szCs w:val="20"/>
                <w:lang w:val="fr-FR"/>
              </w:rPr>
            </w:pPr>
          </w:p>
        </w:tc>
        <w:tc>
          <w:tcPr>
            <w:tcW w:w="3744" w:type="pct"/>
          </w:tcPr>
          <w:p w14:paraId="7BD510DC" w14:textId="4DA812D2" w:rsidR="00914A1A" w:rsidRPr="003F6411" w:rsidRDefault="00914A1A" w:rsidP="00B50244">
            <w:pPr>
              <w:keepNext/>
              <w:keepLines/>
              <w:rPr>
                <w:rFonts w:asciiTheme="majorHAnsi" w:eastAsia="Calibri" w:hAnsiTheme="majorHAnsi" w:cs="Arial"/>
                <w:b w:val="0"/>
                <w:sz w:val="20"/>
                <w:szCs w:val="20"/>
                <w:lang w:val="fr-FR"/>
              </w:rPr>
            </w:pPr>
          </w:p>
        </w:tc>
      </w:tr>
      <w:tr w:rsidR="00B50244" w:rsidRPr="00833360" w14:paraId="4E2B41FD" w14:textId="77777777" w:rsidTr="00501577">
        <w:trPr>
          <w:jc w:val="center"/>
        </w:trPr>
        <w:tc>
          <w:tcPr>
            <w:tcW w:w="1256" w:type="pct"/>
          </w:tcPr>
          <w:p w14:paraId="45C7F8B3" w14:textId="258F0EB0" w:rsidR="00B50244" w:rsidRPr="003F6411" w:rsidRDefault="00B50244" w:rsidP="00B50244">
            <w:pPr>
              <w:keepNext/>
              <w:keepLines/>
              <w:rPr>
                <w:rFonts w:asciiTheme="majorHAnsi" w:eastAsia="Calibri" w:hAnsiTheme="majorHAnsi" w:cs="Arial"/>
                <w:sz w:val="20"/>
                <w:szCs w:val="20"/>
                <w:lang w:val="fr-FR"/>
              </w:rPr>
            </w:pPr>
            <w:r w:rsidRPr="003F6411">
              <w:rPr>
                <w:rFonts w:asciiTheme="majorHAnsi" w:eastAsia="Calibri" w:hAnsiTheme="majorHAnsi" w:cs="Arial"/>
                <w:sz w:val="20"/>
                <w:szCs w:val="20"/>
                <w:lang w:val="fr-FR"/>
              </w:rPr>
              <w:t>Organisations participantes : [OIP/observateurs/autres]</w:t>
            </w:r>
          </w:p>
        </w:tc>
        <w:tc>
          <w:tcPr>
            <w:tcW w:w="3744" w:type="pct"/>
          </w:tcPr>
          <w:p w14:paraId="239CB728" w14:textId="1C8996F1" w:rsidR="00B50244" w:rsidRPr="003F6411" w:rsidRDefault="00817246" w:rsidP="00817246">
            <w:pPr>
              <w:keepNext/>
              <w:keepLines/>
              <w:rPr>
                <w:rFonts w:asciiTheme="majorHAnsi" w:eastAsiaTheme="minorHAnsi" w:hAnsiTheme="majorHAnsi" w:cs="Arial"/>
                <w:sz w:val="20"/>
                <w:szCs w:val="20"/>
                <w:lang w:val="fr-FR" w:eastAsia="en-US"/>
              </w:rPr>
            </w:pPr>
            <w:r w:rsidRPr="003F6411">
              <w:rPr>
                <w:rFonts w:asciiTheme="majorHAnsi" w:eastAsia="Calibri" w:hAnsiTheme="majorHAnsi" w:cs="Arial"/>
                <w:b w:val="0"/>
                <w:sz w:val="20"/>
                <w:szCs w:val="20"/>
                <w:lang w:val="fr-FR"/>
              </w:rPr>
              <w:t xml:space="preserve">BirdLife International (Zoltan Waliczky), </w:t>
            </w:r>
            <w:r w:rsidR="00B50244" w:rsidRPr="003F6411">
              <w:rPr>
                <w:rFonts w:asciiTheme="majorHAnsi" w:eastAsia="Calibri" w:hAnsiTheme="majorHAnsi" w:cs="Arial"/>
                <w:b w:val="0"/>
                <w:sz w:val="20"/>
                <w:szCs w:val="20"/>
                <w:lang w:val="fr-FR"/>
              </w:rPr>
              <w:t>Union internationale pour la conservation de la nature (UICN) (Stefano Barchiesi, William Darwall, International Water Management Institute (IWMI) (Sanjiv de Silva), WI</w:t>
            </w:r>
            <w:r w:rsidRPr="003F6411">
              <w:rPr>
                <w:rFonts w:asciiTheme="majorHAnsi" w:eastAsia="Calibri" w:hAnsiTheme="majorHAnsi" w:cs="Arial"/>
                <w:b w:val="0"/>
                <w:sz w:val="20"/>
                <w:szCs w:val="20"/>
                <w:lang w:val="fr-FR"/>
              </w:rPr>
              <w:t xml:space="preserve"> (Marcel Silvius), WWT (Rob Shore)/Comité technique AEWA (David Stroud),</w:t>
            </w:r>
            <w:r w:rsidR="00855403">
              <w:rPr>
                <w:rFonts w:asciiTheme="majorHAnsi" w:eastAsia="Calibri" w:hAnsiTheme="majorHAnsi" w:cs="Arial"/>
                <w:b w:val="0"/>
                <w:sz w:val="20"/>
                <w:szCs w:val="20"/>
                <w:lang w:val="fr-FR"/>
              </w:rPr>
              <w:t xml:space="preserve"> </w:t>
            </w:r>
            <w:r w:rsidR="00B50244" w:rsidRPr="003F6411">
              <w:rPr>
                <w:rFonts w:asciiTheme="majorHAnsi" w:eastAsia="Calibri" w:hAnsiTheme="majorHAnsi" w:cs="Arial"/>
                <w:b w:val="0"/>
                <w:sz w:val="20"/>
                <w:szCs w:val="20"/>
                <w:lang w:val="fr-FR"/>
              </w:rPr>
              <w:t>SWS (Nick Davidson), Tour du Valat</w:t>
            </w:r>
            <w:r w:rsidRPr="003F6411">
              <w:rPr>
                <w:rFonts w:asciiTheme="majorHAnsi" w:eastAsia="Calibri" w:hAnsiTheme="majorHAnsi" w:cs="Arial"/>
                <w:b w:val="0"/>
                <w:sz w:val="20"/>
                <w:szCs w:val="20"/>
                <w:lang w:val="fr-FR"/>
              </w:rPr>
              <w:t>/Observatoire des zones humides méditerranéennes</w:t>
            </w:r>
            <w:r w:rsidR="00B50244" w:rsidRPr="003F6411">
              <w:rPr>
                <w:rFonts w:asciiTheme="majorHAnsi" w:eastAsia="Calibri" w:hAnsiTheme="majorHAnsi" w:cs="Arial"/>
                <w:b w:val="0"/>
                <w:sz w:val="20"/>
                <w:szCs w:val="20"/>
                <w:lang w:val="fr-FR"/>
              </w:rPr>
              <w:t xml:space="preserve"> </w:t>
            </w:r>
            <w:r w:rsidRPr="003F6411">
              <w:rPr>
                <w:rFonts w:asciiTheme="majorHAnsi" w:eastAsia="Calibri" w:hAnsiTheme="majorHAnsi" w:cs="Arial"/>
                <w:b w:val="0"/>
                <w:sz w:val="20"/>
                <w:szCs w:val="20"/>
                <w:lang w:val="fr-FR"/>
              </w:rPr>
              <w:t>(</w:t>
            </w:r>
            <w:r w:rsidR="00B50244" w:rsidRPr="003F6411">
              <w:rPr>
                <w:rFonts w:asciiTheme="majorHAnsi" w:eastAsia="Calibri" w:hAnsiTheme="majorHAnsi" w:cs="Arial"/>
                <w:b w:val="0"/>
                <w:sz w:val="20"/>
                <w:szCs w:val="20"/>
                <w:lang w:val="fr-FR"/>
              </w:rPr>
              <w:t>Christian Perennou</w:t>
            </w:r>
            <w:r w:rsidRPr="003F6411">
              <w:rPr>
                <w:rFonts w:asciiTheme="majorHAnsi" w:eastAsia="Calibri" w:hAnsiTheme="majorHAnsi" w:cs="Arial"/>
                <w:b w:val="0"/>
                <w:sz w:val="20"/>
                <w:szCs w:val="20"/>
                <w:lang w:val="fr-FR"/>
              </w:rPr>
              <w:t>)</w:t>
            </w:r>
            <w:r w:rsidR="00B50244" w:rsidRPr="003F6411">
              <w:rPr>
                <w:rFonts w:asciiTheme="majorHAnsi" w:eastAsia="Calibri" w:hAnsiTheme="majorHAnsi" w:cs="Arial"/>
                <w:b w:val="0"/>
                <w:sz w:val="20"/>
                <w:szCs w:val="20"/>
                <w:lang w:val="fr-FR"/>
              </w:rPr>
              <w:t xml:space="preserve">, PNUE (Marisol Estrella), ONU-Habitat (Robert McInnes), UNESCO-MAB (Marie Prchlova), Centre du patrimoine mondial </w:t>
            </w:r>
            <w:r w:rsidRPr="003F6411">
              <w:rPr>
                <w:rFonts w:asciiTheme="majorHAnsi" w:eastAsia="Calibri" w:hAnsiTheme="majorHAnsi" w:cs="Arial"/>
                <w:b w:val="0"/>
                <w:sz w:val="20"/>
                <w:szCs w:val="20"/>
                <w:lang w:val="fr-FR"/>
              </w:rPr>
              <w:t>(</w:t>
            </w:r>
            <w:r w:rsidR="00B50244" w:rsidRPr="003F6411">
              <w:rPr>
                <w:rFonts w:asciiTheme="majorHAnsi" w:eastAsia="Calibri" w:hAnsiTheme="majorHAnsi" w:cs="Arial"/>
                <w:b w:val="0"/>
                <w:sz w:val="20"/>
                <w:szCs w:val="20"/>
                <w:lang w:val="fr-FR"/>
              </w:rPr>
              <w:t>Tim Badman)/</w:t>
            </w:r>
            <w:r w:rsidR="00B50244" w:rsidRPr="003F6411">
              <w:rPr>
                <w:rFonts w:asciiTheme="majorHAnsi" w:eastAsiaTheme="minorHAnsi" w:hAnsiTheme="majorHAnsi" w:cs="Arial"/>
                <w:b w:val="0"/>
                <w:sz w:val="20"/>
                <w:szCs w:val="20"/>
                <w:lang w:val="fr-FR" w:eastAsia="en-US"/>
              </w:rPr>
              <w:t xml:space="preserve"> Société internationale de</w:t>
            </w:r>
            <w:r w:rsidR="00255A2D" w:rsidRPr="003F6411">
              <w:rPr>
                <w:rFonts w:asciiTheme="majorHAnsi" w:eastAsiaTheme="minorHAnsi" w:hAnsiTheme="majorHAnsi" w:cs="Arial"/>
                <w:b w:val="0"/>
                <w:sz w:val="20"/>
                <w:szCs w:val="20"/>
                <w:lang w:val="fr-FR" w:eastAsia="en-US"/>
              </w:rPr>
              <w:t xml:space="preserve"> la tourbe</w:t>
            </w:r>
            <w:r w:rsidR="00B50244" w:rsidRPr="003F6411">
              <w:rPr>
                <w:rFonts w:asciiTheme="majorHAnsi" w:eastAsiaTheme="minorHAnsi" w:hAnsiTheme="majorHAnsi" w:cs="Arial"/>
                <w:b w:val="0"/>
                <w:sz w:val="20"/>
                <w:szCs w:val="20"/>
                <w:lang w:val="fr-FR" w:eastAsia="en-US"/>
              </w:rPr>
              <w:t xml:space="preserve"> (</w:t>
            </w:r>
            <w:r w:rsidRPr="003F6411">
              <w:rPr>
                <w:rFonts w:asciiTheme="majorHAnsi" w:eastAsia="Calibri" w:hAnsiTheme="majorHAnsi" w:cs="Arial"/>
                <w:b w:val="0"/>
                <w:sz w:val="20"/>
                <w:szCs w:val="20"/>
                <w:lang w:val="fr-FR"/>
              </w:rPr>
              <w:t>Jack Rieley</w:t>
            </w:r>
            <w:r w:rsidR="00B50244" w:rsidRPr="003F6411">
              <w:rPr>
                <w:rFonts w:asciiTheme="majorHAnsi" w:eastAsiaTheme="minorHAnsi" w:hAnsiTheme="majorHAnsi" w:cs="Arial"/>
                <w:b w:val="0"/>
                <w:sz w:val="20"/>
                <w:szCs w:val="20"/>
                <w:lang w:val="fr-FR" w:eastAsia="en-US"/>
              </w:rPr>
              <w:t>)</w:t>
            </w:r>
            <w:r w:rsidR="00B50244" w:rsidRPr="003F6411">
              <w:rPr>
                <w:rFonts w:asciiTheme="majorHAnsi" w:eastAsia="Calibri" w:hAnsiTheme="majorHAnsi" w:cs="Arial"/>
                <w:b w:val="0"/>
                <w:sz w:val="20"/>
                <w:szCs w:val="20"/>
                <w:lang w:val="fr-FR"/>
              </w:rPr>
              <w:t xml:space="preserve"> </w:t>
            </w:r>
          </w:p>
        </w:tc>
      </w:tr>
    </w:tbl>
    <w:p w14:paraId="51772ED4" w14:textId="77777777" w:rsidR="00914A1A" w:rsidRPr="003F6411" w:rsidRDefault="00914A1A" w:rsidP="00914A1A">
      <w:pPr>
        <w:rPr>
          <w:rFonts w:asciiTheme="majorHAnsi" w:hAnsiTheme="majorHAnsi" w:cs="Arial"/>
          <w:sz w:val="20"/>
          <w:szCs w:val="20"/>
          <w:lang w:val="fr-FR"/>
        </w:rPr>
      </w:pPr>
    </w:p>
    <w:tbl>
      <w:tblPr>
        <w:tblStyle w:val="TableGrid1"/>
        <w:tblW w:w="5030" w:type="pct"/>
        <w:tblInd w:w="-85" w:type="dxa"/>
        <w:tblCellMar>
          <w:top w:w="57" w:type="dxa"/>
          <w:left w:w="57" w:type="dxa"/>
          <w:bottom w:w="57" w:type="dxa"/>
          <w:right w:w="57" w:type="dxa"/>
        </w:tblCellMar>
        <w:tblLook w:val="04A0" w:firstRow="1" w:lastRow="0" w:firstColumn="1" w:lastColumn="0" w:noHBand="0" w:noVBand="1"/>
      </w:tblPr>
      <w:tblGrid>
        <w:gridCol w:w="1498"/>
        <w:gridCol w:w="781"/>
        <w:gridCol w:w="1005"/>
        <w:gridCol w:w="1127"/>
        <w:gridCol w:w="8355"/>
        <w:gridCol w:w="1390"/>
      </w:tblGrid>
      <w:tr w:rsidR="00F52F75" w:rsidRPr="00AD15D6" w14:paraId="5CA0F83E" w14:textId="77777777" w:rsidTr="00F02C6F">
        <w:trPr>
          <w:tblHeader/>
        </w:trPr>
        <w:tc>
          <w:tcPr>
            <w:tcW w:w="529" w:type="pct"/>
            <w:shd w:val="clear" w:color="auto" w:fill="D9D9D9" w:themeFill="background1" w:themeFillShade="D9"/>
          </w:tcPr>
          <w:p w14:paraId="74A3D8DF" w14:textId="19A75B90" w:rsidR="007A0789" w:rsidRPr="00AD15D6" w:rsidRDefault="00B50244" w:rsidP="00726B77">
            <w:pPr>
              <w:jc w:val="center"/>
              <w:rPr>
                <w:rFonts w:asciiTheme="majorHAnsi" w:hAnsiTheme="majorHAnsi" w:cs="Arial"/>
                <w:sz w:val="20"/>
                <w:szCs w:val="20"/>
                <w:lang w:val="fr-CA"/>
              </w:rPr>
            </w:pPr>
            <w:r w:rsidRPr="00AD15D6">
              <w:rPr>
                <w:rFonts w:asciiTheme="majorHAnsi" w:hAnsiTheme="majorHAnsi" w:cs="Arial"/>
                <w:sz w:val="20"/>
                <w:szCs w:val="20"/>
                <w:lang w:val="fr-CA"/>
              </w:rPr>
              <w:lastRenderedPageBreak/>
              <w:t>N</w:t>
            </w:r>
            <w:r w:rsidRPr="00AD15D6">
              <w:rPr>
                <w:rFonts w:asciiTheme="majorHAnsi" w:hAnsiTheme="majorHAnsi" w:cs="Arial"/>
                <w:sz w:val="20"/>
                <w:szCs w:val="20"/>
                <w:vertAlign w:val="superscript"/>
                <w:lang w:val="fr-CA"/>
              </w:rPr>
              <w:t>o</w:t>
            </w:r>
            <w:r w:rsidRPr="00AD15D6">
              <w:rPr>
                <w:rFonts w:asciiTheme="majorHAnsi" w:hAnsiTheme="majorHAnsi" w:cs="Arial"/>
                <w:sz w:val="20"/>
                <w:szCs w:val="20"/>
                <w:lang w:val="fr-CA"/>
              </w:rPr>
              <w:t xml:space="preserve"> de tâche, titre</w:t>
            </w:r>
          </w:p>
        </w:tc>
        <w:tc>
          <w:tcPr>
            <w:tcW w:w="276" w:type="pct"/>
            <w:shd w:val="clear" w:color="auto" w:fill="D9D9D9" w:themeFill="background1" w:themeFillShade="D9"/>
          </w:tcPr>
          <w:p w14:paraId="4CC3CA56" w14:textId="265F224E" w:rsidR="007A0789" w:rsidRPr="00AD15D6" w:rsidRDefault="00B50244" w:rsidP="00726B77">
            <w:pPr>
              <w:jc w:val="center"/>
              <w:rPr>
                <w:rFonts w:asciiTheme="majorHAnsi" w:hAnsiTheme="majorHAnsi" w:cs="Arial"/>
                <w:sz w:val="20"/>
                <w:szCs w:val="20"/>
                <w:lang w:val="fr-CA"/>
              </w:rPr>
            </w:pPr>
            <w:r w:rsidRPr="00AD15D6">
              <w:rPr>
                <w:rFonts w:asciiTheme="majorHAnsi" w:hAnsiTheme="majorHAnsi" w:cs="Arial"/>
                <w:sz w:val="20"/>
                <w:szCs w:val="20"/>
                <w:lang w:val="fr-CA"/>
              </w:rPr>
              <w:t>Priorité</w:t>
            </w:r>
          </w:p>
        </w:tc>
        <w:tc>
          <w:tcPr>
            <w:tcW w:w="355" w:type="pct"/>
            <w:shd w:val="clear" w:color="auto" w:fill="D9D9D9" w:themeFill="background1" w:themeFillShade="D9"/>
          </w:tcPr>
          <w:p w14:paraId="0E3631AB" w14:textId="4EE42AF2" w:rsidR="007A0789" w:rsidRPr="00AD15D6" w:rsidRDefault="00B50244" w:rsidP="00726B77">
            <w:pPr>
              <w:jc w:val="center"/>
              <w:rPr>
                <w:rFonts w:asciiTheme="majorHAnsi" w:hAnsiTheme="majorHAnsi" w:cs="Arial"/>
                <w:sz w:val="20"/>
                <w:szCs w:val="20"/>
                <w:lang w:val="fr-CA"/>
              </w:rPr>
            </w:pPr>
            <w:r w:rsidRPr="00AD15D6">
              <w:rPr>
                <w:rFonts w:asciiTheme="majorHAnsi" w:hAnsiTheme="majorHAnsi" w:cs="Arial"/>
                <w:sz w:val="20"/>
                <w:szCs w:val="20"/>
                <w:lang w:val="fr-CA"/>
              </w:rPr>
              <w:t>Résolution</w:t>
            </w:r>
          </w:p>
        </w:tc>
        <w:tc>
          <w:tcPr>
            <w:tcW w:w="398" w:type="pct"/>
            <w:shd w:val="clear" w:color="auto" w:fill="D9D9D9" w:themeFill="background1" w:themeFillShade="D9"/>
          </w:tcPr>
          <w:p w14:paraId="501C1A3A" w14:textId="02508B73" w:rsidR="007A0789" w:rsidRPr="00AD15D6" w:rsidRDefault="00B50244" w:rsidP="00726B77">
            <w:pPr>
              <w:jc w:val="center"/>
              <w:rPr>
                <w:rFonts w:asciiTheme="majorHAnsi" w:hAnsiTheme="majorHAnsi" w:cs="Arial"/>
                <w:sz w:val="20"/>
                <w:szCs w:val="20"/>
                <w:lang w:val="fr-CA"/>
              </w:rPr>
            </w:pPr>
            <w:r w:rsidRPr="00AD15D6">
              <w:rPr>
                <w:rFonts w:asciiTheme="majorHAnsi" w:eastAsia="Calibri" w:hAnsiTheme="majorHAnsi" w:cs="Arial"/>
                <w:sz w:val="20"/>
                <w:szCs w:val="20"/>
                <w:lang w:val="fr-CA"/>
              </w:rPr>
              <w:t>But et objectif PS</w:t>
            </w:r>
          </w:p>
        </w:tc>
        <w:tc>
          <w:tcPr>
            <w:tcW w:w="2951" w:type="pct"/>
            <w:shd w:val="clear" w:color="auto" w:fill="D9D9D9" w:themeFill="background1" w:themeFillShade="D9"/>
          </w:tcPr>
          <w:p w14:paraId="61270A3F" w14:textId="6B9FEE8A" w:rsidR="007A0789" w:rsidRPr="00AD15D6" w:rsidRDefault="00B50244" w:rsidP="00726B77">
            <w:pPr>
              <w:jc w:val="center"/>
              <w:rPr>
                <w:rFonts w:asciiTheme="majorHAnsi" w:hAnsiTheme="majorHAnsi" w:cs="Arial"/>
                <w:sz w:val="20"/>
                <w:szCs w:val="20"/>
                <w:lang w:val="fr-CA"/>
              </w:rPr>
            </w:pPr>
            <w:r w:rsidRPr="00AD15D6">
              <w:rPr>
                <w:rFonts w:asciiTheme="majorHAnsi" w:hAnsiTheme="majorHAnsi" w:cs="Arial"/>
                <w:sz w:val="20"/>
                <w:szCs w:val="20"/>
                <w:lang w:val="fr-CA"/>
              </w:rPr>
              <w:t>Description de tâche, public ciblé et résultats escomptés</w:t>
            </w:r>
          </w:p>
        </w:tc>
        <w:tc>
          <w:tcPr>
            <w:tcW w:w="491" w:type="pct"/>
            <w:shd w:val="clear" w:color="auto" w:fill="D9D9D9" w:themeFill="background1" w:themeFillShade="D9"/>
          </w:tcPr>
          <w:p w14:paraId="31C0F14C" w14:textId="5BA44B85" w:rsidR="007A0789" w:rsidRPr="00AD15D6" w:rsidRDefault="00B50244" w:rsidP="00726B77">
            <w:pPr>
              <w:jc w:val="center"/>
              <w:rPr>
                <w:rFonts w:asciiTheme="majorHAnsi" w:hAnsiTheme="majorHAnsi" w:cs="Arial"/>
                <w:sz w:val="20"/>
                <w:szCs w:val="20"/>
                <w:lang w:val="fr-CA"/>
              </w:rPr>
            </w:pPr>
            <w:r w:rsidRPr="00AD15D6">
              <w:rPr>
                <w:rFonts w:asciiTheme="majorHAnsi" w:hAnsiTheme="majorHAnsi" w:cs="Arial"/>
                <w:sz w:val="20"/>
                <w:szCs w:val="20"/>
                <w:lang w:val="fr-CA"/>
              </w:rPr>
              <w:t>Coûts</w:t>
            </w:r>
            <w:r w:rsidR="007A0789" w:rsidRPr="00AD15D6">
              <w:rPr>
                <w:rFonts w:asciiTheme="majorHAnsi" w:hAnsiTheme="majorHAnsi" w:cs="Arial"/>
                <w:sz w:val="20"/>
                <w:szCs w:val="20"/>
                <w:lang w:val="fr-CA"/>
              </w:rPr>
              <w:t xml:space="preserve"> CHF</w:t>
            </w:r>
          </w:p>
          <w:p w14:paraId="51F5C55A" w14:textId="7327AD0C" w:rsidR="007A0789" w:rsidRPr="00AD15D6" w:rsidRDefault="007A0789" w:rsidP="00744912">
            <w:pPr>
              <w:jc w:val="center"/>
              <w:rPr>
                <w:rFonts w:asciiTheme="majorHAnsi" w:hAnsiTheme="majorHAnsi" w:cs="Arial"/>
                <w:sz w:val="20"/>
                <w:szCs w:val="20"/>
                <w:lang w:val="fr-CA"/>
              </w:rPr>
            </w:pPr>
            <w:r w:rsidRPr="00AD15D6">
              <w:rPr>
                <w:rFonts w:asciiTheme="majorHAnsi" w:hAnsiTheme="majorHAnsi" w:cs="Arial"/>
                <w:sz w:val="20"/>
                <w:szCs w:val="20"/>
                <w:lang w:val="fr-CA"/>
              </w:rPr>
              <w:t>(indicati</w:t>
            </w:r>
            <w:r w:rsidR="00744912" w:rsidRPr="00AD15D6">
              <w:rPr>
                <w:rFonts w:asciiTheme="majorHAnsi" w:hAnsiTheme="majorHAnsi" w:cs="Arial"/>
                <w:sz w:val="20"/>
                <w:szCs w:val="20"/>
                <w:lang w:val="fr-CA"/>
              </w:rPr>
              <w:t>f</w:t>
            </w:r>
            <w:r w:rsidRPr="00AD15D6">
              <w:rPr>
                <w:rFonts w:asciiTheme="majorHAnsi" w:hAnsiTheme="majorHAnsi" w:cs="Arial"/>
                <w:sz w:val="20"/>
                <w:szCs w:val="20"/>
                <w:lang w:val="fr-CA"/>
              </w:rPr>
              <w:t>)</w:t>
            </w:r>
          </w:p>
        </w:tc>
      </w:tr>
      <w:tr w:rsidR="00F52F75" w:rsidRPr="00833360" w14:paraId="520B7C16" w14:textId="77777777" w:rsidTr="00F02C6F">
        <w:tc>
          <w:tcPr>
            <w:tcW w:w="529" w:type="pct"/>
          </w:tcPr>
          <w:p w14:paraId="2A736BEF" w14:textId="68E6DFDA" w:rsidR="00914A1A" w:rsidRPr="00AD15D6" w:rsidRDefault="00914A1A" w:rsidP="00744912">
            <w:pPr>
              <w:rPr>
                <w:rFonts w:asciiTheme="majorHAnsi" w:hAnsiTheme="majorHAnsi" w:cs="Arial"/>
                <w:b w:val="0"/>
                <w:sz w:val="20"/>
                <w:szCs w:val="20"/>
                <w:lang w:val="fr-CA"/>
              </w:rPr>
            </w:pPr>
            <w:r w:rsidRPr="00AD15D6">
              <w:rPr>
                <w:rFonts w:asciiTheme="majorHAnsi" w:hAnsiTheme="majorHAnsi" w:cs="Arial"/>
                <w:b w:val="0"/>
                <w:sz w:val="20"/>
                <w:szCs w:val="20"/>
                <w:lang w:val="fr-CA"/>
              </w:rPr>
              <w:t>2.1</w:t>
            </w:r>
            <w:r w:rsidR="00E01336" w:rsidRPr="00AD15D6">
              <w:rPr>
                <w:rFonts w:asciiTheme="majorHAnsi" w:hAnsiTheme="majorHAnsi" w:cs="Arial"/>
                <w:b w:val="0"/>
                <w:sz w:val="20"/>
                <w:szCs w:val="20"/>
                <w:lang w:val="fr-CA"/>
              </w:rPr>
              <w:t xml:space="preserve"> </w:t>
            </w:r>
            <w:r w:rsidR="00744912" w:rsidRPr="00AD15D6">
              <w:rPr>
                <w:rFonts w:asciiTheme="majorHAnsi" w:hAnsiTheme="majorHAnsi" w:cs="Arial"/>
                <w:b w:val="0"/>
                <w:sz w:val="20"/>
                <w:szCs w:val="20"/>
                <w:lang w:val="fr-CA"/>
              </w:rPr>
              <w:t xml:space="preserve">Outil de gestion des Sites Ramsar </w:t>
            </w:r>
          </w:p>
        </w:tc>
        <w:tc>
          <w:tcPr>
            <w:tcW w:w="276" w:type="pct"/>
          </w:tcPr>
          <w:p w14:paraId="29006C98" w14:textId="09746C0E" w:rsidR="00914A1A" w:rsidRPr="00AD15D6" w:rsidRDefault="008E6B37" w:rsidP="00914A1A">
            <w:pPr>
              <w:rPr>
                <w:rFonts w:asciiTheme="majorHAnsi" w:hAnsiTheme="majorHAnsi" w:cs="Arial"/>
                <w:b w:val="0"/>
                <w:sz w:val="20"/>
                <w:szCs w:val="20"/>
                <w:lang w:val="fr-CA"/>
              </w:rPr>
            </w:pPr>
            <w:r>
              <w:rPr>
                <w:rFonts w:asciiTheme="majorHAnsi" w:hAnsiTheme="majorHAnsi" w:cs="Arial"/>
                <w:b w:val="0"/>
                <w:sz w:val="20"/>
                <w:szCs w:val="20"/>
                <w:lang w:val="fr-CA"/>
              </w:rPr>
              <w:t>Très haute</w:t>
            </w:r>
          </w:p>
        </w:tc>
        <w:tc>
          <w:tcPr>
            <w:tcW w:w="355" w:type="pct"/>
          </w:tcPr>
          <w:p w14:paraId="17FD4710" w14:textId="77777777" w:rsidR="00817246" w:rsidRPr="00AD15D6" w:rsidRDefault="00817246" w:rsidP="00914A1A">
            <w:pPr>
              <w:rPr>
                <w:rFonts w:asciiTheme="majorHAnsi" w:hAnsiTheme="majorHAnsi" w:cs="Arial"/>
                <w:b w:val="0"/>
                <w:sz w:val="20"/>
                <w:szCs w:val="20"/>
                <w:lang w:val="fr-CA"/>
              </w:rPr>
            </w:pPr>
            <w:r w:rsidRPr="00AD15D6">
              <w:rPr>
                <w:rFonts w:asciiTheme="majorHAnsi" w:hAnsiTheme="majorHAnsi" w:cs="Arial"/>
                <w:b w:val="0"/>
                <w:sz w:val="20"/>
                <w:szCs w:val="20"/>
                <w:lang w:val="fr-CA"/>
              </w:rPr>
              <w:t>XII.11, ¶28</w:t>
            </w:r>
          </w:p>
          <w:p w14:paraId="1052C29C" w14:textId="6A9BF166" w:rsidR="00914A1A" w:rsidRPr="00AD15D6" w:rsidRDefault="00914A1A" w:rsidP="00914A1A">
            <w:pPr>
              <w:rPr>
                <w:rFonts w:asciiTheme="majorHAnsi" w:hAnsiTheme="majorHAnsi" w:cs="Arial"/>
                <w:b w:val="0"/>
                <w:sz w:val="20"/>
                <w:szCs w:val="20"/>
                <w:lang w:val="fr-CA"/>
              </w:rPr>
            </w:pPr>
            <w:r w:rsidRPr="00AD15D6">
              <w:rPr>
                <w:rFonts w:asciiTheme="majorHAnsi" w:hAnsiTheme="majorHAnsi" w:cs="Arial"/>
                <w:b w:val="0"/>
                <w:sz w:val="20"/>
                <w:szCs w:val="20"/>
                <w:lang w:val="fr-CA"/>
              </w:rPr>
              <w:t>XII.13;</w:t>
            </w:r>
            <w:r w:rsidR="00E01336" w:rsidRPr="00AD15D6">
              <w:rPr>
                <w:rFonts w:asciiTheme="majorHAnsi" w:hAnsiTheme="majorHAnsi" w:cs="Arial"/>
                <w:b w:val="0"/>
                <w:sz w:val="20"/>
                <w:szCs w:val="20"/>
                <w:lang w:val="fr-CA"/>
              </w:rPr>
              <w:t xml:space="preserve"> </w:t>
            </w:r>
            <w:r w:rsidRPr="00AD15D6">
              <w:rPr>
                <w:rFonts w:asciiTheme="majorHAnsi" w:hAnsiTheme="majorHAnsi" w:cs="Arial"/>
                <w:b w:val="0"/>
                <w:sz w:val="20"/>
                <w:szCs w:val="20"/>
                <w:lang w:val="fr-CA"/>
              </w:rPr>
              <w:t>¶27</w:t>
            </w:r>
            <w:r w:rsidR="00E01336" w:rsidRPr="00AD15D6">
              <w:rPr>
                <w:rFonts w:asciiTheme="majorHAnsi" w:hAnsiTheme="majorHAnsi" w:cs="Arial"/>
                <w:b w:val="0"/>
                <w:sz w:val="20"/>
                <w:szCs w:val="20"/>
                <w:lang w:val="fr-CA"/>
              </w:rPr>
              <w:t xml:space="preserve"> </w:t>
            </w:r>
          </w:p>
          <w:p w14:paraId="5200A7C6" w14:textId="17BB5488" w:rsidR="00914A1A" w:rsidRPr="00AD15D6" w:rsidRDefault="00914A1A" w:rsidP="00817246">
            <w:pPr>
              <w:rPr>
                <w:rFonts w:asciiTheme="majorHAnsi" w:hAnsiTheme="majorHAnsi" w:cs="Arial"/>
                <w:b w:val="0"/>
                <w:sz w:val="20"/>
                <w:szCs w:val="20"/>
                <w:lang w:val="fr-CA"/>
              </w:rPr>
            </w:pPr>
            <w:r w:rsidRPr="00AD15D6">
              <w:rPr>
                <w:rFonts w:asciiTheme="majorHAnsi" w:hAnsiTheme="majorHAnsi" w:cs="Arial"/>
                <w:b w:val="0"/>
                <w:sz w:val="20"/>
                <w:szCs w:val="20"/>
                <w:lang w:val="fr-CA"/>
              </w:rPr>
              <w:t>XII.13;</w:t>
            </w:r>
            <w:r w:rsidR="00E01336" w:rsidRPr="00AD15D6">
              <w:rPr>
                <w:rFonts w:asciiTheme="majorHAnsi" w:hAnsiTheme="majorHAnsi" w:cs="Arial"/>
                <w:b w:val="0"/>
                <w:sz w:val="20"/>
                <w:szCs w:val="20"/>
                <w:lang w:val="fr-CA"/>
              </w:rPr>
              <w:t xml:space="preserve"> </w:t>
            </w:r>
            <w:r w:rsidRPr="00AD15D6">
              <w:rPr>
                <w:rFonts w:asciiTheme="majorHAnsi" w:hAnsiTheme="majorHAnsi" w:cs="Arial"/>
                <w:b w:val="0"/>
                <w:sz w:val="20"/>
                <w:szCs w:val="20"/>
                <w:lang w:val="fr-CA"/>
              </w:rPr>
              <w:t>¶</w:t>
            </w:r>
            <w:r w:rsidR="00817246" w:rsidRPr="00AD15D6">
              <w:rPr>
                <w:rFonts w:asciiTheme="majorHAnsi" w:hAnsiTheme="majorHAnsi" w:cs="Arial"/>
                <w:b w:val="0"/>
                <w:sz w:val="20"/>
                <w:szCs w:val="20"/>
                <w:lang w:val="fr-CA"/>
              </w:rPr>
              <w:t>28</w:t>
            </w:r>
            <w:r w:rsidR="00E01336" w:rsidRPr="00AD15D6">
              <w:rPr>
                <w:rFonts w:asciiTheme="majorHAnsi" w:hAnsiTheme="majorHAnsi" w:cs="Arial"/>
                <w:b w:val="0"/>
                <w:sz w:val="20"/>
                <w:szCs w:val="20"/>
                <w:lang w:val="fr-CA"/>
              </w:rPr>
              <w:t xml:space="preserve"> </w:t>
            </w:r>
          </w:p>
        </w:tc>
        <w:tc>
          <w:tcPr>
            <w:tcW w:w="398" w:type="pct"/>
          </w:tcPr>
          <w:p w14:paraId="7E312D3E" w14:textId="5AB979F3" w:rsidR="00914A1A" w:rsidRPr="00AD15D6" w:rsidRDefault="00914A1A" w:rsidP="00AD15D6">
            <w:pPr>
              <w:rPr>
                <w:rFonts w:asciiTheme="majorHAnsi" w:hAnsiTheme="majorHAnsi" w:cs="Arial"/>
                <w:b w:val="0"/>
                <w:sz w:val="20"/>
                <w:szCs w:val="20"/>
                <w:lang w:val="fr-CA"/>
              </w:rPr>
            </w:pPr>
            <w:r w:rsidRPr="00AD15D6">
              <w:rPr>
                <w:rFonts w:asciiTheme="majorHAnsi" w:hAnsiTheme="majorHAnsi" w:cs="Arial"/>
                <w:b w:val="0"/>
                <w:sz w:val="20"/>
                <w:szCs w:val="20"/>
                <w:lang w:val="fr-CA"/>
              </w:rPr>
              <w:t>3.8,</w:t>
            </w:r>
            <w:r w:rsidR="00E01336" w:rsidRPr="00AD15D6">
              <w:rPr>
                <w:rFonts w:asciiTheme="majorHAnsi" w:hAnsiTheme="majorHAnsi" w:cs="Arial"/>
                <w:b w:val="0"/>
                <w:sz w:val="20"/>
                <w:szCs w:val="20"/>
                <w:lang w:val="fr-CA"/>
              </w:rPr>
              <w:t xml:space="preserve"> </w:t>
            </w:r>
            <w:r w:rsidR="00817246" w:rsidRPr="00AD15D6">
              <w:rPr>
                <w:rFonts w:asciiTheme="majorHAnsi" w:hAnsiTheme="majorHAnsi" w:cs="Arial"/>
                <w:b w:val="0"/>
                <w:sz w:val="20"/>
                <w:szCs w:val="20"/>
                <w:lang w:val="fr-CA"/>
              </w:rPr>
              <w:t xml:space="preserve">3.9, 3.10, </w:t>
            </w:r>
            <w:r w:rsidRPr="00AD15D6">
              <w:rPr>
                <w:rFonts w:asciiTheme="majorHAnsi" w:hAnsiTheme="majorHAnsi" w:cs="Arial"/>
                <w:b w:val="0"/>
                <w:sz w:val="20"/>
                <w:szCs w:val="20"/>
                <w:lang w:val="fr-CA"/>
              </w:rPr>
              <w:t>3.11,</w:t>
            </w:r>
            <w:r w:rsidR="00E01336" w:rsidRPr="00AD15D6">
              <w:rPr>
                <w:rFonts w:asciiTheme="majorHAnsi" w:hAnsiTheme="majorHAnsi" w:cs="Arial"/>
                <w:b w:val="0"/>
                <w:sz w:val="20"/>
                <w:szCs w:val="20"/>
                <w:lang w:val="fr-CA"/>
              </w:rPr>
              <w:t xml:space="preserve"> </w:t>
            </w:r>
            <w:r w:rsidR="00817246" w:rsidRPr="00AD15D6">
              <w:rPr>
                <w:rFonts w:asciiTheme="majorHAnsi" w:hAnsiTheme="majorHAnsi" w:cs="Arial"/>
                <w:b w:val="0"/>
                <w:sz w:val="20"/>
                <w:szCs w:val="20"/>
                <w:lang w:val="fr-CA"/>
              </w:rPr>
              <w:t xml:space="preserve">3.12; </w:t>
            </w:r>
            <w:r w:rsidRPr="00AD15D6">
              <w:rPr>
                <w:rFonts w:asciiTheme="majorHAnsi" w:hAnsiTheme="majorHAnsi" w:cs="Arial"/>
                <w:b w:val="0"/>
                <w:sz w:val="20"/>
                <w:szCs w:val="20"/>
                <w:lang w:val="fr-CA"/>
              </w:rPr>
              <w:t>4.1</w:t>
            </w:r>
            <w:r w:rsidR="00817246" w:rsidRPr="00AD15D6">
              <w:rPr>
                <w:rFonts w:asciiTheme="majorHAnsi" w:hAnsiTheme="majorHAnsi" w:cs="Arial"/>
                <w:b w:val="0"/>
                <w:sz w:val="20"/>
                <w:szCs w:val="20"/>
                <w:lang w:val="fr-CA"/>
              </w:rPr>
              <w:t>4</w:t>
            </w:r>
          </w:p>
        </w:tc>
        <w:tc>
          <w:tcPr>
            <w:tcW w:w="2951" w:type="pct"/>
          </w:tcPr>
          <w:p w14:paraId="3FA1AD51" w14:textId="2401EFC9" w:rsidR="00914A1A" w:rsidRPr="00AD15D6" w:rsidRDefault="00744912" w:rsidP="00914A1A">
            <w:pPr>
              <w:rPr>
                <w:rFonts w:asciiTheme="majorHAnsi" w:eastAsiaTheme="minorHAnsi" w:hAnsiTheme="majorHAnsi" w:cs="Arial"/>
                <w:b w:val="0"/>
                <w:sz w:val="20"/>
                <w:szCs w:val="20"/>
                <w:lang w:val="fr-CA" w:eastAsia="en-US"/>
              </w:rPr>
            </w:pPr>
            <w:r w:rsidRPr="00AD15D6">
              <w:rPr>
                <w:rFonts w:asciiTheme="majorHAnsi" w:hAnsiTheme="majorHAnsi" w:cs="Arial"/>
                <w:b w:val="0"/>
                <w:sz w:val="20"/>
                <w:szCs w:val="20"/>
                <w:u w:val="single"/>
                <w:lang w:val="fr-CA"/>
              </w:rPr>
              <w:t>Description de tâche</w:t>
            </w:r>
            <w:r w:rsidRPr="00AD15D6">
              <w:rPr>
                <w:rFonts w:asciiTheme="majorHAnsi" w:hAnsiTheme="majorHAnsi" w:cs="Arial"/>
                <w:b w:val="0"/>
                <w:sz w:val="20"/>
                <w:szCs w:val="20"/>
                <w:lang w:val="fr-CA"/>
              </w:rPr>
              <w:t> :</w:t>
            </w:r>
            <w:r w:rsidR="00817246" w:rsidRPr="00AD15D6">
              <w:rPr>
                <w:rFonts w:asciiTheme="majorHAnsi" w:hAnsiTheme="majorHAnsi" w:cs="Arial"/>
                <w:b w:val="0"/>
                <w:sz w:val="20"/>
                <w:szCs w:val="20"/>
                <w:lang w:val="fr-CA"/>
              </w:rPr>
              <w:t xml:space="preserve"> </w:t>
            </w:r>
            <w:r w:rsidR="00F02C6F" w:rsidRPr="00AD15D6">
              <w:rPr>
                <w:rFonts w:asciiTheme="majorHAnsi" w:eastAsiaTheme="minorHAnsi" w:hAnsiTheme="majorHAnsi" w:cs="Arial"/>
                <w:b w:val="0"/>
                <w:sz w:val="20"/>
                <w:szCs w:val="20"/>
                <w:lang w:val="fr-CA" w:eastAsia="en-US"/>
              </w:rPr>
              <w:t xml:space="preserve">Compilation </w:t>
            </w:r>
            <w:r w:rsidR="00AD15D6">
              <w:rPr>
                <w:rFonts w:asciiTheme="majorHAnsi" w:eastAsiaTheme="minorHAnsi" w:hAnsiTheme="majorHAnsi" w:cs="Arial"/>
                <w:b w:val="0"/>
                <w:sz w:val="20"/>
                <w:szCs w:val="20"/>
                <w:lang w:val="fr-CA" w:eastAsia="en-US"/>
              </w:rPr>
              <w:t>d’un « Outil de gestion des Sites Ramsar » en ligne, se composant d’une page dédiée sur le site web de Ramsar avec la traduction appropriée dans les langues de Ramsar.</w:t>
            </w:r>
          </w:p>
          <w:p w14:paraId="3882D7C4" w14:textId="77777777" w:rsidR="00914A1A" w:rsidRPr="00AD15D6" w:rsidRDefault="00914A1A" w:rsidP="00914A1A">
            <w:pPr>
              <w:rPr>
                <w:rFonts w:asciiTheme="majorHAnsi" w:eastAsiaTheme="minorHAnsi" w:hAnsiTheme="majorHAnsi" w:cs="Arial"/>
                <w:b w:val="0"/>
                <w:sz w:val="20"/>
                <w:szCs w:val="20"/>
                <w:lang w:val="fr-CA" w:eastAsia="en-US"/>
              </w:rPr>
            </w:pPr>
          </w:p>
          <w:p w14:paraId="0E9C3DCB" w14:textId="0837EAAA" w:rsidR="00914A1A" w:rsidRPr="00AD15D6" w:rsidRDefault="00744912" w:rsidP="00914A1A">
            <w:pPr>
              <w:rPr>
                <w:rFonts w:asciiTheme="majorHAnsi" w:eastAsiaTheme="minorHAnsi" w:hAnsiTheme="majorHAnsi" w:cs="Arial"/>
                <w:b w:val="0"/>
                <w:sz w:val="20"/>
                <w:szCs w:val="20"/>
                <w:lang w:val="fr-CA" w:eastAsia="en-US"/>
              </w:rPr>
            </w:pPr>
            <w:r w:rsidRPr="00AD15D6">
              <w:rPr>
                <w:rFonts w:asciiTheme="majorHAnsi" w:hAnsiTheme="majorHAnsi" w:cs="Arial"/>
                <w:b w:val="0"/>
                <w:sz w:val="20"/>
                <w:szCs w:val="20"/>
                <w:u w:val="single"/>
                <w:lang w:val="fr-CA"/>
              </w:rPr>
              <w:t>Résultat(s) escompté(s)</w:t>
            </w:r>
            <w:r w:rsidRPr="00AD15D6">
              <w:rPr>
                <w:rFonts w:asciiTheme="majorHAnsi" w:hAnsiTheme="majorHAnsi" w:cs="Arial"/>
                <w:b w:val="0"/>
                <w:sz w:val="20"/>
                <w:szCs w:val="20"/>
                <w:lang w:val="fr-CA"/>
              </w:rPr>
              <w:t xml:space="preserve"> : </w:t>
            </w:r>
            <w:r w:rsidR="00B32124" w:rsidRPr="00AD15D6">
              <w:rPr>
                <w:rFonts w:asciiTheme="majorHAnsi" w:hAnsiTheme="majorHAnsi" w:cs="Arial"/>
                <w:b w:val="0"/>
                <w:sz w:val="20"/>
                <w:szCs w:val="20"/>
                <w:lang w:val="fr-CA"/>
              </w:rPr>
              <w:t>P</w:t>
            </w:r>
            <w:r w:rsidRPr="00AD15D6">
              <w:rPr>
                <w:rFonts w:asciiTheme="majorHAnsi" w:hAnsiTheme="majorHAnsi" w:cs="Arial"/>
                <w:b w:val="0"/>
                <w:sz w:val="20"/>
                <w:szCs w:val="20"/>
                <w:lang w:val="fr-CA"/>
              </w:rPr>
              <w:t>age web</w:t>
            </w:r>
            <w:r w:rsidR="00E01336" w:rsidRPr="00AD15D6">
              <w:rPr>
                <w:rFonts w:asciiTheme="majorHAnsi" w:hAnsiTheme="majorHAnsi" w:cs="Arial"/>
                <w:b w:val="0"/>
                <w:sz w:val="20"/>
                <w:szCs w:val="20"/>
                <w:lang w:val="fr-CA"/>
              </w:rPr>
              <w:t xml:space="preserve"> </w:t>
            </w:r>
            <w:r w:rsidRPr="00AD15D6">
              <w:rPr>
                <w:rFonts w:asciiTheme="majorHAnsi" w:hAnsiTheme="majorHAnsi" w:cs="Arial"/>
                <w:b w:val="0"/>
                <w:sz w:val="20"/>
                <w:szCs w:val="20"/>
                <w:lang w:val="fr-CA"/>
              </w:rPr>
              <w:t xml:space="preserve">qui contiendrait les orientations existantes et les produits </w:t>
            </w:r>
            <w:r w:rsidR="0020217E" w:rsidRPr="00AD15D6">
              <w:rPr>
                <w:rFonts w:asciiTheme="majorHAnsi" w:hAnsiTheme="majorHAnsi" w:cs="Arial"/>
                <w:b w:val="0"/>
                <w:sz w:val="20"/>
                <w:szCs w:val="20"/>
                <w:lang w:val="fr-CA"/>
              </w:rPr>
              <w:t xml:space="preserve">du GEST </w:t>
            </w:r>
            <w:r w:rsidRPr="00AD15D6">
              <w:rPr>
                <w:rFonts w:asciiTheme="majorHAnsi" w:hAnsiTheme="majorHAnsi" w:cs="Arial"/>
                <w:b w:val="0"/>
                <w:sz w:val="20"/>
                <w:szCs w:val="20"/>
                <w:lang w:val="fr-CA"/>
              </w:rPr>
              <w:t>sur la gestion de site</w:t>
            </w:r>
            <w:r w:rsidR="004565C0" w:rsidRPr="00AD15D6">
              <w:rPr>
                <w:rFonts w:asciiTheme="majorHAnsi" w:hAnsiTheme="majorHAnsi" w:cs="Arial"/>
                <w:b w:val="0"/>
                <w:sz w:val="20"/>
                <w:szCs w:val="20"/>
                <w:lang w:val="fr-CA"/>
              </w:rPr>
              <w:t>s</w:t>
            </w:r>
            <w:r w:rsidRPr="00AD15D6">
              <w:rPr>
                <w:rFonts w:asciiTheme="majorHAnsi" w:hAnsiTheme="majorHAnsi" w:cs="Arial"/>
                <w:b w:val="0"/>
                <w:sz w:val="20"/>
                <w:szCs w:val="20"/>
                <w:lang w:val="fr-CA"/>
              </w:rPr>
              <w:t xml:space="preserve">, y compris les bonnes pratiques </w:t>
            </w:r>
            <w:r w:rsidR="00817246" w:rsidRPr="00AD15D6">
              <w:rPr>
                <w:rFonts w:asciiTheme="majorHAnsi" w:hAnsiTheme="majorHAnsi" w:cs="Arial"/>
                <w:b w:val="0"/>
                <w:sz w:val="20"/>
                <w:szCs w:val="20"/>
                <w:lang w:val="fr-CA"/>
              </w:rPr>
              <w:t xml:space="preserve">et des études de cas </w:t>
            </w:r>
            <w:r w:rsidRPr="00AD15D6">
              <w:rPr>
                <w:rFonts w:asciiTheme="majorHAnsi" w:hAnsiTheme="majorHAnsi" w:cs="Arial"/>
                <w:b w:val="0"/>
                <w:sz w:val="20"/>
                <w:szCs w:val="20"/>
                <w:lang w:val="fr-CA"/>
              </w:rPr>
              <w:t xml:space="preserve">sur la restauration des </w:t>
            </w:r>
            <w:r w:rsidR="00817246" w:rsidRPr="00AD15D6">
              <w:rPr>
                <w:rFonts w:asciiTheme="majorHAnsi" w:hAnsiTheme="majorHAnsi" w:cs="Arial"/>
                <w:b w:val="0"/>
                <w:sz w:val="20"/>
                <w:szCs w:val="20"/>
                <w:lang w:val="fr-CA"/>
              </w:rPr>
              <w:t>zones humides et le savoir traditionnel et local des peuples autochtones et des communautés locales</w:t>
            </w:r>
            <w:r w:rsidRPr="00AD15D6">
              <w:rPr>
                <w:rFonts w:asciiTheme="majorHAnsi" w:hAnsiTheme="majorHAnsi" w:cs="Arial"/>
                <w:b w:val="0"/>
                <w:sz w:val="20"/>
                <w:szCs w:val="20"/>
                <w:lang w:val="fr-CA"/>
              </w:rPr>
              <w:t xml:space="preserve"> à compiler par le Secrétariat, ainsi qu’une liste des initiatives </w:t>
            </w:r>
            <w:r w:rsidR="00817246" w:rsidRPr="00AD15D6">
              <w:rPr>
                <w:rFonts w:asciiTheme="majorHAnsi" w:hAnsiTheme="majorHAnsi" w:cs="Arial"/>
                <w:b w:val="0"/>
                <w:sz w:val="20"/>
                <w:szCs w:val="20"/>
                <w:lang w:val="fr-CA"/>
              </w:rPr>
              <w:t xml:space="preserve">internationales et/ou </w:t>
            </w:r>
            <w:r w:rsidRPr="00AD15D6">
              <w:rPr>
                <w:rFonts w:asciiTheme="majorHAnsi" w:hAnsiTheme="majorHAnsi" w:cs="Arial"/>
                <w:b w:val="0"/>
                <w:sz w:val="20"/>
                <w:szCs w:val="20"/>
                <w:lang w:val="fr-CA"/>
              </w:rPr>
              <w:t>régionales</w:t>
            </w:r>
            <w:r w:rsidR="00817246" w:rsidRPr="00AD15D6">
              <w:rPr>
                <w:rFonts w:asciiTheme="majorHAnsi" w:hAnsiTheme="majorHAnsi" w:cs="Arial"/>
                <w:b w:val="0"/>
                <w:sz w:val="20"/>
                <w:szCs w:val="20"/>
                <w:lang w:val="fr-CA"/>
              </w:rPr>
              <w:t>,</w:t>
            </w:r>
            <w:r w:rsidRPr="00AD15D6">
              <w:rPr>
                <w:rFonts w:asciiTheme="majorHAnsi" w:hAnsiTheme="majorHAnsi" w:cs="Arial"/>
                <w:b w:val="0"/>
                <w:sz w:val="20"/>
                <w:szCs w:val="20"/>
                <w:lang w:val="fr-CA"/>
              </w:rPr>
              <w:t xml:space="preserve"> </w:t>
            </w:r>
            <w:r w:rsidR="00817246" w:rsidRPr="00AD15D6">
              <w:rPr>
                <w:rFonts w:asciiTheme="majorHAnsi" w:hAnsiTheme="majorHAnsi" w:cs="Arial"/>
                <w:b w:val="0"/>
                <w:sz w:val="20"/>
                <w:szCs w:val="20"/>
                <w:lang w:val="fr-CA"/>
              </w:rPr>
              <w:t xml:space="preserve">des </w:t>
            </w:r>
            <w:r w:rsidRPr="00AD15D6">
              <w:rPr>
                <w:rFonts w:asciiTheme="majorHAnsi" w:hAnsiTheme="majorHAnsi" w:cs="Arial"/>
                <w:b w:val="0"/>
                <w:sz w:val="20"/>
                <w:szCs w:val="20"/>
                <w:lang w:val="fr-CA"/>
              </w:rPr>
              <w:t xml:space="preserve">ressources de renforcement des capacités et des sources de référence pertinentes. Le site serait mis à jour et tenu de manière régulière par le Secrétariat. Le GEST fournirait le matériel </w:t>
            </w:r>
            <w:r w:rsidR="00817246" w:rsidRPr="00AD15D6">
              <w:rPr>
                <w:rFonts w:asciiTheme="majorHAnsi" w:hAnsiTheme="majorHAnsi" w:cs="Arial"/>
                <w:b w:val="0"/>
                <w:sz w:val="20"/>
                <w:szCs w:val="20"/>
                <w:lang w:val="fr-CA"/>
              </w:rPr>
              <w:t xml:space="preserve">et les orientations techniques </w:t>
            </w:r>
            <w:r w:rsidRPr="00AD15D6">
              <w:rPr>
                <w:rFonts w:asciiTheme="majorHAnsi" w:hAnsiTheme="majorHAnsi" w:cs="Arial"/>
                <w:b w:val="0"/>
                <w:sz w:val="20"/>
                <w:szCs w:val="20"/>
                <w:lang w:val="fr-CA"/>
              </w:rPr>
              <w:t>pertinent</w:t>
            </w:r>
            <w:r w:rsidR="003552EC">
              <w:rPr>
                <w:rFonts w:asciiTheme="majorHAnsi" w:hAnsiTheme="majorHAnsi" w:cs="Arial"/>
                <w:b w:val="0"/>
                <w:sz w:val="20"/>
                <w:szCs w:val="20"/>
                <w:lang w:val="fr-CA"/>
              </w:rPr>
              <w:t>s</w:t>
            </w:r>
            <w:r w:rsidRPr="00AD15D6">
              <w:rPr>
                <w:rFonts w:asciiTheme="majorHAnsi" w:hAnsiTheme="majorHAnsi" w:cs="Arial"/>
                <w:b w:val="0"/>
                <w:sz w:val="20"/>
                <w:szCs w:val="20"/>
                <w:lang w:val="fr-CA"/>
              </w:rPr>
              <w:t xml:space="preserve"> avec des annotations</w:t>
            </w:r>
            <w:r w:rsidR="00817246" w:rsidRPr="00AD15D6">
              <w:rPr>
                <w:rFonts w:asciiTheme="majorHAnsi" w:hAnsiTheme="majorHAnsi" w:cs="Arial"/>
                <w:b w:val="0"/>
                <w:sz w:val="20"/>
                <w:szCs w:val="20"/>
                <w:lang w:val="fr-CA"/>
              </w:rPr>
              <w:t>,</w:t>
            </w:r>
            <w:r w:rsidRPr="00AD15D6">
              <w:rPr>
                <w:rFonts w:asciiTheme="majorHAnsi" w:hAnsiTheme="majorHAnsi" w:cs="Arial"/>
                <w:b w:val="0"/>
                <w:sz w:val="20"/>
                <w:szCs w:val="20"/>
                <w:lang w:val="fr-CA"/>
              </w:rPr>
              <w:t xml:space="preserve"> à inclure dans </w:t>
            </w:r>
            <w:r w:rsidR="004565C0" w:rsidRPr="00AD15D6">
              <w:rPr>
                <w:rFonts w:asciiTheme="majorHAnsi" w:hAnsiTheme="majorHAnsi" w:cs="Arial"/>
                <w:b w:val="0"/>
                <w:sz w:val="20"/>
                <w:szCs w:val="20"/>
                <w:lang w:val="fr-CA"/>
              </w:rPr>
              <w:t>la panoplie</w:t>
            </w:r>
            <w:r w:rsidRPr="00AD15D6">
              <w:rPr>
                <w:rFonts w:asciiTheme="majorHAnsi" w:hAnsiTheme="majorHAnsi" w:cs="Arial"/>
                <w:b w:val="0"/>
                <w:sz w:val="20"/>
                <w:szCs w:val="20"/>
                <w:lang w:val="fr-CA"/>
              </w:rPr>
              <w:t xml:space="preserve"> d’outils. </w:t>
            </w:r>
          </w:p>
          <w:p w14:paraId="1AFB4215" w14:textId="77777777" w:rsidR="00914A1A" w:rsidRPr="00AD15D6" w:rsidRDefault="00914A1A" w:rsidP="00914A1A">
            <w:pPr>
              <w:rPr>
                <w:rFonts w:asciiTheme="majorHAnsi" w:hAnsiTheme="majorHAnsi" w:cs="Arial"/>
                <w:b w:val="0"/>
                <w:sz w:val="20"/>
                <w:szCs w:val="20"/>
                <w:lang w:val="fr-CA"/>
              </w:rPr>
            </w:pPr>
          </w:p>
          <w:p w14:paraId="3422CEFC" w14:textId="0E469263" w:rsidR="00914A1A" w:rsidRPr="00AD15D6" w:rsidRDefault="00744912" w:rsidP="00817246">
            <w:pPr>
              <w:rPr>
                <w:rFonts w:asciiTheme="majorHAnsi" w:hAnsiTheme="majorHAnsi" w:cs="Arial"/>
                <w:b w:val="0"/>
                <w:sz w:val="20"/>
                <w:szCs w:val="20"/>
                <w:lang w:val="fr-CA"/>
              </w:rPr>
            </w:pPr>
            <w:r w:rsidRPr="00AD15D6">
              <w:rPr>
                <w:rFonts w:asciiTheme="majorHAnsi" w:hAnsiTheme="majorHAnsi" w:cs="Arial"/>
                <w:b w:val="0"/>
                <w:sz w:val="20"/>
                <w:szCs w:val="20"/>
                <w:u w:val="single"/>
                <w:lang w:val="fr-CA"/>
              </w:rPr>
              <w:t>Public(s) ciblé(s)</w:t>
            </w:r>
            <w:r w:rsidRPr="00AD15D6">
              <w:rPr>
                <w:rFonts w:asciiTheme="majorHAnsi" w:hAnsiTheme="majorHAnsi" w:cs="Arial"/>
                <w:b w:val="0"/>
                <w:sz w:val="20"/>
                <w:szCs w:val="20"/>
                <w:lang w:val="fr-CA"/>
              </w:rPr>
              <w:t xml:space="preserve"> : </w:t>
            </w:r>
            <w:r w:rsidR="00B32124" w:rsidRPr="00AD15D6">
              <w:rPr>
                <w:rFonts w:asciiTheme="majorHAnsi" w:hAnsiTheme="majorHAnsi" w:cs="Arial"/>
                <w:b w:val="0"/>
                <w:sz w:val="20"/>
                <w:szCs w:val="20"/>
                <w:lang w:val="fr-CA"/>
              </w:rPr>
              <w:t>P</w:t>
            </w:r>
            <w:r w:rsidRPr="00AD15D6">
              <w:rPr>
                <w:rFonts w:asciiTheme="majorHAnsi" w:hAnsiTheme="majorHAnsi" w:cs="Arial"/>
                <w:b w:val="0"/>
                <w:sz w:val="20"/>
                <w:szCs w:val="20"/>
                <w:lang w:val="fr-CA"/>
              </w:rPr>
              <w:t xml:space="preserve">raticiens (administrateurs de </w:t>
            </w:r>
            <w:r w:rsidR="00817246" w:rsidRPr="00AD15D6">
              <w:rPr>
                <w:rFonts w:asciiTheme="majorHAnsi" w:hAnsiTheme="majorHAnsi" w:cs="Arial"/>
                <w:b w:val="0"/>
                <w:sz w:val="20"/>
                <w:szCs w:val="20"/>
                <w:lang w:val="fr-CA"/>
              </w:rPr>
              <w:t>Si</w:t>
            </w:r>
            <w:r w:rsidRPr="00AD15D6">
              <w:rPr>
                <w:rFonts w:asciiTheme="majorHAnsi" w:hAnsiTheme="majorHAnsi" w:cs="Arial"/>
                <w:b w:val="0"/>
                <w:sz w:val="20"/>
                <w:szCs w:val="20"/>
                <w:lang w:val="fr-CA"/>
              </w:rPr>
              <w:t>te</w:t>
            </w:r>
            <w:r w:rsidR="00817246" w:rsidRPr="00AD15D6">
              <w:rPr>
                <w:rFonts w:asciiTheme="majorHAnsi" w:hAnsiTheme="majorHAnsi" w:cs="Arial"/>
                <w:b w:val="0"/>
                <w:sz w:val="20"/>
                <w:szCs w:val="20"/>
                <w:lang w:val="fr-CA"/>
              </w:rPr>
              <w:t>s Ramsar</w:t>
            </w:r>
            <w:r w:rsidRPr="00AD15D6">
              <w:rPr>
                <w:rFonts w:asciiTheme="majorHAnsi" w:hAnsiTheme="majorHAnsi" w:cs="Arial"/>
                <w:b w:val="0"/>
                <w:sz w:val="20"/>
                <w:szCs w:val="20"/>
                <w:lang w:val="fr-CA"/>
              </w:rPr>
              <w:t>).</w:t>
            </w:r>
          </w:p>
        </w:tc>
        <w:tc>
          <w:tcPr>
            <w:tcW w:w="491" w:type="pct"/>
          </w:tcPr>
          <w:p w14:paraId="7600E8DD" w14:textId="77777777" w:rsidR="00914A1A" w:rsidRPr="00AD15D6" w:rsidRDefault="00536C73" w:rsidP="00536C73">
            <w:pPr>
              <w:rPr>
                <w:rFonts w:asciiTheme="majorHAnsi" w:hAnsiTheme="majorHAnsi" w:cs="Arial"/>
                <w:b w:val="0"/>
                <w:sz w:val="20"/>
                <w:szCs w:val="20"/>
                <w:lang w:val="fr-CA"/>
              </w:rPr>
            </w:pPr>
            <w:r w:rsidRPr="00AD15D6">
              <w:rPr>
                <w:rFonts w:asciiTheme="majorHAnsi" w:hAnsiTheme="majorHAnsi" w:cs="Arial"/>
                <w:b w:val="0"/>
                <w:sz w:val="20"/>
                <w:szCs w:val="20"/>
                <w:lang w:val="fr-CA"/>
              </w:rPr>
              <w:t>Fourniture d’avis sans incidences financières sur le budget du GEST</w:t>
            </w:r>
          </w:p>
          <w:p w14:paraId="1BF25183" w14:textId="77777777" w:rsidR="00536C73" w:rsidRPr="00AD15D6" w:rsidRDefault="00536C73" w:rsidP="00536C73">
            <w:pPr>
              <w:rPr>
                <w:rFonts w:asciiTheme="majorHAnsi" w:hAnsiTheme="majorHAnsi" w:cs="Arial"/>
                <w:b w:val="0"/>
                <w:sz w:val="20"/>
                <w:szCs w:val="20"/>
                <w:lang w:val="fr-CA"/>
              </w:rPr>
            </w:pPr>
          </w:p>
          <w:p w14:paraId="366B6B98" w14:textId="1A6D6596" w:rsidR="00536C73" w:rsidRPr="00AD15D6" w:rsidRDefault="00536C73" w:rsidP="00F02C6F">
            <w:pPr>
              <w:rPr>
                <w:rFonts w:asciiTheme="majorHAnsi" w:hAnsiTheme="majorHAnsi" w:cs="Arial"/>
                <w:b w:val="0"/>
                <w:sz w:val="20"/>
                <w:szCs w:val="20"/>
                <w:lang w:val="fr-CA"/>
              </w:rPr>
            </w:pPr>
            <w:r w:rsidRPr="00AD15D6">
              <w:rPr>
                <w:rFonts w:asciiTheme="majorHAnsi" w:hAnsiTheme="majorHAnsi" w:cs="Arial"/>
                <w:b w:val="0"/>
                <w:sz w:val="20"/>
                <w:szCs w:val="20"/>
                <w:lang w:val="fr-CA"/>
              </w:rPr>
              <w:t>Coûts de traduction possibles, à d</w:t>
            </w:r>
            <w:r w:rsidR="00F02C6F" w:rsidRPr="00AD15D6">
              <w:rPr>
                <w:rFonts w:asciiTheme="majorHAnsi" w:hAnsiTheme="majorHAnsi" w:cs="Arial"/>
                <w:b w:val="0"/>
                <w:sz w:val="20"/>
                <w:szCs w:val="20"/>
                <w:lang w:val="fr-CA"/>
              </w:rPr>
              <w:t>é</w:t>
            </w:r>
            <w:r w:rsidRPr="00AD15D6">
              <w:rPr>
                <w:rFonts w:asciiTheme="majorHAnsi" w:hAnsiTheme="majorHAnsi" w:cs="Arial"/>
                <w:b w:val="0"/>
                <w:sz w:val="20"/>
                <w:szCs w:val="20"/>
                <w:lang w:val="fr-CA"/>
              </w:rPr>
              <w:t>terminer</w:t>
            </w:r>
          </w:p>
        </w:tc>
      </w:tr>
      <w:tr w:rsidR="00F52F75" w:rsidRPr="00AD15D6" w14:paraId="7CE3CBE2" w14:textId="77777777" w:rsidTr="00F02C6F">
        <w:tc>
          <w:tcPr>
            <w:tcW w:w="529" w:type="pct"/>
          </w:tcPr>
          <w:p w14:paraId="1DA437FA" w14:textId="01F706A3" w:rsidR="00914A1A" w:rsidRPr="00AD15D6" w:rsidRDefault="00914A1A" w:rsidP="00536C73">
            <w:pPr>
              <w:keepNext/>
              <w:keepLines/>
              <w:rPr>
                <w:rFonts w:asciiTheme="majorHAnsi" w:hAnsiTheme="majorHAnsi" w:cs="Arial"/>
                <w:b w:val="0"/>
                <w:sz w:val="20"/>
                <w:szCs w:val="20"/>
                <w:lang w:val="fr-CA"/>
              </w:rPr>
            </w:pPr>
            <w:r w:rsidRPr="00AD15D6">
              <w:rPr>
                <w:rFonts w:asciiTheme="majorHAnsi" w:hAnsiTheme="majorHAnsi" w:cs="Arial"/>
                <w:b w:val="0"/>
                <w:sz w:val="20"/>
                <w:szCs w:val="20"/>
                <w:lang w:val="fr-CA"/>
              </w:rPr>
              <w:t>2.2.</w:t>
            </w:r>
            <w:r w:rsidR="00E01336" w:rsidRPr="00AD15D6">
              <w:rPr>
                <w:rFonts w:asciiTheme="majorHAnsi" w:hAnsiTheme="majorHAnsi" w:cs="Arial"/>
                <w:b w:val="0"/>
                <w:sz w:val="20"/>
                <w:szCs w:val="20"/>
                <w:lang w:val="fr-CA"/>
              </w:rPr>
              <w:t xml:space="preserve"> </w:t>
            </w:r>
            <w:r w:rsidR="00536C73" w:rsidRPr="00AD15D6">
              <w:rPr>
                <w:rFonts w:asciiTheme="majorHAnsi" w:eastAsia="Calibri" w:hAnsiTheme="majorHAnsi" w:cs="Calibri"/>
                <w:b w:val="0"/>
                <w:sz w:val="20"/>
                <w:szCs w:val="20"/>
                <w:lang w:val="fr-CA"/>
              </w:rPr>
              <w:t>Gestion des zones humides transfrontières</w:t>
            </w:r>
          </w:p>
        </w:tc>
        <w:tc>
          <w:tcPr>
            <w:tcW w:w="276" w:type="pct"/>
          </w:tcPr>
          <w:p w14:paraId="40043F72" w14:textId="7CC64C4A" w:rsidR="00914A1A" w:rsidRPr="00AD15D6" w:rsidRDefault="00914A1A" w:rsidP="00744912">
            <w:pPr>
              <w:keepNext/>
              <w:keepLines/>
              <w:rPr>
                <w:rFonts w:asciiTheme="majorHAnsi" w:hAnsiTheme="majorHAnsi" w:cs="Arial"/>
                <w:b w:val="0"/>
                <w:sz w:val="20"/>
                <w:szCs w:val="20"/>
                <w:lang w:val="fr-CA"/>
              </w:rPr>
            </w:pPr>
          </w:p>
        </w:tc>
        <w:tc>
          <w:tcPr>
            <w:tcW w:w="355" w:type="pct"/>
          </w:tcPr>
          <w:p w14:paraId="7E02D925" w14:textId="5447AC4A" w:rsidR="00914A1A" w:rsidRPr="00AD15D6" w:rsidRDefault="00914A1A" w:rsidP="00536C73">
            <w:pPr>
              <w:keepNext/>
              <w:keepLines/>
              <w:rPr>
                <w:rFonts w:asciiTheme="majorHAnsi" w:hAnsiTheme="majorHAnsi" w:cs="Arial"/>
                <w:b w:val="0"/>
                <w:sz w:val="20"/>
                <w:szCs w:val="20"/>
                <w:lang w:val="fr-CA"/>
              </w:rPr>
            </w:pPr>
            <w:r w:rsidRPr="00AD15D6">
              <w:rPr>
                <w:rFonts w:asciiTheme="majorHAnsi" w:hAnsiTheme="majorHAnsi" w:cs="Arial"/>
                <w:b w:val="0"/>
                <w:sz w:val="20"/>
                <w:szCs w:val="20"/>
                <w:lang w:val="fr-CA"/>
              </w:rPr>
              <w:t>XII.</w:t>
            </w:r>
            <w:r w:rsidR="00536C73" w:rsidRPr="00AD15D6">
              <w:rPr>
                <w:rFonts w:asciiTheme="majorHAnsi" w:hAnsiTheme="majorHAnsi" w:cs="Arial"/>
                <w:b w:val="0"/>
                <w:sz w:val="20"/>
                <w:szCs w:val="20"/>
                <w:lang w:val="fr-CA"/>
              </w:rPr>
              <w:t xml:space="preserve">5, </w:t>
            </w:r>
            <w:r w:rsidR="004B32FB">
              <w:rPr>
                <w:rFonts w:asciiTheme="majorHAnsi" w:hAnsiTheme="majorHAnsi" w:cs="Arial"/>
                <w:b w:val="0"/>
                <w:sz w:val="20"/>
                <w:szCs w:val="20"/>
                <w:lang w:val="fr-CA"/>
              </w:rPr>
              <w:t>annexe</w:t>
            </w:r>
            <w:r w:rsidR="00536C73" w:rsidRPr="00AD15D6">
              <w:rPr>
                <w:rFonts w:asciiTheme="majorHAnsi" w:hAnsiTheme="majorHAnsi" w:cs="Arial"/>
                <w:b w:val="0"/>
                <w:sz w:val="20"/>
                <w:szCs w:val="20"/>
                <w:lang w:val="fr-CA"/>
              </w:rPr>
              <w:t xml:space="preserve"> 1,</w:t>
            </w:r>
            <w:r w:rsidR="00E01336" w:rsidRPr="00AD15D6">
              <w:rPr>
                <w:rFonts w:asciiTheme="majorHAnsi" w:hAnsiTheme="majorHAnsi" w:cs="Arial"/>
                <w:b w:val="0"/>
                <w:sz w:val="20"/>
                <w:szCs w:val="20"/>
                <w:lang w:val="fr-CA"/>
              </w:rPr>
              <w:t xml:space="preserve"> </w:t>
            </w:r>
            <w:r w:rsidR="00536C73" w:rsidRPr="00AD15D6">
              <w:rPr>
                <w:rFonts w:asciiTheme="majorHAnsi" w:hAnsiTheme="majorHAnsi" w:cs="Arial"/>
                <w:b w:val="0"/>
                <w:sz w:val="20"/>
                <w:szCs w:val="20"/>
                <w:lang w:val="fr-CA"/>
              </w:rPr>
              <w:t>¶¶ 1 et 2</w:t>
            </w:r>
          </w:p>
        </w:tc>
        <w:tc>
          <w:tcPr>
            <w:tcW w:w="398" w:type="pct"/>
          </w:tcPr>
          <w:p w14:paraId="4E514D63" w14:textId="3F1DA3EB" w:rsidR="00914A1A" w:rsidRPr="00AD15D6" w:rsidRDefault="00536C73" w:rsidP="00744912">
            <w:pPr>
              <w:keepNext/>
              <w:keepLines/>
              <w:rPr>
                <w:rFonts w:asciiTheme="majorHAnsi" w:hAnsiTheme="majorHAnsi" w:cs="Arial"/>
                <w:b w:val="0"/>
                <w:sz w:val="20"/>
                <w:szCs w:val="20"/>
                <w:lang w:val="fr-CA"/>
              </w:rPr>
            </w:pPr>
            <w:r w:rsidRPr="00AD15D6">
              <w:rPr>
                <w:rFonts w:asciiTheme="majorHAnsi" w:hAnsiTheme="majorHAnsi" w:cs="Arial"/>
                <w:b w:val="0"/>
                <w:sz w:val="20"/>
                <w:szCs w:val="20"/>
                <w:lang w:val="fr-CA"/>
              </w:rPr>
              <w:t xml:space="preserve">3.8, 3.9, 3.11, </w:t>
            </w:r>
            <w:r w:rsidR="00914A1A" w:rsidRPr="00AD15D6">
              <w:rPr>
                <w:rFonts w:asciiTheme="majorHAnsi" w:hAnsiTheme="majorHAnsi" w:cs="Arial"/>
                <w:b w:val="0"/>
                <w:sz w:val="20"/>
                <w:szCs w:val="20"/>
                <w:lang w:val="fr-CA"/>
              </w:rPr>
              <w:t>3.12</w:t>
            </w:r>
            <w:r w:rsidRPr="00AD15D6">
              <w:rPr>
                <w:rFonts w:asciiTheme="majorHAnsi" w:hAnsiTheme="majorHAnsi" w:cs="Arial"/>
                <w:b w:val="0"/>
                <w:sz w:val="20"/>
                <w:szCs w:val="20"/>
                <w:lang w:val="fr-CA"/>
              </w:rPr>
              <w:t>; 4.14</w:t>
            </w:r>
          </w:p>
        </w:tc>
        <w:tc>
          <w:tcPr>
            <w:tcW w:w="2951" w:type="pct"/>
          </w:tcPr>
          <w:p w14:paraId="2012AD01" w14:textId="5C979F5B" w:rsidR="00914A1A" w:rsidRPr="00AD15D6" w:rsidRDefault="00744912" w:rsidP="00744912">
            <w:pPr>
              <w:keepNext/>
              <w:keepLines/>
              <w:ind w:left="34"/>
              <w:rPr>
                <w:rFonts w:asciiTheme="majorHAnsi" w:hAnsiTheme="majorHAnsi" w:cs="Arial"/>
                <w:b w:val="0"/>
                <w:sz w:val="20"/>
                <w:szCs w:val="20"/>
                <w:lang w:val="fr-CA"/>
              </w:rPr>
            </w:pPr>
            <w:r w:rsidRPr="00AD15D6">
              <w:rPr>
                <w:rFonts w:asciiTheme="majorHAnsi" w:hAnsiTheme="majorHAnsi" w:cs="Arial"/>
                <w:b w:val="0"/>
                <w:sz w:val="20"/>
                <w:szCs w:val="20"/>
                <w:u w:val="single"/>
                <w:lang w:val="fr-CA"/>
              </w:rPr>
              <w:t>Description de tâche</w:t>
            </w:r>
            <w:r w:rsidRPr="00AD15D6">
              <w:rPr>
                <w:rFonts w:asciiTheme="majorHAnsi" w:hAnsiTheme="majorHAnsi" w:cs="Arial"/>
                <w:b w:val="0"/>
                <w:sz w:val="20"/>
                <w:szCs w:val="20"/>
                <w:lang w:val="fr-CA"/>
              </w:rPr>
              <w:t> :</w:t>
            </w:r>
            <w:r w:rsidR="00F02C6F" w:rsidRPr="00AD15D6">
              <w:rPr>
                <w:rFonts w:asciiTheme="majorHAnsi" w:hAnsiTheme="majorHAnsi" w:cs="Arial"/>
                <w:b w:val="0"/>
                <w:sz w:val="20"/>
                <w:szCs w:val="20"/>
                <w:lang w:val="fr-CA"/>
              </w:rPr>
              <w:t xml:space="preserve"> </w:t>
            </w:r>
            <w:r w:rsidR="00AD15D6">
              <w:rPr>
                <w:rFonts w:asciiTheme="majorHAnsi" w:hAnsiTheme="majorHAnsi" w:cs="Arial"/>
                <w:b w:val="0"/>
                <w:sz w:val="20"/>
                <w:szCs w:val="20"/>
                <w:lang w:val="fr-CA"/>
              </w:rPr>
              <w:t xml:space="preserve">Produire un document d’orientation qui souligne les approches et les meilleures pratiques pour élaborer et appliquer des plans de gestion des zones humides transfrontières et autres outils, ainsi que les leçons tirées, l’accent étant mis sur les ressources d’eau partagées, la gestion des bassins </w:t>
            </w:r>
            <w:r w:rsidR="003552EC">
              <w:rPr>
                <w:rFonts w:asciiTheme="majorHAnsi" w:hAnsiTheme="majorHAnsi" w:cs="Arial"/>
                <w:b w:val="0"/>
                <w:sz w:val="20"/>
                <w:szCs w:val="20"/>
                <w:lang w:val="fr-CA"/>
              </w:rPr>
              <w:t xml:space="preserve">versants </w:t>
            </w:r>
            <w:r w:rsidR="00AD15D6">
              <w:rPr>
                <w:rFonts w:asciiTheme="majorHAnsi" w:hAnsiTheme="majorHAnsi" w:cs="Arial"/>
                <w:b w:val="0"/>
                <w:sz w:val="20"/>
                <w:szCs w:val="20"/>
                <w:lang w:val="fr-CA"/>
              </w:rPr>
              <w:t xml:space="preserve">et le maintien des caractéristiques écologiques des zones humides transfrontières, y compris une introduction sur les initiatives internationales/régionales pertinentes. </w:t>
            </w:r>
          </w:p>
          <w:p w14:paraId="0783B145" w14:textId="77777777" w:rsidR="00914A1A" w:rsidRPr="00AD15D6" w:rsidRDefault="00914A1A" w:rsidP="00744912">
            <w:pPr>
              <w:keepNext/>
              <w:keepLines/>
              <w:ind w:left="34"/>
              <w:rPr>
                <w:rFonts w:asciiTheme="majorHAnsi" w:hAnsiTheme="majorHAnsi" w:cs="Arial"/>
                <w:b w:val="0"/>
                <w:sz w:val="20"/>
                <w:szCs w:val="20"/>
                <w:lang w:val="fr-CA"/>
              </w:rPr>
            </w:pPr>
          </w:p>
          <w:p w14:paraId="0CE702FB" w14:textId="3789E197" w:rsidR="00914A1A" w:rsidRPr="00AD15D6" w:rsidRDefault="00744912" w:rsidP="00744912">
            <w:pPr>
              <w:keepNext/>
              <w:keepLines/>
              <w:rPr>
                <w:rFonts w:asciiTheme="majorHAnsi" w:hAnsiTheme="majorHAnsi" w:cs="Arial"/>
                <w:b w:val="0"/>
                <w:sz w:val="20"/>
                <w:szCs w:val="20"/>
                <w:lang w:val="fr-CA"/>
              </w:rPr>
            </w:pPr>
            <w:r w:rsidRPr="00AD15D6">
              <w:rPr>
                <w:rFonts w:asciiTheme="majorHAnsi" w:hAnsiTheme="majorHAnsi" w:cs="Arial"/>
                <w:b w:val="0"/>
                <w:sz w:val="20"/>
                <w:szCs w:val="20"/>
                <w:u w:val="single"/>
                <w:lang w:val="fr-CA"/>
              </w:rPr>
              <w:t>Résultat(s) escompté(s)</w:t>
            </w:r>
            <w:r w:rsidRPr="00AD15D6">
              <w:rPr>
                <w:rFonts w:asciiTheme="majorHAnsi" w:hAnsiTheme="majorHAnsi" w:cs="Arial"/>
                <w:b w:val="0"/>
                <w:sz w:val="20"/>
                <w:szCs w:val="20"/>
                <w:lang w:val="fr-CA"/>
              </w:rPr>
              <w:t> :</w:t>
            </w:r>
            <w:r w:rsidR="00E01336" w:rsidRPr="00AD15D6">
              <w:rPr>
                <w:rFonts w:asciiTheme="majorHAnsi" w:hAnsiTheme="majorHAnsi" w:cs="Arial"/>
                <w:b w:val="0"/>
                <w:sz w:val="20"/>
                <w:szCs w:val="20"/>
                <w:lang w:val="fr-CA"/>
              </w:rPr>
              <w:t xml:space="preserve"> </w:t>
            </w:r>
            <w:r w:rsidR="00F02C6F" w:rsidRPr="00AD15D6">
              <w:rPr>
                <w:rFonts w:asciiTheme="majorHAnsi" w:hAnsiTheme="majorHAnsi" w:cs="Arial"/>
                <w:b w:val="0"/>
                <w:sz w:val="20"/>
                <w:szCs w:val="20"/>
                <w:lang w:val="fr-CA"/>
              </w:rPr>
              <w:t>Document</w:t>
            </w:r>
            <w:r w:rsidR="00B32124" w:rsidRPr="00AD15D6">
              <w:rPr>
                <w:rFonts w:asciiTheme="majorHAnsi" w:hAnsiTheme="majorHAnsi" w:cs="Arial"/>
                <w:b w:val="0"/>
                <w:sz w:val="20"/>
                <w:szCs w:val="20"/>
                <w:lang w:val="fr-CA"/>
              </w:rPr>
              <w:t xml:space="preserve"> </w:t>
            </w:r>
            <w:r w:rsidR="00F02C6F" w:rsidRPr="00AD15D6">
              <w:rPr>
                <w:rFonts w:asciiTheme="majorHAnsi" w:hAnsiTheme="majorHAnsi" w:cs="Arial"/>
                <w:b w:val="0"/>
                <w:sz w:val="20"/>
                <w:szCs w:val="20"/>
                <w:lang w:val="fr-CA"/>
              </w:rPr>
              <w:t>d’orientation</w:t>
            </w:r>
            <w:r w:rsidR="00B32124" w:rsidRPr="00AD15D6">
              <w:rPr>
                <w:rFonts w:asciiTheme="majorHAnsi" w:hAnsiTheme="majorHAnsi" w:cs="Arial"/>
                <w:b w:val="0"/>
                <w:sz w:val="20"/>
                <w:szCs w:val="20"/>
                <w:lang w:val="fr-CA"/>
              </w:rPr>
              <w:t xml:space="preserve">. </w:t>
            </w:r>
          </w:p>
          <w:p w14:paraId="156A1D8B" w14:textId="77777777" w:rsidR="00914A1A" w:rsidRPr="00AD15D6" w:rsidRDefault="00914A1A" w:rsidP="00744912">
            <w:pPr>
              <w:keepNext/>
              <w:keepLines/>
              <w:rPr>
                <w:rFonts w:asciiTheme="majorHAnsi" w:hAnsiTheme="majorHAnsi" w:cs="Arial"/>
                <w:b w:val="0"/>
                <w:sz w:val="20"/>
                <w:szCs w:val="20"/>
                <w:lang w:val="fr-CA"/>
              </w:rPr>
            </w:pPr>
          </w:p>
          <w:p w14:paraId="0DFD6C00" w14:textId="59E36588" w:rsidR="00914A1A" w:rsidRPr="00AD15D6" w:rsidRDefault="00744912" w:rsidP="00F02C6F">
            <w:pPr>
              <w:keepNext/>
              <w:keepLines/>
              <w:ind w:left="720" w:hanging="720"/>
              <w:rPr>
                <w:rFonts w:asciiTheme="majorHAnsi" w:hAnsiTheme="majorHAnsi" w:cs="Arial"/>
                <w:b w:val="0"/>
                <w:sz w:val="20"/>
                <w:szCs w:val="20"/>
                <w:lang w:val="fr-CA"/>
              </w:rPr>
            </w:pPr>
            <w:r w:rsidRPr="00AD15D6">
              <w:rPr>
                <w:rFonts w:asciiTheme="majorHAnsi" w:hAnsiTheme="majorHAnsi" w:cs="Arial"/>
                <w:b w:val="0"/>
                <w:sz w:val="20"/>
                <w:szCs w:val="20"/>
                <w:u w:val="single"/>
                <w:lang w:val="fr-CA"/>
              </w:rPr>
              <w:t>Public(s) ciblé(s)</w:t>
            </w:r>
            <w:r w:rsidRPr="00AD15D6">
              <w:rPr>
                <w:rFonts w:asciiTheme="majorHAnsi" w:hAnsiTheme="majorHAnsi" w:cs="Arial"/>
                <w:b w:val="0"/>
                <w:sz w:val="20"/>
                <w:szCs w:val="20"/>
                <w:lang w:val="fr-CA"/>
              </w:rPr>
              <w:t xml:space="preserve"> : </w:t>
            </w:r>
            <w:r w:rsidR="00B32124" w:rsidRPr="00AD15D6">
              <w:rPr>
                <w:rFonts w:asciiTheme="majorHAnsi" w:hAnsiTheme="majorHAnsi" w:cs="Arial"/>
                <w:b w:val="0"/>
                <w:sz w:val="20"/>
                <w:szCs w:val="20"/>
                <w:lang w:val="fr-CA"/>
              </w:rPr>
              <w:t xml:space="preserve">Décideurs. </w:t>
            </w:r>
          </w:p>
        </w:tc>
        <w:tc>
          <w:tcPr>
            <w:tcW w:w="491" w:type="pct"/>
          </w:tcPr>
          <w:p w14:paraId="4E2502A8" w14:textId="7149486F" w:rsidR="00914A1A" w:rsidRPr="00AD15D6" w:rsidRDefault="00F02C6F" w:rsidP="00B32124">
            <w:pPr>
              <w:rPr>
                <w:rFonts w:asciiTheme="majorHAnsi" w:hAnsiTheme="majorHAnsi" w:cs="Arial"/>
                <w:b w:val="0"/>
                <w:sz w:val="20"/>
                <w:szCs w:val="20"/>
                <w:lang w:val="fr-CA"/>
              </w:rPr>
            </w:pPr>
            <w:r w:rsidRPr="00AD15D6">
              <w:rPr>
                <w:rFonts w:asciiTheme="majorHAnsi" w:hAnsiTheme="majorHAnsi" w:cs="Arial"/>
                <w:b w:val="0"/>
                <w:sz w:val="20"/>
                <w:szCs w:val="20"/>
                <w:lang w:val="fr-CA"/>
              </w:rPr>
              <w:t>Jusqu’à 9000</w:t>
            </w:r>
          </w:p>
        </w:tc>
      </w:tr>
      <w:tr w:rsidR="00F52F75" w:rsidRPr="00AD15D6" w14:paraId="0073FC0D" w14:textId="77777777" w:rsidTr="00F02C6F">
        <w:tc>
          <w:tcPr>
            <w:tcW w:w="529" w:type="pct"/>
          </w:tcPr>
          <w:p w14:paraId="0FD70CB8" w14:textId="3D6F76D1" w:rsidR="00E01336" w:rsidRPr="00AD15D6" w:rsidRDefault="009D1F5A" w:rsidP="00F02C6F">
            <w:pPr>
              <w:rPr>
                <w:rFonts w:asciiTheme="majorHAnsi" w:hAnsiTheme="majorHAnsi" w:cs="Arial"/>
                <w:b w:val="0"/>
                <w:sz w:val="20"/>
                <w:szCs w:val="20"/>
                <w:lang w:val="fr-CA"/>
              </w:rPr>
            </w:pPr>
            <w:r w:rsidRPr="00AD15D6">
              <w:rPr>
                <w:rFonts w:asciiTheme="majorHAnsi" w:hAnsiTheme="majorHAnsi" w:cs="Arial"/>
                <w:b w:val="0"/>
                <w:sz w:val="20"/>
                <w:szCs w:val="20"/>
                <w:lang w:val="fr-CA"/>
              </w:rPr>
              <w:t>2.</w:t>
            </w:r>
            <w:r w:rsidR="00F02C6F" w:rsidRPr="00AD15D6">
              <w:rPr>
                <w:rFonts w:asciiTheme="majorHAnsi" w:hAnsiTheme="majorHAnsi" w:cs="Arial"/>
                <w:b w:val="0"/>
                <w:sz w:val="20"/>
                <w:szCs w:val="20"/>
                <w:lang w:val="fr-CA"/>
              </w:rPr>
              <w:t>3</w:t>
            </w:r>
            <w:r w:rsidRPr="00AD15D6">
              <w:rPr>
                <w:rFonts w:asciiTheme="majorHAnsi" w:hAnsiTheme="majorHAnsi" w:cs="Arial"/>
                <w:b w:val="0"/>
                <w:sz w:val="20"/>
                <w:szCs w:val="20"/>
                <w:lang w:val="fr-CA"/>
              </w:rPr>
              <w:t xml:space="preserve"> Évaluation des progrès réalisés dans l’application des « Lignes directrices </w:t>
            </w:r>
            <w:r w:rsidR="00244D7B" w:rsidRPr="00AD15D6">
              <w:rPr>
                <w:rFonts w:asciiTheme="majorHAnsi" w:hAnsiTheme="majorHAnsi" w:cs="Arial"/>
                <w:b w:val="0"/>
                <w:sz w:val="20"/>
                <w:szCs w:val="20"/>
                <w:lang w:val="fr-CA"/>
              </w:rPr>
              <w:t>relatives à</w:t>
            </w:r>
            <w:r w:rsidRPr="00AD15D6">
              <w:rPr>
                <w:rFonts w:asciiTheme="majorHAnsi" w:hAnsiTheme="majorHAnsi" w:cs="Arial"/>
                <w:b w:val="0"/>
                <w:sz w:val="20"/>
                <w:szCs w:val="20"/>
                <w:lang w:val="fr-CA"/>
              </w:rPr>
              <w:t xml:space="preserve"> une action mondiale </w:t>
            </w:r>
            <w:r w:rsidR="00244D7B" w:rsidRPr="00AD15D6">
              <w:rPr>
                <w:rFonts w:asciiTheme="majorHAnsi" w:hAnsiTheme="majorHAnsi" w:cs="Arial"/>
                <w:b w:val="0"/>
                <w:sz w:val="20"/>
                <w:szCs w:val="20"/>
                <w:lang w:val="fr-CA"/>
              </w:rPr>
              <w:t xml:space="preserve">pour les </w:t>
            </w:r>
            <w:r w:rsidR="00244D7B" w:rsidRPr="00AD15D6">
              <w:rPr>
                <w:rFonts w:asciiTheme="majorHAnsi" w:hAnsiTheme="majorHAnsi" w:cs="Arial"/>
                <w:b w:val="0"/>
                <w:sz w:val="20"/>
                <w:szCs w:val="20"/>
                <w:lang w:val="fr-CA"/>
              </w:rPr>
              <w:lastRenderedPageBreak/>
              <w:t>tourbières</w:t>
            </w:r>
            <w:r w:rsidRPr="00AD15D6">
              <w:rPr>
                <w:rFonts w:asciiTheme="majorHAnsi" w:hAnsiTheme="majorHAnsi" w:cs="Arial"/>
                <w:b w:val="0"/>
                <w:sz w:val="20"/>
                <w:szCs w:val="20"/>
                <w:lang w:val="fr-CA"/>
              </w:rPr>
              <w:t xml:space="preserve"> » </w:t>
            </w:r>
          </w:p>
        </w:tc>
        <w:tc>
          <w:tcPr>
            <w:tcW w:w="276" w:type="pct"/>
          </w:tcPr>
          <w:p w14:paraId="480F9701" w14:textId="77777777" w:rsidR="00E01336" w:rsidRPr="00AD15D6" w:rsidRDefault="00E01336" w:rsidP="00914A1A">
            <w:pPr>
              <w:rPr>
                <w:rFonts w:asciiTheme="majorHAnsi" w:hAnsiTheme="majorHAnsi" w:cs="Arial"/>
                <w:b w:val="0"/>
                <w:sz w:val="20"/>
                <w:szCs w:val="20"/>
                <w:lang w:val="fr-CA"/>
              </w:rPr>
            </w:pPr>
          </w:p>
        </w:tc>
        <w:tc>
          <w:tcPr>
            <w:tcW w:w="355" w:type="pct"/>
          </w:tcPr>
          <w:p w14:paraId="1920E8FE" w14:textId="0A4AB5B8" w:rsidR="00E01336" w:rsidRPr="00AD15D6" w:rsidRDefault="00E01336" w:rsidP="00F02C6F">
            <w:pPr>
              <w:rPr>
                <w:rFonts w:asciiTheme="majorHAnsi" w:hAnsiTheme="majorHAnsi" w:cs="Arial"/>
                <w:b w:val="0"/>
                <w:sz w:val="20"/>
                <w:szCs w:val="20"/>
                <w:lang w:val="fr-CA"/>
              </w:rPr>
            </w:pPr>
            <w:r w:rsidRPr="00AD15D6">
              <w:rPr>
                <w:rFonts w:asciiTheme="majorHAnsi" w:hAnsiTheme="majorHAnsi" w:cs="Arial"/>
                <w:b w:val="0"/>
                <w:sz w:val="20"/>
                <w:szCs w:val="20"/>
                <w:lang w:val="fr-CA"/>
              </w:rPr>
              <w:t>XI.11, ¶24</w:t>
            </w:r>
            <w:r w:rsidR="00F02C6F" w:rsidRPr="00AD15D6">
              <w:rPr>
                <w:rFonts w:asciiTheme="majorHAnsi" w:hAnsiTheme="majorHAnsi" w:cs="Arial"/>
                <w:b w:val="0"/>
                <w:sz w:val="20"/>
                <w:szCs w:val="20"/>
                <w:lang w:val="fr-CA"/>
              </w:rPr>
              <w:t xml:space="preserve"> (c) et ¶27</w:t>
            </w:r>
          </w:p>
        </w:tc>
        <w:tc>
          <w:tcPr>
            <w:tcW w:w="398" w:type="pct"/>
          </w:tcPr>
          <w:p w14:paraId="1E9713C5" w14:textId="3A8A24E9" w:rsidR="00E01336" w:rsidRPr="00AD15D6" w:rsidRDefault="00F02C6F" w:rsidP="00914A1A">
            <w:pPr>
              <w:rPr>
                <w:rFonts w:asciiTheme="majorHAnsi" w:hAnsiTheme="majorHAnsi" w:cs="Arial"/>
                <w:b w:val="0"/>
                <w:sz w:val="20"/>
                <w:szCs w:val="20"/>
                <w:lang w:val="fr-CA"/>
              </w:rPr>
            </w:pPr>
            <w:r w:rsidRPr="00AD15D6">
              <w:rPr>
                <w:rFonts w:asciiTheme="majorHAnsi" w:hAnsiTheme="majorHAnsi" w:cs="Arial"/>
                <w:b w:val="0"/>
                <w:sz w:val="20"/>
                <w:szCs w:val="20"/>
                <w:lang w:val="fr-CA"/>
              </w:rPr>
              <w:t xml:space="preserve">2.6, 3.8, 3.9, 3.11, 3.12; </w:t>
            </w:r>
            <w:r w:rsidR="00E01336" w:rsidRPr="00AD15D6">
              <w:rPr>
                <w:rFonts w:asciiTheme="majorHAnsi" w:hAnsiTheme="majorHAnsi" w:cs="Arial"/>
                <w:b w:val="0"/>
                <w:sz w:val="20"/>
                <w:szCs w:val="20"/>
                <w:lang w:val="fr-CA"/>
              </w:rPr>
              <w:t>4.14</w:t>
            </w:r>
            <w:r w:rsidRPr="00AD15D6">
              <w:rPr>
                <w:rFonts w:asciiTheme="majorHAnsi" w:hAnsiTheme="majorHAnsi" w:cs="Arial"/>
                <w:b w:val="0"/>
                <w:sz w:val="20"/>
                <w:szCs w:val="20"/>
                <w:lang w:val="fr-CA"/>
              </w:rPr>
              <w:t>, 4.18</w:t>
            </w:r>
          </w:p>
        </w:tc>
        <w:tc>
          <w:tcPr>
            <w:tcW w:w="2951" w:type="pct"/>
          </w:tcPr>
          <w:p w14:paraId="5022C39D" w14:textId="0C36B09C" w:rsidR="00E01336" w:rsidRPr="00AD15D6" w:rsidRDefault="00744912" w:rsidP="00E01336">
            <w:pPr>
              <w:pStyle w:val="Default"/>
              <w:rPr>
                <w:rFonts w:asciiTheme="majorHAnsi" w:hAnsiTheme="majorHAnsi" w:cs="Arial"/>
                <w:b w:val="0"/>
                <w:color w:val="auto"/>
                <w:sz w:val="20"/>
                <w:szCs w:val="20"/>
                <w:lang w:val="fr-CA"/>
              </w:rPr>
            </w:pPr>
            <w:r w:rsidRPr="00AD15D6">
              <w:rPr>
                <w:rFonts w:asciiTheme="majorHAnsi" w:hAnsiTheme="majorHAnsi" w:cs="Arial"/>
                <w:b w:val="0"/>
                <w:sz w:val="20"/>
                <w:szCs w:val="20"/>
                <w:u w:val="single"/>
                <w:lang w:val="fr-CA"/>
              </w:rPr>
              <w:t>Description de tâche</w:t>
            </w:r>
            <w:r w:rsidRPr="00AD15D6">
              <w:rPr>
                <w:rFonts w:asciiTheme="majorHAnsi" w:hAnsiTheme="majorHAnsi" w:cs="Arial"/>
                <w:b w:val="0"/>
                <w:sz w:val="20"/>
                <w:szCs w:val="20"/>
                <w:lang w:val="fr-CA"/>
              </w:rPr>
              <w:t xml:space="preserve"> : </w:t>
            </w:r>
            <w:r w:rsidR="009746C1" w:rsidRPr="00AD15D6">
              <w:rPr>
                <w:rFonts w:asciiTheme="majorHAnsi" w:hAnsiTheme="majorHAnsi" w:cs="Arial"/>
                <w:b w:val="0"/>
                <w:color w:val="auto"/>
                <w:sz w:val="20"/>
                <w:szCs w:val="20"/>
                <w:lang w:val="fr-CA"/>
              </w:rPr>
              <w:t xml:space="preserve">Élaboration et diffusion d’un </w:t>
            </w:r>
            <w:r w:rsidR="00E01336" w:rsidRPr="00AD15D6">
              <w:rPr>
                <w:rFonts w:asciiTheme="majorHAnsi" w:hAnsiTheme="majorHAnsi" w:cs="Arial"/>
                <w:b w:val="0"/>
                <w:color w:val="auto"/>
                <w:sz w:val="20"/>
                <w:szCs w:val="20"/>
                <w:lang w:val="fr-CA"/>
              </w:rPr>
              <w:t xml:space="preserve">questionnaire </w:t>
            </w:r>
            <w:r w:rsidR="009746C1" w:rsidRPr="00AD15D6">
              <w:rPr>
                <w:rFonts w:asciiTheme="majorHAnsi" w:hAnsiTheme="majorHAnsi" w:cs="Arial"/>
                <w:b w:val="0"/>
                <w:color w:val="auto"/>
                <w:sz w:val="20"/>
                <w:szCs w:val="20"/>
                <w:lang w:val="fr-CA"/>
              </w:rPr>
              <w:t xml:space="preserve">à des Parties </w:t>
            </w:r>
            <w:r w:rsidR="00244D7B" w:rsidRPr="00AD15D6">
              <w:rPr>
                <w:rFonts w:asciiTheme="majorHAnsi" w:hAnsiTheme="majorHAnsi" w:cs="Arial"/>
                <w:b w:val="0"/>
                <w:color w:val="auto"/>
                <w:sz w:val="20"/>
                <w:szCs w:val="20"/>
                <w:lang w:val="fr-CA"/>
              </w:rPr>
              <w:t>sélectionnées</w:t>
            </w:r>
            <w:r w:rsidR="009746C1" w:rsidRPr="00AD15D6">
              <w:rPr>
                <w:rFonts w:asciiTheme="majorHAnsi" w:hAnsiTheme="majorHAnsi" w:cs="Arial"/>
                <w:b w:val="0"/>
                <w:color w:val="auto"/>
                <w:sz w:val="20"/>
                <w:szCs w:val="20"/>
                <w:lang w:val="fr-CA"/>
              </w:rPr>
              <w:t>, par l’intermédiaire de leurs Correspondants nationaux GEST, fondé sur la superficie des tourbières et autres critères</w:t>
            </w:r>
            <w:r w:rsidR="00F02C6F" w:rsidRPr="00AD15D6">
              <w:rPr>
                <w:rFonts w:asciiTheme="majorHAnsi" w:hAnsiTheme="majorHAnsi" w:cs="Arial"/>
                <w:b w:val="0"/>
                <w:color w:val="auto"/>
                <w:sz w:val="20"/>
                <w:szCs w:val="20"/>
                <w:lang w:val="fr-CA"/>
              </w:rPr>
              <w:t xml:space="preserve"> en vue d’identifier les meilleures pratiques pour la mise en œuvre d’un plan d’action pour les zones humides</w:t>
            </w:r>
            <w:r w:rsidR="009746C1" w:rsidRPr="00AD15D6">
              <w:rPr>
                <w:rFonts w:asciiTheme="majorHAnsi" w:hAnsiTheme="majorHAnsi" w:cs="Arial"/>
                <w:b w:val="0"/>
                <w:color w:val="auto"/>
                <w:sz w:val="20"/>
                <w:szCs w:val="20"/>
                <w:lang w:val="fr-CA"/>
              </w:rPr>
              <w:t>.</w:t>
            </w:r>
          </w:p>
          <w:p w14:paraId="60B74BF4" w14:textId="2252547D" w:rsidR="00E01336" w:rsidRPr="00AD15D6" w:rsidRDefault="00E01336" w:rsidP="00E01336">
            <w:pPr>
              <w:pStyle w:val="Default"/>
              <w:rPr>
                <w:rFonts w:asciiTheme="majorHAnsi" w:hAnsiTheme="majorHAnsi" w:cs="Arial"/>
                <w:b w:val="0"/>
                <w:color w:val="auto"/>
                <w:sz w:val="20"/>
                <w:szCs w:val="20"/>
                <w:lang w:val="fr-CA"/>
              </w:rPr>
            </w:pPr>
            <w:r w:rsidRPr="00AD15D6">
              <w:rPr>
                <w:rFonts w:asciiTheme="majorHAnsi" w:hAnsiTheme="majorHAnsi" w:cs="Arial"/>
                <w:b w:val="0"/>
                <w:color w:val="auto"/>
                <w:sz w:val="20"/>
                <w:szCs w:val="20"/>
                <w:lang w:val="fr-CA"/>
              </w:rPr>
              <w:t xml:space="preserve"> </w:t>
            </w:r>
          </w:p>
          <w:p w14:paraId="72E9BB62" w14:textId="042C187F" w:rsidR="00E01336" w:rsidRPr="00AD15D6" w:rsidRDefault="00744912" w:rsidP="00E01336">
            <w:pPr>
              <w:pStyle w:val="Default"/>
              <w:rPr>
                <w:rFonts w:asciiTheme="majorHAnsi" w:hAnsiTheme="majorHAnsi" w:cs="Arial"/>
                <w:b w:val="0"/>
                <w:color w:val="auto"/>
                <w:sz w:val="20"/>
                <w:szCs w:val="20"/>
                <w:lang w:val="fr-CA"/>
              </w:rPr>
            </w:pPr>
            <w:r w:rsidRPr="00AD15D6">
              <w:rPr>
                <w:rFonts w:asciiTheme="majorHAnsi" w:hAnsiTheme="majorHAnsi" w:cs="Arial"/>
                <w:b w:val="0"/>
                <w:sz w:val="20"/>
                <w:szCs w:val="20"/>
                <w:u w:val="single"/>
                <w:lang w:val="fr-CA"/>
              </w:rPr>
              <w:t>Résultat(s) escompté(s)</w:t>
            </w:r>
            <w:r w:rsidRPr="00AD15D6">
              <w:rPr>
                <w:rFonts w:asciiTheme="majorHAnsi" w:hAnsiTheme="majorHAnsi" w:cs="Arial"/>
                <w:b w:val="0"/>
                <w:sz w:val="20"/>
                <w:szCs w:val="20"/>
                <w:lang w:val="fr-CA"/>
              </w:rPr>
              <w:t xml:space="preserve"> : </w:t>
            </w:r>
            <w:r w:rsidR="009746C1" w:rsidRPr="00AD15D6">
              <w:rPr>
                <w:rFonts w:asciiTheme="majorHAnsi" w:hAnsiTheme="majorHAnsi" w:cs="Arial"/>
                <w:b w:val="0"/>
                <w:color w:val="auto"/>
                <w:sz w:val="20"/>
                <w:szCs w:val="20"/>
                <w:lang w:val="fr-CA"/>
              </w:rPr>
              <w:t xml:space="preserve">Rapport résumé </w:t>
            </w:r>
            <w:r w:rsidR="00970842" w:rsidRPr="00AD15D6">
              <w:rPr>
                <w:rFonts w:asciiTheme="majorHAnsi" w:hAnsiTheme="majorHAnsi" w:cs="Arial"/>
                <w:b w:val="0"/>
                <w:color w:val="auto"/>
                <w:sz w:val="20"/>
                <w:szCs w:val="20"/>
                <w:lang w:val="fr-CA"/>
              </w:rPr>
              <w:t xml:space="preserve">et webinaire </w:t>
            </w:r>
            <w:r w:rsidR="009746C1" w:rsidRPr="00AD15D6">
              <w:rPr>
                <w:rFonts w:asciiTheme="majorHAnsi" w:hAnsiTheme="majorHAnsi" w:cs="Arial"/>
                <w:b w:val="0"/>
                <w:color w:val="auto"/>
                <w:sz w:val="20"/>
                <w:szCs w:val="20"/>
                <w:lang w:val="fr-CA"/>
              </w:rPr>
              <w:t>sur les progrès d’application d</w:t>
            </w:r>
            <w:r w:rsidR="00244D7B" w:rsidRPr="00AD15D6">
              <w:rPr>
                <w:rFonts w:asciiTheme="majorHAnsi" w:hAnsiTheme="majorHAnsi" w:cs="Arial"/>
                <w:b w:val="0"/>
                <w:color w:val="auto"/>
                <w:sz w:val="20"/>
                <w:szCs w:val="20"/>
                <w:lang w:val="fr-CA"/>
              </w:rPr>
              <w:t>e l’Action mondiale pour les tourbières</w:t>
            </w:r>
            <w:r w:rsidR="009746C1" w:rsidRPr="00AD15D6">
              <w:rPr>
                <w:rFonts w:asciiTheme="majorHAnsi" w:hAnsiTheme="majorHAnsi" w:cs="Arial"/>
                <w:b w:val="0"/>
                <w:color w:val="auto"/>
                <w:sz w:val="20"/>
                <w:szCs w:val="20"/>
                <w:lang w:val="fr-CA"/>
              </w:rPr>
              <w:t xml:space="preserve">. </w:t>
            </w:r>
            <w:r w:rsidR="00970842" w:rsidRPr="00AD15D6">
              <w:rPr>
                <w:rFonts w:asciiTheme="majorHAnsi" w:hAnsiTheme="majorHAnsi" w:cs="Arial"/>
                <w:b w:val="0"/>
                <w:color w:val="auto"/>
                <w:sz w:val="20"/>
                <w:szCs w:val="20"/>
                <w:lang w:val="fr-CA"/>
              </w:rPr>
              <w:t>Les autres résultats sont tributaires des conclusions.</w:t>
            </w:r>
          </w:p>
          <w:p w14:paraId="5EEC4964" w14:textId="77777777" w:rsidR="00E01336" w:rsidRPr="00AD15D6" w:rsidRDefault="00E01336" w:rsidP="00E01336">
            <w:pPr>
              <w:pStyle w:val="Default"/>
              <w:rPr>
                <w:rFonts w:asciiTheme="majorHAnsi" w:hAnsiTheme="majorHAnsi" w:cs="Arial"/>
                <w:b w:val="0"/>
                <w:color w:val="auto"/>
                <w:sz w:val="20"/>
                <w:szCs w:val="20"/>
                <w:lang w:val="fr-CA"/>
              </w:rPr>
            </w:pPr>
          </w:p>
          <w:p w14:paraId="24DE2896" w14:textId="5811BAAF" w:rsidR="00E01336" w:rsidRPr="00AD15D6" w:rsidRDefault="00744912" w:rsidP="009746C1">
            <w:pPr>
              <w:rPr>
                <w:rFonts w:asciiTheme="majorHAnsi" w:hAnsiTheme="majorHAnsi" w:cs="Arial"/>
                <w:b w:val="0"/>
                <w:sz w:val="20"/>
                <w:szCs w:val="20"/>
                <w:u w:val="single"/>
                <w:lang w:val="fr-CA"/>
              </w:rPr>
            </w:pPr>
            <w:r w:rsidRPr="00AD15D6">
              <w:rPr>
                <w:rFonts w:asciiTheme="majorHAnsi" w:hAnsiTheme="majorHAnsi" w:cs="Arial"/>
                <w:b w:val="0"/>
                <w:sz w:val="20"/>
                <w:szCs w:val="20"/>
                <w:u w:val="single"/>
                <w:lang w:val="fr-CA"/>
              </w:rPr>
              <w:t>Public(s) ciblé(s)</w:t>
            </w:r>
            <w:r w:rsidRPr="00AD15D6">
              <w:rPr>
                <w:rFonts w:asciiTheme="majorHAnsi" w:hAnsiTheme="majorHAnsi" w:cs="Arial"/>
                <w:b w:val="0"/>
                <w:sz w:val="20"/>
                <w:szCs w:val="20"/>
                <w:lang w:val="fr-CA"/>
              </w:rPr>
              <w:t xml:space="preserve"> : </w:t>
            </w:r>
            <w:r w:rsidR="009746C1" w:rsidRPr="00AD15D6">
              <w:rPr>
                <w:rFonts w:asciiTheme="majorHAnsi" w:hAnsiTheme="majorHAnsi" w:cs="Arial"/>
                <w:b w:val="0"/>
                <w:sz w:val="20"/>
                <w:szCs w:val="20"/>
                <w:lang w:val="fr-CA"/>
              </w:rPr>
              <w:t>Décideurs et praticiens.</w:t>
            </w:r>
            <w:r w:rsidR="00E01336" w:rsidRPr="00AD15D6">
              <w:rPr>
                <w:rFonts w:asciiTheme="majorHAnsi" w:hAnsiTheme="majorHAnsi" w:cs="Arial"/>
                <w:b w:val="0"/>
                <w:sz w:val="20"/>
                <w:szCs w:val="20"/>
                <w:lang w:val="fr-CA"/>
              </w:rPr>
              <w:t xml:space="preserve"> </w:t>
            </w:r>
          </w:p>
        </w:tc>
        <w:tc>
          <w:tcPr>
            <w:tcW w:w="491" w:type="pct"/>
          </w:tcPr>
          <w:p w14:paraId="79C7C8EC" w14:textId="585FD792" w:rsidR="00E01336" w:rsidRPr="00AD15D6" w:rsidRDefault="00970842" w:rsidP="00914A1A">
            <w:pPr>
              <w:rPr>
                <w:rFonts w:asciiTheme="majorHAnsi" w:hAnsiTheme="majorHAnsi" w:cs="Arial"/>
                <w:b w:val="0"/>
                <w:sz w:val="20"/>
                <w:szCs w:val="20"/>
                <w:lang w:val="fr-CA"/>
              </w:rPr>
            </w:pPr>
            <w:r w:rsidRPr="00AD15D6">
              <w:rPr>
                <w:rFonts w:asciiTheme="majorHAnsi" w:hAnsiTheme="majorHAnsi" w:cs="Arial"/>
                <w:b w:val="0"/>
                <w:sz w:val="20"/>
                <w:szCs w:val="20"/>
                <w:lang w:val="fr-CA"/>
              </w:rPr>
              <w:t xml:space="preserve">Jusqu’à </w:t>
            </w:r>
            <w:r w:rsidR="004623F8" w:rsidRPr="00AD15D6">
              <w:rPr>
                <w:rFonts w:asciiTheme="majorHAnsi" w:hAnsiTheme="majorHAnsi" w:cs="Arial"/>
                <w:b w:val="0"/>
                <w:sz w:val="20"/>
                <w:szCs w:val="20"/>
                <w:lang w:val="fr-CA"/>
              </w:rPr>
              <w:t>9</w:t>
            </w:r>
            <w:r w:rsidR="00E01336" w:rsidRPr="00AD15D6">
              <w:rPr>
                <w:rFonts w:asciiTheme="majorHAnsi" w:hAnsiTheme="majorHAnsi" w:cs="Arial"/>
                <w:b w:val="0"/>
                <w:sz w:val="20"/>
                <w:szCs w:val="20"/>
                <w:lang w:val="fr-CA"/>
              </w:rPr>
              <w:t xml:space="preserve">000 </w:t>
            </w:r>
          </w:p>
        </w:tc>
      </w:tr>
      <w:tr w:rsidR="00970842" w:rsidRPr="00AD15D6" w14:paraId="4D1D5D67" w14:textId="77777777" w:rsidTr="007A5771">
        <w:tc>
          <w:tcPr>
            <w:tcW w:w="529" w:type="pct"/>
          </w:tcPr>
          <w:p w14:paraId="0EBF05E4" w14:textId="7525B342" w:rsidR="00970842" w:rsidRPr="00AD15D6" w:rsidRDefault="00970842" w:rsidP="007A5771">
            <w:pPr>
              <w:rPr>
                <w:rFonts w:asciiTheme="majorHAnsi" w:hAnsiTheme="majorHAnsi" w:cs="Arial"/>
                <w:b w:val="0"/>
                <w:sz w:val="20"/>
                <w:szCs w:val="20"/>
                <w:lang w:val="fr-CA"/>
              </w:rPr>
            </w:pPr>
            <w:r w:rsidRPr="00AD15D6">
              <w:rPr>
                <w:rFonts w:asciiTheme="majorHAnsi" w:hAnsiTheme="majorHAnsi" w:cs="Arial"/>
                <w:b w:val="0"/>
                <w:sz w:val="20"/>
                <w:szCs w:val="20"/>
                <w:lang w:val="fr-CA"/>
              </w:rPr>
              <w:lastRenderedPageBreak/>
              <w:t>2.4 Meilleures pratiques pour l’élaboration et l’application de plans d’action pour la gestion des espèces exotiques envahissantes dans les Sites Ramsar et autres zones humides : un guide des orientations disponibles</w:t>
            </w:r>
          </w:p>
        </w:tc>
        <w:tc>
          <w:tcPr>
            <w:tcW w:w="276" w:type="pct"/>
          </w:tcPr>
          <w:p w14:paraId="5151BFA3" w14:textId="77777777" w:rsidR="00970842" w:rsidRPr="00AD15D6" w:rsidRDefault="00970842" w:rsidP="007A5771">
            <w:pPr>
              <w:rPr>
                <w:rFonts w:asciiTheme="majorHAnsi" w:hAnsiTheme="majorHAnsi" w:cs="Arial"/>
                <w:b w:val="0"/>
                <w:sz w:val="20"/>
                <w:szCs w:val="20"/>
                <w:lang w:val="fr-CA"/>
              </w:rPr>
            </w:pPr>
          </w:p>
        </w:tc>
        <w:tc>
          <w:tcPr>
            <w:tcW w:w="355" w:type="pct"/>
          </w:tcPr>
          <w:p w14:paraId="4831B8D1" w14:textId="458A2C9B" w:rsidR="00970842" w:rsidRPr="00AD15D6" w:rsidRDefault="00970842" w:rsidP="007A5771">
            <w:pPr>
              <w:rPr>
                <w:rFonts w:asciiTheme="majorHAnsi" w:hAnsiTheme="majorHAnsi" w:cs="Arial"/>
                <w:b w:val="0"/>
                <w:sz w:val="20"/>
                <w:szCs w:val="20"/>
                <w:lang w:val="fr-CA"/>
              </w:rPr>
            </w:pPr>
            <w:r w:rsidRPr="00AD15D6">
              <w:rPr>
                <w:rFonts w:asciiTheme="majorHAnsi" w:hAnsiTheme="majorHAnsi" w:cs="Arial"/>
                <w:b w:val="0"/>
                <w:sz w:val="20"/>
                <w:szCs w:val="20"/>
                <w:lang w:val="fr-CA"/>
              </w:rPr>
              <w:t xml:space="preserve">XII.2, </w:t>
            </w:r>
            <w:r w:rsidR="004B32FB">
              <w:rPr>
                <w:rFonts w:asciiTheme="majorHAnsi" w:hAnsiTheme="majorHAnsi" w:cs="Arial"/>
                <w:b w:val="0"/>
                <w:sz w:val="20"/>
                <w:szCs w:val="20"/>
                <w:lang w:val="fr-CA"/>
              </w:rPr>
              <w:t>annexe</w:t>
            </w:r>
            <w:r w:rsidR="001979B9">
              <w:rPr>
                <w:rFonts w:asciiTheme="majorHAnsi" w:hAnsiTheme="majorHAnsi" w:cs="Arial"/>
                <w:b w:val="0"/>
                <w:sz w:val="20"/>
                <w:szCs w:val="20"/>
                <w:lang w:val="fr-CA"/>
              </w:rPr>
              <w:t xml:space="preserve">, </w:t>
            </w:r>
            <w:r w:rsidRPr="00AD15D6">
              <w:rPr>
                <w:rFonts w:asciiTheme="majorHAnsi" w:hAnsiTheme="majorHAnsi" w:cs="Arial"/>
                <w:b w:val="0"/>
                <w:sz w:val="20"/>
                <w:szCs w:val="20"/>
                <w:lang w:val="fr-CA"/>
              </w:rPr>
              <w:t xml:space="preserve">¶30, </w:t>
            </w:r>
          </w:p>
        </w:tc>
        <w:tc>
          <w:tcPr>
            <w:tcW w:w="398" w:type="pct"/>
          </w:tcPr>
          <w:p w14:paraId="368BF348" w14:textId="77777777" w:rsidR="00970842" w:rsidRPr="00AD15D6" w:rsidRDefault="00970842" w:rsidP="007A5771">
            <w:pPr>
              <w:rPr>
                <w:rFonts w:asciiTheme="majorHAnsi" w:hAnsiTheme="majorHAnsi" w:cs="Arial"/>
                <w:b w:val="0"/>
                <w:sz w:val="20"/>
                <w:szCs w:val="20"/>
                <w:lang w:val="fr-CA"/>
              </w:rPr>
            </w:pPr>
            <w:r w:rsidRPr="00AD15D6">
              <w:rPr>
                <w:rFonts w:asciiTheme="majorHAnsi" w:hAnsiTheme="majorHAnsi" w:cs="Arial"/>
                <w:b w:val="0"/>
                <w:sz w:val="20"/>
                <w:szCs w:val="20"/>
                <w:lang w:val="fr-CA"/>
              </w:rPr>
              <w:t>1.4; 2.5, 2.7; 3.8, 3.9, 3.11, 3.12; 4.14</w:t>
            </w:r>
          </w:p>
        </w:tc>
        <w:tc>
          <w:tcPr>
            <w:tcW w:w="2951" w:type="pct"/>
          </w:tcPr>
          <w:p w14:paraId="3200E454" w14:textId="216667C7" w:rsidR="00970842" w:rsidRPr="00AD15D6" w:rsidRDefault="00970842" w:rsidP="007A5771">
            <w:pPr>
              <w:rPr>
                <w:rFonts w:asciiTheme="majorHAnsi" w:hAnsiTheme="majorHAnsi" w:cs="Arial"/>
                <w:b w:val="0"/>
                <w:sz w:val="20"/>
                <w:szCs w:val="20"/>
                <w:lang w:val="fr-CA"/>
              </w:rPr>
            </w:pPr>
            <w:r w:rsidRPr="00AD15D6">
              <w:rPr>
                <w:rFonts w:asciiTheme="majorHAnsi" w:hAnsiTheme="majorHAnsi" w:cs="Arial"/>
                <w:b w:val="0"/>
                <w:sz w:val="20"/>
                <w:szCs w:val="20"/>
                <w:u w:val="single"/>
                <w:lang w:val="fr-CA"/>
              </w:rPr>
              <w:t>Description de tâche</w:t>
            </w:r>
            <w:r w:rsidRPr="00AD15D6">
              <w:rPr>
                <w:rFonts w:asciiTheme="majorHAnsi" w:hAnsiTheme="majorHAnsi" w:cs="Arial"/>
                <w:b w:val="0"/>
                <w:sz w:val="20"/>
                <w:szCs w:val="20"/>
                <w:lang w:val="fr-CA"/>
              </w:rPr>
              <w:t> : Publier une note d’information</w:t>
            </w:r>
            <w:r w:rsidR="00855403">
              <w:rPr>
                <w:rFonts w:asciiTheme="majorHAnsi" w:hAnsiTheme="majorHAnsi" w:cs="Arial"/>
                <w:b w:val="0"/>
                <w:sz w:val="20"/>
                <w:szCs w:val="20"/>
                <w:lang w:val="fr-CA"/>
              </w:rPr>
              <w:t xml:space="preserve"> </w:t>
            </w:r>
            <w:r w:rsidRPr="00AD15D6">
              <w:rPr>
                <w:rFonts w:asciiTheme="majorHAnsi" w:hAnsiTheme="majorHAnsi" w:cs="Arial"/>
                <w:b w:val="0"/>
                <w:sz w:val="20"/>
                <w:szCs w:val="20"/>
                <w:lang w:val="fr-CA"/>
              </w:rPr>
              <w:t xml:space="preserve">fournissant un guide des orientations disponibles sur les meilleures pratiques pour l’élaboration et l’application de plans d’action pour la gestion des espèces exotiques envahissantes dans les Sites Ramsar et autres zones humides (en collaboration avec l’AEWA). </w:t>
            </w:r>
          </w:p>
          <w:p w14:paraId="674435D1" w14:textId="77777777" w:rsidR="00970842" w:rsidRPr="00AD15D6" w:rsidRDefault="00970842" w:rsidP="007A5771">
            <w:pPr>
              <w:rPr>
                <w:rFonts w:asciiTheme="majorHAnsi" w:hAnsiTheme="majorHAnsi" w:cs="Arial"/>
                <w:b w:val="0"/>
                <w:sz w:val="20"/>
                <w:szCs w:val="20"/>
                <w:lang w:val="fr-CA"/>
              </w:rPr>
            </w:pPr>
            <w:r w:rsidRPr="00AD15D6">
              <w:rPr>
                <w:rFonts w:asciiTheme="majorHAnsi" w:hAnsiTheme="majorHAnsi" w:cs="Arial"/>
                <w:b w:val="0"/>
                <w:sz w:val="20"/>
                <w:szCs w:val="20"/>
                <w:lang w:val="fr-CA"/>
              </w:rPr>
              <w:t xml:space="preserve"> </w:t>
            </w:r>
          </w:p>
          <w:p w14:paraId="3ED181D2" w14:textId="77777777" w:rsidR="00970842" w:rsidRPr="00AD15D6" w:rsidRDefault="00970842" w:rsidP="007A5771">
            <w:pPr>
              <w:rPr>
                <w:rFonts w:asciiTheme="majorHAnsi" w:hAnsiTheme="majorHAnsi" w:cs="Arial"/>
                <w:b w:val="0"/>
                <w:sz w:val="20"/>
                <w:szCs w:val="20"/>
                <w:lang w:val="fr-CA"/>
              </w:rPr>
            </w:pPr>
            <w:r w:rsidRPr="00AD15D6">
              <w:rPr>
                <w:rFonts w:asciiTheme="majorHAnsi" w:hAnsiTheme="majorHAnsi" w:cs="Arial"/>
                <w:b w:val="0"/>
                <w:sz w:val="20"/>
                <w:szCs w:val="20"/>
                <w:u w:val="single"/>
                <w:lang w:val="fr-CA"/>
              </w:rPr>
              <w:t>Résultat(s) escompté(s)</w:t>
            </w:r>
            <w:r w:rsidRPr="00AD15D6">
              <w:rPr>
                <w:rFonts w:asciiTheme="majorHAnsi" w:hAnsiTheme="majorHAnsi" w:cs="Arial"/>
                <w:b w:val="0"/>
                <w:sz w:val="20"/>
                <w:szCs w:val="20"/>
                <w:lang w:val="fr-CA"/>
              </w:rPr>
              <w:t> : Note d’information.</w:t>
            </w:r>
          </w:p>
          <w:p w14:paraId="066E288A" w14:textId="77777777" w:rsidR="00970842" w:rsidRPr="00AD15D6" w:rsidRDefault="00970842" w:rsidP="007A5771">
            <w:pPr>
              <w:rPr>
                <w:rFonts w:asciiTheme="majorHAnsi" w:hAnsiTheme="majorHAnsi" w:cs="Arial"/>
                <w:b w:val="0"/>
                <w:sz w:val="20"/>
                <w:szCs w:val="20"/>
                <w:lang w:val="fr-CA"/>
              </w:rPr>
            </w:pPr>
          </w:p>
          <w:p w14:paraId="4B15E20A" w14:textId="77777777" w:rsidR="00970842" w:rsidRPr="00AD15D6" w:rsidRDefault="00970842" w:rsidP="007A5771">
            <w:pPr>
              <w:rPr>
                <w:rFonts w:asciiTheme="majorHAnsi" w:hAnsiTheme="majorHAnsi" w:cs="Arial"/>
                <w:b w:val="0"/>
                <w:sz w:val="20"/>
                <w:szCs w:val="20"/>
                <w:u w:val="single"/>
                <w:lang w:val="fr-CA"/>
              </w:rPr>
            </w:pPr>
            <w:r w:rsidRPr="00AD15D6">
              <w:rPr>
                <w:rFonts w:asciiTheme="majorHAnsi" w:hAnsiTheme="majorHAnsi" w:cs="Arial"/>
                <w:b w:val="0"/>
                <w:sz w:val="20"/>
                <w:szCs w:val="20"/>
                <w:u w:val="single"/>
                <w:lang w:val="fr-CA"/>
              </w:rPr>
              <w:t>Public(s) ciblé(s)</w:t>
            </w:r>
            <w:r w:rsidRPr="00AD15D6">
              <w:rPr>
                <w:rFonts w:asciiTheme="majorHAnsi" w:hAnsiTheme="majorHAnsi" w:cs="Arial"/>
                <w:b w:val="0"/>
                <w:sz w:val="20"/>
                <w:szCs w:val="20"/>
                <w:lang w:val="fr-CA"/>
              </w:rPr>
              <w:t> : Praticiens (administrateurs de zones humides).</w:t>
            </w:r>
          </w:p>
        </w:tc>
        <w:tc>
          <w:tcPr>
            <w:tcW w:w="491" w:type="pct"/>
          </w:tcPr>
          <w:p w14:paraId="218D8468" w14:textId="77777777" w:rsidR="00970842" w:rsidRPr="00AD15D6" w:rsidRDefault="00970842" w:rsidP="007A5771">
            <w:pPr>
              <w:rPr>
                <w:rFonts w:asciiTheme="majorHAnsi" w:hAnsiTheme="majorHAnsi" w:cs="Arial"/>
                <w:b w:val="0"/>
                <w:sz w:val="20"/>
                <w:szCs w:val="20"/>
                <w:lang w:val="fr-CA"/>
              </w:rPr>
            </w:pPr>
            <w:r w:rsidRPr="00AD15D6">
              <w:rPr>
                <w:rFonts w:asciiTheme="majorHAnsi" w:hAnsiTheme="majorHAnsi" w:cs="Arial"/>
                <w:b w:val="0"/>
                <w:sz w:val="20"/>
                <w:szCs w:val="20"/>
                <w:lang w:val="fr-CA"/>
              </w:rPr>
              <w:t>Jusqu’à 13 000</w:t>
            </w:r>
          </w:p>
        </w:tc>
      </w:tr>
      <w:tr w:rsidR="00F52F75" w:rsidRPr="00833360" w14:paraId="49082271" w14:textId="77777777" w:rsidTr="007A5771">
        <w:tc>
          <w:tcPr>
            <w:tcW w:w="529" w:type="pct"/>
          </w:tcPr>
          <w:p w14:paraId="47D3A46D" w14:textId="425AD3A7" w:rsidR="00F52F75" w:rsidRPr="00AD15D6" w:rsidRDefault="00F52F75" w:rsidP="007A5771">
            <w:pPr>
              <w:rPr>
                <w:rFonts w:asciiTheme="majorHAnsi" w:hAnsiTheme="majorHAnsi" w:cs="Arial"/>
                <w:b w:val="0"/>
                <w:sz w:val="20"/>
                <w:szCs w:val="20"/>
                <w:lang w:val="fr-CA"/>
              </w:rPr>
            </w:pPr>
            <w:r w:rsidRPr="00AD15D6">
              <w:rPr>
                <w:rFonts w:asciiTheme="majorHAnsi" w:hAnsiTheme="majorHAnsi" w:cs="Arial"/>
                <w:b w:val="0"/>
                <w:sz w:val="20"/>
                <w:szCs w:val="20"/>
                <w:lang w:val="fr-CA"/>
              </w:rPr>
              <w:t>2.5 Gestion des moustiques vecteurs de maladies dans les zones humides</w:t>
            </w:r>
          </w:p>
        </w:tc>
        <w:tc>
          <w:tcPr>
            <w:tcW w:w="276" w:type="pct"/>
          </w:tcPr>
          <w:p w14:paraId="1D57D68C" w14:textId="15627453" w:rsidR="00F52F75" w:rsidRPr="00AD15D6" w:rsidRDefault="008E6B37" w:rsidP="007A5771">
            <w:pPr>
              <w:rPr>
                <w:rFonts w:asciiTheme="majorHAnsi" w:hAnsiTheme="majorHAnsi" w:cs="Arial"/>
                <w:b w:val="0"/>
                <w:sz w:val="20"/>
                <w:szCs w:val="20"/>
                <w:lang w:val="fr-CA"/>
              </w:rPr>
            </w:pPr>
            <w:r>
              <w:rPr>
                <w:rFonts w:asciiTheme="majorHAnsi" w:hAnsiTheme="majorHAnsi" w:cs="Arial"/>
                <w:b w:val="0"/>
                <w:sz w:val="20"/>
                <w:szCs w:val="20"/>
                <w:lang w:val="fr-CA"/>
              </w:rPr>
              <w:t>Très haute</w:t>
            </w:r>
          </w:p>
        </w:tc>
        <w:tc>
          <w:tcPr>
            <w:tcW w:w="355" w:type="pct"/>
          </w:tcPr>
          <w:p w14:paraId="4DCE7061" w14:textId="60DDFE17" w:rsidR="00F52F75" w:rsidRPr="00AD15D6" w:rsidRDefault="00F52F75" w:rsidP="001979B9">
            <w:pPr>
              <w:rPr>
                <w:rFonts w:asciiTheme="majorHAnsi" w:hAnsiTheme="majorHAnsi" w:cs="Arial"/>
                <w:b w:val="0"/>
                <w:sz w:val="20"/>
                <w:szCs w:val="20"/>
                <w:lang w:val="fr-CA"/>
              </w:rPr>
            </w:pPr>
            <w:r w:rsidRPr="00AD15D6">
              <w:rPr>
                <w:rFonts w:asciiTheme="majorHAnsi" w:hAnsiTheme="majorHAnsi" w:cs="Arial"/>
                <w:b w:val="0"/>
                <w:sz w:val="20"/>
                <w:szCs w:val="20"/>
                <w:lang w:val="fr-CA"/>
              </w:rPr>
              <w:t xml:space="preserve">XII.5, </w:t>
            </w:r>
            <w:r w:rsidR="004B32FB">
              <w:rPr>
                <w:rFonts w:asciiTheme="majorHAnsi" w:hAnsiTheme="majorHAnsi" w:cs="Arial"/>
                <w:b w:val="0"/>
                <w:sz w:val="20"/>
                <w:szCs w:val="20"/>
                <w:lang w:val="fr-CA"/>
              </w:rPr>
              <w:t>annexe</w:t>
            </w:r>
            <w:r w:rsidRPr="00AD15D6">
              <w:rPr>
                <w:rFonts w:asciiTheme="majorHAnsi" w:hAnsiTheme="majorHAnsi" w:cs="Arial"/>
                <w:b w:val="0"/>
                <w:sz w:val="20"/>
                <w:szCs w:val="20"/>
                <w:lang w:val="fr-CA"/>
              </w:rPr>
              <w:t xml:space="preserve"> 1, ¶¶ 1 et 2; 15 (ii); 38 </w:t>
            </w:r>
          </w:p>
        </w:tc>
        <w:tc>
          <w:tcPr>
            <w:tcW w:w="398" w:type="pct"/>
          </w:tcPr>
          <w:p w14:paraId="03BA29EF" w14:textId="77777777" w:rsidR="00F52F75" w:rsidRPr="00AD15D6" w:rsidRDefault="00F52F75" w:rsidP="007A5771">
            <w:pPr>
              <w:rPr>
                <w:rFonts w:asciiTheme="majorHAnsi" w:hAnsiTheme="majorHAnsi" w:cs="Arial"/>
                <w:b w:val="0"/>
                <w:sz w:val="20"/>
                <w:szCs w:val="20"/>
                <w:lang w:val="fr-CA"/>
              </w:rPr>
            </w:pPr>
            <w:r w:rsidRPr="00AD15D6">
              <w:rPr>
                <w:rFonts w:asciiTheme="majorHAnsi" w:hAnsiTheme="majorHAnsi" w:cs="Arial"/>
                <w:b w:val="0"/>
                <w:sz w:val="20"/>
                <w:szCs w:val="20"/>
                <w:lang w:val="fr-CA"/>
              </w:rPr>
              <w:t>2.5, 2.7; 3.8, 3.9, 3.11, 3.12; 4.14</w:t>
            </w:r>
          </w:p>
        </w:tc>
        <w:tc>
          <w:tcPr>
            <w:tcW w:w="2951" w:type="pct"/>
          </w:tcPr>
          <w:p w14:paraId="17E7707F" w14:textId="3FC93C00" w:rsidR="00F52F75" w:rsidRPr="00AD15D6" w:rsidRDefault="00F52F75" w:rsidP="007A5771">
            <w:pPr>
              <w:rPr>
                <w:rFonts w:asciiTheme="majorHAnsi" w:hAnsiTheme="majorHAnsi" w:cs="Arial"/>
                <w:b w:val="0"/>
                <w:sz w:val="20"/>
                <w:szCs w:val="20"/>
                <w:lang w:val="fr-CA"/>
              </w:rPr>
            </w:pPr>
            <w:r w:rsidRPr="00AD15D6">
              <w:rPr>
                <w:rFonts w:asciiTheme="majorHAnsi" w:hAnsiTheme="majorHAnsi" w:cs="Arial"/>
                <w:b w:val="0"/>
                <w:sz w:val="20"/>
                <w:szCs w:val="20"/>
                <w:u w:val="single"/>
                <w:lang w:val="fr-CA"/>
              </w:rPr>
              <w:t>Description de tâche</w:t>
            </w:r>
            <w:r w:rsidRPr="00AD15D6">
              <w:rPr>
                <w:rFonts w:asciiTheme="majorHAnsi" w:hAnsiTheme="majorHAnsi" w:cs="Arial"/>
                <w:b w:val="0"/>
                <w:sz w:val="20"/>
                <w:szCs w:val="20"/>
                <w:lang w:val="fr-CA"/>
              </w:rPr>
              <w:t xml:space="preserve"> : </w:t>
            </w:r>
            <w:r w:rsidR="005E0933">
              <w:rPr>
                <w:rFonts w:asciiTheme="majorHAnsi" w:hAnsiTheme="majorHAnsi" w:cs="Arial"/>
                <w:b w:val="0"/>
                <w:sz w:val="20"/>
                <w:szCs w:val="20"/>
                <w:lang w:val="fr-CA"/>
              </w:rPr>
              <w:t xml:space="preserve">Fournir des avis sur la gestion des moustiques vecteurs de maladies dans les zones humides pour les administrateurs de sites, les praticiens et décideurs. </w:t>
            </w:r>
          </w:p>
          <w:p w14:paraId="24D3743B" w14:textId="77777777" w:rsidR="00F52F75" w:rsidRPr="00AD15D6" w:rsidRDefault="00F52F75" w:rsidP="007A5771">
            <w:pPr>
              <w:rPr>
                <w:rFonts w:asciiTheme="majorHAnsi" w:hAnsiTheme="majorHAnsi" w:cs="Arial"/>
                <w:b w:val="0"/>
                <w:sz w:val="20"/>
                <w:szCs w:val="20"/>
                <w:lang w:val="fr-CA"/>
              </w:rPr>
            </w:pPr>
            <w:r w:rsidRPr="00AD15D6">
              <w:rPr>
                <w:rFonts w:asciiTheme="majorHAnsi" w:hAnsiTheme="majorHAnsi" w:cs="Arial"/>
                <w:b w:val="0"/>
                <w:sz w:val="20"/>
                <w:szCs w:val="20"/>
                <w:lang w:val="fr-CA"/>
              </w:rPr>
              <w:t xml:space="preserve"> </w:t>
            </w:r>
          </w:p>
          <w:p w14:paraId="5F1EC8D5" w14:textId="77777777" w:rsidR="00F52F75" w:rsidRPr="00AD15D6" w:rsidRDefault="00F52F75" w:rsidP="007A5771">
            <w:pPr>
              <w:rPr>
                <w:rFonts w:asciiTheme="majorHAnsi" w:hAnsiTheme="majorHAnsi" w:cs="Arial"/>
                <w:b w:val="0"/>
                <w:sz w:val="20"/>
                <w:szCs w:val="20"/>
                <w:lang w:val="fr-CA"/>
              </w:rPr>
            </w:pPr>
            <w:r w:rsidRPr="00AD15D6">
              <w:rPr>
                <w:rFonts w:asciiTheme="majorHAnsi" w:hAnsiTheme="majorHAnsi" w:cs="Arial"/>
                <w:b w:val="0"/>
                <w:sz w:val="20"/>
                <w:szCs w:val="20"/>
                <w:u w:val="single"/>
                <w:lang w:val="fr-CA"/>
              </w:rPr>
              <w:t>Résultat(s) escompté(s)</w:t>
            </w:r>
            <w:r w:rsidRPr="00AD15D6">
              <w:rPr>
                <w:rFonts w:asciiTheme="majorHAnsi" w:hAnsiTheme="majorHAnsi" w:cs="Arial"/>
                <w:b w:val="0"/>
                <w:sz w:val="20"/>
                <w:szCs w:val="20"/>
                <w:lang w:val="fr-CA"/>
              </w:rPr>
              <w:t> :</w:t>
            </w:r>
          </w:p>
          <w:p w14:paraId="3B0B8592" w14:textId="76A41D89" w:rsidR="00F52F75" w:rsidRPr="00AD15D6" w:rsidRDefault="00F52F75" w:rsidP="007A5771">
            <w:pPr>
              <w:rPr>
                <w:rFonts w:asciiTheme="majorHAnsi" w:hAnsiTheme="majorHAnsi" w:cs="Arial"/>
                <w:b w:val="0"/>
                <w:sz w:val="20"/>
                <w:szCs w:val="20"/>
                <w:lang w:val="fr-CA"/>
              </w:rPr>
            </w:pPr>
            <w:r w:rsidRPr="00AD15D6">
              <w:rPr>
                <w:rFonts w:asciiTheme="majorHAnsi" w:hAnsiTheme="majorHAnsi" w:cs="Arial"/>
                <w:b w:val="0"/>
                <w:sz w:val="20"/>
                <w:szCs w:val="20"/>
                <w:lang w:val="fr-CA"/>
              </w:rPr>
              <w:t>1)</w:t>
            </w:r>
            <w:r w:rsidR="00855403">
              <w:rPr>
                <w:rFonts w:asciiTheme="majorHAnsi" w:hAnsiTheme="majorHAnsi" w:cs="Arial"/>
                <w:b w:val="0"/>
                <w:sz w:val="20"/>
                <w:szCs w:val="20"/>
                <w:lang w:val="fr-CA"/>
              </w:rPr>
              <w:t xml:space="preserve"> </w:t>
            </w:r>
            <w:r w:rsidRPr="00AD15D6">
              <w:rPr>
                <w:rFonts w:asciiTheme="majorHAnsi" w:hAnsiTheme="majorHAnsi" w:cs="Arial"/>
                <w:b w:val="0"/>
                <w:sz w:val="20"/>
                <w:szCs w:val="20"/>
                <w:lang w:val="fr-CA"/>
              </w:rPr>
              <w:t>Note d’information pour les praticiens (administrateurs de zones humides et agents de santé urbaine/périurbaine).</w:t>
            </w:r>
          </w:p>
          <w:p w14:paraId="441004FC" w14:textId="64AC1DAC" w:rsidR="00F52F75" w:rsidRPr="00AD15D6" w:rsidRDefault="00F52F75" w:rsidP="007A5771">
            <w:pPr>
              <w:pStyle w:val="NormalWeb"/>
              <w:shd w:val="clear" w:color="auto" w:fill="FFFFFF"/>
              <w:rPr>
                <w:rFonts w:asciiTheme="majorHAnsi" w:hAnsiTheme="majorHAnsi" w:cs="Arial"/>
                <w:b w:val="0"/>
                <w:sz w:val="20"/>
                <w:szCs w:val="20"/>
                <w:lang w:val="fr-CA"/>
              </w:rPr>
            </w:pPr>
            <w:r w:rsidRPr="00AD15D6">
              <w:rPr>
                <w:rFonts w:asciiTheme="majorHAnsi" w:hAnsiTheme="majorHAnsi" w:cs="Arial"/>
                <w:b w:val="0"/>
                <w:sz w:val="20"/>
                <w:szCs w:val="20"/>
                <w:lang w:val="fr-CA"/>
              </w:rPr>
              <w:t>2)</w:t>
            </w:r>
            <w:r w:rsidRPr="00AD15D6">
              <w:rPr>
                <w:rStyle w:val="apple-converted-space"/>
                <w:lang w:val="fr-CA"/>
              </w:rPr>
              <w:t xml:space="preserve"> </w:t>
            </w:r>
            <w:r w:rsidR="005E0933">
              <w:rPr>
                <w:rFonts w:asciiTheme="majorHAnsi" w:hAnsiTheme="majorHAnsi" w:cs="Arial"/>
                <w:b w:val="0"/>
                <w:sz w:val="20"/>
                <w:szCs w:val="20"/>
                <w:lang w:val="fr-CA"/>
              </w:rPr>
              <w:t xml:space="preserve">Document d’orientation </w:t>
            </w:r>
            <w:r w:rsidR="000A039D">
              <w:rPr>
                <w:rFonts w:asciiTheme="majorHAnsi" w:hAnsiTheme="majorHAnsi" w:cs="Arial"/>
                <w:b w:val="0"/>
                <w:sz w:val="20"/>
                <w:szCs w:val="20"/>
                <w:lang w:val="fr-CA"/>
              </w:rPr>
              <w:t xml:space="preserve">pour </w:t>
            </w:r>
            <w:r w:rsidR="003552EC">
              <w:rPr>
                <w:rFonts w:asciiTheme="majorHAnsi" w:hAnsiTheme="majorHAnsi" w:cs="Arial"/>
                <w:b w:val="0"/>
                <w:sz w:val="20"/>
                <w:szCs w:val="20"/>
                <w:lang w:val="fr-CA"/>
              </w:rPr>
              <w:t>définir</w:t>
            </w:r>
            <w:r w:rsidR="000A039D">
              <w:rPr>
                <w:rFonts w:asciiTheme="majorHAnsi" w:hAnsiTheme="majorHAnsi" w:cs="Arial"/>
                <w:b w:val="0"/>
                <w:sz w:val="20"/>
                <w:szCs w:val="20"/>
                <w:lang w:val="fr-CA"/>
              </w:rPr>
              <w:t xml:space="preserve"> le contrôle des vecteurs dans un contexte sanitaire général, en soulignant la valeur des processus d’évaluation des impacts sur la santé pour mieux comprendre les résultats probables sur la santé. </w:t>
            </w:r>
          </w:p>
          <w:p w14:paraId="359C144F" w14:textId="77777777" w:rsidR="00F52F75" w:rsidRPr="00AD15D6" w:rsidRDefault="00F52F75" w:rsidP="007A5771">
            <w:pPr>
              <w:rPr>
                <w:rFonts w:asciiTheme="majorHAnsi" w:hAnsiTheme="majorHAnsi" w:cs="Arial"/>
                <w:b w:val="0"/>
                <w:sz w:val="20"/>
                <w:szCs w:val="20"/>
                <w:lang w:val="fr-CA"/>
              </w:rPr>
            </w:pPr>
          </w:p>
          <w:p w14:paraId="3FC3EF98" w14:textId="77777777" w:rsidR="00F52F75" w:rsidRPr="00AD15D6" w:rsidRDefault="00F52F75" w:rsidP="007A5771">
            <w:pPr>
              <w:rPr>
                <w:rFonts w:asciiTheme="majorHAnsi" w:hAnsiTheme="majorHAnsi" w:cs="Arial"/>
                <w:b w:val="0"/>
                <w:sz w:val="20"/>
                <w:szCs w:val="20"/>
                <w:u w:val="single"/>
                <w:lang w:val="fr-CA"/>
              </w:rPr>
            </w:pPr>
            <w:r w:rsidRPr="00AD15D6">
              <w:rPr>
                <w:rFonts w:asciiTheme="majorHAnsi" w:hAnsiTheme="majorHAnsi" w:cs="Arial"/>
                <w:b w:val="0"/>
                <w:sz w:val="20"/>
                <w:szCs w:val="20"/>
                <w:u w:val="single"/>
                <w:lang w:val="fr-CA"/>
              </w:rPr>
              <w:t>Public(s) ciblé(s)</w:t>
            </w:r>
            <w:r w:rsidRPr="00AD15D6">
              <w:rPr>
                <w:rFonts w:asciiTheme="majorHAnsi" w:hAnsiTheme="majorHAnsi" w:cs="Arial"/>
                <w:b w:val="0"/>
                <w:sz w:val="20"/>
                <w:szCs w:val="20"/>
                <w:lang w:val="fr-CA"/>
              </w:rPr>
              <w:t> : Praticiens (administrateurs de zones humides et agents de santé) et décideurs.</w:t>
            </w:r>
          </w:p>
        </w:tc>
        <w:tc>
          <w:tcPr>
            <w:tcW w:w="491" w:type="pct"/>
          </w:tcPr>
          <w:p w14:paraId="5ACB6C57" w14:textId="260FB2F4" w:rsidR="00F52F75" w:rsidRPr="00AD15D6" w:rsidRDefault="000A039D" w:rsidP="000A039D">
            <w:pPr>
              <w:rPr>
                <w:rFonts w:asciiTheme="majorHAnsi" w:hAnsiTheme="majorHAnsi" w:cs="Arial"/>
                <w:b w:val="0"/>
                <w:sz w:val="20"/>
                <w:szCs w:val="20"/>
                <w:lang w:val="fr-CA"/>
              </w:rPr>
            </w:pPr>
            <w:r>
              <w:rPr>
                <w:rFonts w:asciiTheme="majorHAnsi" w:hAnsiTheme="majorHAnsi" w:cs="Arial"/>
                <w:b w:val="0"/>
                <w:sz w:val="20"/>
                <w:szCs w:val="20"/>
                <w:lang w:val="fr-CA"/>
              </w:rPr>
              <w:t>Jusqu’à</w:t>
            </w:r>
            <w:r w:rsidR="00F52F75" w:rsidRPr="00AD15D6">
              <w:rPr>
                <w:rFonts w:asciiTheme="majorHAnsi" w:hAnsiTheme="majorHAnsi" w:cs="Arial"/>
                <w:b w:val="0"/>
                <w:sz w:val="20"/>
                <w:szCs w:val="20"/>
                <w:lang w:val="fr-CA"/>
              </w:rPr>
              <w:t xml:space="preserve"> 22</w:t>
            </w:r>
            <w:r w:rsidR="005E0933">
              <w:rPr>
                <w:rFonts w:asciiTheme="majorHAnsi" w:hAnsiTheme="majorHAnsi" w:cs="Arial"/>
                <w:b w:val="0"/>
                <w:sz w:val="20"/>
                <w:szCs w:val="20"/>
                <w:lang w:val="fr-CA"/>
              </w:rPr>
              <w:t> </w:t>
            </w:r>
            <w:r w:rsidR="00F52F75" w:rsidRPr="00AD15D6">
              <w:rPr>
                <w:rFonts w:asciiTheme="majorHAnsi" w:hAnsiTheme="majorHAnsi" w:cs="Arial"/>
                <w:b w:val="0"/>
                <w:sz w:val="20"/>
                <w:szCs w:val="20"/>
                <w:lang w:val="fr-CA"/>
              </w:rPr>
              <w:t>000 [13</w:t>
            </w:r>
            <w:r w:rsidR="005E0933">
              <w:rPr>
                <w:rFonts w:asciiTheme="majorHAnsi" w:hAnsiTheme="majorHAnsi" w:cs="Arial"/>
                <w:b w:val="0"/>
                <w:sz w:val="20"/>
                <w:szCs w:val="20"/>
                <w:lang w:val="fr-CA"/>
              </w:rPr>
              <w:t> </w:t>
            </w:r>
            <w:r>
              <w:rPr>
                <w:rFonts w:asciiTheme="majorHAnsi" w:hAnsiTheme="majorHAnsi" w:cs="Arial"/>
                <w:b w:val="0"/>
                <w:sz w:val="20"/>
                <w:szCs w:val="20"/>
                <w:lang w:val="fr-CA"/>
              </w:rPr>
              <w:t xml:space="preserve">000 pour une note d’information et </w:t>
            </w:r>
            <w:r w:rsidR="00F52F75" w:rsidRPr="00AD15D6">
              <w:rPr>
                <w:rFonts w:asciiTheme="majorHAnsi" w:hAnsiTheme="majorHAnsi" w:cs="Arial"/>
                <w:b w:val="0"/>
                <w:sz w:val="20"/>
                <w:szCs w:val="20"/>
                <w:lang w:val="fr-CA"/>
              </w:rPr>
              <w:t xml:space="preserve">9000 </w:t>
            </w:r>
            <w:r>
              <w:rPr>
                <w:rFonts w:asciiTheme="majorHAnsi" w:hAnsiTheme="majorHAnsi" w:cs="Arial"/>
                <w:b w:val="0"/>
                <w:sz w:val="20"/>
                <w:szCs w:val="20"/>
                <w:lang w:val="fr-CA"/>
              </w:rPr>
              <w:t>pour un document d’orientation</w:t>
            </w:r>
            <w:r w:rsidR="00F52F75" w:rsidRPr="00AD15D6">
              <w:rPr>
                <w:rFonts w:asciiTheme="majorHAnsi" w:hAnsiTheme="majorHAnsi" w:cs="Arial"/>
                <w:b w:val="0"/>
                <w:sz w:val="20"/>
                <w:szCs w:val="20"/>
                <w:lang w:val="fr-CA"/>
              </w:rPr>
              <w:t>]</w:t>
            </w:r>
          </w:p>
        </w:tc>
      </w:tr>
      <w:tr w:rsidR="00F52F75" w:rsidRPr="00833360" w14:paraId="14F0558C" w14:textId="77777777" w:rsidTr="00F02C6F">
        <w:tc>
          <w:tcPr>
            <w:tcW w:w="529" w:type="pct"/>
          </w:tcPr>
          <w:p w14:paraId="0BD88450" w14:textId="31767E11" w:rsidR="00E01336" w:rsidRPr="00AD15D6" w:rsidRDefault="00E01336" w:rsidP="00F52F75">
            <w:pPr>
              <w:rPr>
                <w:rFonts w:asciiTheme="majorHAnsi" w:hAnsiTheme="majorHAnsi" w:cs="Arial"/>
                <w:b w:val="0"/>
                <w:sz w:val="20"/>
                <w:szCs w:val="20"/>
                <w:lang w:val="fr-CA"/>
              </w:rPr>
            </w:pPr>
            <w:r w:rsidRPr="00AD15D6">
              <w:rPr>
                <w:rFonts w:asciiTheme="majorHAnsi" w:hAnsiTheme="majorHAnsi" w:cs="Arial"/>
                <w:b w:val="0"/>
                <w:sz w:val="20"/>
                <w:szCs w:val="20"/>
                <w:lang w:val="fr-CA"/>
              </w:rPr>
              <w:t>2.</w:t>
            </w:r>
            <w:r w:rsidR="00F52F75" w:rsidRPr="00AD15D6">
              <w:rPr>
                <w:rFonts w:asciiTheme="majorHAnsi" w:hAnsiTheme="majorHAnsi" w:cs="Arial"/>
                <w:b w:val="0"/>
                <w:sz w:val="20"/>
                <w:szCs w:val="20"/>
                <w:lang w:val="fr-CA"/>
              </w:rPr>
              <w:t>6</w:t>
            </w:r>
            <w:r w:rsidRPr="00AD15D6">
              <w:rPr>
                <w:rFonts w:asciiTheme="majorHAnsi" w:hAnsiTheme="majorHAnsi" w:cs="Arial"/>
                <w:b w:val="0"/>
                <w:sz w:val="20"/>
                <w:szCs w:val="20"/>
                <w:lang w:val="fr-CA"/>
              </w:rPr>
              <w:t xml:space="preserve"> </w:t>
            </w:r>
            <w:r w:rsidR="00F52F75" w:rsidRPr="00AD15D6">
              <w:rPr>
                <w:rFonts w:asciiTheme="majorHAnsi" w:hAnsiTheme="majorHAnsi" w:cs="Arial"/>
                <w:b w:val="0"/>
                <w:sz w:val="20"/>
                <w:szCs w:val="20"/>
                <w:lang w:val="fr-CA"/>
              </w:rPr>
              <w:t>Registre de Montreux</w:t>
            </w:r>
          </w:p>
        </w:tc>
        <w:tc>
          <w:tcPr>
            <w:tcW w:w="276" w:type="pct"/>
          </w:tcPr>
          <w:p w14:paraId="0C5898B4" w14:textId="7C24DDDE" w:rsidR="00E01336" w:rsidRPr="00AD15D6" w:rsidRDefault="00E01336" w:rsidP="00914A1A">
            <w:pPr>
              <w:rPr>
                <w:rFonts w:asciiTheme="majorHAnsi" w:hAnsiTheme="majorHAnsi" w:cs="Arial"/>
                <w:b w:val="0"/>
                <w:sz w:val="20"/>
                <w:szCs w:val="20"/>
                <w:lang w:val="fr-CA"/>
              </w:rPr>
            </w:pPr>
          </w:p>
        </w:tc>
        <w:tc>
          <w:tcPr>
            <w:tcW w:w="355" w:type="pct"/>
          </w:tcPr>
          <w:p w14:paraId="3DE6E83D" w14:textId="3F69A9A6" w:rsidR="00E01336" w:rsidRPr="00AD15D6" w:rsidRDefault="00E01336" w:rsidP="001979B9">
            <w:pPr>
              <w:rPr>
                <w:rFonts w:asciiTheme="majorHAnsi" w:hAnsiTheme="majorHAnsi" w:cs="Arial"/>
                <w:b w:val="0"/>
                <w:sz w:val="20"/>
                <w:szCs w:val="20"/>
                <w:lang w:val="fr-CA"/>
              </w:rPr>
            </w:pPr>
            <w:r w:rsidRPr="00AD15D6">
              <w:rPr>
                <w:rFonts w:asciiTheme="majorHAnsi" w:hAnsiTheme="majorHAnsi" w:cs="Arial"/>
                <w:b w:val="0"/>
                <w:sz w:val="20"/>
                <w:szCs w:val="20"/>
                <w:lang w:val="fr-CA"/>
              </w:rPr>
              <w:t>XII.</w:t>
            </w:r>
            <w:r w:rsidR="00970842" w:rsidRPr="00AD15D6">
              <w:rPr>
                <w:rFonts w:asciiTheme="majorHAnsi" w:hAnsiTheme="majorHAnsi" w:cs="Arial"/>
                <w:b w:val="0"/>
                <w:sz w:val="20"/>
                <w:szCs w:val="20"/>
                <w:lang w:val="fr-CA"/>
              </w:rPr>
              <w:t>5</w:t>
            </w:r>
            <w:r w:rsidRPr="00AD15D6">
              <w:rPr>
                <w:rFonts w:asciiTheme="majorHAnsi" w:hAnsiTheme="majorHAnsi" w:cs="Arial"/>
                <w:b w:val="0"/>
                <w:sz w:val="20"/>
                <w:szCs w:val="20"/>
                <w:lang w:val="fr-CA"/>
              </w:rPr>
              <w:t>,</w:t>
            </w:r>
            <w:r w:rsidR="00970842" w:rsidRPr="00AD15D6">
              <w:rPr>
                <w:rFonts w:asciiTheme="majorHAnsi" w:hAnsiTheme="majorHAnsi" w:cs="Arial"/>
                <w:b w:val="0"/>
                <w:sz w:val="20"/>
                <w:szCs w:val="20"/>
                <w:lang w:val="fr-CA"/>
              </w:rPr>
              <w:t xml:space="preserve"> </w:t>
            </w:r>
            <w:r w:rsidR="004B32FB">
              <w:rPr>
                <w:rFonts w:asciiTheme="majorHAnsi" w:hAnsiTheme="majorHAnsi" w:cs="Arial"/>
                <w:b w:val="0"/>
                <w:sz w:val="20"/>
                <w:szCs w:val="20"/>
                <w:lang w:val="fr-CA"/>
              </w:rPr>
              <w:t>annexe</w:t>
            </w:r>
            <w:r w:rsidR="00970842" w:rsidRPr="00AD15D6">
              <w:rPr>
                <w:rFonts w:asciiTheme="majorHAnsi" w:hAnsiTheme="majorHAnsi" w:cs="Arial"/>
                <w:b w:val="0"/>
                <w:sz w:val="20"/>
                <w:szCs w:val="20"/>
                <w:lang w:val="fr-CA"/>
              </w:rPr>
              <w:t xml:space="preserve"> 1, ¶¶ 1 et 2; </w:t>
            </w:r>
            <w:r w:rsidR="00F52F75" w:rsidRPr="00AD15D6">
              <w:rPr>
                <w:rFonts w:asciiTheme="majorHAnsi" w:hAnsiTheme="majorHAnsi" w:cs="Arial"/>
                <w:b w:val="0"/>
                <w:sz w:val="20"/>
                <w:szCs w:val="20"/>
                <w:lang w:val="fr-CA"/>
              </w:rPr>
              <w:lastRenderedPageBreak/>
              <w:t>12 (v); 15</w:t>
            </w:r>
            <w:r w:rsidR="00970842" w:rsidRPr="00AD15D6">
              <w:rPr>
                <w:rFonts w:asciiTheme="majorHAnsi" w:hAnsiTheme="majorHAnsi" w:cs="Arial"/>
                <w:b w:val="0"/>
                <w:sz w:val="20"/>
                <w:szCs w:val="20"/>
                <w:lang w:val="fr-CA"/>
              </w:rPr>
              <w:t>; 38</w:t>
            </w:r>
            <w:r w:rsidRPr="00AD15D6">
              <w:rPr>
                <w:rFonts w:asciiTheme="majorHAnsi" w:hAnsiTheme="majorHAnsi" w:cs="Arial"/>
                <w:b w:val="0"/>
                <w:sz w:val="20"/>
                <w:szCs w:val="20"/>
                <w:lang w:val="fr-CA"/>
              </w:rPr>
              <w:t xml:space="preserve"> </w:t>
            </w:r>
          </w:p>
        </w:tc>
        <w:tc>
          <w:tcPr>
            <w:tcW w:w="398" w:type="pct"/>
          </w:tcPr>
          <w:p w14:paraId="5E684480" w14:textId="1A88EBE0" w:rsidR="00E01336" w:rsidRPr="00AD15D6" w:rsidRDefault="00970842" w:rsidP="00970842">
            <w:pPr>
              <w:rPr>
                <w:rFonts w:asciiTheme="majorHAnsi" w:hAnsiTheme="majorHAnsi" w:cs="Arial"/>
                <w:b w:val="0"/>
                <w:sz w:val="20"/>
                <w:szCs w:val="20"/>
                <w:lang w:val="fr-CA"/>
              </w:rPr>
            </w:pPr>
            <w:r w:rsidRPr="00AD15D6">
              <w:rPr>
                <w:rFonts w:asciiTheme="majorHAnsi" w:hAnsiTheme="majorHAnsi" w:cs="Arial"/>
                <w:b w:val="0"/>
                <w:sz w:val="20"/>
                <w:szCs w:val="20"/>
                <w:lang w:val="fr-CA"/>
              </w:rPr>
              <w:lastRenderedPageBreak/>
              <w:t>2.5, 2.7; 3.8, 3.9, 3.11, 3.12; 4.14</w:t>
            </w:r>
          </w:p>
        </w:tc>
        <w:tc>
          <w:tcPr>
            <w:tcW w:w="2951" w:type="pct"/>
          </w:tcPr>
          <w:p w14:paraId="64906C9D" w14:textId="39FB4546" w:rsidR="00E01336" w:rsidRPr="00AD15D6" w:rsidRDefault="00744912" w:rsidP="00E01336">
            <w:pPr>
              <w:rPr>
                <w:rFonts w:asciiTheme="majorHAnsi" w:hAnsiTheme="majorHAnsi" w:cs="Arial"/>
                <w:b w:val="0"/>
                <w:sz w:val="20"/>
                <w:szCs w:val="20"/>
                <w:lang w:val="fr-CA"/>
              </w:rPr>
            </w:pPr>
            <w:r w:rsidRPr="00AD15D6">
              <w:rPr>
                <w:rFonts w:asciiTheme="majorHAnsi" w:hAnsiTheme="majorHAnsi" w:cs="Arial"/>
                <w:b w:val="0"/>
                <w:sz w:val="20"/>
                <w:szCs w:val="20"/>
                <w:u w:val="single"/>
                <w:lang w:val="fr-CA"/>
              </w:rPr>
              <w:t>Description de tâche</w:t>
            </w:r>
            <w:r w:rsidRPr="00AD15D6">
              <w:rPr>
                <w:rFonts w:asciiTheme="majorHAnsi" w:hAnsiTheme="majorHAnsi" w:cs="Arial"/>
                <w:b w:val="0"/>
                <w:sz w:val="20"/>
                <w:szCs w:val="20"/>
                <w:lang w:val="fr-CA"/>
              </w:rPr>
              <w:t xml:space="preserve"> : </w:t>
            </w:r>
            <w:r w:rsidR="000A039D">
              <w:rPr>
                <w:rFonts w:asciiTheme="majorHAnsi" w:hAnsiTheme="majorHAnsi"/>
                <w:b w:val="0"/>
                <w:sz w:val="20"/>
                <w:szCs w:val="20"/>
                <w:shd w:val="clear" w:color="auto" w:fill="FFFFFF"/>
                <w:lang w:val="fr-CA"/>
              </w:rPr>
              <w:t>Fournir des avis sur l’utilité du Registre de Montreux en tant qu’outil pour les Sites Ramsar.</w:t>
            </w:r>
          </w:p>
          <w:p w14:paraId="13A3B049" w14:textId="508E987E" w:rsidR="00E01336" w:rsidRPr="00AD15D6" w:rsidRDefault="00E01336" w:rsidP="00E01336">
            <w:pPr>
              <w:rPr>
                <w:rFonts w:asciiTheme="majorHAnsi" w:hAnsiTheme="majorHAnsi" w:cs="Arial"/>
                <w:b w:val="0"/>
                <w:sz w:val="20"/>
                <w:szCs w:val="20"/>
                <w:lang w:val="fr-CA"/>
              </w:rPr>
            </w:pPr>
            <w:r w:rsidRPr="00AD15D6">
              <w:rPr>
                <w:rFonts w:asciiTheme="majorHAnsi" w:hAnsiTheme="majorHAnsi" w:cs="Arial"/>
                <w:b w:val="0"/>
                <w:sz w:val="20"/>
                <w:szCs w:val="20"/>
                <w:lang w:val="fr-CA"/>
              </w:rPr>
              <w:t xml:space="preserve"> </w:t>
            </w:r>
          </w:p>
          <w:p w14:paraId="7BF0DF26" w14:textId="5970A50D" w:rsidR="00F52F75" w:rsidRPr="00AD15D6" w:rsidRDefault="00744912" w:rsidP="00807F64">
            <w:pPr>
              <w:spacing w:after="20"/>
              <w:rPr>
                <w:rFonts w:asciiTheme="majorHAnsi" w:hAnsiTheme="majorHAnsi" w:cs="Arial"/>
                <w:b w:val="0"/>
                <w:sz w:val="20"/>
                <w:szCs w:val="20"/>
                <w:lang w:val="fr-CA"/>
              </w:rPr>
            </w:pPr>
            <w:r w:rsidRPr="00AD15D6">
              <w:rPr>
                <w:rFonts w:asciiTheme="majorHAnsi" w:hAnsiTheme="majorHAnsi" w:cs="Arial"/>
                <w:b w:val="0"/>
                <w:sz w:val="20"/>
                <w:szCs w:val="20"/>
                <w:u w:val="single"/>
                <w:lang w:val="fr-CA"/>
              </w:rPr>
              <w:lastRenderedPageBreak/>
              <w:t>Résultat(s) escompté(s)</w:t>
            </w:r>
            <w:r w:rsidRPr="00AD15D6">
              <w:rPr>
                <w:rFonts w:asciiTheme="majorHAnsi" w:hAnsiTheme="majorHAnsi" w:cs="Arial"/>
                <w:b w:val="0"/>
                <w:sz w:val="20"/>
                <w:szCs w:val="20"/>
                <w:lang w:val="fr-CA"/>
              </w:rPr>
              <w:t> :</w:t>
            </w:r>
            <w:r w:rsidR="00F52F75" w:rsidRPr="00AD15D6">
              <w:rPr>
                <w:rFonts w:asciiTheme="majorHAnsi" w:hAnsiTheme="majorHAnsi" w:cs="Arial"/>
                <w:b w:val="0"/>
                <w:sz w:val="20"/>
                <w:szCs w:val="20"/>
                <w:lang w:val="fr-CA"/>
              </w:rPr>
              <w:t xml:space="preserve"> Publi</w:t>
            </w:r>
            <w:r w:rsidR="000A039D">
              <w:rPr>
                <w:rFonts w:asciiTheme="majorHAnsi" w:hAnsiTheme="majorHAnsi" w:cs="Arial"/>
                <w:b w:val="0"/>
                <w:sz w:val="20"/>
                <w:szCs w:val="20"/>
                <w:lang w:val="fr-CA"/>
              </w:rPr>
              <w:t>er le rapport sur les « changements dans les caractéristiques écologiques des zones humides – une étude des orientations et mécanismes Ramsar » qui discute du Registre de Montreux, sur le site web de Ramsar, dans le cadre de l’outil de gestion des Sites Ramsar (voir tâche n</w:t>
            </w:r>
            <w:r w:rsidR="000A039D" w:rsidRPr="000A039D">
              <w:rPr>
                <w:rFonts w:asciiTheme="majorHAnsi" w:hAnsiTheme="majorHAnsi" w:cs="Arial"/>
                <w:b w:val="0"/>
                <w:sz w:val="20"/>
                <w:szCs w:val="20"/>
                <w:vertAlign w:val="superscript"/>
                <w:lang w:val="fr-CA"/>
              </w:rPr>
              <w:t>o</w:t>
            </w:r>
            <w:r w:rsidR="000A039D">
              <w:rPr>
                <w:rFonts w:asciiTheme="majorHAnsi" w:hAnsiTheme="majorHAnsi" w:cs="Arial"/>
                <w:b w:val="0"/>
                <w:sz w:val="20"/>
                <w:szCs w:val="20"/>
                <w:lang w:val="fr-CA"/>
              </w:rPr>
              <w:t> 2.1 ci</w:t>
            </w:r>
            <w:r w:rsidR="000A039D">
              <w:rPr>
                <w:rFonts w:asciiTheme="majorHAnsi" w:hAnsiTheme="majorHAnsi" w:cs="Arial"/>
                <w:b w:val="0"/>
                <w:sz w:val="20"/>
                <w:szCs w:val="20"/>
                <w:lang w:val="fr-CA"/>
              </w:rPr>
              <w:noBreakHyphen/>
              <w:t>dessus et produire un webinaire pour discuter de l’utilité possible du Registre de Montre</w:t>
            </w:r>
            <w:r w:rsidR="00807F64">
              <w:rPr>
                <w:rFonts w:asciiTheme="majorHAnsi" w:hAnsiTheme="majorHAnsi" w:cs="Arial"/>
                <w:b w:val="0"/>
                <w:sz w:val="20"/>
                <w:szCs w:val="20"/>
                <w:lang w:val="fr-CA"/>
              </w:rPr>
              <w:t xml:space="preserve">ux pour attirer une attention positive, nationale et internationale, </w:t>
            </w:r>
            <w:r w:rsidR="003552EC">
              <w:rPr>
                <w:rFonts w:asciiTheme="majorHAnsi" w:hAnsiTheme="majorHAnsi" w:cs="Arial"/>
                <w:b w:val="0"/>
                <w:sz w:val="20"/>
                <w:szCs w:val="20"/>
                <w:lang w:val="fr-CA"/>
              </w:rPr>
              <w:t>du point de vue de la</w:t>
            </w:r>
            <w:r w:rsidR="00807F64">
              <w:rPr>
                <w:rFonts w:asciiTheme="majorHAnsi" w:hAnsiTheme="majorHAnsi" w:cs="Arial"/>
                <w:b w:val="0"/>
                <w:sz w:val="20"/>
                <w:szCs w:val="20"/>
                <w:lang w:val="fr-CA"/>
              </w:rPr>
              <w:t xml:space="preserve"> conservation, sur les Sites Ramsar.</w:t>
            </w:r>
          </w:p>
          <w:p w14:paraId="08793A6F" w14:textId="77777777" w:rsidR="00E01336" w:rsidRPr="00AD15D6" w:rsidRDefault="00E01336" w:rsidP="00E01336">
            <w:pPr>
              <w:rPr>
                <w:rFonts w:asciiTheme="majorHAnsi" w:hAnsiTheme="majorHAnsi" w:cs="Arial"/>
                <w:b w:val="0"/>
                <w:sz w:val="20"/>
                <w:szCs w:val="20"/>
                <w:lang w:val="fr-CA"/>
              </w:rPr>
            </w:pPr>
          </w:p>
          <w:p w14:paraId="6118C242" w14:textId="0637396B" w:rsidR="00E01336" w:rsidRPr="00AD15D6" w:rsidRDefault="00744912" w:rsidP="00F52F75">
            <w:pPr>
              <w:rPr>
                <w:rFonts w:asciiTheme="majorHAnsi" w:hAnsiTheme="majorHAnsi" w:cs="Arial"/>
                <w:b w:val="0"/>
                <w:sz w:val="20"/>
                <w:szCs w:val="20"/>
                <w:u w:val="single"/>
                <w:lang w:val="fr-CA"/>
              </w:rPr>
            </w:pPr>
            <w:r w:rsidRPr="00AD15D6">
              <w:rPr>
                <w:rFonts w:asciiTheme="majorHAnsi" w:hAnsiTheme="majorHAnsi" w:cs="Arial"/>
                <w:b w:val="0"/>
                <w:sz w:val="20"/>
                <w:szCs w:val="20"/>
                <w:u w:val="single"/>
                <w:lang w:val="fr-CA"/>
              </w:rPr>
              <w:t>Public(s) ciblé(s)</w:t>
            </w:r>
            <w:r w:rsidRPr="00AD15D6">
              <w:rPr>
                <w:rFonts w:asciiTheme="majorHAnsi" w:hAnsiTheme="majorHAnsi" w:cs="Arial"/>
                <w:b w:val="0"/>
                <w:sz w:val="20"/>
                <w:szCs w:val="20"/>
                <w:lang w:val="fr-CA"/>
              </w:rPr>
              <w:t xml:space="preserve"> : </w:t>
            </w:r>
            <w:r w:rsidR="009746C1" w:rsidRPr="00AD15D6">
              <w:rPr>
                <w:rFonts w:asciiTheme="majorHAnsi" w:hAnsiTheme="majorHAnsi" w:cs="Arial"/>
                <w:b w:val="0"/>
                <w:sz w:val="20"/>
                <w:szCs w:val="20"/>
                <w:lang w:val="fr-CA"/>
              </w:rPr>
              <w:t>Praticiens</w:t>
            </w:r>
            <w:r w:rsidR="00E01336" w:rsidRPr="00AD15D6">
              <w:rPr>
                <w:rFonts w:asciiTheme="majorHAnsi" w:hAnsiTheme="majorHAnsi" w:cs="Arial"/>
                <w:b w:val="0"/>
                <w:sz w:val="20"/>
                <w:szCs w:val="20"/>
                <w:lang w:val="fr-CA"/>
              </w:rPr>
              <w:t xml:space="preserve"> (</w:t>
            </w:r>
            <w:r w:rsidR="009746C1" w:rsidRPr="00AD15D6">
              <w:rPr>
                <w:rFonts w:asciiTheme="majorHAnsi" w:hAnsiTheme="majorHAnsi" w:cs="Arial"/>
                <w:b w:val="0"/>
                <w:sz w:val="20"/>
                <w:szCs w:val="20"/>
                <w:lang w:val="fr-CA"/>
              </w:rPr>
              <w:t xml:space="preserve">administrateurs de </w:t>
            </w:r>
            <w:r w:rsidR="00F52F75" w:rsidRPr="00AD15D6">
              <w:rPr>
                <w:rFonts w:asciiTheme="majorHAnsi" w:hAnsiTheme="majorHAnsi" w:cs="Arial"/>
                <w:b w:val="0"/>
                <w:sz w:val="20"/>
                <w:szCs w:val="20"/>
                <w:lang w:val="fr-CA"/>
              </w:rPr>
              <w:t>Sites Ramsar</w:t>
            </w:r>
            <w:r w:rsidR="00E01336" w:rsidRPr="00AD15D6">
              <w:rPr>
                <w:rFonts w:asciiTheme="majorHAnsi" w:hAnsiTheme="majorHAnsi" w:cs="Arial"/>
                <w:b w:val="0"/>
                <w:sz w:val="20"/>
                <w:szCs w:val="20"/>
                <w:lang w:val="fr-CA"/>
              </w:rPr>
              <w:t>)</w:t>
            </w:r>
            <w:r w:rsidR="00F52F75" w:rsidRPr="00AD15D6">
              <w:rPr>
                <w:rFonts w:asciiTheme="majorHAnsi" w:hAnsiTheme="majorHAnsi" w:cs="Arial"/>
                <w:b w:val="0"/>
                <w:sz w:val="20"/>
                <w:szCs w:val="20"/>
                <w:lang w:val="fr-CA"/>
              </w:rPr>
              <w:t xml:space="preserve"> et décideurs</w:t>
            </w:r>
            <w:r w:rsidR="009746C1" w:rsidRPr="00AD15D6">
              <w:rPr>
                <w:rFonts w:asciiTheme="majorHAnsi" w:hAnsiTheme="majorHAnsi" w:cs="Arial"/>
                <w:b w:val="0"/>
                <w:sz w:val="20"/>
                <w:szCs w:val="20"/>
                <w:lang w:val="fr-CA"/>
              </w:rPr>
              <w:t>.</w:t>
            </w:r>
          </w:p>
        </w:tc>
        <w:tc>
          <w:tcPr>
            <w:tcW w:w="491" w:type="pct"/>
          </w:tcPr>
          <w:p w14:paraId="0DE13D10" w14:textId="779D5695" w:rsidR="00E01336" w:rsidRPr="00AD15D6" w:rsidRDefault="00807F64" w:rsidP="00807F64">
            <w:pPr>
              <w:rPr>
                <w:rFonts w:asciiTheme="majorHAnsi" w:hAnsiTheme="majorHAnsi" w:cs="Arial"/>
                <w:b w:val="0"/>
                <w:sz w:val="20"/>
                <w:szCs w:val="20"/>
                <w:lang w:val="fr-CA"/>
              </w:rPr>
            </w:pPr>
            <w:r>
              <w:rPr>
                <w:rFonts w:asciiTheme="majorHAnsi" w:hAnsiTheme="majorHAnsi" w:cs="Arial"/>
                <w:b w:val="0"/>
                <w:sz w:val="20"/>
                <w:szCs w:val="20"/>
                <w:lang w:val="fr-CA"/>
              </w:rPr>
              <w:lastRenderedPageBreak/>
              <w:t xml:space="preserve">Pas d’incidences financières </w:t>
            </w:r>
            <w:r>
              <w:rPr>
                <w:rFonts w:asciiTheme="majorHAnsi" w:hAnsiTheme="majorHAnsi" w:cs="Arial"/>
                <w:b w:val="0"/>
                <w:sz w:val="20"/>
                <w:szCs w:val="20"/>
                <w:lang w:val="fr-CA"/>
              </w:rPr>
              <w:lastRenderedPageBreak/>
              <w:t xml:space="preserve">pour le budget du GEST car le rapport a déjà été préparé et le Secrétariat possède le logiciel de webinaire requis. </w:t>
            </w:r>
          </w:p>
        </w:tc>
      </w:tr>
    </w:tbl>
    <w:p w14:paraId="6B0D7C76" w14:textId="188A0664" w:rsidR="00914A1A" w:rsidRPr="00251FB6" w:rsidRDefault="00914A1A" w:rsidP="00914A1A">
      <w:pPr>
        <w:rPr>
          <w:rFonts w:asciiTheme="majorHAnsi" w:hAnsiTheme="majorHAnsi" w:cs="Arial"/>
          <w:sz w:val="20"/>
          <w:szCs w:val="20"/>
          <w:lang w:val="fr-CH"/>
        </w:rPr>
      </w:pPr>
    </w:p>
    <w:p w14:paraId="6E0B71A2" w14:textId="77777777" w:rsidR="00836984" w:rsidRPr="00251FB6" w:rsidRDefault="00836984" w:rsidP="00836984">
      <w:pPr>
        <w:rPr>
          <w:rFonts w:asciiTheme="majorHAnsi" w:hAnsiTheme="majorHAnsi" w:cs="Arial"/>
          <w:sz w:val="20"/>
          <w:szCs w:val="20"/>
          <w:lang w:val="fr-CH"/>
        </w:rPr>
      </w:pPr>
    </w:p>
    <w:tbl>
      <w:tblPr>
        <w:tblStyle w:val="TableGrid"/>
        <w:tblW w:w="5000" w:type="pct"/>
        <w:tblLook w:val="04A0" w:firstRow="1" w:lastRow="0" w:firstColumn="1" w:lastColumn="0" w:noHBand="0" w:noVBand="1"/>
      </w:tblPr>
      <w:tblGrid>
        <w:gridCol w:w="14174"/>
      </w:tblGrid>
      <w:tr w:rsidR="00836984" w:rsidRPr="00833360" w14:paraId="23C3E5ED" w14:textId="77777777" w:rsidTr="007A0789">
        <w:trPr>
          <w:trHeight w:val="271"/>
        </w:trPr>
        <w:tc>
          <w:tcPr>
            <w:tcW w:w="5000" w:type="pct"/>
            <w:shd w:val="clear" w:color="auto" w:fill="000000" w:themeFill="text1"/>
          </w:tcPr>
          <w:p w14:paraId="48133422" w14:textId="50ADF8EA" w:rsidR="00836984" w:rsidRPr="003F6411" w:rsidRDefault="009746C1" w:rsidP="009746C1">
            <w:pPr>
              <w:keepNext/>
              <w:keepLines/>
              <w:rPr>
                <w:rFonts w:asciiTheme="majorHAnsi" w:hAnsiTheme="majorHAnsi" w:cs="Arial"/>
                <w:sz w:val="20"/>
                <w:szCs w:val="20"/>
                <w:lang w:val="fr-FR"/>
              </w:rPr>
            </w:pPr>
            <w:r w:rsidRPr="003F6411">
              <w:rPr>
                <w:rFonts w:asciiTheme="majorHAnsi" w:hAnsiTheme="majorHAnsi" w:cs="Arial"/>
                <w:sz w:val="20"/>
                <w:szCs w:val="20"/>
                <w:lang w:val="fr-FR"/>
              </w:rPr>
              <w:t>Domaine de travail thématique n</w:t>
            </w:r>
            <w:r w:rsidRPr="003F6411">
              <w:rPr>
                <w:rFonts w:asciiTheme="majorHAnsi" w:hAnsiTheme="majorHAnsi" w:cs="Arial"/>
                <w:sz w:val="20"/>
                <w:szCs w:val="20"/>
                <w:vertAlign w:val="superscript"/>
                <w:lang w:val="fr-FR"/>
              </w:rPr>
              <w:t>o</w:t>
            </w:r>
            <w:r w:rsidRPr="003F6411">
              <w:rPr>
                <w:rFonts w:asciiTheme="majorHAnsi" w:hAnsiTheme="majorHAnsi" w:cs="Arial"/>
                <w:sz w:val="20"/>
                <w:szCs w:val="20"/>
                <w:lang w:val="fr-FR"/>
              </w:rPr>
              <w:t xml:space="preserve"> </w:t>
            </w:r>
            <w:r w:rsidR="00836984" w:rsidRPr="003F6411">
              <w:rPr>
                <w:rFonts w:asciiTheme="majorHAnsi" w:hAnsiTheme="majorHAnsi" w:cs="Arial"/>
                <w:sz w:val="20"/>
                <w:szCs w:val="20"/>
                <w:lang w:val="fr-FR"/>
              </w:rPr>
              <w:t>3</w:t>
            </w:r>
            <w:r w:rsidRPr="003F6411">
              <w:rPr>
                <w:rFonts w:asciiTheme="majorHAnsi" w:hAnsiTheme="majorHAnsi" w:cs="Arial"/>
                <w:sz w:val="20"/>
                <w:szCs w:val="20"/>
                <w:lang w:val="fr-FR"/>
              </w:rPr>
              <w:t> </w:t>
            </w:r>
            <w:r w:rsidR="00836984" w:rsidRPr="003F6411">
              <w:rPr>
                <w:rFonts w:asciiTheme="majorHAnsi" w:hAnsiTheme="majorHAnsi" w:cs="Arial"/>
                <w:sz w:val="20"/>
                <w:szCs w:val="20"/>
                <w:lang w:val="fr-FR"/>
              </w:rPr>
              <w:t>: M</w:t>
            </w:r>
            <w:r w:rsidRPr="003F6411">
              <w:rPr>
                <w:rFonts w:asciiTheme="majorHAnsi" w:hAnsiTheme="majorHAnsi" w:cs="Arial"/>
                <w:sz w:val="20"/>
                <w:szCs w:val="20"/>
                <w:lang w:val="fr-FR"/>
              </w:rPr>
              <w:t xml:space="preserve">éthodologies de valorisation économique et non économique des biens et services fournis par les zones humides </w:t>
            </w:r>
          </w:p>
        </w:tc>
      </w:tr>
    </w:tbl>
    <w:p w14:paraId="0223EBAB" w14:textId="77777777" w:rsidR="00501577" w:rsidRPr="003F6411" w:rsidRDefault="00501577" w:rsidP="009746C1">
      <w:pPr>
        <w:keepNext/>
        <w:keepLines/>
        <w:rPr>
          <w:rFonts w:asciiTheme="majorHAnsi" w:hAnsiTheme="majorHAnsi" w:cs="Arial"/>
          <w:sz w:val="20"/>
          <w:szCs w:val="20"/>
          <w:lang w:val="fr-FR"/>
        </w:rPr>
      </w:pPr>
    </w:p>
    <w:tbl>
      <w:tblPr>
        <w:tblStyle w:val="TableGrid2"/>
        <w:tblW w:w="5000" w:type="pct"/>
        <w:jc w:val="center"/>
        <w:tblLook w:val="04A0" w:firstRow="1" w:lastRow="0" w:firstColumn="1" w:lastColumn="0" w:noHBand="0" w:noVBand="1"/>
      </w:tblPr>
      <w:tblGrid>
        <w:gridCol w:w="3561"/>
        <w:gridCol w:w="10613"/>
      </w:tblGrid>
      <w:tr w:rsidR="00914A1A" w:rsidRPr="00833360" w14:paraId="06758AA7" w14:textId="77777777" w:rsidTr="00914A1A">
        <w:trPr>
          <w:jc w:val="center"/>
        </w:trPr>
        <w:tc>
          <w:tcPr>
            <w:tcW w:w="1256" w:type="pct"/>
          </w:tcPr>
          <w:p w14:paraId="0B5ED6CD" w14:textId="4A27BADF" w:rsidR="00914A1A" w:rsidRPr="003F6411" w:rsidRDefault="00A1768B" w:rsidP="009746C1">
            <w:pPr>
              <w:keepNext/>
              <w:keepLines/>
              <w:rPr>
                <w:rFonts w:asciiTheme="majorHAnsi" w:eastAsia="Calibri" w:hAnsiTheme="majorHAnsi" w:cs="Arial"/>
                <w:sz w:val="20"/>
                <w:szCs w:val="20"/>
                <w:lang w:val="fr-FR"/>
              </w:rPr>
            </w:pPr>
            <w:r w:rsidRPr="003F6411">
              <w:rPr>
                <w:rFonts w:asciiTheme="majorHAnsi" w:eastAsia="Calibri" w:hAnsiTheme="majorHAnsi" w:cs="Arial"/>
                <w:sz w:val="20"/>
                <w:szCs w:val="20"/>
                <w:lang w:val="fr-FR"/>
              </w:rPr>
              <w:t>Leader</w:t>
            </w:r>
            <w:r w:rsidR="00C139E4" w:rsidRPr="003F6411">
              <w:rPr>
                <w:rFonts w:asciiTheme="majorHAnsi" w:eastAsia="Calibri" w:hAnsiTheme="majorHAnsi" w:cs="Arial"/>
                <w:sz w:val="20"/>
                <w:szCs w:val="20"/>
                <w:lang w:val="fr-FR"/>
              </w:rPr>
              <w:t>(s) de groupe de travail et participants :</w:t>
            </w:r>
          </w:p>
        </w:tc>
        <w:tc>
          <w:tcPr>
            <w:tcW w:w="3744" w:type="pct"/>
          </w:tcPr>
          <w:p w14:paraId="50632454" w14:textId="43608DD3" w:rsidR="00914A1A" w:rsidRPr="003F6411" w:rsidRDefault="00914A1A" w:rsidP="00BB7725">
            <w:pPr>
              <w:keepNext/>
              <w:keepLines/>
              <w:rPr>
                <w:rFonts w:asciiTheme="majorHAnsi" w:eastAsia="Calibri" w:hAnsiTheme="majorHAnsi" w:cs="Arial"/>
                <w:b w:val="0"/>
                <w:sz w:val="20"/>
                <w:szCs w:val="20"/>
                <w:lang w:val="fr-FR"/>
              </w:rPr>
            </w:pPr>
            <w:r w:rsidRPr="003F6411">
              <w:rPr>
                <w:rFonts w:asciiTheme="majorHAnsi" w:eastAsia="Calibri" w:hAnsiTheme="majorHAnsi" w:cs="Arial"/>
                <w:b w:val="0"/>
                <w:sz w:val="20"/>
                <w:szCs w:val="20"/>
                <w:lang w:val="fr-FR"/>
              </w:rPr>
              <w:t>Channa</w:t>
            </w:r>
            <w:r w:rsidR="00E01336" w:rsidRPr="003F6411">
              <w:rPr>
                <w:rFonts w:asciiTheme="majorHAnsi" w:eastAsia="Calibri" w:hAnsiTheme="majorHAnsi" w:cs="Arial"/>
                <w:b w:val="0"/>
                <w:sz w:val="20"/>
                <w:szCs w:val="20"/>
                <w:lang w:val="fr-FR"/>
              </w:rPr>
              <w:t xml:space="preserve"> </w:t>
            </w:r>
            <w:r w:rsidRPr="003F6411">
              <w:rPr>
                <w:rFonts w:asciiTheme="majorHAnsi" w:eastAsia="Calibri" w:hAnsiTheme="majorHAnsi" w:cs="Arial"/>
                <w:b w:val="0"/>
                <w:sz w:val="20"/>
                <w:szCs w:val="20"/>
                <w:lang w:val="fr-FR"/>
              </w:rPr>
              <w:t>Bambaradeniya,</w:t>
            </w:r>
            <w:r w:rsidR="00E01336" w:rsidRPr="003F6411">
              <w:rPr>
                <w:rFonts w:asciiTheme="majorHAnsi" w:eastAsia="Calibri" w:hAnsiTheme="majorHAnsi" w:cs="Arial"/>
                <w:b w:val="0"/>
                <w:sz w:val="20"/>
                <w:szCs w:val="20"/>
                <w:lang w:val="fr-FR"/>
              </w:rPr>
              <w:t xml:space="preserve"> </w:t>
            </w:r>
            <w:r w:rsidR="007A5771" w:rsidRPr="003F6411">
              <w:rPr>
                <w:rFonts w:asciiTheme="majorHAnsi" w:eastAsia="Calibri" w:hAnsiTheme="majorHAnsi" w:cs="Arial"/>
                <w:b w:val="0"/>
                <w:sz w:val="20"/>
                <w:szCs w:val="20"/>
                <w:lang w:val="fr-FR"/>
              </w:rPr>
              <w:t xml:space="preserve">Ruth Cromie, </w:t>
            </w:r>
            <w:r w:rsidRPr="003F6411">
              <w:rPr>
                <w:rFonts w:asciiTheme="majorHAnsi" w:eastAsia="Calibri" w:hAnsiTheme="majorHAnsi" w:cs="Arial"/>
                <w:b w:val="0"/>
                <w:sz w:val="20"/>
                <w:szCs w:val="20"/>
                <w:lang w:val="fr-FR"/>
              </w:rPr>
              <w:t>Lars</w:t>
            </w:r>
            <w:r w:rsidR="00E01336" w:rsidRPr="003F6411">
              <w:rPr>
                <w:rFonts w:asciiTheme="majorHAnsi" w:eastAsia="Calibri" w:hAnsiTheme="majorHAnsi" w:cs="Arial"/>
                <w:b w:val="0"/>
                <w:sz w:val="20"/>
                <w:szCs w:val="20"/>
                <w:lang w:val="fr-FR"/>
              </w:rPr>
              <w:t xml:space="preserve"> </w:t>
            </w:r>
            <w:r w:rsidRPr="003F6411">
              <w:rPr>
                <w:rFonts w:asciiTheme="majorHAnsi" w:eastAsia="Calibri" w:hAnsiTheme="majorHAnsi" w:cs="Arial"/>
                <w:b w:val="0"/>
                <w:sz w:val="20"/>
                <w:szCs w:val="20"/>
                <w:lang w:val="fr-FR"/>
              </w:rPr>
              <w:t>Dinesen,</w:t>
            </w:r>
            <w:r w:rsidR="00E01336" w:rsidRPr="003F6411">
              <w:rPr>
                <w:rFonts w:asciiTheme="majorHAnsi" w:eastAsia="Calibri" w:hAnsiTheme="majorHAnsi" w:cs="Arial"/>
                <w:b w:val="0"/>
                <w:sz w:val="20"/>
                <w:szCs w:val="20"/>
                <w:lang w:val="fr-FR"/>
              </w:rPr>
              <w:t xml:space="preserve"> </w:t>
            </w:r>
            <w:r w:rsidR="007A5771" w:rsidRPr="003F6411">
              <w:rPr>
                <w:rFonts w:asciiTheme="majorHAnsi" w:eastAsia="Calibri" w:hAnsiTheme="majorHAnsi" w:cs="Arial"/>
                <w:b w:val="0"/>
                <w:sz w:val="20"/>
                <w:szCs w:val="20"/>
                <w:lang w:val="fr-FR"/>
              </w:rPr>
              <w:t xml:space="preserve">Siobhan Fennessy, Max Finlayson, </w:t>
            </w:r>
            <w:r w:rsidRPr="003F6411">
              <w:rPr>
                <w:rFonts w:asciiTheme="majorHAnsi" w:eastAsia="Calibri" w:hAnsiTheme="majorHAnsi" w:cs="Arial"/>
                <w:b w:val="0"/>
                <w:sz w:val="20"/>
                <w:szCs w:val="20"/>
                <w:lang w:val="fr-FR"/>
              </w:rPr>
              <w:t>Vincent</w:t>
            </w:r>
            <w:r w:rsidR="00E01336" w:rsidRPr="003F6411">
              <w:rPr>
                <w:rFonts w:asciiTheme="majorHAnsi" w:eastAsia="Calibri" w:hAnsiTheme="majorHAnsi" w:cs="Arial"/>
                <w:b w:val="0"/>
                <w:sz w:val="20"/>
                <w:szCs w:val="20"/>
                <w:lang w:val="fr-FR"/>
              </w:rPr>
              <w:t xml:space="preserve"> </w:t>
            </w:r>
            <w:r w:rsidRPr="003F6411">
              <w:rPr>
                <w:rFonts w:asciiTheme="majorHAnsi" w:eastAsia="Calibri" w:hAnsiTheme="majorHAnsi" w:cs="Arial"/>
                <w:b w:val="0"/>
                <w:sz w:val="20"/>
                <w:szCs w:val="20"/>
                <w:lang w:val="fr-FR"/>
              </w:rPr>
              <w:t>V.</w:t>
            </w:r>
            <w:r w:rsidR="00E01336" w:rsidRPr="003F6411">
              <w:rPr>
                <w:rFonts w:asciiTheme="majorHAnsi" w:eastAsia="Calibri" w:hAnsiTheme="majorHAnsi" w:cs="Arial"/>
                <w:b w:val="0"/>
                <w:sz w:val="20"/>
                <w:szCs w:val="20"/>
                <w:lang w:val="fr-FR"/>
              </w:rPr>
              <w:t xml:space="preserve"> </w:t>
            </w:r>
            <w:r w:rsidRPr="003F6411">
              <w:rPr>
                <w:rFonts w:asciiTheme="majorHAnsi" w:eastAsia="Calibri" w:hAnsiTheme="majorHAnsi" w:cs="Arial"/>
                <w:b w:val="0"/>
                <w:sz w:val="20"/>
                <w:szCs w:val="20"/>
                <w:lang w:val="fr-FR"/>
              </w:rPr>
              <w:t>Hilomen,</w:t>
            </w:r>
            <w:r w:rsidR="00E01336" w:rsidRPr="003F6411">
              <w:rPr>
                <w:rFonts w:asciiTheme="majorHAnsi" w:eastAsia="Calibri" w:hAnsiTheme="majorHAnsi" w:cs="Arial"/>
                <w:b w:val="0"/>
                <w:sz w:val="20"/>
                <w:szCs w:val="20"/>
                <w:lang w:val="fr-FR"/>
              </w:rPr>
              <w:t xml:space="preserve"> </w:t>
            </w:r>
            <w:r w:rsidRPr="003F6411">
              <w:rPr>
                <w:rFonts w:asciiTheme="majorHAnsi" w:eastAsia="Calibri" w:hAnsiTheme="majorHAnsi" w:cs="Arial"/>
                <w:b w:val="0"/>
                <w:sz w:val="20"/>
                <w:szCs w:val="20"/>
                <w:lang w:val="fr-FR"/>
              </w:rPr>
              <w:t>Kassim</w:t>
            </w:r>
            <w:r w:rsidR="00E01336" w:rsidRPr="003F6411">
              <w:rPr>
                <w:rFonts w:asciiTheme="majorHAnsi" w:eastAsia="Calibri" w:hAnsiTheme="majorHAnsi" w:cs="Arial"/>
                <w:b w:val="0"/>
                <w:sz w:val="20"/>
                <w:szCs w:val="20"/>
                <w:lang w:val="fr-FR"/>
              </w:rPr>
              <w:t xml:space="preserve"> </w:t>
            </w:r>
            <w:r w:rsidRPr="003F6411">
              <w:rPr>
                <w:rFonts w:asciiTheme="majorHAnsi" w:eastAsia="Calibri" w:hAnsiTheme="majorHAnsi" w:cs="Arial"/>
                <w:b w:val="0"/>
                <w:sz w:val="20"/>
                <w:szCs w:val="20"/>
                <w:lang w:val="fr-FR"/>
              </w:rPr>
              <w:t>Kulindwa</w:t>
            </w:r>
            <w:r w:rsidR="00E01336" w:rsidRPr="003F6411">
              <w:rPr>
                <w:rFonts w:asciiTheme="majorHAnsi" w:eastAsia="Calibri" w:hAnsiTheme="majorHAnsi" w:cs="Arial"/>
                <w:b w:val="0"/>
                <w:sz w:val="20"/>
                <w:szCs w:val="20"/>
                <w:lang w:val="fr-FR"/>
              </w:rPr>
              <w:t xml:space="preserve"> </w:t>
            </w:r>
            <w:r w:rsidRPr="003F6411">
              <w:rPr>
                <w:rFonts w:asciiTheme="majorHAnsi" w:eastAsia="Calibri" w:hAnsiTheme="majorHAnsi" w:cs="Arial"/>
                <w:b w:val="0"/>
                <w:sz w:val="20"/>
                <w:szCs w:val="20"/>
                <w:lang w:val="fr-FR"/>
              </w:rPr>
              <w:t>,</w:t>
            </w:r>
            <w:r w:rsidR="00E01336" w:rsidRPr="003F6411">
              <w:rPr>
                <w:rFonts w:asciiTheme="majorHAnsi" w:eastAsia="Calibri" w:hAnsiTheme="majorHAnsi" w:cs="Arial"/>
                <w:b w:val="0"/>
                <w:sz w:val="20"/>
                <w:szCs w:val="20"/>
                <w:lang w:val="fr-FR"/>
              </w:rPr>
              <w:t xml:space="preserve"> </w:t>
            </w:r>
            <w:r w:rsidR="007A5771" w:rsidRPr="003F6411">
              <w:rPr>
                <w:rFonts w:asciiTheme="majorHAnsi" w:eastAsia="Calibri" w:hAnsiTheme="majorHAnsi" w:cs="Arial"/>
                <w:b w:val="0"/>
                <w:sz w:val="20"/>
                <w:szCs w:val="20"/>
                <w:lang w:val="fr-FR"/>
              </w:rPr>
              <w:t xml:space="preserve">Ritesh Kumar (leader), </w:t>
            </w:r>
            <w:r w:rsidRPr="003F6411">
              <w:rPr>
                <w:rFonts w:asciiTheme="majorHAnsi" w:eastAsia="Calibri" w:hAnsiTheme="majorHAnsi" w:cs="Arial"/>
                <w:b w:val="0"/>
                <w:sz w:val="20"/>
                <w:szCs w:val="20"/>
                <w:lang w:val="fr-FR"/>
              </w:rPr>
              <w:t>Guangchun</w:t>
            </w:r>
            <w:r w:rsidR="00E01336" w:rsidRPr="003F6411">
              <w:rPr>
                <w:rFonts w:asciiTheme="majorHAnsi" w:eastAsia="Calibri" w:hAnsiTheme="majorHAnsi" w:cs="Arial"/>
                <w:b w:val="0"/>
                <w:sz w:val="20"/>
                <w:szCs w:val="20"/>
                <w:lang w:val="fr-FR"/>
              </w:rPr>
              <w:t xml:space="preserve"> </w:t>
            </w:r>
            <w:r w:rsidRPr="003F6411">
              <w:rPr>
                <w:rFonts w:asciiTheme="majorHAnsi" w:eastAsia="Calibri" w:hAnsiTheme="majorHAnsi" w:cs="Arial"/>
                <w:b w:val="0"/>
                <w:sz w:val="20"/>
                <w:szCs w:val="20"/>
                <w:lang w:val="fr-FR"/>
              </w:rPr>
              <w:t>Lei,</w:t>
            </w:r>
            <w:r w:rsidR="00E01336" w:rsidRPr="003F6411">
              <w:rPr>
                <w:rFonts w:asciiTheme="majorHAnsi" w:eastAsia="Calibri" w:hAnsiTheme="majorHAnsi" w:cs="Arial"/>
                <w:b w:val="0"/>
                <w:sz w:val="20"/>
                <w:szCs w:val="20"/>
                <w:lang w:val="fr-FR"/>
              </w:rPr>
              <w:t xml:space="preserve"> </w:t>
            </w:r>
            <w:r w:rsidRPr="003F6411">
              <w:rPr>
                <w:rFonts w:asciiTheme="majorHAnsi" w:eastAsia="Calibri" w:hAnsiTheme="majorHAnsi" w:cs="Arial"/>
                <w:b w:val="0"/>
                <w:sz w:val="20"/>
                <w:szCs w:val="20"/>
                <w:lang w:val="fr-FR"/>
              </w:rPr>
              <w:t>Laura</w:t>
            </w:r>
            <w:r w:rsidR="00E01336" w:rsidRPr="003F6411">
              <w:rPr>
                <w:rFonts w:asciiTheme="majorHAnsi" w:eastAsia="Calibri" w:hAnsiTheme="majorHAnsi" w:cs="Arial"/>
                <w:b w:val="0"/>
                <w:sz w:val="20"/>
                <w:szCs w:val="20"/>
                <w:lang w:val="fr-FR"/>
              </w:rPr>
              <w:t xml:space="preserve"> </w:t>
            </w:r>
            <w:r w:rsidRPr="003F6411">
              <w:rPr>
                <w:rFonts w:asciiTheme="majorHAnsi" w:eastAsia="Calibri" w:hAnsiTheme="majorHAnsi" w:cs="Arial"/>
                <w:b w:val="0"/>
                <w:sz w:val="20"/>
                <w:szCs w:val="20"/>
                <w:lang w:val="fr-FR"/>
              </w:rPr>
              <w:t>Martinez</w:t>
            </w:r>
            <w:r w:rsidR="00BB7725" w:rsidRPr="003F6411">
              <w:rPr>
                <w:rFonts w:asciiTheme="majorHAnsi" w:eastAsia="Calibri" w:hAnsiTheme="majorHAnsi" w:cs="Arial"/>
                <w:b w:val="0"/>
                <w:sz w:val="20"/>
                <w:szCs w:val="20"/>
                <w:lang w:val="fr-FR"/>
              </w:rPr>
              <w:t>, Dulce Infante Mata</w:t>
            </w:r>
            <w:r w:rsidR="007A5771" w:rsidRPr="003F6411">
              <w:rPr>
                <w:rFonts w:asciiTheme="majorHAnsi" w:eastAsia="Calibri" w:hAnsiTheme="majorHAnsi" w:cs="Arial"/>
                <w:b w:val="0"/>
                <w:sz w:val="20"/>
                <w:szCs w:val="20"/>
                <w:lang w:val="fr-FR"/>
              </w:rPr>
              <w:t>, Matt Walpole</w:t>
            </w:r>
          </w:p>
        </w:tc>
      </w:tr>
      <w:tr w:rsidR="00914A1A" w:rsidRPr="00833360" w14:paraId="72ECF21B" w14:textId="77777777" w:rsidTr="00914A1A">
        <w:trPr>
          <w:jc w:val="center"/>
        </w:trPr>
        <w:tc>
          <w:tcPr>
            <w:tcW w:w="1256" w:type="pct"/>
          </w:tcPr>
          <w:p w14:paraId="1C2CA4FD" w14:textId="1223FAEE" w:rsidR="00914A1A" w:rsidRPr="003F6411" w:rsidRDefault="009746C1" w:rsidP="009746C1">
            <w:pPr>
              <w:keepNext/>
              <w:keepLines/>
              <w:rPr>
                <w:rFonts w:asciiTheme="majorHAnsi" w:eastAsia="Calibri" w:hAnsiTheme="majorHAnsi" w:cs="Arial"/>
                <w:sz w:val="20"/>
                <w:szCs w:val="20"/>
                <w:lang w:val="fr-FR"/>
              </w:rPr>
            </w:pPr>
            <w:r w:rsidRPr="003F6411">
              <w:rPr>
                <w:rFonts w:asciiTheme="majorHAnsi" w:eastAsia="Calibri" w:hAnsiTheme="majorHAnsi" w:cs="Arial"/>
                <w:sz w:val="20"/>
                <w:szCs w:val="20"/>
                <w:lang w:val="fr-FR"/>
              </w:rPr>
              <w:t>Organisations participantes : [OIP/observateurs/autres]</w:t>
            </w:r>
          </w:p>
        </w:tc>
        <w:tc>
          <w:tcPr>
            <w:tcW w:w="3744" w:type="pct"/>
          </w:tcPr>
          <w:p w14:paraId="77C24563" w14:textId="797DA428" w:rsidR="00914A1A" w:rsidRPr="003F6411" w:rsidRDefault="007A5771" w:rsidP="006F08A3">
            <w:pPr>
              <w:keepNext/>
              <w:keepLines/>
              <w:rPr>
                <w:rFonts w:asciiTheme="majorHAnsi" w:eastAsia="Calibri" w:hAnsiTheme="majorHAnsi" w:cs="Arial"/>
                <w:b w:val="0"/>
                <w:sz w:val="20"/>
                <w:szCs w:val="20"/>
                <w:lang w:val="fr-FR"/>
              </w:rPr>
            </w:pPr>
            <w:r w:rsidRPr="003F6411">
              <w:rPr>
                <w:rFonts w:asciiTheme="majorHAnsi" w:eastAsia="Calibri" w:hAnsiTheme="majorHAnsi" w:cs="Arial"/>
                <w:b w:val="0"/>
                <w:sz w:val="20"/>
                <w:szCs w:val="20"/>
                <w:lang w:val="fr-FR"/>
              </w:rPr>
              <w:t xml:space="preserve">BirdLife International (Zoltan Waliczky), </w:t>
            </w:r>
            <w:r w:rsidR="00206E7C" w:rsidRPr="003F6411">
              <w:rPr>
                <w:rFonts w:asciiTheme="majorHAnsi" w:eastAsia="Calibri" w:hAnsiTheme="majorHAnsi" w:cs="Arial"/>
                <w:b w:val="0"/>
                <w:sz w:val="20"/>
                <w:szCs w:val="20"/>
                <w:lang w:val="fr-FR"/>
              </w:rPr>
              <w:t>UICN</w:t>
            </w:r>
            <w:r w:rsidR="00E01336" w:rsidRPr="003F6411">
              <w:rPr>
                <w:rFonts w:asciiTheme="majorHAnsi" w:eastAsia="Calibri" w:hAnsiTheme="majorHAnsi" w:cs="Arial"/>
                <w:b w:val="0"/>
                <w:sz w:val="20"/>
                <w:szCs w:val="20"/>
                <w:lang w:val="fr-FR"/>
              </w:rPr>
              <w:t xml:space="preserve"> </w:t>
            </w:r>
            <w:r w:rsidRPr="003F6411">
              <w:rPr>
                <w:rFonts w:asciiTheme="majorHAnsi" w:eastAsia="Calibri" w:hAnsiTheme="majorHAnsi" w:cs="Arial"/>
                <w:b w:val="0"/>
                <w:sz w:val="20"/>
                <w:szCs w:val="20"/>
                <w:lang w:val="fr-FR"/>
              </w:rPr>
              <w:t>(</w:t>
            </w:r>
            <w:r w:rsidR="00914A1A" w:rsidRPr="003F6411">
              <w:rPr>
                <w:rFonts w:asciiTheme="majorHAnsi" w:eastAsia="Calibri" w:hAnsiTheme="majorHAnsi" w:cs="Arial"/>
                <w:b w:val="0"/>
                <w:sz w:val="20"/>
                <w:szCs w:val="20"/>
                <w:lang w:val="fr-FR"/>
              </w:rPr>
              <w:t>Stefano</w:t>
            </w:r>
            <w:r w:rsidR="00E01336" w:rsidRPr="003F6411">
              <w:rPr>
                <w:rFonts w:asciiTheme="majorHAnsi" w:eastAsia="Calibri" w:hAnsiTheme="majorHAnsi" w:cs="Arial"/>
                <w:b w:val="0"/>
                <w:sz w:val="20"/>
                <w:szCs w:val="20"/>
                <w:lang w:val="fr-FR"/>
              </w:rPr>
              <w:t xml:space="preserve"> </w:t>
            </w:r>
            <w:r w:rsidR="00914A1A" w:rsidRPr="003F6411">
              <w:rPr>
                <w:rFonts w:asciiTheme="majorHAnsi" w:eastAsia="Calibri" w:hAnsiTheme="majorHAnsi" w:cs="Arial"/>
                <w:b w:val="0"/>
                <w:sz w:val="20"/>
                <w:szCs w:val="20"/>
                <w:lang w:val="fr-FR"/>
              </w:rPr>
              <w:t>Barchiesi</w:t>
            </w:r>
            <w:r w:rsidRPr="003F6411">
              <w:rPr>
                <w:rFonts w:asciiTheme="majorHAnsi" w:eastAsia="Calibri" w:hAnsiTheme="majorHAnsi" w:cs="Arial"/>
                <w:b w:val="0"/>
                <w:sz w:val="20"/>
                <w:szCs w:val="20"/>
                <w:lang w:val="fr-FR"/>
              </w:rPr>
              <w:t>)</w:t>
            </w:r>
            <w:r w:rsidR="00914A1A" w:rsidRPr="003F6411">
              <w:rPr>
                <w:rFonts w:asciiTheme="majorHAnsi" w:eastAsia="Calibri" w:hAnsiTheme="majorHAnsi" w:cs="Arial"/>
                <w:b w:val="0"/>
                <w:sz w:val="20"/>
                <w:szCs w:val="20"/>
                <w:lang w:val="fr-FR"/>
              </w:rPr>
              <w:t>,</w:t>
            </w:r>
            <w:r w:rsidRPr="003F6411">
              <w:rPr>
                <w:rFonts w:asciiTheme="majorHAnsi" w:eastAsia="Calibri" w:hAnsiTheme="majorHAnsi" w:cs="Arial"/>
                <w:b w:val="0"/>
                <w:sz w:val="20"/>
                <w:szCs w:val="20"/>
                <w:lang w:val="fr-FR"/>
              </w:rPr>
              <w:t xml:space="preserve"> IWMI (Sanjiv De Silva)</w:t>
            </w:r>
            <w:r w:rsidR="006F08A3" w:rsidRPr="003F6411">
              <w:rPr>
                <w:rFonts w:asciiTheme="majorHAnsi" w:eastAsia="Calibri" w:hAnsiTheme="majorHAnsi" w:cs="Arial"/>
                <w:b w:val="0"/>
                <w:sz w:val="20"/>
                <w:szCs w:val="20"/>
                <w:lang w:val="fr-FR"/>
              </w:rPr>
              <w:t>,</w:t>
            </w:r>
            <w:r w:rsidR="00E01336" w:rsidRPr="003F6411">
              <w:rPr>
                <w:rFonts w:asciiTheme="majorHAnsi" w:eastAsia="Calibri" w:hAnsiTheme="majorHAnsi" w:cs="Arial"/>
                <w:b w:val="0"/>
                <w:sz w:val="20"/>
                <w:szCs w:val="20"/>
                <w:lang w:val="fr-FR"/>
              </w:rPr>
              <w:t xml:space="preserve"> </w:t>
            </w:r>
            <w:r w:rsidR="00914A1A" w:rsidRPr="003F6411">
              <w:rPr>
                <w:rFonts w:asciiTheme="majorHAnsi" w:eastAsia="Calibri" w:hAnsiTheme="majorHAnsi" w:cs="Arial"/>
                <w:b w:val="0"/>
                <w:sz w:val="20"/>
                <w:szCs w:val="20"/>
                <w:lang w:val="fr-FR"/>
              </w:rPr>
              <w:t>WI</w:t>
            </w:r>
            <w:r w:rsidR="00E01336" w:rsidRPr="003F6411">
              <w:rPr>
                <w:rFonts w:asciiTheme="majorHAnsi" w:eastAsia="Calibri" w:hAnsiTheme="majorHAnsi" w:cs="Arial"/>
                <w:b w:val="0"/>
                <w:sz w:val="20"/>
                <w:szCs w:val="20"/>
                <w:lang w:val="fr-FR"/>
              </w:rPr>
              <w:t xml:space="preserve"> </w:t>
            </w:r>
            <w:r w:rsidR="00914A1A" w:rsidRPr="003F6411">
              <w:rPr>
                <w:rFonts w:asciiTheme="majorHAnsi" w:eastAsia="Calibri" w:hAnsiTheme="majorHAnsi" w:cs="Arial"/>
                <w:b w:val="0"/>
                <w:sz w:val="20"/>
                <w:szCs w:val="20"/>
                <w:lang w:val="fr-FR"/>
              </w:rPr>
              <w:t>(Marcel</w:t>
            </w:r>
            <w:r w:rsidR="00E01336" w:rsidRPr="003F6411">
              <w:rPr>
                <w:rFonts w:asciiTheme="majorHAnsi" w:eastAsia="Calibri" w:hAnsiTheme="majorHAnsi" w:cs="Arial"/>
                <w:b w:val="0"/>
                <w:sz w:val="20"/>
                <w:szCs w:val="20"/>
                <w:lang w:val="fr-FR"/>
              </w:rPr>
              <w:t xml:space="preserve"> </w:t>
            </w:r>
            <w:r w:rsidR="00914A1A" w:rsidRPr="003F6411">
              <w:rPr>
                <w:rFonts w:asciiTheme="majorHAnsi" w:eastAsia="Calibri" w:hAnsiTheme="majorHAnsi" w:cs="Arial"/>
                <w:b w:val="0"/>
                <w:sz w:val="20"/>
                <w:szCs w:val="20"/>
                <w:lang w:val="fr-FR"/>
              </w:rPr>
              <w:t>Silvius),</w:t>
            </w:r>
            <w:r w:rsidR="00E01336" w:rsidRPr="003F6411">
              <w:rPr>
                <w:rFonts w:asciiTheme="majorHAnsi" w:eastAsia="Calibri" w:hAnsiTheme="majorHAnsi" w:cs="Arial"/>
                <w:b w:val="0"/>
                <w:sz w:val="20"/>
                <w:szCs w:val="20"/>
                <w:lang w:val="fr-FR"/>
              </w:rPr>
              <w:t xml:space="preserve"> </w:t>
            </w:r>
            <w:r w:rsidR="00914A1A" w:rsidRPr="003F6411">
              <w:rPr>
                <w:rFonts w:asciiTheme="majorHAnsi" w:eastAsia="Calibri" w:hAnsiTheme="majorHAnsi" w:cs="Arial"/>
                <w:b w:val="0"/>
                <w:sz w:val="20"/>
                <w:szCs w:val="20"/>
                <w:lang w:val="fr-FR"/>
              </w:rPr>
              <w:t>WWF</w:t>
            </w:r>
            <w:r w:rsidR="00E01336" w:rsidRPr="003F6411">
              <w:rPr>
                <w:rFonts w:asciiTheme="majorHAnsi" w:eastAsia="Calibri" w:hAnsiTheme="majorHAnsi" w:cs="Arial"/>
                <w:b w:val="0"/>
                <w:sz w:val="20"/>
                <w:szCs w:val="20"/>
                <w:lang w:val="fr-FR"/>
              </w:rPr>
              <w:t xml:space="preserve"> </w:t>
            </w:r>
            <w:r w:rsidR="00914A1A" w:rsidRPr="003F6411">
              <w:rPr>
                <w:rFonts w:asciiTheme="majorHAnsi" w:eastAsia="Calibri" w:hAnsiTheme="majorHAnsi" w:cs="Arial"/>
                <w:b w:val="0"/>
                <w:sz w:val="20"/>
                <w:szCs w:val="20"/>
                <w:lang w:val="fr-FR"/>
              </w:rPr>
              <w:t>International</w:t>
            </w:r>
            <w:r w:rsidR="00E01336" w:rsidRPr="003F6411">
              <w:rPr>
                <w:rFonts w:asciiTheme="majorHAnsi" w:eastAsia="Calibri" w:hAnsiTheme="majorHAnsi" w:cs="Arial"/>
                <w:b w:val="0"/>
                <w:sz w:val="20"/>
                <w:szCs w:val="20"/>
                <w:lang w:val="fr-FR"/>
              </w:rPr>
              <w:t xml:space="preserve"> </w:t>
            </w:r>
            <w:r w:rsidR="00914A1A" w:rsidRPr="003F6411">
              <w:rPr>
                <w:rFonts w:asciiTheme="majorHAnsi" w:eastAsia="Calibri" w:hAnsiTheme="majorHAnsi" w:cs="Arial"/>
                <w:b w:val="0"/>
                <w:sz w:val="20"/>
                <w:szCs w:val="20"/>
                <w:lang w:val="fr-FR"/>
              </w:rPr>
              <w:t>(Denis</w:t>
            </w:r>
            <w:r w:rsidR="00E01336" w:rsidRPr="003F6411">
              <w:rPr>
                <w:rFonts w:asciiTheme="majorHAnsi" w:eastAsia="Calibri" w:hAnsiTheme="majorHAnsi" w:cs="Arial"/>
                <w:b w:val="0"/>
                <w:sz w:val="20"/>
                <w:szCs w:val="20"/>
                <w:lang w:val="fr-FR"/>
              </w:rPr>
              <w:t xml:space="preserve"> </w:t>
            </w:r>
            <w:r w:rsidR="00914A1A" w:rsidRPr="003F6411">
              <w:rPr>
                <w:rFonts w:asciiTheme="majorHAnsi" w:eastAsia="Calibri" w:hAnsiTheme="majorHAnsi" w:cs="Arial"/>
                <w:b w:val="0"/>
                <w:sz w:val="20"/>
                <w:szCs w:val="20"/>
                <w:lang w:val="fr-FR"/>
              </w:rPr>
              <w:t>Landerbergue),</w:t>
            </w:r>
            <w:r w:rsidR="00E01336" w:rsidRPr="003F6411">
              <w:rPr>
                <w:rFonts w:asciiTheme="majorHAnsi" w:eastAsia="Calibri" w:hAnsiTheme="majorHAnsi" w:cs="Arial"/>
                <w:b w:val="0"/>
                <w:sz w:val="20"/>
                <w:szCs w:val="20"/>
                <w:lang w:val="fr-FR"/>
              </w:rPr>
              <w:t xml:space="preserve"> </w:t>
            </w:r>
            <w:r w:rsidR="006F08A3" w:rsidRPr="003F6411">
              <w:rPr>
                <w:rFonts w:asciiTheme="majorHAnsi" w:eastAsia="Calibri" w:hAnsiTheme="majorHAnsi" w:cs="Arial"/>
                <w:b w:val="0"/>
                <w:sz w:val="20"/>
                <w:szCs w:val="20"/>
                <w:lang w:val="fr-FR"/>
              </w:rPr>
              <w:t>WWT (Rob Shore)/</w:t>
            </w:r>
            <w:r w:rsidR="00914A1A" w:rsidRPr="003F6411">
              <w:rPr>
                <w:rFonts w:asciiTheme="majorHAnsi" w:eastAsia="Calibri" w:hAnsiTheme="majorHAnsi" w:cs="Arial"/>
                <w:b w:val="0"/>
                <w:sz w:val="20"/>
                <w:szCs w:val="20"/>
                <w:lang w:val="fr-FR"/>
              </w:rPr>
              <w:t>Tour</w:t>
            </w:r>
            <w:r w:rsidR="00E01336" w:rsidRPr="003F6411">
              <w:rPr>
                <w:rFonts w:asciiTheme="majorHAnsi" w:eastAsia="Calibri" w:hAnsiTheme="majorHAnsi" w:cs="Arial"/>
                <w:b w:val="0"/>
                <w:sz w:val="20"/>
                <w:szCs w:val="20"/>
                <w:lang w:val="fr-FR"/>
              </w:rPr>
              <w:t xml:space="preserve"> </w:t>
            </w:r>
            <w:r w:rsidR="00914A1A" w:rsidRPr="003F6411">
              <w:rPr>
                <w:rFonts w:asciiTheme="majorHAnsi" w:eastAsia="Calibri" w:hAnsiTheme="majorHAnsi" w:cs="Arial"/>
                <w:b w:val="0"/>
                <w:sz w:val="20"/>
                <w:szCs w:val="20"/>
                <w:lang w:val="fr-FR"/>
              </w:rPr>
              <w:t>Du</w:t>
            </w:r>
            <w:r w:rsidR="00E01336" w:rsidRPr="003F6411">
              <w:rPr>
                <w:rFonts w:asciiTheme="majorHAnsi" w:eastAsia="Calibri" w:hAnsiTheme="majorHAnsi" w:cs="Arial"/>
                <w:b w:val="0"/>
                <w:sz w:val="20"/>
                <w:szCs w:val="20"/>
                <w:lang w:val="fr-FR"/>
              </w:rPr>
              <w:t xml:space="preserve"> </w:t>
            </w:r>
            <w:r w:rsidR="00914A1A" w:rsidRPr="003F6411">
              <w:rPr>
                <w:rFonts w:asciiTheme="majorHAnsi" w:eastAsia="Calibri" w:hAnsiTheme="majorHAnsi" w:cs="Arial"/>
                <w:b w:val="0"/>
                <w:sz w:val="20"/>
                <w:szCs w:val="20"/>
                <w:lang w:val="fr-FR"/>
              </w:rPr>
              <w:t>Valat</w:t>
            </w:r>
            <w:r w:rsidR="006F08A3" w:rsidRPr="003F6411">
              <w:rPr>
                <w:rFonts w:asciiTheme="majorHAnsi" w:eastAsia="Calibri" w:hAnsiTheme="majorHAnsi" w:cs="Arial"/>
                <w:b w:val="0"/>
                <w:sz w:val="20"/>
                <w:szCs w:val="20"/>
                <w:lang w:val="fr-FR"/>
              </w:rPr>
              <w:t>/Observatoire des zones humides méditerranéennes</w:t>
            </w:r>
            <w:r w:rsidR="00E01336" w:rsidRPr="003F6411">
              <w:rPr>
                <w:rFonts w:asciiTheme="majorHAnsi" w:eastAsia="Calibri" w:hAnsiTheme="majorHAnsi" w:cs="Arial"/>
                <w:b w:val="0"/>
                <w:sz w:val="20"/>
                <w:szCs w:val="20"/>
                <w:lang w:val="fr-FR"/>
              </w:rPr>
              <w:t xml:space="preserve"> </w:t>
            </w:r>
            <w:r w:rsidR="00914A1A" w:rsidRPr="003F6411">
              <w:rPr>
                <w:rFonts w:asciiTheme="majorHAnsi" w:eastAsia="Calibri" w:hAnsiTheme="majorHAnsi" w:cs="Arial"/>
                <w:b w:val="0"/>
                <w:sz w:val="20"/>
                <w:szCs w:val="20"/>
                <w:lang w:val="fr-FR"/>
              </w:rPr>
              <w:t>(Christian</w:t>
            </w:r>
            <w:r w:rsidR="00E01336" w:rsidRPr="003F6411">
              <w:rPr>
                <w:rFonts w:asciiTheme="majorHAnsi" w:eastAsia="Calibri" w:hAnsiTheme="majorHAnsi" w:cs="Arial"/>
                <w:b w:val="0"/>
                <w:sz w:val="20"/>
                <w:szCs w:val="20"/>
                <w:lang w:val="fr-FR"/>
              </w:rPr>
              <w:t xml:space="preserve"> </w:t>
            </w:r>
            <w:r w:rsidR="00914A1A" w:rsidRPr="003F6411">
              <w:rPr>
                <w:rFonts w:asciiTheme="majorHAnsi" w:eastAsia="Calibri" w:hAnsiTheme="majorHAnsi" w:cs="Arial"/>
                <w:b w:val="0"/>
                <w:sz w:val="20"/>
                <w:szCs w:val="20"/>
                <w:lang w:val="fr-FR"/>
              </w:rPr>
              <w:t>Perennou),</w:t>
            </w:r>
            <w:r w:rsidR="00E01336" w:rsidRPr="003F6411">
              <w:rPr>
                <w:rFonts w:asciiTheme="majorHAnsi" w:eastAsia="Calibri" w:hAnsiTheme="majorHAnsi" w:cs="Arial"/>
                <w:b w:val="0"/>
                <w:sz w:val="20"/>
                <w:szCs w:val="20"/>
                <w:lang w:val="fr-FR"/>
              </w:rPr>
              <w:t xml:space="preserve"> </w:t>
            </w:r>
            <w:r w:rsidR="00914A1A" w:rsidRPr="003F6411">
              <w:rPr>
                <w:rFonts w:asciiTheme="majorHAnsi" w:eastAsia="Calibri" w:hAnsiTheme="majorHAnsi" w:cs="Arial"/>
                <w:b w:val="0"/>
                <w:sz w:val="20"/>
                <w:szCs w:val="20"/>
                <w:lang w:val="fr-FR"/>
              </w:rPr>
              <w:t>SWS</w:t>
            </w:r>
            <w:r w:rsidR="00E01336" w:rsidRPr="003F6411">
              <w:rPr>
                <w:rFonts w:asciiTheme="majorHAnsi" w:eastAsia="Calibri" w:hAnsiTheme="majorHAnsi" w:cs="Arial"/>
                <w:b w:val="0"/>
                <w:sz w:val="20"/>
                <w:szCs w:val="20"/>
                <w:lang w:val="fr-FR"/>
              </w:rPr>
              <w:t xml:space="preserve"> </w:t>
            </w:r>
            <w:r w:rsidR="00914A1A" w:rsidRPr="003F6411">
              <w:rPr>
                <w:rFonts w:asciiTheme="majorHAnsi" w:eastAsia="Calibri" w:hAnsiTheme="majorHAnsi" w:cs="Arial"/>
                <w:b w:val="0"/>
                <w:sz w:val="20"/>
                <w:szCs w:val="20"/>
                <w:lang w:val="fr-FR"/>
              </w:rPr>
              <w:t>Society</w:t>
            </w:r>
            <w:r w:rsidR="00E01336" w:rsidRPr="003F6411">
              <w:rPr>
                <w:rFonts w:asciiTheme="majorHAnsi" w:eastAsia="Calibri" w:hAnsiTheme="majorHAnsi" w:cs="Arial"/>
                <w:b w:val="0"/>
                <w:sz w:val="20"/>
                <w:szCs w:val="20"/>
                <w:lang w:val="fr-FR"/>
              </w:rPr>
              <w:t xml:space="preserve"> </w:t>
            </w:r>
            <w:r w:rsidR="00914A1A" w:rsidRPr="003F6411">
              <w:rPr>
                <w:rFonts w:asciiTheme="majorHAnsi" w:eastAsia="Calibri" w:hAnsiTheme="majorHAnsi" w:cs="Arial"/>
                <w:b w:val="0"/>
                <w:sz w:val="20"/>
                <w:szCs w:val="20"/>
                <w:lang w:val="fr-FR"/>
              </w:rPr>
              <w:t>for</w:t>
            </w:r>
            <w:r w:rsidR="00E01336" w:rsidRPr="003F6411">
              <w:rPr>
                <w:rFonts w:asciiTheme="majorHAnsi" w:eastAsia="Calibri" w:hAnsiTheme="majorHAnsi" w:cs="Arial"/>
                <w:b w:val="0"/>
                <w:sz w:val="20"/>
                <w:szCs w:val="20"/>
                <w:lang w:val="fr-FR"/>
              </w:rPr>
              <w:t xml:space="preserve"> </w:t>
            </w:r>
            <w:r w:rsidR="00914A1A" w:rsidRPr="003F6411">
              <w:rPr>
                <w:rFonts w:asciiTheme="majorHAnsi" w:eastAsia="Calibri" w:hAnsiTheme="majorHAnsi" w:cs="Arial"/>
                <w:b w:val="0"/>
                <w:sz w:val="20"/>
                <w:szCs w:val="20"/>
                <w:lang w:val="fr-FR"/>
              </w:rPr>
              <w:t>Wetland</w:t>
            </w:r>
            <w:r w:rsidR="00E01336" w:rsidRPr="003F6411">
              <w:rPr>
                <w:rFonts w:asciiTheme="majorHAnsi" w:eastAsia="Calibri" w:hAnsiTheme="majorHAnsi" w:cs="Arial"/>
                <w:b w:val="0"/>
                <w:sz w:val="20"/>
                <w:szCs w:val="20"/>
                <w:lang w:val="fr-FR"/>
              </w:rPr>
              <w:t xml:space="preserve"> </w:t>
            </w:r>
            <w:r w:rsidR="00914A1A" w:rsidRPr="003F6411">
              <w:rPr>
                <w:rFonts w:asciiTheme="majorHAnsi" w:eastAsia="Calibri" w:hAnsiTheme="majorHAnsi" w:cs="Arial"/>
                <w:b w:val="0"/>
                <w:sz w:val="20"/>
                <w:szCs w:val="20"/>
                <w:lang w:val="fr-FR"/>
              </w:rPr>
              <w:t>Scientists</w:t>
            </w:r>
            <w:r w:rsidR="00E01336" w:rsidRPr="003F6411">
              <w:rPr>
                <w:rFonts w:asciiTheme="majorHAnsi" w:eastAsia="Calibri" w:hAnsiTheme="majorHAnsi" w:cs="Arial"/>
                <w:b w:val="0"/>
                <w:sz w:val="20"/>
                <w:szCs w:val="20"/>
                <w:lang w:val="fr-FR"/>
              </w:rPr>
              <w:t xml:space="preserve"> </w:t>
            </w:r>
            <w:r w:rsidR="00914A1A" w:rsidRPr="003F6411">
              <w:rPr>
                <w:rFonts w:asciiTheme="majorHAnsi" w:eastAsia="Calibri" w:hAnsiTheme="majorHAnsi" w:cs="Arial"/>
                <w:b w:val="0"/>
                <w:sz w:val="20"/>
                <w:szCs w:val="20"/>
                <w:lang w:val="fr-FR"/>
              </w:rPr>
              <w:t>(Nick</w:t>
            </w:r>
            <w:r w:rsidR="00E01336" w:rsidRPr="003F6411">
              <w:rPr>
                <w:rFonts w:asciiTheme="majorHAnsi" w:eastAsia="Calibri" w:hAnsiTheme="majorHAnsi" w:cs="Arial"/>
                <w:b w:val="0"/>
                <w:sz w:val="20"/>
                <w:szCs w:val="20"/>
                <w:lang w:val="fr-FR"/>
              </w:rPr>
              <w:t xml:space="preserve"> </w:t>
            </w:r>
            <w:r w:rsidR="00914A1A" w:rsidRPr="003F6411">
              <w:rPr>
                <w:rFonts w:asciiTheme="majorHAnsi" w:eastAsia="Calibri" w:hAnsiTheme="majorHAnsi" w:cs="Arial"/>
                <w:b w:val="0"/>
                <w:sz w:val="20"/>
                <w:szCs w:val="20"/>
                <w:lang w:val="fr-FR"/>
              </w:rPr>
              <w:t>Davidson),</w:t>
            </w:r>
            <w:r w:rsidR="00E01336" w:rsidRPr="003F6411">
              <w:rPr>
                <w:rFonts w:asciiTheme="majorHAnsi" w:eastAsia="Calibri" w:hAnsiTheme="majorHAnsi" w:cs="Arial"/>
                <w:b w:val="0"/>
                <w:sz w:val="20"/>
                <w:szCs w:val="20"/>
                <w:lang w:val="fr-FR"/>
              </w:rPr>
              <w:t xml:space="preserve"> </w:t>
            </w:r>
            <w:r w:rsidR="00D8361B" w:rsidRPr="003F6411">
              <w:rPr>
                <w:rFonts w:asciiTheme="majorHAnsi" w:eastAsia="Calibri" w:hAnsiTheme="majorHAnsi" w:cs="Arial"/>
                <w:b w:val="0"/>
                <w:sz w:val="20"/>
                <w:szCs w:val="20"/>
                <w:lang w:val="fr-FR"/>
              </w:rPr>
              <w:t>ONU</w:t>
            </w:r>
            <w:r w:rsidR="00914A1A" w:rsidRPr="003F6411">
              <w:rPr>
                <w:rFonts w:asciiTheme="majorHAnsi" w:eastAsia="Calibri" w:hAnsiTheme="majorHAnsi" w:cs="Arial"/>
                <w:b w:val="0"/>
                <w:sz w:val="20"/>
                <w:szCs w:val="20"/>
                <w:lang w:val="fr-FR"/>
              </w:rPr>
              <w:t>-Habitat</w:t>
            </w:r>
            <w:r w:rsidR="00E01336" w:rsidRPr="003F6411">
              <w:rPr>
                <w:rFonts w:asciiTheme="majorHAnsi" w:eastAsia="Calibri" w:hAnsiTheme="majorHAnsi" w:cs="Arial"/>
                <w:b w:val="0"/>
                <w:sz w:val="20"/>
                <w:szCs w:val="20"/>
                <w:lang w:val="fr-FR"/>
              </w:rPr>
              <w:t xml:space="preserve"> </w:t>
            </w:r>
            <w:r w:rsidR="00914A1A" w:rsidRPr="003F6411">
              <w:rPr>
                <w:rFonts w:asciiTheme="majorHAnsi" w:eastAsia="Calibri" w:hAnsiTheme="majorHAnsi" w:cs="Arial"/>
                <w:b w:val="0"/>
                <w:sz w:val="20"/>
                <w:szCs w:val="20"/>
                <w:lang w:val="fr-FR"/>
              </w:rPr>
              <w:t>(Rob</w:t>
            </w:r>
            <w:r w:rsidR="00D8361B" w:rsidRPr="003F6411">
              <w:rPr>
                <w:rFonts w:asciiTheme="majorHAnsi" w:eastAsia="Calibri" w:hAnsiTheme="majorHAnsi" w:cs="Arial"/>
                <w:b w:val="0"/>
                <w:sz w:val="20"/>
                <w:szCs w:val="20"/>
                <w:lang w:val="fr-FR"/>
              </w:rPr>
              <w:t> </w:t>
            </w:r>
            <w:r w:rsidR="00914A1A" w:rsidRPr="003F6411">
              <w:rPr>
                <w:rFonts w:asciiTheme="majorHAnsi" w:eastAsia="Calibri" w:hAnsiTheme="majorHAnsi" w:cs="Arial"/>
                <w:b w:val="0"/>
                <w:sz w:val="20"/>
                <w:szCs w:val="20"/>
                <w:lang w:val="fr-FR"/>
              </w:rPr>
              <w:t>McInnes),</w:t>
            </w:r>
            <w:r w:rsidR="00E01336" w:rsidRPr="003F6411">
              <w:rPr>
                <w:rFonts w:asciiTheme="majorHAnsi" w:eastAsia="Calibri" w:hAnsiTheme="majorHAnsi" w:cs="Arial"/>
                <w:b w:val="0"/>
                <w:sz w:val="20"/>
                <w:szCs w:val="20"/>
                <w:lang w:val="fr-FR"/>
              </w:rPr>
              <w:t xml:space="preserve"> </w:t>
            </w:r>
            <w:r w:rsidR="00914A1A" w:rsidRPr="003F6411">
              <w:rPr>
                <w:rFonts w:asciiTheme="majorHAnsi" w:eastAsia="Calibri" w:hAnsiTheme="majorHAnsi" w:cs="Arial"/>
                <w:b w:val="0"/>
                <w:sz w:val="20"/>
                <w:szCs w:val="20"/>
                <w:lang w:val="fr-FR"/>
              </w:rPr>
              <w:t>UNESCO-IHE</w:t>
            </w:r>
            <w:r w:rsidR="00E01336" w:rsidRPr="003F6411">
              <w:rPr>
                <w:rFonts w:asciiTheme="majorHAnsi" w:eastAsia="Calibri" w:hAnsiTheme="majorHAnsi" w:cs="Arial"/>
                <w:b w:val="0"/>
                <w:sz w:val="20"/>
                <w:szCs w:val="20"/>
                <w:lang w:val="fr-FR"/>
              </w:rPr>
              <w:t xml:space="preserve"> </w:t>
            </w:r>
            <w:r w:rsidR="00914A1A" w:rsidRPr="003F6411">
              <w:rPr>
                <w:rFonts w:asciiTheme="majorHAnsi" w:eastAsia="Calibri" w:hAnsiTheme="majorHAnsi" w:cs="Arial"/>
                <w:b w:val="0"/>
                <w:sz w:val="20"/>
                <w:szCs w:val="20"/>
                <w:lang w:val="fr-FR"/>
              </w:rPr>
              <w:t>(Anne</w:t>
            </w:r>
            <w:r w:rsidR="00E01336" w:rsidRPr="003F6411">
              <w:rPr>
                <w:rFonts w:asciiTheme="majorHAnsi" w:eastAsia="Calibri" w:hAnsiTheme="majorHAnsi" w:cs="Arial"/>
                <w:b w:val="0"/>
                <w:sz w:val="20"/>
                <w:szCs w:val="20"/>
                <w:lang w:val="fr-FR"/>
              </w:rPr>
              <w:t xml:space="preserve"> </w:t>
            </w:r>
            <w:r w:rsidR="00914A1A" w:rsidRPr="003F6411">
              <w:rPr>
                <w:rFonts w:asciiTheme="majorHAnsi" w:eastAsia="Calibri" w:hAnsiTheme="majorHAnsi" w:cs="Arial"/>
                <w:b w:val="0"/>
                <w:sz w:val="20"/>
                <w:szCs w:val="20"/>
                <w:lang w:val="fr-FR"/>
              </w:rPr>
              <w:t>van</w:t>
            </w:r>
            <w:r w:rsidR="00E01336" w:rsidRPr="003F6411">
              <w:rPr>
                <w:rFonts w:asciiTheme="majorHAnsi" w:eastAsia="Calibri" w:hAnsiTheme="majorHAnsi" w:cs="Arial"/>
                <w:b w:val="0"/>
                <w:sz w:val="20"/>
                <w:szCs w:val="20"/>
                <w:lang w:val="fr-FR"/>
              </w:rPr>
              <w:t xml:space="preserve"> </w:t>
            </w:r>
            <w:r w:rsidR="00914A1A" w:rsidRPr="003F6411">
              <w:rPr>
                <w:rFonts w:asciiTheme="majorHAnsi" w:eastAsia="Calibri" w:hAnsiTheme="majorHAnsi" w:cs="Arial"/>
                <w:b w:val="0"/>
                <w:sz w:val="20"/>
                <w:szCs w:val="20"/>
                <w:lang w:val="fr-FR"/>
              </w:rPr>
              <w:t>Dam),</w:t>
            </w:r>
            <w:r w:rsidR="00E01336" w:rsidRPr="003F6411">
              <w:rPr>
                <w:rFonts w:asciiTheme="majorHAnsi" w:eastAsia="Calibri" w:hAnsiTheme="majorHAnsi" w:cs="Arial"/>
                <w:b w:val="0"/>
                <w:sz w:val="20"/>
                <w:szCs w:val="20"/>
                <w:lang w:val="fr-FR"/>
              </w:rPr>
              <w:t xml:space="preserve"> </w:t>
            </w:r>
            <w:r w:rsidR="00914A1A" w:rsidRPr="003F6411">
              <w:rPr>
                <w:rFonts w:asciiTheme="majorHAnsi" w:eastAsia="Calibri" w:hAnsiTheme="majorHAnsi" w:cs="Arial"/>
                <w:b w:val="0"/>
                <w:sz w:val="20"/>
                <w:szCs w:val="20"/>
                <w:lang w:val="fr-FR"/>
              </w:rPr>
              <w:t>UNESCO-MAB</w:t>
            </w:r>
            <w:r w:rsidR="00E01336" w:rsidRPr="003F6411">
              <w:rPr>
                <w:rFonts w:asciiTheme="majorHAnsi" w:eastAsia="Calibri" w:hAnsiTheme="majorHAnsi" w:cs="Arial"/>
                <w:b w:val="0"/>
                <w:sz w:val="20"/>
                <w:szCs w:val="20"/>
                <w:lang w:val="fr-FR"/>
              </w:rPr>
              <w:t xml:space="preserve"> </w:t>
            </w:r>
            <w:r w:rsidR="00914A1A" w:rsidRPr="003F6411">
              <w:rPr>
                <w:rFonts w:asciiTheme="majorHAnsi" w:eastAsia="Calibri" w:hAnsiTheme="majorHAnsi" w:cs="Arial"/>
                <w:b w:val="0"/>
                <w:sz w:val="20"/>
                <w:szCs w:val="20"/>
                <w:lang w:val="fr-FR"/>
              </w:rPr>
              <w:t>(Marie</w:t>
            </w:r>
            <w:r w:rsidR="00E01336" w:rsidRPr="003F6411">
              <w:rPr>
                <w:rFonts w:asciiTheme="majorHAnsi" w:eastAsia="Calibri" w:hAnsiTheme="majorHAnsi" w:cs="Arial"/>
                <w:b w:val="0"/>
                <w:sz w:val="20"/>
                <w:szCs w:val="20"/>
                <w:lang w:val="fr-FR"/>
              </w:rPr>
              <w:t xml:space="preserve"> </w:t>
            </w:r>
            <w:r w:rsidR="00914A1A" w:rsidRPr="003F6411">
              <w:rPr>
                <w:rFonts w:asciiTheme="majorHAnsi" w:eastAsia="Calibri" w:hAnsiTheme="majorHAnsi" w:cs="Arial"/>
                <w:b w:val="0"/>
                <w:sz w:val="20"/>
                <w:szCs w:val="20"/>
                <w:lang w:val="fr-FR"/>
              </w:rPr>
              <w:t>Prchalova),</w:t>
            </w:r>
            <w:r w:rsidR="00E01336" w:rsidRPr="003F6411">
              <w:rPr>
                <w:rFonts w:asciiTheme="majorHAnsi" w:eastAsia="Calibri" w:hAnsiTheme="majorHAnsi" w:cs="Arial"/>
                <w:b w:val="0"/>
                <w:sz w:val="20"/>
                <w:szCs w:val="20"/>
                <w:lang w:val="fr-FR"/>
              </w:rPr>
              <w:t xml:space="preserve"> </w:t>
            </w:r>
            <w:r w:rsidR="00D8361B" w:rsidRPr="003F6411">
              <w:rPr>
                <w:rFonts w:asciiTheme="majorHAnsi" w:eastAsia="Calibri" w:hAnsiTheme="majorHAnsi" w:cs="Arial"/>
                <w:b w:val="0"/>
                <w:sz w:val="20"/>
                <w:szCs w:val="20"/>
                <w:lang w:val="fr-FR"/>
              </w:rPr>
              <w:t>Centre du patrimoine mondial</w:t>
            </w:r>
            <w:r w:rsidR="00E01336" w:rsidRPr="003F6411">
              <w:rPr>
                <w:rFonts w:asciiTheme="majorHAnsi" w:eastAsia="Calibri" w:hAnsiTheme="majorHAnsi" w:cs="Arial"/>
                <w:b w:val="0"/>
                <w:sz w:val="20"/>
                <w:szCs w:val="20"/>
                <w:lang w:val="fr-FR"/>
              </w:rPr>
              <w:t xml:space="preserve"> </w:t>
            </w:r>
            <w:r w:rsidR="00914A1A" w:rsidRPr="003F6411">
              <w:rPr>
                <w:rFonts w:asciiTheme="majorHAnsi" w:eastAsia="Calibri" w:hAnsiTheme="majorHAnsi" w:cs="Arial"/>
                <w:b w:val="0"/>
                <w:sz w:val="20"/>
                <w:szCs w:val="20"/>
                <w:lang w:val="fr-FR"/>
              </w:rPr>
              <w:t>(Tim</w:t>
            </w:r>
            <w:r w:rsidR="00E01336" w:rsidRPr="003F6411">
              <w:rPr>
                <w:rFonts w:asciiTheme="majorHAnsi" w:eastAsia="Calibri" w:hAnsiTheme="majorHAnsi" w:cs="Arial"/>
                <w:b w:val="0"/>
                <w:sz w:val="20"/>
                <w:szCs w:val="20"/>
                <w:lang w:val="fr-FR"/>
              </w:rPr>
              <w:t xml:space="preserve"> </w:t>
            </w:r>
            <w:r w:rsidR="00914A1A" w:rsidRPr="003F6411">
              <w:rPr>
                <w:rFonts w:asciiTheme="majorHAnsi" w:eastAsia="Calibri" w:hAnsiTheme="majorHAnsi" w:cs="Arial"/>
                <w:b w:val="0"/>
                <w:sz w:val="20"/>
                <w:szCs w:val="20"/>
                <w:lang w:val="fr-FR"/>
              </w:rPr>
              <w:t>Badman)/</w:t>
            </w:r>
            <w:r w:rsidR="00E01336" w:rsidRPr="003F6411">
              <w:rPr>
                <w:rFonts w:asciiTheme="majorHAnsi" w:eastAsia="Calibri" w:hAnsiTheme="majorHAnsi" w:cs="Arial"/>
                <w:b w:val="0"/>
                <w:sz w:val="20"/>
                <w:szCs w:val="20"/>
                <w:lang w:val="fr-FR"/>
              </w:rPr>
              <w:t xml:space="preserve"> </w:t>
            </w:r>
            <w:r w:rsidR="00D8361B" w:rsidRPr="003F6411">
              <w:rPr>
                <w:rFonts w:asciiTheme="majorHAnsi" w:eastAsia="Calibri" w:hAnsiTheme="majorHAnsi" w:cs="Arial"/>
                <w:b w:val="0"/>
                <w:sz w:val="20"/>
                <w:szCs w:val="20"/>
                <w:lang w:val="fr-FR"/>
              </w:rPr>
              <w:t>CN GEST Malaisie</w:t>
            </w:r>
            <w:r w:rsidR="00E01336" w:rsidRPr="003F6411">
              <w:rPr>
                <w:rFonts w:asciiTheme="majorHAnsi" w:eastAsia="Calibri" w:hAnsiTheme="majorHAnsi" w:cs="Arial"/>
                <w:b w:val="0"/>
                <w:sz w:val="20"/>
                <w:szCs w:val="20"/>
                <w:lang w:val="fr-FR"/>
              </w:rPr>
              <w:t xml:space="preserve"> </w:t>
            </w:r>
            <w:r w:rsidR="00914A1A" w:rsidRPr="003F6411">
              <w:rPr>
                <w:rFonts w:asciiTheme="majorHAnsi" w:eastAsia="Calibri" w:hAnsiTheme="majorHAnsi" w:cs="Arial"/>
                <w:b w:val="0"/>
                <w:sz w:val="20"/>
                <w:szCs w:val="20"/>
                <w:lang w:val="fr-FR"/>
              </w:rPr>
              <w:t>(Abdul</w:t>
            </w:r>
            <w:r w:rsidR="00E01336" w:rsidRPr="003F6411">
              <w:rPr>
                <w:rFonts w:asciiTheme="majorHAnsi" w:eastAsia="Calibri" w:hAnsiTheme="majorHAnsi" w:cs="Arial"/>
                <w:b w:val="0"/>
                <w:sz w:val="20"/>
                <w:szCs w:val="20"/>
                <w:lang w:val="fr-FR"/>
              </w:rPr>
              <w:t xml:space="preserve"> </w:t>
            </w:r>
            <w:r w:rsidR="00914A1A" w:rsidRPr="003F6411">
              <w:rPr>
                <w:rFonts w:asciiTheme="majorHAnsi" w:eastAsia="Calibri" w:hAnsiTheme="majorHAnsi" w:cs="Arial"/>
                <w:b w:val="0"/>
                <w:sz w:val="20"/>
                <w:szCs w:val="20"/>
                <w:lang w:val="fr-FR"/>
              </w:rPr>
              <w:t>Rahman</w:t>
            </w:r>
            <w:r w:rsidR="006F08A3" w:rsidRPr="003F6411">
              <w:rPr>
                <w:rFonts w:asciiTheme="majorHAnsi" w:eastAsia="Calibri" w:hAnsiTheme="majorHAnsi" w:cs="Arial"/>
                <w:b w:val="0"/>
                <w:sz w:val="20"/>
                <w:szCs w:val="20"/>
                <w:lang w:val="fr-FR"/>
              </w:rPr>
              <w:t xml:space="preserve"> Kassim</w:t>
            </w:r>
            <w:r w:rsidR="00914A1A" w:rsidRPr="003F6411">
              <w:rPr>
                <w:rFonts w:asciiTheme="majorHAnsi" w:eastAsia="Calibri" w:hAnsiTheme="majorHAnsi" w:cs="Arial"/>
                <w:b w:val="0"/>
                <w:sz w:val="20"/>
                <w:szCs w:val="20"/>
                <w:lang w:val="fr-FR"/>
              </w:rPr>
              <w:t>)</w:t>
            </w:r>
            <w:r w:rsidR="00E01336" w:rsidRPr="003F6411">
              <w:rPr>
                <w:rFonts w:asciiTheme="majorHAnsi" w:eastAsia="Calibri" w:hAnsiTheme="majorHAnsi" w:cs="Arial"/>
                <w:b w:val="0"/>
                <w:sz w:val="20"/>
                <w:szCs w:val="20"/>
                <w:lang w:val="fr-FR"/>
              </w:rPr>
              <w:t xml:space="preserve"> </w:t>
            </w:r>
          </w:p>
        </w:tc>
      </w:tr>
    </w:tbl>
    <w:p w14:paraId="36CB8D7B" w14:textId="77777777" w:rsidR="00914A1A" w:rsidRPr="003F6411" w:rsidRDefault="00914A1A" w:rsidP="00914A1A">
      <w:pPr>
        <w:rPr>
          <w:rFonts w:asciiTheme="majorHAnsi" w:hAnsiTheme="majorHAnsi" w:cs="Arial"/>
          <w:sz w:val="20"/>
          <w:szCs w:val="20"/>
          <w:lang w:val="fr-FR"/>
        </w:rPr>
      </w:pPr>
    </w:p>
    <w:tbl>
      <w:tblPr>
        <w:tblStyle w:val="TableGrid"/>
        <w:tblW w:w="5037" w:type="pct"/>
        <w:tblInd w:w="-85" w:type="dxa"/>
        <w:tblLayout w:type="fixed"/>
        <w:tblCellMar>
          <w:top w:w="57" w:type="dxa"/>
          <w:left w:w="57" w:type="dxa"/>
          <w:bottom w:w="57" w:type="dxa"/>
          <w:right w:w="57" w:type="dxa"/>
        </w:tblCellMar>
        <w:tblLook w:val="04A0" w:firstRow="1" w:lastRow="0" w:firstColumn="1" w:lastColumn="0" w:noHBand="0" w:noVBand="1"/>
      </w:tblPr>
      <w:tblGrid>
        <w:gridCol w:w="1456"/>
        <w:gridCol w:w="842"/>
        <w:gridCol w:w="1021"/>
        <w:gridCol w:w="1092"/>
        <w:gridCol w:w="8347"/>
        <w:gridCol w:w="1418"/>
      </w:tblGrid>
      <w:tr w:rsidR="00501577" w:rsidRPr="00807F64" w14:paraId="786A0390" w14:textId="77777777" w:rsidTr="00931645">
        <w:trPr>
          <w:tblHeader/>
        </w:trPr>
        <w:tc>
          <w:tcPr>
            <w:tcW w:w="514" w:type="pct"/>
            <w:shd w:val="clear" w:color="auto" w:fill="D9D9D9" w:themeFill="background1" w:themeFillShade="D9"/>
          </w:tcPr>
          <w:p w14:paraId="00ECE3C6" w14:textId="424BDAE6" w:rsidR="00914A1A" w:rsidRPr="00807F64" w:rsidRDefault="00D8361B" w:rsidP="00914A1A">
            <w:pPr>
              <w:jc w:val="center"/>
              <w:rPr>
                <w:rFonts w:asciiTheme="majorHAnsi" w:hAnsiTheme="majorHAnsi" w:cs="Arial"/>
                <w:sz w:val="20"/>
                <w:szCs w:val="20"/>
                <w:lang w:val="fr-CA"/>
              </w:rPr>
            </w:pPr>
            <w:r w:rsidRPr="00807F64">
              <w:rPr>
                <w:rFonts w:asciiTheme="majorHAnsi" w:hAnsiTheme="majorHAnsi" w:cs="Arial"/>
                <w:sz w:val="20"/>
                <w:szCs w:val="20"/>
                <w:lang w:val="fr-CA"/>
              </w:rPr>
              <w:t>N</w:t>
            </w:r>
            <w:r w:rsidRPr="00807F64">
              <w:rPr>
                <w:rFonts w:asciiTheme="majorHAnsi" w:hAnsiTheme="majorHAnsi" w:cs="Arial"/>
                <w:sz w:val="20"/>
                <w:szCs w:val="20"/>
                <w:vertAlign w:val="superscript"/>
                <w:lang w:val="fr-CA"/>
              </w:rPr>
              <w:t>o</w:t>
            </w:r>
            <w:r w:rsidRPr="00807F64">
              <w:rPr>
                <w:rFonts w:asciiTheme="majorHAnsi" w:hAnsiTheme="majorHAnsi" w:cs="Arial"/>
                <w:sz w:val="20"/>
                <w:szCs w:val="20"/>
                <w:lang w:val="fr-CA"/>
              </w:rPr>
              <w:t xml:space="preserve"> de tâche, titre</w:t>
            </w:r>
          </w:p>
        </w:tc>
        <w:tc>
          <w:tcPr>
            <w:tcW w:w="297" w:type="pct"/>
            <w:shd w:val="clear" w:color="auto" w:fill="D9D9D9" w:themeFill="background1" w:themeFillShade="D9"/>
          </w:tcPr>
          <w:p w14:paraId="1AEADBBA" w14:textId="3A1D3F42" w:rsidR="00914A1A" w:rsidRPr="00807F64" w:rsidRDefault="001637EC" w:rsidP="00914A1A">
            <w:pPr>
              <w:jc w:val="center"/>
              <w:rPr>
                <w:rFonts w:asciiTheme="majorHAnsi" w:hAnsiTheme="majorHAnsi" w:cs="Arial"/>
                <w:sz w:val="20"/>
                <w:szCs w:val="20"/>
                <w:lang w:val="fr-CA"/>
              </w:rPr>
            </w:pPr>
            <w:r w:rsidRPr="00807F64">
              <w:rPr>
                <w:rFonts w:asciiTheme="majorHAnsi" w:hAnsiTheme="majorHAnsi" w:cs="Arial"/>
                <w:sz w:val="20"/>
                <w:szCs w:val="20"/>
                <w:lang w:val="fr-CA"/>
              </w:rPr>
              <w:t>Priorité</w:t>
            </w:r>
          </w:p>
        </w:tc>
        <w:tc>
          <w:tcPr>
            <w:tcW w:w="360" w:type="pct"/>
            <w:shd w:val="clear" w:color="auto" w:fill="D9D9D9" w:themeFill="background1" w:themeFillShade="D9"/>
          </w:tcPr>
          <w:p w14:paraId="3EFC3C46" w14:textId="5D04260F" w:rsidR="00914A1A" w:rsidRPr="00807F64" w:rsidRDefault="001637EC" w:rsidP="001637EC">
            <w:pPr>
              <w:jc w:val="center"/>
              <w:rPr>
                <w:rFonts w:asciiTheme="majorHAnsi" w:hAnsiTheme="majorHAnsi" w:cs="Arial"/>
                <w:sz w:val="20"/>
                <w:szCs w:val="20"/>
                <w:lang w:val="fr-CA"/>
              </w:rPr>
            </w:pPr>
            <w:r w:rsidRPr="00807F64">
              <w:rPr>
                <w:rFonts w:asciiTheme="majorHAnsi" w:hAnsiTheme="majorHAnsi" w:cs="Arial"/>
                <w:sz w:val="20"/>
                <w:szCs w:val="20"/>
                <w:lang w:val="fr-CA"/>
              </w:rPr>
              <w:t>Résolution</w:t>
            </w:r>
          </w:p>
        </w:tc>
        <w:tc>
          <w:tcPr>
            <w:tcW w:w="385" w:type="pct"/>
            <w:shd w:val="clear" w:color="auto" w:fill="D9D9D9" w:themeFill="background1" w:themeFillShade="D9"/>
          </w:tcPr>
          <w:p w14:paraId="6DA11644" w14:textId="21B63B3E" w:rsidR="00914A1A" w:rsidRPr="00807F64" w:rsidRDefault="001637EC" w:rsidP="00914A1A">
            <w:pPr>
              <w:jc w:val="center"/>
              <w:rPr>
                <w:rFonts w:asciiTheme="majorHAnsi" w:hAnsiTheme="majorHAnsi" w:cs="Arial"/>
                <w:sz w:val="20"/>
                <w:szCs w:val="20"/>
                <w:lang w:val="fr-CA"/>
              </w:rPr>
            </w:pPr>
            <w:r w:rsidRPr="00807F64">
              <w:rPr>
                <w:rFonts w:asciiTheme="majorHAnsi" w:eastAsia="Calibri" w:hAnsiTheme="majorHAnsi" w:cs="Arial"/>
                <w:sz w:val="20"/>
                <w:szCs w:val="20"/>
                <w:lang w:val="fr-CA"/>
              </w:rPr>
              <w:t>But et objectif PS</w:t>
            </w:r>
          </w:p>
        </w:tc>
        <w:tc>
          <w:tcPr>
            <w:tcW w:w="2944" w:type="pct"/>
            <w:shd w:val="clear" w:color="auto" w:fill="D9D9D9" w:themeFill="background1" w:themeFillShade="D9"/>
          </w:tcPr>
          <w:p w14:paraId="57E02623" w14:textId="17068B5C" w:rsidR="00914A1A" w:rsidRPr="00807F64" w:rsidRDefault="001637EC" w:rsidP="00914A1A">
            <w:pPr>
              <w:jc w:val="center"/>
              <w:rPr>
                <w:rFonts w:asciiTheme="majorHAnsi" w:hAnsiTheme="majorHAnsi" w:cs="Arial"/>
                <w:sz w:val="20"/>
                <w:szCs w:val="20"/>
                <w:lang w:val="fr-CA"/>
              </w:rPr>
            </w:pPr>
            <w:r w:rsidRPr="00807F64">
              <w:rPr>
                <w:rFonts w:asciiTheme="majorHAnsi" w:hAnsiTheme="majorHAnsi" w:cs="Arial"/>
                <w:sz w:val="20"/>
                <w:szCs w:val="20"/>
                <w:lang w:val="fr-CA"/>
              </w:rPr>
              <w:t>Description de tâche, public ciblé et résultats escomptés</w:t>
            </w:r>
          </w:p>
        </w:tc>
        <w:tc>
          <w:tcPr>
            <w:tcW w:w="500" w:type="pct"/>
            <w:shd w:val="clear" w:color="auto" w:fill="D9D9D9" w:themeFill="background1" w:themeFillShade="D9"/>
          </w:tcPr>
          <w:p w14:paraId="4D23FB3C" w14:textId="2B0BA84F" w:rsidR="00914A1A" w:rsidRPr="00807F64" w:rsidRDefault="001637EC" w:rsidP="00914A1A">
            <w:pPr>
              <w:jc w:val="center"/>
              <w:rPr>
                <w:rFonts w:asciiTheme="majorHAnsi" w:hAnsiTheme="majorHAnsi" w:cs="Arial"/>
                <w:sz w:val="20"/>
                <w:szCs w:val="20"/>
                <w:lang w:val="fr-CA"/>
              </w:rPr>
            </w:pPr>
            <w:r w:rsidRPr="00807F64">
              <w:rPr>
                <w:rFonts w:asciiTheme="majorHAnsi" w:hAnsiTheme="majorHAnsi" w:cs="Arial"/>
                <w:sz w:val="20"/>
                <w:szCs w:val="20"/>
                <w:lang w:val="fr-CA"/>
              </w:rPr>
              <w:t>Coûts</w:t>
            </w:r>
            <w:r w:rsidR="00E01336" w:rsidRPr="00807F64">
              <w:rPr>
                <w:rFonts w:asciiTheme="majorHAnsi" w:hAnsiTheme="majorHAnsi" w:cs="Arial"/>
                <w:sz w:val="20"/>
                <w:szCs w:val="20"/>
                <w:lang w:val="fr-CA"/>
              </w:rPr>
              <w:t xml:space="preserve"> </w:t>
            </w:r>
            <w:r w:rsidR="00914A1A" w:rsidRPr="00807F64">
              <w:rPr>
                <w:rFonts w:asciiTheme="majorHAnsi" w:hAnsiTheme="majorHAnsi" w:cs="Arial"/>
                <w:sz w:val="20"/>
                <w:szCs w:val="20"/>
                <w:lang w:val="fr-CA"/>
              </w:rPr>
              <w:t>CHF</w:t>
            </w:r>
          </w:p>
        </w:tc>
      </w:tr>
      <w:tr w:rsidR="00501577" w:rsidRPr="00833360" w14:paraId="1C8065C7" w14:textId="77777777" w:rsidTr="001637EC">
        <w:tc>
          <w:tcPr>
            <w:tcW w:w="514" w:type="pct"/>
          </w:tcPr>
          <w:p w14:paraId="16179231" w14:textId="7BE12DA6" w:rsidR="00914A1A" w:rsidRPr="00807F64" w:rsidRDefault="00914A1A" w:rsidP="00D5078D">
            <w:pPr>
              <w:rPr>
                <w:rFonts w:asciiTheme="majorHAnsi" w:hAnsiTheme="majorHAnsi" w:cs="Arial"/>
                <w:b w:val="0"/>
                <w:sz w:val="20"/>
                <w:szCs w:val="20"/>
                <w:lang w:val="fr-CA"/>
              </w:rPr>
            </w:pPr>
            <w:r w:rsidRPr="00807F64">
              <w:rPr>
                <w:rFonts w:asciiTheme="majorHAnsi" w:eastAsiaTheme="minorHAnsi" w:hAnsiTheme="majorHAnsi" w:cs="Arial"/>
                <w:b w:val="0"/>
                <w:sz w:val="20"/>
                <w:szCs w:val="20"/>
                <w:lang w:val="fr-CA" w:eastAsia="en-US"/>
              </w:rPr>
              <w:t>3.1</w:t>
            </w:r>
            <w:r w:rsidR="00E01336" w:rsidRPr="00807F64">
              <w:rPr>
                <w:rFonts w:asciiTheme="majorHAnsi" w:eastAsiaTheme="minorHAnsi" w:hAnsiTheme="majorHAnsi" w:cs="Arial"/>
                <w:b w:val="0"/>
                <w:sz w:val="20"/>
                <w:szCs w:val="20"/>
                <w:lang w:val="fr-CA" w:eastAsia="en-US"/>
              </w:rPr>
              <w:t xml:space="preserve"> </w:t>
            </w:r>
            <w:r w:rsidR="00D5078D" w:rsidRPr="00807F64">
              <w:rPr>
                <w:rFonts w:asciiTheme="majorHAnsi" w:eastAsiaTheme="minorHAnsi" w:hAnsiTheme="majorHAnsi" w:cs="Arial"/>
                <w:b w:val="0"/>
                <w:sz w:val="20"/>
                <w:szCs w:val="20"/>
                <w:lang w:val="fr-CA" w:eastAsia="en-US"/>
              </w:rPr>
              <w:t>Document d’orientation</w:t>
            </w:r>
            <w:r w:rsidR="00EE2AAD" w:rsidRPr="00807F64">
              <w:rPr>
                <w:rFonts w:asciiTheme="majorHAnsi" w:eastAsiaTheme="minorHAnsi" w:hAnsiTheme="majorHAnsi" w:cs="Arial"/>
                <w:b w:val="0"/>
                <w:sz w:val="20"/>
                <w:szCs w:val="20"/>
                <w:lang w:val="fr-CA" w:eastAsia="en-US"/>
              </w:rPr>
              <w:t xml:space="preserve"> sur l’évaluation et la valorisation des services écosystémiques des zones humides</w:t>
            </w:r>
          </w:p>
        </w:tc>
        <w:tc>
          <w:tcPr>
            <w:tcW w:w="297" w:type="pct"/>
          </w:tcPr>
          <w:p w14:paraId="2150246A" w14:textId="35DC8C7A" w:rsidR="00914A1A" w:rsidRPr="00807F64" w:rsidRDefault="008E6B37" w:rsidP="00914A1A">
            <w:pPr>
              <w:rPr>
                <w:rFonts w:asciiTheme="majorHAnsi" w:hAnsiTheme="majorHAnsi" w:cs="Arial"/>
                <w:b w:val="0"/>
                <w:sz w:val="20"/>
                <w:szCs w:val="20"/>
                <w:lang w:val="fr-CA"/>
              </w:rPr>
            </w:pPr>
            <w:r>
              <w:rPr>
                <w:rFonts w:asciiTheme="majorHAnsi" w:hAnsiTheme="majorHAnsi" w:cs="Arial"/>
                <w:b w:val="0"/>
                <w:sz w:val="20"/>
                <w:szCs w:val="20"/>
                <w:lang w:val="fr-CA"/>
              </w:rPr>
              <w:t>Très haute</w:t>
            </w:r>
          </w:p>
        </w:tc>
        <w:tc>
          <w:tcPr>
            <w:tcW w:w="360" w:type="pct"/>
          </w:tcPr>
          <w:p w14:paraId="1A91BC58" w14:textId="6E2CC8E7" w:rsidR="00914A1A" w:rsidRPr="00807F64" w:rsidRDefault="00914A1A" w:rsidP="00914A1A">
            <w:pPr>
              <w:rPr>
                <w:rFonts w:asciiTheme="majorHAnsi" w:hAnsiTheme="majorHAnsi" w:cs="Arial"/>
                <w:b w:val="0"/>
                <w:sz w:val="20"/>
                <w:szCs w:val="20"/>
                <w:lang w:val="fr-CA"/>
              </w:rPr>
            </w:pPr>
            <w:r w:rsidRPr="00807F64">
              <w:rPr>
                <w:rFonts w:asciiTheme="majorHAnsi" w:hAnsiTheme="majorHAnsi" w:cs="Arial"/>
                <w:b w:val="0"/>
                <w:sz w:val="20"/>
                <w:szCs w:val="20"/>
                <w:lang w:val="fr-CA"/>
              </w:rPr>
              <w:t>XII.13</w:t>
            </w:r>
            <w:r w:rsidR="00D5078D" w:rsidRPr="00807F64">
              <w:rPr>
                <w:rFonts w:asciiTheme="majorHAnsi" w:hAnsiTheme="majorHAnsi" w:cs="Arial"/>
                <w:b w:val="0"/>
                <w:sz w:val="20"/>
                <w:szCs w:val="20"/>
                <w:lang w:val="fr-CA"/>
              </w:rPr>
              <w:t>¶</w:t>
            </w:r>
            <w:r w:rsidR="00D5078D" w:rsidRPr="00807F64">
              <w:rPr>
                <w:rFonts w:ascii="Calibri" w:hAnsi="Calibri" w:cs="Arial"/>
                <w:b w:val="0"/>
                <w:sz w:val="20"/>
                <w:szCs w:val="20"/>
                <w:lang w:val="fr-CA"/>
              </w:rPr>
              <w:t>¶</w:t>
            </w:r>
            <w:r w:rsidR="00D5078D" w:rsidRPr="00807F64">
              <w:rPr>
                <w:rFonts w:asciiTheme="majorHAnsi" w:hAnsiTheme="majorHAnsi" w:cs="Arial"/>
                <w:b w:val="0"/>
                <w:sz w:val="20"/>
                <w:szCs w:val="20"/>
                <w:lang w:val="fr-CA"/>
              </w:rPr>
              <w:t xml:space="preserve"> 27; XII.15</w:t>
            </w:r>
          </w:p>
        </w:tc>
        <w:tc>
          <w:tcPr>
            <w:tcW w:w="385" w:type="pct"/>
          </w:tcPr>
          <w:p w14:paraId="63F33A88" w14:textId="5F795E1F" w:rsidR="00914A1A" w:rsidRPr="00807F64" w:rsidRDefault="00E01336" w:rsidP="00914A1A">
            <w:pPr>
              <w:rPr>
                <w:rFonts w:asciiTheme="majorHAnsi" w:eastAsia="Calibri" w:hAnsiTheme="majorHAnsi" w:cs="Arial"/>
                <w:b w:val="0"/>
                <w:sz w:val="20"/>
                <w:szCs w:val="20"/>
                <w:lang w:val="fr-CA"/>
              </w:rPr>
            </w:pPr>
            <w:r w:rsidRPr="00807F64">
              <w:rPr>
                <w:rFonts w:asciiTheme="majorHAnsi" w:eastAsia="Calibri" w:hAnsiTheme="majorHAnsi" w:cs="Arial"/>
                <w:b w:val="0"/>
                <w:bCs/>
                <w:sz w:val="20"/>
                <w:szCs w:val="20"/>
                <w:lang w:val="fr-CA"/>
              </w:rPr>
              <w:t xml:space="preserve"> </w:t>
            </w:r>
            <w:r w:rsidR="00D5078D" w:rsidRPr="00807F64">
              <w:rPr>
                <w:rFonts w:asciiTheme="majorHAnsi" w:eastAsia="Calibri" w:hAnsiTheme="majorHAnsi" w:cs="Arial"/>
                <w:b w:val="0"/>
                <w:bCs/>
                <w:sz w:val="20"/>
                <w:szCs w:val="20"/>
                <w:lang w:val="fr-CA"/>
              </w:rPr>
              <w:t>1.1, 1.3; 3.8, 3.9, 3.10, 3.11, 3.12; 4.14</w:t>
            </w:r>
          </w:p>
          <w:p w14:paraId="051966F3" w14:textId="77777777" w:rsidR="00914A1A" w:rsidRPr="00807F64" w:rsidRDefault="00914A1A" w:rsidP="00914A1A">
            <w:pPr>
              <w:rPr>
                <w:rFonts w:asciiTheme="majorHAnsi" w:hAnsiTheme="majorHAnsi" w:cs="Arial"/>
                <w:b w:val="0"/>
                <w:sz w:val="20"/>
                <w:szCs w:val="20"/>
                <w:lang w:val="fr-CA"/>
              </w:rPr>
            </w:pPr>
          </w:p>
        </w:tc>
        <w:tc>
          <w:tcPr>
            <w:tcW w:w="2944" w:type="pct"/>
          </w:tcPr>
          <w:p w14:paraId="3A8F2F33" w14:textId="5178D0D1" w:rsidR="00914A1A" w:rsidRPr="00807F64" w:rsidRDefault="00931645" w:rsidP="00914A1A">
            <w:pPr>
              <w:rPr>
                <w:rFonts w:asciiTheme="majorHAnsi" w:hAnsiTheme="majorHAnsi" w:cs="Arial"/>
                <w:b w:val="0"/>
                <w:sz w:val="20"/>
                <w:szCs w:val="20"/>
                <w:lang w:val="fr-CA"/>
              </w:rPr>
            </w:pPr>
            <w:r w:rsidRPr="00807F64">
              <w:rPr>
                <w:rFonts w:asciiTheme="majorHAnsi" w:hAnsiTheme="majorHAnsi" w:cs="Arial"/>
                <w:b w:val="0"/>
                <w:sz w:val="20"/>
                <w:szCs w:val="20"/>
                <w:u w:val="single"/>
                <w:lang w:val="fr-CA"/>
              </w:rPr>
              <w:t>Description de tâche</w:t>
            </w:r>
            <w:r w:rsidRPr="00807F64">
              <w:rPr>
                <w:rFonts w:asciiTheme="majorHAnsi" w:hAnsiTheme="majorHAnsi" w:cs="Arial"/>
                <w:b w:val="0"/>
                <w:sz w:val="20"/>
                <w:szCs w:val="20"/>
                <w:lang w:val="fr-CA"/>
              </w:rPr>
              <w:t xml:space="preserve"> : </w:t>
            </w:r>
            <w:r w:rsidR="00357CE7" w:rsidRPr="00807F64">
              <w:rPr>
                <w:rFonts w:asciiTheme="majorHAnsi" w:hAnsiTheme="majorHAnsi" w:cs="Arial"/>
                <w:b w:val="0"/>
                <w:sz w:val="20"/>
                <w:szCs w:val="20"/>
                <w:lang w:val="fr-CA"/>
              </w:rPr>
              <w:t>Informer</w:t>
            </w:r>
            <w:r w:rsidR="00EE2AAD" w:rsidRPr="00807F64">
              <w:rPr>
                <w:rFonts w:asciiTheme="majorHAnsi" w:hAnsiTheme="majorHAnsi" w:cs="Arial"/>
                <w:b w:val="0"/>
                <w:sz w:val="20"/>
                <w:szCs w:val="20"/>
                <w:lang w:val="fr-CA"/>
              </w:rPr>
              <w:t xml:space="preserve"> les décideurs</w:t>
            </w:r>
            <w:r w:rsidR="00357CE7" w:rsidRPr="00807F64">
              <w:rPr>
                <w:rFonts w:asciiTheme="majorHAnsi" w:hAnsiTheme="majorHAnsi" w:cs="Arial"/>
                <w:b w:val="0"/>
                <w:sz w:val="20"/>
                <w:szCs w:val="20"/>
                <w:lang w:val="fr-CA"/>
              </w:rPr>
              <w:t xml:space="preserve">, par le biais </w:t>
            </w:r>
            <w:r w:rsidR="00D5078D" w:rsidRPr="00807F64">
              <w:rPr>
                <w:rFonts w:asciiTheme="majorHAnsi" w:hAnsiTheme="majorHAnsi" w:cs="Arial"/>
                <w:b w:val="0"/>
                <w:sz w:val="20"/>
                <w:szCs w:val="20"/>
                <w:lang w:val="fr-CA"/>
              </w:rPr>
              <w:t>d’un document d’orientation</w:t>
            </w:r>
            <w:r w:rsidR="00357CE7" w:rsidRPr="00807F64">
              <w:rPr>
                <w:rFonts w:asciiTheme="majorHAnsi" w:hAnsiTheme="majorHAnsi" w:cs="Arial"/>
                <w:b w:val="0"/>
                <w:sz w:val="20"/>
                <w:szCs w:val="20"/>
                <w:lang w:val="fr-CA"/>
              </w:rPr>
              <w:t>,</w:t>
            </w:r>
            <w:r w:rsidR="00EE2AAD" w:rsidRPr="00807F64">
              <w:rPr>
                <w:rFonts w:asciiTheme="majorHAnsi" w:hAnsiTheme="majorHAnsi" w:cs="Arial"/>
                <w:b w:val="0"/>
                <w:sz w:val="20"/>
                <w:szCs w:val="20"/>
                <w:lang w:val="fr-CA"/>
              </w:rPr>
              <w:t xml:space="preserve"> sur les moyens les plus modernes de reconnaître et d’évaluer les multiples valeurs des zones humides et leur application pour une gestion </w:t>
            </w:r>
            <w:r w:rsidR="00D5078D" w:rsidRPr="00807F64">
              <w:rPr>
                <w:rFonts w:asciiTheme="majorHAnsi" w:hAnsiTheme="majorHAnsi" w:cs="Arial"/>
                <w:b w:val="0"/>
                <w:sz w:val="20"/>
                <w:szCs w:val="20"/>
                <w:lang w:val="fr-CA"/>
              </w:rPr>
              <w:t>intégrée</w:t>
            </w:r>
            <w:r w:rsidR="00EE2AAD" w:rsidRPr="00807F64">
              <w:rPr>
                <w:rFonts w:asciiTheme="majorHAnsi" w:hAnsiTheme="majorHAnsi" w:cs="Arial"/>
                <w:b w:val="0"/>
                <w:sz w:val="20"/>
                <w:szCs w:val="20"/>
                <w:lang w:val="fr-CA"/>
              </w:rPr>
              <w:t xml:space="preserve">. La portée </w:t>
            </w:r>
            <w:r w:rsidR="00D5078D" w:rsidRPr="00807F64">
              <w:rPr>
                <w:rFonts w:asciiTheme="majorHAnsi" w:hAnsiTheme="majorHAnsi" w:cs="Arial"/>
                <w:b w:val="0"/>
                <w:sz w:val="20"/>
                <w:szCs w:val="20"/>
                <w:lang w:val="fr-CA"/>
              </w:rPr>
              <w:t>du</w:t>
            </w:r>
            <w:r w:rsidR="00EE2AAD" w:rsidRPr="00807F64">
              <w:rPr>
                <w:rFonts w:asciiTheme="majorHAnsi" w:hAnsiTheme="majorHAnsi" w:cs="Arial"/>
                <w:b w:val="0"/>
                <w:sz w:val="20"/>
                <w:szCs w:val="20"/>
                <w:lang w:val="fr-CA"/>
              </w:rPr>
              <w:t xml:space="preserve"> </w:t>
            </w:r>
            <w:r w:rsidR="00D5078D" w:rsidRPr="00807F64">
              <w:rPr>
                <w:rFonts w:asciiTheme="majorHAnsi" w:hAnsiTheme="majorHAnsi" w:cs="Arial"/>
                <w:b w:val="0"/>
                <w:sz w:val="20"/>
                <w:szCs w:val="20"/>
                <w:lang w:val="fr-CA"/>
              </w:rPr>
              <w:t xml:space="preserve">document d’orientation </w:t>
            </w:r>
            <w:r w:rsidR="00EE2AAD" w:rsidRPr="00807F64">
              <w:rPr>
                <w:rFonts w:asciiTheme="majorHAnsi" w:hAnsiTheme="majorHAnsi" w:cs="Arial"/>
                <w:b w:val="0"/>
                <w:sz w:val="20"/>
                <w:szCs w:val="20"/>
                <w:lang w:val="fr-CA"/>
              </w:rPr>
              <w:t xml:space="preserve">devrait inclure : la justification de l’intégration de valeurs multiples des zones humides et de l’utilisation rationnelle, l’utilisation de valeurs multiples dans la prise de décisions sectorielle, les dernières méthodes pour reconnaître et évaluer les valeurs multiples, </w:t>
            </w:r>
            <w:r w:rsidR="00D5078D" w:rsidRPr="00807F64">
              <w:rPr>
                <w:rFonts w:asciiTheme="majorHAnsi" w:hAnsiTheme="majorHAnsi" w:cs="Arial"/>
                <w:b w:val="0"/>
                <w:sz w:val="20"/>
                <w:szCs w:val="20"/>
                <w:lang w:val="fr-CA"/>
              </w:rPr>
              <w:t>intégrer les connaissances autochtones et locales dans l’évaluation; utiliser les</w:t>
            </w:r>
            <w:r w:rsidR="00EE2AAD" w:rsidRPr="00807F64">
              <w:rPr>
                <w:rFonts w:asciiTheme="majorHAnsi" w:hAnsiTheme="majorHAnsi" w:cs="Arial"/>
                <w:b w:val="0"/>
                <w:sz w:val="20"/>
                <w:szCs w:val="20"/>
                <w:lang w:val="fr-CA"/>
              </w:rPr>
              <w:t xml:space="preserve"> valeurs pour</w:t>
            </w:r>
            <w:r w:rsidR="007A5CFB" w:rsidRPr="00807F64">
              <w:rPr>
                <w:rFonts w:asciiTheme="majorHAnsi" w:hAnsiTheme="majorHAnsi" w:cs="Arial"/>
                <w:b w:val="0"/>
                <w:sz w:val="20"/>
                <w:szCs w:val="20"/>
                <w:lang w:val="fr-CA"/>
              </w:rPr>
              <w:t xml:space="preserve"> </w:t>
            </w:r>
            <w:r w:rsidR="00EE2AAD" w:rsidRPr="00807F64">
              <w:rPr>
                <w:rFonts w:asciiTheme="majorHAnsi" w:hAnsiTheme="majorHAnsi" w:cs="Arial"/>
                <w:b w:val="0"/>
                <w:sz w:val="20"/>
                <w:szCs w:val="20"/>
                <w:lang w:val="fr-CA"/>
              </w:rPr>
              <w:t>soutenir une gestion intégrée des zones humides.</w:t>
            </w:r>
            <w:r w:rsidR="00D5078D" w:rsidRPr="00807F64">
              <w:rPr>
                <w:rFonts w:asciiTheme="majorHAnsi" w:hAnsiTheme="majorHAnsi" w:cs="Arial"/>
                <w:b w:val="0"/>
                <w:sz w:val="20"/>
                <w:szCs w:val="20"/>
                <w:lang w:val="fr-CA"/>
              </w:rPr>
              <w:t xml:space="preserve"> </w:t>
            </w:r>
            <w:r w:rsidR="00807F64">
              <w:rPr>
                <w:rFonts w:asciiTheme="majorHAnsi" w:hAnsiTheme="majorHAnsi" w:cs="Arial"/>
                <w:b w:val="0"/>
                <w:sz w:val="20"/>
                <w:szCs w:val="20"/>
                <w:lang w:val="fr-CA"/>
              </w:rPr>
              <w:t xml:space="preserve">Le document d’orientation aurait, en annexe, un protocole pour évaluer les valeurs multiples des zones humides qui serait adapté d’un guide IPBES existant (en 5 étapes) sur l’évaluation des valeurs multiples de la nature. (Le guide en 5 étapes est un résultat de l’activité IPBES </w:t>
            </w:r>
            <w:r w:rsidR="00D5078D" w:rsidRPr="00807F64">
              <w:rPr>
                <w:rFonts w:asciiTheme="majorHAnsi" w:hAnsiTheme="majorHAnsi" w:cs="Arial"/>
                <w:b w:val="0"/>
                <w:color w:val="222222"/>
                <w:sz w:val="20"/>
                <w:szCs w:val="20"/>
                <w:shd w:val="clear" w:color="auto" w:fill="FFFFFF"/>
                <w:lang w:val="fr-CA"/>
              </w:rPr>
              <w:t>3(d)</w:t>
            </w:r>
            <w:r w:rsidR="00807F64">
              <w:rPr>
                <w:rFonts w:asciiTheme="majorHAnsi" w:hAnsiTheme="majorHAnsi" w:cs="Arial"/>
                <w:b w:val="0"/>
                <w:color w:val="222222"/>
                <w:sz w:val="20"/>
                <w:szCs w:val="20"/>
                <w:shd w:val="clear" w:color="auto" w:fill="FFFFFF"/>
                <w:lang w:val="fr-CA"/>
              </w:rPr>
              <w:t> </w:t>
            </w:r>
            <w:r w:rsidR="00D5078D" w:rsidRPr="00807F64">
              <w:rPr>
                <w:rFonts w:asciiTheme="majorHAnsi" w:hAnsiTheme="majorHAnsi" w:cs="Arial"/>
                <w:b w:val="0"/>
                <w:color w:val="222222"/>
                <w:sz w:val="20"/>
                <w:szCs w:val="20"/>
                <w:shd w:val="clear" w:color="auto" w:fill="FFFFFF"/>
                <w:lang w:val="fr-CA"/>
              </w:rPr>
              <w:t xml:space="preserve">: </w:t>
            </w:r>
            <w:r w:rsidR="00807F64">
              <w:rPr>
                <w:rFonts w:asciiTheme="majorHAnsi" w:hAnsiTheme="majorHAnsi" w:cs="Arial"/>
                <w:b w:val="0"/>
                <w:color w:val="222222"/>
                <w:sz w:val="20"/>
                <w:szCs w:val="20"/>
                <w:shd w:val="clear" w:color="auto" w:fill="FFFFFF"/>
                <w:lang w:val="fr-CA"/>
              </w:rPr>
              <w:t xml:space="preserve">conceptualisation diverse de </w:t>
            </w:r>
            <w:r w:rsidR="00807F64">
              <w:rPr>
                <w:rFonts w:asciiTheme="majorHAnsi" w:hAnsiTheme="majorHAnsi" w:cs="Arial"/>
                <w:b w:val="0"/>
                <w:color w:val="222222"/>
                <w:sz w:val="20"/>
                <w:szCs w:val="20"/>
                <w:shd w:val="clear" w:color="auto" w:fill="FFFFFF"/>
                <w:lang w:val="fr-CA"/>
              </w:rPr>
              <w:lastRenderedPageBreak/>
              <w:t>valeurs multiples de la nature et de ses avantages, y compris la biodiversité et les fonctions et services écosystémiques, et il est disponible en ligne en tant qu’annexe 2 du document de travail pour la 4</w:t>
            </w:r>
            <w:r w:rsidR="00807F64" w:rsidRPr="00807F64">
              <w:rPr>
                <w:rFonts w:asciiTheme="majorHAnsi" w:hAnsiTheme="majorHAnsi" w:cs="Arial"/>
                <w:b w:val="0"/>
                <w:color w:val="222222"/>
                <w:sz w:val="20"/>
                <w:szCs w:val="20"/>
                <w:shd w:val="clear" w:color="auto" w:fill="FFFFFF"/>
                <w:vertAlign w:val="superscript"/>
                <w:lang w:val="fr-CA"/>
              </w:rPr>
              <w:t>e</w:t>
            </w:r>
            <w:r w:rsidR="00807F64">
              <w:rPr>
                <w:rFonts w:asciiTheme="majorHAnsi" w:hAnsiTheme="majorHAnsi" w:cs="Arial"/>
                <w:b w:val="0"/>
                <w:color w:val="222222"/>
                <w:sz w:val="20"/>
                <w:szCs w:val="20"/>
                <w:shd w:val="clear" w:color="auto" w:fill="FFFFFF"/>
                <w:lang w:val="fr-CA"/>
              </w:rPr>
              <w:t xml:space="preserve"> séance plénière.) </w:t>
            </w:r>
          </w:p>
          <w:p w14:paraId="221296D7" w14:textId="77777777" w:rsidR="00914A1A" w:rsidRPr="00807F64" w:rsidRDefault="00914A1A" w:rsidP="00914A1A">
            <w:pPr>
              <w:rPr>
                <w:rFonts w:asciiTheme="majorHAnsi" w:hAnsiTheme="majorHAnsi" w:cs="Arial"/>
                <w:b w:val="0"/>
                <w:sz w:val="20"/>
                <w:szCs w:val="20"/>
                <w:lang w:val="fr-CA"/>
              </w:rPr>
            </w:pPr>
          </w:p>
          <w:p w14:paraId="3E316B61" w14:textId="6CF8360A" w:rsidR="00914A1A" w:rsidRPr="00807F64" w:rsidRDefault="00931645" w:rsidP="00914A1A">
            <w:pPr>
              <w:rPr>
                <w:rFonts w:asciiTheme="majorHAnsi" w:hAnsiTheme="majorHAnsi" w:cs="Arial"/>
                <w:b w:val="0"/>
                <w:sz w:val="20"/>
                <w:szCs w:val="20"/>
                <w:lang w:val="fr-CA"/>
              </w:rPr>
            </w:pPr>
            <w:r w:rsidRPr="00807F64">
              <w:rPr>
                <w:rFonts w:asciiTheme="majorHAnsi" w:hAnsiTheme="majorHAnsi" w:cs="Arial"/>
                <w:b w:val="0"/>
                <w:sz w:val="20"/>
                <w:szCs w:val="20"/>
                <w:u w:val="single"/>
                <w:lang w:val="fr-CA"/>
              </w:rPr>
              <w:t>Résultat(s) escompté(s)</w:t>
            </w:r>
            <w:r w:rsidRPr="00807F64">
              <w:rPr>
                <w:rFonts w:asciiTheme="majorHAnsi" w:hAnsiTheme="majorHAnsi" w:cs="Arial"/>
                <w:b w:val="0"/>
                <w:sz w:val="20"/>
                <w:szCs w:val="20"/>
                <w:lang w:val="fr-CA"/>
              </w:rPr>
              <w:t xml:space="preserve"> : </w:t>
            </w:r>
            <w:r w:rsidR="00D5078D" w:rsidRPr="00807F64">
              <w:rPr>
                <w:rFonts w:asciiTheme="majorHAnsi" w:hAnsiTheme="majorHAnsi" w:cs="Arial"/>
                <w:b w:val="0"/>
                <w:sz w:val="20"/>
                <w:szCs w:val="20"/>
                <w:lang w:val="fr-CA"/>
              </w:rPr>
              <w:t>Document d’orientation</w:t>
            </w:r>
            <w:r w:rsidR="00EE2AAD" w:rsidRPr="00807F64">
              <w:rPr>
                <w:rFonts w:asciiTheme="majorHAnsi" w:hAnsiTheme="majorHAnsi" w:cs="Arial"/>
                <w:sz w:val="20"/>
                <w:szCs w:val="20"/>
                <w:lang w:val="fr-CA"/>
              </w:rPr>
              <w:t xml:space="preserve"> </w:t>
            </w:r>
            <w:r w:rsidR="00EE2AAD" w:rsidRPr="00807F64">
              <w:rPr>
                <w:rFonts w:asciiTheme="majorHAnsi" w:hAnsiTheme="majorHAnsi" w:cs="Arial"/>
                <w:b w:val="0"/>
                <w:sz w:val="20"/>
                <w:szCs w:val="20"/>
                <w:lang w:val="fr-CA"/>
              </w:rPr>
              <w:t>sur la reconnaissance, l’évaluation et l’applicatio</w:t>
            </w:r>
            <w:r w:rsidR="00914A1A" w:rsidRPr="00807F64">
              <w:rPr>
                <w:rFonts w:asciiTheme="majorHAnsi" w:hAnsiTheme="majorHAnsi" w:cs="Arial"/>
                <w:b w:val="0"/>
                <w:sz w:val="20"/>
                <w:szCs w:val="20"/>
                <w:lang w:val="fr-CA"/>
              </w:rPr>
              <w:t>n</w:t>
            </w:r>
            <w:r w:rsidR="00EE2AAD" w:rsidRPr="00807F64">
              <w:rPr>
                <w:rFonts w:asciiTheme="majorHAnsi" w:hAnsiTheme="majorHAnsi" w:cs="Arial"/>
                <w:b w:val="0"/>
                <w:sz w:val="20"/>
                <w:szCs w:val="20"/>
                <w:lang w:val="fr-CA"/>
              </w:rPr>
              <w:t xml:space="preserve"> des valeurs multiples des zones humides pour la gestion intégrée des zones humides</w:t>
            </w:r>
            <w:r w:rsidR="00D5078D" w:rsidRPr="00807F64">
              <w:rPr>
                <w:rFonts w:asciiTheme="majorHAnsi" w:hAnsiTheme="majorHAnsi" w:cs="Arial"/>
                <w:b w:val="0"/>
                <w:sz w:val="20"/>
                <w:szCs w:val="20"/>
                <w:lang w:val="fr-CA"/>
              </w:rPr>
              <w:t>, avec protocole en annexe</w:t>
            </w:r>
            <w:r w:rsidR="001979B9">
              <w:rPr>
                <w:rFonts w:asciiTheme="majorHAnsi" w:hAnsiTheme="majorHAnsi" w:cs="Arial"/>
                <w:b w:val="0"/>
                <w:sz w:val="20"/>
                <w:szCs w:val="20"/>
                <w:lang w:val="fr-CA"/>
              </w:rPr>
              <w:t>.</w:t>
            </w:r>
          </w:p>
          <w:p w14:paraId="08F147B3" w14:textId="76230CC2" w:rsidR="00914A1A" w:rsidRPr="00807F64" w:rsidRDefault="00E01336" w:rsidP="00914A1A">
            <w:pPr>
              <w:rPr>
                <w:rFonts w:asciiTheme="majorHAnsi" w:hAnsiTheme="majorHAnsi" w:cs="Arial"/>
                <w:b w:val="0"/>
                <w:sz w:val="20"/>
                <w:szCs w:val="20"/>
                <w:lang w:val="fr-CA"/>
              </w:rPr>
            </w:pPr>
            <w:r w:rsidRPr="00807F64">
              <w:rPr>
                <w:rFonts w:asciiTheme="majorHAnsi" w:hAnsiTheme="majorHAnsi" w:cs="Arial"/>
                <w:b w:val="0"/>
                <w:sz w:val="20"/>
                <w:szCs w:val="20"/>
                <w:lang w:val="fr-CA"/>
              </w:rPr>
              <w:t xml:space="preserve"> </w:t>
            </w:r>
          </w:p>
          <w:p w14:paraId="78973860" w14:textId="6562D6D6" w:rsidR="00914A1A" w:rsidRPr="00807F64" w:rsidRDefault="00931645" w:rsidP="008C0B9F">
            <w:pPr>
              <w:ind w:left="720" w:hanging="720"/>
              <w:rPr>
                <w:rFonts w:asciiTheme="majorHAnsi" w:hAnsiTheme="majorHAnsi" w:cs="Arial"/>
                <w:b w:val="0"/>
                <w:sz w:val="20"/>
                <w:szCs w:val="20"/>
                <w:lang w:val="fr-CA"/>
              </w:rPr>
            </w:pPr>
            <w:r w:rsidRPr="00807F64">
              <w:rPr>
                <w:rFonts w:asciiTheme="majorHAnsi" w:hAnsiTheme="majorHAnsi" w:cs="Arial"/>
                <w:b w:val="0"/>
                <w:sz w:val="20"/>
                <w:szCs w:val="20"/>
                <w:u w:val="single"/>
                <w:lang w:val="fr-CA"/>
              </w:rPr>
              <w:t>Public(s) ciblé(s)</w:t>
            </w:r>
            <w:r w:rsidRPr="00807F64">
              <w:rPr>
                <w:rFonts w:asciiTheme="majorHAnsi" w:hAnsiTheme="majorHAnsi" w:cs="Arial"/>
                <w:b w:val="0"/>
                <w:sz w:val="20"/>
                <w:szCs w:val="20"/>
                <w:lang w:val="fr-CA"/>
              </w:rPr>
              <w:t xml:space="preserve"> : </w:t>
            </w:r>
            <w:r w:rsidR="00EE2AAD" w:rsidRPr="00807F64">
              <w:rPr>
                <w:rFonts w:asciiTheme="majorHAnsi" w:hAnsiTheme="majorHAnsi" w:cs="Arial"/>
                <w:b w:val="0"/>
                <w:sz w:val="20"/>
                <w:szCs w:val="20"/>
                <w:lang w:val="fr-CA"/>
              </w:rPr>
              <w:t>Décideurs</w:t>
            </w:r>
            <w:r w:rsidR="00D5078D" w:rsidRPr="00807F64">
              <w:rPr>
                <w:rFonts w:asciiTheme="majorHAnsi" w:hAnsiTheme="majorHAnsi" w:cs="Arial"/>
                <w:b w:val="0"/>
                <w:sz w:val="20"/>
                <w:szCs w:val="20"/>
                <w:lang w:val="fr-CA"/>
              </w:rPr>
              <w:t xml:space="preserve"> (document d’orientation)</w:t>
            </w:r>
            <w:r w:rsidR="008C0B9F" w:rsidRPr="00807F64">
              <w:rPr>
                <w:rFonts w:asciiTheme="majorHAnsi" w:hAnsiTheme="majorHAnsi" w:cs="Arial"/>
                <w:b w:val="0"/>
                <w:sz w:val="20"/>
                <w:szCs w:val="20"/>
                <w:lang w:val="fr-CA"/>
              </w:rPr>
              <w:t xml:space="preserve"> et praticiens (protocole en annexe)</w:t>
            </w:r>
            <w:r w:rsidR="00EE2AAD" w:rsidRPr="00807F64">
              <w:rPr>
                <w:rFonts w:asciiTheme="majorHAnsi" w:hAnsiTheme="majorHAnsi" w:cs="Arial"/>
                <w:b w:val="0"/>
                <w:sz w:val="20"/>
                <w:szCs w:val="20"/>
                <w:lang w:val="fr-CA"/>
              </w:rPr>
              <w:t>.</w:t>
            </w:r>
          </w:p>
        </w:tc>
        <w:tc>
          <w:tcPr>
            <w:tcW w:w="500" w:type="pct"/>
          </w:tcPr>
          <w:p w14:paraId="5C5AA532" w14:textId="5A8D293C" w:rsidR="00914A1A" w:rsidRPr="00807F64" w:rsidRDefault="00807F64" w:rsidP="00807F64">
            <w:pPr>
              <w:rPr>
                <w:rFonts w:asciiTheme="majorHAnsi" w:hAnsiTheme="majorHAnsi" w:cs="Arial"/>
                <w:b w:val="0"/>
                <w:sz w:val="20"/>
                <w:szCs w:val="20"/>
                <w:lang w:val="fr-CA"/>
              </w:rPr>
            </w:pPr>
            <w:r>
              <w:rPr>
                <w:rFonts w:asciiTheme="majorHAnsi" w:hAnsiTheme="majorHAnsi" w:cs="Arial"/>
                <w:b w:val="0"/>
                <w:sz w:val="20"/>
                <w:szCs w:val="20"/>
                <w:lang w:val="fr-CA"/>
              </w:rPr>
              <w:lastRenderedPageBreak/>
              <w:t>Jusqu’à</w:t>
            </w:r>
            <w:r w:rsidR="00D5078D" w:rsidRPr="00807F64">
              <w:rPr>
                <w:rFonts w:asciiTheme="majorHAnsi" w:hAnsiTheme="majorHAnsi" w:cs="Arial"/>
                <w:b w:val="0"/>
                <w:sz w:val="20"/>
                <w:szCs w:val="20"/>
                <w:lang w:val="fr-CA"/>
              </w:rPr>
              <w:t xml:space="preserve"> 25</w:t>
            </w:r>
            <w:r>
              <w:rPr>
                <w:rFonts w:asciiTheme="majorHAnsi" w:hAnsiTheme="majorHAnsi" w:cs="Arial"/>
                <w:b w:val="0"/>
                <w:sz w:val="20"/>
                <w:szCs w:val="20"/>
                <w:lang w:val="fr-CA"/>
              </w:rPr>
              <w:t> </w:t>
            </w:r>
            <w:r w:rsidR="00D5078D" w:rsidRPr="00807F64">
              <w:rPr>
                <w:rFonts w:asciiTheme="majorHAnsi" w:hAnsiTheme="majorHAnsi" w:cs="Arial"/>
                <w:b w:val="0"/>
                <w:sz w:val="20"/>
                <w:szCs w:val="20"/>
                <w:lang w:val="fr-CA"/>
              </w:rPr>
              <w:t xml:space="preserve">300 [9000 </w:t>
            </w:r>
            <w:r>
              <w:rPr>
                <w:rFonts w:asciiTheme="majorHAnsi" w:hAnsiTheme="majorHAnsi" w:cs="Arial"/>
                <w:b w:val="0"/>
                <w:sz w:val="20"/>
                <w:szCs w:val="20"/>
                <w:lang w:val="fr-CA"/>
              </w:rPr>
              <w:t xml:space="preserve">pour la mise en pages, la conception, la révision, la traduction et la publication; </w:t>
            </w:r>
            <w:r w:rsidR="00D5078D" w:rsidRPr="00807F64">
              <w:rPr>
                <w:rFonts w:asciiTheme="majorHAnsi" w:hAnsiTheme="majorHAnsi" w:cs="Tahoma"/>
                <w:b w:val="0"/>
                <w:color w:val="000000"/>
                <w:sz w:val="20"/>
                <w:szCs w:val="20"/>
                <w:shd w:val="clear" w:color="auto" w:fill="FFFFFF"/>
                <w:lang w:val="fr-CA"/>
              </w:rPr>
              <w:t>6300</w:t>
            </w:r>
            <w:r>
              <w:rPr>
                <w:rFonts w:asciiTheme="majorHAnsi" w:hAnsiTheme="majorHAnsi" w:cs="Tahoma"/>
                <w:b w:val="0"/>
                <w:color w:val="000000"/>
                <w:sz w:val="20"/>
                <w:szCs w:val="20"/>
                <w:shd w:val="clear" w:color="auto" w:fill="FFFFFF"/>
                <w:lang w:val="fr-CA"/>
              </w:rPr>
              <w:t xml:space="preserve"> pour le consultant; et</w:t>
            </w:r>
            <w:r w:rsidR="00D5078D" w:rsidRPr="00807F64">
              <w:rPr>
                <w:rFonts w:asciiTheme="majorHAnsi" w:hAnsiTheme="majorHAnsi" w:cs="Tahoma"/>
                <w:b w:val="0"/>
                <w:color w:val="000000"/>
                <w:sz w:val="20"/>
                <w:szCs w:val="20"/>
                <w:shd w:val="clear" w:color="auto" w:fill="FFFFFF"/>
                <w:lang w:val="fr-CA"/>
              </w:rPr>
              <w:t xml:space="preserve"> 10</w:t>
            </w:r>
            <w:r>
              <w:rPr>
                <w:rFonts w:asciiTheme="majorHAnsi" w:hAnsiTheme="majorHAnsi" w:cs="Tahoma"/>
                <w:b w:val="0"/>
                <w:color w:val="000000"/>
                <w:sz w:val="20"/>
                <w:szCs w:val="20"/>
                <w:shd w:val="clear" w:color="auto" w:fill="FFFFFF"/>
                <w:lang w:val="fr-CA"/>
              </w:rPr>
              <w:t> </w:t>
            </w:r>
            <w:r w:rsidR="00D5078D" w:rsidRPr="00807F64">
              <w:rPr>
                <w:rFonts w:asciiTheme="majorHAnsi" w:hAnsiTheme="majorHAnsi" w:cs="Tahoma"/>
                <w:b w:val="0"/>
                <w:color w:val="000000"/>
                <w:sz w:val="20"/>
                <w:szCs w:val="20"/>
                <w:shd w:val="clear" w:color="auto" w:fill="FFFFFF"/>
                <w:lang w:val="fr-CA"/>
              </w:rPr>
              <w:t xml:space="preserve">000 </w:t>
            </w:r>
            <w:r>
              <w:rPr>
                <w:rFonts w:asciiTheme="majorHAnsi" w:hAnsiTheme="majorHAnsi" w:cs="Tahoma"/>
                <w:b w:val="0"/>
                <w:color w:val="000000"/>
                <w:sz w:val="20"/>
                <w:szCs w:val="20"/>
                <w:shd w:val="clear" w:color="auto" w:fill="FFFFFF"/>
                <w:lang w:val="fr-CA"/>
              </w:rPr>
              <w:t xml:space="preserve">pour un </w:t>
            </w:r>
            <w:r>
              <w:rPr>
                <w:rFonts w:asciiTheme="majorHAnsi" w:hAnsiTheme="majorHAnsi" w:cs="Tahoma"/>
                <w:b w:val="0"/>
                <w:color w:val="000000"/>
                <w:sz w:val="20"/>
                <w:szCs w:val="20"/>
                <w:shd w:val="clear" w:color="auto" w:fill="FFFFFF"/>
                <w:lang w:val="fr-CA"/>
              </w:rPr>
              <w:lastRenderedPageBreak/>
              <w:t>atelier de rédaction composé de six personnes</w:t>
            </w:r>
            <w:r w:rsidR="001979B9">
              <w:rPr>
                <w:rFonts w:asciiTheme="majorHAnsi" w:hAnsiTheme="majorHAnsi" w:cs="Arial"/>
                <w:b w:val="0"/>
                <w:sz w:val="20"/>
                <w:szCs w:val="20"/>
                <w:lang w:val="fr-CA"/>
              </w:rPr>
              <w:t>]</w:t>
            </w:r>
          </w:p>
        </w:tc>
      </w:tr>
      <w:tr w:rsidR="00501577" w:rsidRPr="00807F64" w14:paraId="362B69FB" w14:textId="77777777" w:rsidTr="001637EC">
        <w:tc>
          <w:tcPr>
            <w:tcW w:w="514" w:type="pct"/>
          </w:tcPr>
          <w:p w14:paraId="04CD4B61" w14:textId="3400B6C9" w:rsidR="00914A1A" w:rsidRPr="00807F64" w:rsidRDefault="00914A1A" w:rsidP="00E9361B">
            <w:pPr>
              <w:rPr>
                <w:rFonts w:asciiTheme="majorHAnsi" w:hAnsiTheme="majorHAnsi" w:cs="Arial"/>
                <w:b w:val="0"/>
                <w:sz w:val="20"/>
                <w:szCs w:val="20"/>
                <w:lang w:val="fr-CA"/>
              </w:rPr>
            </w:pPr>
            <w:r w:rsidRPr="00807F64">
              <w:rPr>
                <w:rFonts w:asciiTheme="majorHAnsi" w:eastAsiaTheme="minorHAnsi" w:hAnsiTheme="majorHAnsi" w:cs="Arial"/>
                <w:b w:val="0"/>
                <w:sz w:val="20"/>
                <w:szCs w:val="20"/>
                <w:lang w:val="fr-CA" w:eastAsia="en-US"/>
              </w:rPr>
              <w:lastRenderedPageBreak/>
              <w:t>3.2</w:t>
            </w:r>
            <w:r w:rsidR="00E01336" w:rsidRPr="00807F64">
              <w:rPr>
                <w:rFonts w:asciiTheme="majorHAnsi" w:eastAsiaTheme="minorHAnsi" w:hAnsiTheme="majorHAnsi" w:cs="Arial"/>
                <w:b w:val="0"/>
                <w:sz w:val="20"/>
                <w:szCs w:val="20"/>
                <w:lang w:val="fr-CA" w:eastAsia="en-US"/>
              </w:rPr>
              <w:t xml:space="preserve"> </w:t>
            </w:r>
            <w:r w:rsidR="00726B77" w:rsidRPr="00807F64">
              <w:rPr>
                <w:rFonts w:asciiTheme="majorHAnsi" w:eastAsiaTheme="minorHAnsi" w:hAnsiTheme="majorHAnsi" w:cs="Arial"/>
                <w:b w:val="0"/>
                <w:sz w:val="20"/>
                <w:szCs w:val="20"/>
                <w:lang w:val="fr-CA" w:eastAsia="en-US"/>
              </w:rPr>
              <w:t xml:space="preserve">Protocole pour évaluer les valeurs multiples des zones humides – </w:t>
            </w:r>
            <w:r w:rsidR="00E9361B" w:rsidRPr="00807F64">
              <w:rPr>
                <w:rFonts w:asciiTheme="majorHAnsi" w:eastAsiaTheme="minorHAnsi" w:hAnsiTheme="majorHAnsi" w:cs="Arial"/>
                <w:b w:val="0"/>
                <w:sz w:val="20"/>
                <w:szCs w:val="20"/>
                <w:lang w:val="fr-CA" w:eastAsia="en-US"/>
              </w:rPr>
              <w:t>Panoplie d’o</w:t>
            </w:r>
            <w:r w:rsidR="008C0B9F" w:rsidRPr="00807F64">
              <w:rPr>
                <w:rFonts w:asciiTheme="majorHAnsi" w:eastAsiaTheme="minorHAnsi" w:hAnsiTheme="majorHAnsi" w:cs="Arial"/>
                <w:b w:val="0"/>
                <w:sz w:val="20"/>
                <w:szCs w:val="20"/>
                <w:lang w:val="fr-CA" w:eastAsia="en-US"/>
              </w:rPr>
              <w:t>utils</w:t>
            </w:r>
          </w:p>
        </w:tc>
        <w:tc>
          <w:tcPr>
            <w:tcW w:w="297" w:type="pct"/>
          </w:tcPr>
          <w:p w14:paraId="52D171AC" w14:textId="26B7B3C6" w:rsidR="00914A1A" w:rsidRPr="00807F64" w:rsidRDefault="008E6B37" w:rsidP="00914A1A">
            <w:pPr>
              <w:rPr>
                <w:rFonts w:asciiTheme="majorHAnsi" w:hAnsiTheme="majorHAnsi" w:cs="Arial"/>
                <w:b w:val="0"/>
                <w:sz w:val="20"/>
                <w:szCs w:val="20"/>
                <w:lang w:val="fr-CA"/>
              </w:rPr>
            </w:pPr>
            <w:r>
              <w:rPr>
                <w:rFonts w:asciiTheme="majorHAnsi" w:hAnsiTheme="majorHAnsi" w:cs="Arial"/>
                <w:b w:val="0"/>
                <w:sz w:val="20"/>
                <w:szCs w:val="20"/>
                <w:lang w:val="fr-CA"/>
              </w:rPr>
              <w:t>Très haute</w:t>
            </w:r>
          </w:p>
        </w:tc>
        <w:tc>
          <w:tcPr>
            <w:tcW w:w="360" w:type="pct"/>
          </w:tcPr>
          <w:p w14:paraId="6B1C6A67" w14:textId="77777777" w:rsidR="008C0B9F" w:rsidRPr="00807F64" w:rsidRDefault="008C0B9F" w:rsidP="008C0B9F">
            <w:pPr>
              <w:rPr>
                <w:rFonts w:asciiTheme="majorHAnsi" w:hAnsiTheme="majorHAnsi" w:cs="Arial"/>
                <w:b w:val="0"/>
                <w:sz w:val="20"/>
                <w:szCs w:val="20"/>
                <w:lang w:val="fr-CA"/>
              </w:rPr>
            </w:pPr>
            <w:r w:rsidRPr="00807F64">
              <w:rPr>
                <w:rFonts w:asciiTheme="majorHAnsi" w:hAnsiTheme="majorHAnsi" w:cs="Arial"/>
                <w:b w:val="0"/>
                <w:sz w:val="20"/>
                <w:szCs w:val="20"/>
                <w:lang w:val="fr-CA"/>
              </w:rPr>
              <w:t>XII.13, ¶</w:t>
            </w:r>
            <w:r w:rsidRPr="00807F64">
              <w:rPr>
                <w:rFonts w:ascii="Calibri" w:hAnsi="Calibri" w:cs="Arial"/>
                <w:b w:val="0"/>
                <w:sz w:val="20"/>
                <w:szCs w:val="20"/>
                <w:lang w:val="fr-CA"/>
              </w:rPr>
              <w:t>¶</w:t>
            </w:r>
            <w:r w:rsidRPr="00807F64">
              <w:rPr>
                <w:rFonts w:asciiTheme="majorHAnsi" w:hAnsiTheme="majorHAnsi" w:cs="Arial"/>
                <w:b w:val="0"/>
                <w:sz w:val="20"/>
                <w:szCs w:val="20"/>
                <w:lang w:val="fr-CA"/>
              </w:rPr>
              <w:t xml:space="preserve"> 27; XII.15, </w:t>
            </w:r>
            <w:r w:rsidRPr="00807F64">
              <w:rPr>
                <w:rFonts w:ascii="Calibri" w:hAnsi="Calibri" w:cs="Arial"/>
                <w:b w:val="0"/>
                <w:sz w:val="20"/>
                <w:szCs w:val="20"/>
                <w:lang w:val="fr-CA"/>
              </w:rPr>
              <w:t>¶</w:t>
            </w:r>
            <w:r w:rsidRPr="00807F64">
              <w:rPr>
                <w:rFonts w:asciiTheme="majorHAnsi" w:hAnsiTheme="majorHAnsi" w:cs="Arial"/>
                <w:b w:val="0"/>
                <w:sz w:val="20"/>
                <w:szCs w:val="20"/>
                <w:lang w:val="fr-CA"/>
              </w:rPr>
              <w:t xml:space="preserve"> 21</w:t>
            </w:r>
          </w:p>
          <w:p w14:paraId="4802BE7B" w14:textId="7C873C2C" w:rsidR="00914A1A" w:rsidRPr="00807F64" w:rsidRDefault="00914A1A" w:rsidP="00914A1A">
            <w:pPr>
              <w:rPr>
                <w:rFonts w:asciiTheme="majorHAnsi" w:hAnsiTheme="majorHAnsi" w:cs="Arial"/>
                <w:b w:val="0"/>
                <w:sz w:val="20"/>
                <w:szCs w:val="20"/>
                <w:lang w:val="fr-CA"/>
              </w:rPr>
            </w:pPr>
          </w:p>
        </w:tc>
        <w:tc>
          <w:tcPr>
            <w:tcW w:w="385" w:type="pct"/>
          </w:tcPr>
          <w:p w14:paraId="2C525D36" w14:textId="5DDE6505" w:rsidR="00914A1A" w:rsidRPr="00807F64" w:rsidRDefault="008C0B9F" w:rsidP="00914A1A">
            <w:pPr>
              <w:rPr>
                <w:rFonts w:asciiTheme="majorHAnsi" w:hAnsiTheme="majorHAnsi" w:cs="Arial"/>
                <w:b w:val="0"/>
                <w:sz w:val="20"/>
                <w:szCs w:val="20"/>
                <w:lang w:val="fr-CA"/>
              </w:rPr>
            </w:pPr>
            <w:r w:rsidRPr="00807F64">
              <w:rPr>
                <w:rFonts w:asciiTheme="majorHAnsi" w:eastAsia="Calibri" w:hAnsiTheme="majorHAnsi" w:cs="Arial"/>
                <w:b w:val="0"/>
                <w:bCs/>
                <w:sz w:val="20"/>
                <w:szCs w:val="20"/>
                <w:lang w:val="fr-CA"/>
              </w:rPr>
              <w:t>1.1, 1.3; 3.8, 3.9, 3.10, 3.11, 3.12; 4.14</w:t>
            </w:r>
          </w:p>
        </w:tc>
        <w:tc>
          <w:tcPr>
            <w:tcW w:w="2944" w:type="pct"/>
          </w:tcPr>
          <w:p w14:paraId="2DD31A84" w14:textId="15EF9A13" w:rsidR="008C0B9F" w:rsidRPr="00807F64" w:rsidRDefault="00931645" w:rsidP="008C0B9F">
            <w:pPr>
              <w:rPr>
                <w:rFonts w:asciiTheme="majorHAnsi" w:hAnsiTheme="majorHAnsi" w:cs="Arial"/>
                <w:b w:val="0"/>
                <w:sz w:val="20"/>
                <w:szCs w:val="20"/>
                <w:lang w:val="fr-CA"/>
              </w:rPr>
            </w:pPr>
            <w:r w:rsidRPr="00807F64">
              <w:rPr>
                <w:rFonts w:asciiTheme="majorHAnsi" w:hAnsiTheme="majorHAnsi" w:cs="Arial"/>
                <w:b w:val="0"/>
                <w:sz w:val="20"/>
                <w:szCs w:val="20"/>
                <w:u w:val="single"/>
                <w:lang w:val="fr-CA"/>
              </w:rPr>
              <w:t>Description de tâche</w:t>
            </w:r>
            <w:r w:rsidRPr="00807F64">
              <w:rPr>
                <w:rFonts w:asciiTheme="majorHAnsi" w:hAnsiTheme="majorHAnsi" w:cs="Arial"/>
                <w:b w:val="0"/>
                <w:sz w:val="20"/>
                <w:szCs w:val="20"/>
                <w:lang w:val="fr-CA"/>
              </w:rPr>
              <w:t> :</w:t>
            </w:r>
            <w:r w:rsidR="008C0B9F" w:rsidRPr="00807F64">
              <w:rPr>
                <w:rFonts w:asciiTheme="majorHAnsi" w:hAnsiTheme="majorHAnsi" w:cs="Arial"/>
                <w:b w:val="0"/>
                <w:sz w:val="20"/>
                <w:szCs w:val="20"/>
                <w:lang w:val="fr-CA"/>
              </w:rPr>
              <w:t xml:space="preserve"> </w:t>
            </w:r>
            <w:r w:rsidR="00807F64">
              <w:rPr>
                <w:rFonts w:asciiTheme="majorHAnsi" w:hAnsiTheme="majorHAnsi" w:cs="Arial"/>
                <w:b w:val="0"/>
                <w:sz w:val="20"/>
                <w:szCs w:val="20"/>
                <w:lang w:val="fr-CA"/>
              </w:rPr>
              <w:t xml:space="preserve">Traduction du protocole sur les méthodes élaboré en annexe à la tâche 3.1 pour en faire un outil </w:t>
            </w:r>
            <w:r w:rsidR="00B40EED">
              <w:rPr>
                <w:rFonts w:asciiTheme="majorHAnsi" w:hAnsiTheme="majorHAnsi" w:cs="Arial"/>
                <w:b w:val="0"/>
                <w:sz w:val="20"/>
                <w:szCs w:val="20"/>
                <w:lang w:val="fr-CA"/>
              </w:rPr>
              <w:t xml:space="preserve">utile </w:t>
            </w:r>
            <w:r w:rsidR="00807F64">
              <w:rPr>
                <w:rFonts w:asciiTheme="majorHAnsi" w:hAnsiTheme="majorHAnsi" w:cs="Arial"/>
                <w:b w:val="0"/>
                <w:sz w:val="20"/>
                <w:szCs w:val="20"/>
                <w:lang w:val="fr-CA"/>
              </w:rPr>
              <w:t xml:space="preserve">aux praticiens des zones humides </w:t>
            </w:r>
            <w:r w:rsidR="00B40EED">
              <w:rPr>
                <w:rFonts w:asciiTheme="majorHAnsi" w:hAnsiTheme="majorHAnsi" w:cs="Arial"/>
                <w:b w:val="0"/>
                <w:sz w:val="20"/>
                <w:szCs w:val="20"/>
                <w:lang w:val="fr-CA"/>
              </w:rPr>
              <w:t xml:space="preserve">pour </w:t>
            </w:r>
            <w:r w:rsidR="00807F64">
              <w:rPr>
                <w:rFonts w:asciiTheme="majorHAnsi" w:hAnsiTheme="majorHAnsi" w:cs="Arial"/>
                <w:b w:val="0"/>
                <w:sz w:val="20"/>
                <w:szCs w:val="20"/>
                <w:lang w:val="fr-CA"/>
              </w:rPr>
              <w:t xml:space="preserve">appliquer les orientations en 5 étapes. Pour chacune des 5 étapes du protocole </w:t>
            </w:r>
            <w:r w:rsidR="00B40EED">
              <w:rPr>
                <w:rFonts w:asciiTheme="majorHAnsi" w:hAnsiTheme="majorHAnsi" w:cs="Arial"/>
                <w:b w:val="0"/>
                <w:sz w:val="20"/>
                <w:szCs w:val="20"/>
                <w:lang w:val="fr-CA"/>
              </w:rPr>
              <w:t>sur les</w:t>
            </w:r>
            <w:r w:rsidR="00807F64">
              <w:rPr>
                <w:rFonts w:asciiTheme="majorHAnsi" w:hAnsiTheme="majorHAnsi" w:cs="Arial"/>
                <w:b w:val="0"/>
                <w:sz w:val="20"/>
                <w:szCs w:val="20"/>
                <w:lang w:val="fr-CA"/>
              </w:rPr>
              <w:t xml:space="preserve"> valeurs multiples, </w:t>
            </w:r>
            <w:r w:rsidR="00B40EED">
              <w:rPr>
                <w:rFonts w:asciiTheme="majorHAnsi" w:hAnsiTheme="majorHAnsi" w:cs="Arial"/>
                <w:b w:val="0"/>
                <w:sz w:val="20"/>
                <w:szCs w:val="20"/>
                <w:lang w:val="fr-CA"/>
              </w:rPr>
              <w:t>d</w:t>
            </w:r>
            <w:r w:rsidR="00807F64">
              <w:rPr>
                <w:rFonts w:asciiTheme="majorHAnsi" w:hAnsiTheme="majorHAnsi" w:cs="Arial"/>
                <w:b w:val="0"/>
                <w:sz w:val="20"/>
                <w:szCs w:val="20"/>
                <w:lang w:val="fr-CA"/>
              </w:rPr>
              <w:t xml:space="preserve">es orientations sur les outils, </w:t>
            </w:r>
            <w:r w:rsidR="00B40EED">
              <w:rPr>
                <w:rFonts w:asciiTheme="majorHAnsi" w:hAnsiTheme="majorHAnsi" w:cs="Arial"/>
                <w:b w:val="0"/>
                <w:sz w:val="20"/>
                <w:szCs w:val="20"/>
                <w:lang w:val="fr-CA"/>
              </w:rPr>
              <w:t>d</w:t>
            </w:r>
            <w:r w:rsidR="00807F64">
              <w:rPr>
                <w:rFonts w:asciiTheme="majorHAnsi" w:hAnsiTheme="majorHAnsi" w:cs="Arial"/>
                <w:b w:val="0"/>
                <w:sz w:val="20"/>
                <w:szCs w:val="20"/>
                <w:lang w:val="fr-CA"/>
              </w:rPr>
              <w:t xml:space="preserve">es méthodes et </w:t>
            </w:r>
            <w:r w:rsidR="00B40EED">
              <w:rPr>
                <w:rFonts w:asciiTheme="majorHAnsi" w:hAnsiTheme="majorHAnsi" w:cs="Arial"/>
                <w:b w:val="0"/>
                <w:sz w:val="20"/>
                <w:szCs w:val="20"/>
                <w:lang w:val="fr-CA"/>
              </w:rPr>
              <w:t>d</w:t>
            </w:r>
            <w:r w:rsidR="00807F64">
              <w:rPr>
                <w:rFonts w:asciiTheme="majorHAnsi" w:hAnsiTheme="majorHAnsi" w:cs="Arial"/>
                <w:b w:val="0"/>
                <w:sz w:val="20"/>
                <w:szCs w:val="20"/>
                <w:lang w:val="fr-CA"/>
              </w:rPr>
              <w:t xml:space="preserve">es études de cas seront mises à disposition </w:t>
            </w:r>
            <w:r w:rsidR="00B40EED">
              <w:rPr>
                <w:rFonts w:asciiTheme="majorHAnsi" w:hAnsiTheme="majorHAnsi" w:cs="Arial"/>
                <w:b w:val="0"/>
                <w:sz w:val="20"/>
                <w:szCs w:val="20"/>
                <w:lang w:val="fr-CA"/>
              </w:rPr>
              <w:t>comme aide</w:t>
            </w:r>
            <w:r w:rsidR="00807F64">
              <w:rPr>
                <w:rFonts w:asciiTheme="majorHAnsi" w:hAnsiTheme="majorHAnsi" w:cs="Arial"/>
                <w:b w:val="0"/>
                <w:sz w:val="20"/>
                <w:szCs w:val="20"/>
                <w:lang w:val="fr-CA"/>
              </w:rPr>
              <w:t xml:space="preserve"> à l’application.</w:t>
            </w:r>
          </w:p>
          <w:p w14:paraId="16AD0A81" w14:textId="77777777" w:rsidR="008C0B9F" w:rsidRPr="00807F64" w:rsidRDefault="008C0B9F" w:rsidP="008C0B9F">
            <w:pPr>
              <w:rPr>
                <w:rFonts w:asciiTheme="majorHAnsi" w:hAnsiTheme="majorHAnsi" w:cs="Arial"/>
                <w:b w:val="0"/>
                <w:sz w:val="20"/>
                <w:szCs w:val="20"/>
                <w:lang w:val="fr-CA"/>
              </w:rPr>
            </w:pPr>
          </w:p>
          <w:p w14:paraId="0778B475" w14:textId="66E34837" w:rsidR="008C0B9F" w:rsidRPr="00807F64" w:rsidRDefault="00807F64" w:rsidP="008C0B9F">
            <w:pPr>
              <w:rPr>
                <w:rFonts w:asciiTheme="majorHAnsi" w:hAnsiTheme="majorHAnsi" w:cs="Arial"/>
                <w:b w:val="0"/>
                <w:sz w:val="20"/>
                <w:szCs w:val="20"/>
                <w:lang w:val="fr-CA"/>
              </w:rPr>
            </w:pPr>
            <w:r>
              <w:rPr>
                <w:rFonts w:asciiTheme="majorHAnsi" w:hAnsiTheme="majorHAnsi" w:cs="Arial"/>
                <w:b w:val="0"/>
                <w:sz w:val="20"/>
                <w:szCs w:val="20"/>
                <w:lang w:val="fr-CA"/>
              </w:rPr>
              <w:t>L’outil sera inclus dans le cadre d’un ensemble d’outils de gestion des zones humides proposé</w:t>
            </w:r>
            <w:r w:rsidR="00565A19">
              <w:rPr>
                <w:rFonts w:asciiTheme="majorHAnsi" w:hAnsiTheme="majorHAnsi" w:cs="Arial"/>
                <w:b w:val="0"/>
                <w:sz w:val="20"/>
                <w:szCs w:val="20"/>
                <w:lang w:val="fr-CA"/>
              </w:rPr>
              <w:t>s</w:t>
            </w:r>
            <w:r>
              <w:rPr>
                <w:rFonts w:asciiTheme="majorHAnsi" w:hAnsiTheme="majorHAnsi" w:cs="Arial"/>
                <w:b w:val="0"/>
                <w:sz w:val="20"/>
                <w:szCs w:val="20"/>
                <w:lang w:val="fr-CA"/>
              </w:rPr>
              <w:t xml:space="preserve"> dans</w:t>
            </w:r>
            <w:r w:rsidR="00565A19">
              <w:rPr>
                <w:rFonts w:asciiTheme="majorHAnsi" w:hAnsiTheme="majorHAnsi" w:cs="Arial"/>
                <w:b w:val="0"/>
                <w:sz w:val="20"/>
                <w:szCs w:val="20"/>
                <w:lang w:val="fr-CA"/>
              </w:rPr>
              <w:t xml:space="preserve"> le domaine de travail thématique 2 (ci</w:t>
            </w:r>
            <w:r w:rsidR="00565A19">
              <w:rPr>
                <w:rFonts w:asciiTheme="majorHAnsi" w:hAnsiTheme="majorHAnsi" w:cs="Arial"/>
                <w:b w:val="0"/>
                <w:sz w:val="20"/>
                <w:szCs w:val="20"/>
                <w:lang w:val="fr-CA"/>
              </w:rPr>
              <w:noBreakHyphen/>
              <w:t>dessus) (tâche n</w:t>
            </w:r>
            <w:r w:rsidR="00565A19" w:rsidRPr="00565A19">
              <w:rPr>
                <w:rFonts w:asciiTheme="majorHAnsi" w:hAnsiTheme="majorHAnsi" w:cs="Arial"/>
                <w:b w:val="0"/>
                <w:sz w:val="20"/>
                <w:szCs w:val="20"/>
                <w:vertAlign w:val="superscript"/>
                <w:lang w:val="fr-CA"/>
              </w:rPr>
              <w:t>o</w:t>
            </w:r>
            <w:r w:rsidR="00565A19">
              <w:rPr>
                <w:rFonts w:asciiTheme="majorHAnsi" w:hAnsiTheme="majorHAnsi" w:cs="Arial"/>
                <w:b w:val="0"/>
                <w:sz w:val="20"/>
                <w:szCs w:val="20"/>
                <w:lang w:val="fr-CA"/>
              </w:rPr>
              <w:t xml:space="preserve"> 2.1). </w:t>
            </w:r>
          </w:p>
          <w:p w14:paraId="085034A9" w14:textId="77777777" w:rsidR="00914A1A" w:rsidRPr="00807F64" w:rsidRDefault="00914A1A" w:rsidP="00914A1A">
            <w:pPr>
              <w:rPr>
                <w:rFonts w:asciiTheme="majorHAnsi" w:hAnsiTheme="majorHAnsi" w:cs="Arial"/>
                <w:b w:val="0"/>
                <w:sz w:val="20"/>
                <w:szCs w:val="20"/>
                <w:lang w:val="fr-CA"/>
              </w:rPr>
            </w:pPr>
          </w:p>
          <w:p w14:paraId="0800DC0A" w14:textId="23F693DE" w:rsidR="00914A1A" w:rsidRPr="00807F64" w:rsidRDefault="00931645" w:rsidP="00914A1A">
            <w:pPr>
              <w:rPr>
                <w:rFonts w:asciiTheme="majorHAnsi" w:hAnsiTheme="majorHAnsi" w:cs="Arial"/>
                <w:b w:val="0"/>
                <w:sz w:val="20"/>
                <w:szCs w:val="20"/>
                <w:lang w:val="fr-CA"/>
              </w:rPr>
            </w:pPr>
            <w:r w:rsidRPr="00807F64">
              <w:rPr>
                <w:rFonts w:asciiTheme="majorHAnsi" w:hAnsiTheme="majorHAnsi" w:cs="Arial"/>
                <w:b w:val="0"/>
                <w:sz w:val="20"/>
                <w:szCs w:val="20"/>
                <w:u w:val="single"/>
                <w:lang w:val="fr-CA"/>
              </w:rPr>
              <w:t>Résultat(s) escompté(s)</w:t>
            </w:r>
            <w:r w:rsidRPr="00807F64">
              <w:rPr>
                <w:rFonts w:asciiTheme="majorHAnsi" w:hAnsiTheme="majorHAnsi" w:cs="Arial"/>
                <w:b w:val="0"/>
                <w:sz w:val="20"/>
                <w:szCs w:val="20"/>
                <w:lang w:val="fr-CA"/>
              </w:rPr>
              <w:t xml:space="preserve"> : </w:t>
            </w:r>
            <w:r w:rsidR="00565A19">
              <w:rPr>
                <w:rFonts w:asciiTheme="majorHAnsi" w:hAnsiTheme="majorHAnsi" w:cs="Arial"/>
                <w:b w:val="0"/>
                <w:sz w:val="20"/>
                <w:szCs w:val="20"/>
                <w:lang w:val="fr-CA"/>
              </w:rPr>
              <w:t xml:space="preserve">Rapport technique Ramsar et un outil d’évaluation des valeurs multiples des zones humides et de leur application à la gestion intégrée. </w:t>
            </w:r>
          </w:p>
          <w:p w14:paraId="2406184B" w14:textId="17704348" w:rsidR="00914A1A" w:rsidRPr="00807F64" w:rsidRDefault="00E01336" w:rsidP="00914A1A">
            <w:pPr>
              <w:rPr>
                <w:rFonts w:asciiTheme="majorHAnsi" w:hAnsiTheme="majorHAnsi" w:cs="Arial"/>
                <w:b w:val="0"/>
                <w:sz w:val="20"/>
                <w:szCs w:val="20"/>
                <w:lang w:val="fr-CA"/>
              </w:rPr>
            </w:pPr>
            <w:r w:rsidRPr="00807F64">
              <w:rPr>
                <w:rFonts w:asciiTheme="majorHAnsi" w:hAnsiTheme="majorHAnsi" w:cs="Arial"/>
                <w:b w:val="0"/>
                <w:sz w:val="20"/>
                <w:szCs w:val="20"/>
                <w:lang w:val="fr-CA"/>
              </w:rPr>
              <w:t xml:space="preserve"> </w:t>
            </w:r>
          </w:p>
          <w:p w14:paraId="327701CF" w14:textId="6CE61424" w:rsidR="00914A1A" w:rsidRPr="00807F64" w:rsidRDefault="00565A19" w:rsidP="00E9361B">
            <w:pPr>
              <w:rPr>
                <w:rFonts w:asciiTheme="majorHAnsi" w:hAnsiTheme="majorHAnsi" w:cs="Arial"/>
                <w:b w:val="0"/>
                <w:sz w:val="20"/>
                <w:szCs w:val="20"/>
                <w:lang w:val="fr-CA"/>
              </w:rPr>
            </w:pPr>
            <w:r w:rsidRPr="00807F64">
              <w:rPr>
                <w:rFonts w:asciiTheme="majorHAnsi" w:hAnsiTheme="majorHAnsi" w:cs="Arial"/>
                <w:b w:val="0"/>
                <w:sz w:val="20"/>
                <w:szCs w:val="20"/>
                <w:u w:val="single"/>
                <w:lang w:val="fr-CA"/>
              </w:rPr>
              <w:t>Public(s) ciblé(s)</w:t>
            </w:r>
            <w:r w:rsidRPr="00807F64">
              <w:rPr>
                <w:rFonts w:asciiTheme="majorHAnsi" w:hAnsiTheme="majorHAnsi" w:cs="Arial"/>
                <w:b w:val="0"/>
                <w:sz w:val="20"/>
                <w:szCs w:val="20"/>
                <w:lang w:val="fr-CA"/>
              </w:rPr>
              <w:t xml:space="preserve"> : </w:t>
            </w:r>
            <w:r w:rsidR="008C0B9F" w:rsidRPr="00807F64">
              <w:rPr>
                <w:rFonts w:asciiTheme="majorHAnsi" w:hAnsiTheme="majorHAnsi" w:cs="Arial"/>
                <w:b w:val="0"/>
                <w:sz w:val="20"/>
                <w:szCs w:val="20"/>
                <w:lang w:val="fr-CA"/>
              </w:rPr>
              <w:t>Praticiens (administrateurs de zones humides)</w:t>
            </w:r>
            <w:r w:rsidR="00B73ABF">
              <w:rPr>
                <w:rFonts w:asciiTheme="majorHAnsi" w:hAnsiTheme="majorHAnsi" w:cs="Arial"/>
                <w:b w:val="0"/>
                <w:sz w:val="20"/>
                <w:szCs w:val="20"/>
                <w:lang w:val="fr-CA"/>
              </w:rPr>
              <w:t>.</w:t>
            </w:r>
            <w:r w:rsidR="00E01336" w:rsidRPr="00807F64">
              <w:rPr>
                <w:rFonts w:asciiTheme="majorHAnsi" w:hAnsiTheme="majorHAnsi" w:cs="Arial"/>
                <w:b w:val="0"/>
                <w:sz w:val="20"/>
                <w:szCs w:val="20"/>
                <w:lang w:val="fr-CA"/>
              </w:rPr>
              <w:t xml:space="preserve"> </w:t>
            </w:r>
          </w:p>
        </w:tc>
        <w:tc>
          <w:tcPr>
            <w:tcW w:w="500" w:type="pct"/>
          </w:tcPr>
          <w:p w14:paraId="1A8D34B3" w14:textId="45C63178" w:rsidR="00914A1A" w:rsidRPr="00807F64" w:rsidRDefault="008C0B9F" w:rsidP="00357CE7">
            <w:pPr>
              <w:rPr>
                <w:rFonts w:asciiTheme="majorHAnsi" w:hAnsiTheme="majorHAnsi" w:cs="Arial"/>
                <w:b w:val="0"/>
                <w:sz w:val="20"/>
                <w:szCs w:val="20"/>
                <w:lang w:val="fr-CA"/>
              </w:rPr>
            </w:pPr>
            <w:r w:rsidRPr="00807F64">
              <w:rPr>
                <w:rFonts w:asciiTheme="majorHAnsi" w:hAnsiTheme="majorHAnsi" w:cs="Arial"/>
                <w:b w:val="0"/>
                <w:sz w:val="20"/>
                <w:szCs w:val="20"/>
                <w:lang w:val="fr-CA"/>
              </w:rPr>
              <w:t>Jusqu’à 33 500</w:t>
            </w:r>
          </w:p>
        </w:tc>
      </w:tr>
      <w:tr w:rsidR="00501577" w:rsidRPr="00807F64" w14:paraId="65D02A04" w14:textId="77777777" w:rsidTr="001637EC">
        <w:tc>
          <w:tcPr>
            <w:tcW w:w="514" w:type="pct"/>
          </w:tcPr>
          <w:p w14:paraId="3A8D8971" w14:textId="24C223B7" w:rsidR="00914A1A" w:rsidRPr="00807F64" w:rsidRDefault="00914A1A" w:rsidP="0085476E">
            <w:pPr>
              <w:keepNext/>
              <w:keepLines/>
              <w:rPr>
                <w:rFonts w:asciiTheme="majorHAnsi" w:hAnsiTheme="majorHAnsi" w:cs="Arial"/>
                <w:b w:val="0"/>
                <w:sz w:val="20"/>
                <w:szCs w:val="20"/>
                <w:lang w:val="fr-CA"/>
              </w:rPr>
            </w:pPr>
            <w:r w:rsidRPr="00807F64">
              <w:rPr>
                <w:rFonts w:asciiTheme="majorHAnsi" w:hAnsiTheme="majorHAnsi" w:cs="Arial"/>
                <w:b w:val="0"/>
                <w:sz w:val="20"/>
                <w:szCs w:val="20"/>
                <w:lang w:val="fr-CA"/>
              </w:rPr>
              <w:lastRenderedPageBreak/>
              <w:t>3.3</w:t>
            </w:r>
            <w:r w:rsidR="00E01336" w:rsidRPr="00807F64">
              <w:rPr>
                <w:rFonts w:asciiTheme="majorHAnsi" w:hAnsiTheme="majorHAnsi" w:cs="Arial"/>
                <w:b w:val="0"/>
                <w:sz w:val="20"/>
                <w:szCs w:val="20"/>
                <w:lang w:val="fr-CA"/>
              </w:rPr>
              <w:t xml:space="preserve"> </w:t>
            </w:r>
            <w:r w:rsidRPr="00807F64">
              <w:rPr>
                <w:rFonts w:asciiTheme="majorHAnsi" w:hAnsiTheme="majorHAnsi" w:cs="Arial"/>
                <w:b w:val="0"/>
                <w:sz w:val="20"/>
                <w:szCs w:val="20"/>
                <w:lang w:val="fr-CA"/>
              </w:rPr>
              <w:t>Protocol</w:t>
            </w:r>
            <w:r w:rsidR="00726B77" w:rsidRPr="00807F64">
              <w:rPr>
                <w:rFonts w:asciiTheme="majorHAnsi" w:hAnsiTheme="majorHAnsi" w:cs="Arial"/>
                <w:b w:val="0"/>
                <w:sz w:val="20"/>
                <w:szCs w:val="20"/>
                <w:lang w:val="fr-CA"/>
              </w:rPr>
              <w:t xml:space="preserve">e pour évaluer les valeurs multiples des zones humides </w:t>
            </w:r>
            <w:r w:rsidRPr="00807F64">
              <w:rPr>
                <w:rFonts w:asciiTheme="majorHAnsi" w:hAnsiTheme="majorHAnsi" w:cs="Arial"/>
                <w:b w:val="0"/>
                <w:sz w:val="20"/>
                <w:szCs w:val="20"/>
                <w:lang w:val="fr-CA"/>
              </w:rPr>
              <w:t>–</w:t>
            </w:r>
            <w:r w:rsidR="00E01336" w:rsidRPr="00807F64">
              <w:rPr>
                <w:rFonts w:asciiTheme="majorHAnsi" w:hAnsiTheme="majorHAnsi" w:cs="Arial"/>
                <w:b w:val="0"/>
                <w:sz w:val="20"/>
                <w:szCs w:val="20"/>
                <w:lang w:val="fr-CA"/>
              </w:rPr>
              <w:t xml:space="preserve"> </w:t>
            </w:r>
            <w:r w:rsidR="0085476E" w:rsidRPr="00807F64">
              <w:rPr>
                <w:rFonts w:asciiTheme="majorHAnsi" w:hAnsiTheme="majorHAnsi" w:cs="Arial"/>
                <w:b w:val="0"/>
                <w:sz w:val="20"/>
                <w:szCs w:val="20"/>
                <w:lang w:val="fr-CA"/>
              </w:rPr>
              <w:t>Panoplie</w:t>
            </w:r>
            <w:r w:rsidR="00726B77" w:rsidRPr="00807F64">
              <w:rPr>
                <w:rFonts w:asciiTheme="majorHAnsi" w:hAnsiTheme="majorHAnsi" w:cs="Arial"/>
                <w:b w:val="0"/>
                <w:sz w:val="20"/>
                <w:szCs w:val="20"/>
                <w:lang w:val="fr-CA"/>
              </w:rPr>
              <w:t xml:space="preserve"> d’outils</w:t>
            </w:r>
          </w:p>
        </w:tc>
        <w:tc>
          <w:tcPr>
            <w:tcW w:w="297" w:type="pct"/>
          </w:tcPr>
          <w:p w14:paraId="62DE83EC" w14:textId="59EB8830" w:rsidR="00914A1A" w:rsidRPr="00807F64" w:rsidRDefault="008E6B37" w:rsidP="00726B77">
            <w:pPr>
              <w:keepNext/>
              <w:keepLines/>
              <w:rPr>
                <w:rFonts w:asciiTheme="majorHAnsi" w:hAnsiTheme="majorHAnsi" w:cs="Arial"/>
                <w:b w:val="0"/>
                <w:sz w:val="20"/>
                <w:szCs w:val="20"/>
                <w:lang w:val="fr-CA"/>
              </w:rPr>
            </w:pPr>
            <w:r>
              <w:rPr>
                <w:rFonts w:asciiTheme="majorHAnsi" w:hAnsiTheme="majorHAnsi" w:cs="Arial"/>
                <w:b w:val="0"/>
                <w:sz w:val="20"/>
                <w:szCs w:val="20"/>
                <w:lang w:val="fr-CA"/>
              </w:rPr>
              <w:t>Très haute</w:t>
            </w:r>
          </w:p>
        </w:tc>
        <w:tc>
          <w:tcPr>
            <w:tcW w:w="360" w:type="pct"/>
          </w:tcPr>
          <w:p w14:paraId="0D77E6B4" w14:textId="2F8B19E4" w:rsidR="00914A1A" w:rsidRPr="00807F64" w:rsidRDefault="00E9361B" w:rsidP="00726B77">
            <w:pPr>
              <w:keepNext/>
              <w:keepLines/>
              <w:rPr>
                <w:rFonts w:asciiTheme="majorHAnsi" w:hAnsiTheme="majorHAnsi" w:cs="Arial"/>
                <w:b w:val="0"/>
                <w:sz w:val="20"/>
                <w:szCs w:val="20"/>
                <w:lang w:val="fr-CA"/>
              </w:rPr>
            </w:pPr>
            <w:r w:rsidRPr="00807F64">
              <w:rPr>
                <w:rFonts w:ascii="Calibri" w:hAnsi="Calibri"/>
                <w:b w:val="0"/>
                <w:bCs/>
                <w:sz w:val="20"/>
                <w:szCs w:val="20"/>
                <w:lang w:val="fr-CA"/>
              </w:rPr>
              <w:t>XII.13, ¶¶25, 30</w:t>
            </w:r>
          </w:p>
        </w:tc>
        <w:tc>
          <w:tcPr>
            <w:tcW w:w="385" w:type="pct"/>
          </w:tcPr>
          <w:p w14:paraId="4BDA456E" w14:textId="2227FCF0" w:rsidR="00914A1A" w:rsidRPr="00807F64" w:rsidRDefault="00E9361B" w:rsidP="00726B77">
            <w:pPr>
              <w:keepNext/>
              <w:keepLines/>
              <w:rPr>
                <w:rFonts w:asciiTheme="majorHAnsi" w:hAnsiTheme="majorHAnsi" w:cs="Arial"/>
                <w:sz w:val="20"/>
                <w:szCs w:val="20"/>
                <w:lang w:val="fr-CA"/>
              </w:rPr>
            </w:pPr>
            <w:r w:rsidRPr="00807F64">
              <w:rPr>
                <w:rFonts w:asciiTheme="majorHAnsi" w:eastAsia="Calibri" w:hAnsiTheme="majorHAnsi" w:cs="Arial"/>
                <w:b w:val="0"/>
                <w:bCs/>
                <w:sz w:val="20"/>
                <w:szCs w:val="20"/>
                <w:lang w:val="fr-CA"/>
              </w:rPr>
              <w:t>1.1, 1.3; 3.8, 3.9, 3.11, 3.12; 4.14</w:t>
            </w:r>
          </w:p>
        </w:tc>
        <w:tc>
          <w:tcPr>
            <w:tcW w:w="2944" w:type="pct"/>
          </w:tcPr>
          <w:p w14:paraId="7DCE43EF" w14:textId="6468099B" w:rsidR="00E9361B" w:rsidRPr="00807F64" w:rsidRDefault="00931645" w:rsidP="00E9361B">
            <w:pPr>
              <w:ind w:left="34"/>
              <w:rPr>
                <w:rFonts w:ascii="Calibri" w:hAnsi="Calibri"/>
                <w:b w:val="0"/>
                <w:bCs/>
                <w:sz w:val="20"/>
                <w:szCs w:val="20"/>
                <w:lang w:val="fr-CA"/>
              </w:rPr>
            </w:pPr>
            <w:r w:rsidRPr="00807F64">
              <w:rPr>
                <w:rFonts w:asciiTheme="majorHAnsi" w:hAnsiTheme="majorHAnsi" w:cs="Arial"/>
                <w:b w:val="0"/>
                <w:sz w:val="20"/>
                <w:szCs w:val="20"/>
                <w:u w:val="single"/>
                <w:lang w:val="fr-CA"/>
              </w:rPr>
              <w:t>Description de tâche</w:t>
            </w:r>
            <w:r w:rsidRPr="00807F64">
              <w:rPr>
                <w:rFonts w:asciiTheme="majorHAnsi" w:hAnsiTheme="majorHAnsi" w:cs="Arial"/>
                <w:b w:val="0"/>
                <w:sz w:val="20"/>
                <w:szCs w:val="20"/>
                <w:lang w:val="fr-CA"/>
              </w:rPr>
              <w:t xml:space="preserve"> : </w:t>
            </w:r>
            <w:r w:rsidR="00565A19">
              <w:rPr>
                <w:rFonts w:asciiTheme="majorHAnsi" w:hAnsiTheme="majorHAnsi" w:cs="Arial"/>
                <w:b w:val="0"/>
                <w:sz w:val="20"/>
                <w:szCs w:val="20"/>
                <w:lang w:val="fr-CA"/>
              </w:rPr>
              <w:t xml:space="preserve">Fournir une vue d’ensemble des connaissances actuelles </w:t>
            </w:r>
            <w:r w:rsidR="00B40EED">
              <w:rPr>
                <w:rFonts w:asciiTheme="majorHAnsi" w:hAnsiTheme="majorHAnsi" w:cs="Arial"/>
                <w:b w:val="0"/>
                <w:sz w:val="20"/>
                <w:szCs w:val="20"/>
                <w:lang w:val="fr-CA"/>
              </w:rPr>
              <w:t>sur le</w:t>
            </w:r>
            <w:r w:rsidR="00565A19">
              <w:rPr>
                <w:rFonts w:asciiTheme="majorHAnsi" w:hAnsiTheme="majorHAnsi" w:cs="Arial"/>
                <w:b w:val="0"/>
                <w:sz w:val="20"/>
                <w:szCs w:val="20"/>
                <w:lang w:val="fr-CA"/>
              </w:rPr>
              <w:t xml:space="preserve"> rôle des services écosystémiques des zones humides pour la prévention des risques de catastrophe, les possibilités et meilleures pratiques d’intégration de la conservation et de l’utilisation rationnelle des zones humides avec la prévention des risques de catastrophe, et fournir des options que les décideurs examineront dans les deux secteurs (prévention des risques de catastrophe et gestion des zones humides) pour action conjointe.</w:t>
            </w:r>
            <w:r w:rsidR="00E9361B" w:rsidRPr="00807F64">
              <w:rPr>
                <w:rFonts w:ascii="Calibri" w:hAnsi="Calibri"/>
                <w:b w:val="0"/>
                <w:bCs/>
                <w:sz w:val="20"/>
                <w:szCs w:val="20"/>
                <w:lang w:val="fr-CA"/>
              </w:rPr>
              <w:t xml:space="preserve"> </w:t>
            </w:r>
          </w:p>
          <w:p w14:paraId="000CFDC4" w14:textId="77777777" w:rsidR="00914A1A" w:rsidRPr="00807F64" w:rsidRDefault="00914A1A" w:rsidP="00726B77">
            <w:pPr>
              <w:keepNext/>
              <w:keepLines/>
              <w:rPr>
                <w:rFonts w:asciiTheme="majorHAnsi" w:hAnsiTheme="majorHAnsi" w:cs="Arial"/>
                <w:b w:val="0"/>
                <w:sz w:val="20"/>
                <w:szCs w:val="20"/>
                <w:lang w:val="fr-CA"/>
              </w:rPr>
            </w:pPr>
          </w:p>
          <w:p w14:paraId="0D6FFE88" w14:textId="06455A6D" w:rsidR="00914A1A" w:rsidRPr="00807F64" w:rsidRDefault="00931645" w:rsidP="00726B77">
            <w:pPr>
              <w:keepNext/>
              <w:keepLines/>
              <w:rPr>
                <w:rFonts w:asciiTheme="majorHAnsi" w:hAnsiTheme="majorHAnsi" w:cs="Arial"/>
                <w:b w:val="0"/>
                <w:sz w:val="20"/>
                <w:szCs w:val="20"/>
                <w:lang w:val="fr-CA"/>
              </w:rPr>
            </w:pPr>
            <w:r w:rsidRPr="00807F64">
              <w:rPr>
                <w:rFonts w:asciiTheme="majorHAnsi" w:hAnsiTheme="majorHAnsi" w:cs="Arial"/>
                <w:b w:val="0"/>
                <w:sz w:val="20"/>
                <w:szCs w:val="20"/>
                <w:u w:val="single"/>
                <w:lang w:val="fr-CA"/>
              </w:rPr>
              <w:t>Résultat(s) escompté(s)</w:t>
            </w:r>
            <w:r w:rsidRPr="00807F64">
              <w:rPr>
                <w:rFonts w:asciiTheme="majorHAnsi" w:hAnsiTheme="majorHAnsi" w:cs="Arial"/>
                <w:b w:val="0"/>
                <w:sz w:val="20"/>
                <w:szCs w:val="20"/>
                <w:lang w:val="fr-CA"/>
              </w:rPr>
              <w:t> :</w:t>
            </w:r>
            <w:r w:rsidR="00E9361B" w:rsidRPr="00807F64">
              <w:rPr>
                <w:rFonts w:asciiTheme="majorHAnsi" w:hAnsiTheme="majorHAnsi" w:cs="Arial"/>
                <w:b w:val="0"/>
                <w:sz w:val="20"/>
                <w:szCs w:val="20"/>
                <w:lang w:val="fr-CA"/>
              </w:rPr>
              <w:t xml:space="preserve"> </w:t>
            </w:r>
            <w:r w:rsidR="00565A19">
              <w:rPr>
                <w:rFonts w:asciiTheme="majorHAnsi" w:hAnsiTheme="majorHAnsi" w:cs="Arial"/>
                <w:b w:val="0"/>
                <w:sz w:val="20"/>
                <w:szCs w:val="20"/>
                <w:lang w:val="fr-CA"/>
              </w:rPr>
              <w:t xml:space="preserve">Document d’orientation sur l’intégration des zones humides dans la prévention des risques de catastrophe. </w:t>
            </w:r>
          </w:p>
          <w:p w14:paraId="1C844EF9" w14:textId="77777777" w:rsidR="00914A1A" w:rsidRPr="00807F64" w:rsidRDefault="00914A1A" w:rsidP="00726B77">
            <w:pPr>
              <w:keepNext/>
              <w:keepLines/>
              <w:rPr>
                <w:rFonts w:asciiTheme="majorHAnsi" w:hAnsiTheme="majorHAnsi" w:cs="Arial"/>
                <w:b w:val="0"/>
                <w:sz w:val="20"/>
                <w:szCs w:val="20"/>
                <w:lang w:val="fr-CA"/>
              </w:rPr>
            </w:pPr>
          </w:p>
          <w:p w14:paraId="2DC6DE1E" w14:textId="519F94C0" w:rsidR="00914A1A" w:rsidRPr="00807F64" w:rsidRDefault="00931645" w:rsidP="00E9361B">
            <w:pPr>
              <w:keepNext/>
              <w:keepLines/>
              <w:rPr>
                <w:rFonts w:asciiTheme="majorHAnsi" w:hAnsiTheme="majorHAnsi" w:cs="Arial"/>
                <w:b w:val="0"/>
                <w:sz w:val="20"/>
                <w:szCs w:val="20"/>
                <w:lang w:val="fr-CA"/>
              </w:rPr>
            </w:pPr>
            <w:r w:rsidRPr="00807F64">
              <w:rPr>
                <w:rFonts w:asciiTheme="majorHAnsi" w:hAnsiTheme="majorHAnsi" w:cs="Arial"/>
                <w:b w:val="0"/>
                <w:sz w:val="20"/>
                <w:szCs w:val="20"/>
                <w:u w:val="single"/>
                <w:lang w:val="fr-CA"/>
              </w:rPr>
              <w:t>Public(s) ciblé(s)</w:t>
            </w:r>
            <w:r w:rsidRPr="00807F64">
              <w:rPr>
                <w:rFonts w:asciiTheme="majorHAnsi" w:hAnsiTheme="majorHAnsi" w:cs="Arial"/>
                <w:b w:val="0"/>
                <w:sz w:val="20"/>
                <w:szCs w:val="20"/>
                <w:lang w:val="fr-CA"/>
              </w:rPr>
              <w:t xml:space="preserve"> : </w:t>
            </w:r>
            <w:r w:rsidR="00E9361B" w:rsidRPr="00807F64">
              <w:rPr>
                <w:rFonts w:asciiTheme="majorHAnsi" w:hAnsiTheme="majorHAnsi" w:cs="Arial"/>
                <w:b w:val="0"/>
                <w:sz w:val="20"/>
                <w:szCs w:val="20"/>
                <w:lang w:val="fr-CA"/>
              </w:rPr>
              <w:t>Décideurs</w:t>
            </w:r>
            <w:r w:rsidR="00B73ABF">
              <w:rPr>
                <w:rFonts w:asciiTheme="majorHAnsi" w:hAnsiTheme="majorHAnsi" w:cs="Arial"/>
                <w:b w:val="0"/>
                <w:sz w:val="20"/>
                <w:szCs w:val="20"/>
                <w:lang w:val="fr-CA"/>
              </w:rPr>
              <w:t>.</w:t>
            </w:r>
            <w:r w:rsidR="00E01336" w:rsidRPr="00807F64">
              <w:rPr>
                <w:rFonts w:asciiTheme="majorHAnsi" w:hAnsiTheme="majorHAnsi" w:cs="Arial"/>
                <w:b w:val="0"/>
                <w:sz w:val="20"/>
                <w:szCs w:val="20"/>
                <w:lang w:val="fr-CA"/>
              </w:rPr>
              <w:t xml:space="preserve"> </w:t>
            </w:r>
          </w:p>
        </w:tc>
        <w:tc>
          <w:tcPr>
            <w:tcW w:w="500" w:type="pct"/>
          </w:tcPr>
          <w:p w14:paraId="4143EC61" w14:textId="36563129" w:rsidR="00914A1A" w:rsidRPr="00807F64" w:rsidRDefault="00E9361B" w:rsidP="00C139E4">
            <w:pPr>
              <w:rPr>
                <w:rFonts w:asciiTheme="majorHAnsi" w:hAnsiTheme="majorHAnsi" w:cs="Arial"/>
                <w:b w:val="0"/>
                <w:sz w:val="20"/>
                <w:szCs w:val="20"/>
                <w:lang w:val="fr-CA"/>
              </w:rPr>
            </w:pPr>
            <w:r w:rsidRPr="00807F64">
              <w:rPr>
                <w:rFonts w:asciiTheme="majorHAnsi" w:hAnsiTheme="majorHAnsi" w:cs="Arial"/>
                <w:b w:val="0"/>
                <w:sz w:val="20"/>
                <w:szCs w:val="20"/>
                <w:lang w:val="fr-CA"/>
              </w:rPr>
              <w:t>Jusqu’à 9</w:t>
            </w:r>
            <w:r w:rsidR="00C139E4" w:rsidRPr="00807F64">
              <w:rPr>
                <w:rFonts w:asciiTheme="majorHAnsi" w:hAnsiTheme="majorHAnsi" w:cs="Arial"/>
                <w:b w:val="0"/>
                <w:sz w:val="20"/>
                <w:szCs w:val="20"/>
                <w:lang w:val="fr-CA"/>
              </w:rPr>
              <w:t xml:space="preserve"> </w:t>
            </w:r>
            <w:r w:rsidR="00914A1A" w:rsidRPr="00807F64">
              <w:rPr>
                <w:rFonts w:asciiTheme="majorHAnsi" w:hAnsiTheme="majorHAnsi" w:cs="Arial"/>
                <w:b w:val="0"/>
                <w:sz w:val="20"/>
                <w:szCs w:val="20"/>
                <w:lang w:val="fr-CA"/>
              </w:rPr>
              <w:t>000</w:t>
            </w:r>
          </w:p>
        </w:tc>
      </w:tr>
      <w:tr w:rsidR="00501577" w:rsidRPr="00807F64" w14:paraId="271802FC" w14:textId="77777777" w:rsidTr="001637EC">
        <w:tc>
          <w:tcPr>
            <w:tcW w:w="514" w:type="pct"/>
          </w:tcPr>
          <w:p w14:paraId="7DE8C10D" w14:textId="7FB91D9E" w:rsidR="00914A1A" w:rsidRPr="00807F64" w:rsidRDefault="00914A1A" w:rsidP="00726B77">
            <w:pPr>
              <w:rPr>
                <w:rFonts w:asciiTheme="majorHAnsi" w:hAnsiTheme="majorHAnsi" w:cs="Arial"/>
                <w:b w:val="0"/>
                <w:sz w:val="20"/>
                <w:szCs w:val="20"/>
                <w:lang w:val="fr-CA"/>
              </w:rPr>
            </w:pPr>
            <w:r w:rsidRPr="00807F64">
              <w:rPr>
                <w:rFonts w:asciiTheme="majorHAnsi" w:hAnsiTheme="majorHAnsi" w:cs="Arial"/>
                <w:b w:val="0"/>
                <w:sz w:val="20"/>
                <w:szCs w:val="20"/>
                <w:lang w:val="fr-CA"/>
              </w:rPr>
              <w:t>3.4</w:t>
            </w:r>
            <w:r w:rsidR="00E01336" w:rsidRPr="00807F64">
              <w:rPr>
                <w:rFonts w:asciiTheme="majorHAnsi" w:hAnsiTheme="majorHAnsi" w:cs="Arial"/>
                <w:b w:val="0"/>
                <w:sz w:val="20"/>
                <w:szCs w:val="20"/>
                <w:lang w:val="fr-CA"/>
              </w:rPr>
              <w:t xml:space="preserve"> </w:t>
            </w:r>
            <w:r w:rsidR="00726B77" w:rsidRPr="00807F64">
              <w:rPr>
                <w:rFonts w:asciiTheme="majorHAnsi" w:hAnsiTheme="majorHAnsi" w:cs="Arial"/>
                <w:b w:val="0"/>
                <w:sz w:val="20"/>
                <w:szCs w:val="20"/>
                <w:lang w:val="fr-CA"/>
              </w:rPr>
              <w:t xml:space="preserve">Études de cas sur « la valorisation et l’utilisation rationnelle des zones humides » </w:t>
            </w:r>
          </w:p>
        </w:tc>
        <w:tc>
          <w:tcPr>
            <w:tcW w:w="297" w:type="pct"/>
          </w:tcPr>
          <w:p w14:paraId="65431B9D" w14:textId="77777777" w:rsidR="00914A1A" w:rsidRPr="00807F64" w:rsidRDefault="00914A1A" w:rsidP="00914A1A">
            <w:pPr>
              <w:rPr>
                <w:rFonts w:asciiTheme="majorHAnsi" w:hAnsiTheme="majorHAnsi" w:cs="Arial"/>
                <w:b w:val="0"/>
                <w:sz w:val="20"/>
                <w:szCs w:val="20"/>
                <w:lang w:val="fr-CA"/>
              </w:rPr>
            </w:pPr>
          </w:p>
        </w:tc>
        <w:tc>
          <w:tcPr>
            <w:tcW w:w="360" w:type="pct"/>
          </w:tcPr>
          <w:p w14:paraId="5A8734AB" w14:textId="3DF5B80D" w:rsidR="00914A1A" w:rsidRPr="00807F64" w:rsidRDefault="003E68FE" w:rsidP="00914A1A">
            <w:pPr>
              <w:rPr>
                <w:rFonts w:asciiTheme="majorHAnsi" w:hAnsiTheme="majorHAnsi" w:cs="Arial"/>
                <w:sz w:val="20"/>
                <w:szCs w:val="20"/>
                <w:lang w:val="fr-CA"/>
              </w:rPr>
            </w:pPr>
            <w:r w:rsidRPr="00807F64">
              <w:rPr>
                <w:rFonts w:asciiTheme="majorHAnsi" w:hAnsiTheme="majorHAnsi" w:cs="Arial"/>
                <w:b w:val="0"/>
                <w:sz w:val="20"/>
                <w:szCs w:val="20"/>
                <w:lang w:val="fr-CA"/>
              </w:rPr>
              <w:t>XII.13,</w:t>
            </w:r>
            <w:r w:rsidRPr="00807F64">
              <w:rPr>
                <w:rFonts w:ascii="Calibri" w:hAnsi="Calibri" w:cs="Arial"/>
                <w:b w:val="0"/>
                <w:sz w:val="20"/>
                <w:szCs w:val="20"/>
                <w:lang w:val="fr-CA"/>
              </w:rPr>
              <w:t xml:space="preserve"> ¶</w:t>
            </w:r>
            <w:r w:rsidRPr="00807F64">
              <w:rPr>
                <w:rFonts w:asciiTheme="majorHAnsi" w:hAnsiTheme="majorHAnsi" w:cs="Arial"/>
                <w:b w:val="0"/>
                <w:sz w:val="20"/>
                <w:szCs w:val="20"/>
                <w:lang w:val="fr-CA"/>
              </w:rPr>
              <w:t xml:space="preserve"> 27; XII.15, </w:t>
            </w:r>
            <w:r w:rsidRPr="00807F64">
              <w:rPr>
                <w:rFonts w:ascii="Calibri" w:hAnsi="Calibri" w:cs="Arial"/>
                <w:b w:val="0"/>
                <w:sz w:val="20"/>
                <w:szCs w:val="20"/>
                <w:lang w:val="fr-CA"/>
              </w:rPr>
              <w:t>¶</w:t>
            </w:r>
            <w:r w:rsidRPr="00807F64">
              <w:rPr>
                <w:rFonts w:asciiTheme="majorHAnsi" w:hAnsiTheme="majorHAnsi" w:cs="Arial"/>
                <w:b w:val="0"/>
                <w:sz w:val="20"/>
                <w:szCs w:val="20"/>
                <w:lang w:val="fr-CA"/>
              </w:rPr>
              <w:t xml:space="preserve"> 21</w:t>
            </w:r>
          </w:p>
        </w:tc>
        <w:tc>
          <w:tcPr>
            <w:tcW w:w="385" w:type="pct"/>
          </w:tcPr>
          <w:p w14:paraId="0FFC6DC6" w14:textId="7BC5C5E5" w:rsidR="00914A1A" w:rsidRPr="00807F64" w:rsidRDefault="003E68FE" w:rsidP="00914A1A">
            <w:pPr>
              <w:rPr>
                <w:rFonts w:asciiTheme="majorHAnsi" w:hAnsiTheme="majorHAnsi" w:cs="Arial"/>
                <w:sz w:val="20"/>
                <w:szCs w:val="20"/>
                <w:lang w:val="fr-CA"/>
              </w:rPr>
            </w:pPr>
            <w:r w:rsidRPr="00807F64">
              <w:rPr>
                <w:rFonts w:asciiTheme="majorHAnsi" w:eastAsia="Calibri" w:hAnsiTheme="majorHAnsi" w:cs="Arial"/>
                <w:b w:val="0"/>
                <w:bCs/>
                <w:sz w:val="20"/>
                <w:szCs w:val="20"/>
                <w:lang w:val="fr-CA"/>
              </w:rPr>
              <w:t>1.1, 1.3; 3.8, 3.9, 3.10, 3.11, 3.12; 4.14</w:t>
            </w:r>
          </w:p>
        </w:tc>
        <w:tc>
          <w:tcPr>
            <w:tcW w:w="2944" w:type="pct"/>
          </w:tcPr>
          <w:p w14:paraId="620BFCC0" w14:textId="2DAAB648" w:rsidR="00914A1A" w:rsidRPr="00807F64" w:rsidRDefault="00931645" w:rsidP="00914A1A">
            <w:pPr>
              <w:rPr>
                <w:rFonts w:asciiTheme="majorHAnsi" w:hAnsiTheme="majorHAnsi" w:cs="Arial"/>
                <w:b w:val="0"/>
                <w:sz w:val="20"/>
                <w:szCs w:val="20"/>
                <w:lang w:val="fr-CA"/>
              </w:rPr>
            </w:pPr>
            <w:r w:rsidRPr="00807F64">
              <w:rPr>
                <w:rFonts w:asciiTheme="majorHAnsi" w:hAnsiTheme="majorHAnsi" w:cs="Arial"/>
                <w:b w:val="0"/>
                <w:sz w:val="20"/>
                <w:szCs w:val="20"/>
                <w:u w:val="single"/>
                <w:lang w:val="fr-CA"/>
              </w:rPr>
              <w:t>Description de tâche</w:t>
            </w:r>
            <w:r w:rsidRPr="00807F64">
              <w:rPr>
                <w:rFonts w:asciiTheme="majorHAnsi" w:hAnsiTheme="majorHAnsi" w:cs="Arial"/>
                <w:b w:val="0"/>
                <w:sz w:val="20"/>
                <w:szCs w:val="20"/>
                <w:lang w:val="fr-CA"/>
              </w:rPr>
              <w:t> :</w:t>
            </w:r>
            <w:r w:rsidR="00726B77" w:rsidRPr="00807F64">
              <w:rPr>
                <w:rFonts w:asciiTheme="majorHAnsi" w:hAnsiTheme="majorHAnsi" w:cs="Arial"/>
                <w:b w:val="0"/>
                <w:sz w:val="20"/>
                <w:szCs w:val="20"/>
                <w:lang w:val="fr-CA"/>
              </w:rPr>
              <w:t xml:space="preserve"> </w:t>
            </w:r>
            <w:r w:rsidR="00565A19">
              <w:rPr>
                <w:rFonts w:asciiTheme="majorHAnsi" w:hAnsiTheme="majorHAnsi" w:cs="Arial"/>
                <w:b w:val="0"/>
                <w:sz w:val="20"/>
                <w:szCs w:val="20"/>
                <w:lang w:val="fr-CA"/>
              </w:rPr>
              <w:t xml:space="preserve">Élaborer des études de cas et des méthodes (y compris fournies par d’autres conventions et organisations relatives à la biodiversité) sur l’utilisation des valeurs multiples des zones humides dans les contextes de planification et de prise de décisions, qui seront résumées pour les décideurs. </w:t>
            </w:r>
          </w:p>
          <w:p w14:paraId="00EC37F5" w14:textId="54B05512" w:rsidR="00914A1A" w:rsidRPr="00807F64" w:rsidRDefault="00E01336" w:rsidP="00914A1A">
            <w:pPr>
              <w:rPr>
                <w:rFonts w:asciiTheme="majorHAnsi" w:hAnsiTheme="majorHAnsi" w:cs="Arial"/>
                <w:b w:val="0"/>
                <w:sz w:val="20"/>
                <w:szCs w:val="20"/>
                <w:lang w:val="fr-CA"/>
              </w:rPr>
            </w:pPr>
            <w:r w:rsidRPr="00807F64">
              <w:rPr>
                <w:rFonts w:asciiTheme="majorHAnsi" w:hAnsiTheme="majorHAnsi" w:cs="Arial"/>
                <w:b w:val="0"/>
                <w:sz w:val="20"/>
                <w:szCs w:val="20"/>
                <w:lang w:val="fr-CA"/>
              </w:rPr>
              <w:t xml:space="preserve"> </w:t>
            </w:r>
          </w:p>
          <w:p w14:paraId="012B5C31" w14:textId="17AE042A" w:rsidR="00914A1A" w:rsidRPr="00807F64" w:rsidRDefault="00931645" w:rsidP="00914A1A">
            <w:pPr>
              <w:rPr>
                <w:rFonts w:asciiTheme="majorHAnsi" w:hAnsiTheme="majorHAnsi" w:cs="Arial"/>
                <w:b w:val="0"/>
                <w:sz w:val="20"/>
                <w:szCs w:val="20"/>
                <w:lang w:val="fr-CA"/>
              </w:rPr>
            </w:pPr>
            <w:r w:rsidRPr="00807F64">
              <w:rPr>
                <w:rFonts w:asciiTheme="majorHAnsi" w:hAnsiTheme="majorHAnsi" w:cs="Arial"/>
                <w:b w:val="0"/>
                <w:sz w:val="20"/>
                <w:szCs w:val="20"/>
                <w:u w:val="single"/>
                <w:lang w:val="fr-CA"/>
              </w:rPr>
              <w:t>Résultat(s) escompté(s)</w:t>
            </w:r>
            <w:r w:rsidRPr="00807F64">
              <w:rPr>
                <w:rFonts w:asciiTheme="majorHAnsi" w:hAnsiTheme="majorHAnsi" w:cs="Arial"/>
                <w:b w:val="0"/>
                <w:sz w:val="20"/>
                <w:szCs w:val="20"/>
                <w:lang w:val="fr-CA"/>
              </w:rPr>
              <w:t> :</w:t>
            </w:r>
          </w:p>
          <w:p w14:paraId="04290F22" w14:textId="45151DFD" w:rsidR="00DF0AF6" w:rsidRPr="00807F64" w:rsidRDefault="00565A19" w:rsidP="00DF0AF6">
            <w:pPr>
              <w:rPr>
                <w:rFonts w:asciiTheme="majorHAnsi" w:hAnsiTheme="majorHAnsi" w:cs="Arial"/>
                <w:b w:val="0"/>
                <w:sz w:val="20"/>
                <w:szCs w:val="20"/>
                <w:lang w:val="fr-CA"/>
              </w:rPr>
            </w:pPr>
            <w:r>
              <w:rPr>
                <w:rFonts w:asciiTheme="majorHAnsi" w:hAnsiTheme="majorHAnsi" w:cs="Arial"/>
                <w:b w:val="0"/>
                <w:sz w:val="20"/>
                <w:szCs w:val="20"/>
                <w:lang w:val="fr-CA"/>
              </w:rPr>
              <w:t>1) Études de cas et méthodes à inclure dans le cadre d’un ensemble d’outils de gestion des zones humides proposés dans le domaine de travail thématique 2 (ci</w:t>
            </w:r>
            <w:r>
              <w:rPr>
                <w:rFonts w:asciiTheme="majorHAnsi" w:hAnsiTheme="majorHAnsi" w:cs="Arial"/>
                <w:b w:val="0"/>
                <w:sz w:val="20"/>
                <w:szCs w:val="20"/>
                <w:lang w:val="fr-CA"/>
              </w:rPr>
              <w:noBreakHyphen/>
              <w:t>dessus) (tâche n</w:t>
            </w:r>
            <w:r w:rsidRPr="00565A19">
              <w:rPr>
                <w:rFonts w:asciiTheme="majorHAnsi" w:hAnsiTheme="majorHAnsi" w:cs="Arial"/>
                <w:b w:val="0"/>
                <w:sz w:val="20"/>
                <w:szCs w:val="20"/>
                <w:vertAlign w:val="superscript"/>
                <w:lang w:val="fr-CA"/>
              </w:rPr>
              <w:t>o</w:t>
            </w:r>
            <w:r>
              <w:rPr>
                <w:rFonts w:asciiTheme="majorHAnsi" w:hAnsiTheme="majorHAnsi" w:cs="Arial"/>
                <w:b w:val="0"/>
                <w:sz w:val="20"/>
                <w:szCs w:val="20"/>
                <w:lang w:val="fr-CA"/>
              </w:rPr>
              <w:t xml:space="preserve"> 2.1). </w:t>
            </w:r>
          </w:p>
          <w:p w14:paraId="36363144" w14:textId="77777777" w:rsidR="00DF0AF6" w:rsidRPr="00807F64" w:rsidRDefault="00DF0AF6" w:rsidP="00DF0AF6">
            <w:pPr>
              <w:rPr>
                <w:rFonts w:asciiTheme="majorHAnsi" w:hAnsiTheme="majorHAnsi" w:cs="Arial"/>
                <w:b w:val="0"/>
                <w:sz w:val="20"/>
                <w:szCs w:val="20"/>
                <w:lang w:val="fr-CA"/>
              </w:rPr>
            </w:pPr>
          </w:p>
          <w:p w14:paraId="623E1E9B" w14:textId="5F32A2D0" w:rsidR="00DF0AF6" w:rsidRPr="00807F64" w:rsidRDefault="00DF0AF6" w:rsidP="00DF0AF6">
            <w:pPr>
              <w:rPr>
                <w:rFonts w:asciiTheme="majorHAnsi" w:hAnsiTheme="majorHAnsi" w:cs="Arial"/>
                <w:b w:val="0"/>
                <w:sz w:val="20"/>
                <w:szCs w:val="20"/>
                <w:lang w:val="fr-CA"/>
              </w:rPr>
            </w:pPr>
            <w:r w:rsidRPr="00807F64">
              <w:rPr>
                <w:rFonts w:asciiTheme="majorHAnsi" w:hAnsiTheme="majorHAnsi" w:cs="Arial"/>
                <w:b w:val="0"/>
                <w:sz w:val="20"/>
                <w:szCs w:val="20"/>
                <w:lang w:val="fr-CA"/>
              </w:rPr>
              <w:t>2) Document d’orientation</w:t>
            </w:r>
            <w:r w:rsidR="00B73ABF">
              <w:rPr>
                <w:rFonts w:asciiTheme="majorHAnsi" w:hAnsiTheme="majorHAnsi" w:cs="Arial"/>
                <w:b w:val="0"/>
                <w:sz w:val="20"/>
                <w:szCs w:val="20"/>
                <w:lang w:val="fr-CA"/>
              </w:rPr>
              <w:t>.</w:t>
            </w:r>
          </w:p>
          <w:p w14:paraId="777C8164" w14:textId="77777777" w:rsidR="00914A1A" w:rsidRPr="00807F64" w:rsidRDefault="00914A1A" w:rsidP="00914A1A">
            <w:pPr>
              <w:rPr>
                <w:rFonts w:asciiTheme="majorHAnsi" w:hAnsiTheme="majorHAnsi" w:cs="Arial"/>
                <w:b w:val="0"/>
                <w:sz w:val="20"/>
                <w:szCs w:val="20"/>
                <w:lang w:val="fr-CA"/>
              </w:rPr>
            </w:pPr>
          </w:p>
          <w:p w14:paraId="14719B0C" w14:textId="349CFD39" w:rsidR="00DF0AF6" w:rsidRPr="00807F64" w:rsidRDefault="00931645" w:rsidP="00DF0AF6">
            <w:pPr>
              <w:rPr>
                <w:rFonts w:asciiTheme="majorHAnsi" w:hAnsiTheme="majorHAnsi" w:cs="Arial"/>
                <w:b w:val="0"/>
                <w:sz w:val="20"/>
                <w:szCs w:val="20"/>
                <w:lang w:val="fr-CA"/>
              </w:rPr>
            </w:pPr>
            <w:r w:rsidRPr="00807F64">
              <w:rPr>
                <w:rFonts w:asciiTheme="majorHAnsi" w:hAnsiTheme="majorHAnsi" w:cs="Arial"/>
                <w:b w:val="0"/>
                <w:sz w:val="20"/>
                <w:szCs w:val="20"/>
                <w:u w:val="single"/>
                <w:lang w:val="fr-CA"/>
              </w:rPr>
              <w:t>Public(s) ciblé(s)</w:t>
            </w:r>
            <w:r w:rsidRPr="00807F64">
              <w:rPr>
                <w:rFonts w:asciiTheme="majorHAnsi" w:hAnsiTheme="majorHAnsi" w:cs="Arial"/>
                <w:b w:val="0"/>
                <w:sz w:val="20"/>
                <w:szCs w:val="20"/>
                <w:lang w:val="fr-CA"/>
              </w:rPr>
              <w:t xml:space="preserve"> : </w:t>
            </w:r>
            <w:r w:rsidR="003E68FE" w:rsidRPr="00807F64">
              <w:rPr>
                <w:rFonts w:asciiTheme="majorHAnsi" w:hAnsiTheme="majorHAnsi" w:cs="Arial"/>
                <w:b w:val="0"/>
                <w:sz w:val="20"/>
                <w:szCs w:val="20"/>
                <w:lang w:val="fr-CA"/>
              </w:rPr>
              <w:t xml:space="preserve">Praticiens (administrateurs de zones humides) </w:t>
            </w:r>
            <w:r w:rsidR="00DF0AF6" w:rsidRPr="00807F64">
              <w:rPr>
                <w:rFonts w:asciiTheme="majorHAnsi" w:hAnsiTheme="majorHAnsi" w:cs="Arial"/>
                <w:b w:val="0"/>
                <w:sz w:val="20"/>
                <w:szCs w:val="20"/>
                <w:lang w:val="fr-CA"/>
              </w:rPr>
              <w:t>(études de cas et méthodes) et décideurs</w:t>
            </w:r>
            <w:r w:rsidR="0081604E" w:rsidRPr="00807F64">
              <w:rPr>
                <w:rFonts w:asciiTheme="majorHAnsi" w:hAnsiTheme="majorHAnsi" w:cs="Arial"/>
                <w:b w:val="0"/>
                <w:sz w:val="20"/>
                <w:szCs w:val="20"/>
                <w:lang w:val="fr-CA"/>
              </w:rPr>
              <w:t xml:space="preserve"> </w:t>
            </w:r>
            <w:r w:rsidR="003E68FE" w:rsidRPr="00807F64">
              <w:rPr>
                <w:rFonts w:asciiTheme="majorHAnsi" w:hAnsiTheme="majorHAnsi" w:cs="Arial"/>
                <w:b w:val="0"/>
                <w:sz w:val="20"/>
                <w:szCs w:val="20"/>
                <w:lang w:val="fr-CA"/>
              </w:rPr>
              <w:t>(</w:t>
            </w:r>
            <w:r w:rsidR="00DF0AF6" w:rsidRPr="00807F64">
              <w:rPr>
                <w:rFonts w:asciiTheme="majorHAnsi" w:hAnsiTheme="majorHAnsi" w:cs="Arial"/>
                <w:b w:val="0"/>
                <w:sz w:val="20"/>
                <w:szCs w:val="20"/>
                <w:lang w:val="fr-CA"/>
              </w:rPr>
              <w:t>document d’orientation)</w:t>
            </w:r>
            <w:r w:rsidR="00B73ABF">
              <w:rPr>
                <w:rFonts w:asciiTheme="majorHAnsi" w:hAnsiTheme="majorHAnsi" w:cs="Arial"/>
                <w:b w:val="0"/>
                <w:sz w:val="20"/>
                <w:szCs w:val="20"/>
                <w:lang w:val="fr-CA"/>
              </w:rPr>
              <w:t>.</w:t>
            </w:r>
            <w:r w:rsidR="00E01336" w:rsidRPr="00807F64">
              <w:rPr>
                <w:rFonts w:asciiTheme="majorHAnsi" w:hAnsiTheme="majorHAnsi" w:cs="Arial"/>
                <w:b w:val="0"/>
                <w:sz w:val="20"/>
                <w:szCs w:val="20"/>
                <w:lang w:val="fr-CA"/>
              </w:rPr>
              <w:t xml:space="preserve"> </w:t>
            </w:r>
          </w:p>
        </w:tc>
        <w:tc>
          <w:tcPr>
            <w:tcW w:w="500" w:type="pct"/>
          </w:tcPr>
          <w:p w14:paraId="6555C94A" w14:textId="5C563C00" w:rsidR="00914A1A" w:rsidRPr="00807F64" w:rsidRDefault="00DF0AF6" w:rsidP="00DF0AF6">
            <w:pPr>
              <w:rPr>
                <w:rFonts w:asciiTheme="majorHAnsi" w:hAnsiTheme="majorHAnsi" w:cs="Arial"/>
                <w:b w:val="0"/>
                <w:sz w:val="20"/>
                <w:szCs w:val="20"/>
                <w:lang w:val="fr-CA"/>
              </w:rPr>
            </w:pPr>
            <w:r w:rsidRPr="00807F64">
              <w:rPr>
                <w:rFonts w:asciiTheme="majorHAnsi" w:hAnsiTheme="majorHAnsi" w:cs="Arial"/>
                <w:b w:val="0"/>
                <w:sz w:val="20"/>
                <w:szCs w:val="20"/>
                <w:lang w:val="fr-CA"/>
              </w:rPr>
              <w:t>9</w:t>
            </w:r>
            <w:r w:rsidR="00C139E4" w:rsidRPr="00807F64">
              <w:rPr>
                <w:rFonts w:asciiTheme="majorHAnsi" w:hAnsiTheme="majorHAnsi" w:cs="Arial"/>
                <w:b w:val="0"/>
                <w:sz w:val="20"/>
                <w:szCs w:val="20"/>
                <w:lang w:val="fr-CA"/>
              </w:rPr>
              <w:t xml:space="preserve"> </w:t>
            </w:r>
            <w:r w:rsidR="00914A1A" w:rsidRPr="00807F64">
              <w:rPr>
                <w:rFonts w:asciiTheme="majorHAnsi" w:hAnsiTheme="majorHAnsi" w:cs="Arial"/>
                <w:b w:val="0"/>
                <w:sz w:val="20"/>
                <w:szCs w:val="20"/>
                <w:lang w:val="fr-CA"/>
              </w:rPr>
              <w:t>000</w:t>
            </w:r>
            <w:r w:rsidR="00E01336" w:rsidRPr="00807F64">
              <w:rPr>
                <w:rFonts w:asciiTheme="majorHAnsi" w:hAnsiTheme="majorHAnsi" w:cs="Arial"/>
                <w:b w:val="0"/>
                <w:sz w:val="20"/>
                <w:szCs w:val="20"/>
                <w:lang w:val="fr-CA"/>
              </w:rPr>
              <w:t xml:space="preserve"> </w:t>
            </w:r>
          </w:p>
        </w:tc>
      </w:tr>
    </w:tbl>
    <w:p w14:paraId="5F3754FD" w14:textId="77777777" w:rsidR="00914A1A" w:rsidRPr="003F6411" w:rsidRDefault="00914A1A" w:rsidP="00914A1A">
      <w:pPr>
        <w:rPr>
          <w:rFonts w:asciiTheme="majorHAnsi" w:hAnsiTheme="majorHAnsi" w:cs="Arial"/>
          <w:sz w:val="20"/>
          <w:szCs w:val="20"/>
          <w:lang w:val="fr-FR"/>
        </w:rPr>
      </w:pPr>
    </w:p>
    <w:p w14:paraId="4CDC041A" w14:textId="77777777" w:rsidR="00914A1A" w:rsidRPr="003F6411" w:rsidRDefault="00914A1A" w:rsidP="00914A1A">
      <w:pPr>
        <w:rPr>
          <w:rFonts w:asciiTheme="majorHAnsi" w:hAnsiTheme="majorHAnsi" w:cs="Arial"/>
          <w:sz w:val="20"/>
          <w:szCs w:val="20"/>
          <w:lang w:val="fr-FR"/>
        </w:rPr>
      </w:pPr>
    </w:p>
    <w:tbl>
      <w:tblPr>
        <w:tblStyle w:val="TableGrid3"/>
        <w:tblW w:w="5000" w:type="pct"/>
        <w:tblLook w:val="04A0" w:firstRow="1" w:lastRow="0" w:firstColumn="1" w:lastColumn="0" w:noHBand="0" w:noVBand="1"/>
      </w:tblPr>
      <w:tblGrid>
        <w:gridCol w:w="14174"/>
      </w:tblGrid>
      <w:tr w:rsidR="00914A1A" w:rsidRPr="00833360" w14:paraId="32708FB7" w14:textId="77777777" w:rsidTr="00914A1A">
        <w:tc>
          <w:tcPr>
            <w:tcW w:w="5000" w:type="pct"/>
            <w:shd w:val="clear" w:color="auto" w:fill="000000" w:themeFill="text1"/>
          </w:tcPr>
          <w:p w14:paraId="2F96420C" w14:textId="18212EED" w:rsidR="00914A1A" w:rsidRPr="003F6411" w:rsidRDefault="00C139E4" w:rsidP="0081604E">
            <w:pPr>
              <w:rPr>
                <w:rFonts w:asciiTheme="majorHAnsi" w:hAnsiTheme="majorHAnsi" w:cs="Arial"/>
                <w:sz w:val="20"/>
                <w:szCs w:val="20"/>
                <w:lang w:val="fr-FR"/>
              </w:rPr>
            </w:pPr>
            <w:r w:rsidRPr="003F6411">
              <w:rPr>
                <w:rFonts w:asciiTheme="majorHAnsi" w:hAnsiTheme="majorHAnsi" w:cs="Arial"/>
                <w:sz w:val="20"/>
                <w:szCs w:val="20"/>
                <w:lang w:val="fr-FR"/>
              </w:rPr>
              <w:t>Domaine de travail thématique n</w:t>
            </w:r>
            <w:r w:rsidRPr="003F6411">
              <w:rPr>
                <w:rFonts w:asciiTheme="majorHAnsi" w:hAnsiTheme="majorHAnsi" w:cs="Arial"/>
                <w:sz w:val="20"/>
                <w:szCs w:val="20"/>
                <w:vertAlign w:val="superscript"/>
                <w:lang w:val="fr-FR"/>
              </w:rPr>
              <w:t>o</w:t>
            </w:r>
            <w:r w:rsidRPr="003F6411">
              <w:rPr>
                <w:rFonts w:asciiTheme="majorHAnsi" w:hAnsiTheme="majorHAnsi" w:cs="Arial"/>
                <w:sz w:val="20"/>
                <w:szCs w:val="20"/>
                <w:lang w:val="fr-FR"/>
              </w:rPr>
              <w:t xml:space="preserve"> </w:t>
            </w:r>
            <w:r w:rsidR="00914A1A" w:rsidRPr="003F6411">
              <w:rPr>
                <w:rFonts w:asciiTheme="majorHAnsi" w:hAnsiTheme="majorHAnsi" w:cs="Arial"/>
                <w:sz w:val="20"/>
                <w:szCs w:val="20"/>
                <w:lang w:val="fr-FR"/>
              </w:rPr>
              <w:t>4</w:t>
            </w:r>
            <w:r w:rsidRPr="003F6411">
              <w:rPr>
                <w:rFonts w:asciiTheme="majorHAnsi" w:hAnsiTheme="majorHAnsi" w:cs="Arial"/>
                <w:sz w:val="20"/>
                <w:szCs w:val="20"/>
                <w:lang w:val="fr-FR"/>
              </w:rPr>
              <w:t> </w:t>
            </w:r>
            <w:r w:rsidR="00914A1A" w:rsidRPr="003F6411">
              <w:rPr>
                <w:rFonts w:asciiTheme="majorHAnsi" w:hAnsiTheme="majorHAnsi" w:cs="Arial"/>
                <w:sz w:val="20"/>
                <w:szCs w:val="20"/>
                <w:lang w:val="fr-FR"/>
              </w:rPr>
              <w:t>:</w:t>
            </w:r>
            <w:r w:rsidRPr="003F6411">
              <w:rPr>
                <w:rFonts w:asciiTheme="majorHAnsi" w:hAnsiTheme="majorHAnsi" w:cs="Arial"/>
                <w:sz w:val="20"/>
                <w:szCs w:val="20"/>
                <w:lang w:val="fr-FR"/>
              </w:rPr>
              <w:t xml:space="preserve"> </w:t>
            </w:r>
            <w:r w:rsidR="0081604E" w:rsidRPr="003F6411">
              <w:rPr>
                <w:rFonts w:asciiTheme="majorHAnsi" w:hAnsiTheme="majorHAnsi" w:cs="Arial"/>
                <w:sz w:val="20"/>
                <w:szCs w:val="20"/>
                <w:lang w:val="fr-FR"/>
              </w:rPr>
              <w:t>Concilier conservation des zones humides et développement, à savoir :</w:t>
            </w:r>
            <w:r w:rsidR="00E01336" w:rsidRPr="003F6411">
              <w:rPr>
                <w:rFonts w:asciiTheme="majorHAnsi" w:hAnsiTheme="majorHAnsi" w:cs="Arial"/>
                <w:sz w:val="20"/>
                <w:szCs w:val="20"/>
                <w:lang w:val="fr-FR"/>
              </w:rPr>
              <w:t xml:space="preserve"> </w:t>
            </w:r>
            <w:r w:rsidR="00914A1A" w:rsidRPr="003F6411">
              <w:rPr>
                <w:rFonts w:asciiTheme="majorHAnsi" w:hAnsiTheme="majorHAnsi" w:cs="Arial"/>
                <w:sz w:val="20"/>
                <w:szCs w:val="20"/>
                <w:lang w:val="fr-FR"/>
              </w:rPr>
              <w:t>infrastructure,</w:t>
            </w:r>
            <w:r w:rsidR="00E01336" w:rsidRPr="003F6411">
              <w:rPr>
                <w:rFonts w:asciiTheme="majorHAnsi" w:hAnsiTheme="majorHAnsi" w:cs="Arial"/>
                <w:sz w:val="20"/>
                <w:szCs w:val="20"/>
                <w:lang w:val="fr-FR"/>
              </w:rPr>
              <w:t xml:space="preserve"> </w:t>
            </w:r>
            <w:r w:rsidR="0081604E" w:rsidRPr="003F6411">
              <w:rPr>
                <w:rFonts w:asciiTheme="majorHAnsi" w:hAnsiTheme="majorHAnsi" w:cs="Arial"/>
                <w:sz w:val="20"/>
                <w:szCs w:val="20"/>
                <w:lang w:val="fr-FR"/>
              </w:rPr>
              <w:t>urbanis</w:t>
            </w:r>
            <w:r w:rsidR="00914A1A" w:rsidRPr="003F6411">
              <w:rPr>
                <w:rFonts w:asciiTheme="majorHAnsi" w:hAnsiTheme="majorHAnsi" w:cs="Arial"/>
                <w:sz w:val="20"/>
                <w:szCs w:val="20"/>
                <w:lang w:val="fr-FR"/>
              </w:rPr>
              <w:t>ation,</w:t>
            </w:r>
            <w:r w:rsidR="00E01336" w:rsidRPr="003F6411">
              <w:rPr>
                <w:rFonts w:asciiTheme="majorHAnsi" w:hAnsiTheme="majorHAnsi" w:cs="Arial"/>
                <w:sz w:val="20"/>
                <w:szCs w:val="20"/>
                <w:lang w:val="fr-FR"/>
              </w:rPr>
              <w:t xml:space="preserve"> </w:t>
            </w:r>
            <w:r w:rsidR="00914A1A" w:rsidRPr="003F6411">
              <w:rPr>
                <w:rFonts w:asciiTheme="majorHAnsi" w:hAnsiTheme="majorHAnsi" w:cs="Arial"/>
                <w:sz w:val="20"/>
                <w:szCs w:val="20"/>
                <w:lang w:val="fr-FR"/>
              </w:rPr>
              <w:t>forest</w:t>
            </w:r>
            <w:r w:rsidR="0081604E" w:rsidRPr="003F6411">
              <w:rPr>
                <w:rFonts w:asciiTheme="majorHAnsi" w:hAnsiTheme="majorHAnsi" w:cs="Arial"/>
                <w:sz w:val="20"/>
                <w:szCs w:val="20"/>
                <w:lang w:val="fr-FR"/>
              </w:rPr>
              <w:t>erie, industries extractives et</w:t>
            </w:r>
            <w:r w:rsidR="00E01336" w:rsidRPr="003F6411">
              <w:rPr>
                <w:rFonts w:asciiTheme="majorHAnsi" w:hAnsiTheme="majorHAnsi" w:cs="Arial"/>
                <w:sz w:val="20"/>
                <w:szCs w:val="20"/>
                <w:lang w:val="fr-FR"/>
              </w:rPr>
              <w:t xml:space="preserve"> </w:t>
            </w:r>
            <w:r w:rsidR="0081604E" w:rsidRPr="003F6411">
              <w:rPr>
                <w:rFonts w:asciiTheme="majorHAnsi" w:hAnsiTheme="majorHAnsi" w:cs="Arial"/>
                <w:sz w:val="20"/>
                <w:szCs w:val="20"/>
                <w:lang w:val="fr-FR"/>
              </w:rPr>
              <w:t>agriculture</w:t>
            </w:r>
          </w:p>
        </w:tc>
      </w:tr>
    </w:tbl>
    <w:p w14:paraId="234632A7" w14:textId="77777777" w:rsidR="00914A1A" w:rsidRPr="003F6411" w:rsidRDefault="00914A1A" w:rsidP="00914A1A">
      <w:pPr>
        <w:rPr>
          <w:rFonts w:asciiTheme="majorHAnsi" w:hAnsiTheme="majorHAnsi" w:cs="Arial"/>
          <w:sz w:val="20"/>
          <w:szCs w:val="20"/>
          <w:lang w:val="fr-FR"/>
        </w:rPr>
      </w:pPr>
    </w:p>
    <w:tbl>
      <w:tblPr>
        <w:tblStyle w:val="TableGrid22"/>
        <w:tblW w:w="5000" w:type="pct"/>
        <w:jc w:val="center"/>
        <w:tblLook w:val="04A0" w:firstRow="1" w:lastRow="0" w:firstColumn="1" w:lastColumn="0" w:noHBand="0" w:noVBand="1"/>
      </w:tblPr>
      <w:tblGrid>
        <w:gridCol w:w="3561"/>
        <w:gridCol w:w="10613"/>
      </w:tblGrid>
      <w:tr w:rsidR="00914A1A" w:rsidRPr="00833360" w14:paraId="54628828" w14:textId="77777777" w:rsidTr="00914A1A">
        <w:trPr>
          <w:jc w:val="center"/>
        </w:trPr>
        <w:tc>
          <w:tcPr>
            <w:tcW w:w="1256" w:type="pct"/>
          </w:tcPr>
          <w:p w14:paraId="5711FBF8" w14:textId="2F73851F" w:rsidR="00914A1A" w:rsidRPr="003F6411" w:rsidRDefault="00A1768B" w:rsidP="00914A1A">
            <w:pPr>
              <w:rPr>
                <w:rFonts w:asciiTheme="majorHAnsi" w:eastAsia="Calibri" w:hAnsiTheme="majorHAnsi" w:cs="Arial"/>
                <w:sz w:val="20"/>
                <w:szCs w:val="20"/>
                <w:lang w:val="fr-FR"/>
              </w:rPr>
            </w:pPr>
            <w:r w:rsidRPr="003F6411">
              <w:rPr>
                <w:rFonts w:asciiTheme="majorHAnsi" w:eastAsia="Calibri" w:hAnsiTheme="majorHAnsi" w:cs="Arial"/>
                <w:sz w:val="20"/>
                <w:szCs w:val="20"/>
                <w:lang w:val="fr-FR"/>
              </w:rPr>
              <w:t>Leader</w:t>
            </w:r>
            <w:r w:rsidR="00C139E4" w:rsidRPr="003F6411">
              <w:rPr>
                <w:rFonts w:asciiTheme="majorHAnsi" w:eastAsia="Calibri" w:hAnsiTheme="majorHAnsi" w:cs="Arial"/>
                <w:sz w:val="20"/>
                <w:szCs w:val="20"/>
                <w:lang w:val="fr-FR"/>
              </w:rPr>
              <w:t>(s) de groupe de travail et participants :</w:t>
            </w:r>
          </w:p>
        </w:tc>
        <w:tc>
          <w:tcPr>
            <w:tcW w:w="3744" w:type="pct"/>
          </w:tcPr>
          <w:p w14:paraId="67FC47FC" w14:textId="33DA1D86" w:rsidR="00914A1A" w:rsidRPr="003F6411" w:rsidRDefault="00DF0AF6" w:rsidP="00DF0AF6">
            <w:pPr>
              <w:rPr>
                <w:rFonts w:asciiTheme="majorHAnsi" w:eastAsia="Calibri" w:hAnsiTheme="majorHAnsi" w:cs="Arial"/>
                <w:b w:val="0"/>
                <w:sz w:val="20"/>
                <w:szCs w:val="20"/>
                <w:lang w:val="fr-FR"/>
              </w:rPr>
            </w:pPr>
            <w:r w:rsidRPr="003F6411">
              <w:rPr>
                <w:rFonts w:asciiTheme="majorHAnsi" w:eastAsia="Calibri" w:hAnsiTheme="majorHAnsi" w:cs="Arial"/>
                <w:b w:val="0"/>
                <w:sz w:val="20"/>
                <w:szCs w:val="20"/>
                <w:lang w:val="fr-FR"/>
              </w:rPr>
              <w:t xml:space="preserve">Ruth Cromie, Peter Davies, </w:t>
            </w:r>
            <w:r w:rsidR="00914A1A" w:rsidRPr="003F6411">
              <w:rPr>
                <w:rFonts w:asciiTheme="majorHAnsi" w:hAnsiTheme="majorHAnsi" w:cs="Arial"/>
                <w:b w:val="0"/>
                <w:sz w:val="20"/>
                <w:szCs w:val="20"/>
                <w:lang w:val="fr-FR"/>
              </w:rPr>
              <w:t>Roy</w:t>
            </w:r>
            <w:r w:rsidR="00E01336" w:rsidRPr="003F6411">
              <w:rPr>
                <w:rFonts w:asciiTheme="majorHAnsi" w:hAnsiTheme="majorHAnsi" w:cs="Arial"/>
                <w:b w:val="0"/>
                <w:sz w:val="20"/>
                <w:szCs w:val="20"/>
                <w:lang w:val="fr-FR"/>
              </w:rPr>
              <w:t xml:space="preserve"> </w:t>
            </w:r>
            <w:r w:rsidR="00914A1A" w:rsidRPr="003F6411">
              <w:rPr>
                <w:rFonts w:asciiTheme="majorHAnsi" w:hAnsiTheme="majorHAnsi" w:cs="Arial"/>
                <w:b w:val="0"/>
                <w:sz w:val="20"/>
                <w:szCs w:val="20"/>
                <w:lang w:val="fr-FR"/>
              </w:rPr>
              <w:t>Gardner,</w:t>
            </w:r>
            <w:r w:rsidR="00E01336" w:rsidRPr="003F6411">
              <w:rPr>
                <w:rFonts w:asciiTheme="majorHAnsi" w:hAnsiTheme="majorHAnsi" w:cs="Arial"/>
                <w:b w:val="0"/>
                <w:sz w:val="20"/>
                <w:szCs w:val="20"/>
                <w:lang w:val="fr-FR"/>
              </w:rPr>
              <w:t xml:space="preserve"> </w:t>
            </w:r>
            <w:r w:rsidRPr="003F6411">
              <w:rPr>
                <w:rFonts w:asciiTheme="majorHAnsi" w:hAnsiTheme="majorHAnsi" w:cs="Arial"/>
                <w:b w:val="0"/>
                <w:sz w:val="20"/>
                <w:szCs w:val="20"/>
                <w:lang w:val="fr-FR"/>
              </w:rPr>
              <w:t xml:space="preserve">Max Finlayson, </w:t>
            </w:r>
            <w:r w:rsidR="00914A1A" w:rsidRPr="003F6411">
              <w:rPr>
                <w:rFonts w:asciiTheme="majorHAnsi" w:hAnsiTheme="majorHAnsi" w:cs="Arial"/>
                <w:b w:val="0"/>
                <w:sz w:val="20"/>
                <w:szCs w:val="20"/>
                <w:lang w:val="fr-FR"/>
              </w:rPr>
              <w:t>Kassim</w:t>
            </w:r>
            <w:r w:rsidR="00E01336" w:rsidRPr="003F6411">
              <w:rPr>
                <w:rFonts w:asciiTheme="majorHAnsi" w:hAnsiTheme="majorHAnsi" w:cs="Arial"/>
                <w:b w:val="0"/>
                <w:sz w:val="20"/>
                <w:szCs w:val="20"/>
                <w:lang w:val="fr-FR"/>
              </w:rPr>
              <w:t xml:space="preserve"> </w:t>
            </w:r>
            <w:r w:rsidR="00914A1A" w:rsidRPr="003F6411">
              <w:rPr>
                <w:rFonts w:asciiTheme="majorHAnsi" w:hAnsiTheme="majorHAnsi" w:cs="Arial"/>
                <w:b w:val="0"/>
                <w:sz w:val="20"/>
                <w:szCs w:val="20"/>
                <w:lang w:val="fr-FR"/>
              </w:rPr>
              <w:t>Kulindwa,</w:t>
            </w:r>
            <w:r w:rsidR="00A41C65" w:rsidRPr="003F6411">
              <w:rPr>
                <w:rFonts w:asciiTheme="majorHAnsi" w:hAnsiTheme="majorHAnsi" w:cs="Arial"/>
                <w:b w:val="0"/>
                <w:sz w:val="20"/>
                <w:szCs w:val="20"/>
                <w:lang w:val="fr-FR"/>
              </w:rPr>
              <w:t xml:space="preserve"> </w:t>
            </w:r>
            <w:r w:rsidRPr="003F6411">
              <w:rPr>
                <w:rFonts w:asciiTheme="majorHAnsi" w:hAnsiTheme="majorHAnsi" w:cs="Arial"/>
                <w:b w:val="0"/>
                <w:sz w:val="20"/>
                <w:szCs w:val="20"/>
                <w:lang w:val="fr-FR"/>
              </w:rPr>
              <w:t xml:space="preserve">Laura Martinez (leader), </w:t>
            </w:r>
            <w:r w:rsidR="00A41C65" w:rsidRPr="003F6411">
              <w:rPr>
                <w:rFonts w:asciiTheme="majorHAnsi" w:hAnsiTheme="majorHAnsi" w:cs="Arial"/>
                <w:b w:val="0"/>
                <w:sz w:val="20"/>
                <w:szCs w:val="20"/>
                <w:lang w:val="fr-FR"/>
              </w:rPr>
              <w:t>Dulce Infante Mata,</w:t>
            </w:r>
            <w:r w:rsidR="00E01336" w:rsidRPr="003F6411">
              <w:rPr>
                <w:rFonts w:asciiTheme="majorHAnsi" w:hAnsiTheme="majorHAnsi" w:cs="Arial"/>
                <w:b w:val="0"/>
                <w:sz w:val="20"/>
                <w:szCs w:val="20"/>
                <w:lang w:val="fr-FR"/>
              </w:rPr>
              <w:t xml:space="preserve"> </w:t>
            </w:r>
            <w:r w:rsidR="00914A1A" w:rsidRPr="003F6411">
              <w:rPr>
                <w:rFonts w:asciiTheme="majorHAnsi" w:hAnsiTheme="majorHAnsi" w:cs="Arial"/>
                <w:b w:val="0"/>
                <w:sz w:val="20"/>
                <w:szCs w:val="20"/>
                <w:lang w:val="fr-FR"/>
              </w:rPr>
              <w:t>Rubén</w:t>
            </w:r>
            <w:r w:rsidR="00E01336" w:rsidRPr="003F6411">
              <w:rPr>
                <w:rFonts w:asciiTheme="majorHAnsi" w:hAnsiTheme="majorHAnsi" w:cs="Arial"/>
                <w:b w:val="0"/>
                <w:sz w:val="20"/>
                <w:szCs w:val="20"/>
                <w:lang w:val="fr-FR"/>
              </w:rPr>
              <w:t xml:space="preserve"> </w:t>
            </w:r>
            <w:r w:rsidR="00914A1A" w:rsidRPr="003F6411">
              <w:rPr>
                <w:rFonts w:asciiTheme="majorHAnsi" w:hAnsiTheme="majorHAnsi" w:cs="Arial"/>
                <w:b w:val="0"/>
                <w:sz w:val="20"/>
                <w:szCs w:val="20"/>
                <w:lang w:val="fr-FR"/>
              </w:rPr>
              <w:t>Quintana</w:t>
            </w:r>
            <w:r w:rsidR="00E01336" w:rsidRPr="003F6411">
              <w:rPr>
                <w:rFonts w:asciiTheme="majorHAnsi" w:hAnsiTheme="majorHAnsi" w:cs="Arial"/>
                <w:b w:val="0"/>
                <w:sz w:val="20"/>
                <w:szCs w:val="20"/>
                <w:lang w:val="fr-FR"/>
              </w:rPr>
              <w:t xml:space="preserve"> </w:t>
            </w:r>
          </w:p>
        </w:tc>
      </w:tr>
      <w:tr w:rsidR="00914A1A" w:rsidRPr="00833360" w14:paraId="580CF6E7" w14:textId="77777777" w:rsidTr="00914A1A">
        <w:trPr>
          <w:jc w:val="center"/>
        </w:trPr>
        <w:tc>
          <w:tcPr>
            <w:tcW w:w="1256" w:type="pct"/>
          </w:tcPr>
          <w:p w14:paraId="1CF010FB" w14:textId="05336323" w:rsidR="00914A1A" w:rsidRPr="003F6411" w:rsidRDefault="00C139E4" w:rsidP="00914A1A">
            <w:pPr>
              <w:rPr>
                <w:rFonts w:asciiTheme="majorHAnsi" w:eastAsia="Calibri" w:hAnsiTheme="majorHAnsi" w:cs="Arial"/>
                <w:sz w:val="20"/>
                <w:szCs w:val="20"/>
                <w:lang w:val="fr-FR"/>
              </w:rPr>
            </w:pPr>
            <w:r w:rsidRPr="003F6411">
              <w:rPr>
                <w:rFonts w:asciiTheme="majorHAnsi" w:eastAsia="Calibri" w:hAnsiTheme="majorHAnsi" w:cs="Arial"/>
                <w:sz w:val="20"/>
                <w:szCs w:val="20"/>
                <w:lang w:val="fr-FR"/>
              </w:rPr>
              <w:t>Organisations participantes : [OIP/observateurs/autres]</w:t>
            </w:r>
          </w:p>
        </w:tc>
        <w:tc>
          <w:tcPr>
            <w:tcW w:w="3744" w:type="pct"/>
          </w:tcPr>
          <w:p w14:paraId="40C81CFD" w14:textId="4CB10D13" w:rsidR="00914A1A" w:rsidRPr="003F6411" w:rsidRDefault="00914A1A" w:rsidP="00DF0AF6">
            <w:pPr>
              <w:rPr>
                <w:rFonts w:asciiTheme="majorHAnsi" w:eastAsia="Calibri" w:hAnsiTheme="majorHAnsi" w:cs="Arial"/>
                <w:b w:val="0"/>
                <w:sz w:val="20"/>
                <w:szCs w:val="20"/>
                <w:lang w:val="fr-FR"/>
              </w:rPr>
            </w:pPr>
            <w:r w:rsidRPr="003F6411">
              <w:rPr>
                <w:rFonts w:asciiTheme="majorHAnsi" w:eastAsia="Calibri" w:hAnsiTheme="majorHAnsi" w:cs="Arial"/>
                <w:b w:val="0"/>
                <w:sz w:val="20"/>
                <w:szCs w:val="20"/>
                <w:lang w:val="fr-FR"/>
              </w:rPr>
              <w:t>BirdLife</w:t>
            </w:r>
            <w:r w:rsidR="00E01336" w:rsidRPr="003F6411">
              <w:rPr>
                <w:rFonts w:asciiTheme="majorHAnsi" w:eastAsia="Calibri" w:hAnsiTheme="majorHAnsi" w:cs="Arial"/>
                <w:b w:val="0"/>
                <w:sz w:val="20"/>
                <w:szCs w:val="20"/>
                <w:lang w:val="fr-FR"/>
              </w:rPr>
              <w:t xml:space="preserve"> </w:t>
            </w:r>
            <w:r w:rsidRPr="003F6411">
              <w:rPr>
                <w:rFonts w:asciiTheme="majorHAnsi" w:eastAsia="Calibri" w:hAnsiTheme="majorHAnsi" w:cs="Arial"/>
                <w:b w:val="0"/>
                <w:sz w:val="20"/>
                <w:szCs w:val="20"/>
                <w:lang w:val="fr-FR"/>
              </w:rPr>
              <w:t>International</w:t>
            </w:r>
            <w:r w:rsidR="00E01336" w:rsidRPr="003F6411">
              <w:rPr>
                <w:rFonts w:asciiTheme="majorHAnsi" w:eastAsia="Calibri" w:hAnsiTheme="majorHAnsi" w:cs="Arial"/>
                <w:b w:val="0"/>
                <w:sz w:val="20"/>
                <w:szCs w:val="20"/>
                <w:lang w:val="fr-FR"/>
              </w:rPr>
              <w:t xml:space="preserve"> </w:t>
            </w:r>
            <w:r w:rsidRPr="003F6411">
              <w:rPr>
                <w:rFonts w:asciiTheme="majorHAnsi" w:eastAsia="Calibri" w:hAnsiTheme="majorHAnsi" w:cs="Arial"/>
                <w:b w:val="0"/>
                <w:sz w:val="20"/>
                <w:szCs w:val="20"/>
                <w:lang w:val="fr-FR"/>
              </w:rPr>
              <w:t>(Zoltan</w:t>
            </w:r>
            <w:r w:rsidR="00E01336" w:rsidRPr="003F6411">
              <w:rPr>
                <w:rFonts w:asciiTheme="majorHAnsi" w:eastAsia="Calibri" w:hAnsiTheme="majorHAnsi" w:cs="Arial"/>
                <w:b w:val="0"/>
                <w:sz w:val="20"/>
                <w:szCs w:val="20"/>
                <w:lang w:val="fr-FR"/>
              </w:rPr>
              <w:t xml:space="preserve"> </w:t>
            </w:r>
            <w:r w:rsidRPr="003F6411">
              <w:rPr>
                <w:rFonts w:asciiTheme="majorHAnsi" w:eastAsia="Calibri" w:hAnsiTheme="majorHAnsi" w:cs="Arial"/>
                <w:b w:val="0"/>
                <w:sz w:val="20"/>
                <w:szCs w:val="20"/>
                <w:lang w:val="fr-FR"/>
              </w:rPr>
              <w:t>Waliczky),</w:t>
            </w:r>
            <w:r w:rsidR="00E01336" w:rsidRPr="003F6411">
              <w:rPr>
                <w:rFonts w:asciiTheme="majorHAnsi" w:eastAsia="Calibri" w:hAnsiTheme="majorHAnsi" w:cs="Arial"/>
                <w:b w:val="0"/>
                <w:sz w:val="20"/>
                <w:szCs w:val="20"/>
                <w:lang w:val="fr-FR"/>
              </w:rPr>
              <w:t xml:space="preserve"> </w:t>
            </w:r>
            <w:r w:rsidR="0081604E" w:rsidRPr="003F6411">
              <w:rPr>
                <w:rFonts w:asciiTheme="majorHAnsi" w:eastAsia="Calibri" w:hAnsiTheme="majorHAnsi" w:cs="Arial"/>
                <w:b w:val="0"/>
                <w:sz w:val="20"/>
                <w:szCs w:val="20"/>
                <w:lang w:val="fr-FR"/>
              </w:rPr>
              <w:t>UICN</w:t>
            </w:r>
            <w:r w:rsidR="00E01336" w:rsidRPr="003F6411">
              <w:rPr>
                <w:rFonts w:asciiTheme="majorHAnsi" w:eastAsia="Calibri" w:hAnsiTheme="majorHAnsi" w:cs="Arial"/>
                <w:b w:val="0"/>
                <w:sz w:val="20"/>
                <w:szCs w:val="20"/>
                <w:lang w:val="fr-FR"/>
              </w:rPr>
              <w:t xml:space="preserve"> </w:t>
            </w:r>
            <w:r w:rsidRPr="003F6411">
              <w:rPr>
                <w:rFonts w:asciiTheme="majorHAnsi" w:eastAsia="Calibri" w:hAnsiTheme="majorHAnsi" w:cs="Arial"/>
                <w:b w:val="0"/>
                <w:sz w:val="20"/>
                <w:szCs w:val="20"/>
                <w:lang w:val="fr-FR"/>
              </w:rPr>
              <w:t>(Stefano</w:t>
            </w:r>
            <w:r w:rsidR="00E01336" w:rsidRPr="003F6411">
              <w:rPr>
                <w:rFonts w:asciiTheme="majorHAnsi" w:eastAsia="Calibri" w:hAnsiTheme="majorHAnsi" w:cs="Arial"/>
                <w:b w:val="0"/>
                <w:sz w:val="20"/>
                <w:szCs w:val="20"/>
                <w:lang w:val="fr-FR"/>
              </w:rPr>
              <w:t xml:space="preserve"> </w:t>
            </w:r>
            <w:r w:rsidRPr="003F6411">
              <w:rPr>
                <w:rFonts w:asciiTheme="majorHAnsi" w:eastAsia="Calibri" w:hAnsiTheme="majorHAnsi" w:cs="Arial"/>
                <w:b w:val="0"/>
                <w:sz w:val="20"/>
                <w:szCs w:val="20"/>
                <w:lang w:val="fr-FR"/>
              </w:rPr>
              <w:t>Barchiesi),</w:t>
            </w:r>
            <w:r w:rsidR="00E01336" w:rsidRPr="003F6411">
              <w:rPr>
                <w:rFonts w:asciiTheme="majorHAnsi" w:eastAsia="Calibri" w:hAnsiTheme="majorHAnsi" w:cs="Arial"/>
                <w:b w:val="0"/>
                <w:sz w:val="20"/>
                <w:szCs w:val="20"/>
                <w:lang w:val="fr-FR"/>
              </w:rPr>
              <w:t xml:space="preserve"> </w:t>
            </w:r>
            <w:r w:rsidRPr="003F6411">
              <w:rPr>
                <w:rFonts w:asciiTheme="majorHAnsi" w:eastAsia="Calibri" w:hAnsiTheme="majorHAnsi" w:cs="Arial"/>
                <w:b w:val="0"/>
                <w:sz w:val="20"/>
                <w:szCs w:val="20"/>
                <w:lang w:val="fr-FR"/>
              </w:rPr>
              <w:t>IWMI</w:t>
            </w:r>
            <w:r w:rsidR="00E01336" w:rsidRPr="003F6411">
              <w:rPr>
                <w:rFonts w:asciiTheme="majorHAnsi" w:eastAsia="Calibri" w:hAnsiTheme="majorHAnsi" w:cs="Arial"/>
                <w:b w:val="0"/>
                <w:sz w:val="20"/>
                <w:szCs w:val="20"/>
                <w:lang w:val="fr-FR"/>
              </w:rPr>
              <w:t xml:space="preserve"> </w:t>
            </w:r>
            <w:r w:rsidRPr="003F6411">
              <w:rPr>
                <w:rFonts w:asciiTheme="majorHAnsi" w:eastAsia="Calibri" w:hAnsiTheme="majorHAnsi" w:cs="Arial"/>
                <w:b w:val="0"/>
                <w:sz w:val="20"/>
                <w:szCs w:val="20"/>
                <w:lang w:val="fr-FR"/>
              </w:rPr>
              <w:t>(Sanjiv</w:t>
            </w:r>
            <w:r w:rsidR="00E01336" w:rsidRPr="003F6411">
              <w:rPr>
                <w:rFonts w:asciiTheme="majorHAnsi" w:eastAsia="Calibri" w:hAnsiTheme="majorHAnsi" w:cs="Arial"/>
                <w:b w:val="0"/>
                <w:sz w:val="20"/>
                <w:szCs w:val="20"/>
                <w:lang w:val="fr-FR"/>
              </w:rPr>
              <w:t xml:space="preserve"> </w:t>
            </w:r>
            <w:r w:rsidRPr="003F6411">
              <w:rPr>
                <w:rFonts w:asciiTheme="majorHAnsi" w:eastAsia="Calibri" w:hAnsiTheme="majorHAnsi" w:cs="Arial"/>
                <w:b w:val="0"/>
                <w:sz w:val="20"/>
                <w:szCs w:val="20"/>
                <w:lang w:val="fr-FR"/>
              </w:rPr>
              <w:t>da</w:t>
            </w:r>
            <w:r w:rsidR="00E01336" w:rsidRPr="003F6411">
              <w:rPr>
                <w:rFonts w:asciiTheme="majorHAnsi" w:eastAsia="Calibri" w:hAnsiTheme="majorHAnsi" w:cs="Arial"/>
                <w:b w:val="0"/>
                <w:sz w:val="20"/>
                <w:szCs w:val="20"/>
                <w:lang w:val="fr-FR"/>
              </w:rPr>
              <w:t xml:space="preserve"> </w:t>
            </w:r>
            <w:r w:rsidRPr="003F6411">
              <w:rPr>
                <w:rFonts w:asciiTheme="majorHAnsi" w:eastAsia="Calibri" w:hAnsiTheme="majorHAnsi" w:cs="Arial"/>
                <w:b w:val="0"/>
                <w:sz w:val="20"/>
                <w:szCs w:val="20"/>
                <w:lang w:val="fr-FR"/>
              </w:rPr>
              <w:t>Silva),</w:t>
            </w:r>
            <w:r w:rsidR="00E01336" w:rsidRPr="003F6411">
              <w:rPr>
                <w:rFonts w:asciiTheme="majorHAnsi" w:eastAsia="Calibri" w:hAnsiTheme="majorHAnsi" w:cs="Arial"/>
                <w:b w:val="0"/>
                <w:sz w:val="20"/>
                <w:szCs w:val="20"/>
                <w:lang w:val="fr-FR"/>
              </w:rPr>
              <w:t xml:space="preserve"> </w:t>
            </w:r>
            <w:r w:rsidRPr="003F6411">
              <w:rPr>
                <w:rFonts w:asciiTheme="majorHAnsi" w:eastAsia="Calibri" w:hAnsiTheme="majorHAnsi" w:cs="Arial"/>
                <w:b w:val="0"/>
                <w:sz w:val="20"/>
                <w:szCs w:val="20"/>
                <w:lang w:val="fr-FR"/>
              </w:rPr>
              <w:t>WWF</w:t>
            </w:r>
            <w:r w:rsidR="00E01336" w:rsidRPr="003F6411">
              <w:rPr>
                <w:rFonts w:asciiTheme="majorHAnsi" w:eastAsia="Calibri" w:hAnsiTheme="majorHAnsi" w:cs="Arial"/>
                <w:b w:val="0"/>
                <w:sz w:val="20"/>
                <w:szCs w:val="20"/>
                <w:lang w:val="fr-FR"/>
              </w:rPr>
              <w:t xml:space="preserve"> </w:t>
            </w:r>
            <w:r w:rsidRPr="003F6411">
              <w:rPr>
                <w:rFonts w:asciiTheme="majorHAnsi" w:eastAsia="Calibri" w:hAnsiTheme="majorHAnsi" w:cs="Arial"/>
                <w:b w:val="0"/>
                <w:sz w:val="20"/>
                <w:szCs w:val="20"/>
                <w:lang w:val="fr-FR"/>
              </w:rPr>
              <w:t>International</w:t>
            </w:r>
            <w:r w:rsidR="00E01336" w:rsidRPr="003F6411">
              <w:rPr>
                <w:rFonts w:asciiTheme="majorHAnsi" w:eastAsia="Calibri" w:hAnsiTheme="majorHAnsi" w:cs="Arial"/>
                <w:b w:val="0"/>
                <w:sz w:val="20"/>
                <w:szCs w:val="20"/>
                <w:lang w:val="fr-FR"/>
              </w:rPr>
              <w:t xml:space="preserve"> </w:t>
            </w:r>
            <w:r w:rsidRPr="003F6411">
              <w:rPr>
                <w:rFonts w:asciiTheme="majorHAnsi" w:eastAsia="Calibri" w:hAnsiTheme="majorHAnsi" w:cs="Arial"/>
                <w:b w:val="0"/>
                <w:sz w:val="20"/>
                <w:szCs w:val="20"/>
                <w:lang w:val="fr-FR"/>
              </w:rPr>
              <w:t>(Denis</w:t>
            </w:r>
            <w:r w:rsidR="00E01336" w:rsidRPr="003F6411">
              <w:rPr>
                <w:rFonts w:asciiTheme="majorHAnsi" w:eastAsia="Calibri" w:hAnsiTheme="majorHAnsi" w:cs="Arial"/>
                <w:b w:val="0"/>
                <w:sz w:val="20"/>
                <w:szCs w:val="20"/>
                <w:lang w:val="fr-FR"/>
              </w:rPr>
              <w:t xml:space="preserve"> </w:t>
            </w:r>
            <w:r w:rsidRPr="003F6411">
              <w:rPr>
                <w:rFonts w:asciiTheme="majorHAnsi" w:eastAsia="Calibri" w:hAnsiTheme="majorHAnsi" w:cs="Arial"/>
                <w:b w:val="0"/>
                <w:sz w:val="20"/>
                <w:szCs w:val="20"/>
                <w:lang w:val="fr-FR"/>
              </w:rPr>
              <w:t>Landenbergue,</w:t>
            </w:r>
            <w:r w:rsidR="00E01336" w:rsidRPr="003F6411">
              <w:rPr>
                <w:rFonts w:asciiTheme="majorHAnsi" w:eastAsia="Calibri" w:hAnsiTheme="majorHAnsi" w:cs="Arial"/>
                <w:b w:val="0"/>
                <w:sz w:val="20"/>
                <w:szCs w:val="20"/>
                <w:lang w:val="fr-FR"/>
              </w:rPr>
              <w:t xml:space="preserve"> </w:t>
            </w:r>
            <w:r w:rsidRPr="003F6411">
              <w:rPr>
                <w:rFonts w:asciiTheme="majorHAnsi" w:eastAsia="Calibri" w:hAnsiTheme="majorHAnsi" w:cs="Arial"/>
                <w:b w:val="0"/>
                <w:sz w:val="20"/>
                <w:szCs w:val="20"/>
                <w:lang w:val="fr-FR"/>
              </w:rPr>
              <w:t>Lifeng</w:t>
            </w:r>
            <w:r w:rsidR="00E01336" w:rsidRPr="003F6411">
              <w:rPr>
                <w:rFonts w:asciiTheme="majorHAnsi" w:eastAsia="Calibri" w:hAnsiTheme="majorHAnsi" w:cs="Arial"/>
                <w:b w:val="0"/>
                <w:sz w:val="20"/>
                <w:szCs w:val="20"/>
                <w:lang w:val="fr-FR"/>
              </w:rPr>
              <w:t xml:space="preserve"> </w:t>
            </w:r>
            <w:r w:rsidRPr="003F6411">
              <w:rPr>
                <w:rFonts w:asciiTheme="majorHAnsi" w:eastAsia="Calibri" w:hAnsiTheme="majorHAnsi" w:cs="Arial"/>
                <w:b w:val="0"/>
                <w:sz w:val="20"/>
                <w:szCs w:val="20"/>
                <w:lang w:val="fr-FR"/>
              </w:rPr>
              <w:t>Li)/</w:t>
            </w:r>
            <w:r w:rsidR="00E01336" w:rsidRPr="003F6411">
              <w:rPr>
                <w:rFonts w:asciiTheme="majorHAnsi" w:eastAsia="Calibri" w:hAnsiTheme="majorHAnsi" w:cs="Arial"/>
                <w:b w:val="0"/>
                <w:sz w:val="20"/>
                <w:szCs w:val="20"/>
                <w:lang w:val="fr-FR"/>
              </w:rPr>
              <w:t xml:space="preserve"> </w:t>
            </w:r>
            <w:r w:rsidRPr="003F6411">
              <w:rPr>
                <w:rFonts w:asciiTheme="majorHAnsi" w:eastAsia="Calibri" w:hAnsiTheme="majorHAnsi" w:cs="Arial"/>
                <w:b w:val="0"/>
                <w:sz w:val="20"/>
                <w:szCs w:val="20"/>
                <w:lang w:val="fr-FR"/>
              </w:rPr>
              <w:t>SWS</w:t>
            </w:r>
            <w:r w:rsidR="00E01336" w:rsidRPr="003F6411">
              <w:rPr>
                <w:rFonts w:asciiTheme="majorHAnsi" w:eastAsia="Calibri" w:hAnsiTheme="majorHAnsi" w:cs="Arial"/>
                <w:b w:val="0"/>
                <w:sz w:val="20"/>
                <w:szCs w:val="20"/>
                <w:lang w:val="fr-FR"/>
              </w:rPr>
              <w:t xml:space="preserve"> </w:t>
            </w:r>
            <w:r w:rsidRPr="003F6411">
              <w:rPr>
                <w:rFonts w:asciiTheme="majorHAnsi" w:eastAsia="Calibri" w:hAnsiTheme="majorHAnsi" w:cs="Arial"/>
                <w:b w:val="0"/>
                <w:sz w:val="20"/>
                <w:szCs w:val="20"/>
                <w:lang w:val="fr-FR"/>
              </w:rPr>
              <w:t>(Nick</w:t>
            </w:r>
            <w:r w:rsidR="00E01336" w:rsidRPr="003F6411">
              <w:rPr>
                <w:rFonts w:asciiTheme="majorHAnsi" w:eastAsia="Calibri" w:hAnsiTheme="majorHAnsi" w:cs="Arial"/>
                <w:b w:val="0"/>
                <w:sz w:val="20"/>
                <w:szCs w:val="20"/>
                <w:lang w:val="fr-FR"/>
              </w:rPr>
              <w:t xml:space="preserve"> </w:t>
            </w:r>
            <w:r w:rsidRPr="003F6411">
              <w:rPr>
                <w:rFonts w:asciiTheme="majorHAnsi" w:eastAsia="Calibri" w:hAnsiTheme="majorHAnsi" w:cs="Arial"/>
                <w:b w:val="0"/>
                <w:sz w:val="20"/>
                <w:szCs w:val="20"/>
                <w:lang w:val="fr-FR"/>
              </w:rPr>
              <w:t>Davidson),</w:t>
            </w:r>
            <w:r w:rsidR="00E01336" w:rsidRPr="003F6411">
              <w:rPr>
                <w:rFonts w:asciiTheme="majorHAnsi" w:eastAsia="Calibri" w:hAnsiTheme="majorHAnsi" w:cs="Arial"/>
                <w:b w:val="0"/>
                <w:sz w:val="20"/>
                <w:szCs w:val="20"/>
                <w:lang w:val="fr-FR"/>
              </w:rPr>
              <w:t xml:space="preserve"> </w:t>
            </w:r>
            <w:r w:rsidRPr="003F6411">
              <w:rPr>
                <w:rFonts w:asciiTheme="majorHAnsi" w:eastAsia="Calibri" w:hAnsiTheme="majorHAnsi" w:cs="Arial"/>
                <w:b w:val="0"/>
                <w:sz w:val="20"/>
                <w:szCs w:val="20"/>
                <w:lang w:val="fr-FR"/>
              </w:rPr>
              <w:t>UNESCO-IHE</w:t>
            </w:r>
            <w:r w:rsidR="00E01336" w:rsidRPr="003F6411">
              <w:rPr>
                <w:rFonts w:asciiTheme="majorHAnsi" w:eastAsia="Calibri" w:hAnsiTheme="majorHAnsi" w:cs="Arial"/>
                <w:b w:val="0"/>
                <w:sz w:val="20"/>
                <w:szCs w:val="20"/>
                <w:lang w:val="fr-FR"/>
              </w:rPr>
              <w:t xml:space="preserve"> </w:t>
            </w:r>
            <w:r w:rsidRPr="003F6411">
              <w:rPr>
                <w:rFonts w:asciiTheme="majorHAnsi" w:eastAsia="Calibri" w:hAnsiTheme="majorHAnsi" w:cs="Arial"/>
                <w:b w:val="0"/>
                <w:sz w:val="20"/>
                <w:szCs w:val="20"/>
                <w:lang w:val="fr-FR"/>
              </w:rPr>
              <w:t>(Anne</w:t>
            </w:r>
            <w:r w:rsidR="00E01336" w:rsidRPr="003F6411">
              <w:rPr>
                <w:rFonts w:asciiTheme="majorHAnsi" w:eastAsia="Calibri" w:hAnsiTheme="majorHAnsi" w:cs="Arial"/>
                <w:b w:val="0"/>
                <w:sz w:val="20"/>
                <w:szCs w:val="20"/>
                <w:lang w:val="fr-FR"/>
              </w:rPr>
              <w:t xml:space="preserve"> </w:t>
            </w:r>
            <w:r w:rsidRPr="003F6411">
              <w:rPr>
                <w:rFonts w:asciiTheme="majorHAnsi" w:eastAsia="Calibri" w:hAnsiTheme="majorHAnsi" w:cs="Arial"/>
                <w:b w:val="0"/>
                <w:sz w:val="20"/>
                <w:szCs w:val="20"/>
                <w:lang w:val="fr-FR"/>
              </w:rPr>
              <w:t>van</w:t>
            </w:r>
            <w:r w:rsidR="00E01336" w:rsidRPr="003F6411">
              <w:rPr>
                <w:rFonts w:asciiTheme="majorHAnsi" w:eastAsia="Calibri" w:hAnsiTheme="majorHAnsi" w:cs="Arial"/>
                <w:b w:val="0"/>
                <w:sz w:val="20"/>
                <w:szCs w:val="20"/>
                <w:lang w:val="fr-FR"/>
              </w:rPr>
              <w:t xml:space="preserve"> </w:t>
            </w:r>
            <w:r w:rsidRPr="003F6411">
              <w:rPr>
                <w:rFonts w:asciiTheme="majorHAnsi" w:eastAsia="Calibri" w:hAnsiTheme="majorHAnsi" w:cs="Arial"/>
                <w:b w:val="0"/>
                <w:sz w:val="20"/>
                <w:szCs w:val="20"/>
                <w:lang w:val="fr-FR"/>
              </w:rPr>
              <w:t>Dam)/</w:t>
            </w:r>
            <w:r w:rsidR="0081604E" w:rsidRPr="003F6411">
              <w:rPr>
                <w:rFonts w:asciiTheme="majorHAnsi" w:eastAsia="Calibri" w:hAnsiTheme="majorHAnsi" w:cs="Arial"/>
                <w:b w:val="0"/>
                <w:sz w:val="20"/>
                <w:szCs w:val="20"/>
                <w:lang w:val="fr-FR"/>
              </w:rPr>
              <w:t>CN GEST Malaisie</w:t>
            </w:r>
            <w:r w:rsidR="00E01336" w:rsidRPr="003F6411">
              <w:rPr>
                <w:rFonts w:asciiTheme="majorHAnsi" w:eastAsia="Calibri" w:hAnsiTheme="majorHAnsi" w:cs="Arial"/>
                <w:b w:val="0"/>
                <w:sz w:val="20"/>
                <w:szCs w:val="20"/>
                <w:lang w:val="fr-FR"/>
              </w:rPr>
              <w:t xml:space="preserve"> </w:t>
            </w:r>
            <w:r w:rsidRPr="003F6411">
              <w:rPr>
                <w:rFonts w:asciiTheme="majorHAnsi" w:eastAsia="Calibri" w:hAnsiTheme="majorHAnsi" w:cs="Arial"/>
                <w:b w:val="0"/>
                <w:sz w:val="20"/>
                <w:szCs w:val="20"/>
                <w:lang w:val="fr-FR"/>
              </w:rPr>
              <w:t>(</w:t>
            </w:r>
            <w:r w:rsidRPr="003F6411">
              <w:rPr>
                <w:rFonts w:asciiTheme="majorHAnsi" w:hAnsiTheme="majorHAnsi" w:cs="Arial"/>
                <w:b w:val="0"/>
                <w:sz w:val="20"/>
                <w:szCs w:val="20"/>
                <w:lang w:val="fr-FR"/>
              </w:rPr>
              <w:t>Abdullah</w:t>
            </w:r>
            <w:r w:rsidR="00E01336" w:rsidRPr="003F6411">
              <w:rPr>
                <w:rFonts w:asciiTheme="majorHAnsi" w:hAnsiTheme="majorHAnsi" w:cs="Arial"/>
                <w:b w:val="0"/>
                <w:sz w:val="20"/>
                <w:szCs w:val="20"/>
                <w:lang w:val="fr-FR"/>
              </w:rPr>
              <w:t xml:space="preserve"> </w:t>
            </w:r>
            <w:r w:rsidRPr="003F6411">
              <w:rPr>
                <w:rFonts w:asciiTheme="majorHAnsi" w:hAnsiTheme="majorHAnsi" w:cs="Arial"/>
                <w:b w:val="0"/>
                <w:sz w:val="20"/>
                <w:szCs w:val="20"/>
                <w:lang w:val="fr-FR"/>
              </w:rPr>
              <w:t>Rahman</w:t>
            </w:r>
            <w:r w:rsidR="00DF0AF6" w:rsidRPr="003F6411">
              <w:rPr>
                <w:rFonts w:asciiTheme="majorHAnsi" w:hAnsiTheme="majorHAnsi" w:cs="Arial"/>
                <w:b w:val="0"/>
                <w:sz w:val="20"/>
                <w:szCs w:val="20"/>
                <w:lang w:val="fr-FR"/>
              </w:rPr>
              <w:t xml:space="preserve"> Kassim</w:t>
            </w:r>
            <w:r w:rsidRPr="003F6411">
              <w:rPr>
                <w:rFonts w:asciiTheme="majorHAnsi" w:hAnsiTheme="majorHAnsi" w:cs="Arial"/>
                <w:b w:val="0"/>
                <w:sz w:val="20"/>
                <w:szCs w:val="20"/>
                <w:lang w:val="fr-FR"/>
              </w:rPr>
              <w:t>)</w:t>
            </w:r>
          </w:p>
        </w:tc>
      </w:tr>
    </w:tbl>
    <w:p w14:paraId="0468EE1D" w14:textId="77777777" w:rsidR="00914A1A" w:rsidRPr="003F6411" w:rsidRDefault="00914A1A" w:rsidP="00914A1A">
      <w:pPr>
        <w:rPr>
          <w:rFonts w:asciiTheme="majorHAnsi" w:hAnsiTheme="majorHAnsi" w:cs="Arial"/>
          <w:sz w:val="20"/>
          <w:szCs w:val="20"/>
          <w:lang w:val="fr-FR"/>
        </w:rPr>
      </w:pPr>
    </w:p>
    <w:tbl>
      <w:tblPr>
        <w:tblStyle w:val="TableGrid3"/>
        <w:tblW w:w="5030" w:type="pct"/>
        <w:tblInd w:w="-85" w:type="dxa"/>
        <w:tblLayout w:type="fixed"/>
        <w:tblCellMar>
          <w:top w:w="57" w:type="dxa"/>
          <w:left w:w="57" w:type="dxa"/>
          <w:bottom w:w="57" w:type="dxa"/>
          <w:right w:w="57" w:type="dxa"/>
        </w:tblCellMar>
        <w:tblLook w:val="04A0" w:firstRow="1" w:lastRow="0" w:firstColumn="1" w:lastColumn="0" w:noHBand="0" w:noVBand="1"/>
      </w:tblPr>
      <w:tblGrid>
        <w:gridCol w:w="1452"/>
        <w:gridCol w:w="849"/>
        <w:gridCol w:w="1019"/>
        <w:gridCol w:w="1099"/>
        <w:gridCol w:w="8338"/>
        <w:gridCol w:w="1399"/>
      </w:tblGrid>
      <w:tr w:rsidR="00E01336" w:rsidRPr="00565A19" w14:paraId="1580BDD2" w14:textId="77777777" w:rsidTr="00C139E4">
        <w:trPr>
          <w:tblHeader/>
        </w:trPr>
        <w:tc>
          <w:tcPr>
            <w:tcW w:w="513" w:type="pct"/>
            <w:shd w:val="clear" w:color="auto" w:fill="D9D9D9" w:themeFill="background1" w:themeFillShade="D9"/>
          </w:tcPr>
          <w:p w14:paraId="4A00CA4A" w14:textId="6B73AD73" w:rsidR="00914A1A" w:rsidRPr="00565A19" w:rsidRDefault="00C139E4" w:rsidP="00914A1A">
            <w:pPr>
              <w:jc w:val="center"/>
              <w:rPr>
                <w:rFonts w:asciiTheme="majorHAnsi" w:hAnsiTheme="majorHAnsi" w:cs="Arial"/>
                <w:sz w:val="20"/>
                <w:szCs w:val="20"/>
                <w:lang w:val="fr-CA"/>
              </w:rPr>
            </w:pPr>
            <w:r w:rsidRPr="00565A19">
              <w:rPr>
                <w:rFonts w:asciiTheme="majorHAnsi" w:hAnsiTheme="majorHAnsi" w:cs="Arial"/>
                <w:sz w:val="20"/>
                <w:szCs w:val="20"/>
                <w:lang w:val="fr-CA"/>
              </w:rPr>
              <w:t>N</w:t>
            </w:r>
            <w:r w:rsidRPr="00565A19">
              <w:rPr>
                <w:rFonts w:asciiTheme="majorHAnsi" w:hAnsiTheme="majorHAnsi" w:cs="Arial"/>
                <w:sz w:val="20"/>
                <w:szCs w:val="20"/>
                <w:vertAlign w:val="superscript"/>
                <w:lang w:val="fr-CA"/>
              </w:rPr>
              <w:t>o</w:t>
            </w:r>
            <w:r w:rsidRPr="00565A19">
              <w:rPr>
                <w:rFonts w:asciiTheme="majorHAnsi" w:hAnsiTheme="majorHAnsi" w:cs="Arial"/>
                <w:sz w:val="20"/>
                <w:szCs w:val="20"/>
                <w:lang w:val="fr-CA"/>
              </w:rPr>
              <w:t xml:space="preserve"> de tâche, titre</w:t>
            </w:r>
          </w:p>
        </w:tc>
        <w:tc>
          <w:tcPr>
            <w:tcW w:w="300" w:type="pct"/>
            <w:shd w:val="clear" w:color="auto" w:fill="D9D9D9" w:themeFill="background1" w:themeFillShade="D9"/>
          </w:tcPr>
          <w:p w14:paraId="1B5D4B15" w14:textId="456841CD" w:rsidR="00914A1A" w:rsidRPr="00565A19" w:rsidRDefault="00C139E4" w:rsidP="00914A1A">
            <w:pPr>
              <w:jc w:val="center"/>
              <w:rPr>
                <w:rFonts w:asciiTheme="majorHAnsi" w:hAnsiTheme="majorHAnsi" w:cs="Arial"/>
                <w:sz w:val="20"/>
                <w:szCs w:val="20"/>
                <w:lang w:val="fr-CA"/>
              </w:rPr>
            </w:pPr>
            <w:r w:rsidRPr="00565A19">
              <w:rPr>
                <w:rFonts w:asciiTheme="majorHAnsi" w:hAnsiTheme="majorHAnsi" w:cs="Arial"/>
                <w:sz w:val="20"/>
                <w:szCs w:val="20"/>
                <w:lang w:val="fr-CA"/>
              </w:rPr>
              <w:t>Priorité</w:t>
            </w:r>
          </w:p>
        </w:tc>
        <w:tc>
          <w:tcPr>
            <w:tcW w:w="360" w:type="pct"/>
            <w:shd w:val="clear" w:color="auto" w:fill="D9D9D9" w:themeFill="background1" w:themeFillShade="D9"/>
          </w:tcPr>
          <w:p w14:paraId="65162211" w14:textId="675702E5" w:rsidR="00914A1A" w:rsidRPr="00565A19" w:rsidRDefault="00C139E4" w:rsidP="00914A1A">
            <w:pPr>
              <w:jc w:val="center"/>
              <w:rPr>
                <w:rFonts w:asciiTheme="majorHAnsi" w:hAnsiTheme="majorHAnsi" w:cs="Arial"/>
                <w:sz w:val="20"/>
                <w:szCs w:val="20"/>
                <w:lang w:val="fr-CA"/>
              </w:rPr>
            </w:pPr>
            <w:r w:rsidRPr="00565A19">
              <w:rPr>
                <w:rFonts w:asciiTheme="majorHAnsi" w:hAnsiTheme="majorHAnsi" w:cs="Arial"/>
                <w:sz w:val="20"/>
                <w:szCs w:val="20"/>
                <w:lang w:val="fr-CA"/>
              </w:rPr>
              <w:t>Résolution</w:t>
            </w:r>
          </w:p>
        </w:tc>
        <w:tc>
          <w:tcPr>
            <w:tcW w:w="388" w:type="pct"/>
            <w:shd w:val="clear" w:color="auto" w:fill="D9D9D9" w:themeFill="background1" w:themeFillShade="D9"/>
          </w:tcPr>
          <w:p w14:paraId="1D25E448" w14:textId="5EDAD656" w:rsidR="00914A1A" w:rsidRPr="00565A19" w:rsidRDefault="00C139E4" w:rsidP="00914A1A">
            <w:pPr>
              <w:jc w:val="center"/>
              <w:rPr>
                <w:rFonts w:asciiTheme="majorHAnsi" w:hAnsiTheme="majorHAnsi" w:cs="Arial"/>
                <w:sz w:val="20"/>
                <w:szCs w:val="20"/>
                <w:lang w:val="fr-CA"/>
              </w:rPr>
            </w:pPr>
            <w:r w:rsidRPr="00565A19">
              <w:rPr>
                <w:rFonts w:asciiTheme="majorHAnsi" w:eastAsia="Calibri" w:hAnsiTheme="majorHAnsi" w:cs="Arial"/>
                <w:sz w:val="20"/>
                <w:szCs w:val="20"/>
                <w:lang w:val="fr-CA"/>
              </w:rPr>
              <w:t>But et objectif PS</w:t>
            </w:r>
          </w:p>
        </w:tc>
        <w:tc>
          <w:tcPr>
            <w:tcW w:w="2945" w:type="pct"/>
            <w:shd w:val="clear" w:color="auto" w:fill="D9D9D9" w:themeFill="background1" w:themeFillShade="D9"/>
          </w:tcPr>
          <w:p w14:paraId="51B36C88" w14:textId="1185AAAA" w:rsidR="00914A1A" w:rsidRPr="00565A19" w:rsidRDefault="00C139E4" w:rsidP="00914A1A">
            <w:pPr>
              <w:jc w:val="center"/>
              <w:rPr>
                <w:rFonts w:asciiTheme="majorHAnsi" w:hAnsiTheme="majorHAnsi" w:cs="Arial"/>
                <w:sz w:val="20"/>
                <w:szCs w:val="20"/>
                <w:lang w:val="fr-CA"/>
              </w:rPr>
            </w:pPr>
            <w:r w:rsidRPr="00565A19">
              <w:rPr>
                <w:rFonts w:asciiTheme="majorHAnsi" w:hAnsiTheme="majorHAnsi" w:cs="Arial"/>
                <w:sz w:val="20"/>
                <w:szCs w:val="20"/>
                <w:lang w:val="fr-CA"/>
              </w:rPr>
              <w:t>Description de tâche, public ciblé et résultats escomptés</w:t>
            </w:r>
          </w:p>
        </w:tc>
        <w:tc>
          <w:tcPr>
            <w:tcW w:w="494" w:type="pct"/>
            <w:shd w:val="clear" w:color="auto" w:fill="D9D9D9" w:themeFill="background1" w:themeFillShade="D9"/>
          </w:tcPr>
          <w:p w14:paraId="6B577718" w14:textId="7EEA8197" w:rsidR="00914A1A" w:rsidRPr="00565A19" w:rsidRDefault="00C139E4" w:rsidP="00914A1A">
            <w:pPr>
              <w:jc w:val="center"/>
              <w:rPr>
                <w:rFonts w:asciiTheme="majorHAnsi" w:hAnsiTheme="majorHAnsi" w:cs="Arial"/>
                <w:sz w:val="20"/>
                <w:szCs w:val="20"/>
                <w:lang w:val="fr-CA"/>
              </w:rPr>
            </w:pPr>
            <w:r w:rsidRPr="00565A19">
              <w:rPr>
                <w:rFonts w:asciiTheme="majorHAnsi" w:hAnsiTheme="majorHAnsi" w:cs="Arial"/>
                <w:sz w:val="20"/>
                <w:szCs w:val="20"/>
                <w:lang w:val="fr-CA"/>
              </w:rPr>
              <w:t>Coûts</w:t>
            </w:r>
            <w:r w:rsidR="00E01336" w:rsidRPr="00565A19">
              <w:rPr>
                <w:rFonts w:asciiTheme="majorHAnsi" w:hAnsiTheme="majorHAnsi" w:cs="Arial"/>
                <w:sz w:val="20"/>
                <w:szCs w:val="20"/>
                <w:lang w:val="fr-CA"/>
              </w:rPr>
              <w:t xml:space="preserve"> </w:t>
            </w:r>
            <w:r w:rsidR="00914A1A" w:rsidRPr="00565A19">
              <w:rPr>
                <w:rFonts w:asciiTheme="majorHAnsi" w:hAnsiTheme="majorHAnsi" w:cs="Arial"/>
                <w:sz w:val="20"/>
                <w:szCs w:val="20"/>
                <w:lang w:val="fr-CA"/>
              </w:rPr>
              <w:t>CHF</w:t>
            </w:r>
          </w:p>
        </w:tc>
      </w:tr>
      <w:tr w:rsidR="00E01336" w:rsidRPr="00565A19" w14:paraId="610EAD5E" w14:textId="77777777" w:rsidTr="00C139E4">
        <w:tc>
          <w:tcPr>
            <w:tcW w:w="513" w:type="pct"/>
          </w:tcPr>
          <w:p w14:paraId="06FEDC90" w14:textId="39D1B6A6" w:rsidR="00914A1A" w:rsidRPr="00565A19" w:rsidRDefault="00914A1A" w:rsidP="007247E2">
            <w:pPr>
              <w:rPr>
                <w:rFonts w:asciiTheme="majorHAnsi" w:hAnsiTheme="majorHAnsi" w:cs="Arial"/>
                <w:b w:val="0"/>
                <w:sz w:val="20"/>
                <w:szCs w:val="20"/>
                <w:lang w:val="fr-CA"/>
              </w:rPr>
            </w:pPr>
            <w:r w:rsidRPr="00565A19">
              <w:rPr>
                <w:rFonts w:asciiTheme="majorHAnsi" w:hAnsiTheme="majorHAnsi" w:cs="Arial"/>
                <w:b w:val="0"/>
                <w:sz w:val="20"/>
                <w:szCs w:val="20"/>
                <w:lang w:val="fr-CA"/>
              </w:rPr>
              <w:t>4.1</w:t>
            </w:r>
            <w:r w:rsidR="00E01336" w:rsidRPr="00565A19">
              <w:rPr>
                <w:rFonts w:asciiTheme="majorHAnsi" w:hAnsiTheme="majorHAnsi" w:cs="Arial"/>
                <w:b w:val="0"/>
                <w:sz w:val="20"/>
                <w:szCs w:val="20"/>
                <w:lang w:val="fr-CA"/>
              </w:rPr>
              <w:t xml:space="preserve"> </w:t>
            </w:r>
            <w:r w:rsidR="0081604E" w:rsidRPr="00565A19">
              <w:rPr>
                <w:rFonts w:asciiTheme="majorHAnsi" w:hAnsiTheme="majorHAnsi" w:cs="Arial"/>
                <w:b w:val="0"/>
                <w:sz w:val="20"/>
                <w:szCs w:val="20"/>
                <w:lang w:val="fr-CA"/>
              </w:rPr>
              <w:t xml:space="preserve">Besoins en eau </w:t>
            </w:r>
            <w:r w:rsidR="007247E2" w:rsidRPr="00565A19">
              <w:rPr>
                <w:rFonts w:asciiTheme="majorHAnsi" w:hAnsiTheme="majorHAnsi" w:cs="Arial"/>
                <w:b w:val="0"/>
                <w:sz w:val="20"/>
                <w:szCs w:val="20"/>
                <w:lang w:val="fr-CA"/>
              </w:rPr>
              <w:t>des</w:t>
            </w:r>
            <w:r w:rsidR="0081604E" w:rsidRPr="00565A19">
              <w:rPr>
                <w:rFonts w:asciiTheme="majorHAnsi" w:hAnsiTheme="majorHAnsi" w:cs="Arial"/>
                <w:b w:val="0"/>
                <w:sz w:val="20"/>
                <w:szCs w:val="20"/>
                <w:lang w:val="fr-CA"/>
              </w:rPr>
              <w:t xml:space="preserve"> zones humides</w:t>
            </w:r>
          </w:p>
        </w:tc>
        <w:tc>
          <w:tcPr>
            <w:tcW w:w="300" w:type="pct"/>
          </w:tcPr>
          <w:p w14:paraId="7A60276C" w14:textId="62962299" w:rsidR="00914A1A" w:rsidRPr="00565A19" w:rsidRDefault="008E6B37" w:rsidP="00914A1A">
            <w:pPr>
              <w:rPr>
                <w:rFonts w:asciiTheme="majorHAnsi" w:hAnsiTheme="majorHAnsi" w:cs="Arial"/>
                <w:b w:val="0"/>
                <w:sz w:val="20"/>
                <w:szCs w:val="20"/>
                <w:lang w:val="fr-CA"/>
              </w:rPr>
            </w:pPr>
            <w:r>
              <w:rPr>
                <w:rFonts w:asciiTheme="majorHAnsi" w:hAnsiTheme="majorHAnsi" w:cs="Arial"/>
                <w:b w:val="0"/>
                <w:sz w:val="20"/>
                <w:szCs w:val="20"/>
                <w:lang w:val="fr-CA"/>
              </w:rPr>
              <w:t>Très haute</w:t>
            </w:r>
          </w:p>
        </w:tc>
        <w:tc>
          <w:tcPr>
            <w:tcW w:w="360" w:type="pct"/>
          </w:tcPr>
          <w:p w14:paraId="55D55364" w14:textId="7D29E77C" w:rsidR="00914A1A" w:rsidRPr="00565A19" w:rsidRDefault="00914A1A" w:rsidP="00914A1A">
            <w:pPr>
              <w:rPr>
                <w:rFonts w:asciiTheme="majorHAnsi" w:hAnsiTheme="majorHAnsi" w:cs="Arial"/>
                <w:b w:val="0"/>
                <w:sz w:val="20"/>
                <w:szCs w:val="20"/>
                <w:lang w:val="fr-CA"/>
              </w:rPr>
            </w:pPr>
            <w:r w:rsidRPr="00565A19">
              <w:rPr>
                <w:rFonts w:asciiTheme="majorHAnsi" w:hAnsiTheme="majorHAnsi" w:cs="Arial"/>
                <w:b w:val="0"/>
                <w:sz w:val="20"/>
                <w:szCs w:val="20"/>
                <w:lang w:val="fr-CA"/>
              </w:rPr>
              <w:t>XII.12</w:t>
            </w:r>
            <w:r w:rsidR="00D60BFE" w:rsidRPr="00565A19">
              <w:rPr>
                <w:rFonts w:asciiTheme="majorHAnsi" w:hAnsiTheme="majorHAnsi" w:cs="Arial"/>
                <w:b w:val="0"/>
                <w:sz w:val="20"/>
                <w:szCs w:val="20"/>
                <w:lang w:val="fr-CA"/>
              </w:rPr>
              <w:t xml:space="preserve">, </w:t>
            </w:r>
            <w:r w:rsidR="00D60BFE" w:rsidRPr="00565A19">
              <w:rPr>
                <w:rFonts w:ascii="Calibri" w:hAnsi="Calibri" w:cs="Arial"/>
                <w:b w:val="0"/>
                <w:sz w:val="20"/>
                <w:szCs w:val="20"/>
                <w:lang w:val="fr-CA"/>
              </w:rPr>
              <w:t>¶</w:t>
            </w:r>
            <w:r w:rsidR="00D60BFE" w:rsidRPr="00565A19">
              <w:rPr>
                <w:rFonts w:asciiTheme="majorHAnsi" w:hAnsiTheme="majorHAnsi" w:cs="Arial"/>
                <w:b w:val="0"/>
                <w:sz w:val="20"/>
                <w:szCs w:val="20"/>
                <w:lang w:val="fr-CA"/>
              </w:rPr>
              <w:t xml:space="preserve"> 24</w:t>
            </w:r>
          </w:p>
        </w:tc>
        <w:tc>
          <w:tcPr>
            <w:tcW w:w="388" w:type="pct"/>
          </w:tcPr>
          <w:p w14:paraId="73ED1897" w14:textId="315D104C" w:rsidR="00914A1A" w:rsidRPr="00565A19" w:rsidRDefault="00D60BFE" w:rsidP="00914A1A">
            <w:pPr>
              <w:rPr>
                <w:rFonts w:asciiTheme="majorHAnsi" w:hAnsiTheme="majorHAnsi" w:cs="Arial"/>
                <w:b w:val="0"/>
                <w:sz w:val="20"/>
                <w:szCs w:val="20"/>
                <w:lang w:val="fr-CA"/>
              </w:rPr>
            </w:pPr>
            <w:r w:rsidRPr="00565A19">
              <w:rPr>
                <w:rFonts w:asciiTheme="majorHAnsi" w:hAnsiTheme="majorHAnsi" w:cs="Arial"/>
                <w:b w:val="0"/>
                <w:sz w:val="20"/>
                <w:szCs w:val="20"/>
                <w:lang w:val="fr-CA"/>
              </w:rPr>
              <w:t>1.1, 1.2, 1.3; 2.5; 3.8, 3.9, 3.11, 3.12, 3.13; 4.14</w:t>
            </w:r>
          </w:p>
        </w:tc>
        <w:tc>
          <w:tcPr>
            <w:tcW w:w="2945" w:type="pct"/>
          </w:tcPr>
          <w:p w14:paraId="25236FA8" w14:textId="29CF2832" w:rsidR="00914A1A" w:rsidRPr="00565A19" w:rsidRDefault="00931645" w:rsidP="00914A1A">
            <w:pPr>
              <w:rPr>
                <w:rFonts w:asciiTheme="majorHAnsi" w:hAnsiTheme="majorHAnsi" w:cs="Arial"/>
                <w:b w:val="0"/>
                <w:sz w:val="20"/>
                <w:szCs w:val="20"/>
                <w:lang w:val="fr-CA"/>
              </w:rPr>
            </w:pPr>
            <w:r w:rsidRPr="00565A19">
              <w:rPr>
                <w:rFonts w:asciiTheme="majorHAnsi" w:hAnsiTheme="majorHAnsi" w:cs="Arial"/>
                <w:b w:val="0"/>
                <w:sz w:val="20"/>
                <w:szCs w:val="20"/>
                <w:u w:val="single"/>
                <w:lang w:val="fr-CA"/>
              </w:rPr>
              <w:t>Description de tâche</w:t>
            </w:r>
            <w:r w:rsidRPr="00565A19">
              <w:rPr>
                <w:rFonts w:asciiTheme="majorHAnsi" w:hAnsiTheme="majorHAnsi" w:cs="Arial"/>
                <w:b w:val="0"/>
                <w:sz w:val="20"/>
                <w:szCs w:val="20"/>
                <w:lang w:val="fr-CA"/>
              </w:rPr>
              <w:t xml:space="preserve"> : </w:t>
            </w:r>
            <w:r w:rsidR="0081604E" w:rsidRPr="00565A19">
              <w:rPr>
                <w:rFonts w:asciiTheme="majorHAnsi" w:hAnsiTheme="majorHAnsi" w:cs="Arial"/>
                <w:b w:val="0"/>
                <w:sz w:val="20"/>
                <w:szCs w:val="20"/>
                <w:lang w:val="fr-CA"/>
              </w:rPr>
              <w:t xml:space="preserve">Élaborer un rapport technique </w:t>
            </w:r>
            <w:r w:rsidR="008E6B37">
              <w:rPr>
                <w:rFonts w:asciiTheme="majorHAnsi" w:hAnsiTheme="majorHAnsi" w:cs="Arial"/>
                <w:b w:val="0"/>
                <w:sz w:val="20"/>
                <w:szCs w:val="20"/>
                <w:lang w:val="fr-CA"/>
              </w:rPr>
              <w:t xml:space="preserve">conjoint avec le WWF, </w:t>
            </w:r>
            <w:r w:rsidR="00485A40">
              <w:rPr>
                <w:rFonts w:asciiTheme="majorHAnsi" w:hAnsiTheme="majorHAnsi" w:cs="Arial"/>
                <w:b w:val="0"/>
                <w:sz w:val="20"/>
                <w:szCs w:val="20"/>
                <w:lang w:val="fr-CA"/>
              </w:rPr>
              <w:t xml:space="preserve">qui traitera des approches d’évaluation des besoins en eau des zones humides et des moyens de </w:t>
            </w:r>
            <w:r w:rsidR="00B40EED">
              <w:rPr>
                <w:rFonts w:asciiTheme="majorHAnsi" w:hAnsiTheme="majorHAnsi" w:cs="Arial"/>
                <w:b w:val="0"/>
                <w:sz w:val="20"/>
                <w:szCs w:val="20"/>
                <w:lang w:val="fr-CA"/>
              </w:rPr>
              <w:t>définir</w:t>
            </w:r>
            <w:r w:rsidR="00485A40">
              <w:rPr>
                <w:rFonts w:asciiTheme="majorHAnsi" w:hAnsiTheme="majorHAnsi" w:cs="Arial"/>
                <w:b w:val="0"/>
                <w:sz w:val="20"/>
                <w:szCs w:val="20"/>
                <w:lang w:val="fr-CA"/>
              </w:rPr>
              <w:t xml:space="preserve"> et d’appliquer des stratégies et outils pour déterminer et attribuer l’eau aux zones humides. Il comprendra aussi des approches pour l’élaboration d’un programme de suivi des besoins en eau des zones humides. Le Rapport technique Ramsar tiendra compte de l’expérience du Mexique en matière d’établissement de réserves d’eau</w:t>
            </w:r>
            <w:r w:rsidR="00D60BFE" w:rsidRPr="00565A19">
              <w:rPr>
                <w:rFonts w:asciiTheme="majorHAnsi" w:hAnsiTheme="majorHAnsi" w:cs="Arial"/>
                <w:b w:val="0"/>
                <w:sz w:val="20"/>
                <w:szCs w:val="20"/>
                <w:lang w:val="fr-CA"/>
              </w:rPr>
              <w:t xml:space="preserve">, </w:t>
            </w:r>
            <w:r w:rsidR="00485A40">
              <w:rPr>
                <w:rFonts w:asciiTheme="majorHAnsi" w:hAnsiTheme="majorHAnsi" w:cs="Arial"/>
                <w:b w:val="0"/>
                <w:sz w:val="20"/>
                <w:szCs w:val="20"/>
                <w:lang w:val="fr-CA"/>
              </w:rPr>
              <w:t xml:space="preserve">des expériences de la Chine, de l’Australie, de l’Afrique du Sud, du Kenya et des pays membres de l’Union européenne concernant la création de plans d’aménagement des bassins hydrographiques, et </w:t>
            </w:r>
            <w:r w:rsidR="00B40EED">
              <w:rPr>
                <w:rFonts w:asciiTheme="majorHAnsi" w:hAnsiTheme="majorHAnsi" w:cs="Arial"/>
                <w:b w:val="0"/>
                <w:sz w:val="20"/>
                <w:szCs w:val="20"/>
                <w:lang w:val="fr-CA"/>
              </w:rPr>
              <w:t xml:space="preserve">de </w:t>
            </w:r>
            <w:r w:rsidR="00485A40">
              <w:rPr>
                <w:rFonts w:asciiTheme="majorHAnsi" w:hAnsiTheme="majorHAnsi" w:cs="Arial"/>
                <w:b w:val="0"/>
                <w:sz w:val="20"/>
                <w:szCs w:val="20"/>
                <w:lang w:val="fr-CA"/>
              </w:rPr>
              <w:t>l’expérience des États</w:t>
            </w:r>
            <w:r w:rsidR="00485A40">
              <w:rPr>
                <w:rFonts w:asciiTheme="majorHAnsi" w:hAnsiTheme="majorHAnsi" w:cs="Arial"/>
                <w:b w:val="0"/>
                <w:sz w:val="20"/>
                <w:szCs w:val="20"/>
                <w:lang w:val="fr-CA"/>
              </w:rPr>
              <w:noBreakHyphen/>
              <w:t xml:space="preserve">Unis d’Amérique concernant la gestion des barrages. Un document d’orientation fournissant des options pour intégrer les besoins en eau des zones humides dans les politiques/plans nationaux sectoriels et les plans d’aménagement des bassins hydrographiques (sachant que ces approches sont spécifiques au contexte national). </w:t>
            </w:r>
          </w:p>
          <w:p w14:paraId="5B7F34DB" w14:textId="77777777" w:rsidR="00914A1A" w:rsidRPr="00565A19" w:rsidRDefault="00914A1A" w:rsidP="00914A1A">
            <w:pPr>
              <w:rPr>
                <w:rFonts w:asciiTheme="majorHAnsi" w:hAnsiTheme="majorHAnsi" w:cs="Arial"/>
                <w:b w:val="0"/>
                <w:sz w:val="20"/>
                <w:szCs w:val="20"/>
                <w:lang w:val="fr-CA"/>
              </w:rPr>
            </w:pPr>
          </w:p>
          <w:p w14:paraId="4EAC69FA" w14:textId="0B45CDB9" w:rsidR="00914A1A" w:rsidRPr="00565A19" w:rsidRDefault="00931645" w:rsidP="00914A1A">
            <w:pPr>
              <w:rPr>
                <w:rFonts w:asciiTheme="majorHAnsi" w:hAnsiTheme="majorHAnsi" w:cs="Arial"/>
                <w:b w:val="0"/>
                <w:sz w:val="20"/>
                <w:szCs w:val="20"/>
                <w:lang w:val="fr-CA"/>
              </w:rPr>
            </w:pPr>
            <w:r w:rsidRPr="00565A19">
              <w:rPr>
                <w:rFonts w:asciiTheme="majorHAnsi" w:hAnsiTheme="majorHAnsi" w:cs="Arial"/>
                <w:b w:val="0"/>
                <w:sz w:val="20"/>
                <w:szCs w:val="20"/>
                <w:u w:val="single"/>
                <w:lang w:val="fr-CA"/>
              </w:rPr>
              <w:t>Résultat(s) escompté(s)</w:t>
            </w:r>
            <w:r w:rsidRPr="00565A19">
              <w:rPr>
                <w:rFonts w:asciiTheme="majorHAnsi" w:hAnsiTheme="majorHAnsi" w:cs="Arial"/>
                <w:b w:val="0"/>
                <w:sz w:val="20"/>
                <w:szCs w:val="20"/>
                <w:lang w:val="fr-CA"/>
              </w:rPr>
              <w:t xml:space="preserve"> : </w:t>
            </w:r>
          </w:p>
          <w:p w14:paraId="385B66D2" w14:textId="0FF1F798" w:rsidR="00D60BFE" w:rsidRPr="00565A19" w:rsidRDefault="00D60BFE" w:rsidP="00D60BFE">
            <w:pPr>
              <w:rPr>
                <w:rFonts w:asciiTheme="majorHAnsi" w:hAnsiTheme="majorHAnsi" w:cs="Arial"/>
                <w:b w:val="0"/>
                <w:sz w:val="20"/>
                <w:szCs w:val="20"/>
                <w:lang w:val="fr-CA"/>
              </w:rPr>
            </w:pPr>
            <w:r w:rsidRPr="00565A19">
              <w:rPr>
                <w:rFonts w:asciiTheme="majorHAnsi" w:hAnsiTheme="majorHAnsi" w:cs="Arial"/>
                <w:b w:val="0"/>
                <w:sz w:val="20"/>
                <w:szCs w:val="20"/>
                <w:lang w:val="fr-CA"/>
              </w:rPr>
              <w:t xml:space="preserve">1) </w:t>
            </w:r>
            <w:r w:rsidR="00485A40">
              <w:rPr>
                <w:rFonts w:asciiTheme="majorHAnsi" w:hAnsiTheme="majorHAnsi" w:cs="Arial"/>
                <w:b w:val="0"/>
                <w:sz w:val="20"/>
                <w:szCs w:val="20"/>
                <w:lang w:val="fr-CA"/>
              </w:rPr>
              <w:t xml:space="preserve">Rapport technique pour les praticiens sur l’évaluation et l’application des besoins en eau des zones humides; et </w:t>
            </w:r>
          </w:p>
          <w:p w14:paraId="2584624E" w14:textId="77777777" w:rsidR="00D60BFE" w:rsidRPr="00565A19" w:rsidRDefault="00D60BFE" w:rsidP="00D60BFE">
            <w:pPr>
              <w:rPr>
                <w:rFonts w:asciiTheme="majorHAnsi" w:hAnsiTheme="majorHAnsi" w:cs="Arial"/>
                <w:b w:val="0"/>
                <w:sz w:val="20"/>
                <w:szCs w:val="20"/>
                <w:lang w:val="fr-CA"/>
              </w:rPr>
            </w:pPr>
          </w:p>
          <w:p w14:paraId="293A01B2" w14:textId="0655AB35" w:rsidR="00914A1A" w:rsidRPr="00565A19" w:rsidRDefault="00D60BFE" w:rsidP="00D60BFE">
            <w:pPr>
              <w:rPr>
                <w:rFonts w:asciiTheme="majorHAnsi" w:hAnsiTheme="majorHAnsi" w:cs="Arial"/>
                <w:b w:val="0"/>
                <w:sz w:val="20"/>
                <w:szCs w:val="20"/>
                <w:lang w:val="fr-CA"/>
              </w:rPr>
            </w:pPr>
            <w:r w:rsidRPr="00565A19">
              <w:rPr>
                <w:rFonts w:asciiTheme="majorHAnsi" w:hAnsiTheme="majorHAnsi" w:cs="Arial"/>
                <w:b w:val="0"/>
                <w:sz w:val="20"/>
                <w:szCs w:val="20"/>
                <w:lang w:val="fr-CA"/>
              </w:rPr>
              <w:t xml:space="preserve">2) </w:t>
            </w:r>
            <w:r w:rsidR="00485A40">
              <w:rPr>
                <w:rFonts w:asciiTheme="majorHAnsi" w:hAnsiTheme="majorHAnsi" w:cs="Arial"/>
                <w:b w:val="0"/>
                <w:sz w:val="20"/>
                <w:szCs w:val="20"/>
                <w:lang w:val="fr-CA"/>
              </w:rPr>
              <w:t xml:space="preserve">Document d’orientation sur l’intégration des besoins en eau des zones humides dans les plans/politiques nationaux et les plans d’aménagement des bassins hydrographiques. </w:t>
            </w:r>
          </w:p>
          <w:p w14:paraId="6155629D" w14:textId="77777777" w:rsidR="00D60BFE" w:rsidRPr="00565A19" w:rsidRDefault="00D60BFE" w:rsidP="00D60BFE">
            <w:pPr>
              <w:rPr>
                <w:rFonts w:asciiTheme="majorHAnsi" w:hAnsiTheme="majorHAnsi" w:cs="Arial"/>
                <w:b w:val="0"/>
                <w:sz w:val="20"/>
                <w:szCs w:val="20"/>
                <w:lang w:val="fr-CA"/>
              </w:rPr>
            </w:pPr>
          </w:p>
          <w:p w14:paraId="430FC6EB" w14:textId="50B43D56" w:rsidR="00914A1A" w:rsidRPr="00565A19" w:rsidRDefault="00931645" w:rsidP="0081604E">
            <w:pPr>
              <w:rPr>
                <w:rFonts w:asciiTheme="majorHAnsi" w:hAnsiTheme="majorHAnsi" w:cs="Arial"/>
                <w:b w:val="0"/>
                <w:sz w:val="20"/>
                <w:szCs w:val="20"/>
                <w:lang w:val="fr-CA"/>
              </w:rPr>
            </w:pPr>
            <w:r w:rsidRPr="00565A19">
              <w:rPr>
                <w:rFonts w:asciiTheme="majorHAnsi" w:hAnsiTheme="majorHAnsi" w:cs="Arial"/>
                <w:b w:val="0"/>
                <w:sz w:val="20"/>
                <w:szCs w:val="20"/>
                <w:u w:val="single"/>
                <w:lang w:val="fr-CA"/>
              </w:rPr>
              <w:t>Public(s) ciblé(s)</w:t>
            </w:r>
            <w:r w:rsidRPr="00565A19">
              <w:rPr>
                <w:rFonts w:asciiTheme="majorHAnsi" w:hAnsiTheme="majorHAnsi" w:cs="Arial"/>
                <w:b w:val="0"/>
                <w:sz w:val="20"/>
                <w:szCs w:val="20"/>
                <w:lang w:val="fr-CA"/>
              </w:rPr>
              <w:t xml:space="preserve"> : </w:t>
            </w:r>
            <w:r w:rsidR="0081604E" w:rsidRPr="00565A19">
              <w:rPr>
                <w:rFonts w:asciiTheme="majorHAnsi" w:hAnsiTheme="majorHAnsi" w:cs="Arial"/>
                <w:b w:val="0"/>
                <w:sz w:val="20"/>
                <w:szCs w:val="20"/>
                <w:lang w:val="fr-CA"/>
              </w:rPr>
              <w:t xml:space="preserve">Décideurs et praticiens </w:t>
            </w:r>
            <w:r w:rsidR="00185310" w:rsidRPr="00565A19">
              <w:rPr>
                <w:rFonts w:asciiTheme="majorHAnsi" w:hAnsiTheme="majorHAnsi" w:cs="Arial"/>
                <w:b w:val="0"/>
                <w:sz w:val="20"/>
                <w:szCs w:val="20"/>
                <w:lang w:val="fr-CA"/>
              </w:rPr>
              <w:t>(administrateurs de zones humides)</w:t>
            </w:r>
            <w:r w:rsidR="00485A40">
              <w:rPr>
                <w:rFonts w:asciiTheme="majorHAnsi" w:hAnsiTheme="majorHAnsi" w:cs="Arial"/>
                <w:b w:val="0"/>
                <w:sz w:val="20"/>
                <w:szCs w:val="20"/>
                <w:lang w:val="fr-CA"/>
              </w:rPr>
              <w:t xml:space="preserve"> </w:t>
            </w:r>
            <w:r w:rsidR="0081604E" w:rsidRPr="00565A19">
              <w:rPr>
                <w:rFonts w:asciiTheme="majorHAnsi" w:hAnsiTheme="majorHAnsi" w:cs="Arial"/>
                <w:b w:val="0"/>
                <w:sz w:val="20"/>
                <w:szCs w:val="20"/>
                <w:lang w:val="fr-CA"/>
              </w:rPr>
              <w:t xml:space="preserve">aux niveaux national, du bassin </w:t>
            </w:r>
            <w:r w:rsidR="008E6B37">
              <w:rPr>
                <w:rFonts w:asciiTheme="majorHAnsi" w:hAnsiTheme="majorHAnsi" w:cs="Arial"/>
                <w:b w:val="0"/>
                <w:sz w:val="20"/>
                <w:szCs w:val="20"/>
                <w:lang w:val="fr-CA"/>
              </w:rPr>
              <w:t xml:space="preserve">versant </w:t>
            </w:r>
            <w:r w:rsidR="0081604E" w:rsidRPr="00565A19">
              <w:rPr>
                <w:rFonts w:asciiTheme="majorHAnsi" w:hAnsiTheme="majorHAnsi" w:cs="Arial"/>
                <w:b w:val="0"/>
                <w:sz w:val="20"/>
                <w:szCs w:val="20"/>
                <w:lang w:val="fr-CA"/>
              </w:rPr>
              <w:t xml:space="preserve">et local. </w:t>
            </w:r>
          </w:p>
        </w:tc>
        <w:tc>
          <w:tcPr>
            <w:tcW w:w="494" w:type="pct"/>
          </w:tcPr>
          <w:p w14:paraId="2CFF4969" w14:textId="77777777" w:rsidR="00D60BFE" w:rsidRPr="00B73ABF" w:rsidRDefault="00D60BFE" w:rsidP="00B73ABF">
            <w:pPr>
              <w:rPr>
                <w:rFonts w:asciiTheme="majorHAnsi" w:hAnsiTheme="majorHAnsi" w:cs="Arial"/>
                <w:b w:val="0"/>
                <w:sz w:val="20"/>
                <w:szCs w:val="20"/>
                <w:lang w:val="fr-CA"/>
              </w:rPr>
            </w:pPr>
            <w:r w:rsidRPr="00B73ABF">
              <w:rPr>
                <w:rFonts w:asciiTheme="majorHAnsi" w:hAnsiTheme="majorHAnsi" w:cs="Arial"/>
                <w:b w:val="0"/>
                <w:sz w:val="20"/>
                <w:szCs w:val="20"/>
                <w:lang w:val="fr-CA"/>
              </w:rPr>
              <w:t>Pas d’incidences financières pour le budget du GEST.</w:t>
            </w:r>
          </w:p>
          <w:p w14:paraId="03B8BBF1" w14:textId="58AFFC69" w:rsidR="00914A1A" w:rsidRPr="00565A19" w:rsidRDefault="00D60BFE" w:rsidP="00D60BFE">
            <w:pPr>
              <w:rPr>
                <w:rFonts w:asciiTheme="majorHAnsi" w:hAnsiTheme="majorHAnsi" w:cs="Arial"/>
                <w:b w:val="0"/>
                <w:sz w:val="20"/>
                <w:szCs w:val="20"/>
                <w:lang w:val="fr-CA"/>
              </w:rPr>
            </w:pPr>
            <w:r w:rsidRPr="00565A19">
              <w:rPr>
                <w:rFonts w:asciiTheme="majorHAnsi" w:hAnsiTheme="majorHAnsi" w:cs="Arial"/>
                <w:b w:val="0"/>
                <w:sz w:val="22"/>
                <w:szCs w:val="22"/>
                <w:lang w:val="fr-CA"/>
              </w:rPr>
              <w:t>[</w:t>
            </w:r>
            <w:r w:rsidRPr="00B73ABF">
              <w:rPr>
                <w:rFonts w:asciiTheme="majorHAnsi" w:hAnsiTheme="majorHAnsi" w:cs="Arial"/>
                <w:b w:val="0"/>
                <w:sz w:val="20"/>
                <w:szCs w:val="20"/>
                <w:lang w:val="fr-CA"/>
              </w:rPr>
              <w:t>100 000 fournis par le WWF]</w:t>
            </w:r>
          </w:p>
        </w:tc>
      </w:tr>
      <w:tr w:rsidR="00E01336" w:rsidRPr="00833360" w14:paraId="177C3061" w14:textId="77777777" w:rsidTr="00C139E4">
        <w:tc>
          <w:tcPr>
            <w:tcW w:w="513" w:type="pct"/>
          </w:tcPr>
          <w:p w14:paraId="0B1DDE6C" w14:textId="45132B65" w:rsidR="00914A1A" w:rsidRPr="00565A19" w:rsidRDefault="00914A1A" w:rsidP="00B81559">
            <w:pPr>
              <w:keepNext/>
              <w:keepLines/>
              <w:rPr>
                <w:rFonts w:asciiTheme="majorHAnsi" w:hAnsiTheme="majorHAnsi" w:cs="Arial"/>
                <w:b w:val="0"/>
                <w:sz w:val="20"/>
                <w:szCs w:val="20"/>
                <w:lang w:val="fr-CA"/>
              </w:rPr>
            </w:pPr>
            <w:r w:rsidRPr="00565A19">
              <w:rPr>
                <w:rFonts w:asciiTheme="majorHAnsi" w:hAnsiTheme="majorHAnsi" w:cs="Arial"/>
                <w:b w:val="0"/>
                <w:sz w:val="20"/>
                <w:szCs w:val="20"/>
                <w:lang w:val="fr-CA"/>
              </w:rPr>
              <w:lastRenderedPageBreak/>
              <w:t>4.2</w:t>
            </w:r>
            <w:r w:rsidR="00E01336" w:rsidRPr="00565A19">
              <w:rPr>
                <w:rFonts w:asciiTheme="majorHAnsi" w:hAnsiTheme="majorHAnsi" w:cs="Arial"/>
                <w:b w:val="0"/>
                <w:sz w:val="20"/>
                <w:szCs w:val="20"/>
                <w:lang w:val="fr-CA"/>
              </w:rPr>
              <w:t xml:space="preserve"> </w:t>
            </w:r>
            <w:r w:rsidR="0081604E" w:rsidRPr="00565A19">
              <w:rPr>
                <w:rFonts w:asciiTheme="majorHAnsi" w:hAnsiTheme="majorHAnsi" w:cs="Arial"/>
                <w:b w:val="0"/>
                <w:sz w:val="20"/>
                <w:szCs w:val="20"/>
                <w:lang w:val="fr-CA"/>
              </w:rPr>
              <w:t>Examen et analyse des rapports de</w:t>
            </w:r>
            <w:r w:rsidR="00485A40">
              <w:rPr>
                <w:rFonts w:asciiTheme="majorHAnsi" w:hAnsiTheme="majorHAnsi" w:cs="Arial"/>
                <w:b w:val="0"/>
                <w:sz w:val="20"/>
                <w:szCs w:val="20"/>
                <w:lang w:val="fr-CA"/>
              </w:rPr>
              <w:t xml:space="preserve"> </w:t>
            </w:r>
            <w:r w:rsidR="00B40EED">
              <w:rPr>
                <w:rFonts w:asciiTheme="majorHAnsi" w:hAnsiTheme="majorHAnsi" w:cs="Arial"/>
                <w:b w:val="0"/>
                <w:sz w:val="20"/>
                <w:szCs w:val="20"/>
                <w:lang w:val="fr-CA"/>
              </w:rPr>
              <w:t>M</w:t>
            </w:r>
            <w:r w:rsidR="0081604E" w:rsidRPr="00565A19">
              <w:rPr>
                <w:rFonts w:asciiTheme="majorHAnsi" w:hAnsiTheme="majorHAnsi" w:cs="Arial"/>
                <w:b w:val="0"/>
                <w:sz w:val="20"/>
                <w:szCs w:val="20"/>
                <w:lang w:val="fr-CA"/>
              </w:rPr>
              <w:t>issions consultatives Ramsar</w:t>
            </w:r>
          </w:p>
        </w:tc>
        <w:tc>
          <w:tcPr>
            <w:tcW w:w="300" w:type="pct"/>
          </w:tcPr>
          <w:p w14:paraId="13EA7E99" w14:textId="66869C8A" w:rsidR="00914A1A" w:rsidRPr="00565A19" w:rsidRDefault="008E6B37" w:rsidP="00B24027">
            <w:pPr>
              <w:keepNext/>
              <w:keepLines/>
              <w:rPr>
                <w:rFonts w:asciiTheme="majorHAnsi" w:hAnsiTheme="majorHAnsi" w:cs="Arial"/>
                <w:b w:val="0"/>
                <w:sz w:val="20"/>
                <w:szCs w:val="20"/>
                <w:lang w:val="fr-CA"/>
              </w:rPr>
            </w:pPr>
            <w:r>
              <w:rPr>
                <w:rFonts w:asciiTheme="majorHAnsi" w:hAnsiTheme="majorHAnsi" w:cs="Arial"/>
                <w:b w:val="0"/>
                <w:sz w:val="20"/>
                <w:szCs w:val="20"/>
                <w:lang w:val="fr-CA"/>
              </w:rPr>
              <w:t>Très haute</w:t>
            </w:r>
          </w:p>
        </w:tc>
        <w:tc>
          <w:tcPr>
            <w:tcW w:w="360" w:type="pct"/>
          </w:tcPr>
          <w:p w14:paraId="26077140" w14:textId="09E28252" w:rsidR="00914A1A" w:rsidRPr="00565A19" w:rsidRDefault="00185310" w:rsidP="00B24027">
            <w:pPr>
              <w:keepNext/>
              <w:keepLines/>
              <w:rPr>
                <w:rFonts w:asciiTheme="majorHAnsi" w:hAnsiTheme="majorHAnsi" w:cs="Arial"/>
                <w:b w:val="0"/>
                <w:sz w:val="20"/>
                <w:szCs w:val="20"/>
                <w:lang w:val="fr-CA"/>
              </w:rPr>
            </w:pPr>
            <w:r w:rsidRPr="00565A19">
              <w:rPr>
                <w:rFonts w:asciiTheme="majorHAnsi" w:hAnsiTheme="majorHAnsi" w:cs="Arial"/>
                <w:b w:val="0"/>
                <w:sz w:val="20"/>
                <w:szCs w:val="20"/>
                <w:lang w:val="fr-CA"/>
              </w:rPr>
              <w:t xml:space="preserve">XII.5, </w:t>
            </w:r>
            <w:r w:rsidR="004B32FB">
              <w:rPr>
                <w:rFonts w:asciiTheme="majorHAnsi" w:hAnsiTheme="majorHAnsi" w:cs="Arial"/>
                <w:b w:val="0"/>
                <w:sz w:val="20"/>
                <w:szCs w:val="20"/>
                <w:lang w:val="fr-CA"/>
              </w:rPr>
              <w:t>annexe</w:t>
            </w:r>
            <w:r w:rsidRPr="00565A19">
              <w:rPr>
                <w:rFonts w:asciiTheme="majorHAnsi" w:hAnsiTheme="majorHAnsi" w:cs="Arial"/>
                <w:b w:val="0"/>
                <w:sz w:val="20"/>
                <w:szCs w:val="20"/>
                <w:lang w:val="fr-CA"/>
              </w:rPr>
              <w:t xml:space="preserve"> 1, </w:t>
            </w:r>
            <w:r w:rsidRPr="00565A19">
              <w:rPr>
                <w:rFonts w:ascii="Calibri" w:hAnsi="Calibri" w:cs="Arial"/>
                <w:b w:val="0"/>
                <w:sz w:val="20"/>
                <w:szCs w:val="20"/>
                <w:lang w:val="fr-CA"/>
              </w:rPr>
              <w:t>¶</w:t>
            </w:r>
            <w:r w:rsidRPr="00565A19">
              <w:rPr>
                <w:rFonts w:asciiTheme="majorHAnsi" w:hAnsiTheme="majorHAnsi" w:cs="Arial"/>
                <w:b w:val="0"/>
                <w:sz w:val="20"/>
                <w:szCs w:val="20"/>
                <w:lang w:val="fr-CA"/>
              </w:rPr>
              <w:t xml:space="preserve">¶ </w:t>
            </w:r>
            <w:r w:rsidRPr="00565A19">
              <w:rPr>
                <w:rFonts w:ascii="Calibri" w:hAnsi="Calibri" w:cs="Arial"/>
                <w:b w:val="0"/>
                <w:sz w:val="20"/>
                <w:szCs w:val="20"/>
                <w:lang w:val="fr-CA"/>
              </w:rPr>
              <w:t>1-2; 12</w:t>
            </w:r>
          </w:p>
        </w:tc>
        <w:tc>
          <w:tcPr>
            <w:tcW w:w="388" w:type="pct"/>
          </w:tcPr>
          <w:p w14:paraId="06906A89" w14:textId="0EF24D41" w:rsidR="00914A1A" w:rsidRPr="00565A19" w:rsidRDefault="00185310" w:rsidP="00B24027">
            <w:pPr>
              <w:keepNext/>
              <w:keepLines/>
              <w:rPr>
                <w:rFonts w:asciiTheme="majorHAnsi" w:hAnsiTheme="majorHAnsi" w:cs="Arial"/>
                <w:b w:val="0"/>
                <w:sz w:val="20"/>
                <w:szCs w:val="20"/>
                <w:lang w:val="fr-CA"/>
              </w:rPr>
            </w:pPr>
            <w:r w:rsidRPr="00565A19">
              <w:rPr>
                <w:rFonts w:asciiTheme="majorHAnsi" w:hAnsiTheme="majorHAnsi" w:cs="Arial"/>
                <w:b w:val="0"/>
                <w:sz w:val="20"/>
                <w:szCs w:val="20"/>
                <w:lang w:val="fr-CA"/>
              </w:rPr>
              <w:t>1.1, 1.2, 1.3, 1.4; 2.5, 2.7; 3.8, 3.9, 3.10, 3.11, 3.12, 3.13; 4.14</w:t>
            </w:r>
          </w:p>
        </w:tc>
        <w:tc>
          <w:tcPr>
            <w:tcW w:w="2945" w:type="pct"/>
          </w:tcPr>
          <w:p w14:paraId="6D53CBC7" w14:textId="33052C34" w:rsidR="00914A1A" w:rsidRPr="00565A19" w:rsidRDefault="00931645" w:rsidP="00B24027">
            <w:pPr>
              <w:keepNext/>
              <w:keepLines/>
              <w:rPr>
                <w:rFonts w:asciiTheme="majorHAnsi" w:hAnsiTheme="majorHAnsi" w:cs="Arial"/>
                <w:b w:val="0"/>
                <w:sz w:val="20"/>
                <w:szCs w:val="20"/>
                <w:lang w:val="fr-CA"/>
              </w:rPr>
            </w:pPr>
            <w:r w:rsidRPr="00565A19">
              <w:rPr>
                <w:rFonts w:asciiTheme="majorHAnsi" w:hAnsiTheme="majorHAnsi" w:cs="Arial"/>
                <w:b w:val="0"/>
                <w:sz w:val="20"/>
                <w:szCs w:val="20"/>
                <w:u w:val="single"/>
                <w:lang w:val="fr-CA"/>
              </w:rPr>
              <w:t>Description de tâche</w:t>
            </w:r>
            <w:r w:rsidRPr="00565A19">
              <w:rPr>
                <w:rFonts w:asciiTheme="majorHAnsi" w:hAnsiTheme="majorHAnsi" w:cs="Arial"/>
                <w:b w:val="0"/>
                <w:sz w:val="20"/>
                <w:szCs w:val="20"/>
                <w:lang w:val="fr-CA"/>
              </w:rPr>
              <w:t xml:space="preserve"> : </w:t>
            </w:r>
            <w:r w:rsidR="00D7595A" w:rsidRPr="00565A19">
              <w:rPr>
                <w:rFonts w:asciiTheme="majorHAnsi" w:hAnsiTheme="majorHAnsi" w:cs="Arial"/>
                <w:b w:val="0"/>
                <w:sz w:val="20"/>
                <w:szCs w:val="20"/>
                <w:lang w:val="fr-CA"/>
              </w:rPr>
              <w:t xml:space="preserve">Examen et analyse de tous les rapports de </w:t>
            </w:r>
            <w:r w:rsidR="00B40EED">
              <w:rPr>
                <w:rFonts w:asciiTheme="majorHAnsi" w:hAnsiTheme="majorHAnsi" w:cs="Arial"/>
                <w:b w:val="0"/>
                <w:sz w:val="20"/>
                <w:szCs w:val="20"/>
                <w:lang w:val="fr-CA"/>
              </w:rPr>
              <w:t>Mi</w:t>
            </w:r>
            <w:r w:rsidR="00D7595A" w:rsidRPr="00565A19">
              <w:rPr>
                <w:rFonts w:asciiTheme="majorHAnsi" w:hAnsiTheme="majorHAnsi" w:cs="Arial"/>
                <w:b w:val="0"/>
                <w:sz w:val="20"/>
                <w:szCs w:val="20"/>
                <w:lang w:val="fr-CA"/>
              </w:rPr>
              <w:t>ssions consultatives</w:t>
            </w:r>
            <w:r w:rsidR="00185310" w:rsidRPr="00565A19">
              <w:rPr>
                <w:rFonts w:asciiTheme="majorHAnsi" w:hAnsiTheme="majorHAnsi" w:cs="Arial"/>
                <w:b w:val="0"/>
                <w:sz w:val="20"/>
                <w:szCs w:val="20"/>
                <w:lang w:val="fr-CA"/>
              </w:rPr>
              <w:t xml:space="preserve"> Ramsar </w:t>
            </w:r>
            <w:r w:rsidR="0007003F">
              <w:rPr>
                <w:rFonts w:asciiTheme="majorHAnsi" w:hAnsiTheme="majorHAnsi" w:cs="Arial"/>
                <w:b w:val="0"/>
                <w:sz w:val="20"/>
                <w:szCs w:val="20"/>
                <w:lang w:val="fr-CA"/>
              </w:rPr>
              <w:t xml:space="preserve">pour sensibiliser au rôle et à l’utilité des MCR afin d’améliorer la gestion, les mécanismes de suivi et de traiter les menaces pesant sur les Sites Ramsar. Plus de 80 MCR, dont beaucoup ont traité d’infrastructure, d’urbanisation, de foresterie, d’industries </w:t>
            </w:r>
            <w:r w:rsidR="00B40EED">
              <w:rPr>
                <w:rFonts w:asciiTheme="majorHAnsi" w:hAnsiTheme="majorHAnsi" w:cs="Arial"/>
                <w:b w:val="0"/>
                <w:sz w:val="20"/>
                <w:szCs w:val="20"/>
                <w:lang w:val="fr-CA"/>
              </w:rPr>
              <w:t>extractives</w:t>
            </w:r>
            <w:r w:rsidR="0007003F">
              <w:rPr>
                <w:rFonts w:asciiTheme="majorHAnsi" w:hAnsiTheme="majorHAnsi" w:cs="Arial"/>
                <w:b w:val="0"/>
                <w:sz w:val="20"/>
                <w:szCs w:val="20"/>
                <w:lang w:val="fr-CA"/>
              </w:rPr>
              <w:t xml:space="preserve"> et d’agriculture, ainsi que des systèmes de connaissances autochtones et locaux, ont été réalisées à ce jour et les rapports fournissent une ressource riche d’études de cas potentielles sur l’application de la Convention, les difficultés et les succès en matière d’équilibre entre la conservation des zones humides et le développement. Les CN GEST seront priés de fournir des informations et une assistance lors de ce processus d’examen.</w:t>
            </w:r>
          </w:p>
          <w:p w14:paraId="42BD9278" w14:textId="77777777" w:rsidR="00914A1A" w:rsidRPr="00565A19" w:rsidRDefault="00914A1A" w:rsidP="00B24027">
            <w:pPr>
              <w:keepNext/>
              <w:keepLines/>
              <w:rPr>
                <w:rFonts w:asciiTheme="majorHAnsi" w:hAnsiTheme="majorHAnsi" w:cs="Arial"/>
                <w:b w:val="0"/>
                <w:sz w:val="20"/>
                <w:szCs w:val="20"/>
                <w:lang w:val="fr-CA"/>
              </w:rPr>
            </w:pPr>
          </w:p>
          <w:p w14:paraId="7DA8E520" w14:textId="259AA131" w:rsidR="00914A1A" w:rsidRPr="00565A19" w:rsidRDefault="00931645" w:rsidP="00B24027">
            <w:pPr>
              <w:keepNext/>
              <w:keepLines/>
              <w:rPr>
                <w:rFonts w:asciiTheme="majorHAnsi" w:hAnsiTheme="majorHAnsi" w:cs="Arial"/>
                <w:b w:val="0"/>
                <w:sz w:val="20"/>
                <w:szCs w:val="20"/>
                <w:lang w:val="fr-CA"/>
              </w:rPr>
            </w:pPr>
            <w:r w:rsidRPr="00565A19">
              <w:rPr>
                <w:rFonts w:asciiTheme="majorHAnsi" w:hAnsiTheme="majorHAnsi" w:cs="Arial"/>
                <w:b w:val="0"/>
                <w:sz w:val="20"/>
                <w:szCs w:val="20"/>
                <w:u w:val="single"/>
                <w:lang w:val="fr-CA"/>
              </w:rPr>
              <w:t>Résultat(s) escompté(s)</w:t>
            </w:r>
            <w:r w:rsidRPr="00565A19">
              <w:rPr>
                <w:rFonts w:asciiTheme="majorHAnsi" w:hAnsiTheme="majorHAnsi" w:cs="Arial"/>
                <w:b w:val="0"/>
                <w:sz w:val="20"/>
                <w:szCs w:val="20"/>
                <w:lang w:val="fr-CA"/>
              </w:rPr>
              <w:t> :</w:t>
            </w:r>
          </w:p>
          <w:p w14:paraId="536AED2B" w14:textId="0E8B1E89" w:rsidR="00914A1A" w:rsidRPr="00565A19" w:rsidRDefault="00914A1A" w:rsidP="00B24027">
            <w:pPr>
              <w:keepNext/>
              <w:keepLines/>
              <w:rPr>
                <w:rFonts w:asciiTheme="majorHAnsi" w:hAnsiTheme="majorHAnsi" w:cs="Arial"/>
                <w:b w:val="0"/>
                <w:sz w:val="20"/>
                <w:szCs w:val="20"/>
                <w:lang w:val="fr-CA"/>
              </w:rPr>
            </w:pPr>
            <w:r w:rsidRPr="00565A19">
              <w:rPr>
                <w:rFonts w:asciiTheme="majorHAnsi" w:hAnsiTheme="majorHAnsi" w:cs="Arial"/>
                <w:b w:val="0"/>
                <w:sz w:val="20"/>
                <w:szCs w:val="20"/>
                <w:lang w:val="fr-CA"/>
              </w:rPr>
              <w:t>1)</w:t>
            </w:r>
            <w:r w:rsidR="00E01336" w:rsidRPr="00565A19">
              <w:rPr>
                <w:rFonts w:asciiTheme="majorHAnsi" w:hAnsiTheme="majorHAnsi" w:cs="Arial"/>
                <w:b w:val="0"/>
                <w:sz w:val="20"/>
                <w:szCs w:val="20"/>
                <w:lang w:val="fr-CA"/>
              </w:rPr>
              <w:t xml:space="preserve"> </w:t>
            </w:r>
            <w:r w:rsidR="00D7595A" w:rsidRPr="00565A19">
              <w:rPr>
                <w:rFonts w:asciiTheme="majorHAnsi" w:hAnsiTheme="majorHAnsi" w:cs="Arial"/>
                <w:b w:val="0"/>
                <w:sz w:val="20"/>
                <w:szCs w:val="20"/>
                <w:lang w:val="fr-CA"/>
              </w:rPr>
              <w:t xml:space="preserve">L’analyse complète à publier sur la page MCR du site web de Ramsar. </w:t>
            </w:r>
          </w:p>
          <w:p w14:paraId="48195DDE" w14:textId="77777777" w:rsidR="00914A1A" w:rsidRPr="00565A19" w:rsidRDefault="00914A1A" w:rsidP="00B24027">
            <w:pPr>
              <w:keepNext/>
              <w:keepLines/>
              <w:rPr>
                <w:rFonts w:asciiTheme="majorHAnsi" w:hAnsiTheme="majorHAnsi" w:cs="Arial"/>
                <w:b w:val="0"/>
                <w:sz w:val="20"/>
                <w:szCs w:val="20"/>
                <w:lang w:val="fr-CA"/>
              </w:rPr>
            </w:pPr>
          </w:p>
          <w:p w14:paraId="1032DFEC" w14:textId="5F299504" w:rsidR="00914A1A" w:rsidRPr="00565A19" w:rsidRDefault="00914A1A" w:rsidP="00B24027">
            <w:pPr>
              <w:keepNext/>
              <w:keepLines/>
              <w:rPr>
                <w:rFonts w:asciiTheme="majorHAnsi" w:hAnsiTheme="majorHAnsi" w:cs="Arial"/>
                <w:b w:val="0"/>
                <w:sz w:val="20"/>
                <w:szCs w:val="20"/>
                <w:lang w:val="fr-CA"/>
              </w:rPr>
            </w:pPr>
            <w:r w:rsidRPr="00565A19">
              <w:rPr>
                <w:rFonts w:asciiTheme="majorHAnsi" w:hAnsiTheme="majorHAnsi" w:cs="Arial"/>
                <w:b w:val="0"/>
                <w:sz w:val="20"/>
                <w:szCs w:val="20"/>
                <w:lang w:val="fr-CA"/>
              </w:rPr>
              <w:t>2)</w:t>
            </w:r>
            <w:r w:rsidR="00E01336" w:rsidRPr="00565A19">
              <w:rPr>
                <w:rFonts w:asciiTheme="majorHAnsi" w:hAnsiTheme="majorHAnsi" w:cs="Arial"/>
                <w:b w:val="0"/>
                <w:sz w:val="20"/>
                <w:szCs w:val="20"/>
                <w:lang w:val="fr-CA"/>
              </w:rPr>
              <w:t xml:space="preserve"> </w:t>
            </w:r>
            <w:r w:rsidR="00D7595A" w:rsidRPr="00565A19">
              <w:rPr>
                <w:rFonts w:asciiTheme="majorHAnsi" w:hAnsiTheme="majorHAnsi" w:cs="Arial"/>
                <w:b w:val="0"/>
                <w:sz w:val="20"/>
                <w:szCs w:val="20"/>
                <w:lang w:val="fr-CA"/>
              </w:rPr>
              <w:t xml:space="preserve">Le contenu de l’analyse sera synthétisé pour un document d’orientation (facilitant la compréhension et l’utilisation du concept de MCR et soulignant la valeur des MCR pour les décideurs et les enseignements tirés). </w:t>
            </w:r>
          </w:p>
          <w:p w14:paraId="0AC52526" w14:textId="77777777" w:rsidR="00914A1A" w:rsidRPr="00565A19" w:rsidRDefault="00914A1A" w:rsidP="00B24027">
            <w:pPr>
              <w:keepNext/>
              <w:keepLines/>
              <w:rPr>
                <w:rFonts w:asciiTheme="majorHAnsi" w:hAnsiTheme="majorHAnsi" w:cs="Arial"/>
                <w:b w:val="0"/>
                <w:sz w:val="20"/>
                <w:szCs w:val="20"/>
                <w:lang w:val="fr-CA"/>
              </w:rPr>
            </w:pPr>
          </w:p>
          <w:p w14:paraId="482ED010" w14:textId="1047F056" w:rsidR="00914A1A" w:rsidRPr="00565A19" w:rsidRDefault="00914A1A" w:rsidP="00B24027">
            <w:pPr>
              <w:keepNext/>
              <w:keepLines/>
              <w:rPr>
                <w:rFonts w:asciiTheme="majorHAnsi" w:hAnsiTheme="majorHAnsi" w:cs="Arial"/>
                <w:b w:val="0"/>
                <w:sz w:val="20"/>
                <w:szCs w:val="20"/>
                <w:lang w:val="fr-CA"/>
              </w:rPr>
            </w:pPr>
            <w:r w:rsidRPr="00565A19">
              <w:rPr>
                <w:rFonts w:asciiTheme="majorHAnsi" w:hAnsiTheme="majorHAnsi" w:cs="Arial"/>
                <w:b w:val="0"/>
                <w:sz w:val="20"/>
                <w:szCs w:val="20"/>
                <w:lang w:val="fr-CA"/>
              </w:rPr>
              <w:t>3)</w:t>
            </w:r>
            <w:r w:rsidR="00E01336" w:rsidRPr="00565A19">
              <w:rPr>
                <w:rFonts w:asciiTheme="majorHAnsi" w:hAnsiTheme="majorHAnsi" w:cs="Arial"/>
                <w:b w:val="0"/>
                <w:sz w:val="20"/>
                <w:szCs w:val="20"/>
                <w:lang w:val="fr-CA"/>
              </w:rPr>
              <w:t xml:space="preserve"> </w:t>
            </w:r>
            <w:r w:rsidR="00D7595A" w:rsidRPr="00565A19">
              <w:rPr>
                <w:rFonts w:asciiTheme="majorHAnsi" w:hAnsiTheme="majorHAnsi" w:cs="Arial"/>
                <w:b w:val="0"/>
                <w:sz w:val="20"/>
                <w:szCs w:val="20"/>
                <w:lang w:val="fr-CA"/>
              </w:rPr>
              <w:t>Une note d’information (facilitant la compréhension et l’utilisation du processus de MCR pour les administrateurs de site</w:t>
            </w:r>
            <w:r w:rsidR="00A1768B" w:rsidRPr="00565A19">
              <w:rPr>
                <w:rFonts w:asciiTheme="majorHAnsi" w:hAnsiTheme="majorHAnsi" w:cs="Arial"/>
                <w:b w:val="0"/>
                <w:sz w:val="20"/>
                <w:szCs w:val="20"/>
                <w:lang w:val="fr-CA"/>
              </w:rPr>
              <w:t>s</w:t>
            </w:r>
            <w:r w:rsidR="00D7595A" w:rsidRPr="00565A19">
              <w:rPr>
                <w:rFonts w:asciiTheme="majorHAnsi" w:hAnsiTheme="majorHAnsi" w:cs="Arial"/>
                <w:b w:val="0"/>
                <w:sz w:val="20"/>
                <w:szCs w:val="20"/>
                <w:lang w:val="fr-CA"/>
              </w:rPr>
              <w:t>)</w:t>
            </w:r>
            <w:r w:rsidR="00185310" w:rsidRPr="00565A19">
              <w:rPr>
                <w:rFonts w:asciiTheme="majorHAnsi" w:hAnsiTheme="majorHAnsi" w:cs="Arial"/>
                <w:b w:val="0"/>
                <w:sz w:val="20"/>
                <w:szCs w:val="20"/>
                <w:lang w:val="fr-CA"/>
              </w:rPr>
              <w:t>, présentant des études de cas sélectionnées</w:t>
            </w:r>
            <w:r w:rsidR="00D7595A" w:rsidRPr="00565A19">
              <w:rPr>
                <w:rFonts w:asciiTheme="majorHAnsi" w:hAnsiTheme="majorHAnsi" w:cs="Arial"/>
                <w:b w:val="0"/>
                <w:sz w:val="20"/>
                <w:szCs w:val="20"/>
                <w:lang w:val="fr-CA"/>
              </w:rPr>
              <w:t>.</w:t>
            </w:r>
            <w:r w:rsidR="00E01336" w:rsidRPr="00565A19">
              <w:rPr>
                <w:rFonts w:asciiTheme="majorHAnsi" w:hAnsiTheme="majorHAnsi" w:cs="Arial"/>
                <w:b w:val="0"/>
                <w:sz w:val="20"/>
                <w:szCs w:val="20"/>
                <w:lang w:val="fr-CA"/>
              </w:rPr>
              <w:t xml:space="preserve"> </w:t>
            </w:r>
          </w:p>
          <w:p w14:paraId="46F0C490" w14:textId="77777777" w:rsidR="00914A1A" w:rsidRPr="00565A19" w:rsidRDefault="00914A1A" w:rsidP="00B24027">
            <w:pPr>
              <w:keepNext/>
              <w:keepLines/>
              <w:rPr>
                <w:rFonts w:asciiTheme="majorHAnsi" w:hAnsiTheme="majorHAnsi" w:cs="Arial"/>
                <w:b w:val="0"/>
                <w:sz w:val="20"/>
                <w:szCs w:val="20"/>
                <w:lang w:val="fr-CA"/>
              </w:rPr>
            </w:pPr>
          </w:p>
          <w:p w14:paraId="1DB19E7C" w14:textId="56806EDF" w:rsidR="00914A1A" w:rsidRPr="00565A19" w:rsidRDefault="00914A1A" w:rsidP="00B24027">
            <w:pPr>
              <w:keepNext/>
              <w:keepLines/>
              <w:rPr>
                <w:rFonts w:asciiTheme="majorHAnsi" w:hAnsiTheme="majorHAnsi" w:cs="Arial"/>
                <w:b w:val="0"/>
                <w:sz w:val="20"/>
                <w:szCs w:val="20"/>
                <w:lang w:val="fr-CA"/>
              </w:rPr>
            </w:pPr>
            <w:r w:rsidRPr="00565A19">
              <w:rPr>
                <w:rFonts w:asciiTheme="majorHAnsi" w:hAnsiTheme="majorHAnsi" w:cs="Arial"/>
                <w:b w:val="0"/>
                <w:sz w:val="20"/>
                <w:szCs w:val="20"/>
                <w:lang w:val="fr-CA"/>
              </w:rPr>
              <w:t>4)</w:t>
            </w:r>
            <w:r w:rsidR="00E01336" w:rsidRPr="00565A19">
              <w:rPr>
                <w:rFonts w:asciiTheme="majorHAnsi" w:hAnsiTheme="majorHAnsi" w:cs="Arial"/>
                <w:b w:val="0"/>
                <w:sz w:val="20"/>
                <w:szCs w:val="20"/>
                <w:lang w:val="fr-CA"/>
              </w:rPr>
              <w:t xml:space="preserve"> </w:t>
            </w:r>
            <w:r w:rsidR="00D7595A" w:rsidRPr="00565A19">
              <w:rPr>
                <w:rFonts w:asciiTheme="majorHAnsi" w:hAnsiTheme="majorHAnsi" w:cs="Arial"/>
                <w:b w:val="0"/>
                <w:sz w:val="20"/>
                <w:szCs w:val="20"/>
                <w:lang w:val="fr-CA"/>
              </w:rPr>
              <w:t>Des w</w:t>
            </w:r>
            <w:r w:rsidRPr="00565A19">
              <w:rPr>
                <w:rFonts w:asciiTheme="majorHAnsi" w:hAnsiTheme="majorHAnsi" w:cs="Arial"/>
                <w:b w:val="0"/>
                <w:sz w:val="20"/>
                <w:szCs w:val="20"/>
                <w:lang w:val="fr-CA"/>
              </w:rPr>
              <w:t>ebina</w:t>
            </w:r>
            <w:r w:rsidR="00D7595A" w:rsidRPr="00565A19">
              <w:rPr>
                <w:rFonts w:asciiTheme="majorHAnsi" w:hAnsiTheme="majorHAnsi" w:cs="Arial"/>
                <w:b w:val="0"/>
                <w:sz w:val="20"/>
                <w:szCs w:val="20"/>
                <w:lang w:val="fr-CA"/>
              </w:rPr>
              <w:t>i</w:t>
            </w:r>
            <w:r w:rsidRPr="00565A19">
              <w:rPr>
                <w:rFonts w:asciiTheme="majorHAnsi" w:hAnsiTheme="majorHAnsi" w:cs="Arial"/>
                <w:b w:val="0"/>
                <w:sz w:val="20"/>
                <w:szCs w:val="20"/>
                <w:lang w:val="fr-CA"/>
              </w:rPr>
              <w:t>r</w:t>
            </w:r>
            <w:r w:rsidR="00D7595A" w:rsidRPr="00565A19">
              <w:rPr>
                <w:rFonts w:asciiTheme="majorHAnsi" w:hAnsiTheme="majorHAnsi" w:cs="Arial"/>
                <w:b w:val="0"/>
                <w:sz w:val="20"/>
                <w:szCs w:val="20"/>
                <w:lang w:val="fr-CA"/>
              </w:rPr>
              <w:t>es</w:t>
            </w:r>
            <w:r w:rsidR="00E01336" w:rsidRPr="00565A19">
              <w:rPr>
                <w:rFonts w:asciiTheme="majorHAnsi" w:hAnsiTheme="majorHAnsi" w:cs="Arial"/>
                <w:b w:val="0"/>
                <w:sz w:val="20"/>
                <w:szCs w:val="20"/>
                <w:lang w:val="fr-CA"/>
              </w:rPr>
              <w:t xml:space="preserve"> </w:t>
            </w:r>
            <w:r w:rsidR="00D7595A" w:rsidRPr="00565A19">
              <w:rPr>
                <w:rFonts w:asciiTheme="majorHAnsi" w:hAnsiTheme="majorHAnsi" w:cs="Arial"/>
                <w:b w:val="0"/>
                <w:sz w:val="20"/>
                <w:szCs w:val="20"/>
                <w:lang w:val="fr-CA"/>
              </w:rPr>
              <w:t xml:space="preserve">pourraient aussi être réalisés pour atteindre un public plus vaste. </w:t>
            </w:r>
          </w:p>
          <w:p w14:paraId="4219AA2D" w14:textId="77777777" w:rsidR="00914A1A" w:rsidRPr="00565A19" w:rsidRDefault="00914A1A" w:rsidP="00B24027">
            <w:pPr>
              <w:keepNext/>
              <w:keepLines/>
              <w:rPr>
                <w:rFonts w:asciiTheme="majorHAnsi" w:hAnsiTheme="majorHAnsi" w:cs="Arial"/>
                <w:b w:val="0"/>
                <w:sz w:val="20"/>
                <w:szCs w:val="20"/>
                <w:lang w:val="fr-CA"/>
              </w:rPr>
            </w:pPr>
          </w:p>
          <w:p w14:paraId="09DD846E" w14:textId="0C7027D2" w:rsidR="00914A1A" w:rsidRPr="00565A19" w:rsidRDefault="00931645" w:rsidP="00185310">
            <w:pPr>
              <w:keepNext/>
              <w:keepLines/>
              <w:rPr>
                <w:rFonts w:asciiTheme="majorHAnsi" w:hAnsiTheme="majorHAnsi" w:cs="Arial"/>
                <w:b w:val="0"/>
                <w:sz w:val="20"/>
                <w:szCs w:val="20"/>
                <w:lang w:val="fr-CA"/>
              </w:rPr>
            </w:pPr>
            <w:r w:rsidRPr="00565A19">
              <w:rPr>
                <w:rFonts w:asciiTheme="majorHAnsi" w:hAnsiTheme="majorHAnsi" w:cs="Arial"/>
                <w:b w:val="0"/>
                <w:sz w:val="20"/>
                <w:szCs w:val="20"/>
                <w:u w:val="single"/>
                <w:lang w:val="fr-CA"/>
              </w:rPr>
              <w:t>Public(s) ciblé(s)</w:t>
            </w:r>
            <w:r w:rsidRPr="00565A19">
              <w:rPr>
                <w:rFonts w:asciiTheme="majorHAnsi" w:hAnsiTheme="majorHAnsi" w:cs="Arial"/>
                <w:b w:val="0"/>
                <w:sz w:val="20"/>
                <w:szCs w:val="20"/>
                <w:lang w:val="fr-CA"/>
              </w:rPr>
              <w:t xml:space="preserve"> : </w:t>
            </w:r>
            <w:r w:rsidR="00D7595A" w:rsidRPr="00565A19">
              <w:rPr>
                <w:rFonts w:asciiTheme="majorHAnsi" w:hAnsiTheme="majorHAnsi" w:cs="Arial"/>
                <w:b w:val="0"/>
                <w:sz w:val="20"/>
                <w:szCs w:val="20"/>
                <w:lang w:val="fr-CA"/>
              </w:rPr>
              <w:t>Décideurs</w:t>
            </w:r>
            <w:r w:rsidR="00E01336" w:rsidRPr="00565A19">
              <w:rPr>
                <w:rFonts w:asciiTheme="majorHAnsi" w:hAnsiTheme="majorHAnsi" w:cs="Arial"/>
                <w:b w:val="0"/>
                <w:sz w:val="20"/>
                <w:szCs w:val="20"/>
                <w:lang w:val="fr-CA"/>
              </w:rPr>
              <w:t xml:space="preserve"> </w:t>
            </w:r>
            <w:r w:rsidR="00D7595A" w:rsidRPr="00565A19">
              <w:rPr>
                <w:rFonts w:asciiTheme="majorHAnsi" w:hAnsiTheme="majorHAnsi" w:cs="Arial"/>
                <w:b w:val="0"/>
                <w:sz w:val="20"/>
                <w:szCs w:val="20"/>
                <w:lang w:val="fr-CA"/>
              </w:rPr>
              <w:t xml:space="preserve">et praticiens (administrateurs de </w:t>
            </w:r>
            <w:r w:rsidR="00185310" w:rsidRPr="00565A19">
              <w:rPr>
                <w:rFonts w:asciiTheme="majorHAnsi" w:hAnsiTheme="majorHAnsi" w:cs="Arial"/>
                <w:b w:val="0"/>
                <w:sz w:val="20"/>
                <w:szCs w:val="20"/>
                <w:lang w:val="fr-CA"/>
              </w:rPr>
              <w:t>zones humides</w:t>
            </w:r>
            <w:r w:rsidR="00D7595A" w:rsidRPr="00565A19">
              <w:rPr>
                <w:rFonts w:asciiTheme="majorHAnsi" w:hAnsiTheme="majorHAnsi" w:cs="Arial"/>
                <w:b w:val="0"/>
                <w:sz w:val="20"/>
                <w:szCs w:val="20"/>
                <w:lang w:val="fr-CA"/>
              </w:rPr>
              <w:t xml:space="preserve">). À noter que les résultats peuvent être utiles pour mobiliser des ressources </w:t>
            </w:r>
            <w:r w:rsidR="00A1768B" w:rsidRPr="00565A19">
              <w:rPr>
                <w:rFonts w:asciiTheme="majorHAnsi" w:hAnsiTheme="majorHAnsi" w:cs="Arial"/>
                <w:b w:val="0"/>
                <w:sz w:val="20"/>
                <w:szCs w:val="20"/>
                <w:lang w:val="fr-CA"/>
              </w:rPr>
              <w:t>aux fins de</w:t>
            </w:r>
            <w:r w:rsidR="00D7595A" w:rsidRPr="00565A19">
              <w:rPr>
                <w:rFonts w:asciiTheme="majorHAnsi" w:hAnsiTheme="majorHAnsi" w:cs="Arial"/>
                <w:b w:val="0"/>
                <w:sz w:val="20"/>
                <w:szCs w:val="20"/>
                <w:lang w:val="fr-CA"/>
              </w:rPr>
              <w:t xml:space="preserve"> conduire de nouvelles MCR. </w:t>
            </w:r>
          </w:p>
        </w:tc>
        <w:tc>
          <w:tcPr>
            <w:tcW w:w="494" w:type="pct"/>
          </w:tcPr>
          <w:p w14:paraId="0FD5C892" w14:textId="687D8A40" w:rsidR="00914A1A" w:rsidRPr="00565A19" w:rsidRDefault="0007003F" w:rsidP="0007003F">
            <w:pPr>
              <w:rPr>
                <w:rFonts w:asciiTheme="majorHAnsi" w:hAnsiTheme="majorHAnsi" w:cs="Arial"/>
                <w:b w:val="0"/>
                <w:sz w:val="20"/>
                <w:szCs w:val="20"/>
                <w:lang w:val="fr-CA"/>
              </w:rPr>
            </w:pPr>
            <w:r>
              <w:rPr>
                <w:rFonts w:asciiTheme="majorHAnsi" w:hAnsiTheme="majorHAnsi" w:cs="Arial"/>
                <w:b w:val="0"/>
                <w:sz w:val="20"/>
                <w:szCs w:val="20"/>
                <w:lang w:val="fr-CA"/>
              </w:rPr>
              <w:t>Jusqu’à</w:t>
            </w:r>
            <w:r w:rsidR="00185310" w:rsidRPr="00565A19">
              <w:rPr>
                <w:rFonts w:asciiTheme="majorHAnsi" w:hAnsiTheme="majorHAnsi" w:cs="Arial"/>
                <w:b w:val="0"/>
                <w:sz w:val="20"/>
                <w:szCs w:val="20"/>
                <w:lang w:val="fr-CA"/>
              </w:rPr>
              <w:t xml:space="preserve"> 44</w:t>
            </w:r>
            <w:r w:rsidR="00485A40">
              <w:rPr>
                <w:rFonts w:asciiTheme="majorHAnsi" w:hAnsiTheme="majorHAnsi" w:cs="Arial"/>
                <w:b w:val="0"/>
                <w:sz w:val="20"/>
                <w:szCs w:val="20"/>
                <w:lang w:val="fr-CA"/>
              </w:rPr>
              <w:t> </w:t>
            </w:r>
            <w:r w:rsidR="00185310" w:rsidRPr="00565A19">
              <w:rPr>
                <w:rFonts w:asciiTheme="majorHAnsi" w:hAnsiTheme="majorHAnsi" w:cs="Arial"/>
                <w:b w:val="0"/>
                <w:sz w:val="20"/>
                <w:szCs w:val="20"/>
                <w:lang w:val="fr-CA"/>
              </w:rPr>
              <w:t>000</w:t>
            </w:r>
            <w:r w:rsidR="00185310" w:rsidRPr="00565A19" w:rsidDel="00362718">
              <w:rPr>
                <w:rFonts w:asciiTheme="majorHAnsi" w:hAnsiTheme="majorHAnsi" w:cs="Arial"/>
                <w:b w:val="0"/>
                <w:sz w:val="20"/>
                <w:szCs w:val="20"/>
                <w:lang w:val="fr-CA"/>
              </w:rPr>
              <w:t xml:space="preserve"> </w:t>
            </w:r>
            <w:r w:rsidR="00185310" w:rsidRPr="00565A19">
              <w:rPr>
                <w:rFonts w:asciiTheme="majorHAnsi" w:hAnsiTheme="majorHAnsi" w:cs="Arial"/>
                <w:b w:val="0"/>
                <w:sz w:val="20"/>
                <w:szCs w:val="20"/>
                <w:lang w:val="fr-CA"/>
              </w:rPr>
              <w:t>[</w:t>
            </w:r>
            <w:r>
              <w:rPr>
                <w:rFonts w:asciiTheme="majorHAnsi" w:hAnsiTheme="majorHAnsi" w:cs="Arial"/>
                <w:b w:val="0"/>
                <w:sz w:val="20"/>
                <w:szCs w:val="20"/>
                <w:lang w:val="fr-CA"/>
              </w:rPr>
              <w:t xml:space="preserve">dont </w:t>
            </w:r>
            <w:r w:rsidR="00185310" w:rsidRPr="00565A19">
              <w:rPr>
                <w:rFonts w:asciiTheme="majorHAnsi" w:hAnsiTheme="majorHAnsi" w:cs="Arial"/>
                <w:b w:val="0"/>
                <w:sz w:val="20"/>
                <w:szCs w:val="20"/>
                <w:lang w:val="fr-CA"/>
              </w:rPr>
              <w:t>22</w:t>
            </w:r>
            <w:r w:rsidR="00485A40">
              <w:rPr>
                <w:rFonts w:asciiTheme="majorHAnsi" w:hAnsiTheme="majorHAnsi" w:cs="Arial"/>
                <w:b w:val="0"/>
                <w:sz w:val="20"/>
                <w:szCs w:val="20"/>
                <w:lang w:val="fr-CA"/>
              </w:rPr>
              <w:t> </w:t>
            </w:r>
            <w:r w:rsidR="00185310" w:rsidRPr="00565A19">
              <w:rPr>
                <w:rFonts w:asciiTheme="majorHAnsi" w:hAnsiTheme="majorHAnsi" w:cs="Arial"/>
                <w:b w:val="0"/>
                <w:sz w:val="20"/>
                <w:szCs w:val="20"/>
                <w:lang w:val="fr-CA"/>
              </w:rPr>
              <w:t xml:space="preserve">000 </w:t>
            </w:r>
            <w:r>
              <w:rPr>
                <w:rFonts w:asciiTheme="majorHAnsi" w:hAnsiTheme="majorHAnsi" w:cs="Arial"/>
                <w:b w:val="0"/>
                <w:sz w:val="20"/>
                <w:szCs w:val="20"/>
                <w:lang w:val="fr-CA"/>
              </w:rPr>
              <w:t xml:space="preserve">seront fournis par le WWF pour couvrir les coûts d’un consultant chargé de produire une analyse complète; </w:t>
            </w:r>
            <w:r w:rsidR="00185310" w:rsidRPr="00565A19">
              <w:rPr>
                <w:rFonts w:asciiTheme="majorHAnsi" w:hAnsiTheme="majorHAnsi" w:cs="Arial"/>
                <w:b w:val="0"/>
                <w:sz w:val="20"/>
                <w:szCs w:val="20"/>
                <w:lang w:val="fr-CA"/>
              </w:rPr>
              <w:t xml:space="preserve">9000 </w:t>
            </w:r>
            <w:r>
              <w:rPr>
                <w:rFonts w:asciiTheme="majorHAnsi" w:hAnsiTheme="majorHAnsi" w:cs="Arial"/>
                <w:b w:val="0"/>
                <w:sz w:val="20"/>
                <w:szCs w:val="20"/>
                <w:lang w:val="fr-CA"/>
              </w:rPr>
              <w:t xml:space="preserve">des fonds du GEST pour un document d’orientation et </w:t>
            </w:r>
            <w:r w:rsidR="00185310" w:rsidRPr="00565A19">
              <w:rPr>
                <w:rFonts w:asciiTheme="majorHAnsi" w:hAnsiTheme="majorHAnsi" w:cs="Arial"/>
                <w:b w:val="0"/>
                <w:sz w:val="20"/>
                <w:szCs w:val="20"/>
                <w:lang w:val="fr-CA"/>
              </w:rPr>
              <w:t>13</w:t>
            </w:r>
            <w:r w:rsidR="00485A40">
              <w:rPr>
                <w:rFonts w:asciiTheme="majorHAnsi" w:hAnsiTheme="majorHAnsi" w:cs="Arial"/>
                <w:b w:val="0"/>
                <w:sz w:val="20"/>
                <w:szCs w:val="20"/>
                <w:lang w:val="fr-CA"/>
              </w:rPr>
              <w:t> </w:t>
            </w:r>
            <w:r w:rsidR="00185310" w:rsidRPr="00565A19">
              <w:rPr>
                <w:rFonts w:asciiTheme="majorHAnsi" w:hAnsiTheme="majorHAnsi" w:cs="Arial"/>
                <w:b w:val="0"/>
                <w:sz w:val="20"/>
                <w:szCs w:val="20"/>
                <w:lang w:val="fr-CA"/>
              </w:rPr>
              <w:t xml:space="preserve">000 </w:t>
            </w:r>
            <w:r>
              <w:rPr>
                <w:rFonts w:asciiTheme="majorHAnsi" w:hAnsiTheme="majorHAnsi" w:cs="Arial"/>
                <w:b w:val="0"/>
                <w:sz w:val="20"/>
                <w:szCs w:val="20"/>
                <w:lang w:val="fr-CA"/>
              </w:rPr>
              <w:t>pour une note d’information. Veuillez noter qu’il n’y a pas d’incidences financières pour le GEST associées à la production de webinaires car le Secrétariat dispose déjà du logiciel requis</w:t>
            </w:r>
            <w:r w:rsidR="00185310" w:rsidRPr="00565A19">
              <w:rPr>
                <w:rFonts w:asciiTheme="majorHAnsi" w:hAnsiTheme="majorHAnsi" w:cs="Arial"/>
                <w:b w:val="0"/>
                <w:sz w:val="20"/>
                <w:szCs w:val="20"/>
                <w:lang w:val="fr-CA"/>
              </w:rPr>
              <w:t>]</w:t>
            </w:r>
          </w:p>
        </w:tc>
      </w:tr>
      <w:tr w:rsidR="00E01336" w:rsidRPr="00833360" w14:paraId="304B2F84" w14:textId="77777777" w:rsidTr="00C139E4">
        <w:tc>
          <w:tcPr>
            <w:tcW w:w="513" w:type="pct"/>
          </w:tcPr>
          <w:p w14:paraId="1258BA94" w14:textId="4313D6FB" w:rsidR="00914A1A" w:rsidRPr="00565A19" w:rsidRDefault="00914A1A" w:rsidP="00795F3C">
            <w:pPr>
              <w:rPr>
                <w:rFonts w:asciiTheme="majorHAnsi" w:hAnsiTheme="majorHAnsi" w:cs="Arial"/>
                <w:b w:val="0"/>
                <w:sz w:val="20"/>
                <w:szCs w:val="20"/>
                <w:lang w:val="fr-CA"/>
              </w:rPr>
            </w:pPr>
            <w:r w:rsidRPr="00565A19">
              <w:rPr>
                <w:rFonts w:asciiTheme="majorHAnsi" w:hAnsiTheme="majorHAnsi" w:cs="Arial"/>
                <w:b w:val="0"/>
                <w:sz w:val="20"/>
                <w:szCs w:val="20"/>
                <w:lang w:val="fr-CA"/>
              </w:rPr>
              <w:t>4.3</w:t>
            </w:r>
            <w:r w:rsidR="00E01336" w:rsidRPr="00565A19">
              <w:rPr>
                <w:rFonts w:asciiTheme="majorHAnsi" w:hAnsiTheme="majorHAnsi" w:cs="Arial"/>
                <w:b w:val="0"/>
                <w:sz w:val="20"/>
                <w:szCs w:val="20"/>
                <w:lang w:val="fr-CA"/>
              </w:rPr>
              <w:t xml:space="preserve"> </w:t>
            </w:r>
            <w:r w:rsidR="00795F3C" w:rsidRPr="00565A19">
              <w:rPr>
                <w:rFonts w:asciiTheme="majorHAnsi" w:hAnsiTheme="majorHAnsi" w:cs="Arial"/>
                <w:b w:val="0"/>
                <w:sz w:val="20"/>
                <w:szCs w:val="20"/>
                <w:lang w:val="fr-CA"/>
              </w:rPr>
              <w:t>L</w:t>
            </w:r>
            <w:r w:rsidR="00D7595A" w:rsidRPr="00565A19">
              <w:rPr>
                <w:rFonts w:asciiTheme="majorHAnsi" w:hAnsiTheme="majorHAnsi" w:cs="Arial"/>
                <w:b w:val="0"/>
                <w:sz w:val="20"/>
                <w:szCs w:val="20"/>
                <w:lang w:val="fr-CA"/>
              </w:rPr>
              <w:t>’a</w:t>
            </w:r>
            <w:r w:rsidRPr="00565A19">
              <w:rPr>
                <w:rFonts w:asciiTheme="majorHAnsi" w:hAnsiTheme="majorHAnsi" w:cs="Arial"/>
                <w:b w:val="0"/>
                <w:sz w:val="20"/>
                <w:szCs w:val="20"/>
                <w:lang w:val="fr-CA"/>
              </w:rPr>
              <w:t>quaculture</w:t>
            </w:r>
            <w:r w:rsidR="00E01336" w:rsidRPr="00565A19">
              <w:rPr>
                <w:rFonts w:asciiTheme="majorHAnsi" w:hAnsiTheme="majorHAnsi" w:cs="Arial"/>
                <w:b w:val="0"/>
                <w:sz w:val="20"/>
                <w:szCs w:val="20"/>
                <w:lang w:val="fr-CA"/>
              </w:rPr>
              <w:t xml:space="preserve"> </w:t>
            </w:r>
            <w:r w:rsidR="00D7595A" w:rsidRPr="00565A19">
              <w:rPr>
                <w:rFonts w:asciiTheme="majorHAnsi" w:hAnsiTheme="majorHAnsi" w:cs="Arial"/>
                <w:b w:val="0"/>
                <w:sz w:val="20"/>
                <w:szCs w:val="20"/>
                <w:lang w:val="fr-CA"/>
              </w:rPr>
              <w:t xml:space="preserve">et </w:t>
            </w:r>
            <w:r w:rsidR="00795F3C" w:rsidRPr="00565A19">
              <w:rPr>
                <w:rFonts w:asciiTheme="majorHAnsi" w:hAnsiTheme="majorHAnsi" w:cs="Arial"/>
                <w:b w:val="0"/>
                <w:sz w:val="20"/>
                <w:szCs w:val="20"/>
                <w:lang w:val="fr-CA"/>
              </w:rPr>
              <w:t>l’</w:t>
            </w:r>
            <w:r w:rsidR="00D7595A" w:rsidRPr="00565A19">
              <w:rPr>
                <w:rFonts w:asciiTheme="majorHAnsi" w:hAnsiTheme="majorHAnsi" w:cs="Arial"/>
                <w:b w:val="0"/>
                <w:sz w:val="20"/>
                <w:szCs w:val="20"/>
                <w:lang w:val="fr-CA"/>
              </w:rPr>
              <w:t xml:space="preserve">utilisation rationnelle des </w:t>
            </w:r>
            <w:r w:rsidR="00D7595A" w:rsidRPr="00565A19">
              <w:rPr>
                <w:rFonts w:asciiTheme="majorHAnsi" w:hAnsiTheme="majorHAnsi" w:cs="Arial"/>
                <w:b w:val="0"/>
                <w:sz w:val="20"/>
                <w:szCs w:val="20"/>
                <w:lang w:val="fr-CA"/>
              </w:rPr>
              <w:lastRenderedPageBreak/>
              <w:t xml:space="preserve">zones humides </w:t>
            </w:r>
          </w:p>
        </w:tc>
        <w:tc>
          <w:tcPr>
            <w:tcW w:w="300" w:type="pct"/>
          </w:tcPr>
          <w:p w14:paraId="70FA8239" w14:textId="77777777" w:rsidR="00914A1A" w:rsidRPr="00565A19" w:rsidRDefault="00914A1A" w:rsidP="00914A1A">
            <w:pPr>
              <w:rPr>
                <w:rFonts w:asciiTheme="majorHAnsi" w:hAnsiTheme="majorHAnsi" w:cs="Arial"/>
                <w:b w:val="0"/>
                <w:sz w:val="20"/>
                <w:szCs w:val="20"/>
                <w:lang w:val="fr-CA"/>
              </w:rPr>
            </w:pPr>
          </w:p>
        </w:tc>
        <w:tc>
          <w:tcPr>
            <w:tcW w:w="360" w:type="pct"/>
          </w:tcPr>
          <w:p w14:paraId="5562C954" w14:textId="26CF77BE" w:rsidR="00914A1A" w:rsidRPr="00565A19" w:rsidRDefault="00185310" w:rsidP="00914A1A">
            <w:pPr>
              <w:rPr>
                <w:rFonts w:asciiTheme="majorHAnsi" w:hAnsiTheme="majorHAnsi" w:cs="Arial"/>
                <w:b w:val="0"/>
                <w:sz w:val="20"/>
                <w:szCs w:val="20"/>
                <w:lang w:val="fr-CA"/>
              </w:rPr>
            </w:pPr>
            <w:r w:rsidRPr="00565A19">
              <w:rPr>
                <w:rFonts w:asciiTheme="majorHAnsi" w:hAnsiTheme="majorHAnsi" w:cs="Arial"/>
                <w:b w:val="0"/>
                <w:sz w:val="20"/>
                <w:szCs w:val="20"/>
                <w:lang w:val="fr-CA"/>
              </w:rPr>
              <w:t xml:space="preserve">XII.5, </w:t>
            </w:r>
            <w:r w:rsidR="004B32FB">
              <w:rPr>
                <w:rFonts w:asciiTheme="majorHAnsi" w:hAnsiTheme="majorHAnsi" w:cs="Arial"/>
                <w:b w:val="0"/>
                <w:sz w:val="20"/>
                <w:szCs w:val="20"/>
                <w:lang w:val="fr-CA"/>
              </w:rPr>
              <w:t>annexe</w:t>
            </w:r>
            <w:r w:rsidRPr="00565A19">
              <w:rPr>
                <w:rFonts w:asciiTheme="majorHAnsi" w:hAnsiTheme="majorHAnsi" w:cs="Arial"/>
                <w:b w:val="0"/>
                <w:sz w:val="20"/>
                <w:szCs w:val="20"/>
                <w:lang w:val="fr-CA"/>
              </w:rPr>
              <w:t xml:space="preserve"> 1, </w:t>
            </w:r>
            <w:r w:rsidRPr="00565A19">
              <w:rPr>
                <w:rFonts w:ascii="Calibri" w:hAnsi="Calibri" w:cs="Arial"/>
                <w:b w:val="0"/>
                <w:sz w:val="20"/>
                <w:szCs w:val="20"/>
                <w:lang w:val="fr-CA"/>
              </w:rPr>
              <w:t>¶</w:t>
            </w:r>
            <w:r w:rsidR="001979B9">
              <w:rPr>
                <w:rFonts w:asciiTheme="majorHAnsi" w:hAnsiTheme="majorHAnsi" w:cs="Arial"/>
                <w:b w:val="0"/>
                <w:sz w:val="20"/>
                <w:szCs w:val="20"/>
                <w:lang w:val="fr-CA"/>
              </w:rPr>
              <w:t>¶</w:t>
            </w:r>
            <w:r w:rsidRPr="00565A19">
              <w:rPr>
                <w:rFonts w:ascii="Calibri" w:hAnsi="Calibri" w:cs="Arial"/>
                <w:b w:val="0"/>
                <w:sz w:val="20"/>
                <w:szCs w:val="20"/>
                <w:lang w:val="fr-CA"/>
              </w:rPr>
              <w:t xml:space="preserve"> 1-2</w:t>
            </w:r>
          </w:p>
        </w:tc>
        <w:tc>
          <w:tcPr>
            <w:tcW w:w="388" w:type="pct"/>
          </w:tcPr>
          <w:p w14:paraId="49D288D6" w14:textId="463D4A88" w:rsidR="00914A1A" w:rsidRPr="00565A19" w:rsidRDefault="00185310" w:rsidP="00914A1A">
            <w:pPr>
              <w:rPr>
                <w:rFonts w:asciiTheme="majorHAnsi" w:hAnsiTheme="majorHAnsi" w:cs="Arial"/>
                <w:b w:val="0"/>
                <w:sz w:val="20"/>
                <w:szCs w:val="20"/>
                <w:lang w:val="fr-CA"/>
              </w:rPr>
            </w:pPr>
            <w:r w:rsidRPr="00565A19">
              <w:rPr>
                <w:rFonts w:asciiTheme="majorHAnsi" w:hAnsiTheme="majorHAnsi" w:cs="Arial"/>
                <w:b w:val="0"/>
                <w:sz w:val="20"/>
                <w:szCs w:val="20"/>
                <w:lang w:val="fr-CA"/>
              </w:rPr>
              <w:t xml:space="preserve">1.1, 1.2, 1.3, 1.4; 2.5, 2.7; 3.8, 3.9, </w:t>
            </w:r>
            <w:r w:rsidRPr="00565A19">
              <w:rPr>
                <w:rFonts w:asciiTheme="majorHAnsi" w:hAnsiTheme="majorHAnsi" w:cs="Arial"/>
                <w:b w:val="0"/>
                <w:sz w:val="20"/>
                <w:szCs w:val="20"/>
                <w:lang w:val="fr-CA"/>
              </w:rPr>
              <w:lastRenderedPageBreak/>
              <w:t>3.11, 3.12, 3.13; 4.14</w:t>
            </w:r>
          </w:p>
        </w:tc>
        <w:tc>
          <w:tcPr>
            <w:tcW w:w="2945" w:type="pct"/>
          </w:tcPr>
          <w:p w14:paraId="2CD8541B" w14:textId="068C9AF0" w:rsidR="00914A1A" w:rsidRPr="00565A19" w:rsidRDefault="00931645" w:rsidP="00914A1A">
            <w:pPr>
              <w:rPr>
                <w:rFonts w:asciiTheme="majorHAnsi" w:hAnsiTheme="majorHAnsi" w:cs="Arial"/>
                <w:b w:val="0"/>
                <w:sz w:val="20"/>
                <w:szCs w:val="20"/>
                <w:lang w:val="fr-CA"/>
              </w:rPr>
            </w:pPr>
            <w:r w:rsidRPr="00565A19">
              <w:rPr>
                <w:rFonts w:asciiTheme="majorHAnsi" w:hAnsiTheme="majorHAnsi" w:cs="Arial"/>
                <w:b w:val="0"/>
                <w:sz w:val="20"/>
                <w:szCs w:val="20"/>
                <w:u w:val="single"/>
                <w:lang w:val="fr-CA"/>
              </w:rPr>
              <w:lastRenderedPageBreak/>
              <w:t>Description de tâche</w:t>
            </w:r>
            <w:r w:rsidRPr="00565A19">
              <w:rPr>
                <w:rFonts w:asciiTheme="majorHAnsi" w:hAnsiTheme="majorHAnsi" w:cs="Arial"/>
                <w:b w:val="0"/>
                <w:sz w:val="20"/>
                <w:szCs w:val="20"/>
                <w:lang w:val="fr-CA"/>
              </w:rPr>
              <w:t xml:space="preserve"> : </w:t>
            </w:r>
            <w:r w:rsidR="00410B85" w:rsidRPr="00565A19">
              <w:rPr>
                <w:rFonts w:asciiTheme="majorHAnsi" w:hAnsiTheme="majorHAnsi" w:cs="Arial"/>
                <w:b w:val="0"/>
                <w:sz w:val="20"/>
                <w:szCs w:val="20"/>
                <w:lang w:val="fr-CA"/>
              </w:rPr>
              <w:t xml:space="preserve">Relier les principaux types de systèmes de production </w:t>
            </w:r>
            <w:r w:rsidR="00A1768B" w:rsidRPr="00565A19">
              <w:rPr>
                <w:rFonts w:asciiTheme="majorHAnsi" w:hAnsiTheme="majorHAnsi" w:cs="Arial"/>
                <w:b w:val="0"/>
                <w:sz w:val="20"/>
                <w:szCs w:val="20"/>
                <w:lang w:val="fr-CA"/>
              </w:rPr>
              <w:t>en aquaculture</w:t>
            </w:r>
            <w:r w:rsidR="00410B85" w:rsidRPr="00565A19">
              <w:rPr>
                <w:rFonts w:asciiTheme="majorHAnsi" w:hAnsiTheme="majorHAnsi" w:cs="Arial"/>
                <w:b w:val="0"/>
                <w:sz w:val="20"/>
                <w:szCs w:val="20"/>
                <w:lang w:val="fr-CA"/>
              </w:rPr>
              <w:t xml:space="preserve"> au système de classification des zones humides Ramsar, dans le contexte du cadre de gouvernance interactif. </w:t>
            </w:r>
            <w:r w:rsidR="00185310" w:rsidRPr="00565A19">
              <w:rPr>
                <w:rFonts w:asciiTheme="majorHAnsi" w:hAnsiTheme="majorHAnsi" w:cs="Arial"/>
                <w:b w:val="0"/>
                <w:sz w:val="20"/>
                <w:szCs w:val="20"/>
                <w:lang w:val="fr-CA"/>
              </w:rPr>
              <w:t>Il s’agit d’informer les</w:t>
            </w:r>
            <w:r w:rsidR="00410B85" w:rsidRPr="00565A19">
              <w:rPr>
                <w:rFonts w:asciiTheme="majorHAnsi" w:hAnsiTheme="majorHAnsi" w:cs="Arial"/>
                <w:b w:val="0"/>
                <w:sz w:val="20"/>
                <w:szCs w:val="20"/>
                <w:lang w:val="fr-CA"/>
              </w:rPr>
              <w:t xml:space="preserve"> décideurs </w:t>
            </w:r>
            <w:r w:rsidR="00A1768B" w:rsidRPr="00565A19">
              <w:rPr>
                <w:rFonts w:asciiTheme="majorHAnsi" w:hAnsiTheme="majorHAnsi" w:cs="Arial"/>
                <w:b w:val="0"/>
                <w:sz w:val="20"/>
                <w:szCs w:val="20"/>
                <w:lang w:val="fr-CA"/>
              </w:rPr>
              <w:t>des</w:t>
            </w:r>
            <w:r w:rsidR="00410B85" w:rsidRPr="00565A19">
              <w:rPr>
                <w:rFonts w:asciiTheme="majorHAnsi" w:hAnsiTheme="majorHAnsi" w:cs="Arial"/>
                <w:b w:val="0"/>
                <w:sz w:val="20"/>
                <w:szCs w:val="20"/>
                <w:lang w:val="fr-CA"/>
              </w:rPr>
              <w:t xml:space="preserve"> secteurs de la conservation, de l’aquaculture et des finances </w:t>
            </w:r>
            <w:r w:rsidR="00185310" w:rsidRPr="00565A19">
              <w:rPr>
                <w:rFonts w:asciiTheme="majorHAnsi" w:hAnsiTheme="majorHAnsi" w:cs="Arial"/>
                <w:b w:val="0"/>
                <w:sz w:val="20"/>
                <w:szCs w:val="20"/>
                <w:lang w:val="fr-CA"/>
              </w:rPr>
              <w:t>sur les</w:t>
            </w:r>
            <w:r w:rsidR="00855403">
              <w:rPr>
                <w:rFonts w:asciiTheme="majorHAnsi" w:hAnsiTheme="majorHAnsi" w:cs="Arial"/>
                <w:b w:val="0"/>
                <w:sz w:val="20"/>
                <w:szCs w:val="20"/>
                <w:lang w:val="fr-CA"/>
              </w:rPr>
              <w:t xml:space="preserve"> </w:t>
            </w:r>
            <w:r w:rsidR="00185310" w:rsidRPr="00565A19">
              <w:rPr>
                <w:rFonts w:asciiTheme="majorHAnsi" w:hAnsiTheme="majorHAnsi" w:cs="Arial"/>
                <w:b w:val="0"/>
                <w:sz w:val="20"/>
                <w:szCs w:val="20"/>
                <w:lang w:val="fr-CA"/>
              </w:rPr>
              <w:t xml:space="preserve">impacts </w:t>
            </w:r>
            <w:r w:rsidR="00410B85" w:rsidRPr="00565A19">
              <w:rPr>
                <w:rFonts w:asciiTheme="majorHAnsi" w:hAnsiTheme="majorHAnsi" w:cs="Arial"/>
                <w:b w:val="0"/>
                <w:sz w:val="20"/>
                <w:szCs w:val="20"/>
                <w:lang w:val="fr-CA"/>
              </w:rPr>
              <w:t xml:space="preserve">environnementaux et sociaux de l’aquaculture. Le document d’orientation </w:t>
            </w:r>
            <w:r w:rsidR="00185310" w:rsidRPr="00565A19">
              <w:rPr>
                <w:rFonts w:asciiTheme="majorHAnsi" w:hAnsiTheme="majorHAnsi" w:cs="Arial"/>
                <w:b w:val="0"/>
                <w:sz w:val="20"/>
                <w:szCs w:val="20"/>
                <w:lang w:val="fr-CA"/>
              </w:rPr>
              <w:lastRenderedPageBreak/>
              <w:t xml:space="preserve">discutera des risques posés par </w:t>
            </w:r>
            <w:r w:rsidR="00410B85" w:rsidRPr="00565A19">
              <w:rPr>
                <w:rFonts w:asciiTheme="majorHAnsi" w:hAnsiTheme="majorHAnsi" w:cs="Arial"/>
                <w:b w:val="0"/>
                <w:sz w:val="20"/>
                <w:szCs w:val="20"/>
                <w:lang w:val="fr-CA"/>
              </w:rPr>
              <w:t xml:space="preserve">l’aquaculture </w:t>
            </w:r>
            <w:r w:rsidR="00185310" w:rsidRPr="00565A19">
              <w:rPr>
                <w:rFonts w:asciiTheme="majorHAnsi" w:hAnsiTheme="majorHAnsi" w:cs="Arial"/>
                <w:b w:val="0"/>
                <w:sz w:val="20"/>
                <w:szCs w:val="20"/>
                <w:lang w:val="fr-CA"/>
              </w:rPr>
              <w:t>et de son potentiel</w:t>
            </w:r>
            <w:r w:rsidR="00795F3C" w:rsidRPr="00565A19">
              <w:rPr>
                <w:rFonts w:asciiTheme="majorHAnsi" w:hAnsiTheme="majorHAnsi" w:cs="Arial"/>
                <w:b w:val="0"/>
                <w:sz w:val="20"/>
                <w:szCs w:val="20"/>
                <w:lang w:val="fr-CA"/>
              </w:rPr>
              <w:t xml:space="preserve"> </w:t>
            </w:r>
            <w:r w:rsidR="00410B85" w:rsidRPr="00565A19">
              <w:rPr>
                <w:rFonts w:asciiTheme="majorHAnsi" w:hAnsiTheme="majorHAnsi" w:cs="Arial"/>
                <w:b w:val="0"/>
                <w:sz w:val="20"/>
                <w:szCs w:val="20"/>
                <w:lang w:val="fr-CA"/>
              </w:rPr>
              <w:t>pour contribuer à la sécurité alimentaire, à l’utilisation rationnelle des zones humides et, en conséquence, au dével</w:t>
            </w:r>
            <w:r w:rsidR="001979B9">
              <w:rPr>
                <w:rFonts w:asciiTheme="majorHAnsi" w:hAnsiTheme="majorHAnsi" w:cs="Arial"/>
                <w:b w:val="0"/>
                <w:sz w:val="20"/>
                <w:szCs w:val="20"/>
                <w:lang w:val="fr-CA"/>
              </w:rPr>
              <w:t xml:space="preserve">oppement durable et équitable. </w:t>
            </w:r>
          </w:p>
          <w:p w14:paraId="021F6BE6" w14:textId="77777777" w:rsidR="00914A1A" w:rsidRPr="00565A19" w:rsidRDefault="00914A1A" w:rsidP="00914A1A">
            <w:pPr>
              <w:rPr>
                <w:rFonts w:asciiTheme="majorHAnsi" w:hAnsiTheme="majorHAnsi" w:cs="Arial"/>
                <w:b w:val="0"/>
                <w:sz w:val="20"/>
                <w:szCs w:val="20"/>
                <w:lang w:val="fr-CA"/>
              </w:rPr>
            </w:pPr>
          </w:p>
          <w:p w14:paraId="0A7B131A" w14:textId="099F3D5C" w:rsidR="00914A1A" w:rsidRPr="00565A19" w:rsidRDefault="00931645" w:rsidP="00914A1A">
            <w:pPr>
              <w:rPr>
                <w:rFonts w:asciiTheme="majorHAnsi" w:hAnsiTheme="majorHAnsi" w:cs="Arial"/>
                <w:b w:val="0"/>
                <w:sz w:val="20"/>
                <w:szCs w:val="20"/>
                <w:lang w:val="fr-CA"/>
              </w:rPr>
            </w:pPr>
            <w:r w:rsidRPr="00565A19">
              <w:rPr>
                <w:rFonts w:asciiTheme="majorHAnsi" w:hAnsiTheme="majorHAnsi" w:cs="Arial"/>
                <w:b w:val="0"/>
                <w:sz w:val="20"/>
                <w:szCs w:val="20"/>
                <w:u w:val="single"/>
                <w:lang w:val="fr-CA"/>
              </w:rPr>
              <w:t>Résultat(s) escompté(s)</w:t>
            </w:r>
            <w:r w:rsidRPr="00565A19">
              <w:rPr>
                <w:rFonts w:asciiTheme="majorHAnsi" w:hAnsiTheme="majorHAnsi" w:cs="Arial"/>
                <w:b w:val="0"/>
                <w:sz w:val="20"/>
                <w:szCs w:val="20"/>
                <w:lang w:val="fr-CA"/>
              </w:rPr>
              <w:t xml:space="preserve"> : </w:t>
            </w:r>
            <w:r w:rsidR="00410B85" w:rsidRPr="00565A19">
              <w:rPr>
                <w:rFonts w:asciiTheme="majorHAnsi" w:hAnsiTheme="majorHAnsi" w:cs="Arial"/>
                <w:b w:val="0"/>
                <w:sz w:val="20"/>
                <w:szCs w:val="20"/>
                <w:lang w:val="fr-CA"/>
              </w:rPr>
              <w:t>Document d’orientation sur l’</w:t>
            </w:r>
            <w:r w:rsidR="00914A1A" w:rsidRPr="00565A19">
              <w:rPr>
                <w:rFonts w:asciiTheme="majorHAnsi" w:hAnsiTheme="majorHAnsi" w:cs="Arial"/>
                <w:b w:val="0"/>
                <w:sz w:val="20"/>
                <w:szCs w:val="20"/>
                <w:lang w:val="fr-CA"/>
              </w:rPr>
              <w:t>aquaculture</w:t>
            </w:r>
            <w:r w:rsidR="00E01336" w:rsidRPr="00565A19">
              <w:rPr>
                <w:rFonts w:asciiTheme="majorHAnsi" w:hAnsiTheme="majorHAnsi" w:cs="Arial"/>
                <w:b w:val="0"/>
                <w:sz w:val="20"/>
                <w:szCs w:val="20"/>
                <w:lang w:val="fr-CA"/>
              </w:rPr>
              <w:t xml:space="preserve"> </w:t>
            </w:r>
            <w:r w:rsidR="00410B85" w:rsidRPr="00565A19">
              <w:rPr>
                <w:rFonts w:asciiTheme="majorHAnsi" w:hAnsiTheme="majorHAnsi" w:cs="Arial"/>
                <w:b w:val="0"/>
                <w:sz w:val="20"/>
                <w:szCs w:val="20"/>
                <w:lang w:val="fr-CA"/>
              </w:rPr>
              <w:t>et l’utilisation rationnelle des zones humides.</w:t>
            </w:r>
          </w:p>
          <w:p w14:paraId="2E9876EF" w14:textId="77777777" w:rsidR="00914A1A" w:rsidRPr="00565A19" w:rsidRDefault="00914A1A" w:rsidP="00914A1A">
            <w:pPr>
              <w:rPr>
                <w:rFonts w:asciiTheme="majorHAnsi" w:hAnsiTheme="majorHAnsi" w:cs="Arial"/>
                <w:b w:val="0"/>
                <w:sz w:val="20"/>
                <w:szCs w:val="20"/>
                <w:lang w:val="fr-CA"/>
              </w:rPr>
            </w:pPr>
          </w:p>
          <w:p w14:paraId="6186B29D" w14:textId="43587DF7" w:rsidR="00914A1A" w:rsidRPr="00565A19" w:rsidRDefault="00931645" w:rsidP="00A1768B">
            <w:pPr>
              <w:rPr>
                <w:rFonts w:asciiTheme="majorHAnsi" w:hAnsiTheme="majorHAnsi" w:cs="Arial"/>
                <w:b w:val="0"/>
                <w:sz w:val="20"/>
                <w:szCs w:val="20"/>
                <w:lang w:val="fr-CA"/>
              </w:rPr>
            </w:pPr>
            <w:r w:rsidRPr="00565A19">
              <w:rPr>
                <w:rFonts w:asciiTheme="majorHAnsi" w:hAnsiTheme="majorHAnsi" w:cs="Arial"/>
                <w:b w:val="0"/>
                <w:sz w:val="20"/>
                <w:szCs w:val="20"/>
                <w:u w:val="single"/>
                <w:lang w:val="fr-CA"/>
              </w:rPr>
              <w:t>Public(s) ciblé(s)</w:t>
            </w:r>
            <w:r w:rsidRPr="00565A19">
              <w:rPr>
                <w:rFonts w:asciiTheme="majorHAnsi" w:hAnsiTheme="majorHAnsi" w:cs="Arial"/>
                <w:b w:val="0"/>
                <w:sz w:val="20"/>
                <w:szCs w:val="20"/>
                <w:lang w:val="fr-CA"/>
              </w:rPr>
              <w:t xml:space="preserve"> : </w:t>
            </w:r>
            <w:r w:rsidR="00410B85" w:rsidRPr="00565A19">
              <w:rPr>
                <w:rFonts w:asciiTheme="majorHAnsi" w:hAnsiTheme="majorHAnsi" w:cs="Arial"/>
                <w:b w:val="0"/>
                <w:sz w:val="20"/>
                <w:szCs w:val="20"/>
                <w:lang w:val="fr-CA"/>
              </w:rPr>
              <w:t xml:space="preserve">Décideurs </w:t>
            </w:r>
            <w:r w:rsidR="00A1768B" w:rsidRPr="00565A19">
              <w:rPr>
                <w:rFonts w:asciiTheme="majorHAnsi" w:hAnsiTheme="majorHAnsi" w:cs="Arial"/>
                <w:b w:val="0"/>
                <w:sz w:val="20"/>
                <w:szCs w:val="20"/>
                <w:lang w:val="fr-CA"/>
              </w:rPr>
              <w:t>des</w:t>
            </w:r>
            <w:r w:rsidR="00410B85" w:rsidRPr="00565A19">
              <w:rPr>
                <w:rFonts w:asciiTheme="majorHAnsi" w:hAnsiTheme="majorHAnsi" w:cs="Arial"/>
                <w:b w:val="0"/>
                <w:sz w:val="20"/>
                <w:szCs w:val="20"/>
                <w:lang w:val="fr-CA"/>
              </w:rPr>
              <w:t xml:space="preserve"> communautés de la conservation et de l’</w:t>
            </w:r>
            <w:r w:rsidR="00914A1A" w:rsidRPr="00565A19">
              <w:rPr>
                <w:rFonts w:asciiTheme="majorHAnsi" w:hAnsiTheme="majorHAnsi" w:cs="Arial"/>
                <w:b w:val="0"/>
                <w:sz w:val="20"/>
                <w:szCs w:val="20"/>
                <w:lang w:val="fr-CA"/>
              </w:rPr>
              <w:t>aquaculture.</w:t>
            </w:r>
            <w:r w:rsidR="00E01336" w:rsidRPr="00565A19">
              <w:rPr>
                <w:rFonts w:asciiTheme="majorHAnsi" w:hAnsiTheme="majorHAnsi" w:cs="Arial"/>
                <w:b w:val="0"/>
                <w:sz w:val="20"/>
                <w:szCs w:val="20"/>
                <w:lang w:val="fr-CA"/>
              </w:rPr>
              <w:t xml:space="preserve"> </w:t>
            </w:r>
          </w:p>
        </w:tc>
        <w:tc>
          <w:tcPr>
            <w:tcW w:w="494" w:type="pct"/>
          </w:tcPr>
          <w:p w14:paraId="077F0E10" w14:textId="6081B938" w:rsidR="00914A1A" w:rsidRPr="00565A19" w:rsidRDefault="00485A40" w:rsidP="004F5487">
            <w:pPr>
              <w:rPr>
                <w:rFonts w:asciiTheme="majorHAnsi" w:hAnsiTheme="majorHAnsi" w:cs="Arial"/>
                <w:b w:val="0"/>
                <w:sz w:val="20"/>
                <w:szCs w:val="20"/>
                <w:lang w:val="fr-CA"/>
              </w:rPr>
            </w:pPr>
            <w:r>
              <w:rPr>
                <w:rFonts w:asciiTheme="majorHAnsi" w:hAnsiTheme="majorHAnsi" w:cs="Arial"/>
                <w:b w:val="0"/>
                <w:sz w:val="20"/>
                <w:szCs w:val="20"/>
                <w:lang w:val="fr-CA"/>
              </w:rPr>
              <w:lastRenderedPageBreak/>
              <w:t>9</w:t>
            </w:r>
            <w:r w:rsidR="00795F3C" w:rsidRPr="00565A19">
              <w:rPr>
                <w:rFonts w:asciiTheme="majorHAnsi" w:hAnsiTheme="majorHAnsi" w:cs="Arial"/>
                <w:b w:val="0"/>
                <w:sz w:val="20"/>
                <w:szCs w:val="20"/>
                <w:lang w:val="fr-CA"/>
              </w:rPr>
              <w:t>000 [</w:t>
            </w:r>
            <w:r w:rsidR="004F5487">
              <w:rPr>
                <w:rFonts w:asciiTheme="majorHAnsi" w:hAnsiTheme="majorHAnsi" w:cs="Arial"/>
                <w:b w:val="0"/>
                <w:sz w:val="20"/>
                <w:szCs w:val="20"/>
                <w:lang w:val="fr-CA"/>
              </w:rPr>
              <w:t xml:space="preserve">possibilité d’organiser un petit atelier de </w:t>
            </w:r>
            <w:r w:rsidR="004F5487">
              <w:rPr>
                <w:rFonts w:asciiTheme="majorHAnsi" w:hAnsiTheme="majorHAnsi" w:cs="Arial"/>
                <w:b w:val="0"/>
                <w:sz w:val="20"/>
                <w:szCs w:val="20"/>
                <w:lang w:val="fr-CA"/>
              </w:rPr>
              <w:lastRenderedPageBreak/>
              <w:t xml:space="preserve">rédaction lié au </w:t>
            </w:r>
            <w:r w:rsidR="00795F3C" w:rsidRPr="00565A19">
              <w:rPr>
                <w:rFonts w:asciiTheme="majorHAnsi" w:hAnsiTheme="majorHAnsi" w:cs="Arial"/>
                <w:b w:val="0"/>
                <w:sz w:val="20"/>
                <w:szCs w:val="20"/>
                <w:lang w:val="fr-CA"/>
              </w:rPr>
              <w:t xml:space="preserve">SoWWS </w:t>
            </w:r>
            <w:r w:rsidR="004F5487">
              <w:rPr>
                <w:rFonts w:asciiTheme="majorHAnsi" w:hAnsiTheme="majorHAnsi" w:cs="Arial"/>
                <w:b w:val="0"/>
                <w:sz w:val="20"/>
                <w:szCs w:val="20"/>
                <w:lang w:val="fr-CA"/>
              </w:rPr>
              <w:t>ou d’autres réunions de rédaction</w:t>
            </w:r>
            <w:r w:rsidR="00795F3C" w:rsidRPr="00565A19">
              <w:rPr>
                <w:rFonts w:asciiTheme="majorHAnsi" w:hAnsiTheme="majorHAnsi" w:cs="Arial"/>
                <w:b w:val="0"/>
                <w:sz w:val="20"/>
                <w:szCs w:val="20"/>
                <w:lang w:val="fr-CA"/>
              </w:rPr>
              <w:t>]</w:t>
            </w:r>
          </w:p>
        </w:tc>
      </w:tr>
    </w:tbl>
    <w:p w14:paraId="4F6A9B2B" w14:textId="04F48F32" w:rsidR="00836984" w:rsidRPr="00251FB6" w:rsidRDefault="00836984" w:rsidP="00914A1A">
      <w:pPr>
        <w:rPr>
          <w:rFonts w:asciiTheme="majorHAnsi" w:hAnsiTheme="majorHAnsi" w:cs="Arial"/>
          <w:sz w:val="20"/>
          <w:szCs w:val="20"/>
          <w:lang w:val="fr-CH"/>
        </w:rPr>
      </w:pPr>
    </w:p>
    <w:tbl>
      <w:tblPr>
        <w:tblStyle w:val="TableGrid"/>
        <w:tblpPr w:leftFromText="180" w:rightFromText="180" w:vertAnchor="page" w:horzAnchor="margin" w:tblpY="4801"/>
        <w:tblW w:w="5000" w:type="pct"/>
        <w:tblLook w:val="04A0" w:firstRow="1" w:lastRow="0" w:firstColumn="1" w:lastColumn="0" w:noHBand="0" w:noVBand="1"/>
      </w:tblPr>
      <w:tblGrid>
        <w:gridCol w:w="14174"/>
      </w:tblGrid>
      <w:tr w:rsidR="00F24C88" w:rsidRPr="00833360" w14:paraId="659F20F4" w14:textId="77777777" w:rsidTr="00F24C88">
        <w:tc>
          <w:tcPr>
            <w:tcW w:w="5000" w:type="pct"/>
            <w:shd w:val="clear" w:color="auto" w:fill="000000" w:themeFill="text1"/>
          </w:tcPr>
          <w:p w14:paraId="54769E2E" w14:textId="77777777" w:rsidR="00F24C88" w:rsidRPr="003F6411" w:rsidRDefault="00F24C88" w:rsidP="00F24C88">
            <w:pPr>
              <w:rPr>
                <w:rFonts w:asciiTheme="majorHAnsi" w:hAnsiTheme="majorHAnsi" w:cs="Arial"/>
                <w:sz w:val="20"/>
                <w:szCs w:val="20"/>
                <w:lang w:val="fr-FR"/>
              </w:rPr>
            </w:pPr>
            <w:r w:rsidRPr="003F6411">
              <w:rPr>
                <w:rFonts w:asciiTheme="majorHAnsi" w:hAnsiTheme="majorHAnsi" w:cs="Arial"/>
                <w:sz w:val="20"/>
                <w:szCs w:val="20"/>
                <w:lang w:val="fr-FR"/>
              </w:rPr>
              <w:t>Domaine de travail thématique n</w:t>
            </w:r>
            <w:r w:rsidRPr="003F6411">
              <w:rPr>
                <w:rFonts w:asciiTheme="majorHAnsi" w:hAnsiTheme="majorHAnsi" w:cs="Arial"/>
                <w:sz w:val="20"/>
                <w:szCs w:val="20"/>
                <w:vertAlign w:val="superscript"/>
                <w:lang w:val="fr-FR"/>
              </w:rPr>
              <w:t>o</w:t>
            </w:r>
            <w:r w:rsidRPr="003F6411">
              <w:rPr>
                <w:rFonts w:asciiTheme="majorHAnsi" w:hAnsiTheme="majorHAnsi" w:cs="Arial"/>
                <w:sz w:val="20"/>
                <w:szCs w:val="20"/>
                <w:lang w:val="fr-FR"/>
              </w:rPr>
              <w:t xml:space="preserve"> 5 : Changements climatiques et zones humides : Méthodologies novatrices pour la restauration des zones humides </w:t>
            </w:r>
          </w:p>
        </w:tc>
      </w:tr>
    </w:tbl>
    <w:p w14:paraId="35261EB9" w14:textId="0895DD81" w:rsidR="00836984" w:rsidRPr="00251FB6" w:rsidRDefault="00836984">
      <w:pPr>
        <w:rPr>
          <w:rFonts w:asciiTheme="majorHAnsi" w:hAnsiTheme="majorHAnsi" w:cs="Arial"/>
          <w:sz w:val="20"/>
          <w:szCs w:val="20"/>
          <w:lang w:val="fr-CH"/>
        </w:rPr>
      </w:pPr>
    </w:p>
    <w:p w14:paraId="13537D24" w14:textId="77777777" w:rsidR="00914A1A" w:rsidRPr="00251FB6" w:rsidRDefault="00914A1A" w:rsidP="00914A1A">
      <w:pPr>
        <w:rPr>
          <w:rFonts w:asciiTheme="majorHAnsi" w:hAnsiTheme="majorHAnsi" w:cs="Arial"/>
          <w:sz w:val="20"/>
          <w:szCs w:val="20"/>
          <w:lang w:val="fr-CH"/>
        </w:rPr>
      </w:pPr>
    </w:p>
    <w:tbl>
      <w:tblPr>
        <w:tblStyle w:val="TableGrid2"/>
        <w:tblW w:w="5000" w:type="pct"/>
        <w:jc w:val="center"/>
        <w:tblLook w:val="04A0" w:firstRow="1" w:lastRow="0" w:firstColumn="1" w:lastColumn="0" w:noHBand="0" w:noVBand="1"/>
      </w:tblPr>
      <w:tblGrid>
        <w:gridCol w:w="3561"/>
        <w:gridCol w:w="10613"/>
      </w:tblGrid>
      <w:tr w:rsidR="00914A1A" w:rsidRPr="00833360" w14:paraId="6599B775" w14:textId="77777777" w:rsidTr="00914A1A">
        <w:trPr>
          <w:jc w:val="center"/>
        </w:trPr>
        <w:tc>
          <w:tcPr>
            <w:tcW w:w="1256" w:type="pct"/>
          </w:tcPr>
          <w:p w14:paraId="112FDD3C" w14:textId="3F6EAAAC" w:rsidR="00914A1A" w:rsidRPr="003F6411" w:rsidRDefault="00A1768B" w:rsidP="00914A1A">
            <w:pPr>
              <w:rPr>
                <w:rFonts w:asciiTheme="majorHAnsi" w:eastAsia="Calibri" w:hAnsiTheme="majorHAnsi" w:cs="Arial"/>
                <w:sz w:val="20"/>
                <w:szCs w:val="20"/>
                <w:lang w:val="fr-FR"/>
              </w:rPr>
            </w:pPr>
            <w:r w:rsidRPr="003F6411">
              <w:rPr>
                <w:rFonts w:asciiTheme="majorHAnsi" w:eastAsia="Calibri" w:hAnsiTheme="majorHAnsi" w:cs="Arial"/>
                <w:sz w:val="20"/>
                <w:szCs w:val="20"/>
                <w:lang w:val="fr-FR"/>
              </w:rPr>
              <w:t>Leader</w:t>
            </w:r>
            <w:r w:rsidR="00C139E4" w:rsidRPr="003F6411">
              <w:rPr>
                <w:rFonts w:asciiTheme="majorHAnsi" w:eastAsia="Calibri" w:hAnsiTheme="majorHAnsi" w:cs="Arial"/>
                <w:sz w:val="20"/>
                <w:szCs w:val="20"/>
                <w:lang w:val="fr-FR"/>
              </w:rPr>
              <w:t>(s) de groupe de travail et participants :</w:t>
            </w:r>
          </w:p>
        </w:tc>
        <w:tc>
          <w:tcPr>
            <w:tcW w:w="3744" w:type="pct"/>
          </w:tcPr>
          <w:p w14:paraId="74471266" w14:textId="2AAC2A18" w:rsidR="00914A1A" w:rsidRPr="003F6411" w:rsidRDefault="007E44F1" w:rsidP="007E44F1">
            <w:pPr>
              <w:rPr>
                <w:rFonts w:asciiTheme="majorHAnsi" w:eastAsia="Calibri" w:hAnsiTheme="majorHAnsi" w:cs="Arial"/>
                <w:b w:val="0"/>
                <w:sz w:val="20"/>
                <w:szCs w:val="20"/>
                <w:lang w:val="fr-FR"/>
              </w:rPr>
            </w:pPr>
            <w:r w:rsidRPr="003F6411">
              <w:rPr>
                <w:rFonts w:asciiTheme="majorHAnsi" w:eastAsia="Calibri" w:hAnsiTheme="majorHAnsi" w:cs="Arial"/>
                <w:b w:val="0"/>
                <w:sz w:val="20"/>
                <w:szCs w:val="20"/>
                <w:lang w:val="fr-FR"/>
              </w:rPr>
              <w:t xml:space="preserve">Susana Aguilar, Peter Davies, Lars Dinesen, </w:t>
            </w:r>
            <w:r w:rsidR="00914A1A" w:rsidRPr="003F6411">
              <w:rPr>
                <w:rFonts w:asciiTheme="majorHAnsi" w:eastAsia="Calibri" w:hAnsiTheme="majorHAnsi" w:cs="Arial"/>
                <w:b w:val="0"/>
                <w:sz w:val="20"/>
                <w:szCs w:val="20"/>
                <w:lang w:val="fr-FR"/>
              </w:rPr>
              <w:t>Siobhan</w:t>
            </w:r>
            <w:r w:rsidR="00E01336" w:rsidRPr="003F6411">
              <w:rPr>
                <w:rFonts w:asciiTheme="majorHAnsi" w:eastAsia="Calibri" w:hAnsiTheme="majorHAnsi" w:cs="Arial"/>
                <w:b w:val="0"/>
                <w:sz w:val="20"/>
                <w:szCs w:val="20"/>
                <w:lang w:val="fr-FR"/>
              </w:rPr>
              <w:t xml:space="preserve"> </w:t>
            </w:r>
            <w:r w:rsidR="00914A1A" w:rsidRPr="003F6411">
              <w:rPr>
                <w:rFonts w:asciiTheme="majorHAnsi" w:eastAsia="Calibri" w:hAnsiTheme="majorHAnsi" w:cs="Arial"/>
                <w:b w:val="0"/>
                <w:sz w:val="20"/>
                <w:szCs w:val="20"/>
                <w:lang w:val="fr-FR"/>
              </w:rPr>
              <w:t>Fennessy</w:t>
            </w:r>
            <w:r w:rsidR="00E01336" w:rsidRPr="003F6411">
              <w:rPr>
                <w:rFonts w:asciiTheme="majorHAnsi" w:eastAsia="Calibri" w:hAnsiTheme="majorHAnsi" w:cs="Arial"/>
                <w:b w:val="0"/>
                <w:sz w:val="20"/>
                <w:szCs w:val="20"/>
                <w:lang w:val="fr-FR"/>
              </w:rPr>
              <w:t xml:space="preserve"> </w:t>
            </w:r>
            <w:r w:rsidR="00914A1A" w:rsidRPr="003F6411">
              <w:rPr>
                <w:rFonts w:asciiTheme="majorHAnsi" w:eastAsia="Calibri" w:hAnsiTheme="majorHAnsi" w:cs="Arial"/>
                <w:b w:val="0"/>
                <w:sz w:val="20"/>
                <w:szCs w:val="20"/>
                <w:lang w:val="fr-FR"/>
              </w:rPr>
              <w:t>(</w:t>
            </w:r>
            <w:r w:rsidR="00A1768B" w:rsidRPr="003F6411">
              <w:rPr>
                <w:rFonts w:asciiTheme="majorHAnsi" w:eastAsia="Calibri" w:hAnsiTheme="majorHAnsi" w:cs="Arial"/>
                <w:b w:val="0"/>
                <w:sz w:val="20"/>
                <w:szCs w:val="20"/>
                <w:lang w:val="fr-FR"/>
              </w:rPr>
              <w:t>co-leader</w:t>
            </w:r>
            <w:r w:rsidR="00914A1A" w:rsidRPr="003F6411">
              <w:rPr>
                <w:rFonts w:asciiTheme="majorHAnsi" w:eastAsia="Calibri" w:hAnsiTheme="majorHAnsi" w:cs="Arial"/>
                <w:b w:val="0"/>
                <w:sz w:val="20"/>
                <w:szCs w:val="20"/>
                <w:lang w:val="fr-FR"/>
              </w:rPr>
              <w:t>),</w:t>
            </w:r>
            <w:r w:rsidRPr="003F6411">
              <w:rPr>
                <w:rFonts w:asciiTheme="majorHAnsi" w:eastAsia="Calibri" w:hAnsiTheme="majorHAnsi" w:cs="Arial"/>
                <w:b w:val="0"/>
                <w:sz w:val="20"/>
                <w:szCs w:val="20"/>
                <w:lang w:val="fr-FR"/>
              </w:rPr>
              <w:t xml:space="preserve">Max Finlayson, </w:t>
            </w:r>
            <w:r w:rsidR="00914A1A" w:rsidRPr="003F6411">
              <w:rPr>
                <w:rFonts w:asciiTheme="majorHAnsi" w:eastAsia="Calibri" w:hAnsiTheme="majorHAnsi" w:cs="Arial"/>
                <w:b w:val="0"/>
                <w:sz w:val="20"/>
                <w:szCs w:val="20"/>
                <w:lang w:val="fr-FR"/>
              </w:rPr>
              <w:t>Vicent</w:t>
            </w:r>
            <w:r w:rsidR="00E01336" w:rsidRPr="003F6411">
              <w:rPr>
                <w:rFonts w:asciiTheme="majorHAnsi" w:eastAsia="Calibri" w:hAnsiTheme="majorHAnsi" w:cs="Arial"/>
                <w:b w:val="0"/>
                <w:sz w:val="20"/>
                <w:szCs w:val="20"/>
                <w:lang w:val="fr-FR"/>
              </w:rPr>
              <w:t xml:space="preserve"> </w:t>
            </w:r>
            <w:r w:rsidR="00914A1A" w:rsidRPr="003F6411">
              <w:rPr>
                <w:rFonts w:asciiTheme="majorHAnsi" w:eastAsia="Calibri" w:hAnsiTheme="majorHAnsi" w:cs="Arial"/>
                <w:b w:val="0"/>
                <w:sz w:val="20"/>
                <w:szCs w:val="20"/>
                <w:lang w:val="fr-FR"/>
              </w:rPr>
              <w:t>V.</w:t>
            </w:r>
            <w:r w:rsidR="00E01336" w:rsidRPr="003F6411">
              <w:rPr>
                <w:rFonts w:asciiTheme="majorHAnsi" w:eastAsia="Calibri" w:hAnsiTheme="majorHAnsi" w:cs="Arial"/>
                <w:b w:val="0"/>
                <w:sz w:val="20"/>
                <w:szCs w:val="20"/>
                <w:lang w:val="fr-FR"/>
              </w:rPr>
              <w:t xml:space="preserve"> </w:t>
            </w:r>
            <w:r w:rsidR="00914A1A" w:rsidRPr="003F6411">
              <w:rPr>
                <w:rFonts w:asciiTheme="majorHAnsi" w:eastAsia="Calibri" w:hAnsiTheme="majorHAnsi" w:cs="Arial"/>
                <w:b w:val="0"/>
                <w:sz w:val="20"/>
                <w:szCs w:val="20"/>
                <w:lang w:val="fr-FR"/>
              </w:rPr>
              <w:t>Hilomen,</w:t>
            </w:r>
            <w:r w:rsidR="00E01336" w:rsidRPr="003F6411">
              <w:rPr>
                <w:rFonts w:asciiTheme="majorHAnsi" w:eastAsia="Calibri" w:hAnsiTheme="majorHAnsi" w:cs="Arial"/>
                <w:b w:val="0"/>
                <w:sz w:val="20"/>
                <w:szCs w:val="20"/>
                <w:lang w:val="fr-FR"/>
              </w:rPr>
              <w:t xml:space="preserve"> </w:t>
            </w:r>
            <w:r w:rsidR="00914A1A" w:rsidRPr="003F6411">
              <w:rPr>
                <w:rFonts w:asciiTheme="majorHAnsi" w:eastAsia="Calibri" w:hAnsiTheme="majorHAnsi" w:cs="Arial"/>
                <w:b w:val="0"/>
                <w:sz w:val="20"/>
                <w:szCs w:val="20"/>
                <w:lang w:val="fr-FR"/>
              </w:rPr>
              <w:t>Jari</w:t>
            </w:r>
            <w:r w:rsidR="00E01336" w:rsidRPr="003F6411">
              <w:rPr>
                <w:rFonts w:asciiTheme="majorHAnsi" w:eastAsia="Calibri" w:hAnsiTheme="majorHAnsi" w:cs="Arial"/>
                <w:b w:val="0"/>
                <w:sz w:val="20"/>
                <w:szCs w:val="20"/>
                <w:lang w:val="fr-FR"/>
              </w:rPr>
              <w:t xml:space="preserve"> </w:t>
            </w:r>
            <w:r w:rsidR="00914A1A" w:rsidRPr="003F6411">
              <w:rPr>
                <w:rFonts w:asciiTheme="majorHAnsi" w:eastAsia="Calibri" w:hAnsiTheme="majorHAnsi" w:cs="Arial"/>
                <w:b w:val="0"/>
                <w:sz w:val="20"/>
                <w:szCs w:val="20"/>
                <w:lang w:val="fr-FR"/>
              </w:rPr>
              <w:t>Ilmonen,</w:t>
            </w:r>
            <w:r w:rsidR="00E01336" w:rsidRPr="003F6411">
              <w:rPr>
                <w:rFonts w:asciiTheme="majorHAnsi" w:eastAsia="Calibri" w:hAnsiTheme="majorHAnsi" w:cs="Arial"/>
                <w:b w:val="0"/>
                <w:sz w:val="20"/>
                <w:szCs w:val="20"/>
                <w:lang w:val="fr-FR"/>
              </w:rPr>
              <w:t xml:space="preserve"> </w:t>
            </w:r>
            <w:r w:rsidR="00914A1A" w:rsidRPr="003F6411">
              <w:rPr>
                <w:rFonts w:asciiTheme="majorHAnsi" w:eastAsia="Calibri" w:hAnsiTheme="majorHAnsi" w:cs="Arial"/>
                <w:b w:val="0"/>
                <w:sz w:val="20"/>
                <w:szCs w:val="20"/>
                <w:lang w:val="fr-FR"/>
              </w:rPr>
              <w:t>Kassim</w:t>
            </w:r>
            <w:r w:rsidR="00E01336" w:rsidRPr="003F6411">
              <w:rPr>
                <w:rFonts w:asciiTheme="majorHAnsi" w:eastAsia="Calibri" w:hAnsiTheme="majorHAnsi" w:cs="Arial"/>
                <w:b w:val="0"/>
                <w:sz w:val="20"/>
                <w:szCs w:val="20"/>
                <w:lang w:val="fr-FR"/>
              </w:rPr>
              <w:t xml:space="preserve"> </w:t>
            </w:r>
            <w:r w:rsidR="00914A1A" w:rsidRPr="003F6411">
              <w:rPr>
                <w:rFonts w:asciiTheme="majorHAnsi" w:eastAsia="Calibri" w:hAnsiTheme="majorHAnsi" w:cs="Arial"/>
                <w:b w:val="0"/>
                <w:sz w:val="20"/>
                <w:szCs w:val="20"/>
                <w:lang w:val="fr-FR"/>
              </w:rPr>
              <w:t>Kulindwa,</w:t>
            </w:r>
            <w:r w:rsidR="00A62B29" w:rsidRPr="003F6411">
              <w:rPr>
                <w:rFonts w:asciiTheme="majorHAnsi" w:eastAsia="Calibri" w:hAnsiTheme="majorHAnsi" w:cs="Arial"/>
                <w:b w:val="0"/>
                <w:sz w:val="20"/>
                <w:szCs w:val="20"/>
                <w:lang w:val="fr-FR"/>
              </w:rPr>
              <w:t xml:space="preserve"> Dulce Infante Mata, </w:t>
            </w:r>
            <w:r w:rsidR="00914A1A" w:rsidRPr="003F6411">
              <w:rPr>
                <w:rFonts w:asciiTheme="majorHAnsi" w:eastAsia="Calibri" w:hAnsiTheme="majorHAnsi" w:cs="Arial"/>
                <w:b w:val="0"/>
                <w:sz w:val="20"/>
                <w:szCs w:val="20"/>
                <w:lang w:val="fr-FR"/>
              </w:rPr>
              <w:t>Ritesh</w:t>
            </w:r>
            <w:r w:rsidR="00E01336" w:rsidRPr="003F6411">
              <w:rPr>
                <w:rFonts w:asciiTheme="majorHAnsi" w:eastAsia="Calibri" w:hAnsiTheme="majorHAnsi" w:cs="Arial"/>
                <w:b w:val="0"/>
                <w:sz w:val="20"/>
                <w:szCs w:val="20"/>
                <w:lang w:val="fr-FR"/>
              </w:rPr>
              <w:t xml:space="preserve"> </w:t>
            </w:r>
            <w:r w:rsidR="000F4FDF" w:rsidRPr="003F6411">
              <w:rPr>
                <w:rFonts w:asciiTheme="majorHAnsi" w:eastAsia="Calibri" w:hAnsiTheme="majorHAnsi" w:cs="Arial"/>
                <w:b w:val="0"/>
                <w:sz w:val="20"/>
                <w:szCs w:val="20"/>
                <w:lang w:val="fr-FR"/>
              </w:rPr>
              <w:t>Kumar</w:t>
            </w:r>
            <w:r w:rsidRPr="003F6411">
              <w:rPr>
                <w:rFonts w:asciiTheme="majorHAnsi" w:eastAsia="Calibri" w:hAnsiTheme="majorHAnsi" w:cs="Arial"/>
                <w:b w:val="0"/>
                <w:sz w:val="20"/>
                <w:szCs w:val="20"/>
                <w:lang w:val="fr-FR"/>
              </w:rPr>
              <w:t>, Guangchun Lei (co-leader)</w:t>
            </w:r>
          </w:p>
        </w:tc>
      </w:tr>
      <w:tr w:rsidR="00914A1A" w:rsidRPr="00833360" w14:paraId="0DB5D064" w14:textId="77777777" w:rsidTr="00914A1A">
        <w:trPr>
          <w:jc w:val="center"/>
        </w:trPr>
        <w:tc>
          <w:tcPr>
            <w:tcW w:w="1256" w:type="pct"/>
          </w:tcPr>
          <w:p w14:paraId="151137B0" w14:textId="5A5664A2" w:rsidR="00914A1A" w:rsidRPr="003F6411" w:rsidRDefault="00C139E4" w:rsidP="00914A1A">
            <w:pPr>
              <w:rPr>
                <w:rFonts w:asciiTheme="majorHAnsi" w:eastAsia="Calibri" w:hAnsiTheme="majorHAnsi" w:cs="Arial"/>
                <w:sz w:val="20"/>
                <w:szCs w:val="20"/>
                <w:lang w:val="fr-FR"/>
              </w:rPr>
            </w:pPr>
            <w:r w:rsidRPr="003F6411">
              <w:rPr>
                <w:rFonts w:asciiTheme="majorHAnsi" w:eastAsia="Calibri" w:hAnsiTheme="majorHAnsi" w:cs="Arial"/>
                <w:sz w:val="20"/>
                <w:szCs w:val="20"/>
                <w:lang w:val="fr-FR"/>
              </w:rPr>
              <w:t>Organisations participantes : [OIP/observateurs/autres]</w:t>
            </w:r>
          </w:p>
        </w:tc>
        <w:tc>
          <w:tcPr>
            <w:tcW w:w="3744" w:type="pct"/>
          </w:tcPr>
          <w:p w14:paraId="50920AD1" w14:textId="68D774F2" w:rsidR="00914A1A" w:rsidRPr="003F6411" w:rsidRDefault="00663A6C" w:rsidP="001979B9">
            <w:pPr>
              <w:rPr>
                <w:rFonts w:asciiTheme="majorHAnsi" w:eastAsia="Calibri" w:hAnsiTheme="majorHAnsi" w:cs="Arial"/>
                <w:b w:val="0"/>
                <w:sz w:val="20"/>
                <w:szCs w:val="20"/>
                <w:lang w:val="fr-FR"/>
              </w:rPr>
            </w:pPr>
            <w:r w:rsidRPr="003F6411">
              <w:rPr>
                <w:rFonts w:asciiTheme="majorHAnsi" w:eastAsia="Calibri" w:hAnsiTheme="majorHAnsi" w:cs="Arial"/>
                <w:b w:val="0"/>
                <w:sz w:val="20"/>
                <w:szCs w:val="20"/>
                <w:lang w:val="fr-FR"/>
              </w:rPr>
              <w:t xml:space="preserve">BirdLife International (Zoltan Waliczky), </w:t>
            </w:r>
            <w:r w:rsidR="00914A1A" w:rsidRPr="003F6411">
              <w:rPr>
                <w:rFonts w:asciiTheme="majorHAnsi" w:eastAsia="Calibri" w:hAnsiTheme="majorHAnsi" w:cs="Arial"/>
                <w:b w:val="0"/>
                <w:sz w:val="20"/>
                <w:szCs w:val="20"/>
                <w:lang w:val="fr-FR"/>
              </w:rPr>
              <w:t>WI</w:t>
            </w:r>
            <w:r w:rsidR="00E01336" w:rsidRPr="003F6411">
              <w:rPr>
                <w:rFonts w:asciiTheme="majorHAnsi" w:eastAsia="Calibri" w:hAnsiTheme="majorHAnsi" w:cs="Arial"/>
                <w:b w:val="0"/>
                <w:sz w:val="20"/>
                <w:szCs w:val="20"/>
                <w:lang w:val="fr-FR"/>
              </w:rPr>
              <w:t xml:space="preserve"> </w:t>
            </w:r>
            <w:r w:rsidR="00914A1A" w:rsidRPr="003F6411">
              <w:rPr>
                <w:rFonts w:asciiTheme="majorHAnsi" w:eastAsia="Calibri" w:hAnsiTheme="majorHAnsi" w:cs="Arial"/>
                <w:b w:val="0"/>
                <w:sz w:val="20"/>
                <w:szCs w:val="20"/>
                <w:lang w:val="fr-FR"/>
              </w:rPr>
              <w:t>(Marcel</w:t>
            </w:r>
            <w:r w:rsidR="00E01336" w:rsidRPr="003F6411">
              <w:rPr>
                <w:rFonts w:asciiTheme="majorHAnsi" w:eastAsia="Calibri" w:hAnsiTheme="majorHAnsi" w:cs="Arial"/>
                <w:b w:val="0"/>
                <w:sz w:val="20"/>
                <w:szCs w:val="20"/>
                <w:lang w:val="fr-FR"/>
              </w:rPr>
              <w:t xml:space="preserve"> </w:t>
            </w:r>
            <w:r w:rsidR="00914A1A" w:rsidRPr="003F6411">
              <w:rPr>
                <w:rFonts w:asciiTheme="majorHAnsi" w:eastAsia="Calibri" w:hAnsiTheme="majorHAnsi" w:cs="Arial"/>
                <w:b w:val="0"/>
                <w:sz w:val="20"/>
                <w:szCs w:val="20"/>
                <w:lang w:val="fr-FR"/>
              </w:rPr>
              <w:t>Silvius)/</w:t>
            </w:r>
            <w:r w:rsidR="00E01336" w:rsidRPr="003F6411">
              <w:rPr>
                <w:rFonts w:asciiTheme="majorHAnsi" w:eastAsia="Calibri" w:hAnsiTheme="majorHAnsi" w:cs="Arial"/>
                <w:b w:val="0"/>
                <w:sz w:val="20"/>
                <w:szCs w:val="20"/>
                <w:lang w:val="fr-FR"/>
              </w:rPr>
              <w:t xml:space="preserve"> </w:t>
            </w:r>
            <w:r w:rsidR="00914A1A" w:rsidRPr="003F6411">
              <w:rPr>
                <w:rFonts w:asciiTheme="majorHAnsi" w:eastAsia="Calibri" w:hAnsiTheme="majorHAnsi" w:cs="Arial"/>
                <w:b w:val="0"/>
                <w:sz w:val="20"/>
                <w:szCs w:val="20"/>
                <w:lang w:val="fr-FR"/>
              </w:rPr>
              <w:t>UNESCO-MAB</w:t>
            </w:r>
            <w:r w:rsidR="00E01336" w:rsidRPr="003F6411">
              <w:rPr>
                <w:rFonts w:asciiTheme="majorHAnsi" w:eastAsia="Calibri" w:hAnsiTheme="majorHAnsi" w:cs="Arial"/>
                <w:b w:val="0"/>
                <w:sz w:val="20"/>
                <w:szCs w:val="20"/>
                <w:lang w:val="fr-FR"/>
              </w:rPr>
              <w:t xml:space="preserve"> </w:t>
            </w:r>
            <w:r w:rsidR="00914A1A" w:rsidRPr="003F6411">
              <w:rPr>
                <w:rFonts w:asciiTheme="majorHAnsi" w:eastAsia="Calibri" w:hAnsiTheme="majorHAnsi" w:cs="Arial"/>
                <w:b w:val="0"/>
                <w:sz w:val="20"/>
                <w:szCs w:val="20"/>
                <w:lang w:val="fr-FR"/>
              </w:rPr>
              <w:t>(Marie</w:t>
            </w:r>
            <w:r w:rsidR="00E01336" w:rsidRPr="003F6411">
              <w:rPr>
                <w:rFonts w:asciiTheme="majorHAnsi" w:eastAsia="Calibri" w:hAnsiTheme="majorHAnsi" w:cs="Arial"/>
                <w:b w:val="0"/>
                <w:sz w:val="20"/>
                <w:szCs w:val="20"/>
                <w:lang w:val="fr-FR"/>
              </w:rPr>
              <w:t xml:space="preserve"> </w:t>
            </w:r>
            <w:r w:rsidR="00914A1A" w:rsidRPr="003F6411">
              <w:rPr>
                <w:rFonts w:asciiTheme="majorHAnsi" w:eastAsia="Calibri" w:hAnsiTheme="majorHAnsi" w:cs="Arial"/>
                <w:b w:val="0"/>
                <w:sz w:val="20"/>
                <w:szCs w:val="20"/>
                <w:lang w:val="fr-FR"/>
              </w:rPr>
              <w:t>Prchalova),</w:t>
            </w:r>
            <w:r w:rsidR="001979B9" w:rsidRPr="003F6411">
              <w:rPr>
                <w:rFonts w:asciiTheme="majorHAnsi" w:eastAsia="Calibri" w:hAnsiTheme="majorHAnsi" w:cs="Arial"/>
                <w:b w:val="0"/>
                <w:sz w:val="20"/>
                <w:szCs w:val="20"/>
                <w:lang w:val="fr-FR"/>
              </w:rPr>
              <w:t xml:space="preserve"> SWS (Nick Davidson), </w:t>
            </w:r>
            <w:r w:rsidR="00914A1A" w:rsidRPr="003F6411">
              <w:rPr>
                <w:rFonts w:asciiTheme="majorHAnsi" w:eastAsia="Calibri" w:hAnsiTheme="majorHAnsi" w:cs="Arial"/>
                <w:b w:val="0"/>
                <w:sz w:val="20"/>
                <w:szCs w:val="20"/>
                <w:lang w:val="fr-FR"/>
              </w:rPr>
              <w:t>Tour</w:t>
            </w:r>
            <w:r w:rsidR="00E01336" w:rsidRPr="003F6411">
              <w:rPr>
                <w:rFonts w:asciiTheme="majorHAnsi" w:eastAsia="Calibri" w:hAnsiTheme="majorHAnsi" w:cs="Arial"/>
                <w:b w:val="0"/>
                <w:sz w:val="20"/>
                <w:szCs w:val="20"/>
                <w:lang w:val="fr-FR"/>
              </w:rPr>
              <w:t xml:space="preserve"> </w:t>
            </w:r>
            <w:r w:rsidR="00914A1A" w:rsidRPr="003F6411">
              <w:rPr>
                <w:rFonts w:asciiTheme="majorHAnsi" w:eastAsia="Calibri" w:hAnsiTheme="majorHAnsi" w:cs="Arial"/>
                <w:b w:val="0"/>
                <w:sz w:val="20"/>
                <w:szCs w:val="20"/>
                <w:lang w:val="fr-FR"/>
              </w:rPr>
              <w:t>du</w:t>
            </w:r>
            <w:r w:rsidR="00E01336" w:rsidRPr="003F6411">
              <w:rPr>
                <w:rFonts w:asciiTheme="majorHAnsi" w:eastAsia="Calibri" w:hAnsiTheme="majorHAnsi" w:cs="Arial"/>
                <w:b w:val="0"/>
                <w:sz w:val="20"/>
                <w:szCs w:val="20"/>
                <w:lang w:val="fr-FR"/>
              </w:rPr>
              <w:t xml:space="preserve"> </w:t>
            </w:r>
            <w:r w:rsidR="00914A1A" w:rsidRPr="003F6411">
              <w:rPr>
                <w:rFonts w:asciiTheme="majorHAnsi" w:eastAsia="Calibri" w:hAnsiTheme="majorHAnsi" w:cs="Arial"/>
                <w:b w:val="0"/>
                <w:sz w:val="20"/>
                <w:szCs w:val="20"/>
                <w:lang w:val="fr-FR"/>
              </w:rPr>
              <w:t>Valat</w:t>
            </w:r>
            <w:r w:rsidR="00E01336" w:rsidRPr="003F6411">
              <w:rPr>
                <w:rFonts w:asciiTheme="majorHAnsi" w:eastAsia="Calibri" w:hAnsiTheme="majorHAnsi" w:cs="Arial"/>
                <w:b w:val="0"/>
                <w:sz w:val="20"/>
                <w:szCs w:val="20"/>
                <w:lang w:val="fr-FR"/>
              </w:rPr>
              <w:t xml:space="preserve"> </w:t>
            </w:r>
            <w:r w:rsidR="00914A1A" w:rsidRPr="003F6411">
              <w:rPr>
                <w:rFonts w:asciiTheme="majorHAnsi" w:eastAsia="Calibri" w:hAnsiTheme="majorHAnsi" w:cs="Arial"/>
                <w:b w:val="0"/>
                <w:sz w:val="20"/>
                <w:szCs w:val="20"/>
                <w:lang w:val="fr-FR"/>
              </w:rPr>
              <w:t>(Christian</w:t>
            </w:r>
            <w:r w:rsidR="00E01336" w:rsidRPr="003F6411">
              <w:rPr>
                <w:rFonts w:asciiTheme="majorHAnsi" w:eastAsia="Calibri" w:hAnsiTheme="majorHAnsi" w:cs="Arial"/>
                <w:b w:val="0"/>
                <w:sz w:val="20"/>
                <w:szCs w:val="20"/>
                <w:lang w:val="fr-FR"/>
              </w:rPr>
              <w:t xml:space="preserve"> </w:t>
            </w:r>
            <w:r w:rsidR="00914A1A" w:rsidRPr="003F6411">
              <w:rPr>
                <w:rFonts w:asciiTheme="majorHAnsi" w:eastAsia="Calibri" w:hAnsiTheme="majorHAnsi" w:cs="Arial"/>
                <w:b w:val="0"/>
                <w:sz w:val="20"/>
                <w:szCs w:val="20"/>
                <w:lang w:val="fr-FR"/>
              </w:rPr>
              <w:t>Perennou)</w:t>
            </w:r>
            <w:r w:rsidR="001979B9">
              <w:rPr>
                <w:rFonts w:asciiTheme="majorHAnsi" w:eastAsia="Calibri" w:hAnsiTheme="majorHAnsi" w:cs="Arial"/>
                <w:b w:val="0"/>
                <w:sz w:val="20"/>
                <w:szCs w:val="20"/>
                <w:lang w:val="fr-FR"/>
              </w:rPr>
              <w:t>,</w:t>
            </w:r>
            <w:r w:rsidR="001979B9" w:rsidRPr="003F6411">
              <w:rPr>
                <w:rFonts w:asciiTheme="majorHAnsi" w:eastAsia="Calibri" w:hAnsiTheme="majorHAnsi" w:cs="Arial"/>
                <w:b w:val="0"/>
                <w:sz w:val="20"/>
                <w:szCs w:val="20"/>
                <w:lang w:val="fr-FR"/>
              </w:rPr>
              <w:t xml:space="preserve"> ONU-Habitat (Rob McInnes)</w:t>
            </w:r>
            <w:r w:rsidR="00914A1A" w:rsidRPr="003F6411">
              <w:rPr>
                <w:rFonts w:asciiTheme="majorHAnsi" w:eastAsia="Calibri" w:hAnsiTheme="majorHAnsi" w:cs="Arial"/>
                <w:b w:val="0"/>
                <w:sz w:val="20"/>
                <w:szCs w:val="20"/>
                <w:lang w:val="fr-FR"/>
              </w:rPr>
              <w:t>/</w:t>
            </w:r>
            <w:r w:rsidR="00E01336" w:rsidRPr="003F6411">
              <w:rPr>
                <w:rFonts w:asciiTheme="majorHAnsi" w:eastAsia="Calibri" w:hAnsiTheme="majorHAnsi" w:cs="Arial"/>
                <w:b w:val="0"/>
                <w:sz w:val="20"/>
                <w:szCs w:val="20"/>
                <w:lang w:val="fr-FR"/>
              </w:rPr>
              <w:t xml:space="preserve"> </w:t>
            </w:r>
            <w:r w:rsidR="000F4FDF" w:rsidRPr="003F6411">
              <w:rPr>
                <w:rFonts w:asciiTheme="majorHAnsi" w:eastAsia="Calibri" w:hAnsiTheme="majorHAnsi" w:cs="Arial"/>
                <w:b w:val="0"/>
                <w:sz w:val="20"/>
                <w:szCs w:val="20"/>
                <w:lang w:val="fr-FR"/>
              </w:rPr>
              <w:t>CN GEST</w:t>
            </w:r>
            <w:r w:rsidR="00E01336" w:rsidRPr="003F6411">
              <w:rPr>
                <w:rFonts w:asciiTheme="majorHAnsi" w:eastAsia="Calibri" w:hAnsiTheme="majorHAnsi" w:cs="Arial"/>
                <w:b w:val="0"/>
                <w:sz w:val="20"/>
                <w:szCs w:val="20"/>
                <w:lang w:val="fr-FR"/>
              </w:rPr>
              <w:t xml:space="preserve"> </w:t>
            </w:r>
            <w:r w:rsidR="00914A1A" w:rsidRPr="003F6411">
              <w:rPr>
                <w:rFonts w:asciiTheme="majorHAnsi" w:eastAsia="Calibri" w:hAnsiTheme="majorHAnsi" w:cs="Arial"/>
                <w:b w:val="0"/>
                <w:sz w:val="20"/>
                <w:szCs w:val="20"/>
                <w:lang w:val="fr-FR"/>
              </w:rPr>
              <w:t>Canada</w:t>
            </w:r>
            <w:r w:rsidR="00E01336" w:rsidRPr="003F6411">
              <w:rPr>
                <w:rFonts w:asciiTheme="majorHAnsi" w:eastAsia="Calibri" w:hAnsiTheme="majorHAnsi" w:cs="Arial"/>
                <w:b w:val="0"/>
                <w:sz w:val="20"/>
                <w:szCs w:val="20"/>
                <w:lang w:val="fr-FR"/>
              </w:rPr>
              <w:t xml:space="preserve"> </w:t>
            </w:r>
            <w:r w:rsidR="00914A1A" w:rsidRPr="003F6411">
              <w:rPr>
                <w:rFonts w:asciiTheme="majorHAnsi" w:eastAsia="Calibri" w:hAnsiTheme="majorHAnsi" w:cs="Arial"/>
                <w:b w:val="0"/>
                <w:sz w:val="20"/>
                <w:szCs w:val="20"/>
                <w:lang w:val="fr-FR"/>
              </w:rPr>
              <w:t>(Barry</w:t>
            </w:r>
            <w:r w:rsidR="00E01336" w:rsidRPr="003F6411">
              <w:rPr>
                <w:rFonts w:asciiTheme="majorHAnsi" w:eastAsia="Calibri" w:hAnsiTheme="majorHAnsi" w:cs="Arial"/>
                <w:b w:val="0"/>
                <w:sz w:val="20"/>
                <w:szCs w:val="20"/>
                <w:lang w:val="fr-FR"/>
              </w:rPr>
              <w:t xml:space="preserve"> </w:t>
            </w:r>
            <w:r w:rsidR="00914A1A" w:rsidRPr="003F6411">
              <w:rPr>
                <w:rFonts w:asciiTheme="majorHAnsi" w:eastAsia="Calibri" w:hAnsiTheme="majorHAnsi" w:cs="Arial"/>
                <w:b w:val="0"/>
                <w:sz w:val="20"/>
                <w:szCs w:val="20"/>
                <w:lang w:val="fr-FR"/>
              </w:rPr>
              <w:t>Warner),</w:t>
            </w:r>
            <w:r w:rsidR="00E01336" w:rsidRPr="003F6411">
              <w:rPr>
                <w:rFonts w:asciiTheme="majorHAnsi" w:eastAsia="Calibri" w:hAnsiTheme="majorHAnsi" w:cs="Arial"/>
                <w:b w:val="0"/>
                <w:sz w:val="20"/>
                <w:szCs w:val="20"/>
                <w:lang w:val="fr-FR"/>
              </w:rPr>
              <w:t xml:space="preserve"> </w:t>
            </w:r>
            <w:r w:rsidR="000F4FDF" w:rsidRPr="003F6411">
              <w:rPr>
                <w:rFonts w:asciiTheme="majorHAnsi" w:eastAsia="Calibri" w:hAnsiTheme="majorHAnsi" w:cs="Arial"/>
                <w:b w:val="0"/>
                <w:sz w:val="20"/>
                <w:szCs w:val="20"/>
                <w:lang w:val="fr-FR"/>
              </w:rPr>
              <w:t>CN GEST Malaisie</w:t>
            </w:r>
            <w:r w:rsidR="00E01336" w:rsidRPr="003F6411">
              <w:rPr>
                <w:rFonts w:asciiTheme="majorHAnsi" w:eastAsia="Calibri" w:hAnsiTheme="majorHAnsi" w:cs="Arial"/>
                <w:b w:val="0"/>
                <w:sz w:val="20"/>
                <w:szCs w:val="20"/>
                <w:lang w:val="fr-FR"/>
              </w:rPr>
              <w:t xml:space="preserve"> </w:t>
            </w:r>
            <w:r w:rsidR="00914A1A" w:rsidRPr="003F6411">
              <w:rPr>
                <w:rFonts w:asciiTheme="majorHAnsi" w:eastAsia="Calibri" w:hAnsiTheme="majorHAnsi" w:cs="Arial"/>
                <w:b w:val="0"/>
                <w:sz w:val="20"/>
                <w:szCs w:val="20"/>
                <w:lang w:val="fr-FR"/>
              </w:rPr>
              <w:t>(Abdulla</w:t>
            </w:r>
            <w:r w:rsidR="00E01336" w:rsidRPr="003F6411">
              <w:rPr>
                <w:rFonts w:asciiTheme="majorHAnsi" w:eastAsia="Calibri" w:hAnsiTheme="majorHAnsi" w:cs="Arial"/>
                <w:b w:val="0"/>
                <w:sz w:val="20"/>
                <w:szCs w:val="20"/>
                <w:lang w:val="fr-FR"/>
              </w:rPr>
              <w:t xml:space="preserve"> </w:t>
            </w:r>
            <w:r w:rsidR="00914A1A" w:rsidRPr="003F6411">
              <w:rPr>
                <w:rFonts w:asciiTheme="majorHAnsi" w:eastAsia="Calibri" w:hAnsiTheme="majorHAnsi" w:cs="Arial"/>
                <w:b w:val="0"/>
                <w:sz w:val="20"/>
                <w:szCs w:val="20"/>
                <w:lang w:val="fr-FR"/>
              </w:rPr>
              <w:t>Rahman</w:t>
            </w:r>
            <w:r w:rsidRPr="003F6411">
              <w:rPr>
                <w:rFonts w:asciiTheme="majorHAnsi" w:eastAsia="Calibri" w:hAnsiTheme="majorHAnsi" w:cs="Arial"/>
                <w:b w:val="0"/>
                <w:sz w:val="20"/>
                <w:szCs w:val="20"/>
                <w:lang w:val="fr-FR"/>
              </w:rPr>
              <w:t xml:space="preserve"> Kassim</w:t>
            </w:r>
            <w:r w:rsidR="00914A1A" w:rsidRPr="003F6411">
              <w:rPr>
                <w:rFonts w:asciiTheme="majorHAnsi" w:eastAsia="Calibri" w:hAnsiTheme="majorHAnsi" w:cs="Arial"/>
                <w:b w:val="0"/>
                <w:sz w:val="20"/>
                <w:szCs w:val="20"/>
                <w:lang w:val="fr-FR"/>
              </w:rPr>
              <w:t>),</w:t>
            </w:r>
            <w:r w:rsidRPr="003F6411">
              <w:rPr>
                <w:rFonts w:asciiTheme="majorHAnsi" w:eastAsia="Calibri" w:hAnsiTheme="majorHAnsi" w:cs="Arial"/>
                <w:b w:val="0"/>
                <w:sz w:val="20"/>
                <w:szCs w:val="20"/>
                <w:lang w:val="fr-FR"/>
              </w:rPr>
              <w:t xml:space="preserve"> CN GEST Portugal (Ana Mendes)</w:t>
            </w:r>
            <w:r w:rsidR="00914A1A" w:rsidRPr="003F6411">
              <w:rPr>
                <w:rFonts w:asciiTheme="majorHAnsi" w:eastAsia="Calibri" w:hAnsiTheme="majorHAnsi" w:cs="Arial"/>
                <w:b w:val="0"/>
                <w:sz w:val="20"/>
                <w:szCs w:val="20"/>
                <w:lang w:val="fr-FR"/>
              </w:rPr>
              <w:t>,</w:t>
            </w:r>
            <w:r w:rsidR="00E01336" w:rsidRPr="003F6411">
              <w:rPr>
                <w:rFonts w:asciiTheme="majorHAnsi" w:eastAsia="Calibri" w:hAnsiTheme="majorHAnsi" w:cs="Arial"/>
                <w:b w:val="0"/>
                <w:sz w:val="20"/>
                <w:szCs w:val="20"/>
                <w:lang w:val="fr-FR"/>
              </w:rPr>
              <w:t xml:space="preserve"> </w:t>
            </w:r>
            <w:r w:rsidRPr="003F6411">
              <w:rPr>
                <w:rFonts w:asciiTheme="majorHAnsi" w:eastAsia="Calibri" w:hAnsiTheme="majorHAnsi" w:cs="Arial"/>
                <w:b w:val="0"/>
                <w:sz w:val="20"/>
                <w:szCs w:val="20"/>
                <w:lang w:val="fr-FR"/>
              </w:rPr>
              <w:t>Société internationale de la tourbe (Jack Rieley)</w:t>
            </w:r>
          </w:p>
        </w:tc>
      </w:tr>
    </w:tbl>
    <w:p w14:paraId="1308455A" w14:textId="77777777" w:rsidR="00914A1A" w:rsidRPr="003F6411" w:rsidRDefault="00914A1A" w:rsidP="00914A1A">
      <w:pPr>
        <w:rPr>
          <w:rFonts w:asciiTheme="majorHAnsi" w:hAnsiTheme="majorHAnsi" w:cs="Arial"/>
          <w:sz w:val="20"/>
          <w:szCs w:val="20"/>
          <w:lang w:val="fr-FR"/>
        </w:rPr>
      </w:pPr>
    </w:p>
    <w:tbl>
      <w:tblPr>
        <w:tblStyle w:val="TableGrid"/>
        <w:tblW w:w="5030" w:type="pct"/>
        <w:tblInd w:w="-85" w:type="dxa"/>
        <w:tblCellMar>
          <w:top w:w="57" w:type="dxa"/>
          <w:left w:w="57" w:type="dxa"/>
          <w:bottom w:w="57" w:type="dxa"/>
          <w:right w:w="57" w:type="dxa"/>
        </w:tblCellMar>
        <w:tblLook w:val="04A0" w:firstRow="1" w:lastRow="0" w:firstColumn="1" w:lastColumn="0" w:noHBand="0" w:noVBand="1"/>
      </w:tblPr>
      <w:tblGrid>
        <w:gridCol w:w="1461"/>
        <w:gridCol w:w="801"/>
        <w:gridCol w:w="1005"/>
        <w:gridCol w:w="1132"/>
        <w:gridCol w:w="8361"/>
        <w:gridCol w:w="1396"/>
      </w:tblGrid>
      <w:tr w:rsidR="00914A1A" w:rsidRPr="004F5487" w14:paraId="32EAE771" w14:textId="77777777" w:rsidTr="00CA5375">
        <w:trPr>
          <w:tblHeader/>
        </w:trPr>
        <w:tc>
          <w:tcPr>
            <w:tcW w:w="516" w:type="pct"/>
            <w:shd w:val="clear" w:color="auto" w:fill="D9D9D9" w:themeFill="background1" w:themeFillShade="D9"/>
          </w:tcPr>
          <w:p w14:paraId="5A0899A1" w14:textId="3F490D08" w:rsidR="00914A1A" w:rsidRPr="004F5487" w:rsidRDefault="00E64065" w:rsidP="00914A1A">
            <w:pPr>
              <w:jc w:val="center"/>
              <w:rPr>
                <w:rFonts w:asciiTheme="majorHAnsi" w:hAnsiTheme="majorHAnsi" w:cs="Arial"/>
                <w:sz w:val="20"/>
                <w:szCs w:val="20"/>
                <w:lang w:val="fr-CA"/>
              </w:rPr>
            </w:pPr>
            <w:r w:rsidRPr="004F5487">
              <w:rPr>
                <w:rFonts w:asciiTheme="majorHAnsi" w:hAnsiTheme="majorHAnsi" w:cs="Arial"/>
                <w:sz w:val="20"/>
                <w:szCs w:val="20"/>
                <w:lang w:val="fr-CA"/>
              </w:rPr>
              <w:t>N</w:t>
            </w:r>
            <w:r w:rsidRPr="004F5487">
              <w:rPr>
                <w:rFonts w:asciiTheme="majorHAnsi" w:hAnsiTheme="majorHAnsi" w:cs="Arial"/>
                <w:sz w:val="20"/>
                <w:szCs w:val="20"/>
                <w:vertAlign w:val="superscript"/>
                <w:lang w:val="fr-CA"/>
              </w:rPr>
              <w:t>o</w:t>
            </w:r>
            <w:r w:rsidRPr="004F5487">
              <w:rPr>
                <w:rFonts w:asciiTheme="majorHAnsi" w:hAnsiTheme="majorHAnsi" w:cs="Arial"/>
                <w:sz w:val="20"/>
                <w:szCs w:val="20"/>
                <w:lang w:val="fr-CA"/>
              </w:rPr>
              <w:t xml:space="preserve"> de tâche, titre</w:t>
            </w:r>
          </w:p>
        </w:tc>
        <w:tc>
          <w:tcPr>
            <w:tcW w:w="283" w:type="pct"/>
            <w:shd w:val="clear" w:color="auto" w:fill="D9D9D9" w:themeFill="background1" w:themeFillShade="D9"/>
          </w:tcPr>
          <w:p w14:paraId="16FA8930" w14:textId="58F14BAF" w:rsidR="00914A1A" w:rsidRPr="004F5487" w:rsidRDefault="00E64065" w:rsidP="00914A1A">
            <w:pPr>
              <w:jc w:val="center"/>
              <w:rPr>
                <w:rFonts w:asciiTheme="majorHAnsi" w:hAnsiTheme="majorHAnsi" w:cs="Arial"/>
                <w:sz w:val="20"/>
                <w:szCs w:val="20"/>
                <w:lang w:val="fr-CA"/>
              </w:rPr>
            </w:pPr>
            <w:r w:rsidRPr="004F5487">
              <w:rPr>
                <w:rFonts w:asciiTheme="majorHAnsi" w:hAnsiTheme="majorHAnsi" w:cs="Arial"/>
                <w:sz w:val="20"/>
                <w:szCs w:val="20"/>
                <w:lang w:val="fr-CA"/>
              </w:rPr>
              <w:t>Priorité</w:t>
            </w:r>
          </w:p>
        </w:tc>
        <w:tc>
          <w:tcPr>
            <w:tcW w:w="355" w:type="pct"/>
            <w:shd w:val="clear" w:color="auto" w:fill="D9D9D9" w:themeFill="background1" w:themeFillShade="D9"/>
          </w:tcPr>
          <w:p w14:paraId="246DA5CB" w14:textId="38728D5C" w:rsidR="00914A1A" w:rsidRPr="004F5487" w:rsidRDefault="00E64065" w:rsidP="00914A1A">
            <w:pPr>
              <w:jc w:val="center"/>
              <w:rPr>
                <w:rFonts w:asciiTheme="majorHAnsi" w:hAnsiTheme="majorHAnsi" w:cs="Arial"/>
                <w:sz w:val="20"/>
                <w:szCs w:val="20"/>
                <w:lang w:val="fr-CA"/>
              </w:rPr>
            </w:pPr>
            <w:r w:rsidRPr="004F5487">
              <w:rPr>
                <w:rFonts w:asciiTheme="majorHAnsi" w:hAnsiTheme="majorHAnsi" w:cs="Arial"/>
                <w:sz w:val="20"/>
                <w:szCs w:val="20"/>
                <w:lang w:val="fr-CA"/>
              </w:rPr>
              <w:t>Résolution</w:t>
            </w:r>
          </w:p>
        </w:tc>
        <w:tc>
          <w:tcPr>
            <w:tcW w:w="400" w:type="pct"/>
            <w:shd w:val="clear" w:color="auto" w:fill="D9D9D9" w:themeFill="background1" w:themeFillShade="D9"/>
          </w:tcPr>
          <w:p w14:paraId="1D7E2ECC" w14:textId="7D7039FC" w:rsidR="00914A1A" w:rsidRPr="004F5487" w:rsidRDefault="00E64065" w:rsidP="00914A1A">
            <w:pPr>
              <w:jc w:val="center"/>
              <w:rPr>
                <w:rFonts w:asciiTheme="majorHAnsi" w:hAnsiTheme="majorHAnsi" w:cs="Arial"/>
                <w:sz w:val="20"/>
                <w:szCs w:val="20"/>
                <w:lang w:val="fr-CA"/>
              </w:rPr>
            </w:pPr>
            <w:r w:rsidRPr="004F5487">
              <w:rPr>
                <w:rFonts w:asciiTheme="majorHAnsi" w:eastAsia="Calibri" w:hAnsiTheme="majorHAnsi" w:cs="Arial"/>
                <w:sz w:val="20"/>
                <w:szCs w:val="20"/>
                <w:lang w:val="fr-CA"/>
              </w:rPr>
              <w:t>But et objectif PS</w:t>
            </w:r>
          </w:p>
        </w:tc>
        <w:tc>
          <w:tcPr>
            <w:tcW w:w="2953" w:type="pct"/>
            <w:shd w:val="clear" w:color="auto" w:fill="D9D9D9" w:themeFill="background1" w:themeFillShade="D9"/>
          </w:tcPr>
          <w:p w14:paraId="0CD5F79E" w14:textId="06ADBF0A" w:rsidR="00914A1A" w:rsidRPr="004F5487" w:rsidRDefault="00E64065" w:rsidP="00E64065">
            <w:pPr>
              <w:jc w:val="center"/>
              <w:rPr>
                <w:rFonts w:asciiTheme="majorHAnsi" w:hAnsiTheme="majorHAnsi" w:cs="Arial"/>
                <w:sz w:val="20"/>
                <w:szCs w:val="20"/>
                <w:lang w:val="fr-CA"/>
              </w:rPr>
            </w:pPr>
            <w:r w:rsidRPr="004F5487">
              <w:rPr>
                <w:rFonts w:asciiTheme="majorHAnsi" w:hAnsiTheme="majorHAnsi" w:cs="Arial"/>
                <w:sz w:val="20"/>
                <w:szCs w:val="20"/>
                <w:lang w:val="fr-CA"/>
              </w:rPr>
              <w:t>Description de tâche, public ciblé et résultats escomptés</w:t>
            </w:r>
          </w:p>
        </w:tc>
        <w:tc>
          <w:tcPr>
            <w:tcW w:w="493" w:type="pct"/>
            <w:shd w:val="clear" w:color="auto" w:fill="D9D9D9" w:themeFill="background1" w:themeFillShade="D9"/>
          </w:tcPr>
          <w:p w14:paraId="07892206" w14:textId="7B0D0CA9" w:rsidR="00914A1A" w:rsidRPr="004F5487" w:rsidRDefault="00E64065" w:rsidP="00914A1A">
            <w:pPr>
              <w:jc w:val="center"/>
              <w:rPr>
                <w:rFonts w:asciiTheme="majorHAnsi" w:hAnsiTheme="majorHAnsi" w:cs="Arial"/>
                <w:sz w:val="20"/>
                <w:szCs w:val="20"/>
                <w:lang w:val="fr-CA"/>
              </w:rPr>
            </w:pPr>
            <w:r w:rsidRPr="004F5487">
              <w:rPr>
                <w:rFonts w:asciiTheme="majorHAnsi" w:hAnsiTheme="majorHAnsi" w:cs="Arial"/>
                <w:sz w:val="20"/>
                <w:szCs w:val="20"/>
                <w:lang w:val="fr-CA"/>
              </w:rPr>
              <w:t>Coûts</w:t>
            </w:r>
            <w:r w:rsidR="00E01336" w:rsidRPr="004F5487">
              <w:rPr>
                <w:rFonts w:asciiTheme="majorHAnsi" w:hAnsiTheme="majorHAnsi" w:cs="Arial"/>
                <w:sz w:val="20"/>
                <w:szCs w:val="20"/>
                <w:lang w:val="fr-CA"/>
              </w:rPr>
              <w:t xml:space="preserve"> </w:t>
            </w:r>
            <w:r w:rsidR="00914A1A" w:rsidRPr="004F5487">
              <w:rPr>
                <w:rFonts w:asciiTheme="majorHAnsi" w:hAnsiTheme="majorHAnsi" w:cs="Arial"/>
                <w:sz w:val="20"/>
                <w:szCs w:val="20"/>
                <w:lang w:val="fr-CA"/>
              </w:rPr>
              <w:t>CHF</w:t>
            </w:r>
          </w:p>
        </w:tc>
      </w:tr>
      <w:tr w:rsidR="00914A1A" w:rsidRPr="00833360" w14:paraId="47719E1F" w14:textId="77777777" w:rsidTr="00CA5375">
        <w:tc>
          <w:tcPr>
            <w:tcW w:w="516" w:type="pct"/>
          </w:tcPr>
          <w:p w14:paraId="78BDBAC8" w14:textId="18988595" w:rsidR="00914A1A" w:rsidRPr="004F5487" w:rsidRDefault="00914A1A" w:rsidP="000F4FDF">
            <w:pPr>
              <w:rPr>
                <w:rFonts w:asciiTheme="majorHAnsi" w:hAnsiTheme="majorHAnsi" w:cs="Arial"/>
                <w:b w:val="0"/>
                <w:sz w:val="20"/>
                <w:szCs w:val="20"/>
                <w:lang w:val="fr-CA" w:eastAsia="zh-CN"/>
              </w:rPr>
            </w:pPr>
            <w:r w:rsidRPr="004F5487">
              <w:rPr>
                <w:rFonts w:asciiTheme="majorHAnsi" w:hAnsiTheme="majorHAnsi" w:cs="Arial"/>
                <w:b w:val="0"/>
                <w:sz w:val="20"/>
                <w:szCs w:val="20"/>
                <w:lang w:val="fr-CA" w:eastAsia="zh-CN"/>
              </w:rPr>
              <w:t>5.1</w:t>
            </w:r>
            <w:r w:rsidR="00E01336" w:rsidRPr="004F5487">
              <w:rPr>
                <w:rFonts w:asciiTheme="majorHAnsi" w:hAnsiTheme="majorHAnsi" w:cs="Arial"/>
                <w:b w:val="0"/>
                <w:sz w:val="20"/>
                <w:szCs w:val="20"/>
                <w:lang w:val="fr-CA" w:eastAsia="zh-CN"/>
              </w:rPr>
              <w:t xml:space="preserve"> </w:t>
            </w:r>
            <w:r w:rsidR="000F4FDF" w:rsidRPr="004F5487">
              <w:rPr>
                <w:rFonts w:asciiTheme="majorHAnsi" w:hAnsiTheme="majorHAnsi" w:cs="Arial"/>
                <w:b w:val="0"/>
                <w:sz w:val="20"/>
                <w:szCs w:val="20"/>
                <w:lang w:val="fr-CA" w:eastAsia="zh-CN"/>
              </w:rPr>
              <w:t>Promouvoir les meilleures pratiques de restauration des zones humides</w:t>
            </w:r>
          </w:p>
        </w:tc>
        <w:tc>
          <w:tcPr>
            <w:tcW w:w="283" w:type="pct"/>
          </w:tcPr>
          <w:p w14:paraId="21B3779B" w14:textId="36D91706" w:rsidR="00914A1A" w:rsidRPr="004F5487" w:rsidRDefault="008E6B37" w:rsidP="00914A1A">
            <w:pPr>
              <w:rPr>
                <w:rFonts w:asciiTheme="majorHAnsi" w:hAnsiTheme="majorHAnsi" w:cs="Arial"/>
                <w:b w:val="0"/>
                <w:sz w:val="20"/>
                <w:szCs w:val="20"/>
                <w:lang w:val="fr-CA"/>
              </w:rPr>
            </w:pPr>
            <w:r>
              <w:rPr>
                <w:rFonts w:asciiTheme="majorHAnsi" w:hAnsiTheme="majorHAnsi" w:cs="Arial"/>
                <w:b w:val="0"/>
                <w:sz w:val="20"/>
                <w:szCs w:val="20"/>
                <w:lang w:val="fr-CA"/>
              </w:rPr>
              <w:t>Très haute</w:t>
            </w:r>
          </w:p>
        </w:tc>
        <w:tc>
          <w:tcPr>
            <w:tcW w:w="355" w:type="pct"/>
          </w:tcPr>
          <w:p w14:paraId="7D002CFA" w14:textId="7F38DA7B" w:rsidR="00914A1A" w:rsidRPr="004F5487" w:rsidRDefault="00811EC6" w:rsidP="00914A1A">
            <w:pPr>
              <w:rPr>
                <w:rFonts w:asciiTheme="majorHAnsi" w:hAnsiTheme="majorHAnsi" w:cs="Arial"/>
                <w:b w:val="0"/>
                <w:sz w:val="20"/>
                <w:szCs w:val="20"/>
                <w:lang w:val="fr-CA"/>
              </w:rPr>
            </w:pPr>
            <w:r w:rsidRPr="004F5487">
              <w:rPr>
                <w:rFonts w:asciiTheme="majorHAnsi" w:hAnsiTheme="majorHAnsi" w:cs="Arial"/>
                <w:b w:val="0"/>
                <w:sz w:val="20"/>
                <w:szCs w:val="20"/>
                <w:lang w:val="fr-CA"/>
              </w:rPr>
              <w:t xml:space="preserve">XII.2; XII.11, </w:t>
            </w:r>
            <w:r w:rsidRPr="004F5487">
              <w:rPr>
                <w:rFonts w:ascii="Calibri" w:hAnsi="Calibri" w:cs="Arial"/>
                <w:b w:val="0"/>
                <w:sz w:val="20"/>
                <w:szCs w:val="20"/>
                <w:lang w:val="fr-CA"/>
              </w:rPr>
              <w:t>¶</w:t>
            </w:r>
            <w:r w:rsidRPr="004F5487">
              <w:rPr>
                <w:rFonts w:asciiTheme="majorHAnsi" w:hAnsiTheme="majorHAnsi" w:cs="Arial"/>
                <w:b w:val="0"/>
                <w:sz w:val="20"/>
                <w:szCs w:val="20"/>
                <w:lang w:val="fr-CA"/>
              </w:rPr>
              <w:t xml:space="preserve"> 28</w:t>
            </w:r>
          </w:p>
        </w:tc>
        <w:tc>
          <w:tcPr>
            <w:tcW w:w="400" w:type="pct"/>
          </w:tcPr>
          <w:p w14:paraId="0ACA7174" w14:textId="12AEEC2A" w:rsidR="00914A1A" w:rsidRPr="004F5487" w:rsidRDefault="00811EC6" w:rsidP="00914A1A">
            <w:pPr>
              <w:rPr>
                <w:rFonts w:asciiTheme="majorHAnsi" w:eastAsia="Calibri" w:hAnsiTheme="majorHAnsi" w:cs="Arial"/>
                <w:b w:val="0"/>
                <w:bCs/>
                <w:sz w:val="20"/>
                <w:szCs w:val="20"/>
                <w:lang w:val="fr-CA"/>
              </w:rPr>
            </w:pPr>
            <w:r w:rsidRPr="004F5487">
              <w:rPr>
                <w:rFonts w:asciiTheme="majorHAnsi" w:hAnsiTheme="majorHAnsi" w:cs="Arial"/>
                <w:b w:val="0"/>
                <w:sz w:val="20"/>
                <w:szCs w:val="20"/>
                <w:lang w:val="fr-CA" w:eastAsia="zh-CN"/>
              </w:rPr>
              <w:t>1.3, 1.4; 2.5, 2.7; 3.8,</w:t>
            </w:r>
            <w:r w:rsidR="004F5487">
              <w:rPr>
                <w:rFonts w:asciiTheme="majorHAnsi" w:hAnsiTheme="majorHAnsi" w:cs="Arial"/>
                <w:b w:val="0"/>
                <w:sz w:val="20"/>
                <w:szCs w:val="20"/>
                <w:lang w:val="fr-CA" w:eastAsia="zh-CN"/>
              </w:rPr>
              <w:t xml:space="preserve"> </w:t>
            </w:r>
            <w:r w:rsidRPr="004F5487">
              <w:rPr>
                <w:rFonts w:asciiTheme="majorHAnsi" w:hAnsiTheme="majorHAnsi" w:cs="Arial"/>
                <w:b w:val="0"/>
                <w:sz w:val="20"/>
                <w:szCs w:val="20"/>
                <w:lang w:val="fr-CA" w:eastAsia="zh-CN"/>
              </w:rPr>
              <w:t>3.9, 3.11, 3.12; 4.14</w:t>
            </w:r>
          </w:p>
        </w:tc>
        <w:tc>
          <w:tcPr>
            <w:tcW w:w="2953" w:type="pct"/>
          </w:tcPr>
          <w:p w14:paraId="136F21B8" w14:textId="4133DB4E" w:rsidR="00914A1A" w:rsidRPr="004F5487" w:rsidRDefault="00931645" w:rsidP="00914A1A">
            <w:pPr>
              <w:tabs>
                <w:tab w:val="left" w:pos="0"/>
              </w:tabs>
              <w:rPr>
                <w:rFonts w:asciiTheme="majorHAnsi" w:hAnsiTheme="majorHAnsi" w:cs="Arial"/>
                <w:b w:val="0"/>
                <w:sz w:val="20"/>
                <w:szCs w:val="20"/>
                <w:lang w:val="fr-CA"/>
              </w:rPr>
            </w:pPr>
            <w:r w:rsidRPr="004F5487">
              <w:rPr>
                <w:rFonts w:asciiTheme="majorHAnsi" w:hAnsiTheme="majorHAnsi" w:cs="Arial"/>
                <w:b w:val="0"/>
                <w:sz w:val="20"/>
                <w:szCs w:val="20"/>
                <w:u w:val="single"/>
                <w:lang w:val="fr-CA"/>
              </w:rPr>
              <w:t>Description de tâche</w:t>
            </w:r>
            <w:r w:rsidRPr="004F5487">
              <w:rPr>
                <w:rFonts w:asciiTheme="majorHAnsi" w:hAnsiTheme="majorHAnsi" w:cs="Arial"/>
                <w:b w:val="0"/>
                <w:sz w:val="20"/>
                <w:szCs w:val="20"/>
                <w:lang w:val="fr-CA"/>
              </w:rPr>
              <w:t xml:space="preserve"> : </w:t>
            </w:r>
            <w:r w:rsidR="00914A1A" w:rsidRPr="004F5487">
              <w:rPr>
                <w:rFonts w:asciiTheme="majorHAnsi" w:hAnsiTheme="majorHAnsi" w:cs="Arial"/>
                <w:b w:val="0"/>
                <w:sz w:val="20"/>
                <w:szCs w:val="20"/>
                <w:lang w:val="fr-CA"/>
              </w:rPr>
              <w:t>Compil</w:t>
            </w:r>
            <w:r w:rsidR="000F4FDF" w:rsidRPr="004F5487">
              <w:rPr>
                <w:rFonts w:asciiTheme="majorHAnsi" w:hAnsiTheme="majorHAnsi" w:cs="Arial"/>
                <w:b w:val="0"/>
                <w:sz w:val="20"/>
                <w:szCs w:val="20"/>
                <w:lang w:val="fr-CA"/>
              </w:rPr>
              <w:t xml:space="preserve">er les meilleures pratiques de restauration des zones humides pour l’atténuation des changements climatiques et l’adaptation à ces changements, y compris les politiques, instruments et incitations et les innovations techniques de différentes régions. </w:t>
            </w:r>
          </w:p>
          <w:p w14:paraId="296D5AA0" w14:textId="77777777" w:rsidR="00914A1A" w:rsidRPr="004F5487" w:rsidRDefault="00914A1A" w:rsidP="00914A1A">
            <w:pPr>
              <w:tabs>
                <w:tab w:val="left" w:pos="0"/>
              </w:tabs>
              <w:rPr>
                <w:rFonts w:asciiTheme="majorHAnsi" w:hAnsiTheme="majorHAnsi" w:cs="Arial"/>
                <w:sz w:val="20"/>
                <w:szCs w:val="20"/>
                <w:u w:val="single"/>
                <w:lang w:val="fr-CA"/>
              </w:rPr>
            </w:pPr>
          </w:p>
          <w:p w14:paraId="633A6A3D" w14:textId="2CAE656C" w:rsidR="00914A1A" w:rsidRPr="004F5487" w:rsidRDefault="00931645" w:rsidP="00914A1A">
            <w:pPr>
              <w:tabs>
                <w:tab w:val="left" w:pos="0"/>
              </w:tabs>
              <w:rPr>
                <w:rFonts w:asciiTheme="majorHAnsi" w:hAnsiTheme="majorHAnsi" w:cs="Arial"/>
                <w:b w:val="0"/>
                <w:sz w:val="20"/>
                <w:szCs w:val="20"/>
                <w:lang w:val="fr-CA"/>
              </w:rPr>
            </w:pPr>
            <w:r w:rsidRPr="004F5487">
              <w:rPr>
                <w:rFonts w:asciiTheme="majorHAnsi" w:hAnsiTheme="majorHAnsi" w:cs="Arial"/>
                <w:b w:val="0"/>
                <w:sz w:val="20"/>
                <w:szCs w:val="20"/>
                <w:u w:val="single"/>
                <w:lang w:val="fr-CA"/>
              </w:rPr>
              <w:t>Résultat(s) escompté(s)</w:t>
            </w:r>
            <w:r w:rsidRPr="004F5487">
              <w:rPr>
                <w:rFonts w:asciiTheme="majorHAnsi" w:hAnsiTheme="majorHAnsi" w:cs="Arial"/>
                <w:b w:val="0"/>
                <w:sz w:val="20"/>
                <w:szCs w:val="20"/>
                <w:lang w:val="fr-CA"/>
              </w:rPr>
              <w:t xml:space="preserve"> : </w:t>
            </w:r>
          </w:p>
          <w:p w14:paraId="530A9641" w14:textId="2F3876B7" w:rsidR="00914A1A" w:rsidRPr="004F5487" w:rsidRDefault="00914A1A" w:rsidP="00914A1A">
            <w:pPr>
              <w:tabs>
                <w:tab w:val="left" w:pos="0"/>
              </w:tabs>
              <w:rPr>
                <w:rFonts w:asciiTheme="majorHAnsi" w:hAnsiTheme="majorHAnsi" w:cs="Arial"/>
                <w:b w:val="0"/>
                <w:sz w:val="20"/>
                <w:szCs w:val="20"/>
                <w:lang w:val="fr-CA"/>
              </w:rPr>
            </w:pPr>
            <w:r w:rsidRPr="004F5487">
              <w:rPr>
                <w:rFonts w:asciiTheme="majorHAnsi" w:hAnsiTheme="majorHAnsi" w:cs="Arial"/>
                <w:b w:val="0"/>
                <w:sz w:val="20"/>
                <w:szCs w:val="20"/>
                <w:lang w:val="fr-CA"/>
              </w:rPr>
              <w:t>1)</w:t>
            </w:r>
            <w:r w:rsidR="00E01336" w:rsidRPr="004F5487">
              <w:rPr>
                <w:rFonts w:asciiTheme="majorHAnsi" w:hAnsiTheme="majorHAnsi" w:cs="Arial"/>
                <w:b w:val="0"/>
                <w:sz w:val="20"/>
                <w:szCs w:val="20"/>
                <w:lang w:val="fr-CA"/>
              </w:rPr>
              <w:t xml:space="preserve"> </w:t>
            </w:r>
            <w:r w:rsidR="000F4FDF" w:rsidRPr="004F5487">
              <w:rPr>
                <w:rFonts w:asciiTheme="majorHAnsi" w:hAnsiTheme="majorHAnsi" w:cs="Arial"/>
                <w:b w:val="0"/>
                <w:sz w:val="20"/>
                <w:szCs w:val="20"/>
                <w:lang w:val="fr-CA"/>
              </w:rPr>
              <w:t>En s’appuyant sur la note d’information Ramsar</w:t>
            </w:r>
            <w:r w:rsidR="00811EC6" w:rsidRPr="004F5487">
              <w:rPr>
                <w:rFonts w:asciiTheme="majorHAnsi" w:hAnsiTheme="majorHAnsi" w:cs="Arial"/>
                <w:b w:val="0"/>
                <w:sz w:val="20"/>
                <w:szCs w:val="20"/>
                <w:lang w:val="fr-CA"/>
              </w:rPr>
              <w:t xml:space="preserve"> n° 5</w:t>
            </w:r>
            <w:r w:rsidRPr="004F5487">
              <w:rPr>
                <w:rFonts w:asciiTheme="majorHAnsi" w:hAnsiTheme="majorHAnsi" w:cs="Arial"/>
                <w:b w:val="0"/>
                <w:sz w:val="20"/>
                <w:szCs w:val="20"/>
                <w:lang w:val="fr-CA"/>
              </w:rPr>
              <w:t>,</w:t>
            </w:r>
            <w:r w:rsidR="00E01336" w:rsidRPr="004F5487">
              <w:rPr>
                <w:rFonts w:asciiTheme="majorHAnsi" w:hAnsiTheme="majorHAnsi" w:cs="Arial"/>
                <w:b w:val="0"/>
                <w:sz w:val="20"/>
                <w:szCs w:val="20"/>
                <w:lang w:val="fr-CA"/>
              </w:rPr>
              <w:t xml:space="preserve"> </w:t>
            </w:r>
            <w:r w:rsidR="000F4FDF" w:rsidRPr="004F5487">
              <w:rPr>
                <w:rFonts w:asciiTheme="majorHAnsi" w:hAnsiTheme="majorHAnsi" w:cs="Arial"/>
                <w:b w:val="0"/>
                <w:sz w:val="20"/>
                <w:szCs w:val="20"/>
                <w:lang w:val="fr-CA"/>
              </w:rPr>
              <w:t xml:space="preserve">une nouvelle note d’information soulignera le potentiel et </w:t>
            </w:r>
            <w:r w:rsidR="00A1768B" w:rsidRPr="004F5487">
              <w:rPr>
                <w:rFonts w:asciiTheme="majorHAnsi" w:hAnsiTheme="majorHAnsi" w:cs="Arial"/>
                <w:b w:val="0"/>
                <w:sz w:val="20"/>
                <w:szCs w:val="20"/>
                <w:lang w:val="fr-CA"/>
              </w:rPr>
              <w:t>la justification de</w:t>
            </w:r>
            <w:r w:rsidR="000F4FDF" w:rsidRPr="004F5487">
              <w:rPr>
                <w:rFonts w:asciiTheme="majorHAnsi" w:hAnsiTheme="majorHAnsi" w:cs="Arial"/>
                <w:b w:val="0"/>
                <w:sz w:val="20"/>
                <w:szCs w:val="20"/>
                <w:lang w:val="fr-CA"/>
              </w:rPr>
              <w:t xml:space="preserve"> la restauration des zones humides dans le contexte des changements climatiques.</w:t>
            </w:r>
            <w:r w:rsidR="00E01336" w:rsidRPr="004F5487">
              <w:rPr>
                <w:rFonts w:asciiTheme="majorHAnsi" w:hAnsiTheme="majorHAnsi" w:cs="Arial"/>
                <w:b w:val="0"/>
                <w:sz w:val="20"/>
                <w:szCs w:val="20"/>
                <w:lang w:val="fr-CA"/>
              </w:rPr>
              <w:t xml:space="preserve"> </w:t>
            </w:r>
          </w:p>
          <w:p w14:paraId="58330B43" w14:textId="77777777" w:rsidR="00914A1A" w:rsidRPr="004F5487" w:rsidRDefault="00914A1A" w:rsidP="00914A1A">
            <w:pPr>
              <w:tabs>
                <w:tab w:val="left" w:pos="0"/>
              </w:tabs>
              <w:rPr>
                <w:rFonts w:asciiTheme="majorHAnsi" w:hAnsiTheme="majorHAnsi" w:cs="Arial"/>
                <w:b w:val="0"/>
                <w:sz w:val="20"/>
                <w:szCs w:val="20"/>
                <w:lang w:val="fr-CA"/>
              </w:rPr>
            </w:pPr>
          </w:p>
          <w:p w14:paraId="3943E667" w14:textId="338BC8F9" w:rsidR="00914A1A" w:rsidRPr="004F5487" w:rsidRDefault="00914A1A" w:rsidP="00914A1A">
            <w:pPr>
              <w:tabs>
                <w:tab w:val="left" w:pos="0"/>
              </w:tabs>
              <w:rPr>
                <w:rFonts w:asciiTheme="majorHAnsi" w:hAnsiTheme="majorHAnsi" w:cs="Arial"/>
                <w:b w:val="0"/>
                <w:sz w:val="20"/>
                <w:szCs w:val="20"/>
                <w:lang w:val="fr-CA"/>
              </w:rPr>
            </w:pPr>
            <w:r w:rsidRPr="004F5487">
              <w:rPr>
                <w:rFonts w:asciiTheme="majorHAnsi" w:hAnsiTheme="majorHAnsi" w:cs="Arial"/>
                <w:b w:val="0"/>
                <w:sz w:val="20"/>
                <w:szCs w:val="20"/>
                <w:lang w:val="fr-CA"/>
              </w:rPr>
              <w:t>2)</w:t>
            </w:r>
            <w:r w:rsidR="00E01336" w:rsidRPr="004F5487">
              <w:rPr>
                <w:rFonts w:asciiTheme="majorHAnsi" w:hAnsiTheme="majorHAnsi" w:cs="Arial"/>
                <w:b w:val="0"/>
                <w:sz w:val="20"/>
                <w:szCs w:val="20"/>
                <w:lang w:val="fr-CA"/>
              </w:rPr>
              <w:t xml:space="preserve"> </w:t>
            </w:r>
            <w:r w:rsidR="000F4FDF" w:rsidRPr="004F5487">
              <w:rPr>
                <w:rFonts w:asciiTheme="majorHAnsi" w:hAnsiTheme="majorHAnsi" w:cs="Arial"/>
                <w:b w:val="0"/>
                <w:sz w:val="20"/>
                <w:szCs w:val="20"/>
                <w:lang w:val="fr-CA"/>
              </w:rPr>
              <w:t>Un document d’orientation discutera des meilleures pratiques et politiques pour les incitations et instruments de restauration des zones humides (p. ex., fonds carbone/secteur privé/VCS</w:t>
            </w:r>
            <w:r w:rsidR="004F5487">
              <w:rPr>
                <w:rFonts w:asciiTheme="majorHAnsi" w:hAnsiTheme="majorHAnsi" w:cs="Arial"/>
                <w:b w:val="0"/>
                <w:sz w:val="20"/>
                <w:szCs w:val="20"/>
                <w:lang w:val="fr-CA"/>
              </w:rPr>
              <w:t xml:space="preserve"> </w:t>
            </w:r>
            <w:r w:rsidR="00102344" w:rsidRPr="004F5487">
              <w:rPr>
                <w:rFonts w:asciiTheme="majorHAnsi" w:hAnsiTheme="majorHAnsi" w:cs="Arial"/>
                <w:b w:val="0"/>
                <w:sz w:val="20"/>
                <w:szCs w:val="20"/>
                <w:lang w:val="fr-CA"/>
              </w:rPr>
              <w:t xml:space="preserve">- Verified </w:t>
            </w:r>
            <w:r w:rsidR="00102344" w:rsidRPr="004F5487">
              <w:rPr>
                <w:rFonts w:asciiTheme="majorHAnsi" w:hAnsiTheme="majorHAnsi" w:cs="Arial"/>
                <w:b w:val="0"/>
                <w:sz w:val="20"/>
                <w:szCs w:val="20"/>
                <w:lang w:val="fr-CA"/>
              </w:rPr>
              <w:lastRenderedPageBreak/>
              <w:t>Carbon Standard</w:t>
            </w:r>
            <w:r w:rsidR="000F4FDF" w:rsidRPr="004F5487">
              <w:rPr>
                <w:rFonts w:asciiTheme="majorHAnsi" w:hAnsiTheme="majorHAnsi" w:cs="Arial"/>
                <w:b w:val="0"/>
                <w:sz w:val="20"/>
                <w:szCs w:val="20"/>
                <w:lang w:val="fr-CA"/>
              </w:rPr>
              <w:t>/CCBA</w:t>
            </w:r>
            <w:r w:rsidR="00102344" w:rsidRPr="004F5487">
              <w:rPr>
                <w:rFonts w:asciiTheme="majorHAnsi" w:hAnsiTheme="majorHAnsi" w:cs="Arial"/>
                <w:b w:val="0"/>
                <w:sz w:val="20"/>
                <w:szCs w:val="20"/>
                <w:lang w:val="fr-CA"/>
              </w:rPr>
              <w:t>-Climate, Community &amp; Biodiversity Alliance)</w:t>
            </w:r>
            <w:r w:rsidR="000F4FDF" w:rsidRPr="004F5487">
              <w:rPr>
                <w:rFonts w:asciiTheme="majorHAnsi" w:hAnsiTheme="majorHAnsi" w:cs="Arial"/>
                <w:b w:val="0"/>
                <w:sz w:val="20"/>
                <w:szCs w:val="20"/>
                <w:lang w:val="fr-CA"/>
              </w:rPr>
              <w:t xml:space="preserve"> pour expliquer pourquoi des ressources doivent être investies dans ces efforts.</w:t>
            </w:r>
            <w:r w:rsidR="00E01336" w:rsidRPr="004F5487">
              <w:rPr>
                <w:rFonts w:asciiTheme="majorHAnsi" w:hAnsiTheme="majorHAnsi" w:cs="Arial"/>
                <w:b w:val="0"/>
                <w:sz w:val="20"/>
                <w:szCs w:val="20"/>
                <w:lang w:val="fr-CA"/>
              </w:rPr>
              <w:t xml:space="preserve"> </w:t>
            </w:r>
          </w:p>
          <w:p w14:paraId="7CEAC7D2" w14:textId="77777777" w:rsidR="00914A1A" w:rsidRPr="004F5487" w:rsidRDefault="00914A1A" w:rsidP="00914A1A">
            <w:pPr>
              <w:tabs>
                <w:tab w:val="left" w:pos="0"/>
              </w:tabs>
              <w:rPr>
                <w:rFonts w:asciiTheme="majorHAnsi" w:hAnsiTheme="majorHAnsi" w:cs="Arial"/>
                <w:b w:val="0"/>
                <w:sz w:val="20"/>
                <w:szCs w:val="20"/>
                <w:lang w:val="fr-CA"/>
              </w:rPr>
            </w:pPr>
          </w:p>
          <w:p w14:paraId="1AEC761F" w14:textId="0CB12B1C" w:rsidR="00914A1A" w:rsidRPr="004F5487" w:rsidRDefault="00931645" w:rsidP="000F4FDF">
            <w:pPr>
              <w:tabs>
                <w:tab w:val="left" w:pos="0"/>
              </w:tabs>
              <w:rPr>
                <w:rFonts w:asciiTheme="majorHAnsi" w:hAnsiTheme="majorHAnsi" w:cs="Arial"/>
                <w:sz w:val="20"/>
                <w:szCs w:val="20"/>
                <w:u w:val="single"/>
                <w:lang w:val="fr-CA"/>
              </w:rPr>
            </w:pPr>
            <w:r w:rsidRPr="004F5487">
              <w:rPr>
                <w:rFonts w:asciiTheme="majorHAnsi" w:hAnsiTheme="majorHAnsi" w:cs="Arial"/>
                <w:b w:val="0"/>
                <w:sz w:val="20"/>
                <w:szCs w:val="20"/>
                <w:u w:val="single"/>
                <w:lang w:val="fr-CA"/>
              </w:rPr>
              <w:t>Public(s) ciblé(s)</w:t>
            </w:r>
            <w:r w:rsidRPr="004F5487">
              <w:rPr>
                <w:rFonts w:asciiTheme="majorHAnsi" w:hAnsiTheme="majorHAnsi" w:cs="Arial"/>
                <w:b w:val="0"/>
                <w:sz w:val="20"/>
                <w:szCs w:val="20"/>
                <w:lang w:val="fr-CA"/>
              </w:rPr>
              <w:t xml:space="preserve"> : </w:t>
            </w:r>
            <w:r w:rsidR="000F4FDF" w:rsidRPr="004F5487">
              <w:rPr>
                <w:rFonts w:asciiTheme="majorHAnsi" w:hAnsiTheme="majorHAnsi" w:cs="Arial"/>
                <w:b w:val="0"/>
                <w:sz w:val="20"/>
                <w:szCs w:val="20"/>
                <w:lang w:val="fr-CA"/>
              </w:rPr>
              <w:t>Décideurs et praticiens</w:t>
            </w:r>
            <w:r w:rsidR="00811EC6" w:rsidRPr="004F5487">
              <w:rPr>
                <w:rFonts w:asciiTheme="majorHAnsi" w:hAnsiTheme="majorHAnsi" w:cs="Arial"/>
                <w:b w:val="0"/>
                <w:sz w:val="20"/>
                <w:szCs w:val="20"/>
                <w:lang w:val="fr-CA"/>
              </w:rPr>
              <w:t xml:space="preserve"> (administrateurs de zones humides)</w:t>
            </w:r>
            <w:r w:rsidR="00E01336" w:rsidRPr="004F5487">
              <w:rPr>
                <w:rFonts w:asciiTheme="majorHAnsi" w:hAnsiTheme="majorHAnsi" w:cs="Arial"/>
                <w:sz w:val="20"/>
                <w:szCs w:val="20"/>
                <w:u w:val="single"/>
                <w:lang w:val="fr-CA"/>
              </w:rPr>
              <w:t xml:space="preserve"> </w:t>
            </w:r>
          </w:p>
        </w:tc>
        <w:tc>
          <w:tcPr>
            <w:tcW w:w="493" w:type="pct"/>
          </w:tcPr>
          <w:p w14:paraId="4AD3BEBA" w14:textId="6BAB713B" w:rsidR="004F5487" w:rsidRPr="004F5487" w:rsidRDefault="004F5487" w:rsidP="004F5487">
            <w:pPr>
              <w:rPr>
                <w:rFonts w:asciiTheme="majorHAnsi" w:hAnsiTheme="majorHAnsi" w:cs="Arial"/>
                <w:b w:val="0"/>
                <w:sz w:val="20"/>
                <w:szCs w:val="20"/>
                <w:lang w:val="fr-CA"/>
              </w:rPr>
            </w:pPr>
            <w:r>
              <w:rPr>
                <w:rFonts w:asciiTheme="majorHAnsi" w:hAnsiTheme="majorHAnsi" w:cs="Arial"/>
                <w:b w:val="0"/>
                <w:sz w:val="20"/>
                <w:szCs w:val="20"/>
                <w:lang w:val="fr-CA"/>
              </w:rPr>
              <w:lastRenderedPageBreak/>
              <w:t>Jusqu’à</w:t>
            </w:r>
            <w:r w:rsidR="00811EC6" w:rsidRPr="004F5487">
              <w:rPr>
                <w:rFonts w:asciiTheme="majorHAnsi" w:hAnsiTheme="majorHAnsi" w:cs="Arial"/>
                <w:b w:val="0"/>
                <w:sz w:val="20"/>
                <w:szCs w:val="20"/>
                <w:lang w:val="fr-CA"/>
              </w:rPr>
              <w:t xml:space="preserve"> 22</w:t>
            </w:r>
            <w:r>
              <w:rPr>
                <w:rFonts w:asciiTheme="majorHAnsi" w:hAnsiTheme="majorHAnsi" w:cs="Arial"/>
                <w:b w:val="0"/>
                <w:sz w:val="20"/>
                <w:szCs w:val="20"/>
                <w:lang w:val="fr-CA"/>
              </w:rPr>
              <w:t> </w:t>
            </w:r>
            <w:r w:rsidR="00811EC6" w:rsidRPr="004F5487">
              <w:rPr>
                <w:rFonts w:asciiTheme="majorHAnsi" w:hAnsiTheme="majorHAnsi" w:cs="Arial"/>
                <w:b w:val="0"/>
                <w:sz w:val="20"/>
                <w:szCs w:val="20"/>
                <w:lang w:val="fr-CA"/>
              </w:rPr>
              <w:t>000 [13</w:t>
            </w:r>
            <w:r>
              <w:rPr>
                <w:rFonts w:asciiTheme="majorHAnsi" w:hAnsiTheme="majorHAnsi" w:cs="Arial"/>
                <w:b w:val="0"/>
                <w:sz w:val="20"/>
                <w:szCs w:val="20"/>
                <w:lang w:val="fr-CA"/>
              </w:rPr>
              <w:t> </w:t>
            </w:r>
            <w:r w:rsidR="00811EC6" w:rsidRPr="004F5487">
              <w:rPr>
                <w:rFonts w:asciiTheme="majorHAnsi" w:hAnsiTheme="majorHAnsi" w:cs="Arial"/>
                <w:b w:val="0"/>
                <w:sz w:val="20"/>
                <w:szCs w:val="20"/>
                <w:lang w:val="fr-CA"/>
              </w:rPr>
              <w:t xml:space="preserve">000 </w:t>
            </w:r>
            <w:r>
              <w:rPr>
                <w:rFonts w:asciiTheme="majorHAnsi" w:hAnsiTheme="majorHAnsi" w:cs="Arial"/>
                <w:b w:val="0"/>
                <w:sz w:val="20"/>
                <w:szCs w:val="20"/>
                <w:lang w:val="fr-CA"/>
              </w:rPr>
              <w:t xml:space="preserve">pour une note d’information et </w:t>
            </w:r>
            <w:r w:rsidR="00811EC6" w:rsidRPr="004F5487">
              <w:rPr>
                <w:rFonts w:asciiTheme="majorHAnsi" w:hAnsiTheme="majorHAnsi" w:cs="Arial"/>
                <w:b w:val="0"/>
                <w:sz w:val="20"/>
                <w:szCs w:val="20"/>
                <w:lang w:val="fr-CA"/>
              </w:rPr>
              <w:t xml:space="preserve">9000 </w:t>
            </w:r>
            <w:r>
              <w:rPr>
                <w:rFonts w:asciiTheme="majorHAnsi" w:hAnsiTheme="majorHAnsi" w:cs="Arial"/>
                <w:b w:val="0"/>
                <w:sz w:val="20"/>
                <w:szCs w:val="20"/>
                <w:lang w:val="fr-CA"/>
              </w:rPr>
              <w:t xml:space="preserve">pour un document d’orientation; possibilité d’organiser un petit atelier de rédaction lié au </w:t>
            </w:r>
          </w:p>
          <w:p w14:paraId="7C7C4BB7" w14:textId="5120BBBE" w:rsidR="00914A1A" w:rsidRPr="004F5487" w:rsidRDefault="00811EC6" w:rsidP="004F5487">
            <w:pPr>
              <w:rPr>
                <w:rFonts w:asciiTheme="majorHAnsi" w:hAnsiTheme="majorHAnsi" w:cs="Arial"/>
                <w:b w:val="0"/>
                <w:sz w:val="20"/>
                <w:szCs w:val="20"/>
                <w:lang w:val="fr-CA"/>
              </w:rPr>
            </w:pPr>
            <w:r w:rsidRPr="004F5487">
              <w:rPr>
                <w:rFonts w:asciiTheme="majorHAnsi" w:hAnsiTheme="majorHAnsi" w:cs="Arial"/>
                <w:b w:val="0"/>
                <w:sz w:val="20"/>
                <w:szCs w:val="20"/>
                <w:lang w:val="fr-CA"/>
              </w:rPr>
              <w:lastRenderedPageBreak/>
              <w:t>SoWWS o</w:t>
            </w:r>
            <w:r w:rsidR="004F5487">
              <w:rPr>
                <w:rFonts w:asciiTheme="majorHAnsi" w:hAnsiTheme="majorHAnsi" w:cs="Arial"/>
                <w:b w:val="0"/>
                <w:sz w:val="20"/>
                <w:szCs w:val="20"/>
                <w:lang w:val="fr-CA"/>
              </w:rPr>
              <w:t>u d’autres ateliers de rédaction</w:t>
            </w:r>
            <w:r w:rsidRPr="004F5487">
              <w:rPr>
                <w:rFonts w:asciiTheme="majorHAnsi" w:hAnsiTheme="majorHAnsi" w:cs="Arial"/>
                <w:b w:val="0"/>
                <w:sz w:val="20"/>
                <w:szCs w:val="20"/>
                <w:lang w:val="fr-CA"/>
              </w:rPr>
              <w:t>]</w:t>
            </w:r>
          </w:p>
        </w:tc>
      </w:tr>
      <w:tr w:rsidR="00914A1A" w:rsidRPr="004F5487" w14:paraId="1658DD1A" w14:textId="77777777" w:rsidTr="00CA5375">
        <w:tc>
          <w:tcPr>
            <w:tcW w:w="516" w:type="pct"/>
          </w:tcPr>
          <w:p w14:paraId="6CCBE1CD" w14:textId="4AB7F54B" w:rsidR="00914A1A" w:rsidRPr="004F5487" w:rsidRDefault="00914A1A" w:rsidP="000F4FDF">
            <w:pPr>
              <w:keepNext/>
              <w:keepLines/>
              <w:rPr>
                <w:rFonts w:asciiTheme="majorHAnsi" w:hAnsiTheme="majorHAnsi" w:cs="Arial"/>
                <w:b w:val="0"/>
                <w:sz w:val="20"/>
                <w:szCs w:val="20"/>
                <w:lang w:val="fr-CA"/>
              </w:rPr>
            </w:pPr>
            <w:r w:rsidRPr="004F5487">
              <w:rPr>
                <w:rFonts w:asciiTheme="majorHAnsi" w:hAnsiTheme="majorHAnsi" w:cs="Arial"/>
                <w:b w:val="0"/>
                <w:sz w:val="20"/>
                <w:szCs w:val="20"/>
                <w:lang w:val="fr-CA"/>
              </w:rPr>
              <w:lastRenderedPageBreak/>
              <w:t>5.2</w:t>
            </w:r>
            <w:r w:rsidR="00E01336" w:rsidRPr="004F5487">
              <w:rPr>
                <w:rFonts w:asciiTheme="majorHAnsi" w:hAnsiTheme="majorHAnsi" w:cs="Arial"/>
                <w:b w:val="0"/>
                <w:sz w:val="20"/>
                <w:szCs w:val="20"/>
                <w:lang w:val="fr-CA"/>
              </w:rPr>
              <w:t xml:space="preserve"> </w:t>
            </w:r>
            <w:r w:rsidR="000F4FDF" w:rsidRPr="004F5487">
              <w:rPr>
                <w:rFonts w:asciiTheme="majorHAnsi" w:hAnsiTheme="majorHAnsi" w:cs="Arial"/>
                <w:b w:val="0"/>
                <w:sz w:val="20"/>
                <w:szCs w:val="20"/>
                <w:lang w:val="fr-CA"/>
              </w:rPr>
              <w:t xml:space="preserve">Incidences de la </w:t>
            </w:r>
            <w:r w:rsidRPr="004F5487">
              <w:rPr>
                <w:rFonts w:asciiTheme="majorHAnsi" w:hAnsiTheme="majorHAnsi" w:cs="Arial"/>
                <w:b w:val="0"/>
                <w:sz w:val="20"/>
                <w:szCs w:val="20"/>
                <w:lang w:val="fr-CA"/>
              </w:rPr>
              <w:t>REDD-plus</w:t>
            </w:r>
            <w:r w:rsidR="00E01336" w:rsidRPr="004F5487">
              <w:rPr>
                <w:rFonts w:asciiTheme="majorHAnsi" w:hAnsiTheme="majorHAnsi" w:cs="Arial"/>
                <w:b w:val="0"/>
                <w:sz w:val="20"/>
                <w:szCs w:val="20"/>
                <w:lang w:val="fr-CA"/>
              </w:rPr>
              <w:t xml:space="preserve"> </w:t>
            </w:r>
            <w:r w:rsidR="000F4FDF" w:rsidRPr="004F5487">
              <w:rPr>
                <w:rFonts w:asciiTheme="majorHAnsi" w:hAnsiTheme="majorHAnsi" w:cs="Arial"/>
                <w:b w:val="0"/>
                <w:sz w:val="20"/>
                <w:szCs w:val="20"/>
                <w:lang w:val="fr-CA"/>
              </w:rPr>
              <w:t xml:space="preserve">pour l’utilisation rationnelle des zones humides </w:t>
            </w:r>
          </w:p>
          <w:p w14:paraId="64A26DCE" w14:textId="77777777" w:rsidR="00914A1A" w:rsidRPr="004F5487" w:rsidRDefault="00914A1A" w:rsidP="000F4FDF">
            <w:pPr>
              <w:keepNext/>
              <w:keepLines/>
              <w:rPr>
                <w:rFonts w:asciiTheme="majorHAnsi" w:hAnsiTheme="majorHAnsi" w:cs="Arial"/>
                <w:b w:val="0"/>
                <w:sz w:val="20"/>
                <w:szCs w:val="20"/>
                <w:lang w:val="fr-CA"/>
              </w:rPr>
            </w:pPr>
          </w:p>
        </w:tc>
        <w:tc>
          <w:tcPr>
            <w:tcW w:w="283" w:type="pct"/>
          </w:tcPr>
          <w:p w14:paraId="465B6D40" w14:textId="77777777" w:rsidR="00914A1A" w:rsidRPr="004F5487" w:rsidRDefault="00914A1A" w:rsidP="000F4FDF">
            <w:pPr>
              <w:keepNext/>
              <w:keepLines/>
              <w:rPr>
                <w:rFonts w:asciiTheme="majorHAnsi" w:hAnsiTheme="majorHAnsi" w:cs="Arial"/>
                <w:b w:val="0"/>
                <w:sz w:val="20"/>
                <w:szCs w:val="20"/>
                <w:lang w:val="fr-CA"/>
              </w:rPr>
            </w:pPr>
          </w:p>
        </w:tc>
        <w:tc>
          <w:tcPr>
            <w:tcW w:w="355" w:type="pct"/>
          </w:tcPr>
          <w:p w14:paraId="3C7AFBEE" w14:textId="59510E3B" w:rsidR="00914A1A" w:rsidRPr="004F5487" w:rsidRDefault="00CA5375" w:rsidP="001979B9">
            <w:pPr>
              <w:keepNext/>
              <w:keepLines/>
              <w:rPr>
                <w:rFonts w:asciiTheme="majorHAnsi" w:hAnsiTheme="majorHAnsi" w:cs="Arial"/>
                <w:b w:val="0"/>
                <w:sz w:val="20"/>
                <w:szCs w:val="20"/>
                <w:lang w:val="fr-CA"/>
              </w:rPr>
            </w:pPr>
            <w:r w:rsidRPr="004F5487">
              <w:rPr>
                <w:rFonts w:asciiTheme="majorHAnsi" w:hAnsiTheme="majorHAnsi" w:cs="Arial"/>
                <w:b w:val="0"/>
                <w:sz w:val="20"/>
                <w:szCs w:val="20"/>
                <w:lang w:val="fr-CA"/>
              </w:rPr>
              <w:t xml:space="preserve">XII.2; XII.5, </w:t>
            </w:r>
            <w:r w:rsidR="004B32FB">
              <w:rPr>
                <w:rFonts w:asciiTheme="majorHAnsi" w:hAnsiTheme="majorHAnsi" w:cs="Arial"/>
                <w:b w:val="0"/>
                <w:sz w:val="20"/>
                <w:szCs w:val="20"/>
                <w:lang w:val="fr-CA"/>
              </w:rPr>
              <w:t>annexe</w:t>
            </w:r>
            <w:r w:rsidRPr="004F5487">
              <w:rPr>
                <w:rFonts w:asciiTheme="majorHAnsi" w:hAnsiTheme="majorHAnsi" w:cs="Arial"/>
                <w:b w:val="0"/>
                <w:sz w:val="20"/>
                <w:szCs w:val="20"/>
                <w:lang w:val="fr-CA"/>
              </w:rPr>
              <w:t xml:space="preserve"> 1, </w:t>
            </w:r>
            <w:r w:rsidRPr="004F5487">
              <w:rPr>
                <w:rFonts w:ascii="Calibri" w:hAnsi="Calibri" w:cs="Arial"/>
                <w:b w:val="0"/>
                <w:sz w:val="20"/>
                <w:szCs w:val="20"/>
                <w:lang w:val="fr-CA"/>
              </w:rPr>
              <w:t>¶</w:t>
            </w:r>
            <w:r w:rsidRPr="004F5487">
              <w:rPr>
                <w:rFonts w:asciiTheme="majorHAnsi" w:hAnsiTheme="majorHAnsi" w:cs="Arial"/>
                <w:b w:val="0"/>
                <w:sz w:val="20"/>
                <w:szCs w:val="20"/>
                <w:lang w:val="fr-CA"/>
              </w:rPr>
              <w:t>¶</w:t>
            </w:r>
            <w:r w:rsidRPr="004F5487">
              <w:rPr>
                <w:rFonts w:ascii="Calibri" w:hAnsi="Calibri" w:cs="Arial"/>
                <w:b w:val="0"/>
                <w:sz w:val="20"/>
                <w:szCs w:val="20"/>
                <w:lang w:val="fr-CA"/>
              </w:rPr>
              <w:t xml:space="preserve"> 1-2</w:t>
            </w:r>
          </w:p>
        </w:tc>
        <w:tc>
          <w:tcPr>
            <w:tcW w:w="400" w:type="pct"/>
          </w:tcPr>
          <w:p w14:paraId="551F9E78" w14:textId="7CD36810" w:rsidR="00914A1A" w:rsidRPr="004F5487" w:rsidRDefault="00CA5375" w:rsidP="000F4FDF">
            <w:pPr>
              <w:keepNext/>
              <w:keepLines/>
              <w:rPr>
                <w:rFonts w:asciiTheme="majorHAnsi" w:hAnsiTheme="majorHAnsi" w:cs="Arial"/>
                <w:b w:val="0"/>
                <w:sz w:val="20"/>
                <w:szCs w:val="20"/>
                <w:lang w:val="fr-CA"/>
              </w:rPr>
            </w:pPr>
            <w:r w:rsidRPr="004F5487">
              <w:rPr>
                <w:rFonts w:asciiTheme="majorHAnsi" w:hAnsiTheme="majorHAnsi" w:cs="Arial"/>
                <w:b w:val="0"/>
                <w:sz w:val="20"/>
                <w:szCs w:val="20"/>
                <w:lang w:val="fr-CA" w:eastAsia="zh-CN"/>
              </w:rPr>
              <w:t>3.8,</w:t>
            </w:r>
            <w:r w:rsidR="00A76CC7">
              <w:rPr>
                <w:rFonts w:asciiTheme="majorHAnsi" w:hAnsiTheme="majorHAnsi" w:cs="Arial"/>
                <w:b w:val="0"/>
                <w:sz w:val="20"/>
                <w:szCs w:val="20"/>
                <w:lang w:val="fr-CA" w:eastAsia="zh-CN"/>
              </w:rPr>
              <w:t xml:space="preserve"> </w:t>
            </w:r>
            <w:r w:rsidRPr="004F5487">
              <w:rPr>
                <w:rFonts w:asciiTheme="majorHAnsi" w:hAnsiTheme="majorHAnsi" w:cs="Arial"/>
                <w:b w:val="0"/>
                <w:sz w:val="20"/>
                <w:szCs w:val="20"/>
                <w:lang w:val="fr-CA" w:eastAsia="zh-CN"/>
              </w:rPr>
              <w:t>3.9, 3.11, 3.12; 4.14</w:t>
            </w:r>
          </w:p>
        </w:tc>
        <w:tc>
          <w:tcPr>
            <w:tcW w:w="2953" w:type="pct"/>
          </w:tcPr>
          <w:p w14:paraId="390F4699" w14:textId="7F5D7BC5" w:rsidR="00914A1A" w:rsidRPr="004F5487" w:rsidRDefault="00931645" w:rsidP="000F4FDF">
            <w:pPr>
              <w:keepNext/>
              <w:keepLines/>
              <w:rPr>
                <w:rFonts w:asciiTheme="majorHAnsi" w:hAnsiTheme="majorHAnsi" w:cs="Arial"/>
                <w:b w:val="0"/>
                <w:sz w:val="20"/>
                <w:szCs w:val="20"/>
                <w:lang w:val="fr-CA"/>
              </w:rPr>
            </w:pPr>
            <w:r w:rsidRPr="004F5487">
              <w:rPr>
                <w:rFonts w:asciiTheme="majorHAnsi" w:hAnsiTheme="majorHAnsi" w:cs="Arial"/>
                <w:b w:val="0"/>
                <w:sz w:val="20"/>
                <w:szCs w:val="20"/>
                <w:u w:val="single"/>
                <w:lang w:val="fr-CA"/>
              </w:rPr>
              <w:t>Description de tâche</w:t>
            </w:r>
            <w:r w:rsidRPr="004F5487">
              <w:rPr>
                <w:rFonts w:asciiTheme="majorHAnsi" w:hAnsiTheme="majorHAnsi" w:cs="Arial"/>
                <w:b w:val="0"/>
                <w:sz w:val="20"/>
                <w:szCs w:val="20"/>
                <w:lang w:val="fr-CA"/>
              </w:rPr>
              <w:t xml:space="preserve"> : </w:t>
            </w:r>
            <w:r w:rsidR="000F4FDF" w:rsidRPr="004F5487">
              <w:rPr>
                <w:rFonts w:asciiTheme="majorHAnsi" w:hAnsiTheme="majorHAnsi" w:cs="Arial"/>
                <w:b w:val="0"/>
                <w:sz w:val="20"/>
                <w:szCs w:val="20"/>
                <w:lang w:val="fr-CA"/>
              </w:rPr>
              <w:t xml:space="preserve">Examen des décisions prises par les accords multilatéraux sur l’environnement concernant la </w:t>
            </w:r>
            <w:r w:rsidR="00914A1A" w:rsidRPr="004F5487">
              <w:rPr>
                <w:rFonts w:asciiTheme="majorHAnsi" w:hAnsiTheme="majorHAnsi" w:cs="Arial"/>
                <w:b w:val="0"/>
                <w:sz w:val="20"/>
                <w:szCs w:val="20"/>
                <w:lang w:val="fr-CA"/>
              </w:rPr>
              <w:t>REDD-plus</w:t>
            </w:r>
            <w:r w:rsidR="00E01336" w:rsidRPr="004F5487">
              <w:rPr>
                <w:rFonts w:asciiTheme="majorHAnsi" w:hAnsiTheme="majorHAnsi" w:cs="Arial"/>
                <w:b w:val="0"/>
                <w:sz w:val="20"/>
                <w:szCs w:val="20"/>
                <w:lang w:val="fr-CA"/>
              </w:rPr>
              <w:t xml:space="preserve"> </w:t>
            </w:r>
            <w:r w:rsidR="000F4FDF" w:rsidRPr="004F5487">
              <w:rPr>
                <w:rFonts w:asciiTheme="majorHAnsi" w:hAnsiTheme="majorHAnsi" w:cs="Arial"/>
                <w:b w:val="0"/>
                <w:sz w:val="20"/>
                <w:szCs w:val="20"/>
                <w:lang w:val="fr-CA"/>
              </w:rPr>
              <w:t>et leurs incidences pour</w:t>
            </w:r>
            <w:r w:rsidR="00CA5375" w:rsidRPr="004F5487">
              <w:rPr>
                <w:rFonts w:asciiTheme="majorHAnsi" w:hAnsiTheme="majorHAnsi" w:cs="Arial"/>
                <w:b w:val="0"/>
                <w:sz w:val="20"/>
                <w:szCs w:val="20"/>
                <w:lang w:val="fr-CA"/>
              </w:rPr>
              <w:t xml:space="preserve"> la restauration (amélioration) et </w:t>
            </w:r>
            <w:r w:rsidR="000F4FDF" w:rsidRPr="004F5487">
              <w:rPr>
                <w:rFonts w:asciiTheme="majorHAnsi" w:hAnsiTheme="majorHAnsi" w:cs="Arial"/>
                <w:b w:val="0"/>
                <w:sz w:val="20"/>
                <w:szCs w:val="20"/>
                <w:lang w:val="fr-CA"/>
              </w:rPr>
              <w:t>l’utilisation</w:t>
            </w:r>
            <w:r w:rsidR="00CA5375" w:rsidRPr="004F5487">
              <w:rPr>
                <w:rFonts w:asciiTheme="majorHAnsi" w:hAnsiTheme="majorHAnsi" w:cs="Arial"/>
                <w:b w:val="0"/>
                <w:sz w:val="20"/>
                <w:szCs w:val="20"/>
                <w:lang w:val="fr-CA"/>
              </w:rPr>
              <w:t xml:space="preserve"> rationnelle des zones humides.</w:t>
            </w:r>
          </w:p>
          <w:p w14:paraId="1A142FBB" w14:textId="77777777" w:rsidR="00914A1A" w:rsidRPr="004F5487" w:rsidRDefault="00914A1A" w:rsidP="000F4FDF">
            <w:pPr>
              <w:keepNext/>
              <w:keepLines/>
              <w:rPr>
                <w:rFonts w:asciiTheme="majorHAnsi" w:hAnsiTheme="majorHAnsi" w:cs="Arial"/>
                <w:b w:val="0"/>
                <w:sz w:val="20"/>
                <w:szCs w:val="20"/>
                <w:u w:val="single"/>
                <w:lang w:val="fr-CA"/>
              </w:rPr>
            </w:pPr>
          </w:p>
          <w:p w14:paraId="1377CBBD" w14:textId="39759D3A" w:rsidR="00914A1A" w:rsidRPr="004F5487" w:rsidRDefault="00931645" w:rsidP="000F4FDF">
            <w:pPr>
              <w:keepNext/>
              <w:keepLines/>
              <w:rPr>
                <w:rFonts w:asciiTheme="majorHAnsi" w:hAnsiTheme="majorHAnsi" w:cs="Arial"/>
                <w:b w:val="0"/>
                <w:sz w:val="20"/>
                <w:szCs w:val="20"/>
                <w:lang w:val="fr-CA"/>
              </w:rPr>
            </w:pPr>
            <w:r w:rsidRPr="004F5487">
              <w:rPr>
                <w:rFonts w:asciiTheme="majorHAnsi" w:hAnsiTheme="majorHAnsi" w:cs="Arial"/>
                <w:b w:val="0"/>
                <w:sz w:val="20"/>
                <w:szCs w:val="20"/>
                <w:u w:val="single"/>
                <w:lang w:val="fr-CA"/>
              </w:rPr>
              <w:t>Résultat(s) escompté(s)</w:t>
            </w:r>
            <w:r w:rsidRPr="004F5487">
              <w:rPr>
                <w:rFonts w:asciiTheme="majorHAnsi" w:hAnsiTheme="majorHAnsi" w:cs="Arial"/>
                <w:b w:val="0"/>
                <w:sz w:val="20"/>
                <w:szCs w:val="20"/>
                <w:lang w:val="fr-CA"/>
              </w:rPr>
              <w:t xml:space="preserve"> : </w:t>
            </w:r>
            <w:r w:rsidR="00CA5375" w:rsidRPr="004F5487">
              <w:rPr>
                <w:rFonts w:asciiTheme="majorHAnsi" w:hAnsiTheme="majorHAnsi" w:cs="Arial"/>
                <w:b w:val="0"/>
                <w:sz w:val="20"/>
                <w:szCs w:val="20"/>
                <w:lang w:val="fr-CA"/>
              </w:rPr>
              <w:t>Document d’orientation</w:t>
            </w:r>
            <w:r w:rsidR="000F4FDF" w:rsidRPr="004F5487">
              <w:rPr>
                <w:rFonts w:asciiTheme="majorHAnsi" w:hAnsiTheme="majorHAnsi" w:cs="Arial"/>
                <w:b w:val="0"/>
                <w:sz w:val="20"/>
                <w:szCs w:val="20"/>
                <w:lang w:val="fr-CA"/>
              </w:rPr>
              <w:t xml:space="preserve">. </w:t>
            </w:r>
          </w:p>
          <w:p w14:paraId="75CFCAFA" w14:textId="77777777" w:rsidR="00914A1A" w:rsidRPr="004F5487" w:rsidRDefault="00914A1A" w:rsidP="000F4FDF">
            <w:pPr>
              <w:keepNext/>
              <w:keepLines/>
              <w:rPr>
                <w:rFonts w:asciiTheme="majorHAnsi" w:hAnsiTheme="majorHAnsi" w:cs="Arial"/>
                <w:b w:val="0"/>
                <w:sz w:val="20"/>
                <w:szCs w:val="20"/>
                <w:lang w:val="fr-CA"/>
              </w:rPr>
            </w:pPr>
          </w:p>
          <w:p w14:paraId="671082EB" w14:textId="77777777" w:rsidR="00914A1A" w:rsidRPr="004F5487" w:rsidRDefault="00931645" w:rsidP="00CA5375">
            <w:pPr>
              <w:keepNext/>
              <w:keepLines/>
              <w:rPr>
                <w:rFonts w:asciiTheme="majorHAnsi" w:hAnsiTheme="majorHAnsi" w:cs="Arial"/>
                <w:b w:val="0"/>
                <w:sz w:val="20"/>
                <w:szCs w:val="20"/>
                <w:lang w:val="fr-CA"/>
              </w:rPr>
            </w:pPr>
            <w:r w:rsidRPr="004F5487">
              <w:rPr>
                <w:rFonts w:asciiTheme="majorHAnsi" w:hAnsiTheme="majorHAnsi" w:cs="Arial"/>
                <w:b w:val="0"/>
                <w:sz w:val="20"/>
                <w:szCs w:val="20"/>
                <w:u w:val="single"/>
                <w:lang w:val="fr-CA"/>
              </w:rPr>
              <w:t>Public(s) ciblé(s)</w:t>
            </w:r>
            <w:r w:rsidRPr="004F5487">
              <w:rPr>
                <w:rFonts w:asciiTheme="majorHAnsi" w:hAnsiTheme="majorHAnsi" w:cs="Arial"/>
                <w:b w:val="0"/>
                <w:sz w:val="20"/>
                <w:szCs w:val="20"/>
                <w:lang w:val="fr-CA"/>
              </w:rPr>
              <w:t xml:space="preserve"> : </w:t>
            </w:r>
            <w:r w:rsidR="00CA5375" w:rsidRPr="004F5487">
              <w:rPr>
                <w:rFonts w:asciiTheme="majorHAnsi" w:hAnsiTheme="majorHAnsi" w:cs="Arial"/>
                <w:b w:val="0"/>
                <w:sz w:val="20"/>
                <w:szCs w:val="20"/>
                <w:lang w:val="fr-CA"/>
              </w:rPr>
              <w:t>D</w:t>
            </w:r>
            <w:r w:rsidR="000F4FDF" w:rsidRPr="004F5487">
              <w:rPr>
                <w:rFonts w:asciiTheme="majorHAnsi" w:hAnsiTheme="majorHAnsi" w:cs="Arial"/>
                <w:b w:val="0"/>
                <w:sz w:val="20"/>
                <w:szCs w:val="20"/>
                <w:lang w:val="fr-CA"/>
              </w:rPr>
              <w:t>écideurs.</w:t>
            </w:r>
          </w:p>
          <w:p w14:paraId="3FAAD74D" w14:textId="520F9765" w:rsidR="00CA5375" w:rsidRPr="004F5487" w:rsidRDefault="00CA5375" w:rsidP="00CA5375">
            <w:pPr>
              <w:keepNext/>
              <w:keepLines/>
              <w:rPr>
                <w:rFonts w:asciiTheme="majorHAnsi" w:hAnsiTheme="majorHAnsi" w:cs="Arial"/>
                <w:b w:val="0"/>
                <w:sz w:val="20"/>
                <w:szCs w:val="20"/>
                <w:u w:val="single"/>
                <w:lang w:val="fr-CA"/>
              </w:rPr>
            </w:pPr>
          </w:p>
        </w:tc>
        <w:tc>
          <w:tcPr>
            <w:tcW w:w="493" w:type="pct"/>
          </w:tcPr>
          <w:p w14:paraId="18126FD4" w14:textId="2D6EFDB8" w:rsidR="00914A1A" w:rsidRPr="004F5487" w:rsidRDefault="00CA5375" w:rsidP="00914A1A">
            <w:pPr>
              <w:rPr>
                <w:rFonts w:asciiTheme="majorHAnsi" w:hAnsiTheme="majorHAnsi" w:cs="Arial"/>
                <w:b w:val="0"/>
                <w:sz w:val="20"/>
                <w:szCs w:val="20"/>
                <w:lang w:val="fr-CA"/>
              </w:rPr>
            </w:pPr>
            <w:r w:rsidRPr="004F5487">
              <w:rPr>
                <w:rFonts w:asciiTheme="majorHAnsi" w:hAnsiTheme="majorHAnsi" w:cs="Arial"/>
                <w:b w:val="0"/>
                <w:sz w:val="20"/>
                <w:szCs w:val="20"/>
                <w:lang w:val="fr-CA"/>
              </w:rPr>
              <w:t>Jusqu’à 9 000</w:t>
            </w:r>
          </w:p>
        </w:tc>
      </w:tr>
      <w:tr w:rsidR="00914A1A" w:rsidRPr="004F5487" w14:paraId="578885D1" w14:textId="77777777" w:rsidTr="00CA5375">
        <w:tc>
          <w:tcPr>
            <w:tcW w:w="516" w:type="pct"/>
          </w:tcPr>
          <w:p w14:paraId="736D8D1B" w14:textId="0E197D5F" w:rsidR="00914A1A" w:rsidRPr="004F5487" w:rsidRDefault="00914A1A" w:rsidP="000F4FDF">
            <w:pPr>
              <w:rPr>
                <w:rFonts w:asciiTheme="majorHAnsi" w:hAnsiTheme="majorHAnsi" w:cs="Arial"/>
                <w:b w:val="0"/>
                <w:sz w:val="20"/>
                <w:szCs w:val="20"/>
                <w:lang w:val="fr-CA"/>
              </w:rPr>
            </w:pPr>
            <w:r w:rsidRPr="004F5487">
              <w:rPr>
                <w:rFonts w:asciiTheme="majorHAnsi" w:hAnsiTheme="majorHAnsi" w:cs="Arial"/>
                <w:b w:val="0"/>
                <w:sz w:val="20"/>
                <w:szCs w:val="20"/>
                <w:lang w:val="fr-CA"/>
              </w:rPr>
              <w:t>5.3</w:t>
            </w:r>
            <w:r w:rsidR="000F4FDF" w:rsidRPr="004F5487">
              <w:rPr>
                <w:rFonts w:asciiTheme="majorHAnsi" w:hAnsiTheme="majorHAnsi" w:cs="Arial"/>
                <w:b w:val="0"/>
                <w:sz w:val="20"/>
                <w:szCs w:val="20"/>
                <w:lang w:val="fr-CA"/>
              </w:rPr>
              <w:t xml:space="preserve"> </w:t>
            </w:r>
            <w:r w:rsidRPr="004F5487">
              <w:rPr>
                <w:rFonts w:asciiTheme="majorHAnsi" w:hAnsiTheme="majorHAnsi" w:cs="Arial"/>
                <w:b w:val="0"/>
                <w:sz w:val="20"/>
                <w:szCs w:val="20"/>
                <w:lang w:val="fr-CA"/>
              </w:rPr>
              <w:t>A</w:t>
            </w:r>
            <w:r w:rsidR="000F4FDF" w:rsidRPr="004F5487">
              <w:rPr>
                <w:rFonts w:asciiTheme="majorHAnsi" w:hAnsiTheme="majorHAnsi" w:cs="Arial"/>
                <w:b w:val="0"/>
                <w:sz w:val="20"/>
                <w:szCs w:val="20"/>
                <w:lang w:val="fr-CA"/>
              </w:rPr>
              <w:t>vis pour la 13</w:t>
            </w:r>
            <w:r w:rsidR="000F4FDF" w:rsidRPr="004F5487">
              <w:rPr>
                <w:rFonts w:asciiTheme="majorHAnsi" w:hAnsiTheme="majorHAnsi" w:cs="Arial"/>
                <w:b w:val="0"/>
                <w:sz w:val="20"/>
                <w:szCs w:val="20"/>
                <w:vertAlign w:val="superscript"/>
                <w:lang w:val="fr-CA"/>
              </w:rPr>
              <w:t>e</w:t>
            </w:r>
            <w:r w:rsidR="000F4FDF" w:rsidRPr="004F5487">
              <w:rPr>
                <w:rFonts w:asciiTheme="majorHAnsi" w:hAnsiTheme="majorHAnsi" w:cs="Arial"/>
                <w:b w:val="0"/>
                <w:sz w:val="20"/>
                <w:szCs w:val="20"/>
                <w:lang w:val="fr-CA"/>
              </w:rPr>
              <w:t xml:space="preserve"> Session de la Conférence des Parties sur les méthodes pratiques de réhumidification et de restauration des tourbières </w:t>
            </w:r>
          </w:p>
        </w:tc>
        <w:tc>
          <w:tcPr>
            <w:tcW w:w="283" w:type="pct"/>
          </w:tcPr>
          <w:p w14:paraId="4CCB44B6" w14:textId="77777777" w:rsidR="00914A1A" w:rsidRPr="004F5487" w:rsidRDefault="00914A1A" w:rsidP="00914A1A">
            <w:pPr>
              <w:rPr>
                <w:rFonts w:asciiTheme="majorHAnsi" w:hAnsiTheme="majorHAnsi" w:cs="Arial"/>
                <w:b w:val="0"/>
                <w:sz w:val="20"/>
                <w:szCs w:val="20"/>
                <w:lang w:val="fr-CA"/>
              </w:rPr>
            </w:pPr>
          </w:p>
        </w:tc>
        <w:tc>
          <w:tcPr>
            <w:tcW w:w="355" w:type="pct"/>
          </w:tcPr>
          <w:p w14:paraId="2D17D65B" w14:textId="6EB86CB1" w:rsidR="00914A1A" w:rsidRPr="004F5487" w:rsidRDefault="00CA5375" w:rsidP="00914A1A">
            <w:pPr>
              <w:rPr>
                <w:rFonts w:asciiTheme="majorHAnsi" w:hAnsiTheme="majorHAnsi" w:cs="Arial"/>
                <w:sz w:val="20"/>
                <w:szCs w:val="20"/>
                <w:lang w:val="fr-CA"/>
              </w:rPr>
            </w:pPr>
            <w:r w:rsidRPr="004F5487">
              <w:rPr>
                <w:rFonts w:asciiTheme="majorHAnsi" w:hAnsiTheme="majorHAnsi" w:cs="Arial"/>
                <w:b w:val="0"/>
                <w:sz w:val="20"/>
                <w:szCs w:val="20"/>
                <w:lang w:val="fr-CA"/>
              </w:rPr>
              <w:t>XII.11, ¶24(d) and ¶28</w:t>
            </w:r>
          </w:p>
        </w:tc>
        <w:tc>
          <w:tcPr>
            <w:tcW w:w="400" w:type="pct"/>
          </w:tcPr>
          <w:p w14:paraId="06872B8B" w14:textId="554C2373" w:rsidR="00914A1A" w:rsidRPr="004F5487" w:rsidRDefault="00CA5375" w:rsidP="00914A1A">
            <w:pPr>
              <w:rPr>
                <w:rFonts w:asciiTheme="majorHAnsi" w:hAnsiTheme="majorHAnsi" w:cs="Arial"/>
                <w:b w:val="0"/>
                <w:sz w:val="20"/>
                <w:szCs w:val="20"/>
                <w:lang w:val="fr-CA"/>
              </w:rPr>
            </w:pPr>
            <w:r w:rsidRPr="004F5487">
              <w:rPr>
                <w:rFonts w:asciiTheme="majorHAnsi" w:hAnsiTheme="majorHAnsi" w:cs="Arial"/>
                <w:b w:val="0"/>
                <w:sz w:val="20"/>
                <w:szCs w:val="20"/>
                <w:lang w:val="fr-CA" w:eastAsia="zh-CN"/>
              </w:rPr>
              <w:t>1.1, 1.3; 2.5, 2.6; 2.7; 3.8,</w:t>
            </w:r>
            <w:r w:rsidR="00A76CC7">
              <w:rPr>
                <w:rFonts w:asciiTheme="majorHAnsi" w:hAnsiTheme="majorHAnsi" w:cs="Arial"/>
                <w:b w:val="0"/>
                <w:sz w:val="20"/>
                <w:szCs w:val="20"/>
                <w:lang w:val="fr-CA" w:eastAsia="zh-CN"/>
              </w:rPr>
              <w:t xml:space="preserve"> </w:t>
            </w:r>
            <w:r w:rsidRPr="004F5487">
              <w:rPr>
                <w:rFonts w:asciiTheme="majorHAnsi" w:hAnsiTheme="majorHAnsi" w:cs="Arial"/>
                <w:b w:val="0"/>
                <w:sz w:val="20"/>
                <w:szCs w:val="20"/>
                <w:lang w:val="fr-CA" w:eastAsia="zh-CN"/>
              </w:rPr>
              <w:t>3.9, 3.11, 3.12; 4.14</w:t>
            </w:r>
          </w:p>
        </w:tc>
        <w:tc>
          <w:tcPr>
            <w:tcW w:w="2953" w:type="pct"/>
          </w:tcPr>
          <w:p w14:paraId="0A9E15BE" w14:textId="58580865" w:rsidR="00914A1A" w:rsidRPr="004F5487" w:rsidRDefault="00931645" w:rsidP="00914A1A">
            <w:pPr>
              <w:rPr>
                <w:rFonts w:asciiTheme="majorHAnsi" w:hAnsiTheme="majorHAnsi" w:cs="Arial"/>
                <w:b w:val="0"/>
                <w:sz w:val="20"/>
                <w:szCs w:val="20"/>
                <w:lang w:val="fr-CA"/>
              </w:rPr>
            </w:pPr>
            <w:r w:rsidRPr="004F5487">
              <w:rPr>
                <w:rFonts w:asciiTheme="majorHAnsi" w:hAnsiTheme="majorHAnsi" w:cs="Arial"/>
                <w:b w:val="0"/>
                <w:sz w:val="20"/>
                <w:szCs w:val="20"/>
                <w:u w:val="single"/>
                <w:lang w:val="fr-CA"/>
              </w:rPr>
              <w:t>Description de tâche</w:t>
            </w:r>
            <w:r w:rsidRPr="004F5487">
              <w:rPr>
                <w:rFonts w:asciiTheme="majorHAnsi" w:hAnsiTheme="majorHAnsi" w:cs="Arial"/>
                <w:b w:val="0"/>
                <w:sz w:val="20"/>
                <w:szCs w:val="20"/>
                <w:lang w:val="fr-CA"/>
              </w:rPr>
              <w:t xml:space="preserve"> : </w:t>
            </w:r>
            <w:r w:rsidR="000F4FDF" w:rsidRPr="004F5487">
              <w:rPr>
                <w:rFonts w:asciiTheme="majorHAnsi" w:hAnsiTheme="majorHAnsi" w:cs="Arial"/>
                <w:b w:val="0"/>
                <w:sz w:val="20"/>
                <w:szCs w:val="20"/>
                <w:lang w:val="fr-CA"/>
              </w:rPr>
              <w:t xml:space="preserve">Un </w:t>
            </w:r>
            <w:r w:rsidR="00CA5375" w:rsidRPr="004F5487">
              <w:rPr>
                <w:rFonts w:asciiTheme="majorHAnsi" w:hAnsiTheme="majorHAnsi" w:cs="Arial"/>
                <w:b w:val="0"/>
                <w:sz w:val="20"/>
                <w:szCs w:val="20"/>
                <w:lang w:val="fr-CA"/>
              </w:rPr>
              <w:t>Ra</w:t>
            </w:r>
            <w:r w:rsidR="000F4FDF" w:rsidRPr="004F5487">
              <w:rPr>
                <w:rFonts w:asciiTheme="majorHAnsi" w:hAnsiTheme="majorHAnsi" w:cs="Arial"/>
                <w:b w:val="0"/>
                <w:sz w:val="20"/>
                <w:szCs w:val="20"/>
                <w:lang w:val="fr-CA"/>
              </w:rPr>
              <w:t xml:space="preserve">pport technique </w:t>
            </w:r>
            <w:r w:rsidR="00CA5375" w:rsidRPr="004F5487">
              <w:rPr>
                <w:rFonts w:asciiTheme="majorHAnsi" w:hAnsiTheme="majorHAnsi" w:cs="Arial"/>
                <w:b w:val="0"/>
                <w:sz w:val="20"/>
                <w:szCs w:val="20"/>
                <w:lang w:val="fr-CA"/>
              </w:rPr>
              <w:t xml:space="preserve">Ramsar </w:t>
            </w:r>
            <w:r w:rsidR="000F4FDF" w:rsidRPr="004F5487">
              <w:rPr>
                <w:rFonts w:asciiTheme="majorHAnsi" w:hAnsiTheme="majorHAnsi" w:cs="Arial"/>
                <w:b w:val="0"/>
                <w:sz w:val="20"/>
                <w:szCs w:val="20"/>
                <w:lang w:val="fr-CA"/>
              </w:rPr>
              <w:t xml:space="preserve">examinant les </w:t>
            </w:r>
            <w:r w:rsidR="00CA5375" w:rsidRPr="004F5487">
              <w:rPr>
                <w:rFonts w:asciiTheme="majorHAnsi" w:hAnsiTheme="majorHAnsi" w:cs="Arial"/>
                <w:b w:val="0"/>
                <w:sz w:val="20"/>
                <w:szCs w:val="20"/>
                <w:lang w:val="fr-CA"/>
              </w:rPr>
              <w:t xml:space="preserve">liens entre les </w:t>
            </w:r>
            <w:r w:rsidR="000F4FDF" w:rsidRPr="004F5487">
              <w:rPr>
                <w:rFonts w:asciiTheme="majorHAnsi" w:hAnsiTheme="majorHAnsi" w:cs="Arial"/>
                <w:b w:val="0"/>
                <w:sz w:val="20"/>
                <w:szCs w:val="20"/>
                <w:lang w:val="fr-CA"/>
              </w:rPr>
              <w:t>méthodes de restauration et de réhumidification pratiques pour les tourbières</w:t>
            </w:r>
            <w:r w:rsidR="00CA5375" w:rsidRPr="004F5487">
              <w:rPr>
                <w:rFonts w:asciiTheme="majorHAnsi" w:hAnsiTheme="majorHAnsi" w:cs="Arial"/>
                <w:b w:val="0"/>
                <w:sz w:val="20"/>
                <w:szCs w:val="20"/>
                <w:lang w:val="fr-CA"/>
              </w:rPr>
              <w:t xml:space="preserve"> afin d’empêcher le transfert du carbone des sols et de la végétation vers l’atmosphère</w:t>
            </w:r>
            <w:r w:rsidR="000F4FDF" w:rsidRPr="004F5487">
              <w:rPr>
                <w:rFonts w:asciiTheme="majorHAnsi" w:hAnsiTheme="majorHAnsi" w:cs="Arial"/>
                <w:b w:val="0"/>
                <w:sz w:val="20"/>
                <w:szCs w:val="20"/>
                <w:lang w:val="fr-CA"/>
              </w:rPr>
              <w:t>.</w:t>
            </w:r>
          </w:p>
          <w:p w14:paraId="6DB4CDDF" w14:textId="77777777" w:rsidR="00914A1A" w:rsidRPr="004F5487" w:rsidRDefault="00914A1A" w:rsidP="00914A1A">
            <w:pPr>
              <w:rPr>
                <w:rFonts w:asciiTheme="majorHAnsi" w:hAnsiTheme="majorHAnsi" w:cs="Arial"/>
                <w:b w:val="0"/>
                <w:sz w:val="20"/>
                <w:szCs w:val="20"/>
                <w:lang w:val="fr-CA"/>
              </w:rPr>
            </w:pPr>
          </w:p>
          <w:p w14:paraId="42A23356" w14:textId="77777777" w:rsidR="00CA5375" w:rsidRPr="004F5487" w:rsidRDefault="00931645" w:rsidP="00914A1A">
            <w:pPr>
              <w:rPr>
                <w:rFonts w:asciiTheme="majorHAnsi" w:hAnsiTheme="majorHAnsi" w:cs="Arial"/>
                <w:b w:val="0"/>
                <w:sz w:val="20"/>
                <w:szCs w:val="20"/>
                <w:lang w:val="fr-CA"/>
              </w:rPr>
            </w:pPr>
            <w:r w:rsidRPr="004F5487">
              <w:rPr>
                <w:rFonts w:asciiTheme="majorHAnsi" w:hAnsiTheme="majorHAnsi" w:cs="Arial"/>
                <w:b w:val="0"/>
                <w:sz w:val="20"/>
                <w:szCs w:val="20"/>
                <w:u w:val="single"/>
                <w:lang w:val="fr-CA"/>
              </w:rPr>
              <w:t>Résultat(s) escompté(s)</w:t>
            </w:r>
            <w:r w:rsidRPr="004F5487">
              <w:rPr>
                <w:rFonts w:asciiTheme="majorHAnsi" w:hAnsiTheme="majorHAnsi" w:cs="Arial"/>
                <w:b w:val="0"/>
                <w:sz w:val="20"/>
                <w:szCs w:val="20"/>
                <w:lang w:val="fr-CA"/>
              </w:rPr>
              <w:t> :</w:t>
            </w:r>
          </w:p>
          <w:p w14:paraId="631CAF70" w14:textId="77777777" w:rsidR="00CA5375" w:rsidRPr="004F5487" w:rsidRDefault="00CA5375" w:rsidP="00914A1A">
            <w:pPr>
              <w:rPr>
                <w:rFonts w:asciiTheme="majorHAnsi" w:hAnsiTheme="majorHAnsi" w:cs="Arial"/>
                <w:b w:val="0"/>
                <w:sz w:val="20"/>
                <w:szCs w:val="20"/>
                <w:lang w:val="fr-CA"/>
              </w:rPr>
            </w:pPr>
          </w:p>
          <w:p w14:paraId="6D1BF185" w14:textId="77777777" w:rsidR="00CA5375" w:rsidRPr="004F5487" w:rsidRDefault="00CA5375" w:rsidP="00914A1A">
            <w:pPr>
              <w:rPr>
                <w:rFonts w:asciiTheme="majorHAnsi" w:hAnsiTheme="majorHAnsi" w:cs="Arial"/>
                <w:b w:val="0"/>
                <w:sz w:val="20"/>
                <w:szCs w:val="20"/>
                <w:lang w:val="fr-CA"/>
              </w:rPr>
            </w:pPr>
            <w:r w:rsidRPr="004F5487">
              <w:rPr>
                <w:rFonts w:asciiTheme="majorHAnsi" w:hAnsiTheme="majorHAnsi" w:cs="Arial"/>
                <w:b w:val="0"/>
                <w:sz w:val="20"/>
                <w:szCs w:val="20"/>
                <w:lang w:val="fr-CA"/>
              </w:rPr>
              <w:t>1)</w:t>
            </w:r>
            <w:r w:rsidR="00931645" w:rsidRPr="004F5487">
              <w:rPr>
                <w:rFonts w:asciiTheme="majorHAnsi" w:hAnsiTheme="majorHAnsi" w:cs="Arial"/>
                <w:b w:val="0"/>
                <w:sz w:val="20"/>
                <w:szCs w:val="20"/>
                <w:lang w:val="fr-CA"/>
              </w:rPr>
              <w:t xml:space="preserve"> </w:t>
            </w:r>
            <w:r w:rsidR="000F4FDF" w:rsidRPr="004F5487">
              <w:rPr>
                <w:rFonts w:asciiTheme="majorHAnsi" w:hAnsiTheme="majorHAnsi" w:cs="Arial"/>
                <w:b w:val="0"/>
                <w:sz w:val="20"/>
                <w:szCs w:val="20"/>
                <w:lang w:val="fr-CA"/>
              </w:rPr>
              <w:t xml:space="preserve">Rapport technique </w:t>
            </w:r>
            <w:r w:rsidRPr="004F5487">
              <w:rPr>
                <w:rFonts w:asciiTheme="majorHAnsi" w:hAnsiTheme="majorHAnsi" w:cs="Arial"/>
                <w:b w:val="0"/>
                <w:sz w:val="20"/>
                <w:szCs w:val="20"/>
                <w:lang w:val="fr-CA"/>
              </w:rPr>
              <w:t xml:space="preserve">Ramsar </w:t>
            </w:r>
            <w:r w:rsidR="000F4FDF" w:rsidRPr="004F5487">
              <w:rPr>
                <w:rFonts w:asciiTheme="majorHAnsi" w:hAnsiTheme="majorHAnsi" w:cs="Arial"/>
                <w:b w:val="0"/>
                <w:sz w:val="20"/>
                <w:szCs w:val="20"/>
                <w:lang w:val="fr-CA"/>
              </w:rPr>
              <w:t xml:space="preserve">en tant que vue d’ensemble et avec des références à la compilation d’expériences sur les méthodes de réhumidification fondées </w:t>
            </w:r>
            <w:r w:rsidR="00253B43" w:rsidRPr="004F5487">
              <w:rPr>
                <w:rFonts w:asciiTheme="majorHAnsi" w:hAnsiTheme="majorHAnsi" w:cs="Arial"/>
                <w:b w:val="0"/>
                <w:sz w:val="20"/>
                <w:szCs w:val="20"/>
                <w:lang w:val="fr-CA"/>
              </w:rPr>
              <w:t>sur la littérature existante</w:t>
            </w:r>
            <w:r w:rsidRPr="004F5487">
              <w:rPr>
                <w:rFonts w:asciiTheme="majorHAnsi" w:hAnsiTheme="majorHAnsi" w:cs="Arial"/>
                <w:b w:val="0"/>
                <w:sz w:val="20"/>
                <w:szCs w:val="20"/>
                <w:lang w:val="fr-CA"/>
              </w:rPr>
              <w:t>; et</w:t>
            </w:r>
          </w:p>
          <w:p w14:paraId="71D00B83" w14:textId="77777777" w:rsidR="00CA5375" w:rsidRPr="004F5487" w:rsidRDefault="00CA5375" w:rsidP="00914A1A">
            <w:pPr>
              <w:rPr>
                <w:rFonts w:asciiTheme="majorHAnsi" w:hAnsiTheme="majorHAnsi" w:cs="Arial"/>
                <w:b w:val="0"/>
                <w:sz w:val="20"/>
                <w:szCs w:val="20"/>
                <w:lang w:val="fr-CA"/>
              </w:rPr>
            </w:pPr>
          </w:p>
          <w:p w14:paraId="4C4AD886" w14:textId="13E8C447" w:rsidR="00914A1A" w:rsidRPr="004F5487" w:rsidRDefault="00CA5375" w:rsidP="00914A1A">
            <w:pPr>
              <w:rPr>
                <w:rFonts w:asciiTheme="majorHAnsi" w:hAnsiTheme="majorHAnsi" w:cs="Arial"/>
                <w:b w:val="0"/>
                <w:sz w:val="20"/>
                <w:szCs w:val="20"/>
                <w:lang w:val="fr-CA"/>
              </w:rPr>
            </w:pPr>
            <w:r w:rsidRPr="004F5487">
              <w:rPr>
                <w:rFonts w:asciiTheme="majorHAnsi" w:hAnsiTheme="majorHAnsi" w:cs="Arial"/>
                <w:b w:val="0"/>
                <w:sz w:val="20"/>
                <w:szCs w:val="20"/>
                <w:lang w:val="fr-CA"/>
              </w:rPr>
              <w:t>2) Orientations en annexe à un projet de résolution, si les Parties le souhaitent ou sous forme de document d’information pour la COP13.</w:t>
            </w:r>
            <w:r w:rsidR="00253B43" w:rsidRPr="004F5487">
              <w:rPr>
                <w:rFonts w:asciiTheme="majorHAnsi" w:hAnsiTheme="majorHAnsi" w:cs="Arial"/>
                <w:b w:val="0"/>
                <w:sz w:val="20"/>
                <w:szCs w:val="20"/>
                <w:lang w:val="fr-CA"/>
              </w:rPr>
              <w:t xml:space="preserve"> </w:t>
            </w:r>
          </w:p>
          <w:p w14:paraId="6E6177E6" w14:textId="77777777" w:rsidR="00914A1A" w:rsidRPr="004F5487" w:rsidRDefault="00914A1A" w:rsidP="00914A1A">
            <w:pPr>
              <w:rPr>
                <w:rFonts w:asciiTheme="majorHAnsi" w:hAnsiTheme="majorHAnsi" w:cs="Arial"/>
                <w:b w:val="0"/>
                <w:sz w:val="20"/>
                <w:szCs w:val="20"/>
                <w:lang w:val="fr-CA"/>
              </w:rPr>
            </w:pPr>
          </w:p>
          <w:p w14:paraId="2C41AFFC" w14:textId="31314C3F" w:rsidR="00914A1A" w:rsidRPr="004F5487" w:rsidRDefault="00931645" w:rsidP="00914A1A">
            <w:pPr>
              <w:rPr>
                <w:rFonts w:asciiTheme="majorHAnsi" w:hAnsiTheme="majorHAnsi" w:cs="Arial"/>
                <w:b w:val="0"/>
                <w:sz w:val="20"/>
                <w:szCs w:val="20"/>
                <w:lang w:val="fr-CA"/>
              </w:rPr>
            </w:pPr>
            <w:r w:rsidRPr="004F5487">
              <w:rPr>
                <w:rFonts w:asciiTheme="majorHAnsi" w:hAnsiTheme="majorHAnsi" w:cs="Arial"/>
                <w:b w:val="0"/>
                <w:sz w:val="20"/>
                <w:szCs w:val="20"/>
                <w:u w:val="single"/>
                <w:lang w:val="fr-CA"/>
              </w:rPr>
              <w:t>Public(s) ciblé(s)</w:t>
            </w:r>
            <w:r w:rsidRPr="004F5487">
              <w:rPr>
                <w:rFonts w:asciiTheme="majorHAnsi" w:hAnsiTheme="majorHAnsi" w:cs="Arial"/>
                <w:b w:val="0"/>
                <w:sz w:val="20"/>
                <w:szCs w:val="20"/>
                <w:lang w:val="fr-CA"/>
              </w:rPr>
              <w:t xml:space="preserve"> : </w:t>
            </w:r>
            <w:r w:rsidR="00253B43" w:rsidRPr="004F5487">
              <w:rPr>
                <w:rFonts w:asciiTheme="majorHAnsi" w:hAnsiTheme="majorHAnsi" w:cs="Arial"/>
                <w:b w:val="0"/>
                <w:sz w:val="20"/>
                <w:szCs w:val="20"/>
                <w:lang w:val="fr-CA"/>
              </w:rPr>
              <w:t xml:space="preserve">Praticiens (administrateurs de </w:t>
            </w:r>
            <w:r w:rsidR="00CA5375" w:rsidRPr="004F5487">
              <w:rPr>
                <w:rFonts w:asciiTheme="majorHAnsi" w:hAnsiTheme="majorHAnsi" w:cs="Arial"/>
                <w:b w:val="0"/>
                <w:sz w:val="20"/>
                <w:szCs w:val="20"/>
                <w:lang w:val="fr-CA"/>
              </w:rPr>
              <w:t>Sites Ramsar</w:t>
            </w:r>
            <w:r w:rsidR="00914A1A" w:rsidRPr="004F5487">
              <w:rPr>
                <w:rFonts w:asciiTheme="majorHAnsi" w:hAnsiTheme="majorHAnsi" w:cs="Arial"/>
                <w:b w:val="0"/>
                <w:sz w:val="20"/>
                <w:szCs w:val="20"/>
                <w:lang w:val="fr-CA"/>
              </w:rPr>
              <w:t>)</w:t>
            </w:r>
            <w:r w:rsidR="00855403">
              <w:rPr>
                <w:rFonts w:asciiTheme="majorHAnsi" w:hAnsiTheme="majorHAnsi" w:cs="Arial"/>
                <w:b w:val="0"/>
                <w:sz w:val="20"/>
                <w:szCs w:val="20"/>
                <w:lang w:val="fr-CA"/>
              </w:rPr>
              <w:t>.</w:t>
            </w:r>
          </w:p>
          <w:p w14:paraId="6F093315" w14:textId="77777777" w:rsidR="00914A1A" w:rsidRPr="004F5487" w:rsidRDefault="00914A1A" w:rsidP="00914A1A">
            <w:pPr>
              <w:rPr>
                <w:rFonts w:asciiTheme="majorHAnsi" w:hAnsiTheme="majorHAnsi" w:cs="Arial"/>
                <w:sz w:val="20"/>
                <w:szCs w:val="20"/>
                <w:lang w:val="fr-CA"/>
              </w:rPr>
            </w:pPr>
          </w:p>
        </w:tc>
        <w:tc>
          <w:tcPr>
            <w:tcW w:w="493" w:type="pct"/>
          </w:tcPr>
          <w:p w14:paraId="4EF992FB" w14:textId="0020029A" w:rsidR="00914A1A" w:rsidRPr="004F5487" w:rsidRDefault="00CA5375" w:rsidP="00E64065">
            <w:pPr>
              <w:rPr>
                <w:rFonts w:asciiTheme="majorHAnsi" w:hAnsiTheme="majorHAnsi" w:cs="Arial"/>
                <w:b w:val="0"/>
                <w:sz w:val="20"/>
                <w:szCs w:val="20"/>
                <w:lang w:val="fr-CA"/>
              </w:rPr>
            </w:pPr>
            <w:r w:rsidRPr="004F5487">
              <w:rPr>
                <w:rFonts w:asciiTheme="majorHAnsi" w:hAnsiTheme="majorHAnsi" w:cs="Arial"/>
                <w:b w:val="0"/>
                <w:sz w:val="20"/>
                <w:szCs w:val="20"/>
                <w:lang w:val="fr-CA"/>
              </w:rPr>
              <w:t>Jusqu’à 35 500</w:t>
            </w:r>
          </w:p>
        </w:tc>
      </w:tr>
    </w:tbl>
    <w:p w14:paraId="0359066B" w14:textId="09BE0CED" w:rsidR="00914A1A" w:rsidRPr="00F24C88" w:rsidRDefault="00914A1A" w:rsidP="00F24C88">
      <w:pPr>
        <w:tabs>
          <w:tab w:val="left" w:pos="2240"/>
        </w:tabs>
        <w:rPr>
          <w:rFonts w:asciiTheme="majorHAnsi" w:eastAsia="MS Mincho" w:hAnsiTheme="majorHAnsi"/>
          <w:sz w:val="22"/>
          <w:szCs w:val="22"/>
          <w:lang w:val="fr-FR" w:eastAsia="ja-JP"/>
        </w:rPr>
      </w:pPr>
    </w:p>
    <w:sectPr w:rsidR="00914A1A" w:rsidRPr="00F24C88" w:rsidSect="00F24C88">
      <w:footerReference w:type="default" r:id="rId11"/>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693828" w14:textId="77777777" w:rsidR="003862ED" w:rsidRDefault="003862ED" w:rsidP="00B92085">
      <w:r>
        <w:separator/>
      </w:r>
    </w:p>
  </w:endnote>
  <w:endnote w:type="continuationSeparator" w:id="0">
    <w:p w14:paraId="593DFD9C" w14:textId="77777777" w:rsidR="003862ED" w:rsidRDefault="003862ED" w:rsidP="00B92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FEC57F" w14:textId="41C37BE4" w:rsidR="00E5617B" w:rsidRPr="00A94469" w:rsidRDefault="00E5617B">
    <w:pPr>
      <w:pStyle w:val="Footer"/>
      <w:rPr>
        <w:rFonts w:asciiTheme="majorHAnsi" w:hAnsiTheme="majorHAnsi"/>
        <w:sz w:val="20"/>
        <w:szCs w:val="20"/>
        <w:lang w:val="en-GB"/>
      </w:rPr>
    </w:pPr>
    <w:r w:rsidRPr="008656E8">
      <w:rPr>
        <w:rFonts w:asciiTheme="majorHAnsi" w:hAnsiTheme="majorHAnsi"/>
        <w:sz w:val="20"/>
        <w:szCs w:val="20"/>
        <w:lang w:val="en-GB"/>
      </w:rPr>
      <w:t>SC52-10</w:t>
    </w:r>
    <w:r w:rsidRPr="00A94469">
      <w:rPr>
        <w:rFonts w:asciiTheme="majorHAnsi" w:hAnsiTheme="majorHAnsi"/>
        <w:sz w:val="20"/>
        <w:szCs w:val="20"/>
        <w:lang w:val="en-GB"/>
      </w:rPr>
      <w:tab/>
    </w:r>
    <w:r w:rsidRPr="00A94469">
      <w:rPr>
        <w:rFonts w:asciiTheme="majorHAnsi" w:hAnsiTheme="majorHAnsi"/>
        <w:sz w:val="20"/>
        <w:szCs w:val="20"/>
        <w:lang w:val="en-GB"/>
      </w:rPr>
      <w:tab/>
    </w:r>
    <w:r w:rsidRPr="00A94469">
      <w:rPr>
        <w:rFonts w:asciiTheme="majorHAnsi" w:hAnsiTheme="majorHAnsi"/>
        <w:sz w:val="20"/>
        <w:szCs w:val="20"/>
        <w:lang w:val="en-GB"/>
      </w:rPr>
      <w:fldChar w:fldCharType="begin"/>
    </w:r>
    <w:r w:rsidRPr="00A94469">
      <w:rPr>
        <w:rFonts w:asciiTheme="majorHAnsi" w:hAnsiTheme="majorHAnsi"/>
        <w:sz w:val="20"/>
        <w:szCs w:val="20"/>
        <w:lang w:val="en-GB"/>
      </w:rPr>
      <w:instrText xml:space="preserve"> PAGE   \* MERGEFORMAT </w:instrText>
    </w:r>
    <w:r w:rsidRPr="00A94469">
      <w:rPr>
        <w:rFonts w:asciiTheme="majorHAnsi" w:hAnsiTheme="majorHAnsi"/>
        <w:sz w:val="20"/>
        <w:szCs w:val="20"/>
        <w:lang w:val="en-GB"/>
      </w:rPr>
      <w:fldChar w:fldCharType="separate"/>
    </w:r>
    <w:r w:rsidR="00833360">
      <w:rPr>
        <w:rFonts w:asciiTheme="majorHAnsi" w:hAnsiTheme="majorHAnsi"/>
        <w:noProof/>
        <w:sz w:val="20"/>
        <w:szCs w:val="20"/>
        <w:lang w:val="en-GB"/>
      </w:rPr>
      <w:t>7</w:t>
    </w:r>
    <w:r w:rsidRPr="00A94469">
      <w:rPr>
        <w:rFonts w:asciiTheme="majorHAnsi" w:hAnsiTheme="majorHAnsi"/>
        <w:noProof/>
        <w:sz w:val="20"/>
        <w:szCs w:val="20"/>
        <w:lang w:val="en-GB"/>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E01075" w14:textId="1D969804" w:rsidR="00E5617B" w:rsidRPr="00A94469" w:rsidRDefault="00E5617B" w:rsidP="00F24C88">
    <w:pPr>
      <w:pStyle w:val="Footer"/>
      <w:tabs>
        <w:tab w:val="clear" w:pos="9360"/>
        <w:tab w:val="right" w:pos="13892"/>
      </w:tabs>
      <w:ind w:right="3752"/>
      <w:rPr>
        <w:rFonts w:asciiTheme="majorHAnsi" w:hAnsiTheme="majorHAnsi"/>
        <w:sz w:val="20"/>
        <w:szCs w:val="20"/>
        <w:lang w:val="en-GB"/>
      </w:rPr>
    </w:pPr>
    <w:r w:rsidRPr="00A94469">
      <w:rPr>
        <w:rFonts w:asciiTheme="majorHAnsi" w:hAnsiTheme="majorHAnsi"/>
        <w:sz w:val="20"/>
        <w:szCs w:val="20"/>
        <w:lang w:val="en-GB"/>
      </w:rPr>
      <w:t>SC5</w:t>
    </w:r>
    <w:r>
      <w:rPr>
        <w:rFonts w:asciiTheme="majorHAnsi" w:hAnsiTheme="majorHAnsi"/>
        <w:sz w:val="20"/>
        <w:szCs w:val="20"/>
        <w:lang w:val="en-GB"/>
      </w:rPr>
      <w:t>2</w:t>
    </w:r>
    <w:r w:rsidRPr="00A94469">
      <w:rPr>
        <w:rFonts w:asciiTheme="majorHAnsi" w:hAnsiTheme="majorHAnsi"/>
        <w:sz w:val="20"/>
        <w:szCs w:val="20"/>
        <w:lang w:val="en-GB"/>
      </w:rPr>
      <w:t>-1</w:t>
    </w:r>
    <w:r>
      <w:rPr>
        <w:rFonts w:asciiTheme="majorHAnsi" w:hAnsiTheme="majorHAnsi"/>
        <w:sz w:val="20"/>
        <w:szCs w:val="20"/>
        <w:lang w:val="en-GB"/>
      </w:rPr>
      <w:t>0</w:t>
    </w:r>
    <w:r w:rsidRPr="00A94469">
      <w:rPr>
        <w:rFonts w:asciiTheme="majorHAnsi" w:hAnsiTheme="majorHAnsi"/>
        <w:sz w:val="20"/>
        <w:szCs w:val="20"/>
        <w:lang w:val="en-GB"/>
      </w:rPr>
      <w:tab/>
    </w:r>
    <w:r w:rsidRPr="00A94469">
      <w:rPr>
        <w:rFonts w:asciiTheme="majorHAnsi" w:hAnsiTheme="majorHAnsi"/>
        <w:sz w:val="20"/>
        <w:szCs w:val="20"/>
        <w:lang w:val="en-GB"/>
      </w:rPr>
      <w:tab/>
    </w:r>
    <w:r w:rsidRPr="00A94469">
      <w:rPr>
        <w:rFonts w:asciiTheme="majorHAnsi" w:hAnsiTheme="majorHAnsi"/>
        <w:sz w:val="20"/>
        <w:szCs w:val="20"/>
        <w:lang w:val="en-GB"/>
      </w:rPr>
      <w:fldChar w:fldCharType="begin"/>
    </w:r>
    <w:r w:rsidRPr="00A94469">
      <w:rPr>
        <w:rFonts w:asciiTheme="majorHAnsi" w:hAnsiTheme="majorHAnsi"/>
        <w:sz w:val="20"/>
        <w:szCs w:val="20"/>
        <w:lang w:val="en-GB"/>
      </w:rPr>
      <w:instrText xml:space="preserve"> PAGE   \* MERGEFORMAT </w:instrText>
    </w:r>
    <w:r w:rsidRPr="00A94469">
      <w:rPr>
        <w:rFonts w:asciiTheme="majorHAnsi" w:hAnsiTheme="majorHAnsi"/>
        <w:sz w:val="20"/>
        <w:szCs w:val="20"/>
        <w:lang w:val="en-GB"/>
      </w:rPr>
      <w:fldChar w:fldCharType="separate"/>
    </w:r>
    <w:r w:rsidR="00833360">
      <w:rPr>
        <w:rFonts w:asciiTheme="majorHAnsi" w:hAnsiTheme="majorHAnsi"/>
        <w:noProof/>
        <w:sz w:val="20"/>
        <w:szCs w:val="20"/>
        <w:lang w:val="en-GB"/>
      </w:rPr>
      <w:t>13</w:t>
    </w:r>
    <w:r w:rsidRPr="00A94469">
      <w:rPr>
        <w:rFonts w:asciiTheme="majorHAnsi" w:hAnsiTheme="majorHAnsi"/>
        <w:noProof/>
        <w:sz w:val="20"/>
        <w:szCs w:val="20"/>
        <w:lang w:val="en-G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205432" w14:textId="77777777" w:rsidR="003862ED" w:rsidRDefault="003862ED" w:rsidP="00B92085">
      <w:r>
        <w:separator/>
      </w:r>
    </w:p>
  </w:footnote>
  <w:footnote w:type="continuationSeparator" w:id="0">
    <w:p w14:paraId="1F42B464" w14:textId="77777777" w:rsidR="003862ED" w:rsidRDefault="003862ED" w:rsidP="00B92085">
      <w:r>
        <w:continuationSeparator/>
      </w:r>
    </w:p>
  </w:footnote>
  <w:footnote w:id="1">
    <w:p w14:paraId="1D7EEEE7" w14:textId="76C21E0C" w:rsidR="00833360" w:rsidRPr="00833360" w:rsidRDefault="00833360">
      <w:pPr>
        <w:pStyle w:val="FootnoteText"/>
        <w:rPr>
          <w:rFonts w:asciiTheme="majorHAnsi" w:hAnsiTheme="majorHAnsi"/>
          <w:lang w:val="fr-FR"/>
        </w:rPr>
      </w:pPr>
      <w:r w:rsidRPr="00833360">
        <w:rPr>
          <w:rStyle w:val="FootnoteReference"/>
          <w:rFonts w:asciiTheme="majorHAnsi" w:hAnsiTheme="majorHAnsi"/>
        </w:rPr>
        <w:footnoteRef/>
      </w:r>
      <w:r w:rsidRPr="00833360">
        <w:rPr>
          <w:rFonts w:asciiTheme="majorHAnsi" w:hAnsiTheme="majorHAnsi"/>
          <w:lang w:val="fr-FR"/>
        </w:rPr>
        <w:t xml:space="preserve"> Le 14 mars 2016, JAXA a informé le Secrétariat de Ramsar que Mme Shizu Yabe assumera les fonctions de M Nobuyoshi Fujimoto en qualité de représentant JAXA auprès du GEST.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9F6ED89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3B56272"/>
    <w:multiLevelType w:val="hybridMultilevel"/>
    <w:tmpl w:val="D5A0D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597853"/>
    <w:multiLevelType w:val="hybridMultilevel"/>
    <w:tmpl w:val="501CD170"/>
    <w:lvl w:ilvl="0" w:tplc="1EC02834">
      <w:start w:val="1"/>
      <w:numFmt w:val="decimal"/>
      <w:lvlText w:val="%1."/>
      <w:lvlJc w:val="left"/>
      <w:pPr>
        <w:ind w:left="725" w:hanging="360"/>
      </w:pPr>
      <w:rPr>
        <w:rFonts w:hint="default"/>
        <w:b w:val="0"/>
      </w:rPr>
    </w:lvl>
    <w:lvl w:ilvl="1" w:tplc="0FA8EE7C">
      <w:start w:val="1"/>
      <w:numFmt w:val="lowerRoman"/>
      <w:lvlText w:val="%2)"/>
      <w:lvlJc w:val="left"/>
      <w:pPr>
        <w:ind w:left="1445" w:hanging="360"/>
      </w:pPr>
      <w:rPr>
        <w:rFonts w:ascii="Garamond" w:eastAsia="MS Mincho" w:hAnsi="Garamond" w:cs="Times New Roman" w:hint="default"/>
        <w:b w:val="0"/>
      </w:rPr>
    </w:lvl>
    <w:lvl w:ilvl="2" w:tplc="81CA8584">
      <w:start w:val="1"/>
      <w:numFmt w:val="lowerLetter"/>
      <w:lvlText w:val="%3."/>
      <w:lvlJc w:val="left"/>
      <w:pPr>
        <w:ind w:left="2165" w:hanging="360"/>
      </w:pPr>
      <w:rPr>
        <w:rFonts w:hint="default"/>
        <w:b w:val="0"/>
      </w:rPr>
    </w:lvl>
    <w:lvl w:ilvl="3" w:tplc="04090001" w:tentative="1">
      <w:start w:val="1"/>
      <w:numFmt w:val="bullet"/>
      <w:lvlText w:val=""/>
      <w:lvlJc w:val="left"/>
      <w:pPr>
        <w:ind w:left="2885" w:hanging="360"/>
      </w:pPr>
      <w:rPr>
        <w:rFonts w:ascii="Symbol" w:hAnsi="Symbol" w:hint="default"/>
      </w:rPr>
    </w:lvl>
    <w:lvl w:ilvl="4" w:tplc="04090003" w:tentative="1">
      <w:start w:val="1"/>
      <w:numFmt w:val="bullet"/>
      <w:lvlText w:val="o"/>
      <w:lvlJc w:val="left"/>
      <w:pPr>
        <w:ind w:left="3605" w:hanging="360"/>
      </w:pPr>
      <w:rPr>
        <w:rFonts w:ascii="Courier New" w:hAnsi="Courier New" w:hint="default"/>
      </w:rPr>
    </w:lvl>
    <w:lvl w:ilvl="5" w:tplc="04090005" w:tentative="1">
      <w:start w:val="1"/>
      <w:numFmt w:val="bullet"/>
      <w:lvlText w:val=""/>
      <w:lvlJc w:val="left"/>
      <w:pPr>
        <w:ind w:left="4325" w:hanging="360"/>
      </w:pPr>
      <w:rPr>
        <w:rFonts w:ascii="Wingdings" w:hAnsi="Wingdings" w:hint="default"/>
      </w:rPr>
    </w:lvl>
    <w:lvl w:ilvl="6" w:tplc="04090001" w:tentative="1">
      <w:start w:val="1"/>
      <w:numFmt w:val="bullet"/>
      <w:lvlText w:val=""/>
      <w:lvlJc w:val="left"/>
      <w:pPr>
        <w:ind w:left="5045" w:hanging="360"/>
      </w:pPr>
      <w:rPr>
        <w:rFonts w:ascii="Symbol" w:hAnsi="Symbol" w:hint="default"/>
      </w:rPr>
    </w:lvl>
    <w:lvl w:ilvl="7" w:tplc="04090003" w:tentative="1">
      <w:start w:val="1"/>
      <w:numFmt w:val="bullet"/>
      <w:lvlText w:val="o"/>
      <w:lvlJc w:val="left"/>
      <w:pPr>
        <w:ind w:left="5765" w:hanging="360"/>
      </w:pPr>
      <w:rPr>
        <w:rFonts w:ascii="Courier New" w:hAnsi="Courier New" w:hint="default"/>
      </w:rPr>
    </w:lvl>
    <w:lvl w:ilvl="8" w:tplc="04090005" w:tentative="1">
      <w:start w:val="1"/>
      <w:numFmt w:val="bullet"/>
      <w:lvlText w:val=""/>
      <w:lvlJc w:val="left"/>
      <w:pPr>
        <w:ind w:left="6485" w:hanging="360"/>
      </w:pPr>
      <w:rPr>
        <w:rFonts w:ascii="Wingdings" w:hAnsi="Wingdings" w:hint="default"/>
      </w:rPr>
    </w:lvl>
  </w:abstractNum>
  <w:abstractNum w:abstractNumId="3">
    <w:nsid w:val="04C409CD"/>
    <w:multiLevelType w:val="hybridMultilevel"/>
    <w:tmpl w:val="FBDE0666"/>
    <w:lvl w:ilvl="0" w:tplc="D2FA5010">
      <w:numFmt w:val="bullet"/>
      <w:lvlText w:val="-"/>
      <w:lvlJc w:val="left"/>
      <w:pPr>
        <w:ind w:left="720" w:hanging="360"/>
      </w:pPr>
      <w:rPr>
        <w:rFonts w:ascii="Calibri" w:eastAsia="Cambria"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8E56C02"/>
    <w:multiLevelType w:val="hybridMultilevel"/>
    <w:tmpl w:val="5E24061E"/>
    <w:lvl w:ilvl="0" w:tplc="FB8AA0E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A980BAD"/>
    <w:multiLevelType w:val="hybridMultilevel"/>
    <w:tmpl w:val="F7FC2278"/>
    <w:lvl w:ilvl="0" w:tplc="F8687904">
      <w:numFmt w:val="bullet"/>
      <w:lvlText w:val="-"/>
      <w:lvlJc w:val="left"/>
      <w:pPr>
        <w:ind w:left="720" w:hanging="360"/>
      </w:pPr>
      <w:rPr>
        <w:rFonts w:ascii="Calibri" w:eastAsia="Cambria"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0EEE622F"/>
    <w:multiLevelType w:val="hybridMultilevel"/>
    <w:tmpl w:val="BF8CD2F4"/>
    <w:lvl w:ilvl="0" w:tplc="6DBC5E0E">
      <w:numFmt w:val="bullet"/>
      <w:lvlText w:val="-"/>
      <w:lvlJc w:val="left"/>
      <w:pPr>
        <w:ind w:left="720" w:hanging="360"/>
      </w:pPr>
      <w:rPr>
        <w:rFonts w:ascii="Calibri" w:eastAsia="Cambria"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0F95D69"/>
    <w:multiLevelType w:val="hybridMultilevel"/>
    <w:tmpl w:val="7D165B06"/>
    <w:lvl w:ilvl="0" w:tplc="10090003">
      <w:start w:val="1"/>
      <w:numFmt w:val="bullet"/>
      <w:lvlText w:val="o"/>
      <w:lvlJc w:val="left"/>
      <w:pPr>
        <w:ind w:left="1571" w:hanging="360"/>
      </w:pPr>
      <w:rPr>
        <w:rFonts w:ascii="Courier New" w:hAnsi="Courier New" w:hint="default"/>
      </w:rPr>
    </w:lvl>
    <w:lvl w:ilvl="1" w:tplc="10090003" w:tentative="1">
      <w:start w:val="1"/>
      <w:numFmt w:val="bullet"/>
      <w:lvlText w:val="o"/>
      <w:lvlJc w:val="left"/>
      <w:pPr>
        <w:ind w:left="2291" w:hanging="360"/>
      </w:pPr>
      <w:rPr>
        <w:rFonts w:ascii="Courier New" w:hAnsi="Courier New" w:hint="default"/>
      </w:rPr>
    </w:lvl>
    <w:lvl w:ilvl="2" w:tplc="10090005" w:tentative="1">
      <w:start w:val="1"/>
      <w:numFmt w:val="bullet"/>
      <w:lvlText w:val=""/>
      <w:lvlJc w:val="left"/>
      <w:pPr>
        <w:ind w:left="3011" w:hanging="360"/>
      </w:pPr>
      <w:rPr>
        <w:rFonts w:ascii="Wingdings" w:hAnsi="Wingdings" w:hint="default"/>
      </w:rPr>
    </w:lvl>
    <w:lvl w:ilvl="3" w:tplc="10090001" w:tentative="1">
      <w:start w:val="1"/>
      <w:numFmt w:val="bullet"/>
      <w:lvlText w:val=""/>
      <w:lvlJc w:val="left"/>
      <w:pPr>
        <w:ind w:left="3731" w:hanging="360"/>
      </w:pPr>
      <w:rPr>
        <w:rFonts w:ascii="Symbol" w:hAnsi="Symbol" w:hint="default"/>
      </w:rPr>
    </w:lvl>
    <w:lvl w:ilvl="4" w:tplc="10090003" w:tentative="1">
      <w:start w:val="1"/>
      <w:numFmt w:val="bullet"/>
      <w:lvlText w:val="o"/>
      <w:lvlJc w:val="left"/>
      <w:pPr>
        <w:ind w:left="4451" w:hanging="360"/>
      </w:pPr>
      <w:rPr>
        <w:rFonts w:ascii="Courier New" w:hAnsi="Courier New" w:hint="default"/>
      </w:rPr>
    </w:lvl>
    <w:lvl w:ilvl="5" w:tplc="10090005" w:tentative="1">
      <w:start w:val="1"/>
      <w:numFmt w:val="bullet"/>
      <w:lvlText w:val=""/>
      <w:lvlJc w:val="left"/>
      <w:pPr>
        <w:ind w:left="5171" w:hanging="360"/>
      </w:pPr>
      <w:rPr>
        <w:rFonts w:ascii="Wingdings" w:hAnsi="Wingdings" w:hint="default"/>
      </w:rPr>
    </w:lvl>
    <w:lvl w:ilvl="6" w:tplc="10090001" w:tentative="1">
      <w:start w:val="1"/>
      <w:numFmt w:val="bullet"/>
      <w:lvlText w:val=""/>
      <w:lvlJc w:val="left"/>
      <w:pPr>
        <w:ind w:left="5891" w:hanging="360"/>
      </w:pPr>
      <w:rPr>
        <w:rFonts w:ascii="Symbol" w:hAnsi="Symbol" w:hint="default"/>
      </w:rPr>
    </w:lvl>
    <w:lvl w:ilvl="7" w:tplc="10090003" w:tentative="1">
      <w:start w:val="1"/>
      <w:numFmt w:val="bullet"/>
      <w:lvlText w:val="o"/>
      <w:lvlJc w:val="left"/>
      <w:pPr>
        <w:ind w:left="6611" w:hanging="360"/>
      </w:pPr>
      <w:rPr>
        <w:rFonts w:ascii="Courier New" w:hAnsi="Courier New" w:hint="default"/>
      </w:rPr>
    </w:lvl>
    <w:lvl w:ilvl="8" w:tplc="10090005" w:tentative="1">
      <w:start w:val="1"/>
      <w:numFmt w:val="bullet"/>
      <w:lvlText w:val=""/>
      <w:lvlJc w:val="left"/>
      <w:pPr>
        <w:ind w:left="7331" w:hanging="360"/>
      </w:pPr>
      <w:rPr>
        <w:rFonts w:ascii="Wingdings" w:hAnsi="Wingdings" w:hint="default"/>
      </w:rPr>
    </w:lvl>
  </w:abstractNum>
  <w:abstractNum w:abstractNumId="8">
    <w:nsid w:val="1233603E"/>
    <w:multiLevelType w:val="hybridMultilevel"/>
    <w:tmpl w:val="73E226DE"/>
    <w:lvl w:ilvl="0" w:tplc="826E201E">
      <w:start w:val="9"/>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5C016F0"/>
    <w:multiLevelType w:val="hybridMultilevel"/>
    <w:tmpl w:val="53903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2C221FF"/>
    <w:multiLevelType w:val="hybridMultilevel"/>
    <w:tmpl w:val="E2521DA8"/>
    <w:lvl w:ilvl="0" w:tplc="08248A8C">
      <w:start w:val="1"/>
      <w:numFmt w:val="bullet"/>
      <w:lvlText w:val="•"/>
      <w:lvlJc w:val="left"/>
      <w:pPr>
        <w:tabs>
          <w:tab w:val="num" w:pos="720"/>
        </w:tabs>
        <w:ind w:left="720" w:hanging="360"/>
      </w:pPr>
      <w:rPr>
        <w:rFonts w:ascii="Arial" w:hAnsi="Arial" w:hint="default"/>
      </w:rPr>
    </w:lvl>
    <w:lvl w:ilvl="1" w:tplc="9FF87ACC" w:tentative="1">
      <w:start w:val="1"/>
      <w:numFmt w:val="bullet"/>
      <w:lvlText w:val="•"/>
      <w:lvlJc w:val="left"/>
      <w:pPr>
        <w:tabs>
          <w:tab w:val="num" w:pos="1440"/>
        </w:tabs>
        <w:ind w:left="1440" w:hanging="360"/>
      </w:pPr>
      <w:rPr>
        <w:rFonts w:ascii="Arial" w:hAnsi="Arial" w:hint="default"/>
      </w:rPr>
    </w:lvl>
    <w:lvl w:ilvl="2" w:tplc="410E27EA" w:tentative="1">
      <w:start w:val="1"/>
      <w:numFmt w:val="bullet"/>
      <w:lvlText w:val="•"/>
      <w:lvlJc w:val="left"/>
      <w:pPr>
        <w:tabs>
          <w:tab w:val="num" w:pos="2160"/>
        </w:tabs>
        <w:ind w:left="2160" w:hanging="360"/>
      </w:pPr>
      <w:rPr>
        <w:rFonts w:ascii="Arial" w:hAnsi="Arial" w:hint="default"/>
      </w:rPr>
    </w:lvl>
    <w:lvl w:ilvl="3" w:tplc="8E8882FC" w:tentative="1">
      <w:start w:val="1"/>
      <w:numFmt w:val="bullet"/>
      <w:lvlText w:val="•"/>
      <w:lvlJc w:val="left"/>
      <w:pPr>
        <w:tabs>
          <w:tab w:val="num" w:pos="2880"/>
        </w:tabs>
        <w:ind w:left="2880" w:hanging="360"/>
      </w:pPr>
      <w:rPr>
        <w:rFonts w:ascii="Arial" w:hAnsi="Arial" w:hint="default"/>
      </w:rPr>
    </w:lvl>
    <w:lvl w:ilvl="4" w:tplc="81D2CDB6" w:tentative="1">
      <w:start w:val="1"/>
      <w:numFmt w:val="bullet"/>
      <w:lvlText w:val="•"/>
      <w:lvlJc w:val="left"/>
      <w:pPr>
        <w:tabs>
          <w:tab w:val="num" w:pos="3600"/>
        </w:tabs>
        <w:ind w:left="3600" w:hanging="360"/>
      </w:pPr>
      <w:rPr>
        <w:rFonts w:ascii="Arial" w:hAnsi="Arial" w:hint="default"/>
      </w:rPr>
    </w:lvl>
    <w:lvl w:ilvl="5" w:tplc="46AC9ED8" w:tentative="1">
      <w:start w:val="1"/>
      <w:numFmt w:val="bullet"/>
      <w:lvlText w:val="•"/>
      <w:lvlJc w:val="left"/>
      <w:pPr>
        <w:tabs>
          <w:tab w:val="num" w:pos="4320"/>
        </w:tabs>
        <w:ind w:left="4320" w:hanging="360"/>
      </w:pPr>
      <w:rPr>
        <w:rFonts w:ascii="Arial" w:hAnsi="Arial" w:hint="default"/>
      </w:rPr>
    </w:lvl>
    <w:lvl w:ilvl="6" w:tplc="57666456" w:tentative="1">
      <w:start w:val="1"/>
      <w:numFmt w:val="bullet"/>
      <w:lvlText w:val="•"/>
      <w:lvlJc w:val="left"/>
      <w:pPr>
        <w:tabs>
          <w:tab w:val="num" w:pos="5040"/>
        </w:tabs>
        <w:ind w:left="5040" w:hanging="360"/>
      </w:pPr>
      <w:rPr>
        <w:rFonts w:ascii="Arial" w:hAnsi="Arial" w:hint="default"/>
      </w:rPr>
    </w:lvl>
    <w:lvl w:ilvl="7" w:tplc="8D64B3A4" w:tentative="1">
      <w:start w:val="1"/>
      <w:numFmt w:val="bullet"/>
      <w:lvlText w:val="•"/>
      <w:lvlJc w:val="left"/>
      <w:pPr>
        <w:tabs>
          <w:tab w:val="num" w:pos="5760"/>
        </w:tabs>
        <w:ind w:left="5760" w:hanging="360"/>
      </w:pPr>
      <w:rPr>
        <w:rFonts w:ascii="Arial" w:hAnsi="Arial" w:hint="default"/>
      </w:rPr>
    </w:lvl>
    <w:lvl w:ilvl="8" w:tplc="4058E75C" w:tentative="1">
      <w:start w:val="1"/>
      <w:numFmt w:val="bullet"/>
      <w:lvlText w:val="•"/>
      <w:lvlJc w:val="left"/>
      <w:pPr>
        <w:tabs>
          <w:tab w:val="num" w:pos="6480"/>
        </w:tabs>
        <w:ind w:left="6480" w:hanging="360"/>
      </w:pPr>
      <w:rPr>
        <w:rFonts w:ascii="Arial" w:hAnsi="Arial" w:hint="default"/>
      </w:rPr>
    </w:lvl>
  </w:abstractNum>
  <w:abstractNum w:abstractNumId="11">
    <w:nsid w:val="25432DB0"/>
    <w:multiLevelType w:val="hybridMultilevel"/>
    <w:tmpl w:val="E806E182"/>
    <w:lvl w:ilvl="0" w:tplc="69FA05B8">
      <w:numFmt w:val="bullet"/>
      <w:lvlText w:val="-"/>
      <w:lvlJc w:val="left"/>
      <w:pPr>
        <w:ind w:left="720" w:hanging="360"/>
      </w:pPr>
      <w:rPr>
        <w:rFonts w:ascii="Calibri" w:eastAsia="Cambria"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72C7149"/>
    <w:multiLevelType w:val="hybridMultilevel"/>
    <w:tmpl w:val="61EE4FCE"/>
    <w:lvl w:ilvl="0" w:tplc="43FA1EC8">
      <w:numFmt w:val="bullet"/>
      <w:lvlText w:val="-"/>
      <w:lvlJc w:val="left"/>
      <w:pPr>
        <w:ind w:left="720" w:hanging="360"/>
      </w:pPr>
      <w:rPr>
        <w:rFonts w:ascii="Calibri" w:eastAsia="Cambria"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DE7232D"/>
    <w:multiLevelType w:val="hybridMultilevel"/>
    <w:tmpl w:val="2A1E22A8"/>
    <w:lvl w:ilvl="0" w:tplc="04060011">
      <w:start w:val="1"/>
      <w:numFmt w:val="decimal"/>
      <w:lvlText w:val="%1)"/>
      <w:lvlJc w:val="left"/>
      <w:pPr>
        <w:tabs>
          <w:tab w:val="num" w:pos="720"/>
        </w:tabs>
        <w:ind w:left="720" w:hanging="360"/>
      </w:pPr>
      <w:rPr>
        <w:rFonts w:cs="Times New Roman" w:hint="default"/>
      </w:rPr>
    </w:lvl>
    <w:lvl w:ilvl="1" w:tplc="04060019" w:tentative="1">
      <w:start w:val="1"/>
      <w:numFmt w:val="lowerLetter"/>
      <w:lvlText w:val="%2."/>
      <w:lvlJc w:val="left"/>
      <w:pPr>
        <w:tabs>
          <w:tab w:val="num" w:pos="1440"/>
        </w:tabs>
        <w:ind w:left="1440" w:hanging="360"/>
      </w:pPr>
      <w:rPr>
        <w:rFonts w:cs="Times New Roman"/>
      </w:rPr>
    </w:lvl>
    <w:lvl w:ilvl="2" w:tplc="0406001B" w:tentative="1">
      <w:start w:val="1"/>
      <w:numFmt w:val="lowerRoman"/>
      <w:lvlText w:val="%3."/>
      <w:lvlJc w:val="right"/>
      <w:pPr>
        <w:tabs>
          <w:tab w:val="num" w:pos="2160"/>
        </w:tabs>
        <w:ind w:left="2160" w:hanging="180"/>
      </w:pPr>
      <w:rPr>
        <w:rFonts w:cs="Times New Roman"/>
      </w:rPr>
    </w:lvl>
    <w:lvl w:ilvl="3" w:tplc="0406000F" w:tentative="1">
      <w:start w:val="1"/>
      <w:numFmt w:val="decimal"/>
      <w:lvlText w:val="%4."/>
      <w:lvlJc w:val="left"/>
      <w:pPr>
        <w:tabs>
          <w:tab w:val="num" w:pos="2880"/>
        </w:tabs>
        <w:ind w:left="2880" w:hanging="360"/>
      </w:pPr>
      <w:rPr>
        <w:rFonts w:cs="Times New Roman"/>
      </w:rPr>
    </w:lvl>
    <w:lvl w:ilvl="4" w:tplc="04060019" w:tentative="1">
      <w:start w:val="1"/>
      <w:numFmt w:val="lowerLetter"/>
      <w:lvlText w:val="%5."/>
      <w:lvlJc w:val="left"/>
      <w:pPr>
        <w:tabs>
          <w:tab w:val="num" w:pos="3600"/>
        </w:tabs>
        <w:ind w:left="3600" w:hanging="360"/>
      </w:pPr>
      <w:rPr>
        <w:rFonts w:cs="Times New Roman"/>
      </w:rPr>
    </w:lvl>
    <w:lvl w:ilvl="5" w:tplc="0406001B" w:tentative="1">
      <w:start w:val="1"/>
      <w:numFmt w:val="lowerRoman"/>
      <w:lvlText w:val="%6."/>
      <w:lvlJc w:val="right"/>
      <w:pPr>
        <w:tabs>
          <w:tab w:val="num" w:pos="4320"/>
        </w:tabs>
        <w:ind w:left="4320" w:hanging="180"/>
      </w:pPr>
      <w:rPr>
        <w:rFonts w:cs="Times New Roman"/>
      </w:rPr>
    </w:lvl>
    <w:lvl w:ilvl="6" w:tplc="0406000F" w:tentative="1">
      <w:start w:val="1"/>
      <w:numFmt w:val="decimal"/>
      <w:lvlText w:val="%7."/>
      <w:lvlJc w:val="left"/>
      <w:pPr>
        <w:tabs>
          <w:tab w:val="num" w:pos="5040"/>
        </w:tabs>
        <w:ind w:left="5040" w:hanging="360"/>
      </w:pPr>
      <w:rPr>
        <w:rFonts w:cs="Times New Roman"/>
      </w:rPr>
    </w:lvl>
    <w:lvl w:ilvl="7" w:tplc="04060019" w:tentative="1">
      <w:start w:val="1"/>
      <w:numFmt w:val="lowerLetter"/>
      <w:lvlText w:val="%8."/>
      <w:lvlJc w:val="left"/>
      <w:pPr>
        <w:tabs>
          <w:tab w:val="num" w:pos="5760"/>
        </w:tabs>
        <w:ind w:left="5760" w:hanging="360"/>
      </w:pPr>
      <w:rPr>
        <w:rFonts w:cs="Times New Roman"/>
      </w:rPr>
    </w:lvl>
    <w:lvl w:ilvl="8" w:tplc="0406001B" w:tentative="1">
      <w:start w:val="1"/>
      <w:numFmt w:val="lowerRoman"/>
      <w:lvlText w:val="%9."/>
      <w:lvlJc w:val="right"/>
      <w:pPr>
        <w:tabs>
          <w:tab w:val="num" w:pos="6480"/>
        </w:tabs>
        <w:ind w:left="6480" w:hanging="180"/>
      </w:pPr>
      <w:rPr>
        <w:rFonts w:cs="Times New Roman"/>
      </w:rPr>
    </w:lvl>
  </w:abstractNum>
  <w:abstractNum w:abstractNumId="14">
    <w:nsid w:val="2F2320B5"/>
    <w:multiLevelType w:val="hybridMultilevel"/>
    <w:tmpl w:val="F0CED3BE"/>
    <w:lvl w:ilvl="0" w:tplc="04090017">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35B34332"/>
    <w:multiLevelType w:val="hybridMultilevel"/>
    <w:tmpl w:val="7E502BC4"/>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nsid w:val="388F7D68"/>
    <w:multiLevelType w:val="hybridMultilevel"/>
    <w:tmpl w:val="A942F468"/>
    <w:lvl w:ilvl="0" w:tplc="04090001">
      <w:start w:val="1"/>
      <w:numFmt w:val="bullet"/>
      <w:lvlText w:val=""/>
      <w:lvlJc w:val="left"/>
      <w:pPr>
        <w:ind w:left="1571" w:hanging="360"/>
      </w:pPr>
      <w:rPr>
        <w:rFonts w:ascii="Symbol" w:hAnsi="Symbol" w:hint="default"/>
      </w:rPr>
    </w:lvl>
    <w:lvl w:ilvl="1" w:tplc="10090003" w:tentative="1">
      <w:start w:val="1"/>
      <w:numFmt w:val="bullet"/>
      <w:lvlText w:val="o"/>
      <w:lvlJc w:val="left"/>
      <w:pPr>
        <w:ind w:left="2291" w:hanging="360"/>
      </w:pPr>
      <w:rPr>
        <w:rFonts w:ascii="Courier New" w:hAnsi="Courier New" w:hint="default"/>
      </w:rPr>
    </w:lvl>
    <w:lvl w:ilvl="2" w:tplc="10090005" w:tentative="1">
      <w:start w:val="1"/>
      <w:numFmt w:val="bullet"/>
      <w:lvlText w:val=""/>
      <w:lvlJc w:val="left"/>
      <w:pPr>
        <w:ind w:left="3011" w:hanging="360"/>
      </w:pPr>
      <w:rPr>
        <w:rFonts w:ascii="Wingdings" w:hAnsi="Wingdings" w:hint="default"/>
      </w:rPr>
    </w:lvl>
    <w:lvl w:ilvl="3" w:tplc="10090001" w:tentative="1">
      <w:start w:val="1"/>
      <w:numFmt w:val="bullet"/>
      <w:lvlText w:val=""/>
      <w:lvlJc w:val="left"/>
      <w:pPr>
        <w:ind w:left="3731" w:hanging="360"/>
      </w:pPr>
      <w:rPr>
        <w:rFonts w:ascii="Symbol" w:hAnsi="Symbol" w:hint="default"/>
      </w:rPr>
    </w:lvl>
    <w:lvl w:ilvl="4" w:tplc="10090003" w:tentative="1">
      <w:start w:val="1"/>
      <w:numFmt w:val="bullet"/>
      <w:lvlText w:val="o"/>
      <w:lvlJc w:val="left"/>
      <w:pPr>
        <w:ind w:left="4451" w:hanging="360"/>
      </w:pPr>
      <w:rPr>
        <w:rFonts w:ascii="Courier New" w:hAnsi="Courier New" w:hint="default"/>
      </w:rPr>
    </w:lvl>
    <w:lvl w:ilvl="5" w:tplc="10090005" w:tentative="1">
      <w:start w:val="1"/>
      <w:numFmt w:val="bullet"/>
      <w:lvlText w:val=""/>
      <w:lvlJc w:val="left"/>
      <w:pPr>
        <w:ind w:left="5171" w:hanging="360"/>
      </w:pPr>
      <w:rPr>
        <w:rFonts w:ascii="Wingdings" w:hAnsi="Wingdings" w:hint="default"/>
      </w:rPr>
    </w:lvl>
    <w:lvl w:ilvl="6" w:tplc="10090001" w:tentative="1">
      <w:start w:val="1"/>
      <w:numFmt w:val="bullet"/>
      <w:lvlText w:val=""/>
      <w:lvlJc w:val="left"/>
      <w:pPr>
        <w:ind w:left="5891" w:hanging="360"/>
      </w:pPr>
      <w:rPr>
        <w:rFonts w:ascii="Symbol" w:hAnsi="Symbol" w:hint="default"/>
      </w:rPr>
    </w:lvl>
    <w:lvl w:ilvl="7" w:tplc="10090003" w:tentative="1">
      <w:start w:val="1"/>
      <w:numFmt w:val="bullet"/>
      <w:lvlText w:val="o"/>
      <w:lvlJc w:val="left"/>
      <w:pPr>
        <w:ind w:left="6611" w:hanging="360"/>
      </w:pPr>
      <w:rPr>
        <w:rFonts w:ascii="Courier New" w:hAnsi="Courier New" w:hint="default"/>
      </w:rPr>
    </w:lvl>
    <w:lvl w:ilvl="8" w:tplc="10090005" w:tentative="1">
      <w:start w:val="1"/>
      <w:numFmt w:val="bullet"/>
      <w:lvlText w:val=""/>
      <w:lvlJc w:val="left"/>
      <w:pPr>
        <w:ind w:left="7331" w:hanging="360"/>
      </w:pPr>
      <w:rPr>
        <w:rFonts w:ascii="Wingdings" w:hAnsi="Wingdings" w:hint="default"/>
      </w:rPr>
    </w:lvl>
  </w:abstractNum>
  <w:abstractNum w:abstractNumId="17">
    <w:nsid w:val="39855262"/>
    <w:multiLevelType w:val="hybridMultilevel"/>
    <w:tmpl w:val="817E6840"/>
    <w:lvl w:ilvl="0" w:tplc="826E201E">
      <w:start w:val="9"/>
      <w:numFmt w:val="lowerLetter"/>
      <w:lvlText w:val="%1."/>
      <w:lvlJc w:val="left"/>
      <w:pPr>
        <w:ind w:left="1080" w:hanging="360"/>
      </w:pPr>
      <w:rPr>
        <w:rFonts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A0E5DBC"/>
    <w:multiLevelType w:val="hybridMultilevel"/>
    <w:tmpl w:val="740C73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0A35D52"/>
    <w:multiLevelType w:val="hybridMultilevel"/>
    <w:tmpl w:val="B3D47F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43BB10BF"/>
    <w:multiLevelType w:val="multilevel"/>
    <w:tmpl w:val="39AE2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479721C9"/>
    <w:multiLevelType w:val="hybridMultilevel"/>
    <w:tmpl w:val="A956CBA6"/>
    <w:lvl w:ilvl="0" w:tplc="CE902708">
      <w:start w:val="7"/>
      <w:numFmt w:val="decimal"/>
      <w:lvlText w:val="%1."/>
      <w:lvlJc w:val="left"/>
      <w:pPr>
        <w:ind w:left="725" w:hanging="360"/>
      </w:pPr>
      <w:rPr>
        <w:rFonts w:hint="default"/>
        <w:b w:val="0"/>
      </w:rPr>
    </w:lvl>
    <w:lvl w:ilvl="1" w:tplc="04090019" w:tentative="1">
      <w:start w:val="1"/>
      <w:numFmt w:val="lowerLetter"/>
      <w:lvlText w:val="%2."/>
      <w:lvlJc w:val="left"/>
      <w:pPr>
        <w:ind w:left="1445" w:hanging="360"/>
      </w:pPr>
    </w:lvl>
    <w:lvl w:ilvl="2" w:tplc="0409001B" w:tentative="1">
      <w:start w:val="1"/>
      <w:numFmt w:val="lowerRoman"/>
      <w:lvlText w:val="%3."/>
      <w:lvlJc w:val="right"/>
      <w:pPr>
        <w:ind w:left="2165" w:hanging="180"/>
      </w:pPr>
    </w:lvl>
    <w:lvl w:ilvl="3" w:tplc="0409000F" w:tentative="1">
      <w:start w:val="1"/>
      <w:numFmt w:val="decimal"/>
      <w:lvlText w:val="%4."/>
      <w:lvlJc w:val="left"/>
      <w:pPr>
        <w:ind w:left="2885" w:hanging="360"/>
      </w:pPr>
    </w:lvl>
    <w:lvl w:ilvl="4" w:tplc="04090019" w:tentative="1">
      <w:start w:val="1"/>
      <w:numFmt w:val="lowerLetter"/>
      <w:lvlText w:val="%5."/>
      <w:lvlJc w:val="left"/>
      <w:pPr>
        <w:ind w:left="3605" w:hanging="360"/>
      </w:pPr>
    </w:lvl>
    <w:lvl w:ilvl="5" w:tplc="0409001B" w:tentative="1">
      <w:start w:val="1"/>
      <w:numFmt w:val="lowerRoman"/>
      <w:lvlText w:val="%6."/>
      <w:lvlJc w:val="right"/>
      <w:pPr>
        <w:ind w:left="4325" w:hanging="180"/>
      </w:pPr>
    </w:lvl>
    <w:lvl w:ilvl="6" w:tplc="0409000F" w:tentative="1">
      <w:start w:val="1"/>
      <w:numFmt w:val="decimal"/>
      <w:lvlText w:val="%7."/>
      <w:lvlJc w:val="left"/>
      <w:pPr>
        <w:ind w:left="5045" w:hanging="360"/>
      </w:pPr>
    </w:lvl>
    <w:lvl w:ilvl="7" w:tplc="04090019" w:tentative="1">
      <w:start w:val="1"/>
      <w:numFmt w:val="lowerLetter"/>
      <w:lvlText w:val="%8."/>
      <w:lvlJc w:val="left"/>
      <w:pPr>
        <w:ind w:left="5765" w:hanging="360"/>
      </w:pPr>
    </w:lvl>
    <w:lvl w:ilvl="8" w:tplc="0409001B" w:tentative="1">
      <w:start w:val="1"/>
      <w:numFmt w:val="lowerRoman"/>
      <w:lvlText w:val="%9."/>
      <w:lvlJc w:val="right"/>
      <w:pPr>
        <w:ind w:left="6485" w:hanging="180"/>
      </w:pPr>
    </w:lvl>
  </w:abstractNum>
  <w:abstractNum w:abstractNumId="22">
    <w:nsid w:val="4B7D3B88"/>
    <w:multiLevelType w:val="hybridMultilevel"/>
    <w:tmpl w:val="C7048392"/>
    <w:lvl w:ilvl="0" w:tplc="F3A6EAF4">
      <w:start w:val="1"/>
      <w:numFmt w:val="lowerRoman"/>
      <w:lvlText w:val="%1)"/>
      <w:lvlJc w:val="left"/>
      <w:pPr>
        <w:ind w:left="720" w:hanging="360"/>
      </w:pPr>
      <w:rPr>
        <w:rFonts w:asciiTheme="majorHAnsi" w:eastAsia="MS Mincho" w:hAnsiTheme="majorHAnsi" w:cs="Times New Roman"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4CD30E17"/>
    <w:multiLevelType w:val="hybridMultilevel"/>
    <w:tmpl w:val="70B099F8"/>
    <w:lvl w:ilvl="0" w:tplc="4232FBF8">
      <w:start w:val="1"/>
      <w:numFmt w:val="lowerLetter"/>
      <w:lvlText w:val="%1."/>
      <w:lvlJc w:val="left"/>
      <w:pPr>
        <w:ind w:left="2208" w:hanging="360"/>
      </w:pPr>
      <w:rPr>
        <w:b w:val="0"/>
      </w:rPr>
    </w:lvl>
    <w:lvl w:ilvl="1" w:tplc="04090019" w:tentative="1">
      <w:start w:val="1"/>
      <w:numFmt w:val="lowerLetter"/>
      <w:lvlText w:val="%2."/>
      <w:lvlJc w:val="left"/>
      <w:pPr>
        <w:ind w:left="2928" w:hanging="360"/>
      </w:pPr>
    </w:lvl>
    <w:lvl w:ilvl="2" w:tplc="0409001B" w:tentative="1">
      <w:start w:val="1"/>
      <w:numFmt w:val="lowerRoman"/>
      <w:lvlText w:val="%3."/>
      <w:lvlJc w:val="right"/>
      <w:pPr>
        <w:ind w:left="3648" w:hanging="180"/>
      </w:pPr>
    </w:lvl>
    <w:lvl w:ilvl="3" w:tplc="0409000F" w:tentative="1">
      <w:start w:val="1"/>
      <w:numFmt w:val="decimal"/>
      <w:lvlText w:val="%4."/>
      <w:lvlJc w:val="left"/>
      <w:pPr>
        <w:ind w:left="4368" w:hanging="360"/>
      </w:pPr>
    </w:lvl>
    <w:lvl w:ilvl="4" w:tplc="04090019" w:tentative="1">
      <w:start w:val="1"/>
      <w:numFmt w:val="lowerLetter"/>
      <w:lvlText w:val="%5."/>
      <w:lvlJc w:val="left"/>
      <w:pPr>
        <w:ind w:left="5088" w:hanging="360"/>
      </w:pPr>
    </w:lvl>
    <w:lvl w:ilvl="5" w:tplc="0409001B" w:tentative="1">
      <w:start w:val="1"/>
      <w:numFmt w:val="lowerRoman"/>
      <w:lvlText w:val="%6."/>
      <w:lvlJc w:val="right"/>
      <w:pPr>
        <w:ind w:left="5808" w:hanging="180"/>
      </w:pPr>
    </w:lvl>
    <w:lvl w:ilvl="6" w:tplc="0409000F" w:tentative="1">
      <w:start w:val="1"/>
      <w:numFmt w:val="decimal"/>
      <w:lvlText w:val="%7."/>
      <w:lvlJc w:val="left"/>
      <w:pPr>
        <w:ind w:left="6528" w:hanging="360"/>
      </w:pPr>
    </w:lvl>
    <w:lvl w:ilvl="7" w:tplc="04090019" w:tentative="1">
      <w:start w:val="1"/>
      <w:numFmt w:val="lowerLetter"/>
      <w:lvlText w:val="%8."/>
      <w:lvlJc w:val="left"/>
      <w:pPr>
        <w:ind w:left="7248" w:hanging="360"/>
      </w:pPr>
    </w:lvl>
    <w:lvl w:ilvl="8" w:tplc="0409001B" w:tentative="1">
      <w:start w:val="1"/>
      <w:numFmt w:val="lowerRoman"/>
      <w:lvlText w:val="%9."/>
      <w:lvlJc w:val="right"/>
      <w:pPr>
        <w:ind w:left="7968" w:hanging="180"/>
      </w:pPr>
    </w:lvl>
  </w:abstractNum>
  <w:abstractNum w:abstractNumId="24">
    <w:nsid w:val="4DDE01A6"/>
    <w:multiLevelType w:val="hybridMultilevel"/>
    <w:tmpl w:val="6BE0CE4E"/>
    <w:lvl w:ilvl="0" w:tplc="A75E3CE4">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FF65C35"/>
    <w:multiLevelType w:val="hybridMultilevel"/>
    <w:tmpl w:val="7B444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4C43180"/>
    <w:multiLevelType w:val="hybridMultilevel"/>
    <w:tmpl w:val="7DE8D392"/>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7">
    <w:nsid w:val="55EB5BAA"/>
    <w:multiLevelType w:val="hybridMultilevel"/>
    <w:tmpl w:val="942CD3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5ABC2366"/>
    <w:multiLevelType w:val="hybridMultilevel"/>
    <w:tmpl w:val="95FA40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603E0596"/>
    <w:multiLevelType w:val="hybridMultilevel"/>
    <w:tmpl w:val="152A4744"/>
    <w:lvl w:ilvl="0" w:tplc="91AE416E">
      <w:start w:val="1"/>
      <w:numFmt w:val="bullet"/>
      <w:lvlText w:val="•"/>
      <w:lvlJc w:val="left"/>
      <w:pPr>
        <w:tabs>
          <w:tab w:val="num" w:pos="720"/>
        </w:tabs>
        <w:ind w:left="720" w:hanging="360"/>
      </w:pPr>
      <w:rPr>
        <w:rFonts w:ascii="Arial" w:hAnsi="Arial" w:hint="default"/>
      </w:rPr>
    </w:lvl>
    <w:lvl w:ilvl="1" w:tplc="8940CAA6" w:tentative="1">
      <w:start w:val="1"/>
      <w:numFmt w:val="bullet"/>
      <w:lvlText w:val="•"/>
      <w:lvlJc w:val="left"/>
      <w:pPr>
        <w:tabs>
          <w:tab w:val="num" w:pos="1440"/>
        </w:tabs>
        <w:ind w:left="1440" w:hanging="360"/>
      </w:pPr>
      <w:rPr>
        <w:rFonts w:ascii="Arial" w:hAnsi="Arial" w:hint="default"/>
      </w:rPr>
    </w:lvl>
    <w:lvl w:ilvl="2" w:tplc="CF56D35C" w:tentative="1">
      <w:start w:val="1"/>
      <w:numFmt w:val="bullet"/>
      <w:lvlText w:val="•"/>
      <w:lvlJc w:val="left"/>
      <w:pPr>
        <w:tabs>
          <w:tab w:val="num" w:pos="2160"/>
        </w:tabs>
        <w:ind w:left="2160" w:hanging="360"/>
      </w:pPr>
      <w:rPr>
        <w:rFonts w:ascii="Arial" w:hAnsi="Arial" w:hint="default"/>
      </w:rPr>
    </w:lvl>
    <w:lvl w:ilvl="3" w:tplc="00B8E08E" w:tentative="1">
      <w:start w:val="1"/>
      <w:numFmt w:val="bullet"/>
      <w:lvlText w:val="•"/>
      <w:lvlJc w:val="left"/>
      <w:pPr>
        <w:tabs>
          <w:tab w:val="num" w:pos="2880"/>
        </w:tabs>
        <w:ind w:left="2880" w:hanging="360"/>
      </w:pPr>
      <w:rPr>
        <w:rFonts w:ascii="Arial" w:hAnsi="Arial" w:hint="default"/>
      </w:rPr>
    </w:lvl>
    <w:lvl w:ilvl="4" w:tplc="27C66270" w:tentative="1">
      <w:start w:val="1"/>
      <w:numFmt w:val="bullet"/>
      <w:lvlText w:val="•"/>
      <w:lvlJc w:val="left"/>
      <w:pPr>
        <w:tabs>
          <w:tab w:val="num" w:pos="3600"/>
        </w:tabs>
        <w:ind w:left="3600" w:hanging="360"/>
      </w:pPr>
      <w:rPr>
        <w:rFonts w:ascii="Arial" w:hAnsi="Arial" w:hint="default"/>
      </w:rPr>
    </w:lvl>
    <w:lvl w:ilvl="5" w:tplc="03006B3A" w:tentative="1">
      <w:start w:val="1"/>
      <w:numFmt w:val="bullet"/>
      <w:lvlText w:val="•"/>
      <w:lvlJc w:val="left"/>
      <w:pPr>
        <w:tabs>
          <w:tab w:val="num" w:pos="4320"/>
        </w:tabs>
        <w:ind w:left="4320" w:hanging="360"/>
      </w:pPr>
      <w:rPr>
        <w:rFonts w:ascii="Arial" w:hAnsi="Arial" w:hint="default"/>
      </w:rPr>
    </w:lvl>
    <w:lvl w:ilvl="6" w:tplc="31DE5B1A" w:tentative="1">
      <w:start w:val="1"/>
      <w:numFmt w:val="bullet"/>
      <w:lvlText w:val="•"/>
      <w:lvlJc w:val="left"/>
      <w:pPr>
        <w:tabs>
          <w:tab w:val="num" w:pos="5040"/>
        </w:tabs>
        <w:ind w:left="5040" w:hanging="360"/>
      </w:pPr>
      <w:rPr>
        <w:rFonts w:ascii="Arial" w:hAnsi="Arial" w:hint="default"/>
      </w:rPr>
    </w:lvl>
    <w:lvl w:ilvl="7" w:tplc="510C9C0E" w:tentative="1">
      <w:start w:val="1"/>
      <w:numFmt w:val="bullet"/>
      <w:lvlText w:val="•"/>
      <w:lvlJc w:val="left"/>
      <w:pPr>
        <w:tabs>
          <w:tab w:val="num" w:pos="5760"/>
        </w:tabs>
        <w:ind w:left="5760" w:hanging="360"/>
      </w:pPr>
      <w:rPr>
        <w:rFonts w:ascii="Arial" w:hAnsi="Arial" w:hint="default"/>
      </w:rPr>
    </w:lvl>
    <w:lvl w:ilvl="8" w:tplc="53C63072" w:tentative="1">
      <w:start w:val="1"/>
      <w:numFmt w:val="bullet"/>
      <w:lvlText w:val="•"/>
      <w:lvlJc w:val="left"/>
      <w:pPr>
        <w:tabs>
          <w:tab w:val="num" w:pos="6480"/>
        </w:tabs>
        <w:ind w:left="6480" w:hanging="360"/>
      </w:pPr>
      <w:rPr>
        <w:rFonts w:ascii="Arial" w:hAnsi="Arial" w:hint="default"/>
      </w:rPr>
    </w:lvl>
  </w:abstractNum>
  <w:abstractNum w:abstractNumId="30">
    <w:nsid w:val="623732AB"/>
    <w:multiLevelType w:val="hybridMultilevel"/>
    <w:tmpl w:val="33106B36"/>
    <w:lvl w:ilvl="0" w:tplc="65E43F46">
      <w:start w:val="1"/>
      <w:numFmt w:val="bullet"/>
      <w:lvlText w:val="•"/>
      <w:lvlJc w:val="left"/>
      <w:pPr>
        <w:tabs>
          <w:tab w:val="num" w:pos="720"/>
        </w:tabs>
        <w:ind w:left="720" w:hanging="360"/>
      </w:pPr>
      <w:rPr>
        <w:rFonts w:ascii="Arial" w:hAnsi="Arial" w:hint="default"/>
      </w:rPr>
    </w:lvl>
    <w:lvl w:ilvl="1" w:tplc="BD947AC4" w:tentative="1">
      <w:start w:val="1"/>
      <w:numFmt w:val="bullet"/>
      <w:lvlText w:val="•"/>
      <w:lvlJc w:val="left"/>
      <w:pPr>
        <w:tabs>
          <w:tab w:val="num" w:pos="1440"/>
        </w:tabs>
        <w:ind w:left="1440" w:hanging="360"/>
      </w:pPr>
      <w:rPr>
        <w:rFonts w:ascii="Arial" w:hAnsi="Arial" w:hint="default"/>
      </w:rPr>
    </w:lvl>
    <w:lvl w:ilvl="2" w:tplc="3CEA71EA" w:tentative="1">
      <w:start w:val="1"/>
      <w:numFmt w:val="bullet"/>
      <w:lvlText w:val="•"/>
      <w:lvlJc w:val="left"/>
      <w:pPr>
        <w:tabs>
          <w:tab w:val="num" w:pos="2160"/>
        </w:tabs>
        <w:ind w:left="2160" w:hanging="360"/>
      </w:pPr>
      <w:rPr>
        <w:rFonts w:ascii="Arial" w:hAnsi="Arial" w:hint="default"/>
      </w:rPr>
    </w:lvl>
    <w:lvl w:ilvl="3" w:tplc="B5CCEFC8" w:tentative="1">
      <w:start w:val="1"/>
      <w:numFmt w:val="bullet"/>
      <w:lvlText w:val="•"/>
      <w:lvlJc w:val="left"/>
      <w:pPr>
        <w:tabs>
          <w:tab w:val="num" w:pos="2880"/>
        </w:tabs>
        <w:ind w:left="2880" w:hanging="360"/>
      </w:pPr>
      <w:rPr>
        <w:rFonts w:ascii="Arial" w:hAnsi="Arial" w:hint="default"/>
      </w:rPr>
    </w:lvl>
    <w:lvl w:ilvl="4" w:tplc="71C2ABF0" w:tentative="1">
      <w:start w:val="1"/>
      <w:numFmt w:val="bullet"/>
      <w:lvlText w:val="•"/>
      <w:lvlJc w:val="left"/>
      <w:pPr>
        <w:tabs>
          <w:tab w:val="num" w:pos="3600"/>
        </w:tabs>
        <w:ind w:left="3600" w:hanging="360"/>
      </w:pPr>
      <w:rPr>
        <w:rFonts w:ascii="Arial" w:hAnsi="Arial" w:hint="default"/>
      </w:rPr>
    </w:lvl>
    <w:lvl w:ilvl="5" w:tplc="C350596A" w:tentative="1">
      <w:start w:val="1"/>
      <w:numFmt w:val="bullet"/>
      <w:lvlText w:val="•"/>
      <w:lvlJc w:val="left"/>
      <w:pPr>
        <w:tabs>
          <w:tab w:val="num" w:pos="4320"/>
        </w:tabs>
        <w:ind w:left="4320" w:hanging="360"/>
      </w:pPr>
      <w:rPr>
        <w:rFonts w:ascii="Arial" w:hAnsi="Arial" w:hint="default"/>
      </w:rPr>
    </w:lvl>
    <w:lvl w:ilvl="6" w:tplc="C71621C0" w:tentative="1">
      <w:start w:val="1"/>
      <w:numFmt w:val="bullet"/>
      <w:lvlText w:val="•"/>
      <w:lvlJc w:val="left"/>
      <w:pPr>
        <w:tabs>
          <w:tab w:val="num" w:pos="5040"/>
        </w:tabs>
        <w:ind w:left="5040" w:hanging="360"/>
      </w:pPr>
      <w:rPr>
        <w:rFonts w:ascii="Arial" w:hAnsi="Arial" w:hint="default"/>
      </w:rPr>
    </w:lvl>
    <w:lvl w:ilvl="7" w:tplc="1FE86B56" w:tentative="1">
      <w:start w:val="1"/>
      <w:numFmt w:val="bullet"/>
      <w:lvlText w:val="•"/>
      <w:lvlJc w:val="left"/>
      <w:pPr>
        <w:tabs>
          <w:tab w:val="num" w:pos="5760"/>
        </w:tabs>
        <w:ind w:left="5760" w:hanging="360"/>
      </w:pPr>
      <w:rPr>
        <w:rFonts w:ascii="Arial" w:hAnsi="Arial" w:hint="default"/>
      </w:rPr>
    </w:lvl>
    <w:lvl w:ilvl="8" w:tplc="2E5016C2" w:tentative="1">
      <w:start w:val="1"/>
      <w:numFmt w:val="bullet"/>
      <w:lvlText w:val="•"/>
      <w:lvlJc w:val="left"/>
      <w:pPr>
        <w:tabs>
          <w:tab w:val="num" w:pos="6480"/>
        </w:tabs>
        <w:ind w:left="6480" w:hanging="360"/>
      </w:pPr>
      <w:rPr>
        <w:rFonts w:ascii="Arial" w:hAnsi="Arial" w:hint="default"/>
      </w:rPr>
    </w:lvl>
  </w:abstractNum>
  <w:abstractNum w:abstractNumId="31">
    <w:nsid w:val="6547191C"/>
    <w:multiLevelType w:val="hybridMultilevel"/>
    <w:tmpl w:val="66A672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6A3130D2"/>
    <w:multiLevelType w:val="hybridMultilevel"/>
    <w:tmpl w:val="3AD8E690"/>
    <w:lvl w:ilvl="0" w:tplc="DB04DED6">
      <w:start w:val="1"/>
      <w:numFmt w:val="bullet"/>
      <w:lvlText w:val="•"/>
      <w:lvlJc w:val="left"/>
      <w:pPr>
        <w:tabs>
          <w:tab w:val="num" w:pos="720"/>
        </w:tabs>
        <w:ind w:left="720" w:hanging="360"/>
      </w:pPr>
      <w:rPr>
        <w:rFonts w:ascii="Arial" w:hAnsi="Arial" w:hint="default"/>
      </w:rPr>
    </w:lvl>
    <w:lvl w:ilvl="1" w:tplc="3B9C1A8A" w:tentative="1">
      <w:start w:val="1"/>
      <w:numFmt w:val="bullet"/>
      <w:lvlText w:val="•"/>
      <w:lvlJc w:val="left"/>
      <w:pPr>
        <w:tabs>
          <w:tab w:val="num" w:pos="1440"/>
        </w:tabs>
        <w:ind w:left="1440" w:hanging="360"/>
      </w:pPr>
      <w:rPr>
        <w:rFonts w:ascii="Arial" w:hAnsi="Arial" w:hint="default"/>
      </w:rPr>
    </w:lvl>
    <w:lvl w:ilvl="2" w:tplc="70362A70" w:tentative="1">
      <w:start w:val="1"/>
      <w:numFmt w:val="bullet"/>
      <w:lvlText w:val="•"/>
      <w:lvlJc w:val="left"/>
      <w:pPr>
        <w:tabs>
          <w:tab w:val="num" w:pos="2160"/>
        </w:tabs>
        <w:ind w:left="2160" w:hanging="360"/>
      </w:pPr>
      <w:rPr>
        <w:rFonts w:ascii="Arial" w:hAnsi="Arial" w:hint="default"/>
      </w:rPr>
    </w:lvl>
    <w:lvl w:ilvl="3" w:tplc="6AC802EC" w:tentative="1">
      <w:start w:val="1"/>
      <w:numFmt w:val="bullet"/>
      <w:lvlText w:val="•"/>
      <w:lvlJc w:val="left"/>
      <w:pPr>
        <w:tabs>
          <w:tab w:val="num" w:pos="2880"/>
        </w:tabs>
        <w:ind w:left="2880" w:hanging="360"/>
      </w:pPr>
      <w:rPr>
        <w:rFonts w:ascii="Arial" w:hAnsi="Arial" w:hint="default"/>
      </w:rPr>
    </w:lvl>
    <w:lvl w:ilvl="4" w:tplc="5A781FFC" w:tentative="1">
      <w:start w:val="1"/>
      <w:numFmt w:val="bullet"/>
      <w:lvlText w:val="•"/>
      <w:lvlJc w:val="left"/>
      <w:pPr>
        <w:tabs>
          <w:tab w:val="num" w:pos="3600"/>
        </w:tabs>
        <w:ind w:left="3600" w:hanging="360"/>
      </w:pPr>
      <w:rPr>
        <w:rFonts w:ascii="Arial" w:hAnsi="Arial" w:hint="default"/>
      </w:rPr>
    </w:lvl>
    <w:lvl w:ilvl="5" w:tplc="7222DAE0" w:tentative="1">
      <w:start w:val="1"/>
      <w:numFmt w:val="bullet"/>
      <w:lvlText w:val="•"/>
      <w:lvlJc w:val="left"/>
      <w:pPr>
        <w:tabs>
          <w:tab w:val="num" w:pos="4320"/>
        </w:tabs>
        <w:ind w:left="4320" w:hanging="360"/>
      </w:pPr>
      <w:rPr>
        <w:rFonts w:ascii="Arial" w:hAnsi="Arial" w:hint="default"/>
      </w:rPr>
    </w:lvl>
    <w:lvl w:ilvl="6" w:tplc="4EC8E644" w:tentative="1">
      <w:start w:val="1"/>
      <w:numFmt w:val="bullet"/>
      <w:lvlText w:val="•"/>
      <w:lvlJc w:val="left"/>
      <w:pPr>
        <w:tabs>
          <w:tab w:val="num" w:pos="5040"/>
        </w:tabs>
        <w:ind w:left="5040" w:hanging="360"/>
      </w:pPr>
      <w:rPr>
        <w:rFonts w:ascii="Arial" w:hAnsi="Arial" w:hint="default"/>
      </w:rPr>
    </w:lvl>
    <w:lvl w:ilvl="7" w:tplc="605C2FC0" w:tentative="1">
      <w:start w:val="1"/>
      <w:numFmt w:val="bullet"/>
      <w:lvlText w:val="•"/>
      <w:lvlJc w:val="left"/>
      <w:pPr>
        <w:tabs>
          <w:tab w:val="num" w:pos="5760"/>
        </w:tabs>
        <w:ind w:left="5760" w:hanging="360"/>
      </w:pPr>
      <w:rPr>
        <w:rFonts w:ascii="Arial" w:hAnsi="Arial" w:hint="default"/>
      </w:rPr>
    </w:lvl>
    <w:lvl w:ilvl="8" w:tplc="41303CE4" w:tentative="1">
      <w:start w:val="1"/>
      <w:numFmt w:val="bullet"/>
      <w:lvlText w:val="•"/>
      <w:lvlJc w:val="left"/>
      <w:pPr>
        <w:tabs>
          <w:tab w:val="num" w:pos="6480"/>
        </w:tabs>
        <w:ind w:left="6480" w:hanging="360"/>
      </w:pPr>
      <w:rPr>
        <w:rFonts w:ascii="Arial" w:hAnsi="Arial" w:hint="default"/>
      </w:rPr>
    </w:lvl>
  </w:abstractNum>
  <w:abstractNum w:abstractNumId="33">
    <w:nsid w:val="73B24892"/>
    <w:multiLevelType w:val="hybridMultilevel"/>
    <w:tmpl w:val="82C8C5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2"/>
  </w:num>
  <w:num w:numId="3">
    <w:abstractNumId w:val="24"/>
  </w:num>
  <w:num w:numId="4">
    <w:abstractNumId w:val="23"/>
  </w:num>
  <w:num w:numId="5">
    <w:abstractNumId w:val="4"/>
  </w:num>
  <w:num w:numId="6">
    <w:abstractNumId w:val="21"/>
  </w:num>
  <w:num w:numId="7">
    <w:abstractNumId w:val="6"/>
  </w:num>
  <w:num w:numId="8">
    <w:abstractNumId w:val="11"/>
  </w:num>
  <w:num w:numId="9">
    <w:abstractNumId w:val="5"/>
  </w:num>
  <w:num w:numId="10">
    <w:abstractNumId w:val="3"/>
  </w:num>
  <w:num w:numId="11">
    <w:abstractNumId w:val="12"/>
  </w:num>
  <w:num w:numId="12">
    <w:abstractNumId w:val="26"/>
  </w:num>
  <w:num w:numId="13">
    <w:abstractNumId w:val="18"/>
  </w:num>
  <w:num w:numId="14">
    <w:abstractNumId w:val="8"/>
  </w:num>
  <w:num w:numId="15">
    <w:abstractNumId w:val="17"/>
  </w:num>
  <w:num w:numId="16">
    <w:abstractNumId w:val="13"/>
  </w:num>
  <w:num w:numId="17">
    <w:abstractNumId w:val="29"/>
  </w:num>
  <w:num w:numId="18">
    <w:abstractNumId w:val="32"/>
  </w:num>
  <w:num w:numId="19">
    <w:abstractNumId w:val="30"/>
  </w:num>
  <w:num w:numId="20">
    <w:abstractNumId w:val="10"/>
  </w:num>
  <w:num w:numId="21">
    <w:abstractNumId w:val="7"/>
  </w:num>
  <w:num w:numId="22">
    <w:abstractNumId w:val="1"/>
  </w:num>
  <w:num w:numId="23">
    <w:abstractNumId w:val="16"/>
  </w:num>
  <w:num w:numId="24">
    <w:abstractNumId w:val="25"/>
  </w:num>
  <w:num w:numId="25">
    <w:abstractNumId w:val="14"/>
  </w:num>
  <w:num w:numId="26">
    <w:abstractNumId w:val="15"/>
  </w:num>
  <w:num w:numId="27">
    <w:abstractNumId w:val="9"/>
  </w:num>
  <w:num w:numId="28">
    <w:abstractNumId w:val="0"/>
  </w:num>
  <w:num w:numId="29">
    <w:abstractNumId w:val="28"/>
  </w:num>
  <w:num w:numId="30">
    <w:abstractNumId w:val="19"/>
  </w:num>
  <w:num w:numId="31">
    <w:abstractNumId w:val="27"/>
  </w:num>
  <w:num w:numId="32">
    <w:abstractNumId w:val="31"/>
  </w:num>
  <w:num w:numId="33">
    <w:abstractNumId w:val="33"/>
  </w:num>
  <w:num w:numId="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oNotTrackFormatting/>
  <w:defaultTabStop w:val="720"/>
  <w:hyphenationZone w:val="425"/>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E0C"/>
    <w:rsid w:val="00012E11"/>
    <w:rsid w:val="000202EE"/>
    <w:rsid w:val="00022FDE"/>
    <w:rsid w:val="00024AD0"/>
    <w:rsid w:val="0002742F"/>
    <w:rsid w:val="00030587"/>
    <w:rsid w:val="00037FF1"/>
    <w:rsid w:val="0005002E"/>
    <w:rsid w:val="00054CFF"/>
    <w:rsid w:val="0006161F"/>
    <w:rsid w:val="0007003F"/>
    <w:rsid w:val="00082ACC"/>
    <w:rsid w:val="000A039D"/>
    <w:rsid w:val="000B0A62"/>
    <w:rsid w:val="000B0E5D"/>
    <w:rsid w:val="000B17B5"/>
    <w:rsid w:val="000D2DCE"/>
    <w:rsid w:val="000D57FF"/>
    <w:rsid w:val="000E50B0"/>
    <w:rsid w:val="000F253D"/>
    <w:rsid w:val="000F29A9"/>
    <w:rsid w:val="000F2E6B"/>
    <w:rsid w:val="000F4FDF"/>
    <w:rsid w:val="00102344"/>
    <w:rsid w:val="001127FC"/>
    <w:rsid w:val="00120DB7"/>
    <w:rsid w:val="00130D8F"/>
    <w:rsid w:val="00133427"/>
    <w:rsid w:val="00135933"/>
    <w:rsid w:val="00137A95"/>
    <w:rsid w:val="001470FC"/>
    <w:rsid w:val="001506F4"/>
    <w:rsid w:val="001571F3"/>
    <w:rsid w:val="00157B1A"/>
    <w:rsid w:val="001637EC"/>
    <w:rsid w:val="00166876"/>
    <w:rsid w:val="00176F36"/>
    <w:rsid w:val="00185310"/>
    <w:rsid w:val="00186C1F"/>
    <w:rsid w:val="00196C80"/>
    <w:rsid w:val="001979B9"/>
    <w:rsid w:val="001A0653"/>
    <w:rsid w:val="001A289E"/>
    <w:rsid w:val="001A5866"/>
    <w:rsid w:val="001B7FEF"/>
    <w:rsid w:val="001D5E38"/>
    <w:rsid w:val="001E5EAD"/>
    <w:rsid w:val="0020217E"/>
    <w:rsid w:val="00206014"/>
    <w:rsid w:val="00206C47"/>
    <w:rsid w:val="00206E7C"/>
    <w:rsid w:val="002309E9"/>
    <w:rsid w:val="002378EC"/>
    <w:rsid w:val="00244D7B"/>
    <w:rsid w:val="00251FB6"/>
    <w:rsid w:val="002522BC"/>
    <w:rsid w:val="0025366A"/>
    <w:rsid w:val="00253A36"/>
    <w:rsid w:val="00253B43"/>
    <w:rsid w:val="00255A2D"/>
    <w:rsid w:val="002B7982"/>
    <w:rsid w:val="002C5CD2"/>
    <w:rsid w:val="002D1CB4"/>
    <w:rsid w:val="002D2D47"/>
    <w:rsid w:val="002E39D4"/>
    <w:rsid w:val="002E3E1D"/>
    <w:rsid w:val="002F0703"/>
    <w:rsid w:val="002F7DF2"/>
    <w:rsid w:val="00302D29"/>
    <w:rsid w:val="00313789"/>
    <w:rsid w:val="0032229E"/>
    <w:rsid w:val="00331336"/>
    <w:rsid w:val="00332C9A"/>
    <w:rsid w:val="003365C7"/>
    <w:rsid w:val="003408ED"/>
    <w:rsid w:val="00352BA4"/>
    <w:rsid w:val="003552EC"/>
    <w:rsid w:val="00357CE7"/>
    <w:rsid w:val="0036405F"/>
    <w:rsid w:val="00366B51"/>
    <w:rsid w:val="00372E0C"/>
    <w:rsid w:val="003760D6"/>
    <w:rsid w:val="0038153A"/>
    <w:rsid w:val="003862ED"/>
    <w:rsid w:val="003A160F"/>
    <w:rsid w:val="003A4876"/>
    <w:rsid w:val="003B6083"/>
    <w:rsid w:val="003D6F87"/>
    <w:rsid w:val="003E1FA4"/>
    <w:rsid w:val="003E499A"/>
    <w:rsid w:val="003E5CD6"/>
    <w:rsid w:val="003E68FE"/>
    <w:rsid w:val="003E773D"/>
    <w:rsid w:val="003F42B1"/>
    <w:rsid w:val="003F6411"/>
    <w:rsid w:val="00410B85"/>
    <w:rsid w:val="00414C93"/>
    <w:rsid w:val="00443FB2"/>
    <w:rsid w:val="004503E8"/>
    <w:rsid w:val="004565C0"/>
    <w:rsid w:val="004623F8"/>
    <w:rsid w:val="00477174"/>
    <w:rsid w:val="004829CC"/>
    <w:rsid w:val="00483B33"/>
    <w:rsid w:val="00485A40"/>
    <w:rsid w:val="00491055"/>
    <w:rsid w:val="00491713"/>
    <w:rsid w:val="0049265A"/>
    <w:rsid w:val="00496E6B"/>
    <w:rsid w:val="004A137C"/>
    <w:rsid w:val="004A340F"/>
    <w:rsid w:val="004A3B65"/>
    <w:rsid w:val="004B2804"/>
    <w:rsid w:val="004B31D6"/>
    <w:rsid w:val="004B32FB"/>
    <w:rsid w:val="004B4D50"/>
    <w:rsid w:val="004F5487"/>
    <w:rsid w:val="00501577"/>
    <w:rsid w:val="00502323"/>
    <w:rsid w:val="0050367C"/>
    <w:rsid w:val="00506C10"/>
    <w:rsid w:val="00510BDE"/>
    <w:rsid w:val="00512383"/>
    <w:rsid w:val="005203ED"/>
    <w:rsid w:val="005216F1"/>
    <w:rsid w:val="00521F7A"/>
    <w:rsid w:val="0052281A"/>
    <w:rsid w:val="005266A2"/>
    <w:rsid w:val="00531307"/>
    <w:rsid w:val="00536C73"/>
    <w:rsid w:val="005425D1"/>
    <w:rsid w:val="0054794E"/>
    <w:rsid w:val="00553E75"/>
    <w:rsid w:val="005557C3"/>
    <w:rsid w:val="00565A19"/>
    <w:rsid w:val="00566D72"/>
    <w:rsid w:val="00580213"/>
    <w:rsid w:val="005A01B4"/>
    <w:rsid w:val="005B16B4"/>
    <w:rsid w:val="005B7B50"/>
    <w:rsid w:val="005C234E"/>
    <w:rsid w:val="005C7A49"/>
    <w:rsid w:val="005C7E58"/>
    <w:rsid w:val="005D1240"/>
    <w:rsid w:val="005E0933"/>
    <w:rsid w:val="005E30D4"/>
    <w:rsid w:val="005E7862"/>
    <w:rsid w:val="005F5D36"/>
    <w:rsid w:val="006216A4"/>
    <w:rsid w:val="00626D38"/>
    <w:rsid w:val="0063048F"/>
    <w:rsid w:val="00656349"/>
    <w:rsid w:val="00662039"/>
    <w:rsid w:val="00663A6C"/>
    <w:rsid w:val="00664CE1"/>
    <w:rsid w:val="00667632"/>
    <w:rsid w:val="00676F53"/>
    <w:rsid w:val="006934E8"/>
    <w:rsid w:val="00693A1B"/>
    <w:rsid w:val="006A3F05"/>
    <w:rsid w:val="006A4B64"/>
    <w:rsid w:val="006A5DA2"/>
    <w:rsid w:val="006B11A2"/>
    <w:rsid w:val="006B18A9"/>
    <w:rsid w:val="006B1DFA"/>
    <w:rsid w:val="006B5C5F"/>
    <w:rsid w:val="006C03C2"/>
    <w:rsid w:val="006C541D"/>
    <w:rsid w:val="006D55D6"/>
    <w:rsid w:val="006E2B9A"/>
    <w:rsid w:val="006F08A3"/>
    <w:rsid w:val="006F1AF8"/>
    <w:rsid w:val="00703261"/>
    <w:rsid w:val="0070486B"/>
    <w:rsid w:val="00713474"/>
    <w:rsid w:val="00721A9F"/>
    <w:rsid w:val="007247E2"/>
    <w:rsid w:val="00726B77"/>
    <w:rsid w:val="00742C1C"/>
    <w:rsid w:val="00744912"/>
    <w:rsid w:val="007508C5"/>
    <w:rsid w:val="00751672"/>
    <w:rsid w:val="00752C5C"/>
    <w:rsid w:val="007572F7"/>
    <w:rsid w:val="00771505"/>
    <w:rsid w:val="00782FB8"/>
    <w:rsid w:val="00787C8D"/>
    <w:rsid w:val="0079165A"/>
    <w:rsid w:val="00795F3C"/>
    <w:rsid w:val="007A0789"/>
    <w:rsid w:val="007A40E0"/>
    <w:rsid w:val="007A41D7"/>
    <w:rsid w:val="007A5771"/>
    <w:rsid w:val="007A5CFB"/>
    <w:rsid w:val="007A5E09"/>
    <w:rsid w:val="007B5675"/>
    <w:rsid w:val="007B6712"/>
    <w:rsid w:val="007C3AE1"/>
    <w:rsid w:val="007C5D54"/>
    <w:rsid w:val="007C62E9"/>
    <w:rsid w:val="007D07CF"/>
    <w:rsid w:val="007E34EC"/>
    <w:rsid w:val="007E44F1"/>
    <w:rsid w:val="007E4FF5"/>
    <w:rsid w:val="007E69E6"/>
    <w:rsid w:val="007F07C2"/>
    <w:rsid w:val="0080122A"/>
    <w:rsid w:val="00807F64"/>
    <w:rsid w:val="00811EC6"/>
    <w:rsid w:val="0081604E"/>
    <w:rsid w:val="0081702E"/>
    <w:rsid w:val="00817246"/>
    <w:rsid w:val="008245C8"/>
    <w:rsid w:val="00833360"/>
    <w:rsid w:val="00836984"/>
    <w:rsid w:val="00840BB1"/>
    <w:rsid w:val="00847F3E"/>
    <w:rsid w:val="00851CF2"/>
    <w:rsid w:val="0085476E"/>
    <w:rsid w:val="00855403"/>
    <w:rsid w:val="008656E8"/>
    <w:rsid w:val="00865CE0"/>
    <w:rsid w:val="00884941"/>
    <w:rsid w:val="008945FD"/>
    <w:rsid w:val="008C0118"/>
    <w:rsid w:val="008C0B9F"/>
    <w:rsid w:val="008E19CA"/>
    <w:rsid w:val="008E6B37"/>
    <w:rsid w:val="008F1C8C"/>
    <w:rsid w:val="00903741"/>
    <w:rsid w:val="00914A1A"/>
    <w:rsid w:val="00917A8C"/>
    <w:rsid w:val="00920E7F"/>
    <w:rsid w:val="00931645"/>
    <w:rsid w:val="0093570F"/>
    <w:rsid w:val="00955B5D"/>
    <w:rsid w:val="00955C62"/>
    <w:rsid w:val="00970842"/>
    <w:rsid w:val="009746C1"/>
    <w:rsid w:val="00975E7E"/>
    <w:rsid w:val="009A7F56"/>
    <w:rsid w:val="009C111E"/>
    <w:rsid w:val="009C440A"/>
    <w:rsid w:val="009D1F5A"/>
    <w:rsid w:val="009E16DC"/>
    <w:rsid w:val="00A1002F"/>
    <w:rsid w:val="00A1768B"/>
    <w:rsid w:val="00A41C65"/>
    <w:rsid w:val="00A53EFE"/>
    <w:rsid w:val="00A54112"/>
    <w:rsid w:val="00A62B29"/>
    <w:rsid w:val="00A76CC7"/>
    <w:rsid w:val="00A87BC1"/>
    <w:rsid w:val="00A921D3"/>
    <w:rsid w:val="00A94469"/>
    <w:rsid w:val="00A94921"/>
    <w:rsid w:val="00AA13CD"/>
    <w:rsid w:val="00AA223F"/>
    <w:rsid w:val="00AB2826"/>
    <w:rsid w:val="00AB3020"/>
    <w:rsid w:val="00AB78B9"/>
    <w:rsid w:val="00AC45B7"/>
    <w:rsid w:val="00AD15D6"/>
    <w:rsid w:val="00AD2094"/>
    <w:rsid w:val="00AD7D43"/>
    <w:rsid w:val="00AF1432"/>
    <w:rsid w:val="00B02716"/>
    <w:rsid w:val="00B07C1F"/>
    <w:rsid w:val="00B122E0"/>
    <w:rsid w:val="00B12778"/>
    <w:rsid w:val="00B238AD"/>
    <w:rsid w:val="00B24027"/>
    <w:rsid w:val="00B24644"/>
    <w:rsid w:val="00B2784B"/>
    <w:rsid w:val="00B32124"/>
    <w:rsid w:val="00B33F56"/>
    <w:rsid w:val="00B40EED"/>
    <w:rsid w:val="00B41A2A"/>
    <w:rsid w:val="00B50244"/>
    <w:rsid w:val="00B50569"/>
    <w:rsid w:val="00B52CE6"/>
    <w:rsid w:val="00B64C5B"/>
    <w:rsid w:val="00B73ABF"/>
    <w:rsid w:val="00B81559"/>
    <w:rsid w:val="00B827A6"/>
    <w:rsid w:val="00B92085"/>
    <w:rsid w:val="00BB65A3"/>
    <w:rsid w:val="00BB7725"/>
    <w:rsid w:val="00BC60F3"/>
    <w:rsid w:val="00BD4E75"/>
    <w:rsid w:val="00BF57F5"/>
    <w:rsid w:val="00BF6823"/>
    <w:rsid w:val="00C03160"/>
    <w:rsid w:val="00C06490"/>
    <w:rsid w:val="00C139E4"/>
    <w:rsid w:val="00C2201D"/>
    <w:rsid w:val="00C22102"/>
    <w:rsid w:val="00C23109"/>
    <w:rsid w:val="00C231B8"/>
    <w:rsid w:val="00C73220"/>
    <w:rsid w:val="00C769FD"/>
    <w:rsid w:val="00C8217C"/>
    <w:rsid w:val="00C9443F"/>
    <w:rsid w:val="00C97577"/>
    <w:rsid w:val="00CA5375"/>
    <w:rsid w:val="00CA75EF"/>
    <w:rsid w:val="00CB22A6"/>
    <w:rsid w:val="00CB3638"/>
    <w:rsid w:val="00CB3946"/>
    <w:rsid w:val="00CD1F50"/>
    <w:rsid w:val="00CD2BED"/>
    <w:rsid w:val="00CD7998"/>
    <w:rsid w:val="00CE03C1"/>
    <w:rsid w:val="00CE22E2"/>
    <w:rsid w:val="00D20081"/>
    <w:rsid w:val="00D24AF7"/>
    <w:rsid w:val="00D40B8A"/>
    <w:rsid w:val="00D5078D"/>
    <w:rsid w:val="00D50F54"/>
    <w:rsid w:val="00D60BFE"/>
    <w:rsid w:val="00D63503"/>
    <w:rsid w:val="00D700B2"/>
    <w:rsid w:val="00D7595A"/>
    <w:rsid w:val="00D805BB"/>
    <w:rsid w:val="00D8361B"/>
    <w:rsid w:val="00D8533F"/>
    <w:rsid w:val="00D86AFE"/>
    <w:rsid w:val="00DB567E"/>
    <w:rsid w:val="00DF0AF6"/>
    <w:rsid w:val="00E00AFA"/>
    <w:rsid w:val="00E01336"/>
    <w:rsid w:val="00E13E42"/>
    <w:rsid w:val="00E23894"/>
    <w:rsid w:val="00E41318"/>
    <w:rsid w:val="00E52773"/>
    <w:rsid w:val="00E56010"/>
    <w:rsid w:val="00E5617B"/>
    <w:rsid w:val="00E57B1E"/>
    <w:rsid w:val="00E64065"/>
    <w:rsid w:val="00E77562"/>
    <w:rsid w:val="00E81E1C"/>
    <w:rsid w:val="00E909D1"/>
    <w:rsid w:val="00E9361B"/>
    <w:rsid w:val="00EA0941"/>
    <w:rsid w:val="00EA61A9"/>
    <w:rsid w:val="00EC509E"/>
    <w:rsid w:val="00EC5666"/>
    <w:rsid w:val="00EC5C59"/>
    <w:rsid w:val="00ED1B77"/>
    <w:rsid w:val="00ED4DA2"/>
    <w:rsid w:val="00ED74E2"/>
    <w:rsid w:val="00EE2AAD"/>
    <w:rsid w:val="00EF211E"/>
    <w:rsid w:val="00F02C6F"/>
    <w:rsid w:val="00F06E9D"/>
    <w:rsid w:val="00F24C88"/>
    <w:rsid w:val="00F3062A"/>
    <w:rsid w:val="00F3068C"/>
    <w:rsid w:val="00F424F9"/>
    <w:rsid w:val="00F47319"/>
    <w:rsid w:val="00F52F75"/>
    <w:rsid w:val="00F571E9"/>
    <w:rsid w:val="00F64020"/>
    <w:rsid w:val="00F74AFE"/>
    <w:rsid w:val="00F80EF2"/>
    <w:rsid w:val="00F81995"/>
    <w:rsid w:val="00F82E36"/>
    <w:rsid w:val="00FA09BF"/>
    <w:rsid w:val="00FA5AB6"/>
    <w:rsid w:val="00FC63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7E94976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2E0C"/>
    <w:rPr>
      <w:rFonts w:ascii="Times New Roman" w:eastAsia="Times New Roman" w:hAnsi="Times New Roman"/>
      <w:sz w:val="24"/>
      <w:szCs w:val="24"/>
    </w:rPr>
  </w:style>
  <w:style w:type="paragraph" w:styleId="Heading1">
    <w:name w:val="heading 1"/>
    <w:basedOn w:val="Normal"/>
    <w:next w:val="Normal"/>
    <w:link w:val="Heading1Char"/>
    <w:uiPriority w:val="9"/>
    <w:qFormat/>
    <w:rsid w:val="00FA5AB6"/>
    <w:pPr>
      <w:keepNext/>
      <w:keepLines/>
      <w:spacing w:before="480"/>
      <w:outlineLvl w:val="0"/>
    </w:pPr>
    <w:rPr>
      <w:rFonts w:ascii="Garamond" w:eastAsia="MS Gothic" w:hAnsi="Garamond"/>
      <w:b/>
      <w:bCs/>
      <w:color w:val="345A8A"/>
      <w:szCs w:val="32"/>
      <w:lang w:val="en-GB" w:eastAsia="ja-JP"/>
    </w:rPr>
  </w:style>
  <w:style w:type="paragraph" w:styleId="Heading3">
    <w:name w:val="heading 3"/>
    <w:basedOn w:val="Normal"/>
    <w:next w:val="Normal"/>
    <w:link w:val="Heading3Char"/>
    <w:uiPriority w:val="9"/>
    <w:semiHidden/>
    <w:unhideWhenUsed/>
    <w:qFormat/>
    <w:rsid w:val="00752C5C"/>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372E0C"/>
    <w:rPr>
      <w:sz w:val="16"/>
      <w:szCs w:val="16"/>
    </w:rPr>
  </w:style>
  <w:style w:type="paragraph" w:styleId="CommentText">
    <w:name w:val="annotation text"/>
    <w:basedOn w:val="Normal"/>
    <w:link w:val="CommentTextChar"/>
    <w:uiPriority w:val="99"/>
    <w:semiHidden/>
    <w:unhideWhenUsed/>
    <w:rsid w:val="00372E0C"/>
    <w:rPr>
      <w:sz w:val="20"/>
      <w:szCs w:val="20"/>
      <w:lang w:val="x-none" w:eastAsia="x-none"/>
    </w:rPr>
  </w:style>
  <w:style w:type="character" w:customStyle="1" w:styleId="CommentTextChar">
    <w:name w:val="Comment Text Char"/>
    <w:link w:val="CommentText"/>
    <w:uiPriority w:val="99"/>
    <w:semiHidden/>
    <w:rsid w:val="00372E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72E0C"/>
    <w:rPr>
      <w:b/>
      <w:bCs/>
    </w:rPr>
  </w:style>
  <w:style w:type="character" w:customStyle="1" w:styleId="CommentSubjectChar">
    <w:name w:val="Comment Subject Char"/>
    <w:link w:val="CommentSubject"/>
    <w:uiPriority w:val="99"/>
    <w:semiHidden/>
    <w:rsid w:val="00372E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372E0C"/>
    <w:rPr>
      <w:rFonts w:ascii="Tahoma" w:hAnsi="Tahoma"/>
      <w:sz w:val="16"/>
      <w:szCs w:val="16"/>
      <w:lang w:val="x-none" w:eastAsia="x-none"/>
    </w:rPr>
  </w:style>
  <w:style w:type="character" w:customStyle="1" w:styleId="BalloonTextChar">
    <w:name w:val="Balloon Text Char"/>
    <w:link w:val="BalloonText"/>
    <w:uiPriority w:val="99"/>
    <w:semiHidden/>
    <w:rsid w:val="00372E0C"/>
    <w:rPr>
      <w:rFonts w:ascii="Tahoma" w:eastAsia="Times New Roman" w:hAnsi="Tahoma" w:cs="Tahoma"/>
      <w:sz w:val="16"/>
      <w:szCs w:val="16"/>
    </w:rPr>
  </w:style>
  <w:style w:type="paragraph" w:styleId="Header">
    <w:name w:val="header"/>
    <w:basedOn w:val="Normal"/>
    <w:link w:val="HeaderChar"/>
    <w:uiPriority w:val="99"/>
    <w:unhideWhenUsed/>
    <w:rsid w:val="00B92085"/>
    <w:pPr>
      <w:tabs>
        <w:tab w:val="center" w:pos="4680"/>
        <w:tab w:val="right" w:pos="9360"/>
      </w:tabs>
    </w:pPr>
  </w:style>
  <w:style w:type="character" w:customStyle="1" w:styleId="HeaderChar">
    <w:name w:val="Header Char"/>
    <w:basedOn w:val="DefaultParagraphFont"/>
    <w:link w:val="Header"/>
    <w:uiPriority w:val="99"/>
    <w:rsid w:val="00B92085"/>
    <w:rPr>
      <w:rFonts w:ascii="Times New Roman" w:eastAsia="Times New Roman" w:hAnsi="Times New Roman"/>
      <w:sz w:val="24"/>
      <w:szCs w:val="24"/>
    </w:rPr>
  </w:style>
  <w:style w:type="paragraph" w:styleId="Footer">
    <w:name w:val="footer"/>
    <w:basedOn w:val="Normal"/>
    <w:link w:val="FooterChar"/>
    <w:uiPriority w:val="99"/>
    <w:unhideWhenUsed/>
    <w:rsid w:val="00B92085"/>
    <w:pPr>
      <w:tabs>
        <w:tab w:val="center" w:pos="4680"/>
        <w:tab w:val="right" w:pos="9360"/>
      </w:tabs>
    </w:pPr>
  </w:style>
  <w:style w:type="character" w:customStyle="1" w:styleId="FooterChar">
    <w:name w:val="Footer Char"/>
    <w:basedOn w:val="DefaultParagraphFont"/>
    <w:link w:val="Footer"/>
    <w:uiPriority w:val="99"/>
    <w:semiHidden/>
    <w:rsid w:val="00B92085"/>
    <w:rPr>
      <w:rFonts w:ascii="Times New Roman" w:eastAsia="Times New Roman" w:hAnsi="Times New Roman"/>
      <w:sz w:val="24"/>
      <w:szCs w:val="24"/>
    </w:rPr>
  </w:style>
  <w:style w:type="character" w:customStyle="1" w:styleId="Heading1Char">
    <w:name w:val="Heading 1 Char"/>
    <w:basedOn w:val="DefaultParagraphFont"/>
    <w:link w:val="Heading1"/>
    <w:uiPriority w:val="9"/>
    <w:rsid w:val="00FA5AB6"/>
    <w:rPr>
      <w:rFonts w:ascii="Garamond" w:eastAsia="MS Gothic" w:hAnsi="Garamond"/>
      <w:b/>
      <w:bCs/>
      <w:color w:val="345A8A"/>
      <w:sz w:val="24"/>
      <w:szCs w:val="32"/>
      <w:lang w:val="en-GB" w:eastAsia="ja-JP"/>
    </w:rPr>
  </w:style>
  <w:style w:type="paragraph" w:styleId="ListParagraph">
    <w:name w:val="List Paragraph"/>
    <w:basedOn w:val="Normal"/>
    <w:uiPriority w:val="34"/>
    <w:qFormat/>
    <w:rsid w:val="00FA5AB6"/>
    <w:pPr>
      <w:ind w:left="720"/>
      <w:contextualSpacing/>
    </w:pPr>
    <w:rPr>
      <w:rFonts w:eastAsia="MS Mincho"/>
      <w:sz w:val="22"/>
      <w:lang w:val="en-GB" w:eastAsia="ja-JP"/>
    </w:rPr>
  </w:style>
  <w:style w:type="character" w:styleId="Hyperlink">
    <w:name w:val="Hyperlink"/>
    <w:basedOn w:val="DefaultParagraphFont"/>
    <w:uiPriority w:val="99"/>
    <w:unhideWhenUsed/>
    <w:rsid w:val="00FA5AB6"/>
    <w:rPr>
      <w:color w:val="0000FF"/>
      <w:u w:val="single"/>
    </w:rPr>
  </w:style>
  <w:style w:type="paragraph" w:styleId="TOCHeading">
    <w:name w:val="TOC Heading"/>
    <w:basedOn w:val="TOC1"/>
    <w:next w:val="Normal"/>
    <w:uiPriority w:val="39"/>
    <w:unhideWhenUsed/>
    <w:qFormat/>
    <w:rsid w:val="00FA5AB6"/>
  </w:style>
  <w:style w:type="paragraph" w:styleId="TOC1">
    <w:name w:val="toc 1"/>
    <w:basedOn w:val="Heading1"/>
    <w:next w:val="Normal"/>
    <w:autoRedefine/>
    <w:uiPriority w:val="39"/>
    <w:unhideWhenUsed/>
    <w:rsid w:val="00FA5AB6"/>
    <w:pPr>
      <w:keepNext w:val="0"/>
      <w:keepLines w:val="0"/>
      <w:tabs>
        <w:tab w:val="left" w:pos="450"/>
        <w:tab w:val="left" w:pos="522"/>
        <w:tab w:val="right" w:leader="dot" w:pos="9350"/>
      </w:tabs>
      <w:spacing w:before="120"/>
      <w:outlineLvl w:val="9"/>
    </w:pPr>
    <w:rPr>
      <w:rFonts w:ascii="Cambria" w:eastAsia="MS Mincho" w:hAnsi="Cambria"/>
      <w:bCs w:val="0"/>
      <w:caps/>
      <w:color w:val="auto"/>
      <w:sz w:val="22"/>
      <w:szCs w:val="22"/>
    </w:rPr>
  </w:style>
  <w:style w:type="paragraph" w:styleId="PlainText">
    <w:name w:val="Plain Text"/>
    <w:basedOn w:val="Normal"/>
    <w:link w:val="PlainTextChar"/>
    <w:uiPriority w:val="99"/>
    <w:semiHidden/>
    <w:rsid w:val="00CE22E2"/>
    <w:rPr>
      <w:rFonts w:ascii="Calibri" w:hAnsi="Calibri"/>
      <w:color w:val="000000"/>
      <w:sz w:val="21"/>
      <w:szCs w:val="20"/>
      <w:lang w:val="da-DK" w:eastAsia="da-DK"/>
    </w:rPr>
  </w:style>
  <w:style w:type="character" w:customStyle="1" w:styleId="PlainTextChar">
    <w:name w:val="Plain Text Char"/>
    <w:basedOn w:val="DefaultParagraphFont"/>
    <w:link w:val="PlainText"/>
    <w:uiPriority w:val="99"/>
    <w:semiHidden/>
    <w:rsid w:val="00CE22E2"/>
    <w:rPr>
      <w:rFonts w:eastAsia="Times New Roman"/>
      <w:color w:val="000000"/>
      <w:sz w:val="21"/>
      <w:lang w:val="da-DK" w:eastAsia="da-DK"/>
    </w:rPr>
  </w:style>
  <w:style w:type="paragraph" w:customStyle="1" w:styleId="Default">
    <w:name w:val="Default"/>
    <w:rsid w:val="00CE22E2"/>
    <w:pPr>
      <w:autoSpaceDE w:val="0"/>
      <w:autoSpaceDN w:val="0"/>
      <w:adjustRightInd w:val="0"/>
    </w:pPr>
    <w:rPr>
      <w:rFonts w:ascii="Garamond" w:hAnsi="Garamond" w:cs="Garamond"/>
      <w:color w:val="000000"/>
      <w:sz w:val="24"/>
      <w:szCs w:val="24"/>
      <w:lang w:val="da-DK" w:eastAsia="da-DK"/>
    </w:rPr>
  </w:style>
  <w:style w:type="character" w:styleId="PageNumber">
    <w:name w:val="page number"/>
    <w:basedOn w:val="DefaultParagraphFont"/>
    <w:uiPriority w:val="99"/>
    <w:rsid w:val="00CE22E2"/>
    <w:rPr>
      <w:rFonts w:cs="Times New Roman"/>
    </w:rPr>
  </w:style>
  <w:style w:type="character" w:customStyle="1" w:styleId="Heading3Char">
    <w:name w:val="Heading 3 Char"/>
    <w:basedOn w:val="DefaultParagraphFont"/>
    <w:link w:val="Heading3"/>
    <w:uiPriority w:val="9"/>
    <w:rsid w:val="00752C5C"/>
    <w:rPr>
      <w:rFonts w:ascii="Cambria" w:eastAsia="Times New Roman" w:hAnsi="Cambria" w:cs="Times New Roman"/>
      <w:b/>
      <w:bCs/>
      <w:sz w:val="26"/>
      <w:szCs w:val="26"/>
    </w:rPr>
  </w:style>
  <w:style w:type="paragraph" w:styleId="FootnoteText">
    <w:name w:val="footnote text"/>
    <w:basedOn w:val="Normal"/>
    <w:link w:val="FootnoteTextChar"/>
    <w:uiPriority w:val="99"/>
    <w:semiHidden/>
    <w:rsid w:val="00752C5C"/>
    <w:rPr>
      <w:sz w:val="20"/>
      <w:szCs w:val="20"/>
      <w:lang w:val="en-GB" w:eastAsia="en-GB"/>
    </w:rPr>
  </w:style>
  <w:style w:type="character" w:customStyle="1" w:styleId="FootnoteTextChar">
    <w:name w:val="Footnote Text Char"/>
    <w:basedOn w:val="DefaultParagraphFont"/>
    <w:link w:val="FootnoteText"/>
    <w:uiPriority w:val="99"/>
    <w:semiHidden/>
    <w:rsid w:val="00752C5C"/>
    <w:rPr>
      <w:rFonts w:ascii="Times New Roman" w:eastAsia="Times New Roman" w:hAnsi="Times New Roman"/>
      <w:lang w:val="en-GB" w:eastAsia="en-GB"/>
    </w:rPr>
  </w:style>
  <w:style w:type="character" w:styleId="FootnoteReference">
    <w:name w:val="footnote reference"/>
    <w:semiHidden/>
    <w:rsid w:val="00752C5C"/>
    <w:rPr>
      <w:vertAlign w:val="superscript"/>
    </w:rPr>
  </w:style>
  <w:style w:type="table" w:styleId="TableGrid">
    <w:name w:val="Table Grid"/>
    <w:basedOn w:val="TableNormal"/>
    <w:uiPriority w:val="59"/>
    <w:rsid w:val="00914A1A"/>
    <w:rPr>
      <w:rFonts w:asciiTheme="minorHAnsi" w:eastAsiaTheme="minorEastAsia" w:hAnsiTheme="minorHAnsi" w:cstheme="minorBidi"/>
      <w:b/>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14A1A"/>
    <w:rPr>
      <w:rFonts w:asciiTheme="minorHAnsi" w:eastAsia="Times New Roman" w:hAnsiTheme="minorHAnsi" w:cstheme="minorBidi"/>
      <w:b/>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914A1A"/>
    <w:rPr>
      <w:rFonts w:asciiTheme="minorHAnsi" w:eastAsiaTheme="minorEastAsia" w:hAnsiTheme="minorHAnsi" w:cstheme="minorBidi"/>
      <w:b/>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914A1A"/>
    <w:rPr>
      <w:rFonts w:asciiTheme="minorHAnsi" w:eastAsia="Times New Roman" w:hAnsiTheme="minorHAnsi" w:cstheme="minorBidi"/>
      <w:b/>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914A1A"/>
    <w:rPr>
      <w:rFonts w:asciiTheme="minorHAnsi" w:eastAsiaTheme="minorEastAsia" w:hAnsiTheme="minorHAnsi" w:cstheme="minorBidi"/>
      <w:b/>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914A1A"/>
    <w:rPr>
      <w:rFonts w:asciiTheme="minorHAnsi" w:eastAsia="Times New Roman" w:hAnsiTheme="minorHAnsi" w:cstheme="minorBidi"/>
      <w:b/>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7A0789"/>
    <w:rPr>
      <w:rFonts w:asciiTheme="minorHAnsi" w:eastAsiaTheme="minorEastAsia" w:hAnsiTheme="minorHAnsi" w:cstheme="minorBidi"/>
      <w:b/>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52F75"/>
    <w:pPr>
      <w:spacing w:before="100" w:beforeAutospacing="1" w:after="100" w:afterAutospacing="1"/>
    </w:pPr>
  </w:style>
  <w:style w:type="character" w:customStyle="1" w:styleId="apple-converted-space">
    <w:name w:val="apple-converted-space"/>
    <w:basedOn w:val="DefaultParagraphFont"/>
    <w:rsid w:val="00F52F7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2E0C"/>
    <w:rPr>
      <w:rFonts w:ascii="Times New Roman" w:eastAsia="Times New Roman" w:hAnsi="Times New Roman"/>
      <w:sz w:val="24"/>
      <w:szCs w:val="24"/>
    </w:rPr>
  </w:style>
  <w:style w:type="paragraph" w:styleId="Heading1">
    <w:name w:val="heading 1"/>
    <w:basedOn w:val="Normal"/>
    <w:next w:val="Normal"/>
    <w:link w:val="Heading1Char"/>
    <w:uiPriority w:val="9"/>
    <w:qFormat/>
    <w:rsid w:val="00FA5AB6"/>
    <w:pPr>
      <w:keepNext/>
      <w:keepLines/>
      <w:spacing w:before="480"/>
      <w:outlineLvl w:val="0"/>
    </w:pPr>
    <w:rPr>
      <w:rFonts w:ascii="Garamond" w:eastAsia="MS Gothic" w:hAnsi="Garamond"/>
      <w:b/>
      <w:bCs/>
      <w:color w:val="345A8A"/>
      <w:szCs w:val="32"/>
      <w:lang w:val="en-GB" w:eastAsia="ja-JP"/>
    </w:rPr>
  </w:style>
  <w:style w:type="paragraph" w:styleId="Heading3">
    <w:name w:val="heading 3"/>
    <w:basedOn w:val="Normal"/>
    <w:next w:val="Normal"/>
    <w:link w:val="Heading3Char"/>
    <w:uiPriority w:val="9"/>
    <w:semiHidden/>
    <w:unhideWhenUsed/>
    <w:qFormat/>
    <w:rsid w:val="00752C5C"/>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372E0C"/>
    <w:rPr>
      <w:sz w:val="16"/>
      <w:szCs w:val="16"/>
    </w:rPr>
  </w:style>
  <w:style w:type="paragraph" w:styleId="CommentText">
    <w:name w:val="annotation text"/>
    <w:basedOn w:val="Normal"/>
    <w:link w:val="CommentTextChar"/>
    <w:uiPriority w:val="99"/>
    <w:semiHidden/>
    <w:unhideWhenUsed/>
    <w:rsid w:val="00372E0C"/>
    <w:rPr>
      <w:sz w:val="20"/>
      <w:szCs w:val="20"/>
      <w:lang w:val="x-none" w:eastAsia="x-none"/>
    </w:rPr>
  </w:style>
  <w:style w:type="character" w:customStyle="1" w:styleId="CommentTextChar">
    <w:name w:val="Comment Text Char"/>
    <w:link w:val="CommentText"/>
    <w:uiPriority w:val="99"/>
    <w:semiHidden/>
    <w:rsid w:val="00372E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72E0C"/>
    <w:rPr>
      <w:b/>
      <w:bCs/>
    </w:rPr>
  </w:style>
  <w:style w:type="character" w:customStyle="1" w:styleId="CommentSubjectChar">
    <w:name w:val="Comment Subject Char"/>
    <w:link w:val="CommentSubject"/>
    <w:uiPriority w:val="99"/>
    <w:semiHidden/>
    <w:rsid w:val="00372E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372E0C"/>
    <w:rPr>
      <w:rFonts w:ascii="Tahoma" w:hAnsi="Tahoma"/>
      <w:sz w:val="16"/>
      <w:szCs w:val="16"/>
      <w:lang w:val="x-none" w:eastAsia="x-none"/>
    </w:rPr>
  </w:style>
  <w:style w:type="character" w:customStyle="1" w:styleId="BalloonTextChar">
    <w:name w:val="Balloon Text Char"/>
    <w:link w:val="BalloonText"/>
    <w:uiPriority w:val="99"/>
    <w:semiHidden/>
    <w:rsid w:val="00372E0C"/>
    <w:rPr>
      <w:rFonts w:ascii="Tahoma" w:eastAsia="Times New Roman" w:hAnsi="Tahoma" w:cs="Tahoma"/>
      <w:sz w:val="16"/>
      <w:szCs w:val="16"/>
    </w:rPr>
  </w:style>
  <w:style w:type="paragraph" w:styleId="Header">
    <w:name w:val="header"/>
    <w:basedOn w:val="Normal"/>
    <w:link w:val="HeaderChar"/>
    <w:uiPriority w:val="99"/>
    <w:unhideWhenUsed/>
    <w:rsid w:val="00B92085"/>
    <w:pPr>
      <w:tabs>
        <w:tab w:val="center" w:pos="4680"/>
        <w:tab w:val="right" w:pos="9360"/>
      </w:tabs>
    </w:pPr>
  </w:style>
  <w:style w:type="character" w:customStyle="1" w:styleId="HeaderChar">
    <w:name w:val="Header Char"/>
    <w:basedOn w:val="DefaultParagraphFont"/>
    <w:link w:val="Header"/>
    <w:uiPriority w:val="99"/>
    <w:rsid w:val="00B92085"/>
    <w:rPr>
      <w:rFonts w:ascii="Times New Roman" w:eastAsia="Times New Roman" w:hAnsi="Times New Roman"/>
      <w:sz w:val="24"/>
      <w:szCs w:val="24"/>
    </w:rPr>
  </w:style>
  <w:style w:type="paragraph" w:styleId="Footer">
    <w:name w:val="footer"/>
    <w:basedOn w:val="Normal"/>
    <w:link w:val="FooterChar"/>
    <w:uiPriority w:val="99"/>
    <w:unhideWhenUsed/>
    <w:rsid w:val="00B92085"/>
    <w:pPr>
      <w:tabs>
        <w:tab w:val="center" w:pos="4680"/>
        <w:tab w:val="right" w:pos="9360"/>
      </w:tabs>
    </w:pPr>
  </w:style>
  <w:style w:type="character" w:customStyle="1" w:styleId="FooterChar">
    <w:name w:val="Footer Char"/>
    <w:basedOn w:val="DefaultParagraphFont"/>
    <w:link w:val="Footer"/>
    <w:uiPriority w:val="99"/>
    <w:semiHidden/>
    <w:rsid w:val="00B92085"/>
    <w:rPr>
      <w:rFonts w:ascii="Times New Roman" w:eastAsia="Times New Roman" w:hAnsi="Times New Roman"/>
      <w:sz w:val="24"/>
      <w:szCs w:val="24"/>
    </w:rPr>
  </w:style>
  <w:style w:type="character" w:customStyle="1" w:styleId="Heading1Char">
    <w:name w:val="Heading 1 Char"/>
    <w:basedOn w:val="DefaultParagraphFont"/>
    <w:link w:val="Heading1"/>
    <w:uiPriority w:val="9"/>
    <w:rsid w:val="00FA5AB6"/>
    <w:rPr>
      <w:rFonts w:ascii="Garamond" w:eastAsia="MS Gothic" w:hAnsi="Garamond"/>
      <w:b/>
      <w:bCs/>
      <w:color w:val="345A8A"/>
      <w:sz w:val="24"/>
      <w:szCs w:val="32"/>
      <w:lang w:val="en-GB" w:eastAsia="ja-JP"/>
    </w:rPr>
  </w:style>
  <w:style w:type="paragraph" w:styleId="ListParagraph">
    <w:name w:val="List Paragraph"/>
    <w:basedOn w:val="Normal"/>
    <w:uiPriority w:val="34"/>
    <w:qFormat/>
    <w:rsid w:val="00FA5AB6"/>
    <w:pPr>
      <w:ind w:left="720"/>
      <w:contextualSpacing/>
    </w:pPr>
    <w:rPr>
      <w:rFonts w:eastAsia="MS Mincho"/>
      <w:sz w:val="22"/>
      <w:lang w:val="en-GB" w:eastAsia="ja-JP"/>
    </w:rPr>
  </w:style>
  <w:style w:type="character" w:styleId="Hyperlink">
    <w:name w:val="Hyperlink"/>
    <w:basedOn w:val="DefaultParagraphFont"/>
    <w:uiPriority w:val="99"/>
    <w:unhideWhenUsed/>
    <w:rsid w:val="00FA5AB6"/>
    <w:rPr>
      <w:color w:val="0000FF"/>
      <w:u w:val="single"/>
    </w:rPr>
  </w:style>
  <w:style w:type="paragraph" w:styleId="TOCHeading">
    <w:name w:val="TOC Heading"/>
    <w:basedOn w:val="TOC1"/>
    <w:next w:val="Normal"/>
    <w:uiPriority w:val="39"/>
    <w:unhideWhenUsed/>
    <w:qFormat/>
    <w:rsid w:val="00FA5AB6"/>
  </w:style>
  <w:style w:type="paragraph" w:styleId="TOC1">
    <w:name w:val="toc 1"/>
    <w:basedOn w:val="Heading1"/>
    <w:next w:val="Normal"/>
    <w:autoRedefine/>
    <w:uiPriority w:val="39"/>
    <w:unhideWhenUsed/>
    <w:rsid w:val="00FA5AB6"/>
    <w:pPr>
      <w:keepNext w:val="0"/>
      <w:keepLines w:val="0"/>
      <w:tabs>
        <w:tab w:val="left" w:pos="450"/>
        <w:tab w:val="left" w:pos="522"/>
        <w:tab w:val="right" w:leader="dot" w:pos="9350"/>
      </w:tabs>
      <w:spacing w:before="120"/>
      <w:outlineLvl w:val="9"/>
    </w:pPr>
    <w:rPr>
      <w:rFonts w:ascii="Cambria" w:eastAsia="MS Mincho" w:hAnsi="Cambria"/>
      <w:bCs w:val="0"/>
      <w:caps/>
      <w:color w:val="auto"/>
      <w:sz w:val="22"/>
      <w:szCs w:val="22"/>
    </w:rPr>
  </w:style>
  <w:style w:type="paragraph" w:styleId="PlainText">
    <w:name w:val="Plain Text"/>
    <w:basedOn w:val="Normal"/>
    <w:link w:val="PlainTextChar"/>
    <w:uiPriority w:val="99"/>
    <w:semiHidden/>
    <w:rsid w:val="00CE22E2"/>
    <w:rPr>
      <w:rFonts w:ascii="Calibri" w:hAnsi="Calibri"/>
      <w:color w:val="000000"/>
      <w:sz w:val="21"/>
      <w:szCs w:val="20"/>
      <w:lang w:val="da-DK" w:eastAsia="da-DK"/>
    </w:rPr>
  </w:style>
  <w:style w:type="character" w:customStyle="1" w:styleId="PlainTextChar">
    <w:name w:val="Plain Text Char"/>
    <w:basedOn w:val="DefaultParagraphFont"/>
    <w:link w:val="PlainText"/>
    <w:uiPriority w:val="99"/>
    <w:semiHidden/>
    <w:rsid w:val="00CE22E2"/>
    <w:rPr>
      <w:rFonts w:eastAsia="Times New Roman"/>
      <w:color w:val="000000"/>
      <w:sz w:val="21"/>
      <w:lang w:val="da-DK" w:eastAsia="da-DK"/>
    </w:rPr>
  </w:style>
  <w:style w:type="paragraph" w:customStyle="1" w:styleId="Default">
    <w:name w:val="Default"/>
    <w:rsid w:val="00CE22E2"/>
    <w:pPr>
      <w:autoSpaceDE w:val="0"/>
      <w:autoSpaceDN w:val="0"/>
      <w:adjustRightInd w:val="0"/>
    </w:pPr>
    <w:rPr>
      <w:rFonts w:ascii="Garamond" w:hAnsi="Garamond" w:cs="Garamond"/>
      <w:color w:val="000000"/>
      <w:sz w:val="24"/>
      <w:szCs w:val="24"/>
      <w:lang w:val="da-DK" w:eastAsia="da-DK"/>
    </w:rPr>
  </w:style>
  <w:style w:type="character" w:styleId="PageNumber">
    <w:name w:val="page number"/>
    <w:basedOn w:val="DefaultParagraphFont"/>
    <w:uiPriority w:val="99"/>
    <w:rsid w:val="00CE22E2"/>
    <w:rPr>
      <w:rFonts w:cs="Times New Roman"/>
    </w:rPr>
  </w:style>
  <w:style w:type="character" w:customStyle="1" w:styleId="Heading3Char">
    <w:name w:val="Heading 3 Char"/>
    <w:basedOn w:val="DefaultParagraphFont"/>
    <w:link w:val="Heading3"/>
    <w:uiPriority w:val="9"/>
    <w:rsid w:val="00752C5C"/>
    <w:rPr>
      <w:rFonts w:ascii="Cambria" w:eastAsia="Times New Roman" w:hAnsi="Cambria" w:cs="Times New Roman"/>
      <w:b/>
      <w:bCs/>
      <w:sz w:val="26"/>
      <w:szCs w:val="26"/>
    </w:rPr>
  </w:style>
  <w:style w:type="paragraph" w:styleId="FootnoteText">
    <w:name w:val="footnote text"/>
    <w:basedOn w:val="Normal"/>
    <w:link w:val="FootnoteTextChar"/>
    <w:uiPriority w:val="99"/>
    <w:semiHidden/>
    <w:rsid w:val="00752C5C"/>
    <w:rPr>
      <w:sz w:val="20"/>
      <w:szCs w:val="20"/>
      <w:lang w:val="en-GB" w:eastAsia="en-GB"/>
    </w:rPr>
  </w:style>
  <w:style w:type="character" w:customStyle="1" w:styleId="FootnoteTextChar">
    <w:name w:val="Footnote Text Char"/>
    <w:basedOn w:val="DefaultParagraphFont"/>
    <w:link w:val="FootnoteText"/>
    <w:uiPriority w:val="99"/>
    <w:semiHidden/>
    <w:rsid w:val="00752C5C"/>
    <w:rPr>
      <w:rFonts w:ascii="Times New Roman" w:eastAsia="Times New Roman" w:hAnsi="Times New Roman"/>
      <w:lang w:val="en-GB" w:eastAsia="en-GB"/>
    </w:rPr>
  </w:style>
  <w:style w:type="character" w:styleId="FootnoteReference">
    <w:name w:val="footnote reference"/>
    <w:semiHidden/>
    <w:rsid w:val="00752C5C"/>
    <w:rPr>
      <w:vertAlign w:val="superscript"/>
    </w:rPr>
  </w:style>
  <w:style w:type="table" w:styleId="TableGrid">
    <w:name w:val="Table Grid"/>
    <w:basedOn w:val="TableNormal"/>
    <w:uiPriority w:val="59"/>
    <w:rsid w:val="00914A1A"/>
    <w:rPr>
      <w:rFonts w:asciiTheme="minorHAnsi" w:eastAsiaTheme="minorEastAsia" w:hAnsiTheme="minorHAnsi" w:cstheme="minorBidi"/>
      <w:b/>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14A1A"/>
    <w:rPr>
      <w:rFonts w:asciiTheme="minorHAnsi" w:eastAsia="Times New Roman" w:hAnsiTheme="minorHAnsi" w:cstheme="minorBidi"/>
      <w:b/>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914A1A"/>
    <w:rPr>
      <w:rFonts w:asciiTheme="minorHAnsi" w:eastAsiaTheme="minorEastAsia" w:hAnsiTheme="minorHAnsi" w:cstheme="minorBidi"/>
      <w:b/>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914A1A"/>
    <w:rPr>
      <w:rFonts w:asciiTheme="minorHAnsi" w:eastAsia="Times New Roman" w:hAnsiTheme="minorHAnsi" w:cstheme="minorBidi"/>
      <w:b/>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914A1A"/>
    <w:rPr>
      <w:rFonts w:asciiTheme="minorHAnsi" w:eastAsiaTheme="minorEastAsia" w:hAnsiTheme="minorHAnsi" w:cstheme="minorBidi"/>
      <w:b/>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914A1A"/>
    <w:rPr>
      <w:rFonts w:asciiTheme="minorHAnsi" w:eastAsia="Times New Roman" w:hAnsiTheme="minorHAnsi" w:cstheme="minorBidi"/>
      <w:b/>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7A0789"/>
    <w:rPr>
      <w:rFonts w:asciiTheme="minorHAnsi" w:eastAsiaTheme="minorEastAsia" w:hAnsiTheme="minorHAnsi" w:cstheme="minorBidi"/>
      <w:b/>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52F75"/>
    <w:pPr>
      <w:spacing w:before="100" w:beforeAutospacing="1" w:after="100" w:afterAutospacing="1"/>
    </w:pPr>
  </w:style>
  <w:style w:type="character" w:customStyle="1" w:styleId="apple-converted-space">
    <w:name w:val="apple-converted-space"/>
    <w:basedOn w:val="DefaultParagraphFont"/>
    <w:rsid w:val="00F52F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3162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ramsar.org/sites/default/files/documents/library/strp_draft_workplan_201618_cp_feedback.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8EC2F2-7B40-42CB-BD0F-B8A0025A7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8668</Words>
  <Characters>49408</Characters>
  <Application>Microsoft Office Word</Application>
  <DocSecurity>0</DocSecurity>
  <Lines>1544</Lines>
  <Paragraphs>547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Stetson University College of Law</Company>
  <LinksUpToDate>false</LinksUpToDate>
  <CharactersWithSpaces>57529</CharactersWithSpaces>
  <SharedDoc>false</SharedDoc>
  <HLinks>
    <vt:vector size="66" baseType="variant">
      <vt:variant>
        <vt:i4>5308424</vt:i4>
      </vt:variant>
      <vt:variant>
        <vt:i4>30</vt:i4>
      </vt:variant>
      <vt:variant>
        <vt:i4>0</vt:i4>
      </vt:variant>
      <vt:variant>
        <vt:i4>5</vt:i4>
      </vt:variant>
      <vt:variant>
        <vt:lpwstr>http://www.ramsar.org/pdf/cop11/doc/cop11-doc22-e-RIS.pdf</vt:lpwstr>
      </vt:variant>
      <vt:variant>
        <vt:lpwstr/>
      </vt:variant>
      <vt:variant>
        <vt:i4>5308424</vt:i4>
      </vt:variant>
      <vt:variant>
        <vt:i4>27</vt:i4>
      </vt:variant>
      <vt:variant>
        <vt:i4>0</vt:i4>
      </vt:variant>
      <vt:variant>
        <vt:i4>5</vt:i4>
      </vt:variant>
      <vt:variant>
        <vt:lpwstr>http://www.ramsar.org/pdf/cop11/doc/cop11-doc22-e-RIS.pdf</vt:lpwstr>
      </vt:variant>
      <vt:variant>
        <vt:lpwstr/>
      </vt:variant>
      <vt:variant>
        <vt:i4>5308424</vt:i4>
      </vt:variant>
      <vt:variant>
        <vt:i4>24</vt:i4>
      </vt:variant>
      <vt:variant>
        <vt:i4>0</vt:i4>
      </vt:variant>
      <vt:variant>
        <vt:i4>5</vt:i4>
      </vt:variant>
      <vt:variant>
        <vt:lpwstr>http://www.ramsar.org/pdf/cop11/doc/cop11-doc22-e-RIS.pdf</vt:lpwstr>
      </vt:variant>
      <vt:variant>
        <vt:lpwstr/>
      </vt:variant>
      <vt:variant>
        <vt:i4>5308424</vt:i4>
      </vt:variant>
      <vt:variant>
        <vt:i4>21</vt:i4>
      </vt:variant>
      <vt:variant>
        <vt:i4>0</vt:i4>
      </vt:variant>
      <vt:variant>
        <vt:i4>5</vt:i4>
      </vt:variant>
      <vt:variant>
        <vt:lpwstr>http://www.ramsar.org/pdf/cop11/doc/cop11-doc22-e-RIS.pdf</vt:lpwstr>
      </vt:variant>
      <vt:variant>
        <vt:lpwstr/>
      </vt:variant>
      <vt:variant>
        <vt:i4>2097210</vt:i4>
      </vt:variant>
      <vt:variant>
        <vt:i4>18</vt:i4>
      </vt:variant>
      <vt:variant>
        <vt:i4>0</vt:i4>
      </vt:variant>
      <vt:variant>
        <vt:i4>5</vt:i4>
      </vt:variant>
      <vt:variant>
        <vt:lpwstr>http://www.ramsar.org/doc/cop11/res/cop11-res08-e-anx2.doc</vt:lpwstr>
      </vt:variant>
      <vt:variant>
        <vt:lpwstr/>
      </vt:variant>
      <vt:variant>
        <vt:i4>2293818</vt:i4>
      </vt:variant>
      <vt:variant>
        <vt:i4>15</vt:i4>
      </vt:variant>
      <vt:variant>
        <vt:i4>0</vt:i4>
      </vt:variant>
      <vt:variant>
        <vt:i4>5</vt:i4>
      </vt:variant>
      <vt:variant>
        <vt:lpwstr>http://www.ramsar.org/doc/cop11/res/cop11-res08-e-anx1.doc</vt:lpwstr>
      </vt:variant>
      <vt:variant>
        <vt:lpwstr/>
      </vt:variant>
      <vt:variant>
        <vt:i4>1507334</vt:i4>
      </vt:variant>
      <vt:variant>
        <vt:i4>12</vt:i4>
      </vt:variant>
      <vt:variant>
        <vt:i4>0</vt:i4>
      </vt:variant>
      <vt:variant>
        <vt:i4>5</vt:i4>
      </vt:variant>
      <vt:variant>
        <vt:lpwstr>http://www.ramsar.org/doc/cop11/res/cop11-res08-e.doc</vt:lpwstr>
      </vt:variant>
      <vt:variant>
        <vt:lpwstr/>
      </vt:variant>
      <vt:variant>
        <vt:i4>1507334</vt:i4>
      </vt:variant>
      <vt:variant>
        <vt:i4>9</vt:i4>
      </vt:variant>
      <vt:variant>
        <vt:i4>0</vt:i4>
      </vt:variant>
      <vt:variant>
        <vt:i4>5</vt:i4>
      </vt:variant>
      <vt:variant>
        <vt:lpwstr>http://www.ramsar.org/doc/cop11/res/cop11-res08-e.doc</vt:lpwstr>
      </vt:variant>
      <vt:variant>
        <vt:lpwstr/>
      </vt:variant>
      <vt:variant>
        <vt:i4>655386</vt:i4>
      </vt:variant>
      <vt:variant>
        <vt:i4>6</vt:i4>
      </vt:variant>
      <vt:variant>
        <vt:i4>0</vt:i4>
      </vt:variant>
      <vt:variant>
        <vt:i4>5</vt:i4>
      </vt:variant>
      <vt:variant>
        <vt:lpwstr>http://www.ramsar.org/cda/en/ramsar-about-glossary-acronyms/main/ramsar/1-36-56-155_4000_0__</vt:lpwstr>
      </vt:variant>
      <vt:variant>
        <vt:lpwstr/>
      </vt:variant>
      <vt:variant>
        <vt:i4>1507343</vt:i4>
      </vt:variant>
      <vt:variant>
        <vt:i4>3</vt:i4>
      </vt:variant>
      <vt:variant>
        <vt:i4>0</vt:i4>
      </vt:variant>
      <vt:variant>
        <vt:i4>5</vt:i4>
      </vt:variant>
      <vt:variant>
        <vt:lpwstr>http://www.ramsar.org/cda/en/ramsar-documents-strp/main/ramsar/1-31-111_4000_0__</vt:lpwstr>
      </vt:variant>
      <vt:variant>
        <vt:lpwstr/>
      </vt:variant>
      <vt:variant>
        <vt:i4>6881389</vt:i4>
      </vt:variant>
      <vt:variant>
        <vt:i4>0</vt:i4>
      </vt:variant>
      <vt:variant>
        <vt:i4>0</vt:i4>
      </vt:variant>
      <vt:variant>
        <vt:i4>5</vt:i4>
      </vt:variant>
      <vt:variant>
        <vt:lpwstr>http://www.ramsar.org/pdf/strp/STRPmod-op-2013-2015.pdf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Gardner, Royal</dc:creator>
  <cp:lastModifiedBy>Ramsar\JenningsE</cp:lastModifiedBy>
  <cp:revision>3</cp:revision>
  <cp:lastPrinted>2013-03-11T17:47:00Z</cp:lastPrinted>
  <dcterms:created xsi:type="dcterms:W3CDTF">2016-03-14T14:43:00Z</dcterms:created>
  <dcterms:modified xsi:type="dcterms:W3CDTF">2016-04-25T16:16:00Z</dcterms:modified>
</cp:coreProperties>
</file>