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B1" w:rsidRPr="00A778BF" w:rsidRDefault="00964595"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A778BF">
        <w:rPr>
          <w:rFonts w:asciiTheme="minorHAnsi" w:eastAsia="Batang" w:hAnsiTheme="minorHAnsi"/>
          <w:bCs/>
          <w:sz w:val="22"/>
          <w:szCs w:val="22"/>
          <w:lang w:val="fr-CA"/>
        </w:rPr>
        <w:t>CONVENTION SUR LES ZONES HUMIDES</w:t>
      </w:r>
      <w:r w:rsidRPr="00A778BF">
        <w:rPr>
          <w:rFonts w:eastAsia="Batang"/>
          <w:bCs/>
          <w:lang w:val="fr-CA"/>
        </w:rPr>
        <w:t xml:space="preserve"> </w:t>
      </w:r>
      <w:r w:rsidR="002660B1" w:rsidRPr="00A778BF">
        <w:rPr>
          <w:rFonts w:asciiTheme="minorHAnsi" w:hAnsiTheme="minorHAnsi" w:cstheme="minorHAnsi"/>
          <w:bCs/>
          <w:szCs w:val="20"/>
          <w:lang w:val="fr-CA"/>
        </w:rPr>
        <w:t>(Ramsar, Iran, 1971)</w:t>
      </w:r>
    </w:p>
    <w:p w:rsidR="002660B1" w:rsidRPr="00A778BF" w:rsidRDefault="005619D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A778BF">
        <w:rPr>
          <w:rFonts w:asciiTheme="minorHAnsi" w:hAnsiTheme="minorHAnsi" w:cstheme="minorHAnsi"/>
          <w:bCs/>
          <w:szCs w:val="20"/>
          <w:lang w:val="fr-CA"/>
        </w:rPr>
        <w:t>5</w:t>
      </w:r>
      <w:r w:rsidR="002E3958">
        <w:rPr>
          <w:rFonts w:asciiTheme="minorHAnsi" w:hAnsiTheme="minorHAnsi" w:cstheme="minorHAnsi"/>
          <w:bCs/>
          <w:szCs w:val="20"/>
          <w:lang w:val="fr-CA"/>
        </w:rPr>
        <w:t>2</w:t>
      </w:r>
      <w:r w:rsidRPr="00A778BF">
        <w:rPr>
          <w:rFonts w:asciiTheme="minorHAnsi" w:hAnsiTheme="minorHAnsi" w:cstheme="minorHAnsi"/>
          <w:bCs/>
          <w:szCs w:val="20"/>
          <w:vertAlign w:val="superscript"/>
          <w:lang w:val="fr-CA"/>
        </w:rPr>
        <w:t>e</w:t>
      </w:r>
      <w:r w:rsidRPr="00A778BF">
        <w:rPr>
          <w:rFonts w:asciiTheme="minorHAnsi" w:hAnsiTheme="minorHAnsi" w:cstheme="minorHAnsi"/>
          <w:bCs/>
          <w:szCs w:val="20"/>
          <w:lang w:val="fr-CA"/>
        </w:rPr>
        <w:t xml:space="preserve"> Réunion du Comité permanent</w:t>
      </w:r>
    </w:p>
    <w:p w:rsidR="002660B1" w:rsidRPr="00A778BF" w:rsidRDefault="005619D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A778BF">
        <w:rPr>
          <w:rFonts w:asciiTheme="minorHAnsi" w:hAnsiTheme="minorHAnsi" w:cstheme="minorHAnsi"/>
          <w:bCs/>
          <w:szCs w:val="20"/>
          <w:lang w:val="fr-CA"/>
        </w:rPr>
        <w:t xml:space="preserve">Gland, Suisse, </w:t>
      </w:r>
      <w:r w:rsidR="002E3958">
        <w:rPr>
          <w:rFonts w:asciiTheme="minorHAnsi" w:hAnsiTheme="minorHAnsi" w:cstheme="minorHAnsi"/>
          <w:bCs/>
          <w:szCs w:val="20"/>
          <w:lang w:val="fr-CA"/>
        </w:rPr>
        <w:t>1</w:t>
      </w:r>
      <w:r w:rsidRPr="00A778BF">
        <w:rPr>
          <w:rFonts w:asciiTheme="minorHAnsi" w:hAnsiTheme="minorHAnsi" w:cstheme="minorHAnsi"/>
          <w:bCs/>
          <w:szCs w:val="20"/>
          <w:lang w:val="fr-CA"/>
        </w:rPr>
        <w:t>3</w:t>
      </w:r>
      <w:r w:rsidR="00A778BF">
        <w:rPr>
          <w:rFonts w:asciiTheme="minorHAnsi" w:hAnsiTheme="minorHAnsi" w:cstheme="minorHAnsi"/>
          <w:bCs/>
          <w:szCs w:val="20"/>
          <w:lang w:val="fr-CA"/>
        </w:rPr>
        <w:t xml:space="preserve"> au </w:t>
      </w:r>
      <w:r w:rsidR="002E3958">
        <w:rPr>
          <w:rFonts w:asciiTheme="minorHAnsi" w:hAnsiTheme="minorHAnsi" w:cstheme="minorHAnsi"/>
          <w:bCs/>
          <w:szCs w:val="20"/>
          <w:lang w:val="fr-CA"/>
        </w:rPr>
        <w:t>1</w:t>
      </w:r>
      <w:r w:rsidRPr="00A778BF">
        <w:rPr>
          <w:rFonts w:asciiTheme="minorHAnsi" w:hAnsiTheme="minorHAnsi" w:cstheme="minorHAnsi"/>
          <w:bCs/>
          <w:szCs w:val="20"/>
          <w:lang w:val="fr-CA"/>
        </w:rPr>
        <w:t xml:space="preserve">7 </w:t>
      </w:r>
      <w:r w:rsidR="002E3958">
        <w:rPr>
          <w:rFonts w:asciiTheme="minorHAnsi" w:hAnsiTheme="minorHAnsi" w:cstheme="minorHAnsi"/>
          <w:bCs/>
          <w:szCs w:val="20"/>
          <w:lang w:val="fr-CA"/>
        </w:rPr>
        <w:t xml:space="preserve">juin </w:t>
      </w:r>
      <w:r w:rsidRPr="00A778BF">
        <w:rPr>
          <w:rFonts w:asciiTheme="minorHAnsi" w:hAnsiTheme="minorHAnsi" w:cstheme="minorHAnsi"/>
          <w:bCs/>
          <w:szCs w:val="20"/>
          <w:lang w:val="fr-CA"/>
        </w:rPr>
        <w:t>201</w:t>
      </w:r>
      <w:r w:rsidR="002E3958">
        <w:rPr>
          <w:rFonts w:asciiTheme="minorHAnsi" w:hAnsiTheme="minorHAnsi" w:cstheme="minorHAnsi"/>
          <w:bCs/>
          <w:szCs w:val="20"/>
          <w:lang w:val="fr-CA"/>
        </w:rPr>
        <w:t>6</w:t>
      </w:r>
    </w:p>
    <w:p w:rsidR="00434554" w:rsidRPr="00A778BF" w:rsidRDefault="00434554">
      <w:pPr>
        <w:rPr>
          <w:sz w:val="28"/>
          <w:szCs w:val="28"/>
          <w:lang w:val="fr-CA"/>
        </w:rPr>
      </w:pPr>
    </w:p>
    <w:p w:rsidR="002660B1" w:rsidRPr="00A778BF" w:rsidRDefault="002660B1" w:rsidP="002660B1">
      <w:pPr>
        <w:jc w:val="right"/>
        <w:rPr>
          <w:rFonts w:asciiTheme="minorHAnsi" w:hAnsiTheme="minorHAnsi" w:cstheme="minorHAnsi"/>
          <w:b/>
          <w:sz w:val="28"/>
          <w:szCs w:val="28"/>
          <w:lang w:val="fr-CA"/>
        </w:rPr>
      </w:pPr>
      <w:r w:rsidRPr="00A778BF">
        <w:rPr>
          <w:rFonts w:asciiTheme="minorHAnsi" w:hAnsiTheme="minorHAnsi" w:cstheme="minorHAnsi"/>
          <w:b/>
          <w:sz w:val="28"/>
          <w:szCs w:val="28"/>
          <w:lang w:val="fr-CA"/>
        </w:rPr>
        <w:t>SC</w:t>
      </w:r>
      <w:r w:rsidR="004F5DCD" w:rsidRPr="00A778BF">
        <w:rPr>
          <w:rFonts w:asciiTheme="minorHAnsi" w:hAnsiTheme="minorHAnsi" w:cstheme="minorHAnsi"/>
          <w:b/>
          <w:sz w:val="28"/>
          <w:szCs w:val="28"/>
          <w:lang w:val="fr-CA"/>
        </w:rPr>
        <w:t>5</w:t>
      </w:r>
      <w:r w:rsidR="006D32D6">
        <w:rPr>
          <w:rFonts w:asciiTheme="minorHAnsi" w:hAnsiTheme="minorHAnsi" w:cstheme="minorHAnsi"/>
          <w:b/>
          <w:sz w:val="28"/>
          <w:szCs w:val="28"/>
          <w:lang w:val="fr-CA"/>
        </w:rPr>
        <w:t>2</w:t>
      </w:r>
      <w:r w:rsidRPr="00A778BF">
        <w:rPr>
          <w:rFonts w:asciiTheme="minorHAnsi" w:hAnsiTheme="minorHAnsi" w:cstheme="minorHAnsi"/>
          <w:b/>
          <w:sz w:val="28"/>
          <w:szCs w:val="28"/>
          <w:lang w:val="fr-CA"/>
        </w:rPr>
        <w:t>-</w:t>
      </w:r>
      <w:r w:rsidR="002E1289" w:rsidRPr="00A778BF">
        <w:rPr>
          <w:rFonts w:asciiTheme="minorHAnsi" w:hAnsiTheme="minorHAnsi" w:cstheme="minorHAnsi"/>
          <w:b/>
          <w:sz w:val="28"/>
          <w:szCs w:val="28"/>
          <w:lang w:val="fr-CA"/>
        </w:rPr>
        <w:t>0</w:t>
      </w:r>
      <w:r w:rsidR="002E3958">
        <w:rPr>
          <w:rFonts w:asciiTheme="minorHAnsi" w:hAnsiTheme="minorHAnsi" w:cstheme="minorHAnsi"/>
          <w:b/>
          <w:sz w:val="28"/>
          <w:szCs w:val="28"/>
          <w:lang w:val="fr-CA"/>
        </w:rPr>
        <w:t>9</w:t>
      </w:r>
      <w:r w:rsidR="007825EC">
        <w:rPr>
          <w:rFonts w:asciiTheme="minorHAnsi" w:hAnsiTheme="minorHAnsi" w:cstheme="minorHAnsi"/>
          <w:b/>
          <w:sz w:val="28"/>
          <w:szCs w:val="28"/>
          <w:lang w:val="fr-CA"/>
        </w:rPr>
        <w:t xml:space="preserve"> Rev.1</w:t>
      </w:r>
    </w:p>
    <w:p w:rsidR="001233DE" w:rsidRPr="00A778BF" w:rsidRDefault="001233DE" w:rsidP="001233DE">
      <w:pPr>
        <w:jc w:val="center"/>
        <w:rPr>
          <w:rFonts w:asciiTheme="minorHAnsi" w:hAnsiTheme="minorHAnsi"/>
          <w:b/>
          <w:sz w:val="28"/>
          <w:szCs w:val="28"/>
          <w:lang w:val="fr-CA"/>
        </w:rPr>
      </w:pPr>
    </w:p>
    <w:p w:rsidR="00D94C75" w:rsidRPr="00A778BF" w:rsidRDefault="002E3958" w:rsidP="00D94C75">
      <w:pPr>
        <w:autoSpaceDE w:val="0"/>
        <w:autoSpaceDN w:val="0"/>
        <w:adjustRightInd w:val="0"/>
        <w:jc w:val="center"/>
        <w:rPr>
          <w:rFonts w:asciiTheme="minorHAnsi" w:eastAsiaTheme="minorHAnsi" w:hAnsiTheme="minorHAnsi" w:cs="Garamond-Bold"/>
          <w:b/>
          <w:bCs/>
          <w:sz w:val="28"/>
          <w:szCs w:val="28"/>
          <w:lang w:val="fr-CA" w:eastAsia="en-US"/>
        </w:rPr>
      </w:pPr>
      <w:r w:rsidRPr="002E3958">
        <w:rPr>
          <w:rFonts w:asciiTheme="minorHAnsi" w:eastAsiaTheme="minorHAnsi" w:hAnsiTheme="minorHAnsi" w:cs="Garamond-Bold"/>
          <w:b/>
          <w:bCs/>
          <w:sz w:val="28"/>
          <w:szCs w:val="28"/>
          <w:lang w:val="fr-CA" w:eastAsia="en-US"/>
        </w:rPr>
        <w:t>Coût des mesures d’application des résolutions de la COP12 dans la période triennale 2016-2018</w:t>
      </w:r>
    </w:p>
    <w:p w:rsidR="00675CA6" w:rsidRPr="00A778BF" w:rsidRDefault="00675CA6" w:rsidP="00D94C75">
      <w:pPr>
        <w:autoSpaceDE w:val="0"/>
        <w:autoSpaceDN w:val="0"/>
        <w:adjustRightInd w:val="0"/>
        <w:jc w:val="center"/>
        <w:rPr>
          <w:rFonts w:asciiTheme="minorHAnsi" w:eastAsiaTheme="minorHAnsi" w:hAnsiTheme="minorHAnsi" w:cs="Garamond"/>
          <w:sz w:val="28"/>
          <w:szCs w:val="28"/>
          <w:lang w:val="fr-CA" w:eastAsia="en-US"/>
        </w:rPr>
      </w:pPr>
    </w:p>
    <w:p w:rsidR="00E7270C" w:rsidRPr="00A778BF" w:rsidRDefault="00C74B34" w:rsidP="00D94C75">
      <w:pPr>
        <w:autoSpaceDE w:val="0"/>
        <w:autoSpaceDN w:val="0"/>
        <w:adjustRightInd w:val="0"/>
        <w:jc w:val="center"/>
        <w:rPr>
          <w:rFonts w:asciiTheme="minorHAnsi" w:eastAsiaTheme="minorHAnsi" w:hAnsiTheme="minorHAnsi" w:cs="Garamond"/>
          <w:sz w:val="22"/>
          <w:szCs w:val="22"/>
          <w:lang w:val="fr-CA" w:eastAsia="en-US"/>
        </w:rPr>
      </w:pPr>
      <w:r w:rsidRPr="00A778BF">
        <w:rPr>
          <w:noProof/>
          <w:szCs w:val="20"/>
        </w:rPr>
        <mc:AlternateContent>
          <mc:Choice Requires="wps">
            <w:drawing>
              <wp:inline distT="0" distB="0" distL="0" distR="0" wp14:anchorId="0E1A68B2" wp14:editId="262F22BF">
                <wp:extent cx="5842635" cy="1023938"/>
                <wp:effectExtent l="0" t="0" r="24765" b="241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023938"/>
                        </a:xfrm>
                        <a:prstGeom prst="rect">
                          <a:avLst/>
                        </a:prstGeom>
                        <a:solidFill>
                          <a:srgbClr val="FFFFFF"/>
                        </a:solidFill>
                        <a:ln w="9525">
                          <a:solidFill>
                            <a:srgbClr val="000000"/>
                          </a:solidFill>
                          <a:miter lim="800000"/>
                          <a:headEnd/>
                          <a:tailEnd/>
                        </a:ln>
                      </wps:spPr>
                      <wps:txbx>
                        <w:txbxContent>
                          <w:p w:rsidR="00534C4C" w:rsidRPr="005619D1" w:rsidRDefault="00534C4C" w:rsidP="00E7270C">
                            <w:pPr>
                              <w:rPr>
                                <w:rFonts w:ascii="Calibri" w:hAnsi="Calibri"/>
                                <w:b/>
                                <w:bCs/>
                                <w:sz w:val="22"/>
                                <w:szCs w:val="22"/>
                                <w:lang w:val="fr-FR"/>
                              </w:rPr>
                            </w:pPr>
                            <w:r w:rsidRPr="005619D1">
                              <w:rPr>
                                <w:rFonts w:ascii="Calibri" w:hAnsi="Calibri"/>
                                <w:b/>
                                <w:bCs/>
                                <w:sz w:val="22"/>
                                <w:szCs w:val="22"/>
                                <w:lang w:val="fr-FR"/>
                              </w:rPr>
                              <w:t xml:space="preserve">Actions requises : </w:t>
                            </w:r>
                          </w:p>
                          <w:p w:rsidR="00534C4C" w:rsidRPr="005619D1" w:rsidRDefault="00534C4C" w:rsidP="002E1289">
                            <w:pPr>
                              <w:rPr>
                                <w:rFonts w:asciiTheme="minorHAnsi" w:hAnsiTheme="minorHAnsi"/>
                                <w:sz w:val="22"/>
                                <w:szCs w:val="22"/>
                                <w:lang w:val="fr-FR"/>
                              </w:rPr>
                            </w:pPr>
                            <w:r w:rsidRPr="005619D1">
                              <w:rPr>
                                <w:rFonts w:asciiTheme="minorHAnsi" w:hAnsiTheme="minorHAnsi"/>
                                <w:sz w:val="22"/>
                                <w:szCs w:val="22"/>
                                <w:lang w:val="fr-FR"/>
                              </w:rPr>
                              <w:t>Le Comité permanent est invit</w:t>
                            </w:r>
                            <w:r>
                              <w:rPr>
                                <w:rFonts w:asciiTheme="minorHAnsi" w:hAnsiTheme="minorHAnsi"/>
                                <w:sz w:val="22"/>
                                <w:szCs w:val="22"/>
                                <w:lang w:val="fr-FR"/>
                              </w:rPr>
                              <w:t>é</w:t>
                            </w:r>
                            <w:r w:rsidRPr="005619D1">
                              <w:rPr>
                                <w:rFonts w:asciiTheme="minorHAnsi" w:hAnsiTheme="minorHAnsi"/>
                                <w:sz w:val="22"/>
                                <w:szCs w:val="22"/>
                                <w:lang w:val="fr-FR"/>
                              </w:rPr>
                              <w:t xml:space="preserve"> à prendre note du coût estimé des mesures </w:t>
                            </w:r>
                            <w:r>
                              <w:rPr>
                                <w:rFonts w:asciiTheme="minorHAnsi" w:hAnsiTheme="minorHAnsi"/>
                                <w:sz w:val="22"/>
                                <w:szCs w:val="22"/>
                                <w:lang w:val="fr-FR"/>
                              </w:rPr>
                              <w:t>d’application de</w:t>
                            </w:r>
                            <w:r w:rsidRPr="005619D1">
                              <w:rPr>
                                <w:rFonts w:asciiTheme="minorHAnsi" w:hAnsiTheme="minorHAnsi"/>
                                <w:sz w:val="22"/>
                                <w:szCs w:val="22"/>
                                <w:lang w:val="fr-FR"/>
                              </w:rPr>
                              <w:t xml:space="preserve"> chacune des Résolutions de la COP12, et </w:t>
                            </w:r>
                            <w:r>
                              <w:rPr>
                                <w:rFonts w:asciiTheme="minorHAnsi" w:hAnsiTheme="minorHAnsi"/>
                                <w:sz w:val="22"/>
                                <w:szCs w:val="22"/>
                                <w:lang w:val="fr-FR"/>
                              </w:rPr>
                              <w:t>à</w:t>
                            </w:r>
                            <w:r w:rsidRPr="005619D1">
                              <w:rPr>
                                <w:rFonts w:asciiTheme="minorHAnsi" w:hAnsiTheme="minorHAnsi"/>
                                <w:sz w:val="22"/>
                                <w:szCs w:val="22"/>
                                <w:lang w:val="fr-FR"/>
                              </w:rPr>
                              <w:t xml:space="preserve"> conseiller le Secrétariat sur </w:t>
                            </w:r>
                            <w:r>
                              <w:rPr>
                                <w:rFonts w:asciiTheme="minorHAnsi" w:hAnsiTheme="minorHAnsi"/>
                                <w:sz w:val="22"/>
                                <w:szCs w:val="22"/>
                                <w:lang w:val="fr-FR"/>
                              </w:rPr>
                              <w:t>les sources de financement possibles pour appuyer l’application des Résolutions</w:t>
                            </w:r>
                            <w:r w:rsidRPr="005619D1">
                              <w:rPr>
                                <w:rFonts w:asciiTheme="minorHAnsi" w:hAnsiTheme="minorHAnsi"/>
                                <w:sz w:val="22"/>
                                <w:szCs w:val="22"/>
                                <w:lang w:val="fr-FR"/>
                              </w:rPr>
                              <w:t>.</w:t>
                            </w:r>
                          </w:p>
                          <w:p w:rsidR="00534C4C" w:rsidRPr="005619D1" w:rsidRDefault="00534C4C" w:rsidP="0005674C">
                            <w:pPr>
                              <w:autoSpaceDE w:val="0"/>
                              <w:autoSpaceDN w:val="0"/>
                              <w:adjustRightInd w:val="0"/>
                              <w:rPr>
                                <w:rFonts w:asciiTheme="minorHAnsi" w:eastAsiaTheme="minorHAnsi" w:hAnsiTheme="minorHAnsi" w:cs="Calibri-Bold"/>
                                <w:b/>
                                <w:bCs/>
                                <w:sz w:val="22"/>
                                <w:szCs w:val="22"/>
                                <w:lang w:val="fr-CH" w:eastAsia="en-US"/>
                              </w:rPr>
                            </w:pPr>
                            <w:r w:rsidRPr="005619D1">
                              <w:rPr>
                                <w:rFonts w:asciiTheme="minorHAnsi" w:hAnsiTheme="minorHAnsi"/>
                                <w:sz w:val="22"/>
                                <w:szCs w:val="22"/>
                                <w:lang w:val="fr-CH"/>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">
                <v:textbox>
                  <w:txbxContent>
                    <w:p w:rsidR="00534C4C" w:rsidRPr="005619D1" w:rsidRDefault="00534C4C" w:rsidP="00E7270C">
                      <w:pPr>
                        <w:rPr>
                          <w:rFonts w:ascii="Calibri" w:hAnsi="Calibri"/>
                          <w:b/>
                          <w:bCs/>
                          <w:sz w:val="22"/>
                          <w:szCs w:val="22"/>
                          <w:lang w:val="fr-FR"/>
                        </w:rPr>
                      </w:pPr>
                      <w:r w:rsidRPr="005619D1">
                        <w:rPr>
                          <w:rFonts w:ascii="Calibri" w:hAnsi="Calibri"/>
                          <w:b/>
                          <w:bCs/>
                          <w:sz w:val="22"/>
                          <w:szCs w:val="22"/>
                          <w:lang w:val="fr-FR"/>
                        </w:rPr>
                        <w:t xml:space="preserve">Actions requises : </w:t>
                      </w:r>
                    </w:p>
                    <w:p w:rsidR="00534C4C" w:rsidRPr="005619D1" w:rsidRDefault="00534C4C" w:rsidP="002E1289">
                      <w:pPr>
                        <w:rPr>
                          <w:rFonts w:asciiTheme="minorHAnsi" w:hAnsiTheme="minorHAnsi"/>
                          <w:sz w:val="22"/>
                          <w:szCs w:val="22"/>
                          <w:lang w:val="fr-FR"/>
                        </w:rPr>
                      </w:pPr>
                      <w:r w:rsidRPr="005619D1">
                        <w:rPr>
                          <w:rFonts w:asciiTheme="minorHAnsi" w:hAnsiTheme="minorHAnsi"/>
                          <w:sz w:val="22"/>
                          <w:szCs w:val="22"/>
                          <w:lang w:val="fr-FR"/>
                        </w:rPr>
                        <w:t>Le Comité permanent est invit</w:t>
                      </w:r>
                      <w:r>
                        <w:rPr>
                          <w:rFonts w:asciiTheme="minorHAnsi" w:hAnsiTheme="minorHAnsi"/>
                          <w:sz w:val="22"/>
                          <w:szCs w:val="22"/>
                          <w:lang w:val="fr-FR"/>
                        </w:rPr>
                        <w:t>é</w:t>
                      </w:r>
                      <w:r w:rsidRPr="005619D1">
                        <w:rPr>
                          <w:rFonts w:asciiTheme="minorHAnsi" w:hAnsiTheme="minorHAnsi"/>
                          <w:sz w:val="22"/>
                          <w:szCs w:val="22"/>
                          <w:lang w:val="fr-FR"/>
                        </w:rPr>
                        <w:t xml:space="preserve"> à prendre note du coût estimé des mesures </w:t>
                      </w:r>
                      <w:r>
                        <w:rPr>
                          <w:rFonts w:asciiTheme="minorHAnsi" w:hAnsiTheme="minorHAnsi"/>
                          <w:sz w:val="22"/>
                          <w:szCs w:val="22"/>
                          <w:lang w:val="fr-FR"/>
                        </w:rPr>
                        <w:t>d’application de</w:t>
                      </w:r>
                      <w:r w:rsidRPr="005619D1">
                        <w:rPr>
                          <w:rFonts w:asciiTheme="minorHAnsi" w:hAnsiTheme="minorHAnsi"/>
                          <w:sz w:val="22"/>
                          <w:szCs w:val="22"/>
                          <w:lang w:val="fr-FR"/>
                        </w:rPr>
                        <w:t xml:space="preserve"> chacune des Résolutions de la COP12, et </w:t>
                      </w:r>
                      <w:r>
                        <w:rPr>
                          <w:rFonts w:asciiTheme="minorHAnsi" w:hAnsiTheme="minorHAnsi"/>
                          <w:sz w:val="22"/>
                          <w:szCs w:val="22"/>
                          <w:lang w:val="fr-FR"/>
                        </w:rPr>
                        <w:t>à</w:t>
                      </w:r>
                      <w:r w:rsidRPr="005619D1">
                        <w:rPr>
                          <w:rFonts w:asciiTheme="minorHAnsi" w:hAnsiTheme="minorHAnsi"/>
                          <w:sz w:val="22"/>
                          <w:szCs w:val="22"/>
                          <w:lang w:val="fr-FR"/>
                        </w:rPr>
                        <w:t xml:space="preserve"> conseiller le Secrétariat sur </w:t>
                      </w:r>
                      <w:r>
                        <w:rPr>
                          <w:rFonts w:asciiTheme="minorHAnsi" w:hAnsiTheme="minorHAnsi"/>
                          <w:sz w:val="22"/>
                          <w:szCs w:val="22"/>
                          <w:lang w:val="fr-FR"/>
                        </w:rPr>
                        <w:t>les sources de financement possibles pour appuyer l’application des Résolutions</w:t>
                      </w:r>
                      <w:r w:rsidRPr="005619D1">
                        <w:rPr>
                          <w:rFonts w:asciiTheme="minorHAnsi" w:hAnsiTheme="minorHAnsi"/>
                          <w:sz w:val="22"/>
                          <w:szCs w:val="22"/>
                          <w:lang w:val="fr-FR"/>
                        </w:rPr>
                        <w:t>.</w:t>
                      </w:r>
                    </w:p>
                    <w:p w:rsidR="00534C4C" w:rsidRPr="005619D1" w:rsidRDefault="00534C4C" w:rsidP="0005674C">
                      <w:pPr>
                        <w:autoSpaceDE w:val="0"/>
                        <w:autoSpaceDN w:val="0"/>
                        <w:adjustRightInd w:val="0"/>
                        <w:rPr>
                          <w:rFonts w:asciiTheme="minorHAnsi" w:eastAsiaTheme="minorHAnsi" w:hAnsiTheme="minorHAnsi" w:cs="Calibri-Bold"/>
                          <w:b/>
                          <w:bCs/>
                          <w:sz w:val="22"/>
                          <w:szCs w:val="22"/>
                          <w:lang w:val="fr-CH" w:eastAsia="en-US"/>
                        </w:rPr>
                      </w:pPr>
                      <w:r w:rsidRPr="005619D1">
                        <w:rPr>
                          <w:rFonts w:asciiTheme="minorHAnsi" w:hAnsiTheme="minorHAnsi"/>
                          <w:sz w:val="22"/>
                          <w:szCs w:val="22"/>
                          <w:lang w:val="fr-CH"/>
                        </w:rPr>
                        <w:t xml:space="preserve"> </w:t>
                      </w:r>
                    </w:p>
                  </w:txbxContent>
                </v:textbox>
                <w10:anchorlock/>
              </v:shape>
            </w:pict>
          </mc:Fallback>
        </mc:AlternateContent>
      </w:r>
    </w:p>
    <w:p w:rsidR="002F0FC9" w:rsidRPr="00A778BF" w:rsidRDefault="002F0FC9" w:rsidP="006B6339">
      <w:pPr>
        <w:autoSpaceDE w:val="0"/>
        <w:autoSpaceDN w:val="0"/>
        <w:adjustRightInd w:val="0"/>
        <w:rPr>
          <w:lang w:val="fr-CA"/>
        </w:rPr>
      </w:pPr>
    </w:p>
    <w:p w:rsidR="00D94C75" w:rsidRPr="00A778BF" w:rsidRDefault="005619D1" w:rsidP="002E1289">
      <w:pPr>
        <w:autoSpaceDE w:val="0"/>
        <w:autoSpaceDN w:val="0"/>
        <w:adjustRightInd w:val="0"/>
        <w:rPr>
          <w:rFonts w:asciiTheme="minorHAnsi" w:eastAsiaTheme="minorHAnsi" w:hAnsiTheme="minorHAnsi" w:cs="Calibri-Bold"/>
          <w:b/>
          <w:bCs/>
          <w:sz w:val="22"/>
          <w:szCs w:val="22"/>
          <w:lang w:val="fr-CA" w:eastAsia="en-US"/>
        </w:rPr>
      </w:pPr>
      <w:r w:rsidRPr="00A778BF">
        <w:rPr>
          <w:rFonts w:asciiTheme="minorHAnsi" w:eastAsiaTheme="minorHAnsi" w:hAnsiTheme="minorHAnsi" w:cs="Calibri-Bold"/>
          <w:b/>
          <w:bCs/>
          <w:sz w:val="22"/>
          <w:szCs w:val="22"/>
          <w:lang w:val="fr-CA" w:eastAsia="en-US"/>
        </w:rPr>
        <w:t>Contexte</w:t>
      </w:r>
    </w:p>
    <w:p w:rsidR="00BE5EAD" w:rsidRPr="00A778BF" w:rsidRDefault="00BE5EAD" w:rsidP="002E1289">
      <w:pPr>
        <w:autoSpaceDE w:val="0"/>
        <w:autoSpaceDN w:val="0"/>
        <w:adjustRightInd w:val="0"/>
        <w:rPr>
          <w:rFonts w:asciiTheme="minorHAnsi" w:eastAsiaTheme="minorHAnsi" w:hAnsiTheme="minorHAnsi" w:cs="Calibri-Bold"/>
          <w:b/>
          <w:bCs/>
          <w:sz w:val="22"/>
          <w:szCs w:val="22"/>
          <w:lang w:val="fr-CA" w:eastAsia="en-US"/>
        </w:rPr>
      </w:pPr>
    </w:p>
    <w:p w:rsidR="00483B22" w:rsidRPr="00A778BF" w:rsidRDefault="000E5353" w:rsidP="002E1289">
      <w:pPr>
        <w:pStyle w:val="ListParagraph"/>
        <w:numPr>
          <w:ilvl w:val="0"/>
          <w:numId w:val="19"/>
        </w:numPr>
        <w:autoSpaceDE w:val="0"/>
        <w:autoSpaceDN w:val="0"/>
        <w:adjustRightInd w:val="0"/>
        <w:ind w:left="426" w:hanging="426"/>
        <w:jc w:val="left"/>
        <w:rPr>
          <w:rFonts w:asciiTheme="minorHAnsi" w:hAnsiTheme="minorHAnsi"/>
          <w:lang w:val="fr-CA"/>
        </w:rPr>
      </w:pPr>
      <w:r>
        <w:rPr>
          <w:rFonts w:asciiTheme="minorHAnsi" w:hAnsiTheme="minorHAnsi"/>
          <w:lang w:val="fr-CA"/>
        </w:rPr>
        <w:t>Dans la Décision SC48-20, le Comité permanent a décidé qu’un budget non administratif non financé serait requis pour soutenir l’application des Résolution</w:t>
      </w:r>
      <w:r w:rsidR="009635E1">
        <w:rPr>
          <w:rFonts w:asciiTheme="minorHAnsi" w:hAnsiTheme="minorHAnsi"/>
          <w:lang w:val="fr-CA"/>
        </w:rPr>
        <w:t>s</w:t>
      </w:r>
      <w:r>
        <w:rPr>
          <w:rFonts w:asciiTheme="minorHAnsi" w:hAnsiTheme="minorHAnsi"/>
          <w:lang w:val="fr-CA"/>
        </w:rPr>
        <w:t xml:space="preserve"> de la </w:t>
      </w:r>
      <w:r w:rsidR="003C7DE1" w:rsidRPr="00A778BF">
        <w:rPr>
          <w:rFonts w:asciiTheme="minorHAnsi" w:hAnsiTheme="minorHAnsi"/>
          <w:lang w:val="fr-CA"/>
        </w:rPr>
        <w:t xml:space="preserve">COP12 </w:t>
      </w:r>
      <w:r>
        <w:rPr>
          <w:rFonts w:asciiTheme="minorHAnsi" w:hAnsiTheme="minorHAnsi"/>
          <w:lang w:val="fr-CA"/>
        </w:rPr>
        <w:t>durant la période triennale</w:t>
      </w:r>
      <w:r w:rsidR="006A71EC" w:rsidRPr="00A778BF">
        <w:rPr>
          <w:rFonts w:asciiTheme="minorHAnsi" w:hAnsiTheme="minorHAnsi"/>
          <w:lang w:val="fr-CA"/>
        </w:rPr>
        <w:t xml:space="preserve"> 2016-2018</w:t>
      </w:r>
      <w:r w:rsidR="00BE5EAD" w:rsidRPr="00A778BF">
        <w:rPr>
          <w:rFonts w:asciiTheme="minorHAnsi" w:hAnsiTheme="minorHAnsi"/>
          <w:lang w:val="fr-CA"/>
        </w:rPr>
        <w:t>.</w:t>
      </w:r>
      <w:r w:rsidR="002E1289" w:rsidRPr="00A778BF">
        <w:rPr>
          <w:rFonts w:asciiTheme="minorHAnsi" w:hAnsiTheme="minorHAnsi"/>
          <w:lang w:val="fr-CA"/>
        </w:rPr>
        <w:t xml:space="preserve"> </w:t>
      </w:r>
      <w:r>
        <w:rPr>
          <w:rFonts w:asciiTheme="minorHAnsi" w:hAnsiTheme="minorHAnsi"/>
          <w:lang w:val="fr-CA"/>
        </w:rPr>
        <w:t>Un effort de mobilisation des ressources est requis pour constituer ce budget et a été mis en place, avec les orientations du Groupe de travail sur la mobilisation des ressources déjà établi par la 50</w:t>
      </w:r>
      <w:r w:rsidRPr="000E5353">
        <w:rPr>
          <w:rFonts w:asciiTheme="minorHAnsi" w:hAnsiTheme="minorHAnsi"/>
          <w:vertAlign w:val="superscript"/>
          <w:lang w:val="fr-CA"/>
        </w:rPr>
        <w:t>e</w:t>
      </w:r>
      <w:r>
        <w:rPr>
          <w:rFonts w:asciiTheme="minorHAnsi" w:hAnsiTheme="minorHAnsi"/>
          <w:lang w:val="fr-CA"/>
        </w:rPr>
        <w:t> Réunion du Comité permanent.</w:t>
      </w:r>
    </w:p>
    <w:p w:rsidR="00483B22" w:rsidRPr="00A778BF" w:rsidRDefault="00483B22" w:rsidP="002E1289">
      <w:pPr>
        <w:pStyle w:val="ListParagraph"/>
        <w:autoSpaceDE w:val="0"/>
        <w:autoSpaceDN w:val="0"/>
        <w:adjustRightInd w:val="0"/>
        <w:ind w:left="426" w:hanging="426"/>
        <w:jc w:val="left"/>
        <w:rPr>
          <w:rFonts w:asciiTheme="minorHAnsi" w:hAnsiTheme="minorHAnsi"/>
          <w:lang w:val="fr-CA"/>
        </w:rPr>
      </w:pPr>
    </w:p>
    <w:p w:rsidR="00CB792A" w:rsidRPr="00A778BF" w:rsidRDefault="000E5353" w:rsidP="002E1289">
      <w:pPr>
        <w:pStyle w:val="ListParagraph"/>
        <w:numPr>
          <w:ilvl w:val="0"/>
          <w:numId w:val="19"/>
        </w:numPr>
        <w:autoSpaceDE w:val="0"/>
        <w:autoSpaceDN w:val="0"/>
        <w:adjustRightInd w:val="0"/>
        <w:ind w:left="426" w:hanging="426"/>
        <w:jc w:val="left"/>
        <w:rPr>
          <w:rFonts w:asciiTheme="minorHAnsi" w:hAnsiTheme="minorHAnsi"/>
          <w:lang w:val="fr-CA"/>
        </w:rPr>
      </w:pPr>
      <w:r>
        <w:rPr>
          <w:rFonts w:asciiTheme="minorHAnsi" w:hAnsiTheme="minorHAnsi"/>
          <w:lang w:val="fr-CA"/>
        </w:rPr>
        <w:t xml:space="preserve">Les Parties contractantes présentes à la </w:t>
      </w:r>
      <w:r w:rsidR="002E1289" w:rsidRPr="00A778BF">
        <w:rPr>
          <w:rFonts w:asciiTheme="minorHAnsi" w:hAnsiTheme="minorHAnsi"/>
          <w:lang w:val="fr-CA"/>
        </w:rPr>
        <w:t xml:space="preserve">COP12 </w:t>
      </w:r>
      <w:r>
        <w:rPr>
          <w:rFonts w:asciiTheme="minorHAnsi" w:hAnsiTheme="minorHAnsi"/>
          <w:lang w:val="fr-CA"/>
        </w:rPr>
        <w:t>ont fixé une estimation initiale pour ces fonds non administratifs, dans l’annexe 3 de la Résolution </w:t>
      </w:r>
      <w:r w:rsidR="00483B22" w:rsidRPr="00A778BF">
        <w:rPr>
          <w:rFonts w:asciiTheme="minorHAnsi" w:hAnsiTheme="minorHAnsi"/>
          <w:lang w:val="fr-CA"/>
        </w:rPr>
        <w:t>XII.1</w:t>
      </w:r>
      <w:r>
        <w:rPr>
          <w:rFonts w:asciiTheme="minorHAnsi" w:hAnsiTheme="minorHAnsi"/>
          <w:lang w:val="fr-CA"/>
        </w:rPr>
        <w:t xml:space="preserve"> et ont précisé un montant total de 4,2 millions CHF pour le financement non administratif </w:t>
      </w:r>
      <w:r w:rsidR="002E157F">
        <w:rPr>
          <w:rFonts w:asciiTheme="minorHAnsi" w:hAnsiTheme="minorHAnsi"/>
          <w:lang w:val="fr-CA"/>
        </w:rPr>
        <w:t>des</w:t>
      </w:r>
      <w:r>
        <w:rPr>
          <w:rFonts w:asciiTheme="minorHAnsi" w:hAnsiTheme="minorHAnsi"/>
          <w:lang w:val="fr-CA"/>
        </w:rPr>
        <w:t xml:space="preserve"> projets prioritaires durant la période triennale </w:t>
      </w:r>
      <w:r w:rsidR="00EA3B55" w:rsidRPr="00A778BF">
        <w:rPr>
          <w:rFonts w:asciiTheme="minorHAnsi" w:hAnsiTheme="minorHAnsi"/>
          <w:lang w:val="fr-CA"/>
        </w:rPr>
        <w:t>2016-2018</w:t>
      </w:r>
      <w:r w:rsidR="00483B22" w:rsidRPr="00A778BF">
        <w:rPr>
          <w:rFonts w:asciiTheme="minorHAnsi" w:hAnsiTheme="minorHAnsi"/>
          <w:lang w:val="fr-CA"/>
        </w:rPr>
        <w:t>.</w:t>
      </w:r>
      <w:r w:rsidR="002E1289" w:rsidRPr="00A778BF">
        <w:rPr>
          <w:rFonts w:asciiTheme="minorHAnsi" w:hAnsiTheme="minorHAnsi"/>
          <w:lang w:val="fr-CA"/>
        </w:rPr>
        <w:t xml:space="preserve"> </w:t>
      </w:r>
      <w:r>
        <w:rPr>
          <w:rFonts w:asciiTheme="minorHAnsi" w:hAnsiTheme="minorHAnsi"/>
          <w:lang w:val="fr-CA"/>
        </w:rPr>
        <w:t xml:space="preserve">Tenant compte des mesures détaillées dans le cadre de toutes les Résolutions adoptées par les Parties à la </w:t>
      </w:r>
      <w:r w:rsidR="00125BC4" w:rsidRPr="00A778BF">
        <w:rPr>
          <w:rFonts w:asciiTheme="minorHAnsi" w:hAnsiTheme="minorHAnsi"/>
          <w:lang w:val="fr-CA"/>
        </w:rPr>
        <w:t xml:space="preserve">COP12, </w:t>
      </w:r>
      <w:r>
        <w:rPr>
          <w:rFonts w:asciiTheme="minorHAnsi" w:hAnsiTheme="minorHAnsi"/>
          <w:lang w:val="fr-CA"/>
        </w:rPr>
        <w:t>un certain nombre d’autres actions ont été identifiées par le Secrétariat comme n’étant pas reflétées dans le budget convenu pour les fonds non administratifs dans l’annexe 3 de la Résolution </w:t>
      </w:r>
      <w:r w:rsidR="00125BC4" w:rsidRPr="00A778BF">
        <w:rPr>
          <w:rFonts w:asciiTheme="minorHAnsi" w:hAnsiTheme="minorHAnsi"/>
          <w:lang w:val="fr-CA"/>
        </w:rPr>
        <w:t xml:space="preserve">XII.1. </w:t>
      </w:r>
      <w:r>
        <w:rPr>
          <w:rFonts w:asciiTheme="minorHAnsi" w:hAnsiTheme="minorHAnsi"/>
          <w:lang w:val="fr-CA"/>
        </w:rPr>
        <w:t xml:space="preserve">Le présent document a donc été préparé afin de compléter le financement non administratif pour les projets prioritaires déjà acceptés et afin de tenir compte des plans de travail du Secrétariat tels qu’ils sont présentés dans le document </w:t>
      </w:r>
      <w:r w:rsidR="009A48DD" w:rsidRPr="0069072D">
        <w:rPr>
          <w:rFonts w:asciiTheme="minorHAnsi" w:hAnsiTheme="minorHAnsi"/>
          <w:lang w:val="fr-CA"/>
        </w:rPr>
        <w:t>SC51</w:t>
      </w:r>
      <w:r w:rsidR="0069072D" w:rsidRPr="0069072D">
        <w:rPr>
          <w:rFonts w:asciiTheme="minorHAnsi" w:hAnsiTheme="minorHAnsi"/>
          <w:lang w:val="fr-CA"/>
        </w:rPr>
        <w:t>-07</w:t>
      </w:r>
      <w:r w:rsidR="00CB792A" w:rsidRPr="00A778BF">
        <w:rPr>
          <w:rFonts w:asciiTheme="minorHAnsi" w:hAnsiTheme="minorHAnsi"/>
          <w:lang w:val="fr-CA"/>
        </w:rPr>
        <w:t>.</w:t>
      </w:r>
      <w:r w:rsidR="001B72FB" w:rsidRPr="00A778BF">
        <w:rPr>
          <w:rFonts w:asciiTheme="minorHAnsi" w:hAnsiTheme="minorHAnsi"/>
          <w:lang w:val="fr-CA"/>
        </w:rPr>
        <w:t xml:space="preserve"> </w:t>
      </w:r>
    </w:p>
    <w:p w:rsidR="00CB792A" w:rsidRPr="00A778BF" w:rsidRDefault="00CB792A" w:rsidP="002E1289">
      <w:pPr>
        <w:pStyle w:val="ListParagraph"/>
        <w:ind w:left="426" w:hanging="426"/>
        <w:jc w:val="left"/>
        <w:rPr>
          <w:rFonts w:asciiTheme="minorHAnsi" w:hAnsiTheme="minorHAnsi"/>
          <w:lang w:val="fr-CA"/>
        </w:rPr>
      </w:pPr>
    </w:p>
    <w:p w:rsidR="00BE5EAD" w:rsidRPr="00A778BF" w:rsidRDefault="000E5353" w:rsidP="002E1289">
      <w:pPr>
        <w:pStyle w:val="ListParagraph"/>
        <w:numPr>
          <w:ilvl w:val="0"/>
          <w:numId w:val="19"/>
        </w:numPr>
        <w:autoSpaceDE w:val="0"/>
        <w:autoSpaceDN w:val="0"/>
        <w:adjustRightInd w:val="0"/>
        <w:ind w:left="426" w:hanging="426"/>
        <w:jc w:val="left"/>
        <w:rPr>
          <w:rFonts w:asciiTheme="minorHAnsi" w:hAnsiTheme="minorHAnsi"/>
          <w:lang w:val="fr-CA"/>
        </w:rPr>
      </w:pPr>
      <w:r>
        <w:rPr>
          <w:rFonts w:asciiTheme="minorHAnsi" w:hAnsiTheme="minorHAnsi"/>
          <w:lang w:val="fr-CA"/>
        </w:rPr>
        <w:t xml:space="preserve">Les estimations de coûts qui suivent indiquent les domaines où un appui supplémentaire serait nécessaire pour parvenir à l’application pleine et entière des Résolutions de la </w:t>
      </w:r>
      <w:r w:rsidR="00CB792A" w:rsidRPr="00A778BF">
        <w:rPr>
          <w:rFonts w:asciiTheme="minorHAnsi" w:hAnsiTheme="minorHAnsi"/>
          <w:lang w:val="fr-CA"/>
        </w:rPr>
        <w:t xml:space="preserve">COP12, </w:t>
      </w:r>
      <w:r>
        <w:rPr>
          <w:rFonts w:asciiTheme="minorHAnsi" w:hAnsiTheme="minorHAnsi"/>
          <w:lang w:val="fr-CA"/>
        </w:rPr>
        <w:t>conformément aux obligations contenues dans l’article 14 du Règlement intérieur</w:t>
      </w:r>
      <w:r w:rsidR="00CB792A" w:rsidRPr="00A778BF">
        <w:rPr>
          <w:rStyle w:val="FootnoteReference"/>
          <w:rFonts w:asciiTheme="minorHAnsi" w:hAnsiTheme="minorHAnsi"/>
          <w:lang w:val="fr-CA"/>
        </w:rPr>
        <w:footnoteReference w:id="2"/>
      </w:r>
      <w:r w:rsidR="00CB792A" w:rsidRPr="00A778BF">
        <w:rPr>
          <w:rFonts w:asciiTheme="minorHAnsi" w:hAnsiTheme="minorHAnsi"/>
          <w:lang w:val="fr-CA"/>
        </w:rPr>
        <w:t xml:space="preserve">. </w:t>
      </w:r>
      <w:r>
        <w:rPr>
          <w:rFonts w:asciiTheme="minorHAnsi" w:hAnsiTheme="minorHAnsi"/>
          <w:lang w:val="fr-CA"/>
        </w:rPr>
        <w:t xml:space="preserve">Le Secrétariat fait remarquer que les mesures nécessaires pour </w:t>
      </w:r>
      <w:r w:rsidR="002E157F">
        <w:rPr>
          <w:rFonts w:asciiTheme="minorHAnsi" w:hAnsiTheme="minorHAnsi"/>
          <w:lang w:val="fr-CA"/>
        </w:rPr>
        <w:t>appliquer</w:t>
      </w:r>
      <w:r>
        <w:rPr>
          <w:rFonts w:asciiTheme="minorHAnsi" w:hAnsiTheme="minorHAnsi"/>
          <w:lang w:val="fr-CA"/>
        </w:rPr>
        <w:t xml:space="preserve"> cet article n’ont pas été suivies </w:t>
      </w:r>
      <w:r w:rsidR="002E157F">
        <w:rPr>
          <w:rFonts w:asciiTheme="minorHAnsi" w:hAnsiTheme="minorHAnsi"/>
          <w:lang w:val="fr-CA"/>
        </w:rPr>
        <w:t>jusqu’ici</w:t>
      </w:r>
      <w:r>
        <w:rPr>
          <w:rFonts w:asciiTheme="minorHAnsi" w:hAnsiTheme="minorHAnsi"/>
          <w:lang w:val="fr-CA"/>
        </w:rPr>
        <w:t xml:space="preserve"> et a l’intention de les inclure dans l</w:t>
      </w:r>
      <w:r w:rsidR="002E157F">
        <w:rPr>
          <w:rFonts w:asciiTheme="minorHAnsi" w:hAnsiTheme="minorHAnsi"/>
          <w:lang w:val="fr-CA"/>
        </w:rPr>
        <w:t>es préparatifs de</w:t>
      </w:r>
      <w:r>
        <w:rPr>
          <w:rFonts w:asciiTheme="minorHAnsi" w:hAnsiTheme="minorHAnsi"/>
          <w:lang w:val="fr-CA"/>
        </w:rPr>
        <w:t xml:space="preserve"> la COP13. En conséquence, le présent document reflète les obligations faites au Secrétariat de préparer les détails des </w:t>
      </w:r>
      <w:r>
        <w:rPr>
          <w:rFonts w:asciiTheme="minorHAnsi" w:hAnsiTheme="minorHAnsi"/>
          <w:lang w:val="fr-CA"/>
        </w:rPr>
        <w:lastRenderedPageBreak/>
        <w:t xml:space="preserve">conséquences administratives et financières prévues pour toutes les décisions de la COP12 dès leur approbation, en juin 2015. </w:t>
      </w:r>
    </w:p>
    <w:p w:rsidR="00BE5EAD" w:rsidRPr="00A778BF" w:rsidRDefault="00BE5EAD" w:rsidP="002E1289">
      <w:pPr>
        <w:autoSpaceDE w:val="0"/>
        <w:autoSpaceDN w:val="0"/>
        <w:adjustRightInd w:val="0"/>
        <w:rPr>
          <w:rFonts w:asciiTheme="minorHAnsi" w:hAnsiTheme="minorHAnsi"/>
          <w:sz w:val="22"/>
          <w:szCs w:val="22"/>
          <w:lang w:val="fr-CA"/>
        </w:rPr>
      </w:pPr>
    </w:p>
    <w:p w:rsidR="00FE3C74" w:rsidRPr="00A778BF" w:rsidRDefault="000E5353" w:rsidP="002E1289">
      <w:pPr>
        <w:ind w:left="720" w:hanging="720"/>
        <w:rPr>
          <w:rFonts w:asciiTheme="minorHAnsi" w:hAnsiTheme="minorHAnsi"/>
          <w:b/>
          <w:sz w:val="22"/>
          <w:szCs w:val="22"/>
          <w:lang w:val="fr-CA"/>
        </w:rPr>
      </w:pPr>
      <w:r w:rsidRPr="00A778BF">
        <w:rPr>
          <w:rFonts w:asciiTheme="minorHAnsi" w:hAnsiTheme="minorHAnsi"/>
          <w:b/>
          <w:sz w:val="22"/>
          <w:szCs w:val="22"/>
          <w:lang w:val="fr-CA"/>
        </w:rPr>
        <w:t>Considération</w:t>
      </w:r>
      <w:r w:rsidR="002E157F">
        <w:rPr>
          <w:rFonts w:asciiTheme="minorHAnsi" w:hAnsiTheme="minorHAnsi"/>
          <w:b/>
          <w:sz w:val="22"/>
          <w:szCs w:val="22"/>
          <w:lang w:val="fr-CA"/>
        </w:rPr>
        <w:t>s</w:t>
      </w:r>
      <w:r w:rsidR="00D12244" w:rsidRPr="00A778BF">
        <w:rPr>
          <w:rFonts w:asciiTheme="minorHAnsi" w:hAnsiTheme="minorHAnsi"/>
          <w:b/>
          <w:sz w:val="22"/>
          <w:szCs w:val="22"/>
          <w:lang w:val="fr-CA"/>
        </w:rPr>
        <w:t xml:space="preserve"> </w:t>
      </w:r>
      <w:r>
        <w:rPr>
          <w:rFonts w:asciiTheme="minorHAnsi" w:hAnsiTheme="minorHAnsi"/>
          <w:b/>
          <w:sz w:val="22"/>
          <w:szCs w:val="22"/>
          <w:lang w:val="fr-CA"/>
        </w:rPr>
        <w:t>relative</w:t>
      </w:r>
      <w:r w:rsidR="002E157F">
        <w:rPr>
          <w:rFonts w:asciiTheme="minorHAnsi" w:hAnsiTheme="minorHAnsi"/>
          <w:b/>
          <w:sz w:val="22"/>
          <w:szCs w:val="22"/>
          <w:lang w:val="fr-CA"/>
        </w:rPr>
        <w:t>s</w:t>
      </w:r>
      <w:r>
        <w:rPr>
          <w:rFonts w:asciiTheme="minorHAnsi" w:hAnsiTheme="minorHAnsi"/>
          <w:b/>
          <w:sz w:val="22"/>
          <w:szCs w:val="22"/>
          <w:lang w:val="fr-CA"/>
        </w:rPr>
        <w:t xml:space="preserve"> aux fonds nécessaires pour appliquer toutes les Résolutions de la COP12 durant la période triennale </w:t>
      </w:r>
    </w:p>
    <w:p w:rsidR="00A46E45" w:rsidRPr="00A778BF" w:rsidRDefault="00A46E45" w:rsidP="002E1289">
      <w:pPr>
        <w:ind w:left="720" w:hanging="720"/>
        <w:rPr>
          <w:rFonts w:asciiTheme="minorHAnsi" w:hAnsiTheme="minorHAnsi"/>
          <w:b/>
          <w:sz w:val="22"/>
          <w:szCs w:val="22"/>
          <w:lang w:val="fr-CA"/>
        </w:rPr>
      </w:pPr>
    </w:p>
    <w:p w:rsidR="00EA3B55" w:rsidRPr="00A778BF" w:rsidRDefault="000E5353" w:rsidP="002E1289">
      <w:pPr>
        <w:pStyle w:val="ListParagraph"/>
        <w:numPr>
          <w:ilvl w:val="0"/>
          <w:numId w:val="19"/>
        </w:numPr>
        <w:ind w:left="426" w:hanging="426"/>
        <w:jc w:val="left"/>
        <w:rPr>
          <w:rFonts w:asciiTheme="minorHAnsi" w:hAnsiTheme="minorHAnsi"/>
          <w:lang w:val="fr-CA"/>
        </w:rPr>
      </w:pPr>
      <w:r>
        <w:rPr>
          <w:rFonts w:asciiTheme="minorHAnsi" w:hAnsiTheme="minorHAnsi"/>
          <w:lang w:val="fr-CA"/>
        </w:rPr>
        <w:t xml:space="preserve">Toutes les Résolutions de la </w:t>
      </w:r>
      <w:r w:rsidR="00483B22" w:rsidRPr="00A778BF">
        <w:rPr>
          <w:rFonts w:asciiTheme="minorHAnsi" w:hAnsiTheme="minorHAnsi"/>
          <w:lang w:val="fr-CA"/>
        </w:rPr>
        <w:t xml:space="preserve">COP12 </w:t>
      </w:r>
      <w:r>
        <w:rPr>
          <w:rFonts w:asciiTheme="minorHAnsi" w:hAnsiTheme="minorHAnsi"/>
          <w:lang w:val="fr-CA"/>
        </w:rPr>
        <w:t>qui doivent être appliquées avec des fonds non administratifs sont énumérées dans l’annexe 1, avec une estimation des fonds requis pour chacune. Ces fonds sont classés comme suit :</w:t>
      </w:r>
    </w:p>
    <w:p w:rsidR="00125BC4" w:rsidRPr="00A778BF" w:rsidRDefault="000E5353" w:rsidP="002E1289">
      <w:pPr>
        <w:pStyle w:val="ListParagraph"/>
        <w:numPr>
          <w:ilvl w:val="1"/>
          <w:numId w:val="23"/>
        </w:numPr>
        <w:ind w:left="851" w:hanging="425"/>
        <w:jc w:val="left"/>
        <w:rPr>
          <w:rFonts w:asciiTheme="minorHAnsi" w:hAnsiTheme="minorHAnsi"/>
          <w:lang w:val="fr-CA"/>
        </w:rPr>
      </w:pPr>
      <w:r>
        <w:rPr>
          <w:rFonts w:asciiTheme="minorHAnsi" w:hAnsiTheme="minorHAnsi"/>
          <w:lang w:val="fr-CA"/>
        </w:rPr>
        <w:t xml:space="preserve">soit des fonds non administratifs déjà inscrits au budget au titre de l’annexe 3 de la Résolution </w:t>
      </w:r>
      <w:r w:rsidR="00125BC4" w:rsidRPr="00A778BF">
        <w:rPr>
          <w:rFonts w:asciiTheme="minorHAnsi" w:hAnsiTheme="minorHAnsi"/>
          <w:lang w:val="fr-CA"/>
        </w:rPr>
        <w:t>XII.1 (</w:t>
      </w:r>
      <w:r>
        <w:rPr>
          <w:rFonts w:asciiTheme="minorHAnsi" w:hAnsiTheme="minorHAnsi"/>
          <w:lang w:val="fr-CA"/>
        </w:rPr>
        <w:t>« Fonds inscrits au budget non administratif »</w:t>
      </w:r>
      <w:r w:rsidR="00125BC4" w:rsidRPr="00A778BF">
        <w:rPr>
          <w:rFonts w:asciiTheme="minorHAnsi" w:hAnsiTheme="minorHAnsi"/>
          <w:lang w:val="fr-CA"/>
        </w:rPr>
        <w:t>)</w:t>
      </w:r>
      <w:r>
        <w:rPr>
          <w:rFonts w:asciiTheme="minorHAnsi" w:hAnsiTheme="minorHAnsi"/>
          <w:lang w:val="fr-CA"/>
        </w:rPr>
        <w:t>;</w:t>
      </w:r>
    </w:p>
    <w:p w:rsidR="00125BC4" w:rsidRPr="00A778BF" w:rsidRDefault="000E5353" w:rsidP="002E1289">
      <w:pPr>
        <w:pStyle w:val="ListParagraph"/>
        <w:numPr>
          <w:ilvl w:val="1"/>
          <w:numId w:val="23"/>
        </w:numPr>
        <w:ind w:left="851" w:hanging="425"/>
        <w:jc w:val="left"/>
        <w:rPr>
          <w:rFonts w:asciiTheme="minorHAnsi" w:hAnsiTheme="minorHAnsi"/>
          <w:lang w:val="fr-CA"/>
        </w:rPr>
      </w:pPr>
      <w:r>
        <w:rPr>
          <w:rFonts w:asciiTheme="minorHAnsi" w:hAnsiTheme="minorHAnsi"/>
          <w:lang w:val="fr-CA"/>
        </w:rPr>
        <w:t xml:space="preserve">soit des fonds non administratifs qui pourraient être nécessaires pour soutenir d’autres mesures d’application découlant des différentes Résolutions de la </w:t>
      </w:r>
      <w:r w:rsidR="00125BC4" w:rsidRPr="00A778BF">
        <w:rPr>
          <w:rFonts w:asciiTheme="minorHAnsi" w:hAnsiTheme="minorHAnsi"/>
          <w:lang w:val="fr-CA"/>
        </w:rPr>
        <w:t>COP12 (</w:t>
      </w:r>
      <w:r>
        <w:rPr>
          <w:rFonts w:asciiTheme="minorHAnsi" w:hAnsiTheme="minorHAnsi"/>
          <w:lang w:val="fr-CA"/>
        </w:rPr>
        <w:t>« Fonds additionnels non administratifs »</w:t>
      </w:r>
      <w:r w:rsidR="00125BC4" w:rsidRPr="00A778BF">
        <w:rPr>
          <w:rFonts w:asciiTheme="minorHAnsi" w:hAnsiTheme="minorHAnsi"/>
          <w:lang w:val="fr-CA"/>
        </w:rPr>
        <w:t>)</w:t>
      </w:r>
      <w:r>
        <w:rPr>
          <w:rFonts w:asciiTheme="minorHAnsi" w:hAnsiTheme="minorHAnsi"/>
          <w:lang w:val="fr-CA"/>
        </w:rPr>
        <w:t>.</w:t>
      </w:r>
    </w:p>
    <w:p w:rsidR="006B5FCE" w:rsidRPr="00A778BF" w:rsidRDefault="006B5FCE" w:rsidP="006B5FCE">
      <w:pPr>
        <w:rPr>
          <w:rFonts w:asciiTheme="minorHAnsi" w:hAnsiTheme="minorHAnsi"/>
          <w:lang w:val="fr-CA"/>
        </w:rPr>
      </w:pPr>
    </w:p>
    <w:p w:rsidR="00483B22" w:rsidRPr="00A778BF" w:rsidRDefault="000E5353" w:rsidP="002E1289">
      <w:pPr>
        <w:pStyle w:val="ListParagraph"/>
        <w:numPr>
          <w:ilvl w:val="0"/>
          <w:numId w:val="19"/>
        </w:numPr>
        <w:ind w:left="426" w:hanging="426"/>
        <w:jc w:val="left"/>
        <w:rPr>
          <w:rFonts w:asciiTheme="minorHAnsi" w:hAnsiTheme="minorHAnsi"/>
          <w:lang w:val="fr-CA"/>
        </w:rPr>
      </w:pPr>
      <w:r>
        <w:rPr>
          <w:rFonts w:asciiTheme="minorHAnsi" w:hAnsiTheme="minorHAnsi"/>
          <w:lang w:val="fr-CA"/>
        </w:rPr>
        <w:t xml:space="preserve">Les mesures à appliquer et les fonds nécessaires pour chaque Résolution de la </w:t>
      </w:r>
      <w:r w:rsidR="001B72FB" w:rsidRPr="00A778BF">
        <w:rPr>
          <w:rFonts w:asciiTheme="minorHAnsi" w:hAnsiTheme="minorHAnsi"/>
          <w:lang w:val="fr-CA"/>
        </w:rPr>
        <w:t>COP</w:t>
      </w:r>
      <w:r w:rsidR="002E1289" w:rsidRPr="00A778BF">
        <w:rPr>
          <w:rFonts w:asciiTheme="minorHAnsi" w:hAnsiTheme="minorHAnsi"/>
          <w:lang w:val="fr-CA"/>
        </w:rPr>
        <w:t xml:space="preserve">12 </w:t>
      </w:r>
      <w:r>
        <w:rPr>
          <w:rFonts w:asciiTheme="minorHAnsi" w:hAnsiTheme="minorHAnsi"/>
          <w:lang w:val="fr-CA"/>
        </w:rPr>
        <w:t xml:space="preserve">sont énumérés en plus grand détail dans l’annexe 2, </w:t>
      </w:r>
      <w:r w:rsidR="002E157F">
        <w:rPr>
          <w:rFonts w:asciiTheme="minorHAnsi" w:hAnsiTheme="minorHAnsi"/>
          <w:lang w:val="fr-CA"/>
        </w:rPr>
        <w:t xml:space="preserve">avec </w:t>
      </w:r>
      <w:r>
        <w:rPr>
          <w:rFonts w:asciiTheme="minorHAnsi" w:hAnsiTheme="minorHAnsi"/>
          <w:lang w:val="fr-CA"/>
        </w:rPr>
        <w:t>référenc</w:t>
      </w:r>
      <w:r w:rsidR="002E157F">
        <w:rPr>
          <w:rFonts w:asciiTheme="minorHAnsi" w:hAnsiTheme="minorHAnsi"/>
          <w:lang w:val="fr-CA"/>
        </w:rPr>
        <w:t>e aux</w:t>
      </w:r>
      <w:r>
        <w:rPr>
          <w:rFonts w:asciiTheme="minorHAnsi" w:hAnsiTheme="minorHAnsi"/>
          <w:lang w:val="fr-CA"/>
        </w:rPr>
        <w:t xml:space="preserve"> paragraphes pertinents de chaque Résolution.</w:t>
      </w:r>
      <w:r w:rsidR="00483B22" w:rsidRPr="00A778BF">
        <w:rPr>
          <w:rFonts w:asciiTheme="minorHAnsi" w:hAnsiTheme="minorHAnsi"/>
          <w:lang w:val="fr-CA"/>
        </w:rPr>
        <w:t xml:space="preserve"> </w:t>
      </w:r>
    </w:p>
    <w:p w:rsidR="00483B22" w:rsidRPr="00A778BF" w:rsidRDefault="00483B22" w:rsidP="002E1289">
      <w:pPr>
        <w:pStyle w:val="ListParagraph"/>
        <w:ind w:left="426" w:hanging="426"/>
        <w:jc w:val="left"/>
        <w:rPr>
          <w:rFonts w:asciiTheme="minorHAnsi" w:hAnsiTheme="minorHAnsi"/>
          <w:lang w:val="fr-CA"/>
        </w:rPr>
      </w:pPr>
    </w:p>
    <w:p w:rsidR="00442350" w:rsidRPr="00A778BF" w:rsidRDefault="000E5353" w:rsidP="00802DF7">
      <w:pPr>
        <w:pStyle w:val="ListParagraph"/>
        <w:numPr>
          <w:ilvl w:val="0"/>
          <w:numId w:val="19"/>
        </w:numPr>
        <w:ind w:left="426" w:hanging="426"/>
        <w:jc w:val="left"/>
        <w:rPr>
          <w:rFonts w:asciiTheme="minorHAnsi" w:eastAsiaTheme="minorHAnsi" w:hAnsiTheme="minorHAnsi" w:cs="Calibri-Bold"/>
          <w:b/>
          <w:bCs/>
          <w:lang w:val="fr-CA"/>
        </w:rPr>
      </w:pPr>
      <w:r>
        <w:rPr>
          <w:rFonts w:asciiTheme="minorHAnsi" w:hAnsiTheme="minorHAnsi"/>
          <w:lang w:val="fr-CA"/>
        </w:rPr>
        <w:t>L’annexe </w:t>
      </w:r>
      <w:r w:rsidR="00483B22" w:rsidRPr="00A778BF">
        <w:rPr>
          <w:rFonts w:asciiTheme="minorHAnsi" w:hAnsiTheme="minorHAnsi"/>
          <w:lang w:val="fr-CA"/>
        </w:rPr>
        <w:t xml:space="preserve">1 </w:t>
      </w:r>
      <w:r>
        <w:rPr>
          <w:rFonts w:asciiTheme="minorHAnsi" w:hAnsiTheme="minorHAnsi"/>
          <w:lang w:val="fr-CA"/>
        </w:rPr>
        <w:t xml:space="preserve">montre un total de besoins en fonds non administratifs pour la période triennale s’élevant à </w:t>
      </w:r>
      <w:r w:rsidR="0069072D">
        <w:rPr>
          <w:rFonts w:asciiTheme="minorHAnsi" w:hAnsiTheme="minorHAnsi"/>
          <w:lang w:val="fr-CA"/>
        </w:rPr>
        <w:t>5</w:t>
      </w:r>
      <w:r>
        <w:rPr>
          <w:rFonts w:asciiTheme="minorHAnsi" w:hAnsiTheme="minorHAnsi"/>
          <w:lang w:val="fr-CA"/>
        </w:rPr>
        <w:t> </w:t>
      </w:r>
      <w:r w:rsidR="007825EC">
        <w:rPr>
          <w:rFonts w:asciiTheme="minorHAnsi" w:hAnsiTheme="minorHAnsi"/>
          <w:lang w:val="fr-CA"/>
        </w:rPr>
        <w:t>119</w:t>
      </w:r>
      <w:r>
        <w:rPr>
          <w:rFonts w:asciiTheme="minorHAnsi" w:hAnsiTheme="minorHAnsi"/>
          <w:lang w:val="fr-CA"/>
        </w:rPr>
        <w:t> </w:t>
      </w:r>
      <w:r w:rsidR="00442350" w:rsidRPr="00A778BF">
        <w:rPr>
          <w:rFonts w:asciiTheme="minorHAnsi" w:hAnsiTheme="minorHAnsi"/>
          <w:lang w:val="fr-CA"/>
        </w:rPr>
        <w:t>000</w:t>
      </w:r>
      <w:r>
        <w:rPr>
          <w:rFonts w:asciiTheme="minorHAnsi" w:hAnsiTheme="minorHAnsi"/>
          <w:lang w:val="fr-CA"/>
        </w:rPr>
        <w:t> CHF</w:t>
      </w:r>
      <w:r w:rsidR="00CB792A" w:rsidRPr="00A778BF">
        <w:rPr>
          <w:rFonts w:asciiTheme="minorHAnsi" w:hAnsiTheme="minorHAnsi"/>
          <w:lang w:val="fr-CA"/>
        </w:rPr>
        <w:t xml:space="preserve">, </w:t>
      </w:r>
      <w:r w:rsidR="002E157F">
        <w:rPr>
          <w:rFonts w:asciiTheme="minorHAnsi" w:hAnsiTheme="minorHAnsi"/>
          <w:lang w:val="fr-CA"/>
        </w:rPr>
        <w:t>y compris l</w:t>
      </w:r>
      <w:r>
        <w:rPr>
          <w:rFonts w:asciiTheme="minorHAnsi" w:hAnsiTheme="minorHAnsi"/>
          <w:lang w:val="fr-CA"/>
        </w:rPr>
        <w:t xml:space="preserve">es fonds inscrits au budget non administratif et les fonds additionnels </w:t>
      </w:r>
      <w:r w:rsidR="0069072D">
        <w:rPr>
          <w:rFonts w:asciiTheme="minorHAnsi" w:hAnsiTheme="minorHAnsi"/>
          <w:lang w:val="fr-CA"/>
        </w:rPr>
        <w:t>non administratifs nécessaires.</w:t>
      </w:r>
    </w:p>
    <w:p w:rsidR="00442350" w:rsidRPr="00A778BF" w:rsidRDefault="00442350" w:rsidP="002E1289">
      <w:pPr>
        <w:pStyle w:val="ListParagraph"/>
        <w:ind w:left="426" w:hanging="426"/>
        <w:jc w:val="left"/>
        <w:rPr>
          <w:rFonts w:asciiTheme="minorHAnsi" w:hAnsiTheme="minorHAnsi"/>
          <w:lang w:val="fr-CA"/>
        </w:rPr>
      </w:pPr>
    </w:p>
    <w:p w:rsidR="0069072D" w:rsidRPr="0069072D" w:rsidRDefault="0069072D" w:rsidP="002E1289">
      <w:pPr>
        <w:pStyle w:val="ListParagraph"/>
        <w:numPr>
          <w:ilvl w:val="0"/>
          <w:numId w:val="19"/>
        </w:numPr>
        <w:ind w:left="426" w:hanging="426"/>
        <w:jc w:val="left"/>
        <w:rPr>
          <w:rFonts w:asciiTheme="minorHAnsi" w:eastAsiaTheme="minorHAnsi" w:hAnsiTheme="minorHAnsi" w:cs="Calibri-Bold"/>
          <w:b/>
          <w:bCs/>
          <w:lang w:val="fr-CA"/>
        </w:rPr>
      </w:pPr>
      <w:r>
        <w:rPr>
          <w:rFonts w:asciiTheme="minorHAnsi" w:hAnsiTheme="minorHAnsi"/>
          <w:lang w:val="fr-CA"/>
        </w:rPr>
        <w:t>Le nouveau Coordonnateur des partenariats sera chargé d’</w:t>
      </w:r>
      <w:r w:rsidR="00E91F78">
        <w:rPr>
          <w:rFonts w:asciiTheme="minorHAnsi" w:hAnsiTheme="minorHAnsi"/>
          <w:lang w:val="fr-CA"/>
        </w:rPr>
        <w:t>élaborer de nouvelles approche</w:t>
      </w:r>
      <w:r w:rsidR="002E157F">
        <w:rPr>
          <w:rFonts w:asciiTheme="minorHAnsi" w:hAnsiTheme="minorHAnsi"/>
          <w:lang w:val="fr-CA"/>
        </w:rPr>
        <w:t>s et de nouveaux outils d’appel</w:t>
      </w:r>
      <w:r w:rsidR="00E91F78">
        <w:rPr>
          <w:rFonts w:asciiTheme="minorHAnsi" w:hAnsiTheme="minorHAnsi"/>
          <w:lang w:val="fr-CA"/>
        </w:rPr>
        <w:t xml:space="preserve"> de fonds (comme décrit dans la Résolution </w:t>
      </w:r>
      <w:r w:rsidR="00483B22" w:rsidRPr="00A778BF">
        <w:rPr>
          <w:rFonts w:asciiTheme="minorHAnsi" w:hAnsiTheme="minorHAnsi"/>
          <w:lang w:val="fr-CA"/>
        </w:rPr>
        <w:t>XII.1</w:t>
      </w:r>
      <w:r w:rsidR="00E91F78">
        <w:rPr>
          <w:rFonts w:asciiTheme="minorHAnsi" w:hAnsiTheme="minorHAnsi"/>
          <w:lang w:val="fr-CA"/>
        </w:rPr>
        <w:t>, paragraphe </w:t>
      </w:r>
      <w:r w:rsidR="00483B22" w:rsidRPr="00A778BF">
        <w:rPr>
          <w:rFonts w:asciiTheme="minorHAnsi" w:hAnsiTheme="minorHAnsi"/>
          <w:lang w:val="fr-CA"/>
        </w:rPr>
        <w:t>20</w:t>
      </w:r>
      <w:r w:rsidR="00442350" w:rsidRPr="00A778BF">
        <w:rPr>
          <w:rFonts w:asciiTheme="minorHAnsi" w:hAnsiTheme="minorHAnsi"/>
          <w:lang w:val="fr-CA"/>
        </w:rPr>
        <w:t>)</w:t>
      </w:r>
      <w:r w:rsidR="00483B22" w:rsidRPr="00A778BF">
        <w:rPr>
          <w:rFonts w:asciiTheme="minorHAnsi" w:hAnsiTheme="minorHAnsi"/>
          <w:lang w:val="fr-CA"/>
        </w:rPr>
        <w:t>.</w:t>
      </w:r>
    </w:p>
    <w:p w:rsidR="0069072D" w:rsidRPr="0069072D" w:rsidRDefault="0069072D" w:rsidP="0069072D">
      <w:pPr>
        <w:pStyle w:val="ListParagraph"/>
        <w:ind w:left="426"/>
        <w:jc w:val="left"/>
        <w:rPr>
          <w:rFonts w:asciiTheme="minorHAnsi" w:eastAsiaTheme="minorHAnsi" w:hAnsiTheme="minorHAnsi" w:cs="Calibri-Bold"/>
          <w:b/>
          <w:bCs/>
          <w:lang w:val="fr-CA"/>
        </w:rPr>
      </w:pPr>
    </w:p>
    <w:p w:rsidR="00C80D1A" w:rsidRPr="006D32D6" w:rsidRDefault="002E1289" w:rsidP="002E1289">
      <w:pPr>
        <w:pStyle w:val="ListParagraph"/>
        <w:numPr>
          <w:ilvl w:val="0"/>
          <w:numId w:val="19"/>
        </w:numPr>
        <w:ind w:left="426" w:hanging="426"/>
        <w:jc w:val="left"/>
        <w:rPr>
          <w:rFonts w:asciiTheme="minorHAnsi" w:eastAsiaTheme="minorHAnsi" w:hAnsiTheme="minorHAnsi" w:cs="Calibri-Bold"/>
          <w:b/>
          <w:bCs/>
          <w:lang w:val="fr-CA"/>
        </w:rPr>
      </w:pPr>
      <w:r w:rsidRPr="00A778BF">
        <w:rPr>
          <w:rFonts w:asciiTheme="minorHAnsi" w:hAnsiTheme="minorHAnsi"/>
          <w:lang w:val="fr-CA"/>
        </w:rPr>
        <w:t xml:space="preserve"> </w:t>
      </w:r>
      <w:r w:rsidR="0069072D">
        <w:rPr>
          <w:rFonts w:asciiTheme="minorHAnsi" w:hAnsiTheme="minorHAnsi"/>
          <w:lang w:val="fr-CA"/>
        </w:rPr>
        <w:t xml:space="preserve">Les fonds déjà obtenus en date de juin 2016 sont indiqués </w:t>
      </w:r>
      <w:r w:rsidR="00656CC2">
        <w:rPr>
          <w:rFonts w:asciiTheme="minorHAnsi" w:hAnsiTheme="minorHAnsi"/>
          <w:lang w:val="fr-CA"/>
        </w:rPr>
        <w:t>d</w:t>
      </w:r>
      <w:r w:rsidR="0069072D">
        <w:rPr>
          <w:rFonts w:asciiTheme="minorHAnsi" w:hAnsiTheme="minorHAnsi"/>
          <w:lang w:val="fr-CA"/>
        </w:rPr>
        <w:t xml:space="preserve">ans le document </w:t>
      </w:r>
      <w:r w:rsidR="0069072D" w:rsidRPr="006D32D6">
        <w:rPr>
          <w:rFonts w:asciiTheme="minorHAnsi" w:hAnsiTheme="minorHAnsi"/>
          <w:lang w:val="fr-CA"/>
        </w:rPr>
        <w:t>SC52-</w:t>
      </w:r>
      <w:r w:rsidR="00656CC2" w:rsidRPr="006D32D6">
        <w:rPr>
          <w:rFonts w:asciiTheme="minorHAnsi" w:hAnsiTheme="minorHAnsi"/>
          <w:lang w:val="fr-CA"/>
        </w:rPr>
        <w:t>20</w:t>
      </w:r>
      <w:r w:rsidR="0069072D" w:rsidRPr="006D32D6">
        <w:rPr>
          <w:rFonts w:asciiTheme="minorHAnsi" w:hAnsiTheme="minorHAnsi"/>
          <w:lang w:val="fr-CA"/>
        </w:rPr>
        <w:t xml:space="preserve"> </w:t>
      </w:r>
      <w:r w:rsidR="00656CC2" w:rsidRPr="006D32D6">
        <w:rPr>
          <w:rFonts w:asciiTheme="minorHAnsi" w:eastAsia="Times New Roman" w:hAnsiTheme="minorHAnsi"/>
          <w:i/>
          <w:lang w:val="fr-CH"/>
        </w:rPr>
        <w:t>Rapport sur l’examen de la mobilisation des ressources</w:t>
      </w:r>
      <w:r w:rsidR="006D32D6" w:rsidRPr="006D32D6">
        <w:rPr>
          <w:rFonts w:asciiTheme="minorHAnsi" w:eastAsia="Times New Roman" w:hAnsiTheme="minorHAnsi"/>
          <w:i/>
          <w:lang w:val="fr-CH"/>
        </w:rPr>
        <w:t xml:space="preserve"> de toutes les sources</w:t>
      </w:r>
      <w:r w:rsidR="00656CC2" w:rsidRPr="006D32D6">
        <w:rPr>
          <w:rFonts w:asciiTheme="minorHAnsi" w:eastAsia="Times New Roman" w:hAnsiTheme="minorHAnsi"/>
          <w:i/>
          <w:lang w:val="fr-CH"/>
        </w:rPr>
        <w:t xml:space="preserve">, </w:t>
      </w:r>
      <w:r w:rsidR="006D32D6" w:rsidRPr="006D32D6">
        <w:rPr>
          <w:rFonts w:asciiTheme="minorHAnsi" w:eastAsia="Times New Roman" w:hAnsiTheme="minorHAnsi"/>
          <w:i/>
          <w:lang w:val="fr-CH"/>
        </w:rPr>
        <w:t xml:space="preserve">en </w:t>
      </w:r>
      <w:r w:rsidR="00656CC2" w:rsidRPr="006D32D6">
        <w:rPr>
          <w:rFonts w:asciiTheme="minorHAnsi" w:eastAsia="Times New Roman" w:hAnsiTheme="minorHAnsi"/>
          <w:i/>
          <w:lang w:val="fr-CH"/>
        </w:rPr>
        <w:t>particuli</w:t>
      </w:r>
      <w:r w:rsidR="006D32D6" w:rsidRPr="006D32D6">
        <w:rPr>
          <w:rFonts w:asciiTheme="minorHAnsi" w:eastAsia="Times New Roman" w:hAnsiTheme="minorHAnsi"/>
          <w:i/>
          <w:lang w:val="fr-CH"/>
        </w:rPr>
        <w:t>er</w:t>
      </w:r>
      <w:r w:rsidR="00656CC2" w:rsidRPr="006D32D6">
        <w:rPr>
          <w:rFonts w:asciiTheme="minorHAnsi" w:eastAsia="Times New Roman" w:hAnsiTheme="minorHAnsi"/>
          <w:i/>
          <w:lang w:val="fr-CH"/>
        </w:rPr>
        <w:t xml:space="preserve"> du point de vue des appels de fonds.</w:t>
      </w:r>
    </w:p>
    <w:p w:rsidR="00003727" w:rsidRPr="00A778BF" w:rsidRDefault="00003727" w:rsidP="002E1289">
      <w:pPr>
        <w:pStyle w:val="ListParagraph"/>
        <w:ind w:left="426" w:hanging="426"/>
        <w:jc w:val="left"/>
        <w:rPr>
          <w:rFonts w:asciiTheme="minorHAnsi" w:eastAsiaTheme="minorHAnsi" w:hAnsiTheme="minorHAnsi" w:cs="Calibri-Bold"/>
          <w:bCs/>
          <w:lang w:val="fr-CA"/>
        </w:rPr>
      </w:pPr>
    </w:p>
    <w:p w:rsidR="00003727" w:rsidRPr="00A778BF" w:rsidRDefault="00E91F78" w:rsidP="002E1289">
      <w:pPr>
        <w:pStyle w:val="ListParagraph"/>
        <w:numPr>
          <w:ilvl w:val="0"/>
          <w:numId w:val="19"/>
        </w:numPr>
        <w:ind w:left="426" w:hanging="426"/>
        <w:jc w:val="left"/>
        <w:rPr>
          <w:rFonts w:asciiTheme="minorHAnsi" w:eastAsiaTheme="minorHAnsi" w:hAnsiTheme="minorHAnsi" w:cs="Calibri-Bold"/>
          <w:bCs/>
          <w:lang w:val="fr-CA"/>
        </w:rPr>
      </w:pPr>
      <w:r>
        <w:rPr>
          <w:rFonts w:asciiTheme="minorHAnsi" w:eastAsiaTheme="minorHAnsi" w:hAnsiTheme="minorHAnsi" w:cs="Calibri-Bold"/>
          <w:bCs/>
          <w:lang w:val="fr-CA"/>
        </w:rPr>
        <w:t xml:space="preserve">Si les ressources mobilisées </w:t>
      </w:r>
      <w:r w:rsidR="00656CC2">
        <w:rPr>
          <w:rFonts w:asciiTheme="minorHAnsi" w:eastAsiaTheme="minorHAnsi" w:hAnsiTheme="minorHAnsi" w:cs="Calibri-Bold"/>
          <w:bCs/>
          <w:lang w:val="fr-CA"/>
        </w:rPr>
        <w:t xml:space="preserve">durant la période triennales </w:t>
      </w:r>
      <w:r>
        <w:rPr>
          <w:rFonts w:asciiTheme="minorHAnsi" w:eastAsiaTheme="minorHAnsi" w:hAnsiTheme="minorHAnsi" w:cs="Calibri-Bold"/>
          <w:bCs/>
          <w:lang w:val="fr-CA"/>
        </w:rPr>
        <w:t xml:space="preserve">sont inférieures au montant de </w:t>
      </w:r>
      <w:r w:rsidR="00656CC2">
        <w:rPr>
          <w:rFonts w:asciiTheme="minorHAnsi" w:eastAsiaTheme="minorHAnsi" w:hAnsiTheme="minorHAnsi" w:cs="Calibri-Bold"/>
          <w:bCs/>
          <w:lang w:val="fr-CA"/>
        </w:rPr>
        <w:t>5</w:t>
      </w:r>
      <w:r>
        <w:rPr>
          <w:rFonts w:asciiTheme="minorHAnsi" w:eastAsiaTheme="minorHAnsi" w:hAnsiTheme="minorHAnsi" w:cs="Calibri-Bold"/>
          <w:bCs/>
          <w:lang w:val="fr-CA"/>
        </w:rPr>
        <w:t> </w:t>
      </w:r>
      <w:r w:rsidR="007825EC">
        <w:rPr>
          <w:rFonts w:asciiTheme="minorHAnsi" w:eastAsiaTheme="minorHAnsi" w:hAnsiTheme="minorHAnsi" w:cs="Calibri-Bold"/>
          <w:bCs/>
          <w:lang w:val="fr-CA"/>
        </w:rPr>
        <w:t>119</w:t>
      </w:r>
      <w:bookmarkStart w:id="0" w:name="_GoBack"/>
      <w:bookmarkEnd w:id="0"/>
      <w:r>
        <w:rPr>
          <w:rFonts w:asciiTheme="minorHAnsi" w:eastAsiaTheme="minorHAnsi" w:hAnsiTheme="minorHAnsi" w:cs="Calibri-Bold"/>
          <w:bCs/>
          <w:lang w:val="fr-CA"/>
        </w:rPr>
        <w:t> </w:t>
      </w:r>
      <w:r w:rsidR="00003727" w:rsidRPr="00A778BF">
        <w:rPr>
          <w:rFonts w:asciiTheme="minorHAnsi" w:eastAsiaTheme="minorHAnsi" w:hAnsiTheme="minorHAnsi" w:cs="Calibri-Bold"/>
          <w:bCs/>
          <w:lang w:val="fr-CA"/>
        </w:rPr>
        <w:t>000</w:t>
      </w:r>
      <w:r>
        <w:rPr>
          <w:rFonts w:asciiTheme="minorHAnsi" w:eastAsiaTheme="minorHAnsi" w:hAnsiTheme="minorHAnsi" w:cs="Calibri-Bold"/>
          <w:bCs/>
          <w:lang w:val="fr-CA"/>
        </w:rPr>
        <w:t xml:space="preserve"> CHF, il est possible que les mesures convenues à la COP12 ne puissent </w:t>
      </w:r>
      <w:r w:rsidR="006D32D6">
        <w:rPr>
          <w:rFonts w:asciiTheme="minorHAnsi" w:eastAsiaTheme="minorHAnsi" w:hAnsiTheme="minorHAnsi" w:cs="Calibri-Bold"/>
          <w:bCs/>
          <w:lang w:val="fr-CA"/>
        </w:rPr>
        <w:t xml:space="preserve">pas toutes </w:t>
      </w:r>
      <w:r>
        <w:rPr>
          <w:rFonts w:asciiTheme="minorHAnsi" w:eastAsiaTheme="minorHAnsi" w:hAnsiTheme="minorHAnsi" w:cs="Calibri-Bold"/>
          <w:bCs/>
          <w:lang w:val="fr-CA"/>
        </w:rPr>
        <w:t xml:space="preserve">être pleinement appliquées. </w:t>
      </w:r>
      <w:r w:rsidR="00003727" w:rsidRPr="00A778BF">
        <w:rPr>
          <w:rFonts w:asciiTheme="minorHAnsi" w:eastAsiaTheme="minorHAnsi" w:hAnsiTheme="minorHAnsi" w:cs="Calibri-Bold"/>
          <w:bCs/>
          <w:lang w:val="fr-CA"/>
        </w:rPr>
        <w:t xml:space="preserve"> </w:t>
      </w:r>
    </w:p>
    <w:p w:rsidR="00003727" w:rsidRPr="00A778BF" w:rsidRDefault="00003727" w:rsidP="002E1289">
      <w:pPr>
        <w:pStyle w:val="ListParagraph"/>
        <w:ind w:left="426" w:hanging="426"/>
        <w:jc w:val="left"/>
        <w:rPr>
          <w:rFonts w:asciiTheme="minorHAnsi" w:eastAsiaTheme="minorHAnsi" w:hAnsiTheme="minorHAnsi" w:cs="Calibri-Bold"/>
          <w:bCs/>
          <w:lang w:val="fr-CA"/>
        </w:rPr>
      </w:pPr>
    </w:p>
    <w:p w:rsidR="00CB792A" w:rsidRPr="00A778BF" w:rsidRDefault="004E373E" w:rsidP="002E1289">
      <w:pPr>
        <w:pStyle w:val="ListParagraph"/>
        <w:numPr>
          <w:ilvl w:val="0"/>
          <w:numId w:val="19"/>
        </w:numPr>
        <w:ind w:left="426" w:hanging="426"/>
        <w:jc w:val="left"/>
        <w:rPr>
          <w:rFonts w:asciiTheme="minorHAnsi" w:eastAsiaTheme="minorHAnsi" w:hAnsiTheme="minorHAnsi" w:cs="Calibri-Bold"/>
          <w:bCs/>
          <w:lang w:val="fr-CA"/>
        </w:rPr>
      </w:pPr>
      <w:r>
        <w:rPr>
          <w:rFonts w:asciiTheme="minorHAnsi" w:eastAsiaTheme="minorHAnsi" w:hAnsiTheme="minorHAnsi" w:cs="Calibri-Bold"/>
          <w:bCs/>
          <w:lang w:val="fr-CA"/>
        </w:rPr>
        <w:t xml:space="preserve">Le Comité permanent est prié de guider le Secrétariat concernant les mesures futures à prendre et </w:t>
      </w:r>
      <w:r w:rsidR="00BD294A">
        <w:rPr>
          <w:rFonts w:asciiTheme="minorHAnsi" w:hAnsiTheme="minorHAnsi"/>
          <w:lang w:val="fr-FR"/>
        </w:rPr>
        <w:t>les sources de financement possibles pour appuyer l’application pleine et entière des Résolutions</w:t>
      </w:r>
      <w:r w:rsidR="00BD294A">
        <w:rPr>
          <w:rFonts w:asciiTheme="minorHAnsi" w:eastAsiaTheme="minorHAnsi" w:hAnsiTheme="minorHAnsi" w:cs="Calibri-Bold"/>
          <w:bCs/>
          <w:lang w:val="fr-CA"/>
        </w:rPr>
        <w:t xml:space="preserve"> de la COP12</w:t>
      </w:r>
      <w:r w:rsidR="009E5776" w:rsidRPr="00A778BF">
        <w:rPr>
          <w:rFonts w:asciiTheme="minorHAnsi" w:eastAsiaTheme="minorHAnsi" w:hAnsiTheme="minorHAnsi" w:cs="Calibri-Bold"/>
          <w:bCs/>
          <w:lang w:val="fr-CA"/>
        </w:rPr>
        <w:t>.</w:t>
      </w:r>
      <w:r w:rsidR="00CB792A" w:rsidRPr="00A778BF">
        <w:rPr>
          <w:rFonts w:asciiTheme="minorHAnsi" w:eastAsiaTheme="minorHAnsi" w:hAnsiTheme="minorHAnsi" w:cs="Calibri-Bold"/>
          <w:bCs/>
          <w:lang w:val="fr-CA"/>
        </w:rPr>
        <w:t xml:space="preserve"> </w:t>
      </w:r>
    </w:p>
    <w:p w:rsidR="003F2E97" w:rsidRPr="00A778BF" w:rsidRDefault="003F2E97" w:rsidP="002E1289">
      <w:pPr>
        <w:pStyle w:val="ListParagraph"/>
        <w:jc w:val="left"/>
        <w:rPr>
          <w:rFonts w:asciiTheme="minorHAnsi" w:eastAsiaTheme="minorHAnsi" w:hAnsiTheme="minorHAnsi" w:cs="Calibri-Bold"/>
          <w:b/>
          <w:bCs/>
          <w:lang w:val="fr-CA"/>
        </w:rPr>
      </w:pPr>
    </w:p>
    <w:p w:rsidR="00442350" w:rsidRPr="00A778BF" w:rsidRDefault="00442350" w:rsidP="002E1289">
      <w:pPr>
        <w:spacing w:after="200" w:line="276" w:lineRule="auto"/>
        <w:rPr>
          <w:rFonts w:asciiTheme="minorHAnsi" w:hAnsiTheme="minorHAnsi" w:cs="Calibri"/>
          <w:b/>
          <w:lang w:val="fr-CA"/>
        </w:rPr>
      </w:pPr>
      <w:r w:rsidRPr="00A778BF">
        <w:rPr>
          <w:rFonts w:asciiTheme="minorHAnsi" w:hAnsiTheme="minorHAnsi" w:cs="Calibri"/>
          <w:b/>
          <w:lang w:val="fr-CA"/>
        </w:rPr>
        <w:br w:type="page"/>
      </w:r>
    </w:p>
    <w:p w:rsidR="00613092" w:rsidRPr="00A778BF" w:rsidRDefault="00613092" w:rsidP="00613092">
      <w:pPr>
        <w:rPr>
          <w:rFonts w:asciiTheme="minorHAnsi" w:hAnsiTheme="minorHAnsi" w:cs="Calibri"/>
          <w:b/>
          <w:lang w:val="fr-CA"/>
        </w:rPr>
      </w:pPr>
      <w:r w:rsidRPr="00A778BF">
        <w:rPr>
          <w:rFonts w:asciiTheme="minorHAnsi" w:hAnsiTheme="minorHAnsi" w:cs="Calibri"/>
          <w:b/>
          <w:lang w:val="fr-CA"/>
        </w:rPr>
        <w:lastRenderedPageBreak/>
        <w:t>Annex</w:t>
      </w:r>
      <w:r w:rsidR="004E373E">
        <w:rPr>
          <w:rFonts w:asciiTheme="minorHAnsi" w:hAnsiTheme="minorHAnsi" w:cs="Calibri"/>
          <w:b/>
          <w:lang w:val="fr-CA"/>
        </w:rPr>
        <w:t>e</w:t>
      </w:r>
      <w:r w:rsidRPr="00A778BF">
        <w:rPr>
          <w:rFonts w:asciiTheme="minorHAnsi" w:hAnsiTheme="minorHAnsi" w:cs="Calibri"/>
          <w:b/>
          <w:lang w:val="fr-CA"/>
        </w:rPr>
        <w:t xml:space="preserve"> 1</w:t>
      </w:r>
    </w:p>
    <w:p w:rsidR="00613092" w:rsidRPr="00A778BF" w:rsidRDefault="00613092" w:rsidP="00613092">
      <w:pPr>
        <w:tabs>
          <w:tab w:val="left" w:pos="1095"/>
        </w:tabs>
        <w:rPr>
          <w:rFonts w:asciiTheme="minorHAnsi" w:hAnsiTheme="minorHAnsi" w:cs="Calibri"/>
          <w:b/>
          <w:lang w:val="fr-CA"/>
        </w:rPr>
      </w:pPr>
    </w:p>
    <w:p w:rsidR="00613092" w:rsidRPr="00A778BF" w:rsidRDefault="004E373E" w:rsidP="00613092">
      <w:pPr>
        <w:ind w:left="567" w:hanging="567"/>
        <w:rPr>
          <w:rFonts w:asciiTheme="minorHAnsi" w:hAnsiTheme="minorHAnsi"/>
          <w:lang w:val="fr-CA"/>
        </w:rPr>
      </w:pPr>
      <w:r>
        <w:rPr>
          <w:rFonts w:asciiTheme="minorHAnsi" w:hAnsiTheme="minorHAnsi"/>
          <w:b/>
          <w:bCs/>
          <w:lang w:val="fr-CA"/>
        </w:rPr>
        <w:t xml:space="preserve">Dépenses non administratives </w:t>
      </w:r>
      <w:r w:rsidR="006A71EC" w:rsidRPr="00A778BF">
        <w:rPr>
          <w:rFonts w:asciiTheme="minorHAnsi" w:hAnsiTheme="minorHAnsi"/>
          <w:b/>
          <w:bCs/>
          <w:lang w:val="fr-CA"/>
        </w:rPr>
        <w:t>2016-2018</w:t>
      </w:r>
      <w:r w:rsidR="00613092" w:rsidRPr="00A778BF">
        <w:rPr>
          <w:rFonts w:asciiTheme="minorHAnsi" w:hAnsiTheme="minorHAnsi"/>
          <w:b/>
          <w:bCs/>
          <w:lang w:val="fr-CA"/>
        </w:rPr>
        <w:t xml:space="preserve"> </w:t>
      </w:r>
      <w:r>
        <w:rPr>
          <w:rFonts w:asciiTheme="minorHAnsi" w:hAnsiTheme="minorHAnsi"/>
          <w:b/>
          <w:bCs/>
          <w:lang w:val="fr-CA"/>
        </w:rPr>
        <w:t xml:space="preserve">nécessaires pour appliquer les Résolutions de la </w:t>
      </w:r>
      <w:r w:rsidR="006A71EC" w:rsidRPr="00A778BF">
        <w:rPr>
          <w:rFonts w:asciiTheme="minorHAnsi" w:hAnsiTheme="minorHAnsi"/>
          <w:b/>
          <w:bCs/>
          <w:lang w:val="fr-CA"/>
        </w:rPr>
        <w:t xml:space="preserve">COP12 </w:t>
      </w:r>
    </w:p>
    <w:p w:rsidR="00613092" w:rsidRPr="00A778BF" w:rsidRDefault="00613092" w:rsidP="00613092">
      <w:pPr>
        <w:rPr>
          <w:lang w:val="fr-CA"/>
        </w:rPr>
      </w:pPr>
      <w:r w:rsidRPr="00A778BF">
        <w:rPr>
          <w:lang w:val="fr-CA"/>
        </w:rPr>
        <w:t> </w:t>
      </w:r>
    </w:p>
    <w:tbl>
      <w:tblPr>
        <w:tblW w:w="8802" w:type="dxa"/>
        <w:tblInd w:w="-98" w:type="dxa"/>
        <w:tblLayout w:type="fixed"/>
        <w:tblCellMar>
          <w:left w:w="57" w:type="dxa"/>
          <w:right w:w="57" w:type="dxa"/>
        </w:tblCellMar>
        <w:tblLook w:val="04A0" w:firstRow="1" w:lastRow="0" w:firstColumn="1" w:lastColumn="0" w:noHBand="0" w:noVBand="1"/>
      </w:tblPr>
      <w:tblGrid>
        <w:gridCol w:w="1148"/>
        <w:gridCol w:w="4630"/>
        <w:gridCol w:w="1465"/>
        <w:gridCol w:w="1559"/>
      </w:tblGrid>
      <w:tr w:rsidR="00BF521A" w:rsidRPr="00A778BF" w:rsidTr="004E373E">
        <w:tc>
          <w:tcPr>
            <w:tcW w:w="114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F521A" w:rsidRPr="00A778BF" w:rsidRDefault="004E373E" w:rsidP="00FF15AC">
            <w:pPr>
              <w:jc w:val="center"/>
              <w:rPr>
                <w:rFonts w:asciiTheme="minorHAnsi" w:eastAsia="MS PGothic" w:hAnsiTheme="minorHAnsi" w:cs="Calibri"/>
                <w:b/>
                <w:sz w:val="20"/>
                <w:szCs w:val="20"/>
                <w:lang w:val="fr-CA" w:eastAsia="ja-JP"/>
              </w:rPr>
            </w:pPr>
            <w:r w:rsidRPr="00A778BF">
              <w:rPr>
                <w:rFonts w:asciiTheme="minorHAnsi" w:hAnsiTheme="minorHAnsi"/>
                <w:b/>
                <w:sz w:val="20"/>
                <w:szCs w:val="20"/>
                <w:lang w:val="fr-CA"/>
              </w:rPr>
              <w:t>Résolution</w:t>
            </w:r>
            <w:r w:rsidR="00BF521A" w:rsidRPr="00A778BF">
              <w:rPr>
                <w:rFonts w:asciiTheme="minorHAnsi" w:hAnsiTheme="minorHAnsi"/>
                <w:b/>
                <w:sz w:val="20"/>
                <w:szCs w:val="20"/>
                <w:lang w:val="fr-CA"/>
              </w:rPr>
              <w:t xml:space="preserve"> n</w:t>
            </w:r>
            <w:r w:rsidR="00BF521A" w:rsidRPr="004E373E">
              <w:rPr>
                <w:rFonts w:asciiTheme="minorHAnsi" w:hAnsiTheme="minorHAnsi"/>
                <w:b/>
                <w:sz w:val="20"/>
                <w:szCs w:val="20"/>
                <w:vertAlign w:val="superscript"/>
                <w:lang w:val="fr-CA"/>
              </w:rPr>
              <w:t>o</w:t>
            </w:r>
          </w:p>
        </w:tc>
        <w:tc>
          <w:tcPr>
            <w:tcW w:w="463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E8002B" w:rsidRDefault="00E8002B" w:rsidP="00FF15AC">
            <w:pPr>
              <w:pStyle w:val="MGfulltext"/>
              <w:spacing w:after="0"/>
              <w:ind w:left="284" w:right="-106" w:hanging="142"/>
              <w:jc w:val="center"/>
              <w:rPr>
                <w:rFonts w:asciiTheme="minorHAnsi" w:eastAsia="Times New Roman" w:hAnsiTheme="minorHAnsi"/>
                <w:b/>
                <w:sz w:val="20"/>
                <w:szCs w:val="20"/>
                <w:lang w:val="fr-CA"/>
              </w:rPr>
            </w:pPr>
            <w:r w:rsidRPr="00E8002B">
              <w:rPr>
                <w:rFonts w:asciiTheme="minorHAnsi" w:eastAsia="Times New Roman" w:hAnsiTheme="minorHAnsi"/>
                <w:b/>
                <w:sz w:val="20"/>
                <w:szCs w:val="20"/>
                <w:lang w:val="fr-CA"/>
              </w:rPr>
              <w:t>Activité</w:t>
            </w:r>
          </w:p>
          <w:p w:rsidR="00BF521A" w:rsidRPr="00A778BF" w:rsidRDefault="00BF521A" w:rsidP="00FF15AC">
            <w:pPr>
              <w:pStyle w:val="MGfulltext"/>
              <w:spacing w:after="0"/>
              <w:ind w:left="284" w:right="-106" w:hanging="142"/>
              <w:jc w:val="center"/>
              <w:rPr>
                <w:rFonts w:asciiTheme="minorHAnsi" w:hAnsiTheme="minorHAnsi"/>
                <w:sz w:val="20"/>
                <w:szCs w:val="20"/>
                <w:lang w:val="fr-CA" w:eastAsia="ja-JP"/>
              </w:rPr>
            </w:pPr>
          </w:p>
        </w:tc>
        <w:tc>
          <w:tcPr>
            <w:tcW w:w="1465"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A778BF" w:rsidRDefault="004E373E" w:rsidP="00FF15AC">
            <w:pPr>
              <w:jc w:val="center"/>
              <w:rPr>
                <w:rFonts w:asciiTheme="minorHAnsi" w:hAnsiTheme="minorHAnsi"/>
                <w:b/>
                <w:sz w:val="20"/>
                <w:szCs w:val="20"/>
                <w:lang w:val="fr-CA"/>
              </w:rPr>
            </w:pPr>
            <w:r>
              <w:rPr>
                <w:rFonts w:asciiTheme="minorHAnsi" w:hAnsiTheme="minorHAnsi"/>
                <w:b/>
                <w:sz w:val="20"/>
                <w:szCs w:val="20"/>
                <w:lang w:val="fr-CA"/>
              </w:rPr>
              <w:t>Fonds inscrits au budget non administratif</w:t>
            </w:r>
            <w:r w:rsidR="00E8002B">
              <w:rPr>
                <w:rFonts w:asciiTheme="minorHAnsi" w:hAnsiTheme="minorHAnsi"/>
                <w:b/>
                <w:sz w:val="20"/>
                <w:szCs w:val="20"/>
                <w:lang w:val="fr-CA"/>
              </w:rPr>
              <w:t>*</w:t>
            </w:r>
          </w:p>
          <w:p w:rsidR="00BF521A" w:rsidRPr="00A778BF" w:rsidRDefault="00BF521A" w:rsidP="00FF15AC">
            <w:pPr>
              <w:jc w:val="center"/>
              <w:rPr>
                <w:rFonts w:asciiTheme="minorHAnsi" w:eastAsia="MS PGothic" w:hAnsiTheme="minorHAnsi" w:cs="Calibri"/>
                <w:b/>
                <w:sz w:val="20"/>
                <w:szCs w:val="20"/>
                <w:lang w:val="fr-CA" w:eastAsia="ja-JP"/>
              </w:rPr>
            </w:pPr>
          </w:p>
        </w:tc>
        <w:tc>
          <w:tcPr>
            <w:tcW w:w="1559"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A778BF" w:rsidRDefault="004E373E" w:rsidP="00FF15AC">
            <w:pPr>
              <w:jc w:val="center"/>
              <w:rPr>
                <w:rFonts w:asciiTheme="minorHAnsi" w:eastAsia="MS PGothic" w:hAnsiTheme="minorHAnsi" w:cs="Calibri"/>
                <w:b/>
                <w:sz w:val="20"/>
                <w:szCs w:val="20"/>
                <w:lang w:val="fr-CA" w:eastAsia="ja-JP"/>
              </w:rPr>
            </w:pPr>
            <w:r>
              <w:rPr>
                <w:rFonts w:asciiTheme="minorHAnsi" w:hAnsiTheme="minorHAnsi"/>
                <w:b/>
                <w:sz w:val="20"/>
                <w:szCs w:val="20"/>
                <w:lang w:val="fr-CA"/>
              </w:rPr>
              <w:t>Fonds additionnels non administratifs</w:t>
            </w: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eastAsia="ja-JP"/>
              </w:rPr>
            </w:pPr>
            <w:r>
              <w:rPr>
                <w:rFonts w:asciiTheme="minorHAnsi" w:hAnsiTheme="minorHAnsi"/>
                <w:sz w:val="20"/>
                <w:szCs w:val="20"/>
                <w:lang w:val="fr-CA"/>
              </w:rPr>
              <w:t>Réunions régionales; parrainage de délégués à la COP</w:t>
            </w:r>
            <w:r w:rsidR="002E157F">
              <w:rPr>
                <w:rFonts w:asciiTheme="minorHAnsi" w:hAnsiTheme="minorHAnsi"/>
                <w:sz w:val="20"/>
                <w:szCs w:val="20"/>
                <w:lang w:val="fr-CA"/>
              </w:rPr>
              <w:t>13; nouvelles approches en matière d’appel</w:t>
            </w:r>
            <w:r>
              <w:rPr>
                <w:rFonts w:asciiTheme="minorHAnsi" w:hAnsiTheme="minorHAnsi"/>
                <w:sz w:val="20"/>
                <w:szCs w:val="20"/>
                <w:lang w:val="fr-CA"/>
              </w:rPr>
              <w:t xml:space="preserve"> de fonds.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1</w:t>
            </w:r>
            <w:r w:rsidR="004E373E">
              <w:rPr>
                <w:rFonts w:asciiTheme="minorHAnsi" w:hAnsiTheme="minorHAnsi"/>
                <w:sz w:val="20"/>
                <w:szCs w:val="20"/>
                <w:lang w:val="fr-CA"/>
              </w:rPr>
              <w:t xml:space="preserve"> </w:t>
            </w:r>
            <w:r w:rsidRPr="00A778BF">
              <w:rPr>
                <w:rFonts w:asciiTheme="minorHAnsi" w:hAnsiTheme="minorHAnsi"/>
                <w:sz w:val="20"/>
                <w:szCs w:val="20"/>
                <w:lang w:val="fr-CA"/>
              </w:rPr>
              <w:t>250</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66576E">
            <w:pPr>
              <w:jc w:val="right"/>
              <w:rPr>
                <w:rFonts w:asciiTheme="minorHAnsi" w:hAnsiTheme="minorHAnsi"/>
                <w:sz w:val="20"/>
                <w:szCs w:val="20"/>
                <w:lang w:val="fr-CA"/>
              </w:rPr>
            </w:pP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XII.2</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Projet stratégique pour les peuples autochtones et communautés locales; préparation de l’examen à moyen terme du 4</w:t>
            </w:r>
            <w:r w:rsidRPr="00B37EFC">
              <w:rPr>
                <w:rFonts w:asciiTheme="minorHAnsi" w:hAnsiTheme="minorHAnsi"/>
                <w:sz w:val="20"/>
                <w:szCs w:val="20"/>
                <w:vertAlign w:val="superscript"/>
                <w:lang w:val="fr-CA"/>
              </w:rPr>
              <w:t>e</w:t>
            </w:r>
            <w:r>
              <w:rPr>
                <w:rFonts w:asciiTheme="minorHAnsi" w:hAnsiTheme="minorHAnsi"/>
                <w:sz w:val="20"/>
                <w:szCs w:val="20"/>
                <w:lang w:val="fr-CA"/>
              </w:rPr>
              <w:t xml:space="preserve"> Plan stratégique Ramsar.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175</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E8002B">
            <w:pPr>
              <w:jc w:val="right"/>
              <w:rPr>
                <w:rFonts w:asciiTheme="minorHAnsi" w:eastAsia="MS PGothic" w:hAnsiTheme="minorHAnsi" w:cs="Calibri"/>
                <w:sz w:val="20"/>
                <w:szCs w:val="20"/>
                <w:lang w:val="fr-CA" w:eastAsia="ja-JP"/>
              </w:rPr>
            </w:pPr>
            <w:r>
              <w:rPr>
                <w:rFonts w:asciiTheme="minorHAnsi" w:hAnsiTheme="minorHAnsi"/>
                <w:sz w:val="20"/>
                <w:szCs w:val="20"/>
                <w:lang w:val="fr-CA"/>
              </w:rPr>
              <w:t>10</w:t>
            </w:r>
            <w:r w:rsidR="00BF521A" w:rsidRPr="00A778BF">
              <w:rPr>
                <w:rFonts w:asciiTheme="minorHAnsi" w:hAnsiTheme="minorHAnsi"/>
                <w:sz w:val="20"/>
                <w:szCs w:val="20"/>
                <w:lang w:val="fr-CA"/>
              </w:rPr>
              <w:t>0</w:t>
            </w:r>
            <w:r w:rsidR="004E373E">
              <w:rPr>
                <w:rFonts w:asciiTheme="minorHAnsi" w:hAnsiTheme="minorHAnsi"/>
                <w:sz w:val="20"/>
                <w:szCs w:val="20"/>
                <w:lang w:val="fr-CA"/>
              </w:rPr>
              <w:t xml:space="preserve"> </w:t>
            </w:r>
            <w:r w:rsidR="00BF521A" w:rsidRPr="00A778BF">
              <w:rPr>
                <w:rFonts w:asciiTheme="minorHAnsi" w:hAnsiTheme="minorHAnsi"/>
                <w:sz w:val="20"/>
                <w:szCs w:val="20"/>
                <w:lang w:val="fr-CA"/>
              </w:rPr>
              <w:t>000</w:t>
            </w: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XII.3</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E8002B">
            <w:pPr>
              <w:pStyle w:val="MGfulltext"/>
              <w:spacing w:after="0"/>
              <w:rPr>
                <w:rFonts w:asciiTheme="minorHAnsi" w:hAnsiTheme="minorHAnsi"/>
                <w:sz w:val="20"/>
                <w:szCs w:val="20"/>
                <w:lang w:val="fr-CA"/>
              </w:rPr>
            </w:pPr>
            <w:r>
              <w:rPr>
                <w:rFonts w:asciiTheme="minorHAnsi" w:hAnsiTheme="minorHAnsi"/>
                <w:sz w:val="20"/>
                <w:szCs w:val="20"/>
                <w:lang w:val="fr-CA"/>
              </w:rPr>
              <w:t xml:space="preserve">Améliorer la visibilité et la stature de la Convention de Ramsar, y compris </w:t>
            </w:r>
            <w:r w:rsidR="00E8002B">
              <w:rPr>
                <w:rFonts w:asciiTheme="minorHAnsi" w:hAnsiTheme="minorHAnsi"/>
                <w:sz w:val="20"/>
                <w:szCs w:val="20"/>
                <w:lang w:val="fr-CA"/>
              </w:rPr>
              <w:t xml:space="preserve">du </w:t>
            </w:r>
            <w:r>
              <w:rPr>
                <w:rFonts w:asciiTheme="minorHAnsi" w:hAnsiTheme="minorHAnsi"/>
                <w:sz w:val="20"/>
                <w:szCs w:val="20"/>
                <w:lang w:val="fr-CA"/>
              </w:rPr>
              <w:t>Fonds de petites subventions.</w:t>
            </w:r>
            <w:r w:rsidR="00BF521A" w:rsidRPr="00A778BF">
              <w:rPr>
                <w:rFonts w:asciiTheme="minorHAnsi" w:hAnsiTheme="minorHAnsi"/>
                <w:sz w:val="20"/>
                <w:szCs w:val="20"/>
                <w:lang w:val="fr-CA"/>
              </w:rPr>
              <w:t xml:space="preserve">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E8002B">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1</w:t>
            </w:r>
            <w:r w:rsidR="004E373E">
              <w:rPr>
                <w:rFonts w:asciiTheme="minorHAnsi" w:hAnsiTheme="minorHAnsi"/>
                <w:sz w:val="20"/>
                <w:szCs w:val="20"/>
                <w:lang w:val="fr-CA"/>
              </w:rPr>
              <w:t xml:space="preserve"> </w:t>
            </w:r>
            <w:r w:rsidR="00E8002B">
              <w:rPr>
                <w:rFonts w:asciiTheme="minorHAnsi" w:hAnsiTheme="minorHAnsi"/>
                <w:sz w:val="20"/>
                <w:szCs w:val="20"/>
                <w:lang w:val="fr-CA"/>
              </w:rPr>
              <w:t>25</w:t>
            </w:r>
            <w:r w:rsidRPr="00A778BF">
              <w:rPr>
                <w:rFonts w:asciiTheme="minorHAnsi" w:hAnsiTheme="minorHAnsi"/>
                <w:sz w:val="20"/>
                <w:szCs w:val="20"/>
                <w:lang w:val="fr-CA"/>
              </w:rPr>
              <w:t>0</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E8002B" w:rsidP="002426E4">
            <w:pPr>
              <w:jc w:val="right"/>
              <w:rPr>
                <w:rFonts w:asciiTheme="minorHAnsi" w:hAnsiTheme="minorHAnsi"/>
                <w:sz w:val="20"/>
                <w:szCs w:val="20"/>
                <w:lang w:val="fr-CA"/>
              </w:rPr>
            </w:pPr>
            <w:r>
              <w:rPr>
                <w:rFonts w:asciiTheme="minorHAnsi" w:hAnsiTheme="minorHAnsi"/>
                <w:sz w:val="20"/>
                <w:szCs w:val="20"/>
                <w:lang w:val="fr-CA"/>
              </w:rPr>
              <w:t>85</w:t>
            </w:r>
            <w:r w:rsidR="004E373E">
              <w:rPr>
                <w:rFonts w:asciiTheme="minorHAnsi" w:hAnsiTheme="minorHAnsi"/>
                <w:sz w:val="20"/>
                <w:szCs w:val="20"/>
                <w:lang w:val="fr-CA"/>
              </w:rPr>
              <w:t xml:space="preserve"> </w:t>
            </w:r>
            <w:r w:rsidR="00BF521A" w:rsidRPr="00A778BF">
              <w:rPr>
                <w:rFonts w:asciiTheme="minorHAnsi" w:hAnsiTheme="minorHAnsi"/>
                <w:sz w:val="20"/>
                <w:szCs w:val="20"/>
                <w:lang w:val="fr-CA"/>
              </w:rPr>
              <w:t>000</w:t>
            </w:r>
          </w:p>
          <w:p w:rsidR="00BF521A" w:rsidRPr="00A778BF" w:rsidRDefault="00BF521A" w:rsidP="002426E4">
            <w:pPr>
              <w:rPr>
                <w:rFonts w:asciiTheme="minorHAnsi" w:eastAsia="MS PGothic" w:hAnsiTheme="minorHAnsi" w:cs="Calibri"/>
                <w:sz w:val="20"/>
                <w:szCs w:val="20"/>
                <w:lang w:val="fr-CA" w:eastAsia="ja-JP"/>
              </w:rPr>
            </w:pP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XII.5</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 xml:space="preserve">Programme de travail du GEST pour </w:t>
            </w:r>
            <w:r w:rsidR="00BF521A" w:rsidRPr="00A778BF">
              <w:rPr>
                <w:rFonts w:asciiTheme="minorHAnsi" w:hAnsiTheme="minorHAnsi"/>
                <w:sz w:val="20"/>
                <w:szCs w:val="20"/>
                <w:lang w:val="fr-CA"/>
              </w:rPr>
              <w:t>2016-2018.</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300</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hAnsiTheme="minorHAnsi"/>
                <w:sz w:val="20"/>
                <w:szCs w:val="20"/>
                <w:lang w:val="fr-CA"/>
              </w:rPr>
            </w:pPr>
            <w:r w:rsidRPr="00A778BF">
              <w:rPr>
                <w:rFonts w:asciiTheme="minorHAnsi" w:hAnsiTheme="minorHAnsi"/>
                <w:sz w:val="20"/>
                <w:szCs w:val="20"/>
                <w:lang w:val="fr-CA"/>
              </w:rPr>
              <w:t>25</w:t>
            </w:r>
            <w:r w:rsidR="00E8002B">
              <w:rPr>
                <w:rFonts w:asciiTheme="minorHAnsi" w:hAnsiTheme="minorHAnsi"/>
                <w:sz w:val="20"/>
                <w:szCs w:val="20"/>
                <w:lang w:val="fr-CA"/>
              </w:rPr>
              <w:t>9</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p w:rsidR="00BF521A" w:rsidRPr="00A778BF" w:rsidRDefault="00BF521A">
            <w:pPr>
              <w:jc w:val="right"/>
              <w:rPr>
                <w:rFonts w:asciiTheme="minorHAnsi" w:eastAsia="MS PGothic" w:hAnsiTheme="minorHAnsi" w:cs="Calibri"/>
                <w:sz w:val="20"/>
                <w:szCs w:val="20"/>
                <w:lang w:val="fr-CA" w:eastAsia="ja-JP"/>
              </w:rPr>
            </w:pP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XII.6</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Mises à jour du SISR</w:t>
            </w:r>
            <w:r w:rsidR="00E8002B">
              <w:rPr>
                <w:rFonts w:asciiTheme="minorHAnsi" w:hAnsiTheme="minorHAnsi"/>
                <w:sz w:val="20"/>
                <w:szCs w:val="20"/>
                <w:lang w:val="fr-CA"/>
              </w:rPr>
              <w:t>, MCR,</w:t>
            </w:r>
            <w:r>
              <w:rPr>
                <w:rFonts w:asciiTheme="minorHAnsi" w:hAnsiTheme="minorHAnsi"/>
                <w:sz w:val="20"/>
                <w:szCs w:val="20"/>
                <w:lang w:val="fr-CA"/>
              </w:rPr>
              <w:t xml:space="preserve"> et suivi des changements dans les caractéristiques écologiques.</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775</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E8002B">
            <w:pPr>
              <w:jc w:val="right"/>
              <w:rPr>
                <w:rFonts w:asciiTheme="minorHAnsi" w:eastAsia="MS PGothic" w:hAnsiTheme="minorHAnsi" w:cs="Calibri"/>
                <w:sz w:val="20"/>
                <w:szCs w:val="20"/>
                <w:lang w:val="fr-CA" w:eastAsia="ja-JP"/>
              </w:rPr>
            </w:pPr>
            <w:r>
              <w:rPr>
                <w:rFonts w:asciiTheme="minorHAnsi" w:hAnsiTheme="minorHAnsi"/>
                <w:sz w:val="20"/>
                <w:szCs w:val="20"/>
                <w:lang w:val="fr-CA"/>
              </w:rPr>
              <w:t>1</w:t>
            </w:r>
            <w:r w:rsidR="00BF521A" w:rsidRPr="00A778BF">
              <w:rPr>
                <w:rFonts w:asciiTheme="minorHAnsi" w:hAnsiTheme="minorHAnsi"/>
                <w:sz w:val="20"/>
                <w:szCs w:val="20"/>
                <w:lang w:val="fr-CA"/>
              </w:rPr>
              <w:t>00</w:t>
            </w:r>
            <w:r w:rsidR="004E373E">
              <w:rPr>
                <w:rFonts w:asciiTheme="minorHAnsi" w:hAnsiTheme="minorHAnsi"/>
                <w:sz w:val="20"/>
                <w:szCs w:val="20"/>
                <w:lang w:val="fr-CA"/>
              </w:rPr>
              <w:t xml:space="preserve"> </w:t>
            </w:r>
            <w:r w:rsidR="00BF521A" w:rsidRPr="00A778BF">
              <w:rPr>
                <w:rFonts w:asciiTheme="minorHAnsi" w:hAnsiTheme="minorHAnsi"/>
                <w:sz w:val="20"/>
                <w:szCs w:val="20"/>
                <w:lang w:val="fr-CA"/>
              </w:rPr>
              <w:t>000</w:t>
            </w:r>
          </w:p>
        </w:tc>
      </w:tr>
      <w:tr w:rsidR="00BF521A" w:rsidRPr="007825EC" w:rsidTr="004E373E">
        <w:trPr>
          <w:trHeight w:val="343"/>
        </w:trPr>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XII.7</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 xml:space="preserve">Renforcement des synergies avec d’autres AME.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eastAsia="MS PGothic" w:hAnsiTheme="minorHAnsi" w:cs="Calibri"/>
                <w:sz w:val="20"/>
                <w:szCs w:val="20"/>
                <w:lang w:val="fr-CA" w:eastAsia="ja-JP"/>
              </w:rPr>
            </w:pPr>
          </w:p>
        </w:tc>
      </w:tr>
      <w:tr w:rsidR="00BF521A" w:rsidRPr="00A778BF" w:rsidTr="004E373E">
        <w:trPr>
          <w:trHeight w:val="450"/>
        </w:trPr>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XII.8</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E8002B">
            <w:pPr>
              <w:pStyle w:val="MGfulltext"/>
              <w:spacing w:after="0"/>
              <w:rPr>
                <w:rFonts w:asciiTheme="minorHAnsi" w:hAnsiTheme="minorHAnsi"/>
                <w:sz w:val="20"/>
                <w:szCs w:val="20"/>
                <w:lang w:val="fr-CA"/>
              </w:rPr>
            </w:pPr>
            <w:r>
              <w:rPr>
                <w:rFonts w:asciiTheme="minorHAnsi" w:hAnsiTheme="minorHAnsi"/>
                <w:sz w:val="20"/>
                <w:szCs w:val="20"/>
                <w:lang w:val="fr-CA"/>
              </w:rPr>
              <w:t xml:space="preserve">Appui additionnel au développement des </w:t>
            </w:r>
            <w:r w:rsidR="00E8002B">
              <w:rPr>
                <w:rFonts w:asciiTheme="minorHAnsi" w:hAnsiTheme="minorHAnsi"/>
                <w:sz w:val="20"/>
                <w:szCs w:val="20"/>
                <w:lang w:val="fr-CA"/>
              </w:rPr>
              <w:t>i</w:t>
            </w:r>
            <w:r>
              <w:rPr>
                <w:rFonts w:asciiTheme="minorHAnsi" w:hAnsiTheme="minorHAnsi"/>
                <w:sz w:val="20"/>
                <w:szCs w:val="20"/>
                <w:lang w:val="fr-CA"/>
              </w:rPr>
              <w:t xml:space="preserve">nitiatives régionales.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35558F" w:rsidP="004E623F">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150</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E8002B" w:rsidP="002426E4">
            <w:pPr>
              <w:jc w:val="right"/>
              <w:rPr>
                <w:rFonts w:asciiTheme="minorHAnsi" w:hAnsiTheme="minorHAnsi"/>
                <w:sz w:val="20"/>
                <w:szCs w:val="20"/>
                <w:lang w:val="fr-CA"/>
              </w:rPr>
            </w:pPr>
            <w:r>
              <w:rPr>
                <w:rFonts w:asciiTheme="minorHAnsi" w:hAnsiTheme="minorHAnsi"/>
                <w:sz w:val="20"/>
                <w:szCs w:val="20"/>
                <w:lang w:val="fr-CA"/>
              </w:rPr>
              <w:t>15 000</w:t>
            </w: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XII.9</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Nouveaux réseaux CESP et application du plan de travail</w:t>
            </w:r>
            <w:r w:rsidR="00BF521A" w:rsidRPr="00A778BF">
              <w:rPr>
                <w:rFonts w:asciiTheme="minorHAnsi" w:hAnsiTheme="minorHAnsi"/>
                <w:sz w:val="20"/>
                <w:szCs w:val="20"/>
                <w:lang w:val="fr-CA"/>
              </w:rPr>
              <w:t>.</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300</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eastAsia="MS PGothic" w:hAnsiTheme="minorHAnsi" w:cs="Calibri"/>
                <w:sz w:val="20"/>
                <w:szCs w:val="20"/>
                <w:lang w:val="fr-CA" w:eastAsia="ja-JP"/>
              </w:rPr>
            </w:pP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XII.10</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6D32D6">
            <w:pPr>
              <w:pStyle w:val="MGfulltext"/>
              <w:spacing w:after="0"/>
              <w:rPr>
                <w:rFonts w:asciiTheme="minorHAnsi" w:hAnsiTheme="minorHAnsi"/>
                <w:sz w:val="20"/>
                <w:szCs w:val="20"/>
                <w:lang w:val="fr-CA"/>
              </w:rPr>
            </w:pPr>
            <w:r>
              <w:rPr>
                <w:rFonts w:asciiTheme="minorHAnsi" w:hAnsiTheme="minorHAnsi"/>
                <w:sz w:val="20"/>
                <w:szCs w:val="20"/>
                <w:lang w:val="fr-CA"/>
              </w:rPr>
              <w:t xml:space="preserve">Label </w:t>
            </w:r>
            <w:r w:rsidR="002E157F">
              <w:rPr>
                <w:rFonts w:asciiTheme="minorHAnsi" w:hAnsiTheme="minorHAnsi"/>
                <w:sz w:val="20"/>
                <w:szCs w:val="20"/>
                <w:lang w:val="fr-CA"/>
              </w:rPr>
              <w:t>« </w:t>
            </w:r>
            <w:r>
              <w:rPr>
                <w:rFonts w:asciiTheme="minorHAnsi" w:hAnsiTheme="minorHAnsi"/>
                <w:sz w:val="20"/>
                <w:szCs w:val="20"/>
                <w:lang w:val="fr-CA"/>
              </w:rPr>
              <w:t>Vi</w:t>
            </w:r>
            <w:r w:rsidR="00744ACF">
              <w:rPr>
                <w:rFonts w:asciiTheme="minorHAnsi" w:hAnsiTheme="minorHAnsi"/>
                <w:sz w:val="20"/>
                <w:szCs w:val="20"/>
                <w:lang w:val="fr-CA"/>
              </w:rPr>
              <w:t xml:space="preserve">lle des </w:t>
            </w:r>
            <w:r w:rsidR="006D32D6">
              <w:rPr>
                <w:rFonts w:asciiTheme="minorHAnsi" w:hAnsiTheme="minorHAnsi"/>
                <w:sz w:val="20"/>
                <w:szCs w:val="20"/>
                <w:lang w:val="fr-CA"/>
              </w:rPr>
              <w:t>Z</w:t>
            </w:r>
            <w:r w:rsidR="00744ACF">
              <w:rPr>
                <w:rFonts w:asciiTheme="minorHAnsi" w:hAnsiTheme="minorHAnsi"/>
                <w:sz w:val="20"/>
                <w:szCs w:val="20"/>
                <w:lang w:val="fr-CA"/>
              </w:rPr>
              <w:t xml:space="preserve">ones </w:t>
            </w:r>
            <w:r w:rsidR="006D32D6">
              <w:rPr>
                <w:rFonts w:asciiTheme="minorHAnsi" w:hAnsiTheme="minorHAnsi"/>
                <w:sz w:val="20"/>
                <w:szCs w:val="20"/>
                <w:lang w:val="fr-CA"/>
              </w:rPr>
              <w:t>H</w:t>
            </w:r>
            <w:r>
              <w:rPr>
                <w:rFonts w:asciiTheme="minorHAnsi" w:hAnsiTheme="minorHAnsi"/>
                <w:sz w:val="20"/>
                <w:szCs w:val="20"/>
                <w:lang w:val="fr-CA"/>
              </w:rPr>
              <w:t>umides accréditée</w:t>
            </w:r>
            <w:r w:rsidR="002E157F">
              <w:rPr>
                <w:rFonts w:asciiTheme="minorHAnsi" w:hAnsiTheme="minorHAnsi"/>
                <w:sz w:val="20"/>
                <w:szCs w:val="20"/>
                <w:lang w:val="fr-CA"/>
              </w:rPr>
              <w:t> »</w:t>
            </w:r>
            <w:r>
              <w:rPr>
                <w:rFonts w:asciiTheme="minorHAnsi" w:hAnsiTheme="minorHAnsi"/>
                <w:sz w:val="20"/>
                <w:szCs w:val="20"/>
                <w:lang w:val="fr-CA"/>
              </w:rPr>
              <w:t xml:space="preserve">.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E8002B">
            <w:pPr>
              <w:jc w:val="right"/>
              <w:rPr>
                <w:rFonts w:asciiTheme="minorHAnsi" w:eastAsia="MS PGothic" w:hAnsiTheme="minorHAnsi" w:cs="Calibri"/>
                <w:sz w:val="20"/>
                <w:szCs w:val="20"/>
                <w:lang w:val="fr-CA" w:eastAsia="ja-JP"/>
              </w:rPr>
            </w:pPr>
            <w:r>
              <w:rPr>
                <w:rFonts w:asciiTheme="minorHAnsi" w:hAnsiTheme="minorHAnsi"/>
                <w:sz w:val="20"/>
                <w:szCs w:val="20"/>
                <w:lang w:val="fr-CA"/>
              </w:rPr>
              <w:t>6</w:t>
            </w:r>
            <w:r w:rsidR="00BF521A" w:rsidRPr="00A778BF">
              <w:rPr>
                <w:rFonts w:asciiTheme="minorHAnsi" w:hAnsiTheme="minorHAnsi"/>
                <w:sz w:val="20"/>
                <w:szCs w:val="20"/>
                <w:lang w:val="fr-CA"/>
              </w:rPr>
              <w:t>0</w:t>
            </w:r>
            <w:r w:rsidR="004E373E">
              <w:rPr>
                <w:rFonts w:asciiTheme="minorHAnsi" w:hAnsiTheme="minorHAnsi"/>
                <w:sz w:val="20"/>
                <w:szCs w:val="20"/>
                <w:lang w:val="fr-CA"/>
              </w:rPr>
              <w:t xml:space="preserve"> </w:t>
            </w:r>
            <w:r w:rsidR="00BF521A" w:rsidRPr="00A778BF">
              <w:rPr>
                <w:rFonts w:asciiTheme="minorHAnsi" w:hAnsiTheme="minorHAnsi"/>
                <w:sz w:val="20"/>
                <w:szCs w:val="20"/>
                <w:lang w:val="fr-CA"/>
              </w:rPr>
              <w:t>000</w:t>
            </w:r>
          </w:p>
        </w:tc>
      </w:tr>
      <w:tr w:rsidR="00BF521A" w:rsidRPr="007825EC"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XII.11 </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E8002B">
            <w:pPr>
              <w:pStyle w:val="MGfulltext"/>
              <w:spacing w:after="0"/>
              <w:rPr>
                <w:rFonts w:asciiTheme="minorHAnsi" w:hAnsiTheme="minorHAnsi"/>
                <w:sz w:val="20"/>
                <w:szCs w:val="20"/>
                <w:lang w:val="fr-CA"/>
              </w:rPr>
            </w:pPr>
            <w:r>
              <w:rPr>
                <w:rFonts w:asciiTheme="minorHAnsi" w:hAnsiTheme="minorHAnsi"/>
                <w:sz w:val="20"/>
                <w:szCs w:val="20"/>
                <w:lang w:val="fr-CA"/>
              </w:rPr>
              <w:t>Réseau d</w:t>
            </w:r>
            <w:r w:rsidR="00E8002B">
              <w:rPr>
                <w:rFonts w:asciiTheme="minorHAnsi" w:hAnsiTheme="minorHAnsi"/>
                <w:sz w:val="20"/>
                <w:szCs w:val="20"/>
                <w:lang w:val="fr-CA"/>
              </w:rPr>
              <w:t>’</w:t>
            </w:r>
            <w:r>
              <w:rPr>
                <w:rFonts w:asciiTheme="minorHAnsi" w:hAnsiTheme="minorHAnsi"/>
                <w:sz w:val="20"/>
                <w:szCs w:val="20"/>
                <w:lang w:val="fr-CA"/>
              </w:rPr>
              <w:t>administrateurs de tourbières; manuels sur les meilleures pratiques.</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eastAsia="MS PGothic" w:hAnsiTheme="minorHAnsi" w:cs="Calibri"/>
                <w:sz w:val="20"/>
                <w:szCs w:val="20"/>
                <w:lang w:val="fr-CA" w:eastAsia="ja-JP"/>
              </w:rPr>
            </w:pP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XII.12</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 xml:space="preserve">Manuel sur les réserves d’eau et les flux environnementaux.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eastAsia="MS PGothic" w:hAnsiTheme="minorHAnsi" w:cs="Calibri"/>
                <w:sz w:val="20"/>
                <w:szCs w:val="20"/>
                <w:lang w:val="fr-CA" w:eastAsia="ja-JP"/>
              </w:rPr>
            </w:pPr>
            <w:r w:rsidRPr="00A778BF">
              <w:rPr>
                <w:rFonts w:asciiTheme="minorHAnsi" w:hAnsiTheme="minorHAnsi"/>
                <w:sz w:val="20"/>
                <w:szCs w:val="20"/>
                <w:lang w:val="fr-CA"/>
              </w:rPr>
              <w:t>100</w:t>
            </w:r>
            <w:r w:rsidR="004E373E">
              <w:rPr>
                <w:rFonts w:asciiTheme="minorHAnsi" w:hAnsiTheme="minorHAnsi"/>
                <w:sz w:val="20"/>
                <w:szCs w:val="20"/>
                <w:lang w:val="fr-CA"/>
              </w:rPr>
              <w:t xml:space="preserve"> </w:t>
            </w:r>
            <w:r w:rsidRPr="00A778BF">
              <w:rPr>
                <w:rFonts w:asciiTheme="minorHAnsi" w:hAnsiTheme="minorHAnsi"/>
                <w:sz w:val="20"/>
                <w:szCs w:val="20"/>
                <w:lang w:val="fr-CA"/>
              </w:rPr>
              <w:t>000</w:t>
            </w:r>
          </w:p>
        </w:tc>
      </w:tr>
      <w:tr w:rsidR="00BF521A" w:rsidRPr="007825EC"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XII.13</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 xml:space="preserve">Les partenariats pour les zones humides et la prévention des risques de catastrophe.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eastAsia="MS PGothic" w:hAnsiTheme="minorHAnsi" w:cs="Calibri"/>
                <w:sz w:val="20"/>
                <w:szCs w:val="20"/>
                <w:lang w:val="fr-CA" w:eastAsia="ja-JP"/>
              </w:rPr>
            </w:pPr>
          </w:p>
        </w:tc>
      </w:tr>
      <w:tr w:rsidR="00BF521A" w:rsidRPr="007825EC"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XII.14</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B37EFC">
            <w:pPr>
              <w:pStyle w:val="MGfulltext"/>
              <w:spacing w:after="0"/>
              <w:rPr>
                <w:rFonts w:asciiTheme="minorHAnsi" w:hAnsiTheme="minorHAnsi"/>
                <w:sz w:val="20"/>
                <w:szCs w:val="20"/>
                <w:lang w:val="fr-CA"/>
              </w:rPr>
            </w:pPr>
            <w:r>
              <w:rPr>
                <w:rFonts w:asciiTheme="minorHAnsi" w:hAnsiTheme="minorHAnsi"/>
                <w:sz w:val="20"/>
                <w:szCs w:val="20"/>
                <w:lang w:val="fr-CA"/>
              </w:rPr>
              <w:t xml:space="preserve">Inventaire et partage d’informations sur les zones humides des îles méditerranéennes. </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eastAsia="MS PGothic" w:hAnsiTheme="minorHAnsi" w:cs="Calibri"/>
                <w:sz w:val="20"/>
                <w:szCs w:val="20"/>
                <w:lang w:val="fr-CA" w:eastAsia="ja-JP"/>
              </w:rPr>
            </w:pP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8024D4" w:rsidP="00FD503E">
            <w:pPr>
              <w:pStyle w:val="MGfulltext"/>
              <w:spacing w:after="0"/>
              <w:rPr>
                <w:rFonts w:asciiTheme="minorHAnsi" w:hAnsiTheme="minorHAnsi"/>
                <w:sz w:val="20"/>
                <w:szCs w:val="20"/>
                <w:lang w:val="fr-CA"/>
              </w:rPr>
            </w:pPr>
            <w:r>
              <w:rPr>
                <w:rFonts w:asciiTheme="minorHAnsi" w:hAnsiTheme="minorHAnsi"/>
                <w:sz w:val="20"/>
                <w:szCs w:val="20"/>
                <w:lang w:val="fr-CA"/>
              </w:rPr>
              <w:t>Rés.</w:t>
            </w:r>
            <w:r w:rsidR="00BF521A" w:rsidRPr="00A778BF">
              <w:rPr>
                <w:rFonts w:asciiTheme="minorHAnsi" w:hAnsiTheme="minorHAnsi"/>
                <w:sz w:val="20"/>
                <w:szCs w:val="20"/>
                <w:lang w:val="fr-CA"/>
              </w:rPr>
              <w:t>XII.15</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37EFC" w:rsidP="006D32D6">
            <w:pPr>
              <w:pStyle w:val="MGfulltext"/>
              <w:spacing w:after="0"/>
              <w:rPr>
                <w:rFonts w:asciiTheme="minorHAnsi" w:hAnsiTheme="minorHAnsi"/>
                <w:sz w:val="20"/>
                <w:szCs w:val="20"/>
                <w:lang w:val="fr-CA"/>
              </w:rPr>
            </w:pPr>
            <w:r>
              <w:rPr>
                <w:rFonts w:asciiTheme="minorHAnsi" w:hAnsiTheme="minorHAnsi"/>
                <w:sz w:val="20"/>
                <w:szCs w:val="20"/>
                <w:lang w:val="fr-CA"/>
              </w:rPr>
              <w:t xml:space="preserve">Mise en œuvre de l’Outil </w:t>
            </w:r>
            <w:r w:rsidR="006D32D6">
              <w:rPr>
                <w:rFonts w:asciiTheme="minorHAnsi" w:hAnsiTheme="minorHAnsi"/>
                <w:sz w:val="20"/>
                <w:szCs w:val="20"/>
                <w:lang w:val="fr-CA"/>
              </w:rPr>
              <w:t xml:space="preserve">Ramsar </w:t>
            </w:r>
            <w:r>
              <w:rPr>
                <w:rFonts w:asciiTheme="minorHAnsi" w:hAnsiTheme="minorHAnsi"/>
                <w:sz w:val="20"/>
                <w:szCs w:val="20"/>
                <w:lang w:val="fr-CA"/>
              </w:rPr>
              <w:t xml:space="preserve">de suivi de l’efficacité de la gestion </w:t>
            </w:r>
            <w:r w:rsidR="00BF521A" w:rsidRPr="00A778BF">
              <w:rPr>
                <w:rFonts w:asciiTheme="minorHAnsi" w:hAnsiTheme="minorHAnsi"/>
                <w:sz w:val="20"/>
                <w:szCs w:val="20"/>
                <w:lang w:val="fr-CA"/>
              </w:rPr>
              <w:t>(R-METT).</w:t>
            </w: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rsidP="004E623F">
            <w:pPr>
              <w:jc w:val="right"/>
              <w:rPr>
                <w:rFonts w:asciiTheme="minorHAnsi" w:eastAsia="MS PGothic" w:hAnsiTheme="minorHAnsi" w:cs="Calibri"/>
                <w:sz w:val="20"/>
                <w:szCs w:val="20"/>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E8002B">
            <w:pPr>
              <w:jc w:val="right"/>
              <w:rPr>
                <w:rFonts w:asciiTheme="minorHAnsi" w:eastAsia="MS PGothic" w:hAnsiTheme="minorHAnsi" w:cs="Calibri"/>
                <w:sz w:val="20"/>
                <w:szCs w:val="20"/>
                <w:lang w:val="fr-CA" w:eastAsia="ja-JP"/>
              </w:rPr>
            </w:pPr>
            <w:r>
              <w:rPr>
                <w:rFonts w:asciiTheme="minorHAnsi" w:hAnsiTheme="minorHAnsi"/>
                <w:sz w:val="20"/>
                <w:szCs w:val="20"/>
                <w:lang w:val="fr-CA"/>
              </w:rPr>
              <w:t>20</w:t>
            </w:r>
            <w:r w:rsidR="00BF521A" w:rsidRPr="00A778BF">
              <w:rPr>
                <w:rFonts w:asciiTheme="minorHAnsi" w:hAnsiTheme="minorHAnsi"/>
                <w:sz w:val="20"/>
                <w:szCs w:val="20"/>
                <w:lang w:val="fr-CA"/>
              </w:rPr>
              <w:t>0</w:t>
            </w:r>
            <w:r w:rsidR="004E373E">
              <w:rPr>
                <w:rFonts w:asciiTheme="minorHAnsi" w:hAnsiTheme="minorHAnsi"/>
                <w:sz w:val="20"/>
                <w:szCs w:val="20"/>
                <w:lang w:val="fr-CA"/>
              </w:rPr>
              <w:t xml:space="preserve"> </w:t>
            </w:r>
            <w:r w:rsidR="00BF521A" w:rsidRPr="00A778BF">
              <w:rPr>
                <w:rFonts w:asciiTheme="minorHAnsi" w:hAnsiTheme="minorHAnsi"/>
                <w:sz w:val="20"/>
                <w:szCs w:val="20"/>
                <w:lang w:val="fr-CA"/>
              </w:rPr>
              <w:t>000</w:t>
            </w:r>
          </w:p>
        </w:tc>
      </w:tr>
      <w:tr w:rsidR="00BF521A" w:rsidRPr="00A778BF" w:rsidTr="004E373E">
        <w:tc>
          <w:tcPr>
            <w:tcW w:w="1148" w:type="dxa"/>
            <w:tcBorders>
              <w:top w:val="nil"/>
              <w:left w:val="single" w:sz="8" w:space="0" w:color="000000"/>
              <w:bottom w:val="single" w:sz="8" w:space="0" w:color="000000"/>
              <w:right w:val="single" w:sz="8" w:space="0" w:color="000000"/>
            </w:tcBorders>
          </w:tcPr>
          <w:p w:rsidR="00BF521A" w:rsidRPr="00A778BF" w:rsidRDefault="00BF521A" w:rsidP="009A48DD">
            <w:pPr>
              <w:rPr>
                <w:rFonts w:asciiTheme="minorHAnsi" w:hAnsiTheme="minorHAnsi"/>
                <w:b/>
                <w:sz w:val="20"/>
                <w:szCs w:val="20"/>
                <w:u w:val="single"/>
                <w:lang w:val="fr-CA"/>
              </w:rPr>
            </w:pPr>
          </w:p>
          <w:p w:rsidR="00BF521A" w:rsidRPr="00A778BF" w:rsidRDefault="00BF521A" w:rsidP="004E623F">
            <w:pPr>
              <w:jc w:val="center"/>
              <w:rPr>
                <w:rFonts w:asciiTheme="minorHAnsi" w:eastAsia="MS PGothic" w:hAnsiTheme="minorHAnsi" w:cs="Calibri"/>
                <w:b/>
                <w:sz w:val="20"/>
                <w:szCs w:val="20"/>
                <w:lang w:val="fr-CA" w:eastAsia="ja-JP"/>
              </w:rPr>
            </w:pPr>
            <w:r w:rsidRPr="00A778BF">
              <w:rPr>
                <w:rFonts w:asciiTheme="minorHAnsi" w:hAnsiTheme="minorHAnsi"/>
                <w:b/>
                <w:sz w:val="20"/>
                <w:szCs w:val="20"/>
                <w:lang w:val="fr-CA"/>
              </w:rPr>
              <w:t>CHF</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A778BF" w:rsidRDefault="00BF521A">
            <w:pPr>
              <w:ind w:left="284" w:hanging="142"/>
              <w:rPr>
                <w:rFonts w:asciiTheme="minorHAnsi" w:hAnsiTheme="minorHAnsi"/>
                <w:b/>
                <w:sz w:val="20"/>
                <w:szCs w:val="20"/>
                <w:u w:val="single"/>
                <w:lang w:val="fr-CA"/>
              </w:rPr>
            </w:pPr>
          </w:p>
          <w:p w:rsidR="00BF521A" w:rsidRPr="00A778BF" w:rsidRDefault="00BF521A">
            <w:pPr>
              <w:ind w:left="284" w:hanging="142"/>
              <w:rPr>
                <w:rFonts w:asciiTheme="minorHAnsi" w:hAnsiTheme="minorHAnsi"/>
                <w:b/>
                <w:sz w:val="20"/>
                <w:szCs w:val="20"/>
                <w:lang w:val="fr-CA"/>
              </w:rPr>
            </w:pPr>
            <w:r w:rsidRPr="00A778BF">
              <w:rPr>
                <w:rFonts w:asciiTheme="minorHAnsi" w:hAnsiTheme="minorHAnsi"/>
                <w:b/>
                <w:sz w:val="20"/>
                <w:szCs w:val="20"/>
                <w:lang w:val="fr-CA"/>
              </w:rPr>
              <w:t>TOTAL</w:t>
            </w:r>
          </w:p>
          <w:p w:rsidR="00BF521A" w:rsidRPr="00A778BF" w:rsidRDefault="00BF521A">
            <w:pPr>
              <w:ind w:left="284" w:hanging="142"/>
              <w:rPr>
                <w:rFonts w:asciiTheme="minorHAnsi" w:eastAsia="MS PGothic" w:hAnsiTheme="minorHAnsi" w:cs="Calibri"/>
                <w:b/>
                <w:sz w:val="20"/>
                <w:szCs w:val="20"/>
                <w:u w:val="single"/>
                <w:lang w:val="fr-CA" w:eastAsia="ja-JP"/>
              </w:rPr>
            </w:pPr>
          </w:p>
        </w:tc>
        <w:tc>
          <w:tcPr>
            <w:tcW w:w="1465"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rPr>
                <w:rFonts w:asciiTheme="minorHAnsi" w:hAnsiTheme="minorHAnsi"/>
                <w:b/>
                <w:sz w:val="20"/>
                <w:szCs w:val="20"/>
                <w:u w:val="single"/>
                <w:lang w:val="fr-CA"/>
              </w:rPr>
            </w:pPr>
          </w:p>
          <w:p w:rsidR="00BF521A" w:rsidRPr="00A778BF" w:rsidRDefault="00E8002B" w:rsidP="0035558F">
            <w:pPr>
              <w:jc w:val="right"/>
              <w:rPr>
                <w:rFonts w:asciiTheme="minorHAnsi" w:hAnsiTheme="minorHAnsi"/>
                <w:b/>
                <w:sz w:val="20"/>
                <w:szCs w:val="20"/>
                <w:lang w:val="fr-CA"/>
              </w:rPr>
            </w:pPr>
            <w:r>
              <w:rPr>
                <w:rFonts w:asciiTheme="minorHAnsi" w:hAnsiTheme="minorHAnsi"/>
                <w:b/>
                <w:sz w:val="20"/>
                <w:szCs w:val="20"/>
                <w:lang w:val="fr-CA"/>
              </w:rPr>
              <w:t>4</w:t>
            </w:r>
            <w:r w:rsidR="004E373E">
              <w:rPr>
                <w:rFonts w:asciiTheme="minorHAnsi" w:hAnsiTheme="minorHAnsi"/>
                <w:b/>
                <w:sz w:val="20"/>
                <w:szCs w:val="20"/>
                <w:lang w:val="fr-CA"/>
              </w:rPr>
              <w:t xml:space="preserve"> </w:t>
            </w:r>
            <w:r>
              <w:rPr>
                <w:rFonts w:asciiTheme="minorHAnsi" w:hAnsiTheme="minorHAnsi"/>
                <w:b/>
                <w:sz w:val="20"/>
                <w:szCs w:val="20"/>
                <w:lang w:val="fr-CA"/>
              </w:rPr>
              <w:t>20</w:t>
            </w:r>
            <w:r w:rsidR="00BF521A" w:rsidRPr="00A778BF">
              <w:rPr>
                <w:rFonts w:asciiTheme="minorHAnsi" w:hAnsiTheme="minorHAnsi"/>
                <w:b/>
                <w:sz w:val="20"/>
                <w:szCs w:val="20"/>
                <w:lang w:val="fr-CA"/>
              </w:rPr>
              <w:t>0</w:t>
            </w:r>
            <w:r w:rsidR="004E373E">
              <w:rPr>
                <w:rFonts w:asciiTheme="minorHAnsi" w:hAnsiTheme="minorHAnsi"/>
                <w:b/>
                <w:sz w:val="20"/>
                <w:szCs w:val="20"/>
                <w:lang w:val="fr-CA"/>
              </w:rPr>
              <w:t xml:space="preserve"> </w:t>
            </w:r>
            <w:r w:rsidR="00BF521A" w:rsidRPr="00A778BF">
              <w:rPr>
                <w:rFonts w:asciiTheme="minorHAnsi" w:hAnsiTheme="minorHAnsi"/>
                <w:b/>
                <w:sz w:val="20"/>
                <w:szCs w:val="20"/>
                <w:lang w:val="fr-CA"/>
              </w:rPr>
              <w:t>000</w:t>
            </w:r>
          </w:p>
          <w:p w:rsidR="00BF521A" w:rsidRPr="00A778BF" w:rsidRDefault="00BF521A" w:rsidP="004E623F">
            <w:pPr>
              <w:rPr>
                <w:rFonts w:asciiTheme="minorHAnsi" w:eastAsia="MS PGothic" w:hAnsiTheme="minorHAnsi" w:cs="Calibri"/>
                <w:b/>
                <w:sz w:val="20"/>
                <w:szCs w:val="20"/>
                <w:u w:val="single"/>
                <w:lang w:val="fr-CA" w:eastAsia="ja-JP"/>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A778BF" w:rsidRDefault="00BF521A">
            <w:pPr>
              <w:jc w:val="right"/>
              <w:rPr>
                <w:rFonts w:asciiTheme="minorHAnsi" w:hAnsiTheme="minorHAnsi"/>
                <w:b/>
                <w:sz w:val="20"/>
                <w:szCs w:val="20"/>
                <w:u w:val="single"/>
                <w:lang w:val="fr-CA"/>
              </w:rPr>
            </w:pPr>
          </w:p>
          <w:p w:rsidR="00BF521A" w:rsidRPr="00A778BF" w:rsidRDefault="0035558F">
            <w:pPr>
              <w:jc w:val="right"/>
              <w:rPr>
                <w:rFonts w:asciiTheme="minorHAnsi" w:eastAsia="MS PGothic" w:hAnsiTheme="minorHAnsi" w:cs="Calibri"/>
                <w:b/>
                <w:sz w:val="20"/>
                <w:szCs w:val="20"/>
                <w:lang w:val="fr-CA" w:eastAsia="ja-JP"/>
              </w:rPr>
            </w:pPr>
            <w:r w:rsidRPr="00A778BF">
              <w:rPr>
                <w:rFonts w:asciiTheme="minorHAnsi" w:hAnsiTheme="minorHAnsi"/>
                <w:b/>
                <w:sz w:val="20"/>
                <w:szCs w:val="20"/>
                <w:lang w:val="fr-CA"/>
              </w:rPr>
              <w:t>9</w:t>
            </w:r>
            <w:r w:rsidR="00E8002B">
              <w:rPr>
                <w:rFonts w:asciiTheme="minorHAnsi" w:hAnsiTheme="minorHAnsi"/>
                <w:b/>
                <w:sz w:val="20"/>
                <w:szCs w:val="20"/>
                <w:lang w:val="fr-CA"/>
              </w:rPr>
              <w:t>19</w:t>
            </w:r>
            <w:r w:rsidR="004E373E">
              <w:rPr>
                <w:rFonts w:asciiTheme="minorHAnsi" w:hAnsiTheme="minorHAnsi"/>
                <w:b/>
                <w:sz w:val="20"/>
                <w:szCs w:val="20"/>
                <w:lang w:val="fr-CA"/>
              </w:rPr>
              <w:t xml:space="preserve"> </w:t>
            </w:r>
            <w:r w:rsidR="00BF521A" w:rsidRPr="00A778BF">
              <w:rPr>
                <w:rFonts w:asciiTheme="minorHAnsi" w:hAnsiTheme="minorHAnsi"/>
                <w:b/>
                <w:sz w:val="20"/>
                <w:szCs w:val="20"/>
                <w:lang w:val="fr-CA"/>
              </w:rPr>
              <w:t>000</w:t>
            </w:r>
          </w:p>
          <w:p w:rsidR="00BF521A" w:rsidRPr="00A778BF" w:rsidRDefault="00BF521A">
            <w:pPr>
              <w:jc w:val="right"/>
              <w:rPr>
                <w:rFonts w:asciiTheme="minorHAnsi" w:eastAsia="MS PGothic" w:hAnsiTheme="minorHAnsi" w:cs="Calibri"/>
                <w:b/>
                <w:sz w:val="20"/>
                <w:szCs w:val="20"/>
                <w:u w:val="single"/>
                <w:lang w:val="fr-CA" w:eastAsia="ja-JP"/>
              </w:rPr>
            </w:pPr>
          </w:p>
        </w:tc>
      </w:tr>
    </w:tbl>
    <w:p w:rsidR="00B72286" w:rsidRDefault="00B72286" w:rsidP="00613092">
      <w:pPr>
        <w:rPr>
          <w:rFonts w:ascii="Calibri" w:eastAsia="MS PGothic" w:hAnsi="Calibri" w:cs="Calibri"/>
          <w:sz w:val="22"/>
          <w:szCs w:val="22"/>
          <w:u w:val="single"/>
          <w:lang w:val="fr-CA" w:eastAsia="ja-JP"/>
        </w:rPr>
      </w:pPr>
      <w:r>
        <w:rPr>
          <w:rFonts w:ascii="Calibri" w:eastAsia="MS PGothic" w:hAnsi="Calibri" w:cs="Calibri"/>
          <w:sz w:val="22"/>
          <w:szCs w:val="22"/>
          <w:u w:val="single"/>
          <w:lang w:val="fr-CA" w:eastAsia="ja-JP"/>
        </w:rPr>
        <w:t>*comme indiqué dans la Résolution XII.1 Annexe 3</w:t>
      </w:r>
    </w:p>
    <w:p w:rsidR="00613092" w:rsidRPr="00A778BF" w:rsidRDefault="00B72286" w:rsidP="00613092">
      <w:pPr>
        <w:rPr>
          <w:rFonts w:ascii="Calibri" w:eastAsia="MS PGothic" w:hAnsi="Calibri" w:cs="Calibri"/>
          <w:sz w:val="22"/>
          <w:szCs w:val="22"/>
          <w:u w:val="single"/>
          <w:lang w:val="fr-CA" w:eastAsia="ja-JP"/>
        </w:rPr>
      </w:pPr>
      <w:r>
        <w:rPr>
          <w:rFonts w:ascii="Calibri" w:eastAsia="MS PGothic" w:hAnsi="Calibri" w:cs="Calibri"/>
          <w:sz w:val="22"/>
          <w:szCs w:val="22"/>
          <w:u w:val="single"/>
          <w:lang w:val="fr-CA" w:eastAsia="ja-JP"/>
        </w:rPr>
        <w:t xml:space="preserve"> </w:t>
      </w:r>
    </w:p>
    <w:p w:rsidR="00125BC4" w:rsidRPr="00A778BF" w:rsidRDefault="00FF15AC" w:rsidP="00FF15AC">
      <w:pPr>
        <w:shd w:val="clear" w:color="auto" w:fill="FFFFFF" w:themeFill="background1"/>
        <w:rPr>
          <w:rFonts w:ascii="Calibri" w:eastAsia="Batang" w:hAnsi="Calibri" w:cs="Calibri"/>
          <w:b/>
          <w:sz w:val="22"/>
          <w:szCs w:val="22"/>
          <w:lang w:val="fr-CA" w:eastAsia="en-US"/>
        </w:rPr>
      </w:pPr>
      <w:r w:rsidRPr="00A778BF">
        <w:rPr>
          <w:rFonts w:ascii="Calibri" w:eastAsia="Batang" w:hAnsi="Calibri" w:cs="Calibri"/>
          <w:b/>
          <w:sz w:val="22"/>
          <w:szCs w:val="22"/>
          <w:lang w:val="fr-CA" w:eastAsia="en-US"/>
        </w:rPr>
        <w:t xml:space="preserve">Total </w:t>
      </w:r>
      <w:r w:rsidR="00B37EFC">
        <w:rPr>
          <w:rFonts w:ascii="Calibri" w:eastAsia="Batang" w:hAnsi="Calibri" w:cs="Calibri"/>
          <w:b/>
          <w:sz w:val="22"/>
          <w:szCs w:val="22"/>
          <w:lang w:val="fr-CA" w:eastAsia="en-US"/>
        </w:rPr>
        <w:t xml:space="preserve">des fonds non administratifs requis pour la période triennale </w:t>
      </w:r>
      <w:r w:rsidRPr="00A778BF">
        <w:rPr>
          <w:rFonts w:ascii="Calibri" w:eastAsia="Batang" w:hAnsi="Calibri" w:cs="Calibri"/>
          <w:b/>
          <w:sz w:val="22"/>
          <w:szCs w:val="22"/>
          <w:lang w:val="fr-CA" w:eastAsia="en-US"/>
        </w:rPr>
        <w:t xml:space="preserve">2016-2018 </w:t>
      </w:r>
      <w:r w:rsidR="00BF521A" w:rsidRPr="00A778BF">
        <w:rPr>
          <w:rFonts w:ascii="Calibri" w:eastAsia="Batang" w:hAnsi="Calibri" w:cs="Calibri"/>
          <w:b/>
          <w:sz w:val="22"/>
          <w:szCs w:val="22"/>
          <w:lang w:val="fr-CA" w:eastAsia="en-US"/>
        </w:rPr>
        <w:t xml:space="preserve">= </w:t>
      </w:r>
      <w:r w:rsidR="00556653">
        <w:rPr>
          <w:rFonts w:ascii="Calibri" w:eastAsia="Batang" w:hAnsi="Calibri" w:cs="Calibri"/>
          <w:b/>
          <w:sz w:val="22"/>
          <w:szCs w:val="22"/>
          <w:lang w:val="fr-CA" w:eastAsia="en-US"/>
        </w:rPr>
        <w:t>5</w:t>
      </w:r>
      <w:r w:rsidR="00B37EFC">
        <w:rPr>
          <w:rFonts w:ascii="Calibri" w:eastAsia="Batang" w:hAnsi="Calibri" w:cs="Calibri"/>
          <w:b/>
          <w:sz w:val="22"/>
          <w:szCs w:val="22"/>
          <w:lang w:val="fr-CA" w:eastAsia="en-US"/>
        </w:rPr>
        <w:t> </w:t>
      </w:r>
      <w:r w:rsidR="00556653">
        <w:rPr>
          <w:rFonts w:ascii="Calibri" w:eastAsia="Batang" w:hAnsi="Calibri" w:cs="Calibri"/>
          <w:b/>
          <w:sz w:val="22"/>
          <w:szCs w:val="22"/>
          <w:lang w:val="fr-CA" w:eastAsia="en-US"/>
        </w:rPr>
        <w:t>119</w:t>
      </w:r>
      <w:r w:rsidR="00B37EFC">
        <w:rPr>
          <w:rFonts w:ascii="Calibri" w:eastAsia="Batang" w:hAnsi="Calibri" w:cs="Calibri"/>
          <w:b/>
          <w:sz w:val="22"/>
          <w:szCs w:val="22"/>
          <w:lang w:val="fr-CA" w:eastAsia="en-US"/>
        </w:rPr>
        <w:t> </w:t>
      </w:r>
      <w:r w:rsidRPr="00A778BF">
        <w:rPr>
          <w:rFonts w:ascii="Calibri" w:eastAsia="Batang" w:hAnsi="Calibri" w:cs="Calibri"/>
          <w:b/>
          <w:sz w:val="22"/>
          <w:szCs w:val="22"/>
          <w:lang w:val="fr-CA" w:eastAsia="en-US"/>
        </w:rPr>
        <w:t>000</w:t>
      </w:r>
      <w:r w:rsidR="00B37EFC">
        <w:rPr>
          <w:rFonts w:ascii="Calibri" w:eastAsia="Batang" w:hAnsi="Calibri" w:cs="Calibri"/>
          <w:b/>
          <w:sz w:val="22"/>
          <w:szCs w:val="22"/>
          <w:lang w:val="fr-CA" w:eastAsia="en-US"/>
        </w:rPr>
        <w:t> CHF</w:t>
      </w:r>
    </w:p>
    <w:p w:rsidR="00FF15AC" w:rsidRPr="00A778BF" w:rsidRDefault="00FF15AC" w:rsidP="00FF15AC">
      <w:pPr>
        <w:shd w:val="clear" w:color="auto" w:fill="FFFFFF" w:themeFill="background1"/>
        <w:rPr>
          <w:rFonts w:ascii="Calibri" w:eastAsia="Batang" w:hAnsi="Calibri" w:cs="Calibri"/>
          <w:b/>
          <w:sz w:val="22"/>
          <w:szCs w:val="22"/>
          <w:lang w:val="fr-CA" w:eastAsia="en-US"/>
        </w:rPr>
      </w:pPr>
    </w:p>
    <w:p w:rsidR="00FF15AC" w:rsidRPr="00A778BF" w:rsidRDefault="00FF15AC">
      <w:pPr>
        <w:spacing w:after="200" w:line="276" w:lineRule="auto"/>
        <w:rPr>
          <w:rFonts w:ascii="Calibri" w:eastAsia="Batang" w:hAnsi="Calibri" w:cs="Calibri"/>
          <w:b/>
          <w:sz w:val="22"/>
          <w:szCs w:val="22"/>
          <w:lang w:val="fr-CA" w:eastAsia="en-US"/>
        </w:rPr>
        <w:sectPr w:rsidR="00FF15AC" w:rsidRPr="00A778BF" w:rsidSect="00534C4C">
          <w:footerReference w:type="default" r:id="rId9"/>
          <w:pgSz w:w="11906" w:h="16838"/>
          <w:pgMar w:top="1440" w:right="1440" w:bottom="1440" w:left="1440" w:header="708" w:footer="708" w:gutter="0"/>
          <w:cols w:space="708"/>
          <w:titlePg/>
          <w:docGrid w:linePitch="360"/>
        </w:sectPr>
      </w:pPr>
    </w:p>
    <w:p w:rsidR="00FF15AC" w:rsidRPr="00A778BF" w:rsidRDefault="00FF15AC" w:rsidP="00FF15AC">
      <w:pPr>
        <w:rPr>
          <w:rFonts w:asciiTheme="minorHAnsi" w:hAnsiTheme="minorHAnsi" w:cs="Calibri"/>
          <w:b/>
          <w:lang w:val="fr-CA"/>
        </w:rPr>
      </w:pPr>
      <w:r w:rsidRPr="00A778BF">
        <w:rPr>
          <w:rFonts w:asciiTheme="minorHAnsi" w:hAnsiTheme="minorHAnsi" w:cs="Calibri"/>
          <w:b/>
          <w:lang w:val="fr-CA"/>
        </w:rPr>
        <w:lastRenderedPageBreak/>
        <w:t>Annex</w:t>
      </w:r>
      <w:r w:rsidR="00457243" w:rsidRPr="00A778BF">
        <w:rPr>
          <w:rFonts w:asciiTheme="minorHAnsi" w:hAnsiTheme="minorHAnsi" w:cs="Calibri"/>
          <w:b/>
          <w:lang w:val="fr-CA"/>
        </w:rPr>
        <w:t>e</w:t>
      </w:r>
      <w:r w:rsidRPr="00A778BF">
        <w:rPr>
          <w:rFonts w:asciiTheme="minorHAnsi" w:hAnsiTheme="minorHAnsi" w:cs="Calibri"/>
          <w:b/>
          <w:lang w:val="fr-CA"/>
        </w:rPr>
        <w:t xml:space="preserve"> 2</w:t>
      </w:r>
    </w:p>
    <w:p w:rsidR="00FF15AC" w:rsidRPr="00A778BF" w:rsidRDefault="00FF15AC" w:rsidP="00FF15AC">
      <w:pPr>
        <w:shd w:val="clear" w:color="auto" w:fill="FFFFFF" w:themeFill="background1"/>
        <w:rPr>
          <w:rFonts w:ascii="Calibri" w:eastAsia="Batang" w:hAnsi="Calibri" w:cs="Calibri"/>
          <w:b/>
          <w:sz w:val="22"/>
          <w:szCs w:val="22"/>
          <w:lang w:val="fr-CA" w:eastAsia="en-US"/>
        </w:rPr>
      </w:pPr>
    </w:p>
    <w:p w:rsidR="00FF15AC" w:rsidRPr="00A778BF" w:rsidRDefault="00FF15AC" w:rsidP="00FF15AC">
      <w:pPr>
        <w:shd w:val="clear" w:color="auto" w:fill="FFFFFF" w:themeFill="background1"/>
        <w:rPr>
          <w:rFonts w:ascii="Calibri" w:eastAsia="Batang" w:hAnsi="Calibri" w:cs="Calibri"/>
          <w:b/>
          <w:lang w:val="fr-CA" w:eastAsia="en-US"/>
        </w:rPr>
      </w:pPr>
      <w:r w:rsidRPr="00A778BF">
        <w:rPr>
          <w:rFonts w:ascii="Calibri" w:eastAsia="Batang" w:hAnsi="Calibri" w:cs="Calibri"/>
          <w:b/>
          <w:lang w:val="fr-CA" w:eastAsia="en-US"/>
        </w:rPr>
        <w:t>C</w:t>
      </w:r>
      <w:r w:rsidR="00457243" w:rsidRPr="00A778BF">
        <w:rPr>
          <w:rFonts w:ascii="Calibri" w:eastAsia="Batang" w:hAnsi="Calibri" w:cs="Calibri"/>
          <w:b/>
          <w:lang w:val="fr-CA" w:eastAsia="en-US"/>
        </w:rPr>
        <w:t>oûts de la liste de mesures issues de la</w:t>
      </w:r>
      <w:r w:rsidRPr="00A778BF">
        <w:rPr>
          <w:rFonts w:ascii="Calibri" w:eastAsia="Batang" w:hAnsi="Calibri" w:cs="Calibri"/>
          <w:b/>
          <w:lang w:val="fr-CA" w:eastAsia="en-US"/>
        </w:rPr>
        <w:t xml:space="preserve"> COP12 </w:t>
      </w:r>
      <w:r w:rsidR="00A42E22" w:rsidRPr="00A778BF">
        <w:rPr>
          <w:rFonts w:ascii="Calibri" w:eastAsia="Batang" w:hAnsi="Calibri" w:cs="Calibri"/>
          <w:b/>
          <w:lang w:val="fr-CA" w:eastAsia="en-US"/>
        </w:rPr>
        <w:t xml:space="preserve">pour </w:t>
      </w:r>
      <w:r w:rsidRPr="00A778BF">
        <w:rPr>
          <w:rFonts w:ascii="Calibri" w:eastAsia="Batang" w:hAnsi="Calibri" w:cs="Calibri"/>
          <w:b/>
          <w:lang w:val="fr-CA" w:eastAsia="en-US"/>
        </w:rPr>
        <w:t>2016-2018</w:t>
      </w:r>
    </w:p>
    <w:p w:rsidR="00FF15AC" w:rsidRPr="00A778BF" w:rsidRDefault="00FF15AC" w:rsidP="00FF15AC">
      <w:pPr>
        <w:shd w:val="clear" w:color="auto" w:fill="FFFFFF" w:themeFill="background1"/>
        <w:rPr>
          <w:rFonts w:ascii="Calibri" w:eastAsia="Batang" w:hAnsi="Calibri" w:cs="Calibri"/>
          <w:b/>
          <w:lang w:val="fr-CA" w:eastAsia="en-US"/>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60"/>
        <w:gridCol w:w="1134"/>
        <w:gridCol w:w="3827"/>
        <w:gridCol w:w="1134"/>
        <w:gridCol w:w="1417"/>
        <w:gridCol w:w="1418"/>
      </w:tblGrid>
      <w:tr w:rsidR="00AD06E0" w:rsidRPr="007825EC" w:rsidTr="00534C4C">
        <w:trPr>
          <w:cantSplit/>
          <w:tblHeader/>
        </w:trPr>
        <w:tc>
          <w:tcPr>
            <w:tcW w:w="4253" w:type="dxa"/>
            <w:shd w:val="clear" w:color="auto" w:fill="B8CCE4" w:themeFill="accent1" w:themeFillTint="66"/>
            <w:vAlign w:val="center"/>
          </w:tcPr>
          <w:p w:rsidR="00AD06E0" w:rsidRPr="00A778BF" w:rsidRDefault="00AD06E0" w:rsidP="006B5FCE">
            <w:pPr>
              <w:autoSpaceDE w:val="0"/>
              <w:autoSpaceDN w:val="0"/>
              <w:adjustRightInd w:val="0"/>
              <w:jc w:val="center"/>
              <w:rPr>
                <w:rFonts w:ascii="Calibri" w:eastAsiaTheme="minorHAnsi" w:hAnsi="Calibri" w:cs="Calibri"/>
                <w:b/>
                <w:bCs/>
                <w:sz w:val="20"/>
                <w:szCs w:val="20"/>
                <w:lang w:val="fr-CA" w:eastAsia="en-US"/>
              </w:rPr>
            </w:pPr>
            <w:r w:rsidRPr="00A778BF">
              <w:rPr>
                <w:rFonts w:ascii="Calibri" w:eastAsiaTheme="minorHAnsi" w:hAnsi="Calibri" w:cs="Calibri"/>
                <w:b/>
                <w:bCs/>
                <w:sz w:val="20"/>
                <w:szCs w:val="20"/>
                <w:lang w:val="fr-CA" w:eastAsia="en-US"/>
              </w:rPr>
              <w:t>Action</w:t>
            </w:r>
          </w:p>
        </w:tc>
        <w:tc>
          <w:tcPr>
            <w:tcW w:w="1560" w:type="dxa"/>
            <w:shd w:val="clear" w:color="auto" w:fill="B8CCE4" w:themeFill="accent1" w:themeFillTint="66"/>
            <w:vAlign w:val="center"/>
          </w:tcPr>
          <w:p w:rsidR="00AD06E0" w:rsidRPr="00A778BF" w:rsidRDefault="00635AC9" w:rsidP="006B5FCE">
            <w:pPr>
              <w:autoSpaceDE w:val="0"/>
              <w:autoSpaceDN w:val="0"/>
              <w:adjustRightInd w:val="0"/>
              <w:jc w:val="center"/>
              <w:rPr>
                <w:rFonts w:ascii="Calibri" w:eastAsiaTheme="minorHAnsi" w:hAnsi="Calibri" w:cs="Calibri"/>
                <w:b/>
                <w:bCs/>
                <w:sz w:val="20"/>
                <w:szCs w:val="20"/>
                <w:lang w:val="fr-CA" w:eastAsia="en-US"/>
              </w:rPr>
            </w:pPr>
            <w:r>
              <w:rPr>
                <w:rFonts w:ascii="Calibri" w:eastAsiaTheme="minorHAnsi" w:hAnsi="Calibri" w:cs="Calibri"/>
                <w:b/>
                <w:bCs/>
                <w:sz w:val="20"/>
                <w:szCs w:val="20"/>
                <w:lang w:val="fr-CA" w:eastAsia="en-US"/>
              </w:rPr>
              <w:t>Équipe responsable</w:t>
            </w:r>
            <w:r w:rsidR="00B72286">
              <w:rPr>
                <w:rFonts w:ascii="Calibri" w:eastAsiaTheme="minorHAnsi" w:hAnsi="Calibri" w:cs="Calibri"/>
                <w:b/>
                <w:bCs/>
                <w:sz w:val="20"/>
                <w:szCs w:val="20"/>
                <w:lang w:val="fr-CA" w:eastAsia="en-US"/>
              </w:rPr>
              <w:t xml:space="preserve"> du plan de travail</w:t>
            </w:r>
          </w:p>
        </w:tc>
        <w:tc>
          <w:tcPr>
            <w:tcW w:w="1134" w:type="dxa"/>
            <w:shd w:val="clear" w:color="auto" w:fill="B8CCE4" w:themeFill="accent1" w:themeFillTint="66"/>
            <w:vAlign w:val="center"/>
          </w:tcPr>
          <w:p w:rsidR="00AD06E0" w:rsidRPr="00A778BF" w:rsidRDefault="00A42E22" w:rsidP="00A42E22">
            <w:pPr>
              <w:autoSpaceDE w:val="0"/>
              <w:autoSpaceDN w:val="0"/>
              <w:adjustRightInd w:val="0"/>
              <w:jc w:val="center"/>
              <w:rPr>
                <w:rFonts w:ascii="Calibri" w:eastAsiaTheme="minorHAnsi" w:hAnsi="Calibri" w:cs="Calibri"/>
                <w:b/>
                <w:bCs/>
                <w:sz w:val="20"/>
                <w:szCs w:val="20"/>
                <w:lang w:val="fr-CA" w:eastAsia="en-US"/>
              </w:rPr>
            </w:pPr>
            <w:r w:rsidRPr="00A778BF">
              <w:rPr>
                <w:rFonts w:ascii="Calibri" w:eastAsiaTheme="minorHAnsi" w:hAnsi="Calibri" w:cs="Calibri"/>
                <w:b/>
                <w:bCs/>
                <w:sz w:val="20"/>
                <w:szCs w:val="20"/>
                <w:lang w:val="fr-CA" w:eastAsia="en-US"/>
              </w:rPr>
              <w:t>Délai dans la</w:t>
            </w:r>
            <w:r w:rsidR="00733655">
              <w:rPr>
                <w:rFonts w:ascii="Calibri" w:eastAsiaTheme="minorHAnsi" w:hAnsi="Calibri" w:cs="Calibri"/>
                <w:b/>
                <w:bCs/>
                <w:sz w:val="20"/>
                <w:szCs w:val="20"/>
                <w:lang w:val="fr-CA" w:eastAsia="en-US"/>
              </w:rPr>
              <w:t xml:space="preserve"> </w:t>
            </w:r>
            <w:r w:rsidR="00AD06E0" w:rsidRPr="00A778BF">
              <w:rPr>
                <w:rFonts w:ascii="Calibri" w:eastAsiaTheme="minorHAnsi" w:hAnsi="Calibri" w:cs="Calibri"/>
                <w:b/>
                <w:bCs/>
                <w:sz w:val="20"/>
                <w:szCs w:val="20"/>
                <w:lang w:val="fr-CA" w:eastAsia="en-US"/>
              </w:rPr>
              <w:t>R</w:t>
            </w:r>
            <w:r w:rsidRPr="00A778BF">
              <w:rPr>
                <w:rFonts w:ascii="Calibri" w:eastAsiaTheme="minorHAnsi" w:hAnsi="Calibri" w:cs="Calibri"/>
                <w:b/>
                <w:bCs/>
                <w:sz w:val="20"/>
                <w:szCs w:val="20"/>
                <w:lang w:val="fr-CA" w:eastAsia="en-US"/>
              </w:rPr>
              <w:t>é</w:t>
            </w:r>
            <w:r w:rsidR="00AD06E0" w:rsidRPr="00A778BF">
              <w:rPr>
                <w:rFonts w:ascii="Calibri" w:eastAsiaTheme="minorHAnsi" w:hAnsi="Calibri" w:cs="Calibri"/>
                <w:b/>
                <w:bCs/>
                <w:sz w:val="20"/>
                <w:szCs w:val="20"/>
                <w:lang w:val="fr-CA" w:eastAsia="en-US"/>
              </w:rPr>
              <w:t>solution</w:t>
            </w:r>
          </w:p>
        </w:tc>
        <w:tc>
          <w:tcPr>
            <w:tcW w:w="3827" w:type="dxa"/>
            <w:shd w:val="clear" w:color="auto" w:fill="B8CCE4" w:themeFill="accent1" w:themeFillTint="66"/>
            <w:vAlign w:val="center"/>
          </w:tcPr>
          <w:p w:rsidR="00AD06E0" w:rsidRPr="00A778BF" w:rsidRDefault="00A42E22" w:rsidP="006B5FCE">
            <w:pPr>
              <w:autoSpaceDE w:val="0"/>
              <w:autoSpaceDN w:val="0"/>
              <w:adjustRightInd w:val="0"/>
              <w:jc w:val="center"/>
              <w:rPr>
                <w:rFonts w:ascii="Calibri" w:eastAsiaTheme="minorHAnsi" w:hAnsi="Calibri" w:cs="Calibri"/>
                <w:b/>
                <w:bCs/>
                <w:sz w:val="20"/>
                <w:szCs w:val="20"/>
                <w:lang w:val="fr-CA" w:eastAsia="en-US"/>
              </w:rPr>
            </w:pPr>
            <w:r w:rsidRPr="00A778BF">
              <w:rPr>
                <w:rFonts w:ascii="Calibri" w:eastAsiaTheme="minorHAnsi" w:hAnsi="Calibri" w:cs="Calibri"/>
                <w:b/>
                <w:bCs/>
                <w:sz w:val="20"/>
                <w:szCs w:val="20"/>
                <w:lang w:val="fr-CA" w:eastAsia="en-US"/>
              </w:rPr>
              <w:t>État et commentaires</w:t>
            </w:r>
          </w:p>
        </w:tc>
        <w:tc>
          <w:tcPr>
            <w:tcW w:w="1134" w:type="dxa"/>
            <w:shd w:val="clear" w:color="auto" w:fill="B8CCE4" w:themeFill="accent1" w:themeFillTint="66"/>
            <w:vAlign w:val="center"/>
          </w:tcPr>
          <w:p w:rsidR="00AD06E0" w:rsidRPr="00A778BF" w:rsidRDefault="00A42E22" w:rsidP="00A42E22">
            <w:pPr>
              <w:autoSpaceDE w:val="0"/>
              <w:autoSpaceDN w:val="0"/>
              <w:adjustRightInd w:val="0"/>
              <w:jc w:val="center"/>
              <w:rPr>
                <w:rFonts w:ascii="Calibri" w:eastAsiaTheme="minorHAnsi" w:hAnsi="Calibri" w:cs="Calibri"/>
                <w:b/>
                <w:bCs/>
                <w:sz w:val="20"/>
                <w:szCs w:val="20"/>
                <w:lang w:val="fr-CA" w:eastAsia="en-US"/>
              </w:rPr>
            </w:pPr>
            <w:r w:rsidRPr="00A778BF">
              <w:rPr>
                <w:rFonts w:ascii="Calibri" w:eastAsiaTheme="minorHAnsi" w:hAnsi="Calibri" w:cs="Calibri"/>
                <w:b/>
                <w:bCs/>
                <w:sz w:val="20"/>
                <w:szCs w:val="20"/>
                <w:lang w:val="fr-CA" w:eastAsia="en-US"/>
              </w:rPr>
              <w:t>Coût t</w:t>
            </w:r>
            <w:r w:rsidR="00AD06E0" w:rsidRPr="00A778BF">
              <w:rPr>
                <w:rFonts w:ascii="Calibri" w:eastAsiaTheme="minorHAnsi" w:hAnsi="Calibri" w:cs="Calibri"/>
                <w:b/>
                <w:bCs/>
                <w:sz w:val="20"/>
                <w:szCs w:val="20"/>
                <w:lang w:val="fr-CA" w:eastAsia="en-US"/>
              </w:rPr>
              <w:t xml:space="preserve">otal </w:t>
            </w:r>
            <w:r w:rsidRPr="00A778BF">
              <w:rPr>
                <w:rFonts w:ascii="Calibri" w:eastAsiaTheme="minorHAnsi" w:hAnsi="Calibri" w:cs="Calibri"/>
                <w:b/>
                <w:bCs/>
                <w:sz w:val="20"/>
                <w:szCs w:val="20"/>
                <w:lang w:val="fr-CA" w:eastAsia="en-US"/>
              </w:rPr>
              <w:t>en</w:t>
            </w:r>
            <w:r w:rsidR="00AD06E0" w:rsidRPr="00A778BF">
              <w:rPr>
                <w:rFonts w:ascii="Calibri" w:eastAsiaTheme="minorHAnsi" w:hAnsi="Calibri" w:cs="Calibri"/>
                <w:b/>
                <w:bCs/>
                <w:sz w:val="20"/>
                <w:szCs w:val="20"/>
                <w:lang w:val="fr-CA" w:eastAsia="en-US"/>
              </w:rPr>
              <w:t xml:space="preserve"> CHF p</w:t>
            </w:r>
            <w:r w:rsidRPr="00A778BF">
              <w:rPr>
                <w:rFonts w:ascii="Calibri" w:eastAsiaTheme="minorHAnsi" w:hAnsi="Calibri" w:cs="Calibri"/>
                <w:b/>
                <w:bCs/>
                <w:sz w:val="20"/>
                <w:szCs w:val="20"/>
                <w:lang w:val="fr-CA" w:eastAsia="en-US"/>
              </w:rPr>
              <w:t>a</w:t>
            </w:r>
            <w:r w:rsidR="00AD06E0" w:rsidRPr="00A778BF">
              <w:rPr>
                <w:rFonts w:ascii="Calibri" w:eastAsiaTheme="minorHAnsi" w:hAnsi="Calibri" w:cs="Calibri"/>
                <w:b/>
                <w:bCs/>
                <w:sz w:val="20"/>
                <w:szCs w:val="20"/>
                <w:lang w:val="fr-CA" w:eastAsia="en-US"/>
              </w:rPr>
              <w:t>r R</w:t>
            </w:r>
            <w:r w:rsidRPr="00A778BF">
              <w:rPr>
                <w:rFonts w:ascii="Calibri" w:eastAsiaTheme="minorHAnsi" w:hAnsi="Calibri" w:cs="Calibri"/>
                <w:b/>
                <w:bCs/>
                <w:sz w:val="20"/>
                <w:szCs w:val="20"/>
                <w:lang w:val="fr-CA" w:eastAsia="en-US"/>
              </w:rPr>
              <w:t>é</w:t>
            </w:r>
            <w:r w:rsidR="00AD06E0" w:rsidRPr="00A778BF">
              <w:rPr>
                <w:rFonts w:ascii="Calibri" w:eastAsiaTheme="minorHAnsi" w:hAnsi="Calibri" w:cs="Calibri"/>
                <w:b/>
                <w:bCs/>
                <w:sz w:val="20"/>
                <w:szCs w:val="20"/>
                <w:lang w:val="fr-CA" w:eastAsia="en-US"/>
              </w:rPr>
              <w:t xml:space="preserve">solution </w:t>
            </w:r>
            <w:r w:rsidR="00E10389">
              <w:rPr>
                <w:rFonts w:ascii="Calibri" w:eastAsiaTheme="minorHAnsi" w:hAnsi="Calibri" w:cs="Calibri"/>
                <w:b/>
                <w:bCs/>
                <w:sz w:val="20"/>
                <w:szCs w:val="20"/>
                <w:lang w:val="fr-CA" w:eastAsia="en-US"/>
              </w:rPr>
              <w:t>sur 3 </w:t>
            </w:r>
            <w:r w:rsidRPr="00A778BF">
              <w:rPr>
                <w:rFonts w:ascii="Calibri" w:eastAsiaTheme="minorHAnsi" w:hAnsi="Calibri" w:cs="Calibri"/>
                <w:b/>
                <w:bCs/>
                <w:sz w:val="20"/>
                <w:szCs w:val="20"/>
                <w:lang w:val="fr-CA" w:eastAsia="en-US"/>
              </w:rPr>
              <w:t>ans</w:t>
            </w:r>
          </w:p>
        </w:tc>
        <w:tc>
          <w:tcPr>
            <w:tcW w:w="1417" w:type="dxa"/>
            <w:shd w:val="clear" w:color="auto" w:fill="B8CCE4" w:themeFill="accent1" w:themeFillTint="66"/>
            <w:vAlign w:val="center"/>
          </w:tcPr>
          <w:p w:rsidR="00AD06E0" w:rsidRPr="00A778BF" w:rsidRDefault="00A42E22" w:rsidP="00A42E22">
            <w:pPr>
              <w:autoSpaceDE w:val="0"/>
              <w:autoSpaceDN w:val="0"/>
              <w:adjustRightInd w:val="0"/>
              <w:jc w:val="center"/>
              <w:rPr>
                <w:rFonts w:ascii="Calibri" w:eastAsiaTheme="minorHAnsi" w:hAnsi="Calibri" w:cs="Calibri"/>
                <w:b/>
                <w:bCs/>
                <w:sz w:val="20"/>
                <w:szCs w:val="20"/>
                <w:lang w:val="fr-CA" w:eastAsia="en-US"/>
              </w:rPr>
            </w:pPr>
            <w:r w:rsidRPr="00A778BF">
              <w:rPr>
                <w:rFonts w:ascii="Calibri" w:eastAsiaTheme="minorHAnsi" w:hAnsi="Calibri" w:cs="Calibri"/>
                <w:b/>
                <w:bCs/>
                <w:sz w:val="20"/>
                <w:szCs w:val="20"/>
                <w:lang w:val="fr-CA" w:eastAsia="en-US"/>
              </w:rPr>
              <w:t>Fonds inscrits au budget non administratif</w:t>
            </w:r>
            <w:r w:rsidR="00AD06E0" w:rsidRPr="00A778BF">
              <w:rPr>
                <w:rFonts w:ascii="Calibri" w:eastAsiaTheme="minorHAnsi" w:hAnsi="Calibri" w:cs="Calibri"/>
                <w:b/>
                <w:bCs/>
                <w:sz w:val="20"/>
                <w:szCs w:val="20"/>
                <w:lang w:val="fr-CA" w:eastAsia="en-US"/>
              </w:rPr>
              <w:t xml:space="preserve"> </w:t>
            </w:r>
            <w:r w:rsidR="00AD06E0" w:rsidRPr="00A778BF">
              <w:rPr>
                <w:rFonts w:ascii="Calibri" w:eastAsiaTheme="minorHAnsi" w:hAnsi="Calibri" w:cs="Calibri"/>
                <w:b/>
                <w:bCs/>
                <w:sz w:val="20"/>
                <w:szCs w:val="20"/>
                <w:lang w:val="fr-CA" w:eastAsia="en-US"/>
              </w:rPr>
              <w:br/>
              <w:t>(R</w:t>
            </w:r>
            <w:r w:rsidRPr="00A778BF">
              <w:rPr>
                <w:rFonts w:ascii="Calibri" w:eastAsiaTheme="minorHAnsi" w:hAnsi="Calibri" w:cs="Calibri"/>
                <w:b/>
                <w:bCs/>
                <w:sz w:val="20"/>
                <w:szCs w:val="20"/>
                <w:lang w:val="fr-CA" w:eastAsia="en-US"/>
              </w:rPr>
              <w:t>é</w:t>
            </w:r>
            <w:r w:rsidR="00635AC9">
              <w:rPr>
                <w:rFonts w:ascii="Calibri" w:eastAsiaTheme="minorHAnsi" w:hAnsi="Calibri" w:cs="Calibri"/>
                <w:b/>
                <w:bCs/>
                <w:sz w:val="20"/>
                <w:szCs w:val="20"/>
                <w:lang w:val="fr-CA" w:eastAsia="en-US"/>
              </w:rPr>
              <w:t>s. XII.1</w:t>
            </w:r>
            <w:r w:rsidR="00E10389">
              <w:rPr>
                <w:rFonts w:ascii="Calibri" w:eastAsiaTheme="minorHAnsi" w:hAnsi="Calibri" w:cs="Calibri"/>
                <w:b/>
                <w:bCs/>
                <w:sz w:val="20"/>
                <w:szCs w:val="20"/>
                <w:lang w:val="fr-CA" w:eastAsia="en-US"/>
              </w:rPr>
              <w:t>,</w:t>
            </w:r>
            <w:r w:rsidR="00635AC9">
              <w:rPr>
                <w:rFonts w:ascii="Calibri" w:eastAsiaTheme="minorHAnsi" w:hAnsi="Calibri" w:cs="Calibri"/>
                <w:b/>
                <w:bCs/>
                <w:sz w:val="20"/>
                <w:szCs w:val="20"/>
                <w:lang w:val="fr-CA" w:eastAsia="en-US"/>
              </w:rPr>
              <w:t xml:space="preserve"> a</w:t>
            </w:r>
            <w:r w:rsidR="00AD06E0" w:rsidRPr="00A778BF">
              <w:rPr>
                <w:rFonts w:ascii="Calibri" w:eastAsiaTheme="minorHAnsi" w:hAnsi="Calibri" w:cs="Calibri"/>
                <w:b/>
                <w:bCs/>
                <w:sz w:val="20"/>
                <w:szCs w:val="20"/>
                <w:lang w:val="fr-CA" w:eastAsia="en-US"/>
              </w:rPr>
              <w:t>nnex</w:t>
            </w:r>
            <w:r w:rsidRPr="00A778BF">
              <w:rPr>
                <w:rFonts w:ascii="Calibri" w:eastAsiaTheme="minorHAnsi" w:hAnsi="Calibri" w:cs="Calibri"/>
                <w:b/>
                <w:bCs/>
                <w:sz w:val="20"/>
                <w:szCs w:val="20"/>
                <w:lang w:val="fr-CA" w:eastAsia="en-US"/>
              </w:rPr>
              <w:t>e</w:t>
            </w:r>
            <w:r w:rsidR="00E10389">
              <w:rPr>
                <w:rFonts w:ascii="Calibri" w:eastAsiaTheme="minorHAnsi" w:hAnsi="Calibri" w:cs="Calibri"/>
                <w:b/>
                <w:bCs/>
                <w:sz w:val="20"/>
                <w:szCs w:val="20"/>
                <w:lang w:val="fr-CA" w:eastAsia="en-US"/>
              </w:rPr>
              <w:t> </w:t>
            </w:r>
            <w:r w:rsidR="00AD06E0" w:rsidRPr="00A778BF">
              <w:rPr>
                <w:rFonts w:ascii="Calibri" w:eastAsiaTheme="minorHAnsi" w:hAnsi="Calibri" w:cs="Calibri"/>
                <w:b/>
                <w:bCs/>
                <w:sz w:val="20"/>
                <w:szCs w:val="20"/>
                <w:lang w:val="fr-CA" w:eastAsia="en-US"/>
              </w:rPr>
              <w:t>3)</w:t>
            </w:r>
          </w:p>
        </w:tc>
        <w:tc>
          <w:tcPr>
            <w:tcW w:w="1418" w:type="dxa"/>
            <w:shd w:val="clear" w:color="auto" w:fill="B8CCE4" w:themeFill="accent1" w:themeFillTint="66"/>
            <w:vAlign w:val="center"/>
          </w:tcPr>
          <w:p w:rsidR="00AD06E0" w:rsidRPr="00A778BF" w:rsidRDefault="00A42E22" w:rsidP="00A42E22">
            <w:pPr>
              <w:autoSpaceDE w:val="0"/>
              <w:autoSpaceDN w:val="0"/>
              <w:adjustRightInd w:val="0"/>
              <w:jc w:val="center"/>
              <w:rPr>
                <w:rFonts w:ascii="Calibri" w:eastAsiaTheme="minorHAnsi" w:hAnsi="Calibri" w:cs="Calibri"/>
                <w:b/>
                <w:bCs/>
                <w:sz w:val="20"/>
                <w:szCs w:val="20"/>
                <w:lang w:val="fr-CA" w:eastAsia="en-US"/>
              </w:rPr>
            </w:pPr>
            <w:r w:rsidRPr="00A778BF">
              <w:rPr>
                <w:rFonts w:ascii="Calibri" w:eastAsiaTheme="minorHAnsi" w:hAnsi="Calibri" w:cs="Calibri"/>
                <w:b/>
                <w:bCs/>
                <w:sz w:val="20"/>
                <w:szCs w:val="20"/>
                <w:lang w:val="fr-CA" w:eastAsia="en-US"/>
              </w:rPr>
              <w:t>Fonds additionnels du budget non administratif</w:t>
            </w:r>
          </w:p>
        </w:tc>
      </w:tr>
      <w:tr w:rsidR="00AD06E0" w:rsidRPr="00A778BF" w:rsidTr="00534C4C">
        <w:trPr>
          <w:cantSplit/>
        </w:trPr>
        <w:tc>
          <w:tcPr>
            <w:tcW w:w="4253" w:type="dxa"/>
            <w:shd w:val="clear" w:color="auto" w:fill="D9D9D9" w:themeFill="background1" w:themeFillShade="D9"/>
          </w:tcPr>
          <w:p w:rsidR="00AD06E0" w:rsidRPr="00A778BF" w:rsidRDefault="005908DA" w:rsidP="005908DA">
            <w:pPr>
              <w:autoSpaceDE w:val="0"/>
              <w:autoSpaceDN w:val="0"/>
              <w:adjustRightInd w:val="0"/>
              <w:rPr>
                <w:rFonts w:ascii="Calibri" w:eastAsiaTheme="minorHAnsi" w:hAnsi="Calibri" w:cs="Calibri"/>
                <w:b/>
                <w:bCs/>
                <w:color w:val="000000"/>
                <w:sz w:val="20"/>
                <w:szCs w:val="20"/>
                <w:lang w:val="fr-CA" w:eastAsia="en-US"/>
              </w:rPr>
            </w:pPr>
            <w:r w:rsidRPr="00A778BF">
              <w:rPr>
                <w:rFonts w:ascii="Calibri" w:eastAsiaTheme="minorHAnsi" w:hAnsi="Calibri" w:cs="Calibri"/>
                <w:b/>
                <w:bCs/>
                <w:color w:val="000000"/>
                <w:sz w:val="20"/>
                <w:szCs w:val="20"/>
                <w:lang w:val="fr-CA" w:eastAsia="en-US"/>
              </w:rPr>
              <w:t>Résolution</w:t>
            </w:r>
            <w:r w:rsidR="00AD06E0" w:rsidRPr="00A778BF">
              <w:rPr>
                <w:rFonts w:ascii="Calibri" w:eastAsiaTheme="minorHAnsi" w:hAnsi="Calibri" w:cs="Calibri"/>
                <w:b/>
                <w:bCs/>
                <w:color w:val="000000"/>
                <w:sz w:val="20"/>
                <w:szCs w:val="20"/>
                <w:lang w:val="fr-CA" w:eastAsia="en-US"/>
              </w:rPr>
              <w:t xml:space="preserve"> XII.1 </w:t>
            </w:r>
            <w:r w:rsidRPr="00A778BF">
              <w:rPr>
                <w:rFonts w:ascii="Calibri" w:eastAsiaTheme="minorHAnsi" w:hAnsi="Calibri" w:cs="Calibri"/>
                <w:b/>
                <w:bCs/>
                <w:color w:val="000000"/>
                <w:sz w:val="20"/>
                <w:szCs w:val="20"/>
                <w:lang w:val="fr-CA" w:eastAsia="en-US"/>
              </w:rPr>
              <w:t>Questions financières et budgétaires</w:t>
            </w:r>
            <w:r w:rsidR="00AD06E0" w:rsidRPr="00A778BF">
              <w:rPr>
                <w:rFonts w:ascii="Calibri" w:eastAsiaTheme="minorHAnsi" w:hAnsi="Calibri" w:cs="Calibri"/>
                <w:b/>
                <w:bCs/>
                <w:color w:val="000000"/>
                <w:sz w:val="20"/>
                <w:szCs w:val="20"/>
                <w:lang w:val="fr-CA" w:eastAsia="en-US"/>
              </w:rPr>
              <w:t xml:space="preserve"> (</w:t>
            </w:r>
            <w:r w:rsidRPr="00A778BF">
              <w:rPr>
                <w:rFonts w:ascii="Calibri" w:eastAsiaTheme="minorHAnsi" w:hAnsi="Calibri" w:cs="Calibri"/>
                <w:b/>
                <w:bCs/>
                <w:color w:val="000000"/>
                <w:sz w:val="20"/>
                <w:szCs w:val="20"/>
                <w:lang w:val="fr-CA" w:eastAsia="en-US"/>
              </w:rPr>
              <w:t>tous les buts stratégiques</w:t>
            </w:r>
            <w:r w:rsidR="00AD06E0" w:rsidRPr="00A778BF">
              <w:rPr>
                <w:rFonts w:ascii="Calibri" w:eastAsiaTheme="minorHAnsi" w:hAnsi="Calibri" w:cs="Calibri"/>
                <w:b/>
                <w:bCs/>
                <w:color w:val="000000"/>
                <w:sz w:val="20"/>
                <w:szCs w:val="20"/>
                <w:lang w:val="fr-CA" w:eastAsia="en-US"/>
              </w:rPr>
              <w:t>)</w:t>
            </w:r>
          </w:p>
        </w:tc>
        <w:tc>
          <w:tcPr>
            <w:tcW w:w="1560" w:type="dxa"/>
            <w:shd w:val="clear" w:color="auto" w:fill="D9D9D9" w:themeFill="background1" w:themeFillShade="D9"/>
          </w:tcPr>
          <w:p w:rsidR="00AD06E0" w:rsidRPr="00A778BF" w:rsidRDefault="00AD06E0" w:rsidP="006B5FCE">
            <w:pPr>
              <w:autoSpaceDE w:val="0"/>
              <w:autoSpaceDN w:val="0"/>
              <w:adjustRightInd w:val="0"/>
              <w:rPr>
                <w:rFonts w:ascii="Calibri" w:eastAsiaTheme="minorHAnsi" w:hAnsi="Calibri" w:cs="Calibri"/>
                <w:b/>
                <w:bCs/>
                <w:color w:val="000000"/>
                <w:sz w:val="20"/>
                <w:szCs w:val="20"/>
                <w:lang w:val="fr-CA" w:eastAsia="en-US"/>
              </w:rPr>
            </w:pPr>
          </w:p>
        </w:tc>
        <w:tc>
          <w:tcPr>
            <w:tcW w:w="1134" w:type="dxa"/>
            <w:shd w:val="clear" w:color="auto" w:fill="D9D9D9" w:themeFill="background1" w:themeFillShade="D9"/>
          </w:tcPr>
          <w:p w:rsidR="00AD06E0" w:rsidRPr="00A778BF" w:rsidRDefault="00AD06E0" w:rsidP="006B5FCE">
            <w:pPr>
              <w:autoSpaceDE w:val="0"/>
              <w:autoSpaceDN w:val="0"/>
              <w:adjustRightInd w:val="0"/>
              <w:jc w:val="right"/>
              <w:rPr>
                <w:rFonts w:ascii="Calibri" w:eastAsiaTheme="minorHAnsi" w:hAnsi="Calibri" w:cs="Calibri"/>
                <w:color w:val="000000"/>
                <w:sz w:val="20"/>
                <w:szCs w:val="20"/>
                <w:lang w:val="fr-CA" w:eastAsia="en-US"/>
              </w:rPr>
            </w:pPr>
          </w:p>
        </w:tc>
        <w:tc>
          <w:tcPr>
            <w:tcW w:w="3827" w:type="dxa"/>
            <w:shd w:val="clear" w:color="auto" w:fill="D9D9D9" w:themeFill="background1" w:themeFillShade="D9"/>
          </w:tcPr>
          <w:p w:rsidR="00AD06E0" w:rsidRPr="00A778BF" w:rsidRDefault="00AD06E0" w:rsidP="006B5FCE">
            <w:pPr>
              <w:autoSpaceDE w:val="0"/>
              <w:autoSpaceDN w:val="0"/>
              <w:adjustRightInd w:val="0"/>
              <w:jc w:val="right"/>
              <w:rPr>
                <w:rFonts w:ascii="Calibri" w:eastAsiaTheme="minorHAnsi" w:hAnsi="Calibri" w:cs="Calibri"/>
                <w:color w:val="000000"/>
                <w:sz w:val="20"/>
                <w:szCs w:val="20"/>
                <w:lang w:val="fr-CA" w:eastAsia="en-US"/>
              </w:rPr>
            </w:pPr>
          </w:p>
        </w:tc>
        <w:tc>
          <w:tcPr>
            <w:tcW w:w="1134" w:type="dxa"/>
            <w:shd w:val="clear" w:color="auto" w:fill="D9D9D9" w:themeFill="background1" w:themeFillShade="D9"/>
          </w:tcPr>
          <w:p w:rsidR="00AD06E0" w:rsidRPr="00A778BF" w:rsidRDefault="00AD06E0" w:rsidP="00534C4C">
            <w:pPr>
              <w:autoSpaceDE w:val="0"/>
              <w:autoSpaceDN w:val="0"/>
              <w:adjustRightInd w:val="0"/>
              <w:jc w:val="right"/>
              <w:rPr>
                <w:rFonts w:ascii="Calibri" w:eastAsiaTheme="minorHAnsi" w:hAnsi="Calibri" w:cs="Calibri"/>
                <w:b/>
                <w:bCs/>
                <w:color w:val="000000"/>
                <w:sz w:val="20"/>
                <w:szCs w:val="20"/>
                <w:lang w:val="fr-CA" w:eastAsia="en-US"/>
              </w:rPr>
            </w:pPr>
            <w:r w:rsidRPr="00A778BF">
              <w:rPr>
                <w:rFonts w:ascii="Calibri" w:eastAsiaTheme="minorHAnsi" w:hAnsi="Calibri" w:cs="Calibri"/>
                <w:b/>
                <w:bCs/>
                <w:color w:val="000000"/>
                <w:sz w:val="20"/>
                <w:szCs w:val="20"/>
                <w:lang w:val="fr-CA" w:eastAsia="en-US"/>
              </w:rPr>
              <w:t>1</w:t>
            </w:r>
            <w:r w:rsidR="00E10389">
              <w:rPr>
                <w:rFonts w:ascii="Calibri" w:eastAsiaTheme="minorHAnsi" w:hAnsi="Calibri" w:cs="Calibri"/>
                <w:b/>
                <w:bCs/>
                <w:color w:val="000000"/>
                <w:sz w:val="20"/>
                <w:szCs w:val="20"/>
                <w:lang w:val="fr-CA" w:eastAsia="en-US"/>
              </w:rPr>
              <w:t xml:space="preserve"> </w:t>
            </w:r>
            <w:r w:rsidR="00B72286">
              <w:rPr>
                <w:rFonts w:ascii="Calibri" w:eastAsiaTheme="minorHAnsi" w:hAnsi="Calibri" w:cs="Calibri"/>
                <w:b/>
                <w:bCs/>
                <w:color w:val="000000"/>
                <w:sz w:val="20"/>
                <w:szCs w:val="20"/>
                <w:lang w:val="fr-CA" w:eastAsia="en-US"/>
              </w:rPr>
              <w:t>2</w:t>
            </w:r>
            <w:r w:rsidRPr="00A778BF">
              <w:rPr>
                <w:rFonts w:ascii="Calibri" w:eastAsiaTheme="minorHAnsi" w:hAnsi="Calibri" w:cs="Calibri"/>
                <w:b/>
                <w:bCs/>
                <w:color w:val="000000"/>
                <w:sz w:val="20"/>
                <w:szCs w:val="20"/>
                <w:lang w:val="fr-CA" w:eastAsia="en-US"/>
              </w:rPr>
              <w:t>50</w:t>
            </w:r>
            <w:r w:rsidR="00E10389">
              <w:rPr>
                <w:rFonts w:ascii="Calibri" w:eastAsiaTheme="minorHAnsi" w:hAnsi="Calibri" w:cs="Calibri"/>
                <w:b/>
                <w:bCs/>
                <w:color w:val="000000"/>
                <w:sz w:val="20"/>
                <w:szCs w:val="20"/>
                <w:lang w:val="fr-CA" w:eastAsia="en-US"/>
              </w:rPr>
              <w:t xml:space="preserve"> </w:t>
            </w:r>
            <w:r w:rsidRPr="00A778BF">
              <w:rPr>
                <w:rFonts w:ascii="Calibri" w:eastAsiaTheme="minorHAnsi" w:hAnsi="Calibri" w:cs="Calibri"/>
                <w:b/>
                <w:bCs/>
                <w:color w:val="000000"/>
                <w:sz w:val="20"/>
                <w:szCs w:val="20"/>
                <w:lang w:val="fr-CA" w:eastAsia="en-US"/>
              </w:rPr>
              <w:t>000</w:t>
            </w:r>
          </w:p>
        </w:tc>
        <w:tc>
          <w:tcPr>
            <w:tcW w:w="1417" w:type="dxa"/>
            <w:shd w:val="clear" w:color="auto" w:fill="D9D9D9" w:themeFill="background1" w:themeFillShade="D9"/>
          </w:tcPr>
          <w:p w:rsidR="00AD06E0" w:rsidRPr="00A778BF" w:rsidRDefault="00B72286" w:rsidP="00534C4C">
            <w:pPr>
              <w:autoSpaceDE w:val="0"/>
              <w:autoSpaceDN w:val="0"/>
              <w:adjustRightInd w:val="0"/>
              <w:jc w:val="right"/>
              <w:rPr>
                <w:rFonts w:ascii="Calibri" w:eastAsiaTheme="minorHAnsi" w:hAnsi="Calibri" w:cs="Calibri"/>
                <w:color w:val="000000"/>
                <w:sz w:val="20"/>
                <w:szCs w:val="20"/>
                <w:lang w:val="fr-CA" w:eastAsia="en-US"/>
              </w:rPr>
            </w:pPr>
            <w:r>
              <w:rPr>
                <w:rFonts w:ascii="Calibri" w:eastAsiaTheme="minorHAnsi" w:hAnsi="Calibri" w:cs="Calibri"/>
                <w:color w:val="000000"/>
                <w:sz w:val="20"/>
                <w:szCs w:val="20"/>
                <w:lang w:val="fr-CA" w:eastAsia="en-US"/>
              </w:rPr>
              <w:t>1 250 000</w:t>
            </w:r>
          </w:p>
        </w:tc>
        <w:tc>
          <w:tcPr>
            <w:tcW w:w="1418" w:type="dxa"/>
            <w:shd w:val="clear" w:color="auto" w:fill="D9D9D9" w:themeFill="background1" w:themeFillShade="D9"/>
          </w:tcPr>
          <w:p w:rsidR="00AD06E0" w:rsidRPr="00A778BF" w:rsidRDefault="00AD06E0" w:rsidP="00534C4C">
            <w:pPr>
              <w:autoSpaceDE w:val="0"/>
              <w:autoSpaceDN w:val="0"/>
              <w:adjustRightInd w:val="0"/>
              <w:jc w:val="right"/>
              <w:rPr>
                <w:rFonts w:ascii="Arial" w:eastAsiaTheme="minorHAnsi" w:hAnsi="Arial" w:cs="Arial"/>
                <w:color w:val="000000"/>
                <w:sz w:val="22"/>
                <w:szCs w:val="22"/>
                <w:lang w:val="fr-CA" w:eastAsia="en-US"/>
              </w:rPr>
            </w:pPr>
          </w:p>
        </w:tc>
      </w:tr>
      <w:tr w:rsidR="00AD06E0" w:rsidRPr="007825EC" w:rsidTr="00534C4C">
        <w:trPr>
          <w:cantSplit/>
        </w:trPr>
        <w:tc>
          <w:tcPr>
            <w:tcW w:w="4253" w:type="dxa"/>
            <w:shd w:val="clear" w:color="auto" w:fill="auto"/>
          </w:tcPr>
          <w:p w:rsidR="00AD06E0" w:rsidRPr="00A778BF" w:rsidRDefault="00AD06E0" w:rsidP="005908DA">
            <w:pPr>
              <w:rPr>
                <w:rFonts w:ascii="Calibri" w:hAnsi="Calibri" w:cs="Arial"/>
                <w:color w:val="000000"/>
                <w:sz w:val="20"/>
                <w:szCs w:val="20"/>
                <w:lang w:val="fr-CA"/>
              </w:rPr>
            </w:pPr>
            <w:r w:rsidRPr="00A778BF">
              <w:rPr>
                <w:rFonts w:ascii="Calibri" w:hAnsi="Calibri" w:cs="Arial"/>
                <w:color w:val="000000"/>
                <w:sz w:val="20"/>
                <w:szCs w:val="20"/>
                <w:lang w:val="fr-CA"/>
              </w:rPr>
              <w:t xml:space="preserve">1.20. </w:t>
            </w:r>
            <w:r w:rsidR="005908DA" w:rsidRPr="00A778BF">
              <w:rPr>
                <w:rFonts w:ascii="Calibri" w:hAnsi="Calibri" w:cs="Arial"/>
                <w:color w:val="000000"/>
                <w:sz w:val="20"/>
                <w:szCs w:val="20"/>
                <w:lang w:val="fr-CA"/>
              </w:rPr>
              <w:t>Poursuivre l’élaboration de nouvelles approches et de nouveaux outils, y compris des initiatives «signature», selon que de besoin, pour obtenir un appui financier volontaire en faveur de projets prioritaires non encore financés</w:t>
            </w:r>
            <w:r w:rsidR="00100D3F">
              <w:rPr>
                <w:rFonts w:ascii="Calibri" w:hAnsi="Calibri" w:cs="Arial"/>
                <w:color w:val="000000"/>
                <w:sz w:val="20"/>
                <w:szCs w:val="20"/>
                <w:lang w:val="fr-CA"/>
              </w:rPr>
              <w:t>.</w:t>
            </w:r>
          </w:p>
        </w:tc>
        <w:tc>
          <w:tcPr>
            <w:tcW w:w="1560" w:type="dxa"/>
            <w:shd w:val="clear" w:color="auto" w:fill="auto"/>
          </w:tcPr>
          <w:p w:rsidR="00AD06E0" w:rsidRPr="00A778BF" w:rsidRDefault="00100D3F" w:rsidP="00B72286">
            <w:pPr>
              <w:rPr>
                <w:rFonts w:ascii="Calibri" w:hAnsi="Calibri" w:cs="Arial"/>
                <w:color w:val="000000"/>
                <w:sz w:val="20"/>
                <w:szCs w:val="20"/>
                <w:lang w:val="fr-CA"/>
              </w:rPr>
            </w:pPr>
            <w:r>
              <w:rPr>
                <w:rFonts w:ascii="Calibri" w:hAnsi="Calibri" w:cs="Arial"/>
                <w:color w:val="000000"/>
                <w:sz w:val="20"/>
                <w:szCs w:val="20"/>
                <w:lang w:val="fr-CA"/>
              </w:rPr>
              <w:t xml:space="preserve">Secrétariat Ramsar </w:t>
            </w:r>
            <w:r w:rsidR="00AD06E0" w:rsidRPr="00A778BF">
              <w:rPr>
                <w:rFonts w:ascii="Calibri" w:hAnsi="Calibri" w:cs="Arial"/>
                <w:color w:val="000000"/>
                <w:sz w:val="20"/>
                <w:szCs w:val="20"/>
                <w:lang w:val="fr-CA"/>
              </w:rPr>
              <w:br/>
              <w:t>(Fin</w:t>
            </w:r>
            <w:r w:rsidR="00B72286">
              <w:rPr>
                <w:rFonts w:ascii="Calibri" w:hAnsi="Calibri" w:cs="Arial"/>
                <w:color w:val="000000"/>
                <w:sz w:val="20"/>
                <w:szCs w:val="20"/>
                <w:lang w:val="fr-CA"/>
              </w:rPr>
              <w:t xml:space="preserve">ances </w:t>
            </w:r>
            <w:r w:rsidR="00AD06E0" w:rsidRPr="00A778BF">
              <w:rPr>
                <w:rFonts w:ascii="Calibri" w:hAnsi="Calibri" w:cs="Arial"/>
                <w:color w:val="000000"/>
                <w:sz w:val="20"/>
                <w:szCs w:val="20"/>
                <w:lang w:val="fr-CA"/>
              </w:rPr>
              <w:t>&amp;</w:t>
            </w:r>
            <w:r w:rsidR="00B72286">
              <w:rPr>
                <w:rFonts w:ascii="Calibri" w:hAnsi="Calibri" w:cs="Arial"/>
                <w:color w:val="000000"/>
                <w:sz w:val="20"/>
                <w:szCs w:val="20"/>
                <w:lang w:val="fr-CA"/>
              </w:rPr>
              <w:t xml:space="preserve"> </w:t>
            </w:r>
            <w:r w:rsidR="00AD06E0" w:rsidRPr="00A778BF">
              <w:rPr>
                <w:rFonts w:ascii="Calibri" w:hAnsi="Calibri" w:cs="Arial"/>
                <w:color w:val="000000"/>
                <w:sz w:val="20"/>
                <w:szCs w:val="20"/>
                <w:lang w:val="fr-CA"/>
              </w:rPr>
              <w:t>Admin/ Part</w:t>
            </w:r>
            <w:r w:rsidR="00B72286">
              <w:rPr>
                <w:rFonts w:ascii="Calibri" w:hAnsi="Calibri" w:cs="Arial"/>
                <w:color w:val="000000"/>
                <w:sz w:val="20"/>
                <w:szCs w:val="20"/>
                <w:lang w:val="fr-CA"/>
              </w:rPr>
              <w:t>enariats</w:t>
            </w:r>
            <w:r w:rsidR="00AD06E0" w:rsidRPr="00A778BF">
              <w:rPr>
                <w:rFonts w:ascii="Calibri" w:hAnsi="Calibri" w:cs="Arial"/>
                <w:color w:val="000000"/>
                <w:sz w:val="20"/>
                <w:szCs w:val="20"/>
                <w:lang w:val="fr-CA"/>
              </w:rPr>
              <w:t>/</w:t>
            </w:r>
            <w:r w:rsidR="00B72286">
              <w:rPr>
                <w:rFonts w:ascii="Calibri" w:hAnsi="Calibri" w:cs="Arial"/>
                <w:color w:val="000000"/>
                <w:sz w:val="20"/>
                <w:szCs w:val="20"/>
                <w:lang w:val="fr-CA"/>
              </w:rPr>
              <w:t xml:space="preserve"> Équipes régionales</w:t>
            </w:r>
            <w:r w:rsidR="00AD06E0" w:rsidRPr="00A778BF">
              <w:rPr>
                <w:rFonts w:ascii="Calibri" w:hAnsi="Calibri" w:cs="Arial"/>
                <w:color w:val="000000"/>
                <w:sz w:val="20"/>
                <w:szCs w:val="20"/>
                <w:lang w:val="fr-CA"/>
              </w:rPr>
              <w:t>)</w:t>
            </w:r>
          </w:p>
        </w:tc>
        <w:tc>
          <w:tcPr>
            <w:tcW w:w="1134" w:type="dxa"/>
            <w:shd w:val="clear" w:color="auto" w:fill="auto"/>
          </w:tcPr>
          <w:p w:rsidR="00AD06E0"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AD06E0" w:rsidRPr="00A778BF" w:rsidRDefault="00100D3F" w:rsidP="00B72286">
            <w:pPr>
              <w:rPr>
                <w:rFonts w:ascii="Calibri" w:hAnsi="Calibri" w:cs="Arial"/>
                <w:color w:val="000000"/>
                <w:sz w:val="20"/>
                <w:szCs w:val="20"/>
                <w:lang w:val="fr-CA"/>
              </w:rPr>
            </w:pPr>
            <w:r>
              <w:rPr>
                <w:rFonts w:ascii="Calibri" w:hAnsi="Calibri" w:cs="Arial"/>
                <w:color w:val="000000"/>
                <w:sz w:val="20"/>
                <w:szCs w:val="20"/>
                <w:lang w:val="fr-CA"/>
              </w:rPr>
              <w:t xml:space="preserve">Obtenir des fonds non administratifs de </w:t>
            </w:r>
            <w:r w:rsidR="00B72286">
              <w:rPr>
                <w:rFonts w:ascii="Calibri" w:hAnsi="Calibri" w:cs="Arial"/>
                <w:color w:val="000000"/>
                <w:sz w:val="20"/>
                <w:szCs w:val="20"/>
                <w:lang w:val="fr-CA"/>
              </w:rPr>
              <w:t>4 737 000</w:t>
            </w:r>
            <w:r>
              <w:rPr>
                <w:rFonts w:ascii="Calibri" w:hAnsi="Calibri" w:cs="Arial"/>
                <w:color w:val="000000"/>
                <w:sz w:val="20"/>
                <w:szCs w:val="20"/>
                <w:lang w:val="fr-CA"/>
              </w:rPr>
              <w:t xml:space="preserve"> CHF sur 3 ans </w:t>
            </w:r>
            <w:r w:rsidR="00AD06E0" w:rsidRPr="00A778BF">
              <w:rPr>
                <w:rFonts w:ascii="Calibri" w:hAnsi="Calibri" w:cs="Arial"/>
                <w:color w:val="000000"/>
                <w:sz w:val="20"/>
                <w:szCs w:val="20"/>
                <w:lang w:val="fr-CA"/>
              </w:rPr>
              <w:t>2016-2018 (</w:t>
            </w:r>
            <w:r>
              <w:rPr>
                <w:rFonts w:ascii="Calibri" w:hAnsi="Calibri" w:cs="Arial"/>
                <w:color w:val="000000"/>
                <w:sz w:val="20"/>
                <w:szCs w:val="20"/>
                <w:lang w:val="fr-CA"/>
              </w:rPr>
              <w:t xml:space="preserve">objectif accru de </w:t>
            </w:r>
            <w:r w:rsidR="00B72286">
              <w:rPr>
                <w:rFonts w:ascii="Calibri" w:hAnsi="Calibri" w:cs="Arial"/>
                <w:color w:val="000000"/>
                <w:sz w:val="20"/>
                <w:szCs w:val="20"/>
                <w:lang w:val="fr-CA"/>
              </w:rPr>
              <w:t>537</w:t>
            </w:r>
            <w:r>
              <w:rPr>
                <w:rFonts w:ascii="Calibri" w:hAnsi="Calibri" w:cs="Arial"/>
                <w:color w:val="000000"/>
                <w:sz w:val="20"/>
                <w:szCs w:val="20"/>
                <w:lang w:val="fr-CA"/>
              </w:rPr>
              <w:t> </w:t>
            </w:r>
            <w:r w:rsidR="00AD06E0" w:rsidRPr="00A778BF">
              <w:rPr>
                <w:rFonts w:ascii="Calibri" w:hAnsi="Calibri" w:cs="Arial"/>
                <w:color w:val="000000"/>
                <w:sz w:val="20"/>
                <w:szCs w:val="20"/>
                <w:lang w:val="fr-CA"/>
              </w:rPr>
              <w:t>000</w:t>
            </w:r>
            <w:r>
              <w:rPr>
                <w:rFonts w:ascii="Calibri" w:hAnsi="Calibri" w:cs="Arial"/>
                <w:color w:val="000000"/>
                <w:sz w:val="20"/>
                <w:szCs w:val="20"/>
                <w:lang w:val="fr-CA"/>
              </w:rPr>
              <w:t xml:space="preserve"> CHF par rapport à l’estimation de l’annexe 3 de la Résolution </w:t>
            </w:r>
            <w:r w:rsidR="00AD06E0" w:rsidRPr="00A778BF">
              <w:rPr>
                <w:rFonts w:ascii="Calibri" w:hAnsi="Calibri" w:cs="Arial"/>
                <w:color w:val="000000"/>
                <w:sz w:val="20"/>
                <w:szCs w:val="20"/>
                <w:lang w:val="fr-CA"/>
              </w:rPr>
              <w:t xml:space="preserve">XII.1). </w:t>
            </w:r>
            <w:r w:rsidR="00B72286">
              <w:rPr>
                <w:rFonts w:ascii="Calibri" w:hAnsi="Calibri" w:cs="Arial"/>
                <w:color w:val="000000"/>
                <w:sz w:val="20"/>
                <w:szCs w:val="20"/>
                <w:lang w:val="fr-CA"/>
              </w:rPr>
              <w:t>Le nouveau Coordonnateur des partenariats aidera aux</w:t>
            </w:r>
            <w:r>
              <w:rPr>
                <w:rFonts w:ascii="Calibri" w:hAnsi="Calibri" w:cs="Arial"/>
                <w:color w:val="000000"/>
                <w:sz w:val="20"/>
                <w:szCs w:val="20"/>
                <w:lang w:val="fr-CA"/>
              </w:rPr>
              <w:t xml:space="preserve"> appels de fonds</w:t>
            </w:r>
            <w:r w:rsidR="00B72286">
              <w:rPr>
                <w:rFonts w:ascii="Calibri" w:hAnsi="Calibri" w:cs="Arial"/>
                <w:color w:val="000000"/>
                <w:sz w:val="20"/>
                <w:szCs w:val="20"/>
                <w:lang w:val="fr-CA"/>
              </w:rPr>
              <w:t>;</w:t>
            </w:r>
            <w:r>
              <w:rPr>
                <w:rFonts w:ascii="Calibri" w:hAnsi="Calibri" w:cs="Arial"/>
                <w:color w:val="000000"/>
                <w:sz w:val="20"/>
                <w:szCs w:val="20"/>
                <w:lang w:val="fr-CA"/>
              </w:rPr>
              <w:t xml:space="preserve"> appui pour les initiatives et programmes innovants à développer</w:t>
            </w:r>
            <w:r w:rsidR="00C544E0">
              <w:rPr>
                <w:rFonts w:ascii="Calibri" w:hAnsi="Calibri" w:cs="Arial"/>
                <w:color w:val="000000"/>
                <w:sz w:val="20"/>
                <w:szCs w:val="20"/>
                <w:lang w:val="fr-CA"/>
              </w:rPr>
              <w:t>.</w:t>
            </w:r>
          </w:p>
        </w:tc>
        <w:tc>
          <w:tcPr>
            <w:tcW w:w="1134" w:type="dxa"/>
            <w:shd w:val="clear" w:color="auto" w:fill="auto"/>
          </w:tcPr>
          <w:p w:rsidR="00AD06E0" w:rsidRPr="00534C4C" w:rsidRDefault="00AD06E0"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AD06E0" w:rsidRPr="00534C4C" w:rsidRDefault="00AD06E0" w:rsidP="00534C4C">
            <w:pPr>
              <w:jc w:val="right"/>
              <w:rPr>
                <w:rFonts w:ascii="Arial" w:hAnsi="Arial" w:cs="Arial"/>
                <w:color w:val="000000"/>
                <w:sz w:val="22"/>
                <w:szCs w:val="22"/>
                <w:lang w:val="fr-CA"/>
              </w:rPr>
            </w:pPr>
            <w:r w:rsidRPr="00534C4C">
              <w:rPr>
                <w:rFonts w:ascii="Arial" w:hAnsi="Arial" w:cs="Arial"/>
                <w:color w:val="000000"/>
                <w:sz w:val="22"/>
                <w:szCs w:val="22"/>
                <w:lang w:val="fr-CA"/>
              </w:rPr>
              <w:t> </w:t>
            </w:r>
          </w:p>
        </w:tc>
        <w:tc>
          <w:tcPr>
            <w:tcW w:w="1418" w:type="dxa"/>
            <w:shd w:val="clear" w:color="auto" w:fill="auto"/>
          </w:tcPr>
          <w:p w:rsidR="00AD06E0" w:rsidRPr="00534C4C" w:rsidRDefault="00AD06E0" w:rsidP="00534C4C">
            <w:pPr>
              <w:jc w:val="right"/>
              <w:rPr>
                <w:rFonts w:ascii="Calibri" w:hAnsi="Calibri" w:cs="Arial"/>
                <w:color w:val="000000"/>
                <w:sz w:val="20"/>
                <w:szCs w:val="20"/>
                <w:lang w:val="fr-CA"/>
              </w:rPr>
            </w:pPr>
          </w:p>
        </w:tc>
      </w:tr>
      <w:tr w:rsidR="00AD06E0" w:rsidRPr="00A778BF" w:rsidTr="00534C4C">
        <w:trPr>
          <w:cantSplit/>
        </w:trPr>
        <w:tc>
          <w:tcPr>
            <w:tcW w:w="4253" w:type="dxa"/>
            <w:shd w:val="clear" w:color="auto" w:fill="auto"/>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1.</w:t>
            </w:r>
            <w:r w:rsidR="00CB3600">
              <w:rPr>
                <w:rFonts w:ascii="Calibri" w:hAnsi="Calibri" w:cs="Arial"/>
                <w:color w:val="000000"/>
                <w:sz w:val="20"/>
                <w:szCs w:val="20"/>
                <w:lang w:val="fr-CA"/>
              </w:rPr>
              <w:t xml:space="preserve"> </w:t>
            </w:r>
            <w:r w:rsidRPr="00A778BF">
              <w:rPr>
                <w:rFonts w:ascii="Calibri" w:hAnsi="Calibri" w:cs="Arial"/>
                <w:color w:val="000000"/>
                <w:sz w:val="20"/>
                <w:szCs w:val="20"/>
                <w:lang w:val="fr-CA"/>
              </w:rPr>
              <w:t>Annex</w:t>
            </w:r>
            <w:r w:rsidR="00CB3600">
              <w:rPr>
                <w:rFonts w:ascii="Calibri" w:hAnsi="Calibri" w:cs="Arial"/>
                <w:color w:val="000000"/>
                <w:sz w:val="20"/>
                <w:szCs w:val="20"/>
                <w:lang w:val="fr-CA"/>
              </w:rPr>
              <w:t>e</w:t>
            </w:r>
            <w:r w:rsidRPr="00A778BF">
              <w:rPr>
                <w:rFonts w:ascii="Calibri" w:hAnsi="Calibri" w:cs="Arial"/>
                <w:color w:val="000000"/>
                <w:sz w:val="20"/>
                <w:szCs w:val="20"/>
                <w:lang w:val="fr-CA"/>
              </w:rPr>
              <w:t xml:space="preserve"> 3</w:t>
            </w:r>
          </w:p>
        </w:tc>
        <w:tc>
          <w:tcPr>
            <w:tcW w:w="1560" w:type="dxa"/>
            <w:shd w:val="clear" w:color="auto" w:fill="auto"/>
          </w:tcPr>
          <w:p w:rsidR="00AD06E0" w:rsidRPr="00A778BF" w:rsidRDefault="00100D3F" w:rsidP="00555D74">
            <w:pPr>
              <w:rPr>
                <w:rFonts w:ascii="Calibri" w:hAnsi="Calibri" w:cs="Arial"/>
                <w:color w:val="000000"/>
                <w:sz w:val="20"/>
                <w:szCs w:val="20"/>
                <w:lang w:val="fr-CA"/>
              </w:rPr>
            </w:pPr>
            <w:r>
              <w:rPr>
                <w:rFonts w:ascii="Calibri" w:hAnsi="Calibri" w:cs="Arial"/>
                <w:color w:val="000000"/>
                <w:sz w:val="20"/>
                <w:szCs w:val="20"/>
                <w:lang w:val="fr-CA"/>
              </w:rPr>
              <w:t>Secrétariat Ramsar</w:t>
            </w:r>
            <w:r w:rsidR="00AD06E0" w:rsidRPr="00A778BF">
              <w:rPr>
                <w:rFonts w:ascii="Calibri" w:hAnsi="Calibri" w:cs="Arial"/>
                <w:color w:val="000000"/>
                <w:sz w:val="20"/>
                <w:szCs w:val="20"/>
                <w:lang w:val="fr-CA"/>
              </w:rPr>
              <w:t xml:space="preserve"> (</w:t>
            </w:r>
            <w:r w:rsidR="00555D74">
              <w:rPr>
                <w:rFonts w:ascii="Calibri" w:hAnsi="Calibri" w:cs="Arial"/>
                <w:color w:val="000000"/>
                <w:sz w:val="20"/>
                <w:szCs w:val="20"/>
                <w:lang w:val="fr-CA"/>
              </w:rPr>
              <w:t>SGA</w:t>
            </w:r>
            <w:r w:rsidR="00AD06E0" w:rsidRPr="00A778BF">
              <w:rPr>
                <w:rFonts w:ascii="Calibri" w:hAnsi="Calibri" w:cs="Arial"/>
                <w:color w:val="000000"/>
                <w:sz w:val="20"/>
                <w:szCs w:val="20"/>
                <w:lang w:val="fr-CA"/>
              </w:rPr>
              <w:t>/Reg)</w:t>
            </w:r>
          </w:p>
        </w:tc>
        <w:tc>
          <w:tcPr>
            <w:tcW w:w="1134" w:type="dxa"/>
            <w:shd w:val="clear" w:color="auto" w:fill="auto"/>
          </w:tcPr>
          <w:p w:rsidR="00AD06E0" w:rsidRPr="00A778BF" w:rsidRDefault="00555D74" w:rsidP="008D7607">
            <w:pPr>
              <w:rPr>
                <w:rFonts w:ascii="Calibri" w:hAnsi="Calibri" w:cs="Arial"/>
                <w:color w:val="000000"/>
                <w:sz w:val="20"/>
                <w:szCs w:val="20"/>
                <w:lang w:val="fr-CA"/>
              </w:rPr>
            </w:pPr>
            <w:r>
              <w:rPr>
                <w:rFonts w:ascii="Calibri" w:hAnsi="Calibri" w:cs="Arial"/>
                <w:color w:val="000000"/>
                <w:sz w:val="20"/>
                <w:szCs w:val="20"/>
                <w:lang w:val="fr-CA"/>
              </w:rPr>
              <w:t>Juin</w:t>
            </w:r>
            <w:r w:rsidR="008D7607">
              <w:rPr>
                <w:rFonts w:ascii="Calibri" w:hAnsi="Calibri" w:cs="Arial"/>
                <w:color w:val="000000"/>
                <w:sz w:val="20"/>
                <w:szCs w:val="20"/>
                <w:lang w:val="fr-CA"/>
              </w:rPr>
              <w:t xml:space="preserve"> 20</w:t>
            </w:r>
            <w:r w:rsidR="00AD06E0" w:rsidRPr="00A778BF">
              <w:rPr>
                <w:rFonts w:ascii="Calibri" w:hAnsi="Calibri" w:cs="Arial"/>
                <w:color w:val="000000"/>
                <w:sz w:val="20"/>
                <w:szCs w:val="20"/>
                <w:lang w:val="fr-CA"/>
              </w:rPr>
              <w:t>18</w:t>
            </w:r>
          </w:p>
        </w:tc>
        <w:tc>
          <w:tcPr>
            <w:tcW w:w="3827" w:type="dxa"/>
            <w:shd w:val="clear" w:color="auto" w:fill="auto"/>
          </w:tcPr>
          <w:p w:rsidR="00AD06E0" w:rsidRPr="00A778BF" w:rsidRDefault="00555D74" w:rsidP="002E157F">
            <w:pPr>
              <w:rPr>
                <w:rFonts w:ascii="Calibri" w:hAnsi="Calibri" w:cs="Arial"/>
                <w:color w:val="000000"/>
                <w:sz w:val="20"/>
                <w:szCs w:val="20"/>
                <w:lang w:val="fr-CA"/>
              </w:rPr>
            </w:pPr>
            <w:r>
              <w:rPr>
                <w:rFonts w:ascii="Calibri" w:hAnsi="Calibri" w:cs="Arial"/>
                <w:color w:val="000000"/>
                <w:sz w:val="20"/>
                <w:szCs w:val="20"/>
                <w:lang w:val="fr-CA"/>
              </w:rPr>
              <w:t>Réunions régionales pré</w:t>
            </w:r>
            <w:r w:rsidR="00AD06E0" w:rsidRPr="00A778BF">
              <w:rPr>
                <w:rFonts w:ascii="Calibri" w:hAnsi="Calibri" w:cs="Arial"/>
                <w:color w:val="000000"/>
                <w:sz w:val="20"/>
                <w:szCs w:val="20"/>
                <w:lang w:val="fr-CA"/>
              </w:rPr>
              <w:t xml:space="preserve">-COP13 </w:t>
            </w:r>
            <w:r>
              <w:rPr>
                <w:rFonts w:ascii="Calibri" w:hAnsi="Calibri" w:cs="Arial"/>
                <w:color w:val="000000"/>
                <w:sz w:val="20"/>
                <w:szCs w:val="20"/>
                <w:lang w:val="fr-CA"/>
              </w:rPr>
              <w:t>(appui aux délégués et coûts pour les réunions préparatoires)</w:t>
            </w:r>
            <w:r w:rsidR="00C544E0">
              <w:rPr>
                <w:rFonts w:ascii="Calibri" w:hAnsi="Calibri" w:cs="Arial"/>
                <w:color w:val="000000"/>
                <w:sz w:val="20"/>
                <w:szCs w:val="20"/>
                <w:lang w:val="fr-CA"/>
              </w:rPr>
              <w:t>.</w:t>
            </w:r>
            <w:r>
              <w:rPr>
                <w:rFonts w:ascii="Calibri" w:hAnsi="Calibri" w:cs="Arial"/>
                <w:color w:val="000000"/>
                <w:sz w:val="20"/>
                <w:szCs w:val="20"/>
                <w:lang w:val="fr-CA"/>
              </w:rPr>
              <w:t xml:space="preserve"> </w:t>
            </w:r>
          </w:p>
        </w:tc>
        <w:tc>
          <w:tcPr>
            <w:tcW w:w="1134" w:type="dxa"/>
            <w:shd w:val="clear" w:color="auto" w:fill="auto"/>
          </w:tcPr>
          <w:p w:rsidR="00AD06E0" w:rsidRPr="00534C4C" w:rsidRDefault="00AD06E0"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650</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c>
          <w:tcPr>
            <w:tcW w:w="1418" w:type="dxa"/>
            <w:shd w:val="clear" w:color="auto" w:fill="auto"/>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r>
      <w:tr w:rsidR="00AD06E0" w:rsidRPr="00A778BF" w:rsidTr="00534C4C">
        <w:trPr>
          <w:cantSplit/>
        </w:trPr>
        <w:tc>
          <w:tcPr>
            <w:tcW w:w="4253" w:type="dxa"/>
            <w:shd w:val="clear" w:color="auto" w:fill="auto"/>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1.</w:t>
            </w:r>
            <w:r w:rsidR="00CB3600">
              <w:rPr>
                <w:rFonts w:ascii="Calibri" w:hAnsi="Calibri" w:cs="Arial"/>
                <w:color w:val="000000"/>
                <w:sz w:val="20"/>
                <w:szCs w:val="20"/>
                <w:lang w:val="fr-CA"/>
              </w:rPr>
              <w:t xml:space="preserve"> </w:t>
            </w:r>
            <w:r w:rsidRPr="00A778BF">
              <w:rPr>
                <w:rFonts w:ascii="Calibri" w:hAnsi="Calibri" w:cs="Arial"/>
                <w:color w:val="000000"/>
                <w:sz w:val="20"/>
                <w:szCs w:val="20"/>
                <w:lang w:val="fr-CA"/>
              </w:rPr>
              <w:t>Annex</w:t>
            </w:r>
            <w:r w:rsidR="00CB3600">
              <w:rPr>
                <w:rFonts w:ascii="Calibri" w:hAnsi="Calibri" w:cs="Arial"/>
                <w:color w:val="000000"/>
                <w:sz w:val="20"/>
                <w:szCs w:val="20"/>
                <w:lang w:val="fr-CA"/>
              </w:rPr>
              <w:t>e</w:t>
            </w:r>
            <w:r w:rsidRPr="00A778BF">
              <w:rPr>
                <w:rFonts w:ascii="Calibri" w:hAnsi="Calibri" w:cs="Arial"/>
                <w:color w:val="000000"/>
                <w:sz w:val="20"/>
                <w:szCs w:val="20"/>
                <w:lang w:val="fr-CA"/>
              </w:rPr>
              <w:t xml:space="preserve"> 3</w:t>
            </w:r>
          </w:p>
        </w:tc>
        <w:tc>
          <w:tcPr>
            <w:tcW w:w="1560" w:type="dxa"/>
            <w:shd w:val="clear" w:color="auto" w:fill="auto"/>
          </w:tcPr>
          <w:p w:rsidR="00AD06E0" w:rsidRPr="00A778BF" w:rsidRDefault="00100D3F" w:rsidP="00555D74">
            <w:pPr>
              <w:rPr>
                <w:rFonts w:ascii="Calibri" w:hAnsi="Calibri" w:cs="Arial"/>
                <w:color w:val="000000"/>
                <w:sz w:val="20"/>
                <w:szCs w:val="20"/>
                <w:lang w:val="fr-CA"/>
              </w:rPr>
            </w:pPr>
            <w:r>
              <w:rPr>
                <w:rFonts w:ascii="Calibri" w:hAnsi="Calibri" w:cs="Arial"/>
                <w:color w:val="000000"/>
                <w:sz w:val="20"/>
                <w:szCs w:val="20"/>
                <w:lang w:val="fr-CA"/>
              </w:rPr>
              <w:t>Secrétariat Ramsar</w:t>
            </w:r>
            <w:r w:rsidR="00AD06E0" w:rsidRPr="00A778BF">
              <w:rPr>
                <w:rFonts w:ascii="Calibri" w:hAnsi="Calibri" w:cs="Arial"/>
                <w:color w:val="000000"/>
                <w:sz w:val="20"/>
                <w:szCs w:val="20"/>
                <w:lang w:val="fr-CA"/>
              </w:rPr>
              <w:t xml:space="preserve"> (SG/</w:t>
            </w:r>
            <w:r w:rsidR="00555D74">
              <w:rPr>
                <w:rFonts w:ascii="Calibri" w:hAnsi="Calibri" w:cs="Arial"/>
                <w:color w:val="000000"/>
                <w:sz w:val="20"/>
                <w:szCs w:val="20"/>
                <w:lang w:val="fr-CA"/>
              </w:rPr>
              <w:t>SGA</w:t>
            </w:r>
            <w:r w:rsidR="00AD06E0" w:rsidRPr="00A778BF">
              <w:rPr>
                <w:rFonts w:ascii="Calibri" w:hAnsi="Calibri" w:cs="Arial"/>
                <w:color w:val="000000"/>
                <w:sz w:val="20"/>
                <w:szCs w:val="20"/>
                <w:lang w:val="fr-CA"/>
              </w:rPr>
              <w:t>, Part, Reg)</w:t>
            </w:r>
          </w:p>
        </w:tc>
        <w:tc>
          <w:tcPr>
            <w:tcW w:w="1134" w:type="dxa"/>
            <w:shd w:val="clear" w:color="auto" w:fill="auto"/>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COP13</w:t>
            </w:r>
          </w:p>
        </w:tc>
        <w:tc>
          <w:tcPr>
            <w:tcW w:w="3827" w:type="dxa"/>
            <w:shd w:val="clear" w:color="auto" w:fill="auto"/>
          </w:tcPr>
          <w:p w:rsidR="00AD06E0" w:rsidRPr="00A778BF" w:rsidRDefault="00555D74" w:rsidP="002E157F">
            <w:pPr>
              <w:rPr>
                <w:rFonts w:ascii="Calibri" w:hAnsi="Calibri" w:cs="Arial"/>
                <w:color w:val="000000"/>
                <w:sz w:val="20"/>
                <w:szCs w:val="20"/>
                <w:lang w:val="fr-CA"/>
              </w:rPr>
            </w:pPr>
            <w:r>
              <w:rPr>
                <w:rFonts w:ascii="Calibri" w:hAnsi="Calibri" w:cs="Arial"/>
                <w:color w:val="000000"/>
                <w:sz w:val="20"/>
                <w:szCs w:val="20"/>
                <w:lang w:val="fr-CA"/>
              </w:rPr>
              <w:t xml:space="preserve">Parrainage </w:t>
            </w:r>
            <w:r w:rsidR="00AD06E0" w:rsidRPr="00A778BF">
              <w:rPr>
                <w:rFonts w:ascii="Calibri" w:hAnsi="Calibri" w:cs="Arial"/>
                <w:color w:val="000000"/>
                <w:sz w:val="20"/>
                <w:szCs w:val="20"/>
                <w:lang w:val="fr-CA"/>
              </w:rPr>
              <w:t xml:space="preserve">COP13 (2018) </w:t>
            </w:r>
            <w:r w:rsidR="002E157F">
              <w:rPr>
                <w:rFonts w:ascii="Calibri" w:hAnsi="Calibri" w:cs="Arial"/>
                <w:color w:val="000000"/>
                <w:sz w:val="20"/>
                <w:szCs w:val="20"/>
                <w:lang w:val="fr-CA"/>
              </w:rPr>
              <w:t>des</w:t>
            </w:r>
            <w:r>
              <w:rPr>
                <w:rFonts w:ascii="Calibri" w:hAnsi="Calibri" w:cs="Arial"/>
                <w:color w:val="000000"/>
                <w:sz w:val="20"/>
                <w:szCs w:val="20"/>
                <w:lang w:val="fr-CA"/>
              </w:rPr>
              <w:t xml:space="preserve"> délégués éligibles</w:t>
            </w:r>
            <w:r w:rsidR="00C544E0">
              <w:rPr>
                <w:rFonts w:ascii="Calibri" w:hAnsi="Calibri" w:cs="Arial"/>
                <w:color w:val="000000"/>
                <w:sz w:val="20"/>
                <w:szCs w:val="20"/>
                <w:lang w:val="fr-CA"/>
              </w:rPr>
              <w:t>.</w:t>
            </w:r>
          </w:p>
        </w:tc>
        <w:tc>
          <w:tcPr>
            <w:tcW w:w="1134" w:type="dxa"/>
            <w:shd w:val="clear" w:color="auto" w:fill="auto"/>
          </w:tcPr>
          <w:p w:rsidR="00AD06E0" w:rsidRPr="00534C4C" w:rsidRDefault="00AD06E0"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600</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c>
          <w:tcPr>
            <w:tcW w:w="1418" w:type="dxa"/>
            <w:shd w:val="clear" w:color="auto" w:fill="auto"/>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r>
      <w:tr w:rsidR="00AD06E0" w:rsidRPr="00A778BF" w:rsidTr="00534C4C">
        <w:trPr>
          <w:cantSplit/>
        </w:trPr>
        <w:tc>
          <w:tcPr>
            <w:tcW w:w="4253" w:type="dxa"/>
            <w:shd w:val="clear" w:color="auto" w:fill="D9D9D9" w:themeFill="background1" w:themeFillShade="D9"/>
          </w:tcPr>
          <w:p w:rsidR="00AD06E0" w:rsidRPr="00A778BF" w:rsidRDefault="005908DA" w:rsidP="005908DA">
            <w:pPr>
              <w:rPr>
                <w:rFonts w:ascii="Calibri" w:hAnsi="Calibri" w:cs="Arial"/>
                <w:b/>
                <w:bCs/>
                <w:color w:val="000000"/>
                <w:sz w:val="20"/>
                <w:szCs w:val="20"/>
                <w:lang w:val="fr-CA"/>
              </w:rPr>
            </w:pPr>
            <w:r w:rsidRPr="00A778BF">
              <w:rPr>
                <w:rFonts w:ascii="Calibri" w:eastAsiaTheme="minorHAnsi" w:hAnsi="Calibri" w:cs="Calibri"/>
                <w:b/>
                <w:bCs/>
                <w:color w:val="000000"/>
                <w:sz w:val="20"/>
                <w:szCs w:val="20"/>
                <w:lang w:val="fr-CA" w:eastAsia="en-US"/>
              </w:rPr>
              <w:t xml:space="preserve">Résolution </w:t>
            </w:r>
            <w:r w:rsidR="00AD06E0" w:rsidRPr="00A778BF">
              <w:rPr>
                <w:rFonts w:ascii="Calibri" w:hAnsi="Calibri" w:cs="Arial"/>
                <w:b/>
                <w:bCs/>
                <w:color w:val="000000"/>
                <w:sz w:val="20"/>
                <w:szCs w:val="20"/>
                <w:lang w:val="fr-CA"/>
              </w:rPr>
              <w:t>XII.2</w:t>
            </w:r>
            <w:r w:rsidR="00733655">
              <w:rPr>
                <w:rFonts w:ascii="Calibri" w:hAnsi="Calibri" w:cs="Arial"/>
                <w:b/>
                <w:bCs/>
                <w:color w:val="000000"/>
                <w:sz w:val="20"/>
                <w:szCs w:val="20"/>
                <w:lang w:val="fr-CA"/>
              </w:rPr>
              <w:t xml:space="preserve"> </w:t>
            </w:r>
            <w:r w:rsidRPr="00A778BF">
              <w:rPr>
                <w:rFonts w:ascii="Calibri" w:hAnsi="Calibri" w:cs="Arial"/>
                <w:b/>
                <w:bCs/>
                <w:color w:val="000000"/>
                <w:sz w:val="20"/>
                <w:szCs w:val="20"/>
                <w:lang w:val="fr-CA"/>
              </w:rPr>
              <w:t>Le Plan stratégique Ramsar</w:t>
            </w:r>
            <w:r w:rsidR="00AD06E0" w:rsidRPr="00A778BF">
              <w:rPr>
                <w:rFonts w:ascii="Calibri" w:hAnsi="Calibri" w:cs="Arial"/>
                <w:b/>
                <w:bCs/>
                <w:color w:val="000000"/>
                <w:sz w:val="20"/>
                <w:szCs w:val="20"/>
                <w:lang w:val="fr-CA"/>
              </w:rPr>
              <w:t xml:space="preserve"> 2016-2024 (</w:t>
            </w:r>
            <w:r w:rsidRPr="00A778BF">
              <w:rPr>
                <w:rFonts w:ascii="Calibri" w:eastAsiaTheme="minorHAnsi" w:hAnsi="Calibri" w:cs="Calibri"/>
                <w:b/>
                <w:bCs/>
                <w:color w:val="000000"/>
                <w:sz w:val="20"/>
                <w:szCs w:val="20"/>
                <w:lang w:val="fr-CA" w:eastAsia="en-US"/>
              </w:rPr>
              <w:t>tous les buts stratégiques</w:t>
            </w:r>
            <w:r w:rsidR="00AD06E0" w:rsidRPr="00A778BF">
              <w:rPr>
                <w:rFonts w:ascii="Calibri" w:hAnsi="Calibri" w:cs="Arial"/>
                <w:b/>
                <w:bCs/>
                <w:color w:val="000000"/>
                <w:sz w:val="20"/>
                <w:szCs w:val="20"/>
                <w:lang w:val="fr-CA"/>
              </w:rPr>
              <w:t>)</w:t>
            </w:r>
          </w:p>
        </w:tc>
        <w:tc>
          <w:tcPr>
            <w:tcW w:w="1560" w:type="dxa"/>
            <w:shd w:val="clear" w:color="auto" w:fill="D9D9D9" w:themeFill="background1" w:themeFillShade="D9"/>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AD06E0" w:rsidRPr="00534C4C" w:rsidRDefault="00BF4C81"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27</w:t>
            </w:r>
            <w:r w:rsidR="00AD06E0" w:rsidRPr="00534C4C">
              <w:rPr>
                <w:rFonts w:ascii="Calibri" w:hAnsi="Calibri" w:cs="Arial"/>
                <w:bCs/>
                <w:color w:val="000000"/>
                <w:sz w:val="20"/>
                <w:szCs w:val="20"/>
                <w:lang w:val="fr-CA"/>
              </w:rPr>
              <w:t>5</w:t>
            </w:r>
            <w:r w:rsidR="00E10389" w:rsidRPr="00534C4C">
              <w:rPr>
                <w:rFonts w:ascii="Calibri" w:hAnsi="Calibri" w:cs="Arial"/>
                <w:bCs/>
                <w:color w:val="000000"/>
                <w:sz w:val="20"/>
                <w:szCs w:val="20"/>
                <w:lang w:val="fr-CA"/>
              </w:rPr>
              <w:t xml:space="preserve"> </w:t>
            </w:r>
            <w:r w:rsidR="00AD06E0" w:rsidRPr="00534C4C">
              <w:rPr>
                <w:rFonts w:ascii="Calibri" w:hAnsi="Calibri" w:cs="Arial"/>
                <w:bCs/>
                <w:color w:val="000000"/>
                <w:sz w:val="20"/>
                <w:szCs w:val="20"/>
                <w:lang w:val="fr-CA"/>
              </w:rPr>
              <w:t>000</w:t>
            </w:r>
          </w:p>
        </w:tc>
        <w:tc>
          <w:tcPr>
            <w:tcW w:w="1417" w:type="dxa"/>
            <w:shd w:val="clear" w:color="auto" w:fill="D9D9D9" w:themeFill="background1" w:themeFillShade="D9"/>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r w:rsidR="00BF4C81" w:rsidRPr="00534C4C">
              <w:rPr>
                <w:rFonts w:ascii="Calibri" w:hAnsi="Calibri" w:cs="Arial"/>
                <w:color w:val="000000"/>
                <w:sz w:val="20"/>
                <w:szCs w:val="20"/>
                <w:lang w:val="fr-CA"/>
              </w:rPr>
              <w:t>175 000</w:t>
            </w:r>
          </w:p>
        </w:tc>
        <w:tc>
          <w:tcPr>
            <w:tcW w:w="1418" w:type="dxa"/>
            <w:shd w:val="clear" w:color="auto" w:fill="D9D9D9" w:themeFill="background1" w:themeFillShade="D9"/>
          </w:tcPr>
          <w:p w:rsidR="00AD06E0" w:rsidRPr="00534C4C" w:rsidRDefault="00AE7273" w:rsidP="00534C4C">
            <w:pPr>
              <w:jc w:val="right"/>
              <w:rPr>
                <w:rFonts w:ascii="Arial" w:hAnsi="Arial" w:cs="Arial"/>
                <w:color w:val="000000"/>
                <w:sz w:val="22"/>
                <w:szCs w:val="22"/>
                <w:lang w:val="fr-CA"/>
              </w:rPr>
            </w:pPr>
            <w:r w:rsidRPr="00534C4C">
              <w:rPr>
                <w:rFonts w:asciiTheme="minorHAnsi" w:hAnsiTheme="minorHAnsi" w:cs="Arial"/>
                <w:color w:val="000000"/>
                <w:sz w:val="20"/>
                <w:szCs w:val="20"/>
                <w:lang w:val="fr-CA"/>
              </w:rPr>
              <w:t>100 000</w:t>
            </w:r>
            <w:r w:rsidR="00AD06E0" w:rsidRPr="00534C4C">
              <w:rPr>
                <w:rFonts w:ascii="Arial" w:hAnsi="Arial" w:cs="Arial"/>
                <w:color w:val="000000"/>
                <w:sz w:val="22"/>
                <w:szCs w:val="22"/>
                <w:lang w:val="fr-CA"/>
              </w:rPr>
              <w:t> </w:t>
            </w:r>
          </w:p>
        </w:tc>
      </w:tr>
      <w:tr w:rsidR="00AD06E0" w:rsidRPr="00A778BF" w:rsidTr="00534C4C">
        <w:trPr>
          <w:cantSplit/>
        </w:trPr>
        <w:tc>
          <w:tcPr>
            <w:tcW w:w="4253" w:type="dxa"/>
            <w:shd w:val="clear" w:color="auto" w:fill="auto"/>
          </w:tcPr>
          <w:p w:rsidR="00AD06E0" w:rsidRPr="00A778BF" w:rsidRDefault="00AD06E0" w:rsidP="00AE7273">
            <w:pPr>
              <w:rPr>
                <w:rFonts w:ascii="Calibri" w:hAnsi="Calibri" w:cs="Arial"/>
                <w:color w:val="000000"/>
                <w:sz w:val="20"/>
                <w:szCs w:val="20"/>
                <w:lang w:val="fr-CA"/>
              </w:rPr>
            </w:pPr>
            <w:r w:rsidRPr="00A778BF">
              <w:rPr>
                <w:rFonts w:ascii="Calibri" w:hAnsi="Calibri" w:cs="Arial"/>
                <w:color w:val="000000"/>
                <w:sz w:val="20"/>
                <w:szCs w:val="20"/>
                <w:lang w:val="fr-CA"/>
              </w:rPr>
              <w:t xml:space="preserve">2.17. </w:t>
            </w:r>
            <w:r w:rsidR="005908DA" w:rsidRPr="00A778BF">
              <w:rPr>
                <w:rFonts w:ascii="Calibri" w:hAnsi="Calibri" w:cs="Arial"/>
                <w:color w:val="000000"/>
                <w:sz w:val="20"/>
                <w:szCs w:val="20"/>
                <w:lang w:val="fr-CA"/>
              </w:rPr>
              <w:t>DONNE INSTRUCTION au Secrétariat et au Comité permanent d’élaborer un modèle de Rapport national pour la COP13 qui soit plus convivial et conforme aux buts et objectifs du nouveau Plan stratégique Ramsar, pour examen par les Parties contractantes à la 51</w:t>
            </w:r>
            <w:r w:rsidR="005908DA" w:rsidRPr="00A778BF">
              <w:rPr>
                <w:rFonts w:ascii="Calibri" w:hAnsi="Calibri" w:cs="Arial"/>
                <w:color w:val="000000"/>
                <w:sz w:val="20"/>
                <w:szCs w:val="20"/>
                <w:vertAlign w:val="superscript"/>
                <w:lang w:val="fr-CA"/>
              </w:rPr>
              <w:t>e</w:t>
            </w:r>
            <w:r w:rsidR="005908DA" w:rsidRPr="00A778BF">
              <w:rPr>
                <w:rFonts w:ascii="Calibri" w:hAnsi="Calibri" w:cs="Arial"/>
                <w:color w:val="000000"/>
                <w:sz w:val="20"/>
                <w:szCs w:val="20"/>
                <w:lang w:val="fr-CA"/>
              </w:rPr>
              <w:t xml:space="preserve"> Réunion du Comité permanent.</w:t>
            </w:r>
          </w:p>
        </w:tc>
        <w:tc>
          <w:tcPr>
            <w:tcW w:w="1560" w:type="dxa"/>
            <w:shd w:val="clear" w:color="auto" w:fill="auto"/>
          </w:tcPr>
          <w:p w:rsidR="00AD06E0" w:rsidRPr="00A778BF" w:rsidRDefault="00100D3F" w:rsidP="00C544E0">
            <w:pPr>
              <w:rPr>
                <w:rFonts w:ascii="Calibri" w:hAnsi="Calibri" w:cs="Arial"/>
                <w:color w:val="000000"/>
                <w:sz w:val="20"/>
                <w:szCs w:val="20"/>
                <w:lang w:val="fr-CA"/>
              </w:rPr>
            </w:pPr>
            <w:r>
              <w:rPr>
                <w:rFonts w:ascii="Calibri" w:hAnsi="Calibri" w:cs="Arial"/>
                <w:color w:val="000000"/>
                <w:sz w:val="20"/>
                <w:szCs w:val="20"/>
                <w:lang w:val="fr-CA"/>
              </w:rPr>
              <w:t xml:space="preserve">Secrétariat </w:t>
            </w:r>
            <w:r w:rsidR="00AD06E0" w:rsidRPr="00A778BF">
              <w:rPr>
                <w:rFonts w:ascii="Calibri" w:hAnsi="Calibri" w:cs="Arial"/>
                <w:color w:val="000000"/>
                <w:sz w:val="20"/>
                <w:szCs w:val="20"/>
                <w:lang w:val="fr-CA"/>
              </w:rPr>
              <w:t>Ramsar (</w:t>
            </w:r>
            <w:r w:rsidR="00555D74">
              <w:rPr>
                <w:rFonts w:ascii="Calibri" w:hAnsi="Calibri" w:cs="Arial"/>
                <w:color w:val="000000"/>
                <w:sz w:val="20"/>
                <w:szCs w:val="20"/>
                <w:lang w:val="fr-CA"/>
              </w:rPr>
              <w:t>CRP</w:t>
            </w:r>
            <w:r w:rsidR="00AD06E0" w:rsidRPr="00A778BF">
              <w:rPr>
                <w:rFonts w:ascii="Calibri" w:hAnsi="Calibri" w:cs="Arial"/>
                <w:color w:val="000000"/>
                <w:sz w:val="20"/>
                <w:szCs w:val="20"/>
                <w:lang w:val="fr-CA"/>
              </w:rPr>
              <w:t>/SG/</w:t>
            </w:r>
            <w:r w:rsidR="006B5FCE" w:rsidRPr="00A778BF">
              <w:rPr>
                <w:rFonts w:ascii="Calibri" w:hAnsi="Calibri" w:cs="Arial"/>
                <w:color w:val="000000"/>
                <w:sz w:val="20"/>
                <w:szCs w:val="20"/>
                <w:lang w:val="fr-CA"/>
              </w:rPr>
              <w:br/>
            </w:r>
            <w:r w:rsidR="00AD06E0" w:rsidRPr="00A778BF">
              <w:rPr>
                <w:rFonts w:ascii="Calibri" w:hAnsi="Calibri" w:cs="Arial"/>
                <w:color w:val="000000"/>
                <w:sz w:val="20"/>
                <w:szCs w:val="20"/>
                <w:lang w:val="fr-CA"/>
              </w:rPr>
              <w:t>SG</w:t>
            </w:r>
            <w:r w:rsidR="00555D74">
              <w:rPr>
                <w:rFonts w:ascii="Calibri" w:hAnsi="Calibri" w:cs="Arial"/>
                <w:color w:val="000000"/>
                <w:sz w:val="20"/>
                <w:szCs w:val="20"/>
                <w:lang w:val="fr-CA"/>
              </w:rPr>
              <w:t>A</w:t>
            </w:r>
            <w:r w:rsidR="00AD06E0" w:rsidRPr="00A778BF">
              <w:rPr>
                <w:rFonts w:ascii="Calibri" w:hAnsi="Calibri" w:cs="Arial"/>
                <w:color w:val="000000"/>
                <w:sz w:val="20"/>
                <w:szCs w:val="20"/>
                <w:lang w:val="fr-CA"/>
              </w:rPr>
              <w:t>/</w:t>
            </w:r>
            <w:r w:rsidR="006A73E2">
              <w:rPr>
                <w:rFonts w:ascii="Calibri" w:hAnsi="Calibri" w:cs="Arial"/>
                <w:color w:val="000000"/>
                <w:sz w:val="20"/>
                <w:szCs w:val="20"/>
                <w:lang w:val="fr-CA"/>
              </w:rPr>
              <w:t>Resp</w:t>
            </w:r>
            <w:r w:rsidR="00555D74">
              <w:rPr>
                <w:rFonts w:ascii="Calibri" w:hAnsi="Calibri" w:cs="Arial"/>
                <w:color w:val="000000"/>
                <w:sz w:val="20"/>
                <w:szCs w:val="20"/>
                <w:lang w:val="fr-CA"/>
              </w:rPr>
              <w:t> </w:t>
            </w:r>
            <w:r w:rsidR="00C544E0">
              <w:rPr>
                <w:rFonts w:ascii="Calibri" w:hAnsi="Calibri" w:cs="Arial"/>
                <w:color w:val="000000"/>
                <w:sz w:val="20"/>
                <w:szCs w:val="20"/>
                <w:lang w:val="fr-CA"/>
              </w:rPr>
              <w:t>TI</w:t>
            </w:r>
            <w:r w:rsidR="00AD06E0" w:rsidRPr="00A778BF">
              <w:rPr>
                <w:rFonts w:ascii="Calibri" w:hAnsi="Calibri" w:cs="Arial"/>
                <w:color w:val="000000"/>
                <w:sz w:val="20"/>
                <w:szCs w:val="20"/>
                <w:lang w:val="fr-CA"/>
              </w:rPr>
              <w:t xml:space="preserve">) </w:t>
            </w:r>
          </w:p>
        </w:tc>
        <w:tc>
          <w:tcPr>
            <w:tcW w:w="1134" w:type="dxa"/>
            <w:shd w:val="clear" w:color="auto" w:fill="auto"/>
          </w:tcPr>
          <w:p w:rsidR="00AD06E0" w:rsidRPr="00A778BF" w:rsidRDefault="00AE7273" w:rsidP="006B5FCE">
            <w:pPr>
              <w:rPr>
                <w:rFonts w:ascii="Calibri" w:hAnsi="Calibri" w:cs="Arial"/>
                <w:color w:val="000000"/>
                <w:sz w:val="20"/>
                <w:szCs w:val="20"/>
                <w:lang w:val="fr-CA"/>
              </w:rPr>
            </w:pPr>
            <w:r>
              <w:rPr>
                <w:rFonts w:ascii="Calibri" w:hAnsi="Calibri" w:cs="Arial"/>
                <w:color w:val="000000"/>
                <w:sz w:val="20"/>
                <w:szCs w:val="20"/>
                <w:lang w:val="fr-CA"/>
              </w:rPr>
              <w:t>52</w:t>
            </w:r>
            <w:r w:rsidRPr="00AE7273">
              <w:rPr>
                <w:rFonts w:ascii="Calibri" w:hAnsi="Calibri" w:cs="Arial"/>
                <w:color w:val="000000"/>
                <w:sz w:val="20"/>
                <w:szCs w:val="20"/>
                <w:vertAlign w:val="superscript"/>
                <w:lang w:val="fr-CA"/>
              </w:rPr>
              <w:t>e</w:t>
            </w:r>
            <w:r>
              <w:rPr>
                <w:rFonts w:ascii="Calibri" w:hAnsi="Calibri" w:cs="Arial"/>
                <w:color w:val="000000"/>
                <w:sz w:val="20"/>
                <w:szCs w:val="20"/>
                <w:lang w:val="fr-CA"/>
              </w:rPr>
              <w:t xml:space="preserve"> Réunion du Comité permanent</w:t>
            </w:r>
          </w:p>
        </w:tc>
        <w:tc>
          <w:tcPr>
            <w:tcW w:w="3827" w:type="dxa"/>
            <w:shd w:val="clear" w:color="auto" w:fill="auto"/>
          </w:tcPr>
          <w:p w:rsidR="00AD06E0" w:rsidRPr="00A778BF" w:rsidRDefault="00555D74" w:rsidP="002E157F">
            <w:pPr>
              <w:rPr>
                <w:rFonts w:ascii="Calibri" w:hAnsi="Calibri" w:cs="Arial"/>
                <w:color w:val="000000"/>
                <w:sz w:val="20"/>
                <w:szCs w:val="20"/>
                <w:lang w:val="fr-CA"/>
              </w:rPr>
            </w:pPr>
            <w:r w:rsidRPr="00A778BF">
              <w:rPr>
                <w:rFonts w:ascii="Calibri" w:hAnsi="Calibri" w:cs="Arial"/>
                <w:color w:val="000000"/>
                <w:sz w:val="20"/>
                <w:szCs w:val="20"/>
                <w:lang w:val="fr-CA"/>
              </w:rPr>
              <w:t>Préparation</w:t>
            </w:r>
            <w:r w:rsidR="00AD06E0" w:rsidRPr="00A778BF">
              <w:rPr>
                <w:rFonts w:ascii="Calibri" w:hAnsi="Calibri" w:cs="Arial"/>
                <w:color w:val="000000"/>
                <w:sz w:val="20"/>
                <w:szCs w:val="20"/>
                <w:lang w:val="fr-CA"/>
              </w:rPr>
              <w:t xml:space="preserve"> </w:t>
            </w:r>
            <w:r>
              <w:rPr>
                <w:rFonts w:ascii="Calibri" w:hAnsi="Calibri" w:cs="Arial"/>
                <w:color w:val="000000"/>
                <w:sz w:val="20"/>
                <w:szCs w:val="20"/>
                <w:lang w:val="fr-CA"/>
              </w:rPr>
              <w:t xml:space="preserve">du </w:t>
            </w:r>
            <w:r w:rsidR="002E157F">
              <w:rPr>
                <w:rFonts w:ascii="Calibri" w:hAnsi="Calibri" w:cs="Arial"/>
                <w:color w:val="000000"/>
                <w:sz w:val="20"/>
                <w:szCs w:val="20"/>
                <w:lang w:val="fr-CA"/>
              </w:rPr>
              <w:t>m</w:t>
            </w:r>
            <w:r>
              <w:rPr>
                <w:rFonts w:ascii="Calibri" w:hAnsi="Calibri" w:cs="Arial"/>
                <w:color w:val="000000"/>
                <w:sz w:val="20"/>
                <w:szCs w:val="20"/>
                <w:lang w:val="fr-CA"/>
              </w:rPr>
              <w:t xml:space="preserve">odèle de </w:t>
            </w:r>
            <w:r w:rsidR="002E157F">
              <w:rPr>
                <w:rFonts w:ascii="Calibri" w:hAnsi="Calibri" w:cs="Arial"/>
                <w:color w:val="000000"/>
                <w:sz w:val="20"/>
                <w:szCs w:val="20"/>
                <w:lang w:val="fr-CA"/>
              </w:rPr>
              <w:t>R</w:t>
            </w:r>
            <w:r>
              <w:rPr>
                <w:rFonts w:ascii="Calibri" w:hAnsi="Calibri" w:cs="Arial"/>
                <w:color w:val="000000"/>
                <w:sz w:val="20"/>
                <w:szCs w:val="20"/>
                <w:lang w:val="fr-CA"/>
              </w:rPr>
              <w:t xml:space="preserve">apport national pour la </w:t>
            </w:r>
            <w:r w:rsidR="00AD06E0" w:rsidRPr="00A778BF">
              <w:rPr>
                <w:rFonts w:ascii="Calibri" w:hAnsi="Calibri" w:cs="Arial"/>
                <w:color w:val="000000"/>
                <w:sz w:val="20"/>
                <w:szCs w:val="20"/>
                <w:lang w:val="fr-CA"/>
              </w:rPr>
              <w:t xml:space="preserve">COP13 </w:t>
            </w:r>
            <w:r>
              <w:rPr>
                <w:rFonts w:ascii="Calibri" w:hAnsi="Calibri" w:cs="Arial"/>
                <w:color w:val="000000"/>
                <w:sz w:val="20"/>
                <w:szCs w:val="20"/>
                <w:lang w:val="fr-CA"/>
              </w:rPr>
              <w:t>avec les contributions des Parties contractantes et acteurs clés (</w:t>
            </w:r>
            <w:r w:rsidR="00AD06E0" w:rsidRPr="00A778BF">
              <w:rPr>
                <w:rFonts w:ascii="Calibri" w:hAnsi="Calibri" w:cs="Arial"/>
                <w:color w:val="000000"/>
                <w:sz w:val="20"/>
                <w:szCs w:val="20"/>
                <w:lang w:val="fr-CA"/>
              </w:rPr>
              <w:t xml:space="preserve">WCMC, </w:t>
            </w:r>
            <w:r>
              <w:rPr>
                <w:rFonts w:ascii="Calibri" w:hAnsi="Calibri" w:cs="Arial"/>
                <w:color w:val="000000"/>
                <w:sz w:val="20"/>
                <w:szCs w:val="20"/>
                <w:lang w:val="fr-CA"/>
              </w:rPr>
              <w:t>GEST</w:t>
            </w:r>
            <w:r w:rsidR="00AD06E0" w:rsidRPr="00A778BF">
              <w:rPr>
                <w:rFonts w:ascii="Calibri" w:hAnsi="Calibri" w:cs="Arial"/>
                <w:color w:val="000000"/>
                <w:sz w:val="20"/>
                <w:szCs w:val="20"/>
                <w:lang w:val="fr-CA"/>
              </w:rPr>
              <w:t xml:space="preserve">, CMS </w:t>
            </w:r>
            <w:r>
              <w:rPr>
                <w:rFonts w:ascii="Calibri" w:hAnsi="Calibri" w:cs="Arial"/>
                <w:color w:val="000000"/>
                <w:sz w:val="20"/>
                <w:szCs w:val="20"/>
                <w:lang w:val="fr-CA"/>
              </w:rPr>
              <w:t>et</w:t>
            </w:r>
            <w:r w:rsidR="00AD06E0" w:rsidRPr="00A778BF">
              <w:rPr>
                <w:rFonts w:ascii="Calibri" w:hAnsi="Calibri" w:cs="Arial"/>
                <w:color w:val="000000"/>
                <w:sz w:val="20"/>
                <w:szCs w:val="20"/>
                <w:lang w:val="fr-CA"/>
              </w:rPr>
              <w:t xml:space="preserve"> </w:t>
            </w:r>
            <w:r>
              <w:rPr>
                <w:rFonts w:ascii="Calibri" w:hAnsi="Calibri" w:cs="Arial"/>
                <w:color w:val="000000"/>
                <w:sz w:val="20"/>
                <w:szCs w:val="20"/>
                <w:lang w:val="fr-CA"/>
              </w:rPr>
              <w:t>autres AME</w:t>
            </w:r>
            <w:r w:rsidR="00AD06E0" w:rsidRPr="00A778BF">
              <w:rPr>
                <w:rFonts w:ascii="Calibri" w:hAnsi="Calibri" w:cs="Arial"/>
                <w:color w:val="000000"/>
                <w:sz w:val="20"/>
                <w:szCs w:val="20"/>
                <w:lang w:val="fr-CA"/>
              </w:rPr>
              <w:t xml:space="preserve">, </w:t>
            </w:r>
            <w:r w:rsidR="006A73E2" w:rsidRPr="00334B93">
              <w:rPr>
                <w:rFonts w:ascii="Calibri" w:hAnsi="Calibri" w:cs="Arial"/>
                <w:color w:val="000000"/>
                <w:sz w:val="20"/>
                <w:szCs w:val="20"/>
                <w:lang w:val="fr-CA"/>
              </w:rPr>
              <w:t>entre autres</w:t>
            </w:r>
            <w:r w:rsidR="00AD06E0" w:rsidRPr="00A778BF">
              <w:rPr>
                <w:rFonts w:ascii="Calibri" w:hAnsi="Calibri" w:cs="Arial"/>
                <w:color w:val="000000"/>
                <w:sz w:val="20"/>
                <w:szCs w:val="20"/>
                <w:lang w:val="fr-CA"/>
              </w:rPr>
              <w:t xml:space="preserve">), </w:t>
            </w:r>
            <w:r w:rsidR="006A73E2">
              <w:rPr>
                <w:rFonts w:ascii="Calibri" w:hAnsi="Calibri" w:cs="Arial"/>
                <w:color w:val="000000"/>
                <w:sz w:val="20"/>
                <w:szCs w:val="20"/>
                <w:lang w:val="fr-CA"/>
              </w:rPr>
              <w:t xml:space="preserve">élaboration d’un système en ligne de transmission des </w:t>
            </w:r>
            <w:r w:rsidR="002E157F">
              <w:rPr>
                <w:rFonts w:ascii="Calibri" w:hAnsi="Calibri" w:cs="Arial"/>
                <w:color w:val="000000"/>
                <w:sz w:val="20"/>
                <w:szCs w:val="20"/>
                <w:lang w:val="fr-CA"/>
              </w:rPr>
              <w:t>r</w:t>
            </w:r>
            <w:r w:rsidR="006A73E2">
              <w:rPr>
                <w:rFonts w:ascii="Calibri" w:hAnsi="Calibri" w:cs="Arial"/>
                <w:color w:val="000000"/>
                <w:sz w:val="20"/>
                <w:szCs w:val="20"/>
                <w:lang w:val="fr-CA"/>
              </w:rPr>
              <w:t xml:space="preserve">apports nationaux, élaboration de rapports et indicateurs. </w:t>
            </w:r>
          </w:p>
        </w:tc>
        <w:tc>
          <w:tcPr>
            <w:tcW w:w="1134" w:type="dxa"/>
            <w:shd w:val="clear" w:color="auto" w:fill="auto"/>
          </w:tcPr>
          <w:p w:rsidR="00AD06E0" w:rsidRPr="00534C4C" w:rsidRDefault="00AD06E0"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175</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c>
          <w:tcPr>
            <w:tcW w:w="1418" w:type="dxa"/>
            <w:shd w:val="clear" w:color="auto" w:fill="auto"/>
          </w:tcPr>
          <w:p w:rsidR="00AD06E0" w:rsidRPr="00534C4C" w:rsidRDefault="00AD06E0" w:rsidP="00534C4C">
            <w:pPr>
              <w:jc w:val="right"/>
              <w:rPr>
                <w:rFonts w:ascii="Arial" w:hAnsi="Arial" w:cs="Arial"/>
                <w:color w:val="000000"/>
                <w:sz w:val="22"/>
                <w:szCs w:val="22"/>
                <w:lang w:val="fr-CA"/>
              </w:rPr>
            </w:pPr>
            <w:r w:rsidRPr="00534C4C">
              <w:rPr>
                <w:rFonts w:ascii="Arial" w:hAnsi="Arial" w:cs="Arial"/>
                <w:color w:val="000000"/>
                <w:sz w:val="22"/>
                <w:szCs w:val="22"/>
                <w:lang w:val="fr-CA"/>
              </w:rPr>
              <w:t> </w:t>
            </w:r>
          </w:p>
        </w:tc>
      </w:tr>
      <w:tr w:rsidR="00AD06E0" w:rsidRPr="00A778BF" w:rsidTr="00534C4C">
        <w:trPr>
          <w:cantSplit/>
        </w:trPr>
        <w:tc>
          <w:tcPr>
            <w:tcW w:w="4253" w:type="dxa"/>
            <w:shd w:val="clear" w:color="auto" w:fill="auto"/>
          </w:tcPr>
          <w:p w:rsidR="00AD06E0" w:rsidRPr="00A778BF" w:rsidRDefault="00AD06E0" w:rsidP="005908DA">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2.20</w:t>
            </w:r>
            <w:r w:rsidR="005908DA" w:rsidRPr="00A778BF">
              <w:rPr>
                <w:rFonts w:ascii="Calibri" w:hAnsi="Calibri" w:cs="Arial"/>
                <w:color w:val="000000"/>
                <w:sz w:val="20"/>
                <w:szCs w:val="20"/>
                <w:lang w:val="fr-CA"/>
              </w:rPr>
              <w:t>.</w:t>
            </w:r>
            <w:r w:rsidR="00733655">
              <w:rPr>
                <w:rFonts w:ascii="Calibri" w:hAnsi="Calibri" w:cs="Arial"/>
                <w:color w:val="000000"/>
                <w:sz w:val="20"/>
                <w:szCs w:val="20"/>
                <w:lang w:val="fr-CA"/>
              </w:rPr>
              <w:t xml:space="preserve"> </w:t>
            </w:r>
            <w:r w:rsidR="005908DA" w:rsidRPr="00A778BF">
              <w:rPr>
                <w:rFonts w:ascii="Calibri" w:hAnsi="Calibri" w:cs="Arial"/>
                <w:color w:val="000000"/>
                <w:sz w:val="20"/>
                <w:szCs w:val="20"/>
                <w:lang w:val="fr-CA"/>
              </w:rPr>
              <w:t>Compiler les données dans un rapport initial sur les liens unissant les peuples autochtones, les communautés locales et les zones humides.</w:t>
            </w:r>
          </w:p>
        </w:tc>
        <w:tc>
          <w:tcPr>
            <w:tcW w:w="1560" w:type="dxa"/>
            <w:shd w:val="clear" w:color="auto" w:fill="auto"/>
          </w:tcPr>
          <w:p w:rsidR="00AD06E0" w:rsidRPr="00A778BF" w:rsidRDefault="00100D3F" w:rsidP="006A73E2">
            <w:pPr>
              <w:rPr>
                <w:rFonts w:ascii="Calibri" w:hAnsi="Calibri" w:cs="Arial"/>
                <w:color w:val="000000"/>
                <w:sz w:val="20"/>
                <w:szCs w:val="20"/>
                <w:lang w:val="fr-CA"/>
              </w:rPr>
            </w:pPr>
            <w:r>
              <w:rPr>
                <w:rFonts w:ascii="Calibri" w:hAnsi="Calibri" w:cs="Arial"/>
                <w:color w:val="000000"/>
                <w:sz w:val="20"/>
                <w:szCs w:val="20"/>
                <w:lang w:val="fr-CA"/>
              </w:rPr>
              <w:t xml:space="preserve">Secrétariat </w:t>
            </w:r>
            <w:r w:rsidR="00555D74">
              <w:rPr>
                <w:rFonts w:ascii="Calibri" w:hAnsi="Calibri" w:cs="Arial"/>
                <w:color w:val="000000"/>
                <w:sz w:val="20"/>
                <w:szCs w:val="20"/>
                <w:lang w:val="fr-CA"/>
              </w:rPr>
              <w:t xml:space="preserve">Ramsar </w:t>
            </w:r>
            <w:r w:rsidR="00AD06E0" w:rsidRPr="00A778BF">
              <w:rPr>
                <w:rFonts w:ascii="Calibri" w:hAnsi="Calibri" w:cs="Arial"/>
                <w:color w:val="000000"/>
                <w:sz w:val="20"/>
                <w:szCs w:val="20"/>
                <w:lang w:val="fr-CA"/>
              </w:rPr>
              <w:br/>
              <w:t>(</w:t>
            </w:r>
            <w:r w:rsidR="006A73E2" w:rsidRPr="00A778BF">
              <w:rPr>
                <w:rFonts w:ascii="Calibri" w:hAnsi="Calibri" w:cs="Arial"/>
                <w:color w:val="000000"/>
                <w:sz w:val="20"/>
                <w:szCs w:val="20"/>
                <w:lang w:val="fr-CA"/>
              </w:rPr>
              <w:t>Fin&amp;Admin</w:t>
            </w:r>
            <w:r w:rsidR="00AD06E0" w:rsidRPr="00A778BF">
              <w:rPr>
                <w:rFonts w:ascii="Calibri" w:hAnsi="Calibri" w:cs="Arial"/>
                <w:color w:val="000000"/>
                <w:sz w:val="20"/>
                <w:szCs w:val="20"/>
                <w:lang w:val="fr-CA"/>
              </w:rPr>
              <w:t>/</w:t>
            </w:r>
            <w:r w:rsidR="006A73E2">
              <w:rPr>
                <w:rFonts w:ascii="Calibri" w:hAnsi="Calibri" w:cs="Arial"/>
                <w:color w:val="000000"/>
                <w:sz w:val="20"/>
                <w:szCs w:val="20"/>
                <w:lang w:val="fr-CA"/>
              </w:rPr>
              <w:t xml:space="preserve"> </w:t>
            </w:r>
            <w:r w:rsidR="00AD06E0" w:rsidRPr="00A778BF">
              <w:rPr>
                <w:rFonts w:ascii="Calibri" w:hAnsi="Calibri" w:cs="Arial"/>
                <w:color w:val="000000"/>
                <w:sz w:val="20"/>
                <w:szCs w:val="20"/>
                <w:lang w:val="fr-CA"/>
              </w:rPr>
              <w:t>Part/Reg)</w:t>
            </w:r>
          </w:p>
        </w:tc>
        <w:tc>
          <w:tcPr>
            <w:tcW w:w="1134" w:type="dxa"/>
            <w:shd w:val="clear" w:color="auto" w:fill="auto"/>
          </w:tcPr>
          <w:p w:rsidR="00AD06E0" w:rsidRPr="00A778BF" w:rsidRDefault="00AE7273" w:rsidP="006B5FCE">
            <w:pPr>
              <w:rPr>
                <w:rFonts w:ascii="Calibri" w:hAnsi="Calibri" w:cs="Arial"/>
                <w:color w:val="000000"/>
                <w:sz w:val="20"/>
                <w:szCs w:val="20"/>
                <w:lang w:val="fr-CA"/>
              </w:rPr>
            </w:pPr>
            <w:r>
              <w:rPr>
                <w:rFonts w:ascii="Calibri" w:hAnsi="Calibri" w:cs="Arial"/>
                <w:color w:val="000000"/>
                <w:sz w:val="20"/>
                <w:szCs w:val="20"/>
                <w:lang w:val="fr-CA"/>
              </w:rPr>
              <w:t>52</w:t>
            </w:r>
            <w:r w:rsidRPr="00AE7273">
              <w:rPr>
                <w:rFonts w:ascii="Calibri" w:hAnsi="Calibri" w:cs="Arial"/>
                <w:color w:val="000000"/>
                <w:sz w:val="20"/>
                <w:szCs w:val="20"/>
                <w:vertAlign w:val="superscript"/>
                <w:lang w:val="fr-CA"/>
              </w:rPr>
              <w:t>e</w:t>
            </w:r>
            <w:r>
              <w:rPr>
                <w:rFonts w:ascii="Calibri" w:hAnsi="Calibri" w:cs="Arial"/>
                <w:color w:val="000000"/>
                <w:sz w:val="20"/>
                <w:szCs w:val="20"/>
                <w:lang w:val="fr-CA"/>
              </w:rPr>
              <w:t xml:space="preserve"> Réunion du Comité permanent</w:t>
            </w:r>
          </w:p>
        </w:tc>
        <w:tc>
          <w:tcPr>
            <w:tcW w:w="3827" w:type="dxa"/>
            <w:shd w:val="clear" w:color="auto" w:fill="auto"/>
          </w:tcPr>
          <w:p w:rsidR="00AD06E0" w:rsidRPr="00A778BF" w:rsidRDefault="00AE7273" w:rsidP="006D32D6">
            <w:pPr>
              <w:rPr>
                <w:rFonts w:ascii="Calibri" w:hAnsi="Calibri" w:cs="Arial"/>
                <w:color w:val="000000"/>
                <w:sz w:val="20"/>
                <w:szCs w:val="20"/>
                <w:lang w:val="fr-CA"/>
              </w:rPr>
            </w:pPr>
            <w:r>
              <w:rPr>
                <w:rFonts w:ascii="Calibri" w:hAnsi="Calibri" w:cs="Arial"/>
                <w:color w:val="000000"/>
                <w:sz w:val="20"/>
                <w:szCs w:val="20"/>
                <w:lang w:val="fr-CA"/>
              </w:rPr>
              <w:t xml:space="preserve">Appui additionnel à obtenir pour le Réseau culturel Ramsar, afin de mettre sur pied une base de données et de </w:t>
            </w:r>
            <w:r w:rsidR="006D32D6" w:rsidRPr="006D32D6">
              <w:rPr>
                <w:rFonts w:ascii="Calibri" w:hAnsi="Calibri" w:cs="Arial"/>
                <w:color w:val="000000"/>
                <w:sz w:val="20"/>
                <w:szCs w:val="20"/>
                <w:lang w:val="fr-CA"/>
              </w:rPr>
              <w:t>compiler les données</w:t>
            </w:r>
            <w:r w:rsidR="006A73E2" w:rsidRPr="006D32D6">
              <w:rPr>
                <w:rFonts w:ascii="Calibri" w:hAnsi="Calibri" w:cs="Arial"/>
                <w:color w:val="000000"/>
                <w:sz w:val="20"/>
                <w:szCs w:val="20"/>
                <w:lang w:val="fr-CA"/>
              </w:rPr>
              <w:t>.</w:t>
            </w:r>
            <w:r w:rsidR="006A73E2">
              <w:rPr>
                <w:rFonts w:ascii="Calibri" w:hAnsi="Calibri" w:cs="Arial"/>
                <w:color w:val="000000"/>
                <w:sz w:val="20"/>
                <w:szCs w:val="20"/>
                <w:lang w:val="fr-CA"/>
              </w:rPr>
              <w:t xml:space="preserve"> </w:t>
            </w:r>
          </w:p>
        </w:tc>
        <w:tc>
          <w:tcPr>
            <w:tcW w:w="1134" w:type="dxa"/>
            <w:shd w:val="clear" w:color="auto" w:fill="auto"/>
          </w:tcPr>
          <w:p w:rsidR="00AD06E0" w:rsidRPr="00534C4C" w:rsidRDefault="00AD06E0"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AD06E0" w:rsidRPr="00534C4C" w:rsidRDefault="00AD06E0" w:rsidP="00534C4C">
            <w:pPr>
              <w:jc w:val="right"/>
              <w:rPr>
                <w:rFonts w:ascii="Arial" w:hAnsi="Arial" w:cs="Arial"/>
                <w:color w:val="000000"/>
                <w:sz w:val="22"/>
                <w:szCs w:val="22"/>
                <w:lang w:val="fr-CA"/>
              </w:rPr>
            </w:pPr>
            <w:r w:rsidRPr="00534C4C">
              <w:rPr>
                <w:rFonts w:ascii="Arial" w:hAnsi="Arial" w:cs="Arial"/>
                <w:color w:val="000000"/>
                <w:sz w:val="22"/>
                <w:szCs w:val="22"/>
                <w:lang w:val="fr-CA"/>
              </w:rPr>
              <w:t> </w:t>
            </w:r>
          </w:p>
        </w:tc>
        <w:tc>
          <w:tcPr>
            <w:tcW w:w="1418" w:type="dxa"/>
            <w:shd w:val="clear" w:color="auto" w:fill="auto"/>
          </w:tcPr>
          <w:p w:rsidR="00AD06E0" w:rsidRPr="00534C4C" w:rsidRDefault="00AD06E0"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1</w:t>
            </w:r>
            <w:r w:rsidR="00AE7273" w:rsidRPr="00534C4C">
              <w:rPr>
                <w:rFonts w:ascii="Calibri" w:hAnsi="Calibri" w:cs="Arial"/>
                <w:color w:val="000000"/>
                <w:sz w:val="20"/>
                <w:szCs w:val="20"/>
                <w:lang w:val="fr-CA"/>
              </w:rPr>
              <w:t>0</w:t>
            </w:r>
            <w:r w:rsidRPr="00534C4C">
              <w:rPr>
                <w:rFonts w:ascii="Calibri" w:hAnsi="Calibri" w:cs="Arial"/>
                <w:color w:val="000000"/>
                <w:sz w:val="20"/>
                <w:szCs w:val="20"/>
                <w:lang w:val="fr-CA"/>
              </w:rPr>
              <w:t>0</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r>
      <w:tr w:rsidR="00AD06E0" w:rsidRPr="007825EC" w:rsidTr="00534C4C">
        <w:trPr>
          <w:cantSplit/>
        </w:trPr>
        <w:tc>
          <w:tcPr>
            <w:tcW w:w="4253" w:type="dxa"/>
            <w:shd w:val="clear" w:color="auto" w:fill="auto"/>
          </w:tcPr>
          <w:p w:rsidR="00AD06E0" w:rsidRPr="00A778BF" w:rsidRDefault="00AD06E0" w:rsidP="005908DA">
            <w:pPr>
              <w:rPr>
                <w:rFonts w:ascii="Calibri" w:hAnsi="Calibri" w:cs="Arial"/>
                <w:color w:val="000000"/>
                <w:sz w:val="20"/>
                <w:szCs w:val="20"/>
                <w:lang w:val="fr-CA"/>
              </w:rPr>
            </w:pPr>
            <w:r w:rsidRPr="00A778BF">
              <w:rPr>
                <w:rFonts w:ascii="Calibri" w:hAnsi="Calibri" w:cs="Arial"/>
                <w:color w:val="000000"/>
                <w:sz w:val="20"/>
                <w:szCs w:val="20"/>
                <w:lang w:val="fr-CA"/>
              </w:rPr>
              <w:t>2.26.</w:t>
            </w:r>
            <w:r w:rsidR="00733655">
              <w:rPr>
                <w:rFonts w:ascii="Calibri" w:hAnsi="Calibri" w:cs="Arial"/>
                <w:color w:val="000000"/>
                <w:sz w:val="20"/>
                <w:szCs w:val="20"/>
                <w:lang w:val="fr-CA"/>
              </w:rPr>
              <w:t xml:space="preserve"> </w:t>
            </w:r>
            <w:r w:rsidR="005908DA" w:rsidRPr="00A778BF">
              <w:rPr>
                <w:rFonts w:ascii="Calibri" w:hAnsi="Calibri" w:cs="Arial"/>
                <w:color w:val="000000"/>
                <w:sz w:val="20"/>
                <w:szCs w:val="20"/>
                <w:lang w:val="fr-CA"/>
              </w:rPr>
              <w:t>Entreprendre une révision du 4</w:t>
            </w:r>
            <w:r w:rsidR="005908DA" w:rsidRPr="00A778BF">
              <w:rPr>
                <w:rFonts w:ascii="Calibri" w:hAnsi="Calibri" w:cs="Arial"/>
                <w:color w:val="000000"/>
                <w:sz w:val="20"/>
                <w:szCs w:val="20"/>
                <w:vertAlign w:val="superscript"/>
                <w:lang w:val="fr-CA"/>
              </w:rPr>
              <w:t>e</w:t>
            </w:r>
            <w:r w:rsidR="005908DA" w:rsidRPr="00A778BF">
              <w:rPr>
                <w:rFonts w:ascii="Calibri" w:hAnsi="Calibri" w:cs="Arial"/>
                <w:color w:val="000000"/>
                <w:sz w:val="20"/>
                <w:szCs w:val="20"/>
                <w:lang w:val="fr-CA"/>
              </w:rPr>
              <w:t xml:space="preserve"> Plan stratégique à la COP14 et d’établir les modalités et la portée de cette révision à la COP13 en tenant compte, entre autres, des résultats des débats sur le programme de développement durable de l’après-2015 et les Objectifs de développement durable, des travaux de l’IPBES et de la coordination des besoins relatifs à la révision du Plan stratégique pour la diversité biologique 2011-2020</w:t>
            </w:r>
            <w:r w:rsidR="00100D3F">
              <w:rPr>
                <w:rFonts w:ascii="Calibri" w:hAnsi="Calibri" w:cs="Arial"/>
                <w:color w:val="000000"/>
                <w:sz w:val="20"/>
                <w:szCs w:val="20"/>
                <w:lang w:val="fr-CA"/>
              </w:rPr>
              <w:t>.</w:t>
            </w:r>
          </w:p>
        </w:tc>
        <w:tc>
          <w:tcPr>
            <w:tcW w:w="1560" w:type="dxa"/>
            <w:shd w:val="clear" w:color="auto" w:fill="auto"/>
          </w:tcPr>
          <w:p w:rsidR="00AD06E0" w:rsidRPr="00A778BF" w:rsidRDefault="00100D3F" w:rsidP="006A73E2">
            <w:pPr>
              <w:rPr>
                <w:rFonts w:ascii="Calibri" w:hAnsi="Calibri" w:cs="Arial"/>
                <w:color w:val="000000"/>
                <w:sz w:val="20"/>
                <w:szCs w:val="20"/>
                <w:lang w:val="fr-CA"/>
              </w:rPr>
            </w:pPr>
            <w:r>
              <w:rPr>
                <w:rFonts w:ascii="Calibri" w:hAnsi="Calibri" w:cs="Arial"/>
                <w:color w:val="000000"/>
                <w:sz w:val="20"/>
                <w:szCs w:val="20"/>
                <w:lang w:val="fr-CA"/>
              </w:rPr>
              <w:t>Secrétariat Ramsar</w:t>
            </w:r>
            <w:r w:rsidR="00555D74">
              <w:rPr>
                <w:rFonts w:ascii="Calibri" w:hAnsi="Calibri" w:cs="Arial"/>
                <w:color w:val="000000"/>
                <w:sz w:val="20"/>
                <w:szCs w:val="20"/>
                <w:lang w:val="fr-CA"/>
              </w:rPr>
              <w:t xml:space="preserve"> (SG/</w:t>
            </w:r>
            <w:r w:rsidR="00AD06E0" w:rsidRPr="00A778BF">
              <w:rPr>
                <w:rFonts w:ascii="Calibri" w:hAnsi="Calibri" w:cs="Arial"/>
                <w:color w:val="000000"/>
                <w:sz w:val="20"/>
                <w:szCs w:val="20"/>
                <w:lang w:val="fr-CA"/>
              </w:rPr>
              <w:t>SG</w:t>
            </w:r>
            <w:r w:rsidR="00555D74">
              <w:rPr>
                <w:rFonts w:ascii="Calibri" w:hAnsi="Calibri" w:cs="Arial"/>
                <w:color w:val="000000"/>
                <w:sz w:val="20"/>
                <w:szCs w:val="20"/>
                <w:lang w:val="fr-CA"/>
              </w:rPr>
              <w:t>A</w:t>
            </w:r>
            <w:r w:rsidR="00AD06E0" w:rsidRPr="00A778BF">
              <w:rPr>
                <w:rFonts w:ascii="Calibri" w:hAnsi="Calibri" w:cs="Arial"/>
                <w:color w:val="000000"/>
                <w:sz w:val="20"/>
                <w:szCs w:val="20"/>
                <w:lang w:val="fr-CA"/>
              </w:rPr>
              <w:t>/Reg)</w:t>
            </w:r>
          </w:p>
        </w:tc>
        <w:tc>
          <w:tcPr>
            <w:tcW w:w="1134" w:type="dxa"/>
            <w:shd w:val="clear" w:color="auto" w:fill="auto"/>
          </w:tcPr>
          <w:p w:rsidR="00AD06E0" w:rsidRPr="00A778BF" w:rsidRDefault="00AD06E0" w:rsidP="006B5FCE">
            <w:pPr>
              <w:rPr>
                <w:rFonts w:ascii="Calibri" w:hAnsi="Calibri" w:cs="Arial"/>
                <w:color w:val="000000"/>
                <w:sz w:val="20"/>
                <w:szCs w:val="20"/>
                <w:lang w:val="fr-CA"/>
              </w:rPr>
            </w:pPr>
            <w:r w:rsidRPr="00A778BF">
              <w:rPr>
                <w:rFonts w:ascii="Calibri" w:hAnsi="Calibri" w:cs="Arial"/>
                <w:color w:val="000000"/>
                <w:sz w:val="20"/>
                <w:szCs w:val="20"/>
                <w:lang w:val="fr-CA"/>
              </w:rPr>
              <w:t>COP13</w:t>
            </w:r>
          </w:p>
        </w:tc>
        <w:tc>
          <w:tcPr>
            <w:tcW w:w="3827" w:type="dxa"/>
            <w:shd w:val="clear" w:color="auto" w:fill="auto"/>
          </w:tcPr>
          <w:p w:rsidR="00AD06E0" w:rsidRPr="00A778BF" w:rsidRDefault="006A73E2" w:rsidP="00AE7273">
            <w:pPr>
              <w:rPr>
                <w:rFonts w:ascii="Calibri" w:hAnsi="Calibri" w:cs="Arial"/>
                <w:color w:val="000000"/>
                <w:sz w:val="20"/>
                <w:szCs w:val="20"/>
                <w:lang w:val="fr-CA"/>
              </w:rPr>
            </w:pPr>
            <w:r>
              <w:rPr>
                <w:rFonts w:ascii="Calibri" w:hAnsi="Calibri" w:cs="Arial"/>
                <w:color w:val="000000"/>
                <w:sz w:val="20"/>
                <w:szCs w:val="20"/>
                <w:lang w:val="fr-CA"/>
              </w:rPr>
              <w:t xml:space="preserve">Établir les modalités et la portée de l’examen stratégique pour la </w:t>
            </w:r>
            <w:r w:rsidR="00AD06E0" w:rsidRPr="00A778BF">
              <w:rPr>
                <w:rFonts w:ascii="Calibri" w:hAnsi="Calibri" w:cs="Arial"/>
                <w:color w:val="000000"/>
                <w:sz w:val="20"/>
                <w:szCs w:val="20"/>
                <w:lang w:val="fr-CA"/>
              </w:rPr>
              <w:t>COP13.</w:t>
            </w:r>
            <w:r w:rsidR="00733655">
              <w:rPr>
                <w:rFonts w:ascii="Calibri" w:hAnsi="Calibri" w:cs="Arial"/>
                <w:color w:val="000000"/>
                <w:sz w:val="20"/>
                <w:szCs w:val="20"/>
                <w:lang w:val="fr-CA"/>
              </w:rPr>
              <w:t xml:space="preserve"> </w:t>
            </w:r>
            <w:r w:rsidR="00AE7273">
              <w:rPr>
                <w:rFonts w:ascii="Calibri" w:hAnsi="Calibri" w:cs="Arial"/>
                <w:color w:val="000000"/>
                <w:sz w:val="20"/>
                <w:szCs w:val="20"/>
                <w:lang w:val="fr-CA"/>
              </w:rPr>
              <w:t xml:space="preserve">Les </w:t>
            </w:r>
            <w:r>
              <w:rPr>
                <w:rFonts w:ascii="Calibri" w:hAnsi="Calibri" w:cs="Arial"/>
                <w:color w:val="000000"/>
                <w:sz w:val="20"/>
                <w:szCs w:val="20"/>
                <w:lang w:val="fr-CA"/>
              </w:rPr>
              <w:t>réunions pré</w:t>
            </w:r>
            <w:r>
              <w:rPr>
                <w:rFonts w:ascii="Calibri" w:hAnsi="Calibri" w:cs="Arial"/>
                <w:color w:val="000000"/>
                <w:sz w:val="20"/>
                <w:szCs w:val="20"/>
                <w:lang w:val="fr-CA"/>
              </w:rPr>
              <w:noBreakHyphen/>
              <w:t>COP rassembler</w:t>
            </w:r>
            <w:r w:rsidR="00AE7273">
              <w:rPr>
                <w:rFonts w:ascii="Calibri" w:hAnsi="Calibri" w:cs="Arial"/>
                <w:color w:val="000000"/>
                <w:sz w:val="20"/>
                <w:szCs w:val="20"/>
                <w:lang w:val="fr-CA"/>
              </w:rPr>
              <w:t>ont</w:t>
            </w:r>
            <w:r>
              <w:rPr>
                <w:rFonts w:ascii="Calibri" w:hAnsi="Calibri" w:cs="Arial"/>
                <w:color w:val="000000"/>
                <w:sz w:val="20"/>
                <w:szCs w:val="20"/>
                <w:lang w:val="fr-CA"/>
              </w:rPr>
              <w:t xml:space="preserve"> des informations concernant tous les autres processus mondiaux pertinents, identifier</w:t>
            </w:r>
            <w:r w:rsidR="00AE7273">
              <w:rPr>
                <w:rFonts w:ascii="Calibri" w:hAnsi="Calibri" w:cs="Arial"/>
                <w:color w:val="000000"/>
                <w:sz w:val="20"/>
                <w:szCs w:val="20"/>
                <w:lang w:val="fr-CA"/>
              </w:rPr>
              <w:t>ont</w:t>
            </w:r>
            <w:r>
              <w:rPr>
                <w:rFonts w:ascii="Calibri" w:hAnsi="Calibri" w:cs="Arial"/>
                <w:color w:val="000000"/>
                <w:sz w:val="20"/>
                <w:szCs w:val="20"/>
                <w:lang w:val="fr-CA"/>
              </w:rPr>
              <w:t xml:space="preserve"> les besoins de coordination</w:t>
            </w:r>
            <w:r w:rsidR="00AE7273">
              <w:rPr>
                <w:rFonts w:ascii="Calibri" w:hAnsi="Calibri" w:cs="Arial"/>
                <w:color w:val="000000"/>
                <w:sz w:val="20"/>
                <w:szCs w:val="20"/>
                <w:lang w:val="fr-CA"/>
              </w:rPr>
              <w:t>; le Secrétariat</w:t>
            </w:r>
            <w:r>
              <w:rPr>
                <w:rFonts w:ascii="Calibri" w:hAnsi="Calibri" w:cs="Arial"/>
                <w:color w:val="000000"/>
                <w:sz w:val="20"/>
                <w:szCs w:val="20"/>
                <w:lang w:val="fr-CA"/>
              </w:rPr>
              <w:t xml:space="preserve"> rédiger</w:t>
            </w:r>
            <w:r w:rsidR="00AE7273">
              <w:rPr>
                <w:rFonts w:ascii="Calibri" w:hAnsi="Calibri" w:cs="Arial"/>
                <w:color w:val="000000"/>
                <w:sz w:val="20"/>
                <w:szCs w:val="20"/>
                <w:lang w:val="fr-CA"/>
              </w:rPr>
              <w:t>a</w:t>
            </w:r>
            <w:r>
              <w:rPr>
                <w:rFonts w:ascii="Calibri" w:hAnsi="Calibri" w:cs="Arial"/>
                <w:color w:val="000000"/>
                <w:sz w:val="20"/>
                <w:szCs w:val="20"/>
                <w:lang w:val="fr-CA"/>
              </w:rPr>
              <w:t xml:space="preserve"> un document proposant les modalités et la portée de l’examen à moyen terme nécessaire. </w:t>
            </w:r>
          </w:p>
        </w:tc>
        <w:tc>
          <w:tcPr>
            <w:tcW w:w="1134" w:type="dxa"/>
            <w:shd w:val="clear" w:color="auto" w:fill="auto"/>
          </w:tcPr>
          <w:p w:rsidR="00AD06E0" w:rsidRPr="00534C4C" w:rsidRDefault="00AD06E0"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AD06E0" w:rsidRPr="00534C4C" w:rsidRDefault="00AD06E0" w:rsidP="00534C4C">
            <w:pPr>
              <w:jc w:val="right"/>
              <w:rPr>
                <w:rFonts w:ascii="Arial" w:hAnsi="Arial" w:cs="Arial"/>
                <w:color w:val="000000"/>
                <w:sz w:val="22"/>
                <w:szCs w:val="22"/>
                <w:lang w:val="fr-CA"/>
              </w:rPr>
            </w:pPr>
            <w:r w:rsidRPr="00534C4C">
              <w:rPr>
                <w:rFonts w:ascii="Arial" w:hAnsi="Arial" w:cs="Arial"/>
                <w:color w:val="000000"/>
                <w:sz w:val="22"/>
                <w:szCs w:val="22"/>
                <w:lang w:val="fr-CA"/>
              </w:rPr>
              <w:t> </w:t>
            </w:r>
          </w:p>
        </w:tc>
        <w:tc>
          <w:tcPr>
            <w:tcW w:w="1418" w:type="dxa"/>
            <w:shd w:val="clear" w:color="auto" w:fill="auto"/>
          </w:tcPr>
          <w:p w:rsidR="00AD06E0" w:rsidRPr="00534C4C" w:rsidRDefault="00AD06E0" w:rsidP="00534C4C">
            <w:pPr>
              <w:jc w:val="right"/>
              <w:rPr>
                <w:rFonts w:ascii="Calibri" w:hAnsi="Calibri" w:cs="Arial"/>
                <w:color w:val="000000"/>
                <w:sz w:val="20"/>
                <w:szCs w:val="20"/>
                <w:lang w:val="fr-CA"/>
              </w:rPr>
            </w:pPr>
          </w:p>
        </w:tc>
      </w:tr>
      <w:tr w:rsidR="006B5FCE" w:rsidRPr="00A778BF" w:rsidTr="00534C4C">
        <w:trPr>
          <w:cantSplit/>
        </w:trPr>
        <w:tc>
          <w:tcPr>
            <w:tcW w:w="4253" w:type="dxa"/>
            <w:shd w:val="clear" w:color="auto" w:fill="D9D9D9" w:themeFill="background1" w:themeFillShade="D9"/>
          </w:tcPr>
          <w:p w:rsidR="00073E0C" w:rsidRPr="00A778BF" w:rsidRDefault="005908DA" w:rsidP="006B5FCE">
            <w:pPr>
              <w:rPr>
                <w:rFonts w:ascii="Calibri" w:hAnsi="Calibri" w:cs="Arial"/>
                <w:b/>
                <w:bCs/>
                <w:color w:val="000000"/>
                <w:sz w:val="20"/>
                <w:szCs w:val="20"/>
                <w:lang w:val="fr-CA"/>
              </w:rPr>
            </w:pPr>
            <w:r w:rsidRPr="00A778BF">
              <w:rPr>
                <w:rFonts w:ascii="Calibri" w:eastAsiaTheme="minorHAnsi" w:hAnsi="Calibri" w:cs="Calibri"/>
                <w:b/>
                <w:bCs/>
                <w:color w:val="000000"/>
                <w:sz w:val="20"/>
                <w:szCs w:val="20"/>
                <w:lang w:val="fr-CA" w:eastAsia="en-US"/>
              </w:rPr>
              <w:t xml:space="preserve">Résolution </w:t>
            </w:r>
            <w:r w:rsidR="00073E0C" w:rsidRPr="00A778BF">
              <w:rPr>
                <w:rFonts w:ascii="Calibri" w:hAnsi="Calibri" w:cs="Arial"/>
                <w:b/>
                <w:bCs/>
                <w:color w:val="000000"/>
                <w:sz w:val="20"/>
                <w:szCs w:val="20"/>
                <w:lang w:val="fr-CA"/>
              </w:rPr>
              <w:t>XII.</w:t>
            </w:r>
            <w:r w:rsidR="00AE7273">
              <w:rPr>
                <w:rFonts w:ascii="Calibri" w:hAnsi="Calibri" w:cs="Arial"/>
                <w:b/>
                <w:bCs/>
                <w:color w:val="000000"/>
                <w:sz w:val="20"/>
                <w:szCs w:val="20"/>
                <w:lang w:val="fr-CA"/>
              </w:rPr>
              <w:t>3</w:t>
            </w:r>
            <w:r w:rsidRPr="00A778BF">
              <w:rPr>
                <w:lang w:val="fr-CA"/>
              </w:rPr>
              <w:t xml:space="preserve"> </w:t>
            </w:r>
            <w:r w:rsidRPr="00A778BF">
              <w:rPr>
                <w:rFonts w:ascii="Calibri" w:hAnsi="Calibri" w:cs="Arial"/>
                <w:b/>
                <w:bCs/>
                <w:color w:val="000000"/>
                <w:sz w:val="20"/>
                <w:szCs w:val="20"/>
                <w:lang w:val="fr-CA"/>
              </w:rPr>
              <w:t>Renforcer l’utilisation des langues, la visibilité et la stature de la Convention et améliorer les synergies avec d’autres accords multilatéraux sur l’environnement et autres institutions internationales</w:t>
            </w:r>
          </w:p>
        </w:tc>
        <w:tc>
          <w:tcPr>
            <w:tcW w:w="1560"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p>
        </w:tc>
        <w:tc>
          <w:tcPr>
            <w:tcW w:w="1134"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1</w:t>
            </w:r>
            <w:r w:rsidR="00E10389" w:rsidRPr="00534C4C">
              <w:rPr>
                <w:rFonts w:ascii="Calibri" w:hAnsi="Calibri" w:cs="Arial"/>
                <w:bCs/>
                <w:color w:val="000000"/>
                <w:sz w:val="20"/>
                <w:szCs w:val="20"/>
                <w:lang w:val="fr-CA"/>
              </w:rPr>
              <w:t xml:space="preserve"> </w:t>
            </w:r>
            <w:r w:rsidR="00AE7273" w:rsidRPr="00534C4C">
              <w:rPr>
                <w:rFonts w:ascii="Calibri" w:hAnsi="Calibri" w:cs="Arial"/>
                <w:bCs/>
                <w:color w:val="000000"/>
                <w:sz w:val="20"/>
                <w:szCs w:val="20"/>
                <w:lang w:val="fr-CA"/>
              </w:rPr>
              <w:t>05</w:t>
            </w:r>
            <w:r w:rsidRPr="00534C4C">
              <w:rPr>
                <w:rFonts w:ascii="Calibri" w:hAnsi="Calibri" w:cs="Arial"/>
                <w:bCs/>
                <w:color w:val="000000"/>
                <w:sz w:val="20"/>
                <w:szCs w:val="20"/>
                <w:lang w:val="fr-CA"/>
              </w:rPr>
              <w:t>0</w:t>
            </w:r>
            <w:r w:rsidR="00E10389" w:rsidRPr="00534C4C">
              <w:rPr>
                <w:rFonts w:ascii="Calibri" w:hAnsi="Calibri" w:cs="Arial"/>
                <w:bCs/>
                <w:color w:val="000000"/>
                <w:sz w:val="20"/>
                <w:szCs w:val="20"/>
                <w:lang w:val="fr-CA"/>
              </w:rPr>
              <w:t xml:space="preserve"> </w:t>
            </w:r>
            <w:r w:rsidRPr="00534C4C">
              <w:rPr>
                <w:rFonts w:ascii="Calibri" w:hAnsi="Calibri" w:cs="Arial"/>
                <w:bCs/>
                <w:color w:val="000000"/>
                <w:sz w:val="20"/>
                <w:szCs w:val="20"/>
                <w:lang w:val="fr-CA"/>
              </w:rPr>
              <w:t>000</w:t>
            </w:r>
          </w:p>
        </w:tc>
        <w:tc>
          <w:tcPr>
            <w:tcW w:w="1417" w:type="dxa"/>
            <w:shd w:val="clear" w:color="auto" w:fill="D9D9D9" w:themeFill="background1" w:themeFillShade="D9"/>
          </w:tcPr>
          <w:p w:rsidR="00073E0C" w:rsidRPr="00534C4C" w:rsidRDefault="00AE7273"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1 250 000</w:t>
            </w:r>
          </w:p>
        </w:tc>
        <w:tc>
          <w:tcPr>
            <w:tcW w:w="1418" w:type="dxa"/>
            <w:shd w:val="clear" w:color="auto" w:fill="D9D9D9" w:themeFill="background1" w:themeFillShade="D9"/>
          </w:tcPr>
          <w:p w:rsidR="00073E0C" w:rsidRPr="00534C4C" w:rsidRDefault="00AE7273" w:rsidP="00534C4C">
            <w:pPr>
              <w:jc w:val="right"/>
              <w:rPr>
                <w:rFonts w:asciiTheme="minorHAnsi" w:hAnsiTheme="minorHAnsi" w:cs="Arial"/>
                <w:color w:val="000000"/>
                <w:sz w:val="20"/>
                <w:szCs w:val="20"/>
                <w:lang w:val="fr-CA"/>
              </w:rPr>
            </w:pPr>
            <w:r w:rsidRPr="00534C4C">
              <w:rPr>
                <w:rFonts w:asciiTheme="minorHAnsi" w:hAnsiTheme="minorHAnsi" w:cs="Arial"/>
                <w:color w:val="000000"/>
                <w:sz w:val="20"/>
                <w:szCs w:val="20"/>
                <w:lang w:val="fr-CA"/>
              </w:rPr>
              <w:t>85 000</w:t>
            </w:r>
          </w:p>
        </w:tc>
      </w:tr>
      <w:tr w:rsidR="00073E0C" w:rsidRPr="00A778BF" w:rsidTr="00534C4C">
        <w:trPr>
          <w:cantSplit/>
        </w:trPr>
        <w:tc>
          <w:tcPr>
            <w:tcW w:w="4253" w:type="dxa"/>
            <w:shd w:val="clear" w:color="auto" w:fill="auto"/>
          </w:tcPr>
          <w:p w:rsidR="00073E0C" w:rsidRPr="00A778BF" w:rsidRDefault="00073E0C" w:rsidP="00AE7273">
            <w:pPr>
              <w:rPr>
                <w:rFonts w:ascii="Calibri" w:hAnsi="Calibri" w:cs="Arial"/>
                <w:color w:val="000000"/>
                <w:sz w:val="20"/>
                <w:szCs w:val="20"/>
                <w:lang w:val="fr-CA"/>
              </w:rPr>
            </w:pPr>
            <w:r w:rsidRPr="00A778BF">
              <w:rPr>
                <w:rFonts w:ascii="Calibri" w:hAnsi="Calibri" w:cs="Arial"/>
                <w:color w:val="000000"/>
                <w:sz w:val="20"/>
                <w:szCs w:val="20"/>
                <w:lang w:val="fr-CA"/>
              </w:rPr>
              <w:t>3.26.</w:t>
            </w:r>
            <w:r w:rsidR="00733655">
              <w:rPr>
                <w:rFonts w:ascii="Calibri" w:hAnsi="Calibri" w:cs="Arial"/>
                <w:color w:val="000000"/>
                <w:sz w:val="20"/>
                <w:szCs w:val="20"/>
                <w:lang w:val="fr-CA"/>
              </w:rPr>
              <w:t xml:space="preserve"> </w:t>
            </w:r>
            <w:r w:rsidR="00624617" w:rsidRPr="00A778BF">
              <w:rPr>
                <w:rFonts w:ascii="Calibri" w:hAnsi="Calibri" w:cs="Arial"/>
                <w:color w:val="000000"/>
                <w:sz w:val="20"/>
                <w:szCs w:val="20"/>
                <w:lang w:val="fr-CA"/>
              </w:rPr>
              <w:t>S</w:t>
            </w:r>
            <w:r w:rsidR="005908DA" w:rsidRPr="00A778BF">
              <w:rPr>
                <w:rFonts w:ascii="Calibri" w:hAnsi="Calibri" w:cs="Arial"/>
                <w:color w:val="000000"/>
                <w:sz w:val="20"/>
                <w:szCs w:val="20"/>
                <w:lang w:val="fr-CA"/>
              </w:rPr>
              <w:t xml:space="preserve">ous </w:t>
            </w:r>
            <w:r w:rsidR="00624617" w:rsidRPr="00A778BF">
              <w:rPr>
                <w:rFonts w:ascii="Calibri" w:hAnsi="Calibri" w:cs="Arial"/>
                <w:color w:val="000000"/>
                <w:sz w:val="20"/>
                <w:szCs w:val="20"/>
                <w:lang w:val="fr-CA"/>
              </w:rPr>
              <w:t>réserve</w:t>
            </w:r>
            <w:r w:rsidR="005908DA" w:rsidRPr="00A778BF">
              <w:rPr>
                <w:rFonts w:ascii="Calibri" w:hAnsi="Calibri" w:cs="Arial"/>
                <w:color w:val="000000"/>
                <w:sz w:val="20"/>
                <w:szCs w:val="20"/>
                <w:lang w:val="fr-CA"/>
              </w:rPr>
              <w:t xml:space="preserve"> </w:t>
            </w:r>
            <w:r w:rsidR="00624617" w:rsidRPr="00A778BF">
              <w:rPr>
                <w:rFonts w:ascii="Calibri" w:hAnsi="Calibri" w:cs="Arial"/>
                <w:color w:val="000000"/>
                <w:sz w:val="20"/>
                <w:szCs w:val="20"/>
                <w:lang w:val="fr-CA"/>
              </w:rPr>
              <w:t xml:space="preserve">des </w:t>
            </w:r>
            <w:r w:rsidR="00624617" w:rsidRPr="0061532D">
              <w:rPr>
                <w:rFonts w:ascii="Calibri" w:hAnsi="Calibri" w:cs="Arial"/>
                <w:color w:val="000000"/>
                <w:sz w:val="20"/>
                <w:szCs w:val="20"/>
                <w:lang w:val="fr-CA"/>
              </w:rPr>
              <w:t>ressources disponibles…</w:t>
            </w:r>
            <w:r w:rsidRPr="00A778BF">
              <w:rPr>
                <w:rFonts w:ascii="Calibri" w:hAnsi="Calibri" w:cs="Arial"/>
                <w:color w:val="000000"/>
                <w:sz w:val="20"/>
                <w:szCs w:val="20"/>
                <w:lang w:val="fr-CA"/>
              </w:rPr>
              <w:t xml:space="preserve"> </w:t>
            </w:r>
            <w:r w:rsidR="005908DA" w:rsidRPr="00A778BF">
              <w:rPr>
                <w:rFonts w:ascii="Calibri" w:hAnsi="Calibri" w:cs="Arial"/>
                <w:color w:val="000000"/>
                <w:sz w:val="20"/>
                <w:szCs w:val="20"/>
                <w:lang w:val="fr-CA"/>
              </w:rPr>
              <w:t xml:space="preserve">rédiger une stratégie décrivant l’éventuelle intégration pas à pas de l’arabe </w:t>
            </w:r>
            <w:r w:rsidR="00AE7273">
              <w:rPr>
                <w:rFonts w:ascii="Calibri" w:hAnsi="Calibri" w:cs="Arial"/>
                <w:color w:val="000000"/>
                <w:sz w:val="20"/>
                <w:szCs w:val="20"/>
                <w:lang w:val="fr-CA"/>
              </w:rPr>
              <w:t>et</w:t>
            </w:r>
            <w:r w:rsidR="005908DA" w:rsidRPr="00A778BF">
              <w:rPr>
                <w:rFonts w:ascii="Calibri" w:hAnsi="Calibri" w:cs="Arial"/>
                <w:color w:val="000000"/>
                <w:sz w:val="20"/>
                <w:szCs w:val="20"/>
                <w:lang w:val="fr-CA"/>
              </w:rPr>
              <w:t xml:space="preserve"> d’autres langues des Nations Unies dans les travaux de la Convention</w:t>
            </w:r>
            <w:r w:rsidRPr="00A778BF">
              <w:rPr>
                <w:rFonts w:ascii="Calibri" w:hAnsi="Calibri" w:cs="Arial"/>
                <w:color w:val="000000"/>
                <w:sz w:val="20"/>
                <w:szCs w:val="20"/>
                <w:lang w:val="fr-CA"/>
              </w:rPr>
              <w:t>;</w:t>
            </w:r>
            <w:r w:rsidR="00624617" w:rsidRPr="00A778BF">
              <w:rPr>
                <w:rFonts w:ascii="Calibri" w:hAnsi="Calibri" w:cs="Arial"/>
                <w:color w:val="000000"/>
                <w:sz w:val="20"/>
                <w:szCs w:val="20"/>
                <w:lang w:val="fr-CA"/>
              </w:rPr>
              <w:t xml:space="preserve"> préparer le projet de texte d’une résolution relative à l’utilisation de l’arabe </w:t>
            </w:r>
            <w:r w:rsidR="00AE7273">
              <w:rPr>
                <w:rFonts w:ascii="Calibri" w:hAnsi="Calibri" w:cs="Arial"/>
                <w:color w:val="000000"/>
                <w:sz w:val="20"/>
                <w:szCs w:val="20"/>
                <w:lang w:val="fr-CA"/>
              </w:rPr>
              <w:t>et</w:t>
            </w:r>
            <w:r w:rsidR="00AE7273" w:rsidRPr="00A778BF">
              <w:rPr>
                <w:rFonts w:ascii="Calibri" w:hAnsi="Calibri" w:cs="Arial"/>
                <w:color w:val="000000"/>
                <w:sz w:val="20"/>
                <w:szCs w:val="20"/>
                <w:lang w:val="fr-CA"/>
              </w:rPr>
              <w:t xml:space="preserve"> d’autres langues des Nations Unies </w:t>
            </w:r>
            <w:r w:rsidR="00624617" w:rsidRPr="00A778BF">
              <w:rPr>
                <w:rFonts w:ascii="Calibri" w:hAnsi="Calibri" w:cs="Arial"/>
                <w:color w:val="000000"/>
                <w:sz w:val="20"/>
                <w:szCs w:val="20"/>
                <w:lang w:val="fr-CA"/>
              </w:rPr>
              <w:t>par la Convention, décrivant en détail les conséquences financières</w:t>
            </w:r>
            <w:r w:rsidR="00100D3F">
              <w:rPr>
                <w:rFonts w:ascii="Calibri" w:hAnsi="Calibri" w:cs="Arial"/>
                <w:color w:val="000000"/>
                <w:sz w:val="20"/>
                <w:szCs w:val="20"/>
                <w:lang w:val="fr-CA"/>
              </w:rPr>
              <w:t>.</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(Reg)</w:t>
            </w:r>
          </w:p>
        </w:tc>
        <w:tc>
          <w:tcPr>
            <w:tcW w:w="1134" w:type="dxa"/>
            <w:shd w:val="clear" w:color="auto" w:fill="auto"/>
          </w:tcPr>
          <w:p w:rsidR="00073E0C" w:rsidRPr="00A778BF" w:rsidRDefault="00AE7273" w:rsidP="006B5FCE">
            <w:pPr>
              <w:rPr>
                <w:rFonts w:ascii="Calibri" w:hAnsi="Calibri" w:cs="Arial"/>
                <w:color w:val="000000"/>
                <w:sz w:val="20"/>
                <w:szCs w:val="20"/>
                <w:lang w:val="fr-CA"/>
              </w:rPr>
            </w:pPr>
            <w:r>
              <w:rPr>
                <w:rFonts w:ascii="Calibri" w:hAnsi="Calibri" w:cs="Arial"/>
                <w:color w:val="000000"/>
                <w:sz w:val="20"/>
                <w:szCs w:val="20"/>
                <w:lang w:val="fr-CA"/>
              </w:rPr>
              <w:t>51</w:t>
            </w:r>
            <w:r w:rsidRPr="00AE7273">
              <w:rPr>
                <w:rFonts w:ascii="Calibri" w:hAnsi="Calibri" w:cs="Arial"/>
                <w:color w:val="000000"/>
                <w:sz w:val="20"/>
                <w:szCs w:val="20"/>
                <w:vertAlign w:val="superscript"/>
                <w:lang w:val="fr-CA"/>
              </w:rPr>
              <w:t>e</w:t>
            </w:r>
            <w:r>
              <w:rPr>
                <w:rFonts w:ascii="Calibri" w:hAnsi="Calibri" w:cs="Arial"/>
                <w:color w:val="000000"/>
                <w:sz w:val="20"/>
                <w:szCs w:val="20"/>
                <w:lang w:val="fr-CA"/>
              </w:rPr>
              <w:t xml:space="preserve"> Réunion du Comité permanent</w:t>
            </w:r>
          </w:p>
        </w:tc>
        <w:tc>
          <w:tcPr>
            <w:tcW w:w="3827" w:type="dxa"/>
            <w:shd w:val="clear" w:color="auto" w:fill="auto"/>
          </w:tcPr>
          <w:p w:rsidR="00073E0C" w:rsidRPr="00A778BF" w:rsidRDefault="006A73E2" w:rsidP="007A1587">
            <w:pPr>
              <w:rPr>
                <w:rFonts w:ascii="Calibri" w:hAnsi="Calibri" w:cs="Arial"/>
                <w:color w:val="000000"/>
                <w:sz w:val="20"/>
                <w:szCs w:val="20"/>
                <w:lang w:val="fr-CA"/>
              </w:rPr>
            </w:pPr>
            <w:r w:rsidRPr="00A778BF">
              <w:rPr>
                <w:rFonts w:ascii="Calibri" w:hAnsi="Calibri" w:cs="Arial"/>
                <w:color w:val="000000"/>
                <w:sz w:val="20"/>
                <w:szCs w:val="20"/>
                <w:lang w:val="fr-CA"/>
              </w:rPr>
              <w:t>Préparation</w:t>
            </w:r>
            <w:r w:rsidR="00073E0C" w:rsidRPr="00A778BF">
              <w:rPr>
                <w:rFonts w:ascii="Calibri" w:hAnsi="Calibri" w:cs="Arial"/>
                <w:color w:val="000000"/>
                <w:sz w:val="20"/>
                <w:szCs w:val="20"/>
                <w:lang w:val="fr-CA"/>
              </w:rPr>
              <w:t xml:space="preserve"> </w:t>
            </w:r>
            <w:r>
              <w:rPr>
                <w:rFonts w:ascii="Calibri" w:hAnsi="Calibri" w:cs="Arial"/>
                <w:color w:val="000000"/>
                <w:sz w:val="20"/>
                <w:szCs w:val="20"/>
                <w:lang w:val="fr-CA"/>
              </w:rPr>
              <w:t xml:space="preserve">de la stratégie, comme indiqué dans le document </w:t>
            </w:r>
            <w:r w:rsidR="008D7607" w:rsidRPr="007A1587">
              <w:rPr>
                <w:rFonts w:ascii="Calibri" w:hAnsi="Calibri" w:cs="Arial"/>
                <w:color w:val="000000"/>
                <w:sz w:val="20"/>
                <w:szCs w:val="20"/>
                <w:lang w:val="fr-CA"/>
              </w:rPr>
              <w:t>SC</w:t>
            </w:r>
            <w:r w:rsidR="00073E0C" w:rsidRPr="007A1587">
              <w:rPr>
                <w:rFonts w:ascii="Calibri" w:hAnsi="Calibri" w:cs="Arial"/>
                <w:color w:val="000000"/>
                <w:sz w:val="20"/>
                <w:szCs w:val="20"/>
                <w:lang w:val="fr-CA"/>
              </w:rPr>
              <w:t>51</w:t>
            </w:r>
            <w:r w:rsidRPr="007A1587">
              <w:rPr>
                <w:rFonts w:ascii="Calibri" w:hAnsi="Calibri" w:cs="Arial"/>
                <w:color w:val="000000"/>
                <w:sz w:val="20"/>
                <w:szCs w:val="20"/>
                <w:lang w:val="fr-CA"/>
              </w:rPr>
              <w:noBreakHyphen/>
            </w:r>
            <w:r w:rsidR="007A1587" w:rsidRPr="007A1587">
              <w:rPr>
                <w:rFonts w:ascii="Calibri" w:hAnsi="Calibri" w:cs="Arial"/>
                <w:color w:val="000000"/>
                <w:sz w:val="20"/>
                <w:szCs w:val="20"/>
                <w:lang w:val="fr-CA"/>
              </w:rPr>
              <w:t>17</w:t>
            </w:r>
            <w:r w:rsidR="00C544E0">
              <w:rPr>
                <w:rFonts w:ascii="Calibri" w:hAnsi="Calibri" w:cs="Arial"/>
                <w:color w:val="000000"/>
                <w:sz w:val="20"/>
                <w:szCs w:val="20"/>
                <w:lang w:val="fr-CA"/>
              </w:rPr>
              <w:t>.</w:t>
            </w:r>
            <w:r w:rsidR="007A1587">
              <w:rPr>
                <w:rFonts w:ascii="Calibri" w:hAnsi="Calibri" w:cs="Arial"/>
                <w:color w:val="000000"/>
                <w:sz w:val="20"/>
                <w:szCs w:val="20"/>
                <w:lang w:val="fr-CA"/>
              </w:rPr>
              <w:t xml:space="preserve"> Mise en place de la traduction des documents et de l’interprétation simultanée à la COP13 pour une langue supplémentaire, c.-à-d. l’arabe</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Theme="minorHAnsi" w:hAnsiTheme="minorHAnsi" w:cs="Arial"/>
                <w:color w:val="000000"/>
                <w:sz w:val="20"/>
                <w:szCs w:val="20"/>
                <w:lang w:val="fr-CA"/>
              </w:rPr>
            </w:pPr>
            <w:r w:rsidRPr="00534C4C">
              <w:rPr>
                <w:rFonts w:ascii="Arial" w:hAnsi="Arial" w:cs="Arial"/>
                <w:color w:val="000000"/>
                <w:sz w:val="22"/>
                <w:szCs w:val="22"/>
                <w:lang w:val="fr-CA"/>
              </w:rPr>
              <w:t> </w:t>
            </w:r>
            <w:r w:rsidR="007A1587" w:rsidRPr="00534C4C">
              <w:rPr>
                <w:rFonts w:asciiTheme="minorHAnsi" w:hAnsiTheme="minorHAnsi" w:cs="Arial"/>
                <w:color w:val="000000"/>
                <w:sz w:val="20"/>
                <w:szCs w:val="20"/>
                <w:lang w:val="fr-CA"/>
              </w:rPr>
              <w:t>250 000</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30</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3.40.</w:t>
            </w:r>
            <w:r w:rsidR="00733655">
              <w:rPr>
                <w:rFonts w:ascii="Calibri" w:hAnsi="Calibri" w:cs="Arial"/>
                <w:color w:val="000000"/>
                <w:sz w:val="20"/>
                <w:szCs w:val="20"/>
                <w:lang w:val="fr-CA"/>
              </w:rPr>
              <w:t xml:space="preserve"> </w:t>
            </w:r>
            <w:r w:rsidR="00624617" w:rsidRPr="00A778BF">
              <w:rPr>
                <w:rFonts w:ascii="Calibri" w:hAnsi="Calibri" w:cs="Arial"/>
                <w:color w:val="000000"/>
                <w:sz w:val="20"/>
                <w:szCs w:val="20"/>
                <w:lang w:val="fr-CA"/>
              </w:rPr>
              <w:t>Continuer de soutenir les Initiatives régionales Ramsar et d’appliquer les Directives opérationnelles 2016-2018 pour les initiatives régionales dans le cadre de la Convention sur les zones humides (approuvées par la Résolution XII.8, Initiatives régionales 2016-2018 fonctionnant dans le cadre de la Convention de Ramsar), pour stimuler un engagement politique accru aux niveaux national et régional et l’application de la Convention.</w:t>
            </w:r>
          </w:p>
        </w:tc>
        <w:tc>
          <w:tcPr>
            <w:tcW w:w="1560" w:type="dxa"/>
            <w:shd w:val="clear" w:color="auto" w:fill="auto"/>
          </w:tcPr>
          <w:p w:rsidR="00073E0C" w:rsidRPr="00A778BF" w:rsidRDefault="006A73E2" w:rsidP="006A73E2">
            <w:pPr>
              <w:rPr>
                <w:rFonts w:ascii="Calibri" w:hAnsi="Calibri" w:cs="Arial"/>
                <w:color w:val="000000"/>
                <w:sz w:val="20"/>
                <w:szCs w:val="20"/>
                <w:lang w:val="fr-CA"/>
              </w:rPr>
            </w:pPr>
            <w:r>
              <w:rPr>
                <w:rFonts w:ascii="Calibri" w:hAnsi="Calibri" w:cs="Arial"/>
                <w:color w:val="000000"/>
                <w:sz w:val="20"/>
                <w:szCs w:val="20"/>
                <w:lang w:val="fr-CA"/>
              </w:rPr>
              <w:t xml:space="preserve">Toutes </w:t>
            </w:r>
            <w:r w:rsidR="00C544E0">
              <w:rPr>
                <w:rFonts w:ascii="Calibri" w:hAnsi="Calibri" w:cs="Arial"/>
                <w:color w:val="000000"/>
                <w:sz w:val="20"/>
                <w:szCs w:val="20"/>
                <w:lang w:val="fr-CA"/>
              </w:rPr>
              <w:t xml:space="preserve">les </w:t>
            </w:r>
            <w:r>
              <w:rPr>
                <w:rFonts w:ascii="Calibri" w:hAnsi="Calibri" w:cs="Arial"/>
                <w:color w:val="000000"/>
                <w:sz w:val="20"/>
                <w:szCs w:val="20"/>
                <w:lang w:val="fr-CA"/>
              </w:rPr>
              <w:t xml:space="preserve">PC et OIP </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73E0C" w:rsidRPr="00A778BF" w:rsidRDefault="006A73E2" w:rsidP="006A73E2">
            <w:pPr>
              <w:rPr>
                <w:rFonts w:ascii="Calibri" w:hAnsi="Calibri" w:cs="Arial"/>
                <w:color w:val="000000"/>
                <w:sz w:val="20"/>
                <w:szCs w:val="20"/>
                <w:lang w:val="fr-CA"/>
              </w:rPr>
            </w:pPr>
            <w:r>
              <w:rPr>
                <w:rFonts w:ascii="Calibri" w:hAnsi="Calibri" w:cs="Arial"/>
                <w:color w:val="000000"/>
                <w:sz w:val="20"/>
                <w:szCs w:val="20"/>
                <w:lang w:val="fr-CA"/>
              </w:rPr>
              <w:t>Coût de la coordination additionnelle d’ateliers</w:t>
            </w:r>
            <w:r w:rsidR="007A1587">
              <w:rPr>
                <w:rFonts w:ascii="Calibri" w:hAnsi="Calibri" w:cs="Arial"/>
                <w:color w:val="000000"/>
                <w:sz w:val="20"/>
                <w:szCs w:val="20"/>
                <w:lang w:val="fr-CA"/>
              </w:rPr>
              <w:t xml:space="preserve"> env.</w:t>
            </w:r>
            <w:r>
              <w:rPr>
                <w:rFonts w:ascii="Calibri" w:hAnsi="Calibri" w:cs="Arial"/>
                <w:color w:val="000000"/>
                <w:sz w:val="20"/>
                <w:szCs w:val="20"/>
                <w:lang w:val="fr-CA"/>
              </w:rPr>
              <w:t xml:space="preserve"> 20 </w:t>
            </w:r>
            <w:r w:rsidR="00073E0C" w:rsidRPr="00A778BF">
              <w:rPr>
                <w:rFonts w:ascii="Calibri" w:hAnsi="Calibri" w:cs="Arial"/>
                <w:color w:val="000000"/>
                <w:sz w:val="20"/>
                <w:szCs w:val="20"/>
                <w:lang w:val="fr-CA"/>
              </w:rPr>
              <w:t>000</w:t>
            </w:r>
            <w:r>
              <w:rPr>
                <w:rFonts w:ascii="Calibri" w:hAnsi="Calibri" w:cs="Arial"/>
                <w:color w:val="000000"/>
                <w:sz w:val="20"/>
                <w:szCs w:val="20"/>
                <w:lang w:val="fr-CA"/>
              </w:rPr>
              <w:t> CHF par an</w:t>
            </w:r>
            <w:r w:rsidR="007A1587">
              <w:rPr>
                <w:rFonts w:ascii="Calibri" w:hAnsi="Calibri" w:cs="Arial"/>
                <w:color w:val="000000"/>
                <w:sz w:val="20"/>
                <w:szCs w:val="20"/>
                <w:lang w:val="fr-CA"/>
              </w:rPr>
              <w:t xml:space="preserve"> à financer sur la ligne budgétaire des initiatives régionales</w:t>
            </w:r>
            <w:r w:rsidR="00C544E0">
              <w:rPr>
                <w:rFonts w:ascii="Calibri" w:hAnsi="Calibri" w:cs="Arial"/>
                <w:color w:val="000000"/>
                <w:sz w:val="20"/>
                <w:szCs w:val="20"/>
                <w:lang w:val="fr-CA"/>
              </w:rPr>
              <w:t>.</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sz w:val="20"/>
                <w:szCs w:val="20"/>
                <w:lang w:val="fr-CA"/>
              </w:rPr>
            </w:pPr>
            <w:r w:rsidRPr="00A778BF">
              <w:rPr>
                <w:rFonts w:ascii="Calibri" w:hAnsi="Calibri" w:cs="Arial"/>
                <w:sz w:val="20"/>
                <w:szCs w:val="20"/>
                <w:lang w:val="fr-CA"/>
              </w:rPr>
              <w:t xml:space="preserve">3.44. </w:t>
            </w:r>
            <w:r w:rsidR="00624617" w:rsidRPr="00A778BF">
              <w:rPr>
                <w:rFonts w:ascii="Calibri" w:hAnsi="Calibri" w:cs="Arial"/>
                <w:color w:val="000000"/>
                <w:sz w:val="20"/>
                <w:szCs w:val="20"/>
                <w:lang w:val="fr-CA"/>
              </w:rPr>
              <w:t>Poursuivre ses travaux avec le Groupe de liaison sur la biodiversité pour renforcer la cohérence et la coopération, poursuivre les efforts d’amélioration de l’efficacité et réduire le recouvrement et le dédoublement inutiles à tous les niveaux pertinents entre les conventions relatives à la biodiversité.</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 xml:space="preserve">Secrétariat Ramsar </w:t>
            </w:r>
            <w:r w:rsidR="006A73E2">
              <w:rPr>
                <w:rFonts w:ascii="Calibri" w:hAnsi="Calibri" w:cs="Arial"/>
                <w:color w:val="000000"/>
                <w:sz w:val="20"/>
                <w:szCs w:val="20"/>
                <w:lang w:val="fr-CA"/>
              </w:rPr>
              <w:br/>
              <w:t>(SG/</w:t>
            </w:r>
            <w:r w:rsidR="00073E0C" w:rsidRPr="00A778BF">
              <w:rPr>
                <w:rFonts w:ascii="Calibri" w:hAnsi="Calibri" w:cs="Arial"/>
                <w:color w:val="000000"/>
                <w:sz w:val="20"/>
                <w:szCs w:val="20"/>
                <w:lang w:val="fr-CA"/>
              </w:rPr>
              <w:t>SG</w:t>
            </w:r>
            <w:r w:rsidR="006A73E2">
              <w:rPr>
                <w:rFonts w:ascii="Calibri" w:hAnsi="Calibri" w:cs="Arial"/>
                <w:color w:val="000000"/>
                <w:sz w:val="20"/>
                <w:szCs w:val="20"/>
                <w:lang w:val="fr-CA"/>
              </w:rPr>
              <w:t>A</w:t>
            </w:r>
            <w:r w:rsidR="00073E0C" w:rsidRPr="00A778BF">
              <w:rPr>
                <w:rFonts w:ascii="Calibri" w:hAnsi="Calibri" w:cs="Arial"/>
                <w:color w:val="000000"/>
                <w:sz w:val="20"/>
                <w:szCs w:val="20"/>
                <w:lang w:val="fr-CA"/>
              </w:rPr>
              <w:t>/Reg)</w:t>
            </w:r>
          </w:p>
        </w:tc>
        <w:tc>
          <w:tcPr>
            <w:tcW w:w="1134" w:type="dxa"/>
            <w:shd w:val="clear" w:color="auto" w:fill="auto"/>
          </w:tcPr>
          <w:p w:rsidR="00073E0C" w:rsidRPr="00A778BF" w:rsidRDefault="006A73E2" w:rsidP="007A1587">
            <w:pPr>
              <w:rPr>
                <w:rFonts w:ascii="Calibri" w:hAnsi="Calibri" w:cs="Arial"/>
                <w:color w:val="000000"/>
                <w:sz w:val="20"/>
                <w:szCs w:val="20"/>
                <w:lang w:val="fr-CA"/>
              </w:rPr>
            </w:pPr>
            <w:r>
              <w:rPr>
                <w:rFonts w:ascii="Calibri" w:hAnsi="Calibri" w:cs="Arial"/>
                <w:color w:val="000000"/>
                <w:sz w:val="20"/>
                <w:szCs w:val="20"/>
                <w:lang w:val="fr-CA"/>
              </w:rPr>
              <w:t xml:space="preserve">Chaque réunion </w:t>
            </w:r>
            <w:r w:rsidR="007A1587">
              <w:rPr>
                <w:rFonts w:ascii="Calibri" w:hAnsi="Calibri" w:cs="Arial"/>
                <w:color w:val="000000"/>
                <w:sz w:val="20"/>
                <w:szCs w:val="20"/>
                <w:lang w:val="fr-CA"/>
              </w:rPr>
              <w:t>du Comité permanent</w:t>
            </w:r>
            <w:r>
              <w:rPr>
                <w:rFonts w:ascii="Calibri" w:hAnsi="Calibri" w:cs="Arial"/>
                <w:color w:val="000000"/>
                <w:sz w:val="20"/>
                <w:szCs w:val="20"/>
                <w:lang w:val="fr-CA"/>
              </w:rPr>
              <w:t xml:space="preserve"> </w:t>
            </w:r>
          </w:p>
        </w:tc>
        <w:tc>
          <w:tcPr>
            <w:tcW w:w="3827" w:type="dxa"/>
            <w:shd w:val="clear" w:color="auto" w:fill="auto"/>
          </w:tcPr>
          <w:p w:rsidR="00073E0C" w:rsidRPr="00A778BF" w:rsidRDefault="006A73E2" w:rsidP="007A1587">
            <w:pPr>
              <w:rPr>
                <w:rFonts w:ascii="Calibri" w:hAnsi="Calibri" w:cs="Arial"/>
                <w:color w:val="000000"/>
                <w:sz w:val="20"/>
                <w:szCs w:val="20"/>
                <w:lang w:val="fr-CA"/>
              </w:rPr>
            </w:pPr>
            <w:r>
              <w:rPr>
                <w:rFonts w:ascii="Calibri" w:hAnsi="Calibri" w:cs="Arial"/>
                <w:color w:val="000000"/>
                <w:sz w:val="20"/>
                <w:szCs w:val="20"/>
                <w:lang w:val="fr-CA"/>
              </w:rPr>
              <w:t>Budget de voyage pour aider à la présence à la réunion</w:t>
            </w:r>
            <w:r w:rsidR="007A1587">
              <w:rPr>
                <w:rFonts w:ascii="Calibri" w:hAnsi="Calibri" w:cs="Arial"/>
                <w:color w:val="000000"/>
                <w:sz w:val="20"/>
                <w:szCs w:val="20"/>
                <w:lang w:val="fr-CA"/>
              </w:rPr>
              <w:t xml:space="preserve"> (utilisation de la téléconférence dans toute la mesure du possible)</w:t>
            </w:r>
            <w:r w:rsidR="00C544E0">
              <w:rPr>
                <w:rFonts w:ascii="Calibri" w:hAnsi="Calibri" w:cs="Arial"/>
                <w:color w:val="000000"/>
                <w:sz w:val="20"/>
                <w:szCs w:val="20"/>
                <w:lang w:val="fr-CA"/>
              </w:rPr>
              <w:t>.</w:t>
            </w:r>
            <w:r>
              <w:rPr>
                <w:rFonts w:ascii="Calibri" w:hAnsi="Calibri" w:cs="Arial"/>
                <w:color w:val="000000"/>
                <w:sz w:val="20"/>
                <w:szCs w:val="20"/>
                <w:lang w:val="fr-CA"/>
              </w:rPr>
              <w:t xml:space="preserve"> </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p>
        </w:tc>
      </w:tr>
      <w:tr w:rsidR="00073E0C" w:rsidRPr="007825EC" w:rsidTr="00534C4C">
        <w:trPr>
          <w:cantSplit/>
        </w:trPr>
        <w:tc>
          <w:tcPr>
            <w:tcW w:w="4253" w:type="dxa"/>
            <w:shd w:val="clear" w:color="auto" w:fill="auto"/>
          </w:tcPr>
          <w:p w:rsidR="00073E0C" w:rsidRPr="00A778BF" w:rsidRDefault="00073E0C" w:rsidP="00624617">
            <w:pPr>
              <w:rPr>
                <w:rFonts w:ascii="Calibri" w:hAnsi="Calibri" w:cs="Arial"/>
                <w:sz w:val="20"/>
                <w:szCs w:val="20"/>
                <w:lang w:val="fr-CA"/>
              </w:rPr>
            </w:pPr>
            <w:r w:rsidRPr="00A778BF">
              <w:rPr>
                <w:rFonts w:ascii="Calibri" w:hAnsi="Calibri" w:cs="Arial"/>
                <w:sz w:val="20"/>
                <w:szCs w:val="20"/>
                <w:lang w:val="fr-CA"/>
              </w:rPr>
              <w:t xml:space="preserve">3.45. </w:t>
            </w:r>
            <w:r w:rsidR="00624617" w:rsidRPr="00A778BF">
              <w:rPr>
                <w:rFonts w:ascii="Calibri" w:hAnsi="Calibri" w:cs="Arial"/>
                <w:sz w:val="20"/>
                <w:szCs w:val="20"/>
                <w:lang w:val="fr-CA"/>
              </w:rPr>
              <w:t>Collaborer avec le PNUE à l’application de leur protocole de coopération et de faire rapport au Comité permanent sur les progrès des activités concernées.</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br/>
              <w:t>(Part)</w:t>
            </w:r>
          </w:p>
        </w:tc>
        <w:tc>
          <w:tcPr>
            <w:tcW w:w="1134" w:type="dxa"/>
            <w:shd w:val="clear" w:color="auto" w:fill="auto"/>
          </w:tcPr>
          <w:p w:rsidR="00073E0C" w:rsidRPr="00A778BF" w:rsidRDefault="006A73E2" w:rsidP="006B5FCE">
            <w:pPr>
              <w:rPr>
                <w:rFonts w:ascii="Calibri" w:hAnsi="Calibri" w:cs="Arial"/>
                <w:color w:val="000000"/>
                <w:sz w:val="20"/>
                <w:szCs w:val="20"/>
                <w:lang w:val="fr-CA"/>
              </w:rPr>
            </w:pPr>
            <w:r>
              <w:rPr>
                <w:rFonts w:ascii="Calibri" w:hAnsi="Calibri" w:cs="Arial"/>
                <w:color w:val="000000"/>
                <w:sz w:val="20"/>
                <w:szCs w:val="20"/>
                <w:lang w:val="fr-CA"/>
              </w:rPr>
              <w:t xml:space="preserve">Chaque réunion </w:t>
            </w:r>
            <w:r w:rsidR="007A1587">
              <w:rPr>
                <w:rFonts w:ascii="Calibri" w:hAnsi="Calibri" w:cs="Arial"/>
                <w:color w:val="000000"/>
                <w:sz w:val="20"/>
                <w:szCs w:val="20"/>
                <w:lang w:val="fr-CA"/>
              </w:rPr>
              <w:t>du Comité permanent</w:t>
            </w:r>
          </w:p>
        </w:tc>
        <w:tc>
          <w:tcPr>
            <w:tcW w:w="3827" w:type="dxa"/>
            <w:shd w:val="clear" w:color="auto" w:fill="auto"/>
          </w:tcPr>
          <w:p w:rsidR="00073E0C" w:rsidRPr="00A778BF" w:rsidRDefault="006A73E2" w:rsidP="007A1587">
            <w:pPr>
              <w:rPr>
                <w:rFonts w:ascii="Calibri" w:hAnsi="Calibri" w:cs="Arial"/>
                <w:color w:val="000000"/>
                <w:sz w:val="20"/>
                <w:szCs w:val="20"/>
                <w:lang w:val="fr-CA"/>
              </w:rPr>
            </w:pPr>
            <w:r>
              <w:rPr>
                <w:rFonts w:ascii="Calibri" w:hAnsi="Calibri" w:cs="Arial"/>
                <w:color w:val="000000"/>
                <w:sz w:val="20"/>
                <w:szCs w:val="20"/>
                <w:lang w:val="fr-CA"/>
              </w:rPr>
              <w:t xml:space="preserve">Application </w:t>
            </w:r>
            <w:r w:rsidR="007A1587">
              <w:rPr>
                <w:rFonts w:ascii="Calibri" w:hAnsi="Calibri" w:cs="Arial"/>
                <w:color w:val="000000"/>
                <w:sz w:val="20"/>
                <w:szCs w:val="20"/>
                <w:lang w:val="fr-CA"/>
              </w:rPr>
              <w:t>au titre</w:t>
            </w:r>
            <w:r>
              <w:rPr>
                <w:rFonts w:ascii="Calibri" w:hAnsi="Calibri" w:cs="Arial"/>
                <w:color w:val="000000"/>
                <w:sz w:val="20"/>
                <w:szCs w:val="20"/>
                <w:lang w:val="fr-CA"/>
              </w:rPr>
              <w:t xml:space="preserve"> du mémorandum d’accord</w:t>
            </w:r>
            <w:r w:rsidR="007A1587">
              <w:rPr>
                <w:rFonts w:ascii="Calibri" w:hAnsi="Calibri" w:cs="Arial"/>
                <w:color w:val="000000"/>
                <w:sz w:val="20"/>
                <w:szCs w:val="20"/>
                <w:lang w:val="fr-CA"/>
              </w:rPr>
              <w:t xml:space="preserve"> dans le cadre des activités en cours</w:t>
            </w:r>
            <w:r w:rsidR="00C544E0">
              <w:rPr>
                <w:rFonts w:ascii="Calibri" w:hAnsi="Calibri" w:cs="Arial"/>
                <w:color w:val="000000"/>
                <w:sz w:val="20"/>
                <w:szCs w:val="20"/>
                <w:lang w:val="fr-CA"/>
              </w:rPr>
              <w:t>.</w:t>
            </w:r>
            <w:r>
              <w:rPr>
                <w:rFonts w:ascii="Calibri" w:hAnsi="Calibri" w:cs="Arial"/>
                <w:color w:val="000000"/>
                <w:sz w:val="20"/>
                <w:szCs w:val="20"/>
                <w:lang w:val="fr-CA"/>
              </w:rPr>
              <w:t xml:space="preserve"> </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p>
        </w:tc>
      </w:tr>
      <w:tr w:rsidR="00073E0C" w:rsidRPr="00A778BF" w:rsidTr="00534C4C">
        <w:trPr>
          <w:cantSplit/>
        </w:trPr>
        <w:tc>
          <w:tcPr>
            <w:tcW w:w="4253" w:type="dxa"/>
            <w:shd w:val="clear" w:color="auto" w:fill="auto"/>
          </w:tcPr>
          <w:p w:rsidR="00073E0C" w:rsidRPr="00A778BF" w:rsidRDefault="00073E0C" w:rsidP="00624617">
            <w:pPr>
              <w:rPr>
                <w:rFonts w:ascii="Calibri" w:hAnsi="Calibri" w:cs="Arial"/>
                <w:sz w:val="20"/>
                <w:szCs w:val="20"/>
                <w:lang w:val="fr-CA"/>
              </w:rPr>
            </w:pPr>
            <w:r w:rsidRPr="00A778BF">
              <w:rPr>
                <w:rFonts w:ascii="Calibri" w:hAnsi="Calibri" w:cs="Arial"/>
                <w:sz w:val="20"/>
                <w:szCs w:val="20"/>
                <w:lang w:val="fr-CA"/>
              </w:rPr>
              <w:t xml:space="preserve">3.47. </w:t>
            </w:r>
            <w:r w:rsidR="00624617" w:rsidRPr="00A778BF">
              <w:rPr>
                <w:rFonts w:ascii="Calibri" w:hAnsi="Calibri" w:cs="Arial"/>
                <w:sz w:val="20"/>
                <w:szCs w:val="20"/>
                <w:lang w:val="fr-CA"/>
              </w:rPr>
              <w:t>Dans le cadre du Plan de travail conjoint entre la CDB et la Convention de Ramsar, de continuer de collaborer afin de promouvoir la sensibilisation aux solutions de gestion de l’eau fondées sur les écosystèmes et le renforcement des capacités à cet effet, pour contribuer au développement durable, conformément à la décision XI/23 de la CDB</w:t>
            </w:r>
            <w:r w:rsidR="00C544E0">
              <w:rPr>
                <w:rFonts w:ascii="Calibri" w:hAnsi="Calibri" w:cs="Arial"/>
                <w:sz w:val="20"/>
                <w:szCs w:val="20"/>
                <w:lang w:val="fr-CA"/>
              </w:rPr>
              <w:t>.</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 xml:space="preserve">Secrétariat </w:t>
            </w:r>
            <w:r w:rsidR="007A7516">
              <w:rPr>
                <w:rFonts w:ascii="Calibri" w:hAnsi="Calibri" w:cs="Arial"/>
                <w:color w:val="000000"/>
                <w:sz w:val="20"/>
                <w:szCs w:val="20"/>
                <w:lang w:val="fr-CA"/>
              </w:rPr>
              <w:t xml:space="preserve">Ramsar </w:t>
            </w:r>
            <w:r w:rsidR="00073E0C" w:rsidRPr="00A778BF">
              <w:rPr>
                <w:rFonts w:ascii="Calibri" w:hAnsi="Calibri" w:cs="Arial"/>
                <w:color w:val="000000"/>
                <w:sz w:val="20"/>
                <w:szCs w:val="20"/>
                <w:lang w:val="fr-CA"/>
              </w:rPr>
              <w:br/>
              <w:t>(Part/Reg)</w:t>
            </w:r>
          </w:p>
        </w:tc>
        <w:tc>
          <w:tcPr>
            <w:tcW w:w="1134" w:type="dxa"/>
            <w:shd w:val="clear" w:color="auto" w:fill="auto"/>
          </w:tcPr>
          <w:p w:rsidR="00073E0C" w:rsidRPr="00A778BF" w:rsidRDefault="00073E0C" w:rsidP="008D7607">
            <w:pPr>
              <w:rPr>
                <w:rFonts w:ascii="Calibri" w:hAnsi="Calibri" w:cs="Arial"/>
                <w:color w:val="000000"/>
                <w:sz w:val="20"/>
                <w:szCs w:val="20"/>
                <w:lang w:val="fr-CA"/>
              </w:rPr>
            </w:pPr>
            <w:r w:rsidRPr="00A778BF">
              <w:rPr>
                <w:rFonts w:ascii="Calibri" w:hAnsi="Calibri" w:cs="Arial"/>
                <w:color w:val="000000"/>
                <w:sz w:val="20"/>
                <w:szCs w:val="20"/>
                <w:lang w:val="fr-CA"/>
              </w:rPr>
              <w:t>D</w:t>
            </w:r>
            <w:r w:rsidR="007A7516">
              <w:rPr>
                <w:rFonts w:ascii="Calibri" w:hAnsi="Calibri" w:cs="Arial"/>
                <w:color w:val="000000"/>
                <w:sz w:val="20"/>
                <w:szCs w:val="20"/>
                <w:lang w:val="fr-CA"/>
              </w:rPr>
              <w:t>é</w:t>
            </w:r>
            <w:r w:rsidRPr="00A778BF">
              <w:rPr>
                <w:rFonts w:ascii="Calibri" w:hAnsi="Calibri" w:cs="Arial"/>
                <w:color w:val="000000"/>
                <w:sz w:val="20"/>
                <w:szCs w:val="20"/>
                <w:lang w:val="fr-CA"/>
              </w:rPr>
              <w:t>c</w:t>
            </w:r>
            <w:r w:rsidR="007A7516">
              <w:rPr>
                <w:rFonts w:ascii="Calibri" w:hAnsi="Calibri" w:cs="Arial"/>
                <w:color w:val="000000"/>
                <w:sz w:val="20"/>
                <w:szCs w:val="20"/>
                <w:lang w:val="fr-CA"/>
              </w:rPr>
              <w:t>embre</w:t>
            </w:r>
            <w:r w:rsidR="008D7607">
              <w:rPr>
                <w:rFonts w:ascii="Calibri" w:hAnsi="Calibri" w:cs="Arial"/>
                <w:color w:val="000000"/>
                <w:sz w:val="20"/>
                <w:szCs w:val="20"/>
                <w:lang w:val="fr-CA"/>
              </w:rPr>
              <w:t xml:space="preserve"> 20</w:t>
            </w:r>
            <w:r w:rsidRPr="00A778BF">
              <w:rPr>
                <w:rFonts w:ascii="Calibri" w:hAnsi="Calibri" w:cs="Arial"/>
                <w:color w:val="000000"/>
                <w:sz w:val="20"/>
                <w:szCs w:val="20"/>
                <w:lang w:val="fr-CA"/>
              </w:rPr>
              <w:t>16</w:t>
            </w:r>
          </w:p>
        </w:tc>
        <w:tc>
          <w:tcPr>
            <w:tcW w:w="3827" w:type="dxa"/>
            <w:shd w:val="clear" w:color="auto" w:fill="auto"/>
          </w:tcPr>
          <w:p w:rsidR="00073E0C" w:rsidRPr="00A778BF" w:rsidRDefault="00334B93" w:rsidP="00334B93">
            <w:pPr>
              <w:rPr>
                <w:rFonts w:ascii="Calibri" w:hAnsi="Calibri" w:cs="Arial"/>
                <w:color w:val="000000"/>
                <w:sz w:val="20"/>
                <w:szCs w:val="20"/>
                <w:lang w:val="fr-CA"/>
              </w:rPr>
            </w:pPr>
            <w:r>
              <w:rPr>
                <w:rFonts w:ascii="Calibri" w:hAnsi="Calibri" w:cs="Arial"/>
                <w:color w:val="000000"/>
                <w:sz w:val="20"/>
                <w:szCs w:val="20"/>
                <w:lang w:val="fr-CA"/>
              </w:rPr>
              <w:t>Soutenir les activités dans le cadre du Plan de travail conjoint et l’organisation d’une activité parallèle sur la Convention de Ramsar à la prochaine COP de la CDB</w:t>
            </w:r>
            <w:r w:rsidR="00C544E0">
              <w:rPr>
                <w:rFonts w:ascii="Calibri" w:hAnsi="Calibri" w:cs="Arial"/>
                <w:color w:val="000000"/>
                <w:sz w:val="20"/>
                <w:szCs w:val="20"/>
                <w:lang w:val="fr-CA"/>
              </w:rPr>
              <w:t>.</w:t>
            </w:r>
            <w:r>
              <w:rPr>
                <w:rFonts w:ascii="Calibri" w:hAnsi="Calibri" w:cs="Arial"/>
                <w:color w:val="000000"/>
                <w:sz w:val="20"/>
                <w:szCs w:val="20"/>
                <w:lang w:val="fr-CA"/>
              </w:rPr>
              <w:t xml:space="preserve"> </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D61062"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2</w:t>
            </w:r>
            <w:r w:rsidR="00073E0C" w:rsidRPr="00534C4C">
              <w:rPr>
                <w:rFonts w:ascii="Calibri" w:hAnsi="Calibri" w:cs="Arial"/>
                <w:color w:val="000000"/>
                <w:sz w:val="20"/>
                <w:szCs w:val="20"/>
                <w:lang w:val="fr-CA"/>
              </w:rPr>
              <w:t>0</w:t>
            </w:r>
            <w:r w:rsidR="00E10389" w:rsidRPr="00534C4C">
              <w:rPr>
                <w:rFonts w:ascii="Calibri" w:hAnsi="Calibri" w:cs="Arial"/>
                <w:color w:val="000000"/>
                <w:sz w:val="20"/>
                <w:szCs w:val="20"/>
                <w:lang w:val="fr-CA"/>
              </w:rPr>
              <w:t xml:space="preserve"> </w:t>
            </w:r>
            <w:r w:rsidR="00073E0C" w:rsidRPr="00534C4C">
              <w:rPr>
                <w:rFonts w:ascii="Calibri" w:hAnsi="Calibri" w:cs="Arial"/>
                <w:color w:val="000000"/>
                <w:sz w:val="20"/>
                <w:szCs w:val="20"/>
                <w:lang w:val="fr-CA"/>
              </w:rPr>
              <w:t>000</w:t>
            </w:r>
          </w:p>
        </w:tc>
      </w:tr>
      <w:tr w:rsidR="00073E0C" w:rsidRPr="00A778BF" w:rsidTr="00534C4C">
        <w:trPr>
          <w:cantSplit/>
        </w:trPr>
        <w:tc>
          <w:tcPr>
            <w:tcW w:w="4253" w:type="dxa"/>
            <w:shd w:val="clear" w:color="auto" w:fill="auto"/>
          </w:tcPr>
          <w:p w:rsidR="00073E0C" w:rsidRPr="00A778BF" w:rsidRDefault="00073E0C" w:rsidP="0061532D">
            <w:pPr>
              <w:rPr>
                <w:rFonts w:ascii="Calibri" w:hAnsi="Calibri" w:cs="Arial"/>
                <w:sz w:val="20"/>
                <w:szCs w:val="20"/>
                <w:lang w:val="fr-CA"/>
              </w:rPr>
            </w:pPr>
            <w:r w:rsidRPr="00A778BF">
              <w:rPr>
                <w:rFonts w:ascii="Calibri" w:hAnsi="Calibri" w:cs="Arial"/>
                <w:sz w:val="20"/>
                <w:szCs w:val="20"/>
                <w:lang w:val="fr-CA"/>
              </w:rPr>
              <w:lastRenderedPageBreak/>
              <w:t xml:space="preserve">3.50. </w:t>
            </w:r>
            <w:r w:rsidR="00DF1044" w:rsidRPr="00A778BF">
              <w:rPr>
                <w:rFonts w:ascii="Calibri" w:hAnsi="Calibri" w:cs="Arial"/>
                <w:color w:val="000000"/>
                <w:sz w:val="20"/>
                <w:szCs w:val="20"/>
                <w:lang w:val="fr-CA"/>
              </w:rPr>
              <w:t xml:space="preserve">Mettre </w:t>
            </w:r>
            <w:r w:rsidR="00624617" w:rsidRPr="00A778BF">
              <w:rPr>
                <w:rFonts w:ascii="Calibri" w:hAnsi="Calibri" w:cs="Arial"/>
                <w:color w:val="000000"/>
                <w:sz w:val="20"/>
                <w:szCs w:val="20"/>
                <w:lang w:val="fr-CA"/>
              </w:rPr>
              <w:t xml:space="preserve">en œuvre le Cadre conceptuel pour l’utilisation rationnelle des zones humides (annexe A de la Résolution IX.1), le Cadre intégré pour les orientations de la Convention de Ramsar relatives à l’eau (annexe C de la Résolution IX.1) et la Résolution XI.21, </w:t>
            </w:r>
            <w:r w:rsidR="00624617" w:rsidRPr="0061532D">
              <w:rPr>
                <w:rFonts w:ascii="Calibri" w:hAnsi="Calibri" w:cs="Arial"/>
                <w:i/>
                <w:color w:val="000000"/>
                <w:sz w:val="20"/>
                <w:szCs w:val="20"/>
                <w:lang w:val="fr-CA"/>
              </w:rPr>
              <w:t>Les zones humides et le développement durable</w:t>
            </w:r>
            <w:r w:rsidR="00624617" w:rsidRPr="00A778BF">
              <w:rPr>
                <w:rFonts w:ascii="Calibri" w:hAnsi="Calibri" w:cs="Arial"/>
                <w:color w:val="000000"/>
                <w:sz w:val="20"/>
                <w:szCs w:val="20"/>
                <w:lang w:val="fr-CA"/>
              </w:rPr>
              <w:t xml:space="preserve"> </w:t>
            </w:r>
            <w:r w:rsidR="0061532D" w:rsidRPr="00D61062">
              <w:rPr>
                <w:rFonts w:ascii="Calibri" w:hAnsi="Calibri" w:cs="Arial"/>
                <w:color w:val="000000"/>
                <w:sz w:val="20"/>
                <w:szCs w:val="20"/>
                <w:lang w:val="fr-CA"/>
              </w:rPr>
              <w:t>dans le cadre du Fonds de petites subventions pour la protection et l’utilisation rationnelle des zones humides</w:t>
            </w:r>
            <w:r w:rsidR="00C544E0">
              <w:rPr>
                <w:rFonts w:ascii="Calibri" w:hAnsi="Calibri" w:cs="Arial"/>
                <w:color w:val="000000"/>
                <w:sz w:val="20"/>
                <w:szCs w:val="20"/>
                <w:lang w:val="fr-CA"/>
              </w:rPr>
              <w:t>.</w:t>
            </w:r>
          </w:p>
        </w:tc>
        <w:tc>
          <w:tcPr>
            <w:tcW w:w="1560" w:type="dxa"/>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Toutes les PC</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73E0C" w:rsidRPr="00A778BF" w:rsidRDefault="00334B93" w:rsidP="00334B93">
            <w:pPr>
              <w:rPr>
                <w:rFonts w:ascii="Calibri" w:hAnsi="Calibri" w:cs="Arial"/>
                <w:color w:val="000000"/>
                <w:sz w:val="20"/>
                <w:szCs w:val="20"/>
                <w:lang w:val="fr-CA"/>
              </w:rPr>
            </w:pPr>
            <w:r>
              <w:rPr>
                <w:rFonts w:ascii="Calibri" w:hAnsi="Calibri" w:cs="Arial"/>
                <w:color w:val="000000"/>
                <w:sz w:val="20"/>
                <w:szCs w:val="20"/>
                <w:lang w:val="fr-CA"/>
              </w:rPr>
              <w:t>Comprend les partenaires et autres acteurs intéressés</w:t>
            </w:r>
            <w:r w:rsidR="00C544E0">
              <w:rPr>
                <w:rFonts w:ascii="Calibri" w:hAnsi="Calibri" w:cs="Arial"/>
                <w:color w:val="000000"/>
                <w:sz w:val="20"/>
                <w:szCs w:val="20"/>
                <w:lang w:val="fr-CA"/>
              </w:rPr>
              <w:t>.</w:t>
            </w:r>
            <w:r>
              <w:rPr>
                <w:rFonts w:ascii="Calibri" w:hAnsi="Calibri" w:cs="Arial"/>
                <w:color w:val="000000"/>
                <w:sz w:val="20"/>
                <w:szCs w:val="20"/>
                <w:lang w:val="fr-CA"/>
              </w:rPr>
              <w:t xml:space="preserve"> </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1</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3.52.</w:t>
            </w:r>
            <w:r w:rsidR="00733655">
              <w:rPr>
                <w:rFonts w:ascii="Calibri" w:hAnsi="Calibri" w:cs="Arial"/>
                <w:color w:val="000000"/>
                <w:sz w:val="20"/>
                <w:szCs w:val="20"/>
                <w:lang w:val="fr-CA"/>
              </w:rPr>
              <w:t xml:space="preserve"> </w:t>
            </w:r>
            <w:r w:rsidR="00DF1044" w:rsidRPr="00A778BF">
              <w:rPr>
                <w:rFonts w:ascii="Calibri" w:hAnsi="Calibri" w:cs="Arial"/>
                <w:color w:val="000000"/>
                <w:sz w:val="20"/>
                <w:szCs w:val="20"/>
                <w:lang w:val="fr-CA"/>
              </w:rPr>
              <w:t>Contribuer pour les questions relatives aux zones humides, à tout cadre éventuel de suivi et d’indicateurs pour les Objectifs de développement durable, leurs buts et objectifs pertinents</w:t>
            </w:r>
            <w:r w:rsidR="00C544E0">
              <w:rPr>
                <w:rFonts w:ascii="Calibri" w:hAnsi="Calibri" w:cs="Arial"/>
                <w:color w:val="000000"/>
                <w:sz w:val="20"/>
                <w:szCs w:val="20"/>
                <w:lang w:val="fr-CA"/>
              </w:rPr>
              <w:t>.</w:t>
            </w:r>
          </w:p>
        </w:tc>
        <w:tc>
          <w:tcPr>
            <w:tcW w:w="1560" w:type="dxa"/>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GEST</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73E0C" w:rsidRPr="00A778BF" w:rsidRDefault="00D61062" w:rsidP="00D61062">
            <w:pPr>
              <w:rPr>
                <w:rFonts w:ascii="Calibri" w:hAnsi="Calibri" w:cs="Arial"/>
                <w:color w:val="000000"/>
                <w:sz w:val="20"/>
                <w:szCs w:val="20"/>
                <w:lang w:val="fr-CA"/>
              </w:rPr>
            </w:pPr>
            <w:r>
              <w:rPr>
                <w:rFonts w:ascii="Calibri" w:hAnsi="Calibri" w:cs="Arial"/>
                <w:color w:val="000000"/>
                <w:sz w:val="20"/>
                <w:szCs w:val="20"/>
                <w:lang w:val="fr-CA"/>
              </w:rPr>
              <w:t>P</w:t>
            </w:r>
            <w:r w:rsidR="00334B93">
              <w:rPr>
                <w:rFonts w:ascii="Calibri" w:hAnsi="Calibri" w:cs="Arial"/>
                <w:color w:val="000000"/>
                <w:sz w:val="20"/>
                <w:szCs w:val="20"/>
                <w:lang w:val="fr-CA"/>
              </w:rPr>
              <w:t>articipation</w:t>
            </w:r>
            <w:r>
              <w:rPr>
                <w:rFonts w:ascii="Calibri" w:hAnsi="Calibri" w:cs="Arial"/>
                <w:color w:val="000000"/>
                <w:sz w:val="20"/>
                <w:szCs w:val="20"/>
                <w:lang w:val="fr-CA"/>
              </w:rPr>
              <w:t xml:space="preserve"> permanente</w:t>
            </w:r>
            <w:r w:rsidR="00334B93">
              <w:rPr>
                <w:rFonts w:ascii="Calibri" w:hAnsi="Calibri" w:cs="Arial"/>
                <w:color w:val="000000"/>
                <w:sz w:val="20"/>
                <w:szCs w:val="20"/>
                <w:lang w:val="fr-CA"/>
              </w:rPr>
              <w:t xml:space="preserve"> du GEST à l’élaboration des indicateurs,</w:t>
            </w:r>
            <w:r>
              <w:rPr>
                <w:rFonts w:ascii="Calibri" w:hAnsi="Calibri" w:cs="Arial"/>
                <w:color w:val="000000"/>
                <w:sz w:val="20"/>
                <w:szCs w:val="20"/>
                <w:lang w:val="fr-CA"/>
              </w:rPr>
              <w:t xml:space="preserve"> et aux groupes de travail pertinents, dans le cadre des activités en cours</w:t>
            </w:r>
            <w:r w:rsidR="00C544E0">
              <w:rPr>
                <w:rFonts w:ascii="Calibri" w:hAnsi="Calibri" w:cs="Arial"/>
                <w:color w:val="000000"/>
                <w:sz w:val="20"/>
                <w:szCs w:val="20"/>
                <w:lang w:val="fr-CA"/>
              </w:rPr>
              <w:t>.</w:t>
            </w:r>
            <w:r w:rsidR="00334B93">
              <w:rPr>
                <w:rFonts w:ascii="Calibri" w:hAnsi="Calibri" w:cs="Arial"/>
                <w:color w:val="000000"/>
                <w:sz w:val="20"/>
                <w:szCs w:val="20"/>
                <w:lang w:val="fr-CA"/>
              </w:rPr>
              <w:t xml:space="preserve"> </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p>
        </w:tc>
      </w:tr>
      <w:tr w:rsidR="00073E0C" w:rsidRPr="007825EC" w:rsidTr="00534C4C">
        <w:trPr>
          <w:cantSplit/>
        </w:trPr>
        <w:tc>
          <w:tcPr>
            <w:tcW w:w="4253" w:type="dxa"/>
            <w:shd w:val="clear" w:color="auto" w:fill="auto"/>
          </w:tcPr>
          <w:p w:rsidR="00073E0C" w:rsidRPr="00A778BF" w:rsidRDefault="00073E0C" w:rsidP="00DF1044">
            <w:pPr>
              <w:rPr>
                <w:rFonts w:ascii="Calibri" w:hAnsi="Calibri" w:cs="Arial"/>
                <w:color w:val="000000"/>
                <w:sz w:val="20"/>
                <w:szCs w:val="20"/>
                <w:lang w:val="fr-CA"/>
              </w:rPr>
            </w:pPr>
            <w:r w:rsidRPr="00A778BF">
              <w:rPr>
                <w:rFonts w:ascii="Calibri" w:hAnsi="Calibri" w:cs="Arial"/>
                <w:color w:val="000000"/>
                <w:sz w:val="20"/>
                <w:szCs w:val="20"/>
                <w:lang w:val="fr-CA"/>
              </w:rPr>
              <w:t xml:space="preserve">3.53. </w:t>
            </w:r>
            <w:r w:rsidR="00DF1044" w:rsidRPr="00A778BF">
              <w:rPr>
                <w:rFonts w:ascii="Calibri" w:hAnsi="Calibri" w:cs="Arial"/>
                <w:color w:val="000000"/>
                <w:sz w:val="20"/>
                <w:szCs w:val="20"/>
                <w:lang w:val="fr-CA"/>
              </w:rPr>
              <w:t>Estimer le coût des possibilités de collaboration avec les différents partenaires (p.</w:t>
            </w:r>
            <w:r w:rsidR="00E858A1">
              <w:rPr>
                <w:rFonts w:ascii="Calibri" w:hAnsi="Calibri" w:cs="Arial"/>
                <w:color w:val="000000"/>
                <w:sz w:val="20"/>
                <w:szCs w:val="20"/>
                <w:lang w:val="fr-CA"/>
              </w:rPr>
              <w:t> </w:t>
            </w:r>
            <w:r w:rsidR="00DF1044" w:rsidRPr="00A778BF">
              <w:rPr>
                <w:rFonts w:ascii="Calibri" w:hAnsi="Calibri" w:cs="Arial"/>
                <w:color w:val="000000"/>
                <w:sz w:val="20"/>
                <w:szCs w:val="20"/>
                <w:lang w:val="fr-CA"/>
              </w:rPr>
              <w:t>ex. le PNUE-GRID) et de renforcement de l’accès des Parties à ce type de données et outils de suivi.</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w:t>
            </w:r>
            <w:r w:rsidR="00334B93">
              <w:rPr>
                <w:rFonts w:ascii="Calibri" w:hAnsi="Calibri" w:cs="Arial"/>
                <w:color w:val="000000"/>
                <w:sz w:val="20"/>
                <w:szCs w:val="20"/>
                <w:lang w:val="fr-CA"/>
              </w:rPr>
              <w:br/>
            </w:r>
            <w:r w:rsidR="00073E0C" w:rsidRPr="00A778BF">
              <w:rPr>
                <w:rFonts w:ascii="Calibri" w:hAnsi="Calibri" w:cs="Arial"/>
                <w:color w:val="000000"/>
                <w:sz w:val="20"/>
                <w:szCs w:val="20"/>
                <w:lang w:val="fr-CA"/>
              </w:rPr>
              <w:t>(Part)</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73E0C" w:rsidRPr="00A778BF" w:rsidRDefault="00D61062" w:rsidP="00D61062">
            <w:pPr>
              <w:rPr>
                <w:rFonts w:ascii="Calibri" w:hAnsi="Calibri" w:cs="Arial"/>
                <w:color w:val="000000"/>
                <w:sz w:val="20"/>
                <w:szCs w:val="20"/>
                <w:lang w:val="fr-CA"/>
              </w:rPr>
            </w:pPr>
            <w:r>
              <w:rPr>
                <w:rFonts w:ascii="Calibri" w:hAnsi="Calibri" w:cs="Arial"/>
                <w:color w:val="000000"/>
                <w:sz w:val="20"/>
                <w:szCs w:val="20"/>
                <w:lang w:val="fr-CA"/>
              </w:rPr>
              <w:t>Mise au point permanente</w:t>
            </w:r>
            <w:r w:rsidR="00334B93">
              <w:rPr>
                <w:rFonts w:ascii="Calibri" w:hAnsi="Calibri" w:cs="Arial"/>
                <w:color w:val="000000"/>
                <w:sz w:val="20"/>
                <w:szCs w:val="20"/>
                <w:lang w:val="fr-CA"/>
              </w:rPr>
              <w:t xml:space="preserve"> d’outils de suivi</w:t>
            </w:r>
            <w:r>
              <w:rPr>
                <w:rFonts w:ascii="Calibri" w:hAnsi="Calibri" w:cs="Arial"/>
                <w:color w:val="000000"/>
                <w:sz w:val="20"/>
                <w:szCs w:val="20"/>
                <w:lang w:val="fr-CA"/>
              </w:rPr>
              <w:t xml:space="preserve">; </w:t>
            </w:r>
            <w:r w:rsidR="00334B93">
              <w:rPr>
                <w:rFonts w:ascii="Calibri" w:hAnsi="Calibri" w:cs="Arial"/>
                <w:color w:val="000000"/>
                <w:sz w:val="20"/>
                <w:szCs w:val="20"/>
                <w:lang w:val="fr-CA"/>
              </w:rPr>
              <w:t>permett</w:t>
            </w:r>
            <w:r>
              <w:rPr>
                <w:rFonts w:ascii="Calibri" w:hAnsi="Calibri" w:cs="Arial"/>
                <w:color w:val="000000"/>
                <w:sz w:val="20"/>
                <w:szCs w:val="20"/>
                <w:lang w:val="fr-CA"/>
              </w:rPr>
              <w:t>re</w:t>
            </w:r>
            <w:r w:rsidR="00334B93">
              <w:rPr>
                <w:rFonts w:ascii="Calibri" w:hAnsi="Calibri" w:cs="Arial"/>
                <w:color w:val="000000"/>
                <w:sz w:val="20"/>
                <w:szCs w:val="20"/>
                <w:lang w:val="fr-CA"/>
              </w:rPr>
              <w:t xml:space="preserve"> aux Parties d’y accéder (y compris travail en cours avec </w:t>
            </w:r>
            <w:r>
              <w:rPr>
                <w:rFonts w:ascii="Calibri" w:hAnsi="Calibri" w:cs="Arial"/>
                <w:color w:val="000000"/>
                <w:sz w:val="20"/>
                <w:szCs w:val="20"/>
                <w:lang w:val="fr-CA"/>
              </w:rPr>
              <w:t>SWOS</w:t>
            </w:r>
            <w:r w:rsidR="00073E0C" w:rsidRPr="00A778BF">
              <w:rPr>
                <w:rFonts w:ascii="Calibri" w:hAnsi="Calibri" w:cs="Arial"/>
                <w:color w:val="000000"/>
                <w:sz w:val="20"/>
                <w:szCs w:val="20"/>
                <w:lang w:val="fr-CA"/>
              </w:rPr>
              <w:t>, GlobWetland Afri</w:t>
            </w:r>
            <w:r w:rsidR="00334B93">
              <w:rPr>
                <w:rFonts w:ascii="Calibri" w:hAnsi="Calibri" w:cs="Arial"/>
                <w:color w:val="000000"/>
                <w:sz w:val="20"/>
                <w:szCs w:val="20"/>
                <w:lang w:val="fr-CA"/>
              </w:rPr>
              <w:t>que</w:t>
            </w:r>
            <w:r w:rsidR="00073E0C" w:rsidRPr="00A778BF">
              <w:rPr>
                <w:rFonts w:ascii="Calibri" w:hAnsi="Calibri" w:cs="Arial"/>
                <w:color w:val="000000"/>
                <w:sz w:val="20"/>
                <w:szCs w:val="20"/>
                <w:lang w:val="fr-CA"/>
              </w:rPr>
              <w:t>, Global Mangrove Watch</w:t>
            </w:r>
            <w:r w:rsidR="00334B93">
              <w:rPr>
                <w:rFonts w:ascii="Calibri" w:hAnsi="Calibri" w:cs="Arial"/>
                <w:color w:val="000000"/>
                <w:sz w:val="20"/>
                <w:szCs w:val="20"/>
                <w:lang w:val="fr-CA"/>
              </w:rPr>
              <w:t>, entre autres</w:t>
            </w:r>
            <w:r w:rsidR="00073E0C" w:rsidRPr="00A778BF">
              <w:rPr>
                <w:rFonts w:ascii="Calibri" w:hAnsi="Calibri" w:cs="Arial"/>
                <w:color w:val="000000"/>
                <w:sz w:val="20"/>
                <w:szCs w:val="20"/>
                <w:lang w:val="fr-CA"/>
              </w:rPr>
              <w:t>)</w:t>
            </w:r>
            <w:r w:rsidR="00C544E0">
              <w:rPr>
                <w:rFonts w:ascii="Calibri" w:hAnsi="Calibri" w:cs="Arial"/>
                <w:color w:val="000000"/>
                <w:sz w:val="20"/>
                <w:szCs w:val="20"/>
                <w:lang w:val="fr-CA"/>
              </w:rPr>
              <w:t>.</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073E0C" w:rsidP="00534C4C">
            <w:pPr>
              <w:jc w:val="right"/>
              <w:rPr>
                <w:rFonts w:ascii="Calibri" w:hAnsi="Calibri" w:cs="Arial"/>
                <w:color w:val="000000"/>
                <w:sz w:val="20"/>
                <w:szCs w:val="20"/>
                <w:lang w:val="fr-CA"/>
              </w:rPr>
            </w:pPr>
          </w:p>
        </w:tc>
      </w:tr>
      <w:tr w:rsidR="00073E0C" w:rsidRPr="00CF24AA" w:rsidTr="00534C4C">
        <w:trPr>
          <w:cantSplit/>
        </w:trPr>
        <w:tc>
          <w:tcPr>
            <w:tcW w:w="4253" w:type="dxa"/>
            <w:shd w:val="clear" w:color="auto" w:fill="auto"/>
          </w:tcPr>
          <w:p w:rsidR="00073E0C" w:rsidRPr="00A778BF" w:rsidRDefault="00073E0C" w:rsidP="00DF1044">
            <w:pPr>
              <w:rPr>
                <w:rFonts w:ascii="Calibri" w:hAnsi="Calibri" w:cs="Arial"/>
                <w:color w:val="000000"/>
                <w:sz w:val="20"/>
                <w:szCs w:val="20"/>
                <w:lang w:val="fr-CA"/>
              </w:rPr>
            </w:pPr>
            <w:r w:rsidRPr="00A778BF">
              <w:rPr>
                <w:rFonts w:ascii="Calibri" w:hAnsi="Calibri" w:cs="Arial"/>
                <w:color w:val="000000"/>
                <w:sz w:val="20"/>
                <w:szCs w:val="20"/>
                <w:lang w:val="fr-CA"/>
              </w:rPr>
              <w:t xml:space="preserve">3.54. </w:t>
            </w:r>
            <w:r w:rsidR="00DF1044" w:rsidRPr="00A778BF">
              <w:rPr>
                <w:rFonts w:ascii="Calibri" w:hAnsi="Calibri" w:cs="Arial"/>
                <w:color w:val="000000"/>
                <w:sz w:val="20"/>
                <w:szCs w:val="20"/>
                <w:lang w:val="fr-CA"/>
              </w:rPr>
              <w:t>Redoubler d’efforts pour intégrer les plans de gestion des zones humides dans les plans de gestion intégrée des ressources en eau et dans les plans d’économie d’eau à l’échelle du bassin, ainsi que dans les plans d’aménagement spatial/d’utilisation des terres.</w:t>
            </w:r>
            <w:r w:rsidRPr="00A778BF">
              <w:rPr>
                <w:rFonts w:ascii="Calibri" w:hAnsi="Calibri" w:cs="Arial"/>
                <w:b/>
                <w:bCs/>
                <w:color w:val="000000"/>
                <w:sz w:val="20"/>
                <w:szCs w:val="20"/>
                <w:lang w:val="fr-CA"/>
              </w:rPr>
              <w:t xml:space="preserve"> {Important </w:t>
            </w:r>
            <w:r w:rsidR="00DF1044" w:rsidRPr="00A778BF">
              <w:rPr>
                <w:rFonts w:ascii="Calibri" w:hAnsi="Calibri" w:cs="Arial"/>
                <w:b/>
                <w:bCs/>
                <w:color w:val="000000"/>
                <w:sz w:val="20"/>
                <w:szCs w:val="20"/>
                <w:lang w:val="fr-CA"/>
              </w:rPr>
              <w:t>pour But stratégique</w:t>
            </w:r>
            <w:r w:rsidRPr="00A778BF">
              <w:rPr>
                <w:rFonts w:ascii="Calibri" w:hAnsi="Calibri" w:cs="Arial"/>
                <w:b/>
                <w:bCs/>
                <w:color w:val="000000"/>
                <w:sz w:val="20"/>
                <w:szCs w:val="20"/>
                <w:lang w:val="fr-CA"/>
              </w:rPr>
              <w:t xml:space="preserve"> 1}</w:t>
            </w:r>
          </w:p>
        </w:tc>
        <w:tc>
          <w:tcPr>
            <w:tcW w:w="1560" w:type="dxa"/>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Toutes les PC</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73E0C" w:rsidRPr="00A778BF" w:rsidRDefault="00A74E3D" w:rsidP="00CF24AA">
            <w:pPr>
              <w:rPr>
                <w:rFonts w:ascii="Calibri" w:hAnsi="Calibri" w:cs="Arial"/>
                <w:color w:val="000000"/>
                <w:sz w:val="20"/>
                <w:szCs w:val="20"/>
                <w:lang w:val="fr-CA"/>
              </w:rPr>
            </w:pPr>
            <w:r>
              <w:rPr>
                <w:rFonts w:ascii="Calibri" w:hAnsi="Calibri" w:cs="Arial"/>
                <w:color w:val="000000"/>
                <w:sz w:val="20"/>
                <w:szCs w:val="20"/>
                <w:lang w:val="fr-CA"/>
              </w:rPr>
              <w:t xml:space="preserve">Élaborer des </w:t>
            </w:r>
            <w:r w:rsidR="00CF24AA">
              <w:rPr>
                <w:rFonts w:ascii="Calibri" w:hAnsi="Calibri" w:cs="Arial"/>
                <w:color w:val="000000"/>
                <w:sz w:val="20"/>
                <w:szCs w:val="20"/>
                <w:lang w:val="fr-CA"/>
              </w:rPr>
              <w:t xml:space="preserve">lignes directrices et des </w:t>
            </w:r>
            <w:r>
              <w:rPr>
                <w:rFonts w:ascii="Calibri" w:hAnsi="Calibri" w:cs="Arial"/>
                <w:color w:val="000000"/>
                <w:sz w:val="20"/>
                <w:szCs w:val="20"/>
                <w:lang w:val="fr-CA"/>
              </w:rPr>
              <w:t xml:space="preserve">projets avec les commissions de bassins hydrographiques pour renforcer l’intégration des plans de gestion des zones humides dans leurs travaux, </w:t>
            </w:r>
            <w:r w:rsidR="00CF24AA">
              <w:rPr>
                <w:rFonts w:ascii="Calibri" w:hAnsi="Calibri" w:cs="Arial"/>
                <w:color w:val="000000"/>
                <w:sz w:val="20"/>
                <w:szCs w:val="20"/>
                <w:lang w:val="fr-CA"/>
              </w:rPr>
              <w:t>par un financement du FEM7</w:t>
            </w:r>
          </w:p>
        </w:tc>
        <w:tc>
          <w:tcPr>
            <w:tcW w:w="1134" w:type="dxa"/>
            <w:shd w:val="clear" w:color="auto" w:fill="auto"/>
          </w:tcPr>
          <w:p w:rsidR="00073E0C" w:rsidRPr="00534C4C" w:rsidRDefault="00073E0C" w:rsidP="00534C4C">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CF24AA" w:rsidP="00534C4C">
            <w:pPr>
              <w:jc w:val="right"/>
              <w:rPr>
                <w:rFonts w:ascii="Calibri" w:hAnsi="Calibri" w:cs="Arial"/>
                <w:color w:val="000000"/>
                <w:sz w:val="20"/>
                <w:szCs w:val="20"/>
                <w:lang w:val="fr-CA"/>
              </w:rPr>
            </w:pPr>
            <w:r w:rsidRPr="00534C4C">
              <w:rPr>
                <w:rFonts w:ascii="Calibri" w:hAnsi="Calibri" w:cs="Arial"/>
                <w:color w:val="000000"/>
                <w:sz w:val="20"/>
                <w:szCs w:val="20"/>
                <w:lang w:val="fr-CA"/>
              </w:rPr>
              <w:t>2</w:t>
            </w:r>
            <w:r w:rsidR="00073E0C" w:rsidRPr="00534C4C">
              <w:rPr>
                <w:rFonts w:ascii="Calibri" w:hAnsi="Calibri" w:cs="Arial"/>
                <w:color w:val="000000"/>
                <w:sz w:val="20"/>
                <w:szCs w:val="20"/>
                <w:lang w:val="fr-CA"/>
              </w:rPr>
              <w:t>0</w:t>
            </w:r>
            <w:r w:rsidR="00E10389" w:rsidRPr="00534C4C">
              <w:rPr>
                <w:rFonts w:ascii="Calibri" w:hAnsi="Calibri" w:cs="Arial"/>
                <w:color w:val="000000"/>
                <w:sz w:val="20"/>
                <w:szCs w:val="20"/>
                <w:lang w:val="fr-CA"/>
              </w:rPr>
              <w:t xml:space="preserve"> </w:t>
            </w:r>
            <w:r w:rsidR="00073E0C" w:rsidRPr="00534C4C">
              <w:rPr>
                <w:rFonts w:ascii="Calibri" w:hAnsi="Calibri" w:cs="Arial"/>
                <w:color w:val="000000"/>
                <w:sz w:val="20"/>
                <w:szCs w:val="20"/>
                <w:lang w:val="fr-CA"/>
              </w:rPr>
              <w:t>000</w:t>
            </w:r>
          </w:p>
        </w:tc>
      </w:tr>
      <w:tr w:rsidR="00073E0C" w:rsidRPr="00A778BF"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3.55.</w:t>
            </w:r>
            <w:r w:rsidR="00733655">
              <w:rPr>
                <w:rFonts w:ascii="Calibri" w:hAnsi="Calibri" w:cs="Arial"/>
                <w:color w:val="000000"/>
                <w:sz w:val="20"/>
                <w:szCs w:val="20"/>
                <w:lang w:val="fr-CA"/>
              </w:rPr>
              <w:t xml:space="preserve"> </w:t>
            </w:r>
            <w:r w:rsidR="00DF1044" w:rsidRPr="00A778BF">
              <w:rPr>
                <w:rFonts w:ascii="Calibri" w:hAnsi="Calibri" w:cs="Arial"/>
                <w:color w:val="000000"/>
                <w:sz w:val="20"/>
                <w:szCs w:val="20"/>
                <w:lang w:val="fr-CA"/>
              </w:rPr>
              <w:t>Redoubler d’efforts pour tenir compte des valeurs et des services écosystémiques des zones humides dans les stratégies, plans et règlements d’autres secteurs et à les intégrer dans une approche des plans d’occupation des sols au niveau du bassin et autres décisions locales, nationales et mondiales pertinentes</w:t>
            </w:r>
            <w:r w:rsidR="00E858A1">
              <w:rPr>
                <w:rFonts w:ascii="Calibri" w:hAnsi="Calibri" w:cs="Arial"/>
                <w:color w:val="000000"/>
                <w:sz w:val="20"/>
                <w:szCs w:val="20"/>
                <w:lang w:val="fr-CA"/>
              </w:rPr>
              <w:t>.</w:t>
            </w:r>
          </w:p>
        </w:tc>
        <w:tc>
          <w:tcPr>
            <w:tcW w:w="1560" w:type="dxa"/>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Toutes les PC</w:t>
            </w:r>
          </w:p>
        </w:tc>
        <w:tc>
          <w:tcPr>
            <w:tcW w:w="1134" w:type="dxa"/>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CE47C7" w:rsidP="0061532D">
            <w:pPr>
              <w:rPr>
                <w:rFonts w:ascii="Calibri" w:hAnsi="Calibri" w:cs="Arial"/>
                <w:color w:val="000000"/>
                <w:sz w:val="20"/>
                <w:szCs w:val="20"/>
                <w:lang w:val="fr-CA"/>
              </w:rPr>
            </w:pPr>
            <w:r>
              <w:rPr>
                <w:rFonts w:ascii="Calibri" w:hAnsi="Calibri" w:cs="Arial"/>
                <w:color w:val="000000"/>
                <w:sz w:val="20"/>
                <w:szCs w:val="20"/>
                <w:lang w:val="fr-CA"/>
              </w:rPr>
              <w:t>Comme</w:t>
            </w:r>
            <w:r w:rsidR="00E858A1">
              <w:rPr>
                <w:rFonts w:ascii="Calibri" w:hAnsi="Calibri" w:cs="Arial"/>
                <w:color w:val="000000"/>
                <w:sz w:val="20"/>
                <w:szCs w:val="20"/>
                <w:lang w:val="fr-CA"/>
              </w:rPr>
              <w:t xml:space="preserve"> ci</w:t>
            </w:r>
            <w:r w:rsidR="00E858A1">
              <w:rPr>
                <w:rFonts w:ascii="Calibri" w:hAnsi="Calibri" w:cs="Arial"/>
                <w:color w:val="000000"/>
                <w:sz w:val="20"/>
                <w:szCs w:val="20"/>
                <w:lang w:val="fr-CA"/>
              </w:rPr>
              <w:noBreakHyphen/>
              <w:t>dessus</w:t>
            </w:r>
            <w:r w:rsidR="00C544E0">
              <w:rPr>
                <w:rFonts w:ascii="Calibri" w:hAnsi="Calibri" w:cs="Arial"/>
                <w:color w:val="000000"/>
                <w:sz w:val="20"/>
                <w:szCs w:val="20"/>
                <w:lang w:val="fr-CA"/>
              </w:rPr>
              <w:t>.</w:t>
            </w:r>
            <w:r w:rsidR="00E858A1">
              <w:rPr>
                <w:rFonts w:ascii="Calibri" w:hAnsi="Calibri" w:cs="Arial"/>
                <w:color w:val="000000"/>
                <w:sz w:val="20"/>
                <w:szCs w:val="20"/>
                <w:lang w:val="fr-CA"/>
              </w:rPr>
              <w:t xml:space="preserve"> </w:t>
            </w:r>
          </w:p>
        </w:tc>
        <w:tc>
          <w:tcPr>
            <w:tcW w:w="1134" w:type="dxa"/>
            <w:shd w:val="clear" w:color="auto" w:fill="auto"/>
          </w:tcPr>
          <w:p w:rsidR="00073E0C" w:rsidRPr="00534C4C" w:rsidRDefault="00073E0C" w:rsidP="006B5FCE">
            <w:pPr>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6B5FCE">
            <w:pPr>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shd w:val="clear" w:color="auto" w:fill="auto"/>
          </w:tcPr>
          <w:p w:rsidR="00073E0C" w:rsidRPr="00534C4C" w:rsidRDefault="00CE47C7" w:rsidP="006B5FCE">
            <w:pPr>
              <w:jc w:val="right"/>
              <w:rPr>
                <w:rFonts w:ascii="Calibri" w:hAnsi="Calibri" w:cs="Arial"/>
                <w:color w:val="000000"/>
                <w:sz w:val="20"/>
                <w:szCs w:val="20"/>
                <w:lang w:val="fr-CA"/>
              </w:rPr>
            </w:pPr>
            <w:r w:rsidRPr="00534C4C">
              <w:rPr>
                <w:rFonts w:ascii="Calibri" w:hAnsi="Calibri" w:cs="Arial"/>
                <w:color w:val="000000"/>
                <w:sz w:val="20"/>
                <w:szCs w:val="20"/>
                <w:lang w:val="fr-CA"/>
              </w:rPr>
              <w:t>15</w:t>
            </w:r>
            <w:r w:rsidR="00E10389" w:rsidRPr="00534C4C">
              <w:rPr>
                <w:rFonts w:ascii="Calibri" w:hAnsi="Calibri" w:cs="Arial"/>
                <w:color w:val="000000"/>
                <w:sz w:val="20"/>
                <w:szCs w:val="20"/>
                <w:lang w:val="fr-CA"/>
              </w:rPr>
              <w:t xml:space="preserve"> </w:t>
            </w:r>
            <w:r w:rsidR="00073E0C" w:rsidRPr="00534C4C">
              <w:rPr>
                <w:rFonts w:ascii="Calibri" w:hAnsi="Calibri" w:cs="Arial"/>
                <w:color w:val="000000"/>
                <w:sz w:val="20"/>
                <w:szCs w:val="20"/>
                <w:lang w:val="fr-CA"/>
              </w:rPr>
              <w:t>000</w:t>
            </w:r>
          </w:p>
        </w:tc>
      </w:tr>
      <w:tr w:rsidR="006B5FCE" w:rsidRPr="00A778BF" w:rsidTr="00534C4C">
        <w:trPr>
          <w:cantSplit/>
        </w:trPr>
        <w:tc>
          <w:tcPr>
            <w:tcW w:w="4253" w:type="dxa"/>
            <w:shd w:val="clear" w:color="auto" w:fill="D9D9D9" w:themeFill="background1" w:themeFillShade="D9"/>
          </w:tcPr>
          <w:p w:rsidR="00073E0C" w:rsidRPr="00A778BF" w:rsidRDefault="005908DA" w:rsidP="006B5FCE">
            <w:pPr>
              <w:rPr>
                <w:rFonts w:ascii="Calibri" w:hAnsi="Calibri" w:cs="Arial"/>
                <w:b/>
                <w:bCs/>
                <w:color w:val="000000"/>
                <w:sz w:val="20"/>
                <w:szCs w:val="20"/>
                <w:lang w:val="fr-CA"/>
              </w:rPr>
            </w:pPr>
            <w:r w:rsidRPr="00A778BF">
              <w:rPr>
                <w:rFonts w:ascii="Calibri" w:eastAsiaTheme="minorHAnsi" w:hAnsi="Calibri" w:cs="Calibri"/>
                <w:b/>
                <w:bCs/>
                <w:color w:val="000000"/>
                <w:sz w:val="20"/>
                <w:szCs w:val="20"/>
                <w:lang w:val="fr-CA" w:eastAsia="en-US"/>
              </w:rPr>
              <w:t xml:space="preserve">Résolution </w:t>
            </w:r>
            <w:r w:rsidR="00073E0C" w:rsidRPr="00A778BF">
              <w:rPr>
                <w:rFonts w:ascii="Calibri" w:hAnsi="Calibri" w:cs="Arial"/>
                <w:b/>
                <w:bCs/>
                <w:color w:val="000000"/>
                <w:sz w:val="20"/>
                <w:szCs w:val="20"/>
                <w:lang w:val="fr-CA"/>
              </w:rPr>
              <w:t>XII.5</w:t>
            </w:r>
            <w:r w:rsidR="00733655">
              <w:rPr>
                <w:rFonts w:ascii="Calibri" w:hAnsi="Calibri" w:cs="Arial"/>
                <w:b/>
                <w:bCs/>
                <w:color w:val="000000"/>
                <w:sz w:val="20"/>
                <w:szCs w:val="20"/>
                <w:lang w:val="fr-CA"/>
              </w:rPr>
              <w:t xml:space="preserve"> </w:t>
            </w:r>
            <w:r w:rsidR="00DA45B2" w:rsidRPr="00A778BF">
              <w:rPr>
                <w:rFonts w:ascii="Calibri" w:hAnsi="Calibri" w:cs="Arial"/>
                <w:b/>
                <w:bCs/>
                <w:color w:val="000000"/>
                <w:sz w:val="20"/>
                <w:szCs w:val="20"/>
                <w:lang w:val="fr-CA"/>
              </w:rPr>
              <w:t xml:space="preserve">Projet de nouveau cadre pour la fourniture d’avis et d’orientations scientifiques et techniques à la Convention </w:t>
            </w:r>
            <w:r w:rsidR="00073E0C" w:rsidRPr="00A778BF">
              <w:rPr>
                <w:rFonts w:ascii="Calibri" w:hAnsi="Calibri" w:cs="Arial"/>
                <w:b/>
                <w:bCs/>
                <w:color w:val="000000"/>
                <w:sz w:val="20"/>
                <w:szCs w:val="20"/>
                <w:lang w:val="fr-CA"/>
              </w:rPr>
              <w:t>(</w:t>
            </w:r>
            <w:r w:rsidR="00DA45B2" w:rsidRPr="00A778BF">
              <w:rPr>
                <w:rFonts w:ascii="Calibri" w:eastAsiaTheme="minorHAnsi" w:hAnsi="Calibri" w:cs="Calibri"/>
                <w:b/>
                <w:bCs/>
                <w:color w:val="000000"/>
                <w:sz w:val="20"/>
                <w:szCs w:val="20"/>
                <w:lang w:val="fr-CA" w:eastAsia="en-US"/>
              </w:rPr>
              <w:t>tous les buts stratégiques</w:t>
            </w:r>
            <w:r w:rsidR="00073E0C" w:rsidRPr="00A778BF">
              <w:rPr>
                <w:rFonts w:ascii="Calibri" w:hAnsi="Calibri" w:cs="Arial"/>
                <w:b/>
                <w:bCs/>
                <w:color w:val="000000"/>
                <w:sz w:val="20"/>
                <w:szCs w:val="20"/>
                <w:lang w:val="fr-CA"/>
              </w:rPr>
              <w:t xml:space="preserve">) </w:t>
            </w:r>
          </w:p>
        </w:tc>
        <w:tc>
          <w:tcPr>
            <w:tcW w:w="1560"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73E0C" w:rsidRPr="00534C4C" w:rsidRDefault="00073E0C" w:rsidP="00CE47C7">
            <w:pPr>
              <w:jc w:val="right"/>
              <w:rPr>
                <w:rFonts w:ascii="Calibri" w:hAnsi="Calibri" w:cs="Arial"/>
                <w:bCs/>
                <w:color w:val="000000"/>
                <w:sz w:val="20"/>
                <w:szCs w:val="20"/>
                <w:lang w:val="fr-CA"/>
              </w:rPr>
            </w:pPr>
            <w:r w:rsidRPr="00534C4C">
              <w:rPr>
                <w:rFonts w:ascii="Calibri" w:hAnsi="Calibri" w:cs="Arial"/>
                <w:bCs/>
                <w:color w:val="000000"/>
                <w:sz w:val="20"/>
                <w:szCs w:val="20"/>
                <w:lang w:val="fr-CA"/>
              </w:rPr>
              <w:t>55</w:t>
            </w:r>
            <w:r w:rsidR="00CE47C7" w:rsidRPr="00534C4C">
              <w:rPr>
                <w:rFonts w:ascii="Calibri" w:hAnsi="Calibri" w:cs="Arial"/>
                <w:bCs/>
                <w:color w:val="000000"/>
                <w:sz w:val="20"/>
                <w:szCs w:val="20"/>
                <w:lang w:val="fr-CA"/>
              </w:rPr>
              <w:t>9</w:t>
            </w:r>
            <w:r w:rsidR="00E10389" w:rsidRPr="00534C4C">
              <w:rPr>
                <w:rFonts w:ascii="Calibri" w:hAnsi="Calibri" w:cs="Arial"/>
                <w:bCs/>
                <w:color w:val="000000"/>
                <w:sz w:val="20"/>
                <w:szCs w:val="20"/>
                <w:lang w:val="fr-CA"/>
              </w:rPr>
              <w:t xml:space="preserve"> </w:t>
            </w:r>
            <w:r w:rsidRPr="00534C4C">
              <w:rPr>
                <w:rFonts w:ascii="Calibri" w:hAnsi="Calibri" w:cs="Arial"/>
                <w:bCs/>
                <w:color w:val="000000"/>
                <w:sz w:val="20"/>
                <w:szCs w:val="20"/>
                <w:lang w:val="fr-CA"/>
              </w:rPr>
              <w:t>000</w:t>
            </w:r>
          </w:p>
        </w:tc>
        <w:tc>
          <w:tcPr>
            <w:tcW w:w="1417" w:type="dxa"/>
            <w:shd w:val="clear" w:color="auto" w:fill="D9D9D9" w:themeFill="background1" w:themeFillShade="D9"/>
          </w:tcPr>
          <w:p w:rsidR="00073E0C" w:rsidRPr="00534C4C" w:rsidRDefault="00073E0C" w:rsidP="00CE47C7">
            <w:pPr>
              <w:jc w:val="right"/>
              <w:rPr>
                <w:rFonts w:ascii="Calibri" w:hAnsi="Calibri" w:cs="Arial"/>
                <w:color w:val="000000"/>
                <w:sz w:val="20"/>
                <w:szCs w:val="20"/>
                <w:lang w:val="fr-CA"/>
              </w:rPr>
            </w:pPr>
            <w:r w:rsidRPr="00534C4C">
              <w:rPr>
                <w:rFonts w:ascii="Calibri" w:hAnsi="Calibri" w:cs="Arial"/>
                <w:color w:val="000000"/>
                <w:sz w:val="20"/>
                <w:szCs w:val="20"/>
                <w:lang w:val="fr-CA"/>
              </w:rPr>
              <w:t> </w:t>
            </w:r>
            <w:r w:rsidR="00CE47C7" w:rsidRPr="00534C4C">
              <w:rPr>
                <w:rFonts w:ascii="Calibri" w:hAnsi="Calibri" w:cs="Arial"/>
                <w:color w:val="000000"/>
                <w:sz w:val="20"/>
                <w:szCs w:val="20"/>
                <w:lang w:val="fr-CA"/>
              </w:rPr>
              <w:t>300 000</w:t>
            </w:r>
          </w:p>
        </w:tc>
        <w:tc>
          <w:tcPr>
            <w:tcW w:w="1418" w:type="dxa"/>
            <w:shd w:val="clear" w:color="auto" w:fill="D9D9D9" w:themeFill="background1" w:themeFillShade="D9"/>
          </w:tcPr>
          <w:p w:rsidR="00073E0C" w:rsidRPr="00534C4C" w:rsidRDefault="00073E0C" w:rsidP="00534C4C">
            <w:pPr>
              <w:jc w:val="right"/>
              <w:rPr>
                <w:rFonts w:asciiTheme="minorHAnsi" w:hAnsiTheme="minorHAnsi" w:cs="Arial"/>
                <w:color w:val="000000"/>
                <w:sz w:val="20"/>
                <w:szCs w:val="20"/>
                <w:lang w:val="fr-CA"/>
              </w:rPr>
            </w:pPr>
            <w:r w:rsidRPr="00534C4C">
              <w:rPr>
                <w:rFonts w:ascii="Arial" w:hAnsi="Arial" w:cs="Arial"/>
                <w:color w:val="000000"/>
                <w:sz w:val="22"/>
                <w:szCs w:val="22"/>
                <w:lang w:val="fr-CA"/>
              </w:rPr>
              <w:t> </w:t>
            </w:r>
            <w:r w:rsidR="00CE47C7" w:rsidRPr="00534C4C">
              <w:rPr>
                <w:rFonts w:asciiTheme="minorHAnsi" w:hAnsiTheme="minorHAnsi" w:cs="Arial"/>
                <w:color w:val="000000"/>
                <w:sz w:val="20"/>
                <w:szCs w:val="20"/>
                <w:lang w:val="fr-CA"/>
              </w:rPr>
              <w:t>259 000</w:t>
            </w:r>
          </w:p>
        </w:tc>
      </w:tr>
      <w:tr w:rsidR="00073E0C" w:rsidRPr="00A778BF"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5.22.</w:t>
            </w:r>
            <w:r w:rsidR="00733655">
              <w:rPr>
                <w:rFonts w:ascii="Calibri" w:hAnsi="Calibri" w:cs="Arial"/>
                <w:color w:val="000000"/>
                <w:sz w:val="20"/>
                <w:szCs w:val="20"/>
                <w:lang w:val="fr-CA"/>
              </w:rPr>
              <w:t xml:space="preserve"> </w:t>
            </w:r>
            <w:r w:rsidR="0048259A" w:rsidRPr="00A778BF">
              <w:rPr>
                <w:rFonts w:ascii="Calibri" w:hAnsi="Calibri" w:cs="Arial"/>
                <w:color w:val="000000"/>
                <w:sz w:val="20"/>
                <w:szCs w:val="20"/>
                <w:lang w:val="fr-CA"/>
              </w:rPr>
              <w:t>Continuer de fournir un appui au GEST, selon le</w:t>
            </w:r>
            <w:r w:rsidR="00C544E0">
              <w:rPr>
                <w:rFonts w:ascii="Calibri" w:hAnsi="Calibri" w:cs="Arial"/>
                <w:color w:val="000000"/>
                <w:sz w:val="20"/>
                <w:szCs w:val="20"/>
                <w:lang w:val="fr-CA"/>
              </w:rPr>
              <w:t>s modalités définies à l’annexe </w:t>
            </w:r>
            <w:r w:rsidR="0048259A" w:rsidRPr="00A778BF">
              <w:rPr>
                <w:rFonts w:ascii="Calibri" w:hAnsi="Calibri" w:cs="Arial"/>
                <w:color w:val="000000"/>
                <w:sz w:val="20"/>
                <w:szCs w:val="20"/>
                <w:lang w:val="fr-CA"/>
              </w:rPr>
              <w:t>1</w:t>
            </w:r>
            <w:r w:rsidR="00E858A1">
              <w:rPr>
                <w:rFonts w:ascii="Calibri" w:hAnsi="Calibri" w:cs="Arial"/>
                <w:color w:val="000000"/>
                <w:sz w:val="20"/>
                <w:szCs w:val="20"/>
                <w:lang w:val="fr-CA"/>
              </w:rPr>
              <w:t>.</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334B93">
              <w:rPr>
                <w:rFonts w:ascii="Calibri" w:hAnsi="Calibri" w:cs="Arial"/>
                <w:color w:val="000000"/>
                <w:sz w:val="20"/>
                <w:szCs w:val="20"/>
                <w:lang w:val="fr-CA"/>
              </w:rPr>
              <w:t xml:space="preserve"> (</w:t>
            </w:r>
            <w:r w:rsidR="00073E0C" w:rsidRPr="00A778BF">
              <w:rPr>
                <w:rFonts w:ascii="Calibri" w:hAnsi="Calibri" w:cs="Arial"/>
                <w:color w:val="000000"/>
                <w:sz w:val="20"/>
                <w:szCs w:val="20"/>
                <w:lang w:val="fr-CA"/>
              </w:rPr>
              <w:t>SG</w:t>
            </w:r>
            <w:r w:rsidR="00334B93">
              <w:rPr>
                <w:rFonts w:ascii="Calibri" w:hAnsi="Calibri" w:cs="Arial"/>
                <w:color w:val="000000"/>
                <w:sz w:val="20"/>
                <w:szCs w:val="20"/>
                <w:lang w:val="fr-CA"/>
              </w:rPr>
              <w:t>A</w:t>
            </w:r>
            <w:r w:rsidR="00073E0C" w:rsidRPr="00A778BF">
              <w:rPr>
                <w:rFonts w:ascii="Calibri" w:hAnsi="Calibri" w:cs="Arial"/>
                <w:color w:val="000000"/>
                <w:sz w:val="20"/>
                <w:szCs w:val="20"/>
                <w:lang w:val="fr-CA"/>
              </w:rPr>
              <w:t>/Reg)</w:t>
            </w:r>
          </w:p>
        </w:tc>
        <w:tc>
          <w:tcPr>
            <w:tcW w:w="1134" w:type="dxa"/>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E858A1" w:rsidP="00BE212D">
            <w:pPr>
              <w:rPr>
                <w:rFonts w:ascii="Calibri" w:hAnsi="Calibri" w:cs="Arial"/>
                <w:color w:val="000000"/>
                <w:sz w:val="20"/>
                <w:szCs w:val="20"/>
                <w:lang w:val="fr-CA"/>
              </w:rPr>
            </w:pPr>
            <w:r>
              <w:rPr>
                <w:rFonts w:ascii="Calibri" w:hAnsi="Calibri" w:cs="Arial"/>
                <w:color w:val="000000"/>
                <w:sz w:val="20"/>
                <w:szCs w:val="20"/>
                <w:lang w:val="fr-CA"/>
              </w:rPr>
              <w:t xml:space="preserve">Appui non administratif de </w:t>
            </w:r>
            <w:r w:rsidR="00073E0C" w:rsidRPr="00A778BF">
              <w:rPr>
                <w:rFonts w:ascii="Calibri" w:hAnsi="Calibri" w:cs="Arial"/>
                <w:color w:val="000000"/>
                <w:sz w:val="20"/>
                <w:szCs w:val="20"/>
                <w:lang w:val="fr-CA"/>
              </w:rPr>
              <w:t>100</w:t>
            </w:r>
            <w:r>
              <w:rPr>
                <w:rFonts w:ascii="Calibri" w:hAnsi="Calibri" w:cs="Arial"/>
                <w:color w:val="000000"/>
                <w:sz w:val="20"/>
                <w:szCs w:val="20"/>
                <w:lang w:val="fr-CA"/>
              </w:rPr>
              <w:t> </w:t>
            </w:r>
            <w:r w:rsidR="00073E0C" w:rsidRPr="00A778BF">
              <w:rPr>
                <w:rFonts w:ascii="Calibri" w:hAnsi="Calibri" w:cs="Arial"/>
                <w:color w:val="000000"/>
                <w:sz w:val="20"/>
                <w:szCs w:val="20"/>
                <w:lang w:val="fr-CA"/>
              </w:rPr>
              <w:t>000</w:t>
            </w:r>
            <w:r>
              <w:rPr>
                <w:rFonts w:ascii="Calibri" w:hAnsi="Calibri" w:cs="Arial"/>
                <w:color w:val="000000"/>
                <w:sz w:val="20"/>
                <w:szCs w:val="20"/>
                <w:lang w:val="fr-CA"/>
              </w:rPr>
              <w:t xml:space="preserve"> CHF par an pour soutenir des projets additionnels </w:t>
            </w:r>
            <w:r w:rsidR="00BE212D">
              <w:rPr>
                <w:rFonts w:ascii="Calibri" w:hAnsi="Calibri" w:cs="Arial"/>
                <w:color w:val="000000"/>
                <w:sz w:val="20"/>
                <w:szCs w:val="20"/>
                <w:lang w:val="fr-CA"/>
              </w:rPr>
              <w:t>de participation de partenaires non</w:t>
            </w:r>
            <w:r w:rsidR="00BE212D">
              <w:rPr>
                <w:rFonts w:ascii="Calibri" w:hAnsi="Calibri" w:cs="Arial"/>
                <w:color w:val="000000"/>
                <w:sz w:val="20"/>
                <w:szCs w:val="20"/>
                <w:lang w:val="fr-CA"/>
              </w:rPr>
              <w:noBreakHyphen/>
              <w:t>GEST</w:t>
            </w:r>
            <w:r w:rsidR="00C544E0">
              <w:rPr>
                <w:rFonts w:ascii="Calibri" w:hAnsi="Calibri" w:cs="Arial"/>
                <w:color w:val="000000"/>
                <w:sz w:val="20"/>
                <w:szCs w:val="20"/>
                <w:lang w:val="fr-CA"/>
              </w:rPr>
              <w:t>.</w:t>
            </w:r>
          </w:p>
        </w:tc>
        <w:tc>
          <w:tcPr>
            <w:tcW w:w="1134" w:type="dxa"/>
            <w:shd w:val="clear" w:color="auto" w:fill="auto"/>
          </w:tcPr>
          <w:p w:rsidR="00073E0C" w:rsidRPr="00534C4C" w:rsidRDefault="00073E0C" w:rsidP="006B5FCE">
            <w:pPr>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shd w:val="clear" w:color="auto" w:fill="auto"/>
          </w:tcPr>
          <w:p w:rsidR="00073E0C" w:rsidRPr="00534C4C" w:rsidRDefault="00073E0C" w:rsidP="006B5FCE">
            <w:pPr>
              <w:jc w:val="right"/>
              <w:rPr>
                <w:rFonts w:ascii="Calibri" w:hAnsi="Calibri" w:cs="Arial"/>
                <w:color w:val="000000"/>
                <w:sz w:val="20"/>
                <w:szCs w:val="20"/>
                <w:lang w:val="fr-CA"/>
              </w:rPr>
            </w:pPr>
            <w:r w:rsidRPr="00534C4C">
              <w:rPr>
                <w:rFonts w:ascii="Calibri" w:hAnsi="Calibri" w:cs="Arial"/>
                <w:color w:val="000000"/>
                <w:sz w:val="20"/>
                <w:szCs w:val="20"/>
                <w:lang w:val="fr-CA"/>
              </w:rPr>
              <w:t>300</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c>
          <w:tcPr>
            <w:tcW w:w="1418" w:type="dxa"/>
            <w:shd w:val="clear" w:color="auto" w:fill="auto"/>
            <w:vAlign w:val="bottom"/>
          </w:tcPr>
          <w:p w:rsidR="00073E0C" w:rsidRPr="00534C4C" w:rsidRDefault="00073E0C" w:rsidP="006B5FCE">
            <w:pPr>
              <w:rPr>
                <w:rFonts w:ascii="Arial" w:hAnsi="Arial" w:cs="Arial"/>
                <w:color w:val="000000"/>
                <w:sz w:val="22"/>
                <w:szCs w:val="22"/>
                <w:lang w:val="fr-CA"/>
              </w:rPr>
            </w:pPr>
            <w:r w:rsidRPr="00534C4C">
              <w:rPr>
                <w:rFonts w:ascii="Arial" w:hAnsi="Arial" w:cs="Arial"/>
                <w:color w:val="000000"/>
                <w:sz w:val="22"/>
                <w:szCs w:val="22"/>
                <w:lang w:val="fr-CA"/>
              </w:rPr>
              <w:t> </w:t>
            </w:r>
          </w:p>
        </w:tc>
      </w:tr>
      <w:tr w:rsidR="00073E0C" w:rsidRPr="00A778BF" w:rsidTr="00534C4C">
        <w:trPr>
          <w:cantSplit/>
        </w:trPr>
        <w:tc>
          <w:tcPr>
            <w:tcW w:w="4253" w:type="dxa"/>
            <w:tcBorders>
              <w:bottom w:val="single" w:sz="4" w:space="0" w:color="auto"/>
            </w:tcBorders>
            <w:shd w:val="clear" w:color="auto" w:fill="auto"/>
          </w:tcPr>
          <w:p w:rsidR="00073E0C" w:rsidRPr="00A778BF" w:rsidRDefault="00073E0C" w:rsidP="00CE47C7">
            <w:pPr>
              <w:rPr>
                <w:rFonts w:ascii="Calibri" w:hAnsi="Calibri" w:cs="Arial"/>
                <w:color w:val="000000"/>
                <w:sz w:val="20"/>
                <w:szCs w:val="20"/>
                <w:lang w:val="fr-CA"/>
              </w:rPr>
            </w:pPr>
            <w:r w:rsidRPr="00A778BF">
              <w:rPr>
                <w:rFonts w:ascii="Calibri" w:hAnsi="Calibri" w:cs="Arial"/>
                <w:color w:val="000000"/>
                <w:sz w:val="20"/>
                <w:szCs w:val="20"/>
                <w:lang w:val="fr-CA"/>
              </w:rPr>
              <w:t xml:space="preserve">5.24. </w:t>
            </w:r>
            <w:r w:rsidR="0048259A" w:rsidRPr="00A778BF">
              <w:rPr>
                <w:rFonts w:ascii="Calibri" w:hAnsi="Calibri" w:cs="Arial"/>
                <w:color w:val="000000"/>
                <w:sz w:val="20"/>
                <w:szCs w:val="20"/>
                <w:lang w:val="fr-CA"/>
              </w:rPr>
              <w:t xml:space="preserve">Mobiliser des ressources supplémentaires pour la mise en œuvre des </w:t>
            </w:r>
            <w:r w:rsidR="00CE47C7">
              <w:rPr>
                <w:rFonts w:ascii="Calibri" w:hAnsi="Calibri" w:cs="Arial"/>
                <w:color w:val="000000"/>
                <w:sz w:val="20"/>
                <w:szCs w:val="20"/>
                <w:lang w:val="fr-CA"/>
              </w:rPr>
              <w:t>tâches du GEST</w:t>
            </w:r>
            <w:r w:rsidR="0048259A" w:rsidRPr="00A778BF">
              <w:rPr>
                <w:rFonts w:ascii="Calibri" w:hAnsi="Calibri" w:cs="Arial"/>
                <w:color w:val="000000"/>
                <w:sz w:val="20"/>
                <w:szCs w:val="20"/>
                <w:lang w:val="fr-CA"/>
              </w:rPr>
              <w:t>, y compris pour soutenir les Parties contractantes lors de l’application des recommandations en matière de conservation et d’utilisation rationnelle des Sites Ramsar.</w:t>
            </w:r>
          </w:p>
        </w:tc>
        <w:tc>
          <w:tcPr>
            <w:tcW w:w="1560" w:type="dxa"/>
            <w:tcBorders>
              <w:bottom w:val="single" w:sz="4" w:space="0" w:color="auto"/>
            </w:tcBorders>
            <w:shd w:val="clear" w:color="auto" w:fill="auto"/>
          </w:tcPr>
          <w:p w:rsidR="00073E0C" w:rsidRPr="00A778BF" w:rsidRDefault="00100D3F" w:rsidP="00556653">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w:t>
            </w:r>
            <w:r w:rsidR="00334B93">
              <w:rPr>
                <w:rFonts w:ascii="Calibri" w:hAnsi="Calibri" w:cs="Arial"/>
                <w:color w:val="000000"/>
                <w:sz w:val="20"/>
                <w:szCs w:val="20"/>
                <w:lang w:val="fr-CA"/>
              </w:rPr>
              <w:br/>
            </w:r>
            <w:r w:rsidR="00556653">
              <w:rPr>
                <w:rFonts w:ascii="Calibri" w:hAnsi="Calibri" w:cs="Arial"/>
                <w:color w:val="000000"/>
                <w:sz w:val="20"/>
                <w:szCs w:val="20"/>
                <w:lang w:val="fr-CA"/>
              </w:rPr>
              <w:t>GEST</w:t>
            </w:r>
          </w:p>
        </w:tc>
        <w:tc>
          <w:tcPr>
            <w:tcW w:w="1134" w:type="dxa"/>
            <w:tcBorders>
              <w:bottom w:val="single" w:sz="4" w:space="0" w:color="auto"/>
            </w:tcBorders>
            <w:shd w:val="clear" w:color="auto" w:fill="auto"/>
          </w:tcPr>
          <w:p w:rsidR="00073E0C" w:rsidRPr="00A778BF" w:rsidRDefault="00334B93"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tcBorders>
              <w:bottom w:val="single" w:sz="4" w:space="0" w:color="auto"/>
            </w:tcBorders>
            <w:shd w:val="clear" w:color="auto" w:fill="auto"/>
          </w:tcPr>
          <w:p w:rsidR="00073E0C" w:rsidRPr="00A778BF" w:rsidRDefault="00CE47C7" w:rsidP="00CE47C7">
            <w:pPr>
              <w:rPr>
                <w:rFonts w:ascii="Calibri" w:hAnsi="Calibri" w:cs="Arial"/>
                <w:color w:val="000000"/>
                <w:sz w:val="20"/>
                <w:szCs w:val="20"/>
                <w:lang w:val="fr-CA"/>
              </w:rPr>
            </w:pPr>
            <w:r>
              <w:rPr>
                <w:rFonts w:ascii="Calibri" w:hAnsi="Calibri" w:cs="Arial"/>
                <w:color w:val="000000"/>
                <w:sz w:val="20"/>
                <w:szCs w:val="20"/>
                <w:lang w:val="fr-CA"/>
              </w:rPr>
              <w:t>Financement mobilisé du WWF en appui au matériel du GEST (100 000 pour les besoins en eau des zones humides, 22 000 pour l’analyse des MCR et de leurs effets)</w:t>
            </w:r>
          </w:p>
        </w:tc>
        <w:tc>
          <w:tcPr>
            <w:tcW w:w="1134" w:type="dxa"/>
            <w:tcBorders>
              <w:bottom w:val="single" w:sz="4" w:space="0" w:color="auto"/>
            </w:tcBorders>
            <w:shd w:val="clear" w:color="auto" w:fill="auto"/>
          </w:tcPr>
          <w:p w:rsidR="00073E0C" w:rsidRPr="00534C4C" w:rsidRDefault="00073E0C" w:rsidP="006B5FCE">
            <w:pPr>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tcBorders>
              <w:bottom w:val="single" w:sz="4" w:space="0" w:color="auto"/>
            </w:tcBorders>
            <w:shd w:val="clear" w:color="auto" w:fill="auto"/>
          </w:tcPr>
          <w:p w:rsidR="00073E0C" w:rsidRPr="00534C4C" w:rsidRDefault="00073E0C" w:rsidP="006B5FCE">
            <w:pPr>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tcBorders>
              <w:bottom w:val="single" w:sz="4" w:space="0" w:color="auto"/>
            </w:tcBorders>
            <w:shd w:val="clear" w:color="auto" w:fill="auto"/>
          </w:tcPr>
          <w:p w:rsidR="00073E0C" w:rsidRPr="00534C4C" w:rsidRDefault="00073E0C" w:rsidP="00CE47C7">
            <w:pPr>
              <w:jc w:val="right"/>
              <w:rPr>
                <w:rFonts w:ascii="Calibri" w:hAnsi="Calibri" w:cs="Arial"/>
                <w:color w:val="000000"/>
                <w:sz w:val="20"/>
                <w:szCs w:val="20"/>
                <w:lang w:val="fr-CA"/>
              </w:rPr>
            </w:pPr>
            <w:r w:rsidRPr="00534C4C">
              <w:rPr>
                <w:rFonts w:ascii="Calibri" w:hAnsi="Calibri" w:cs="Arial"/>
                <w:color w:val="000000"/>
                <w:sz w:val="20"/>
                <w:szCs w:val="20"/>
                <w:lang w:val="fr-CA"/>
              </w:rPr>
              <w:t>1</w:t>
            </w:r>
            <w:r w:rsidR="00CE47C7" w:rsidRPr="00534C4C">
              <w:rPr>
                <w:rFonts w:ascii="Calibri" w:hAnsi="Calibri" w:cs="Arial"/>
                <w:color w:val="000000"/>
                <w:sz w:val="20"/>
                <w:szCs w:val="20"/>
                <w:lang w:val="fr-CA"/>
              </w:rPr>
              <w:t>22</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r>
      <w:tr w:rsidR="00073E0C" w:rsidRPr="00A778BF" w:rsidTr="00534C4C">
        <w:trPr>
          <w:cantSplit/>
        </w:trPr>
        <w:tc>
          <w:tcPr>
            <w:tcW w:w="4253" w:type="dxa"/>
            <w:tcBorders>
              <w:bottom w:val="single" w:sz="4" w:space="0" w:color="auto"/>
            </w:tcBorders>
            <w:shd w:val="clear" w:color="auto" w:fill="auto"/>
          </w:tcPr>
          <w:p w:rsidR="00073E0C" w:rsidRPr="00A778BF" w:rsidRDefault="00073E0C" w:rsidP="00CE47C7">
            <w:pPr>
              <w:rPr>
                <w:rFonts w:ascii="Calibri" w:hAnsi="Calibri" w:cs="Arial"/>
                <w:color w:val="000000"/>
                <w:sz w:val="20"/>
                <w:szCs w:val="20"/>
                <w:lang w:val="fr-CA"/>
              </w:rPr>
            </w:pPr>
            <w:r w:rsidRPr="00A778BF">
              <w:rPr>
                <w:rFonts w:ascii="Calibri" w:hAnsi="Calibri" w:cs="Arial"/>
                <w:color w:val="000000"/>
                <w:sz w:val="20"/>
                <w:szCs w:val="20"/>
                <w:lang w:val="fr-CA"/>
              </w:rPr>
              <w:t>5.25.</w:t>
            </w:r>
            <w:r w:rsidR="00733655">
              <w:rPr>
                <w:rFonts w:ascii="Calibri" w:hAnsi="Calibri" w:cs="Arial"/>
                <w:color w:val="000000"/>
                <w:sz w:val="20"/>
                <w:szCs w:val="20"/>
                <w:lang w:val="fr-CA"/>
              </w:rPr>
              <w:t xml:space="preserve"> </w:t>
            </w:r>
            <w:r w:rsidR="0048259A" w:rsidRPr="00A778BF">
              <w:rPr>
                <w:rFonts w:ascii="Calibri" w:hAnsi="Calibri" w:cs="Arial"/>
                <w:color w:val="000000"/>
                <w:sz w:val="20"/>
                <w:szCs w:val="20"/>
                <w:lang w:val="fr-CA"/>
              </w:rPr>
              <w:t>Finaliser la production de la version actuelle de l’</w:t>
            </w:r>
            <w:r w:rsidR="0048259A" w:rsidRPr="00CE47C7">
              <w:rPr>
                <w:rFonts w:ascii="Calibri" w:hAnsi="Calibri" w:cs="Arial"/>
                <w:i/>
                <w:color w:val="000000"/>
                <w:sz w:val="20"/>
                <w:szCs w:val="20"/>
                <w:lang w:val="fr-CA"/>
              </w:rPr>
              <w:t>État</w:t>
            </w:r>
            <w:r w:rsidR="0048259A" w:rsidRPr="00A778BF">
              <w:rPr>
                <w:rFonts w:ascii="Calibri" w:hAnsi="Calibri" w:cs="Arial"/>
                <w:color w:val="000000"/>
                <w:sz w:val="20"/>
                <w:szCs w:val="20"/>
                <w:lang w:val="fr-CA"/>
              </w:rPr>
              <w:t xml:space="preserve"> </w:t>
            </w:r>
            <w:r w:rsidR="00CE47C7" w:rsidRPr="00CE47C7">
              <w:rPr>
                <w:rFonts w:ascii="Calibri" w:hAnsi="Calibri" w:cs="Arial"/>
                <w:i/>
                <w:color w:val="000000"/>
                <w:sz w:val="20"/>
                <w:szCs w:val="20"/>
                <w:lang w:val="fr-CA"/>
              </w:rPr>
              <w:t xml:space="preserve">mondial </w:t>
            </w:r>
            <w:r w:rsidR="0048259A" w:rsidRPr="00CE47C7">
              <w:rPr>
                <w:rFonts w:ascii="Calibri" w:hAnsi="Calibri" w:cs="Arial"/>
                <w:i/>
                <w:color w:val="000000"/>
                <w:sz w:val="20"/>
                <w:szCs w:val="20"/>
                <w:lang w:val="fr-CA"/>
              </w:rPr>
              <w:t>des zones humides et des services qu’elles fournissent à l’humanité</w:t>
            </w:r>
            <w:r w:rsidR="0048259A" w:rsidRPr="00A778BF">
              <w:rPr>
                <w:rFonts w:ascii="Calibri" w:hAnsi="Calibri" w:cs="Arial"/>
                <w:color w:val="000000"/>
                <w:sz w:val="20"/>
                <w:szCs w:val="20"/>
                <w:lang w:val="fr-CA"/>
              </w:rPr>
              <w:t>, et d’explorer les modalités d’une amélioration et d’une mise à jour de ce rapport pour qu’il devienne une publication périodique phare de la Convention</w:t>
            </w:r>
            <w:r w:rsidR="00BE212D">
              <w:rPr>
                <w:rFonts w:ascii="Calibri" w:hAnsi="Calibri" w:cs="Arial"/>
                <w:color w:val="000000"/>
                <w:sz w:val="20"/>
                <w:szCs w:val="20"/>
                <w:lang w:val="fr-CA"/>
              </w:rPr>
              <w:t>.</w:t>
            </w:r>
          </w:p>
        </w:tc>
        <w:tc>
          <w:tcPr>
            <w:tcW w:w="1560" w:type="dxa"/>
            <w:tcBorders>
              <w:bottom w:val="single" w:sz="4" w:space="0" w:color="auto"/>
            </w:tcBorders>
            <w:shd w:val="clear" w:color="auto" w:fill="auto"/>
          </w:tcPr>
          <w:p w:rsidR="00073E0C" w:rsidRPr="00A778BF" w:rsidRDefault="00BE212D" w:rsidP="006B5FCE">
            <w:pPr>
              <w:rPr>
                <w:rFonts w:ascii="Calibri" w:hAnsi="Calibri" w:cs="Arial"/>
                <w:color w:val="000000"/>
                <w:sz w:val="20"/>
                <w:szCs w:val="20"/>
                <w:lang w:val="fr-CA"/>
              </w:rPr>
            </w:pPr>
            <w:r>
              <w:rPr>
                <w:rFonts w:ascii="Calibri" w:hAnsi="Calibri" w:cs="Arial"/>
                <w:color w:val="000000"/>
                <w:sz w:val="20"/>
                <w:szCs w:val="20"/>
                <w:lang w:val="fr-CA"/>
              </w:rPr>
              <w:t>GEST</w:t>
            </w:r>
            <w:r w:rsidR="00073E0C" w:rsidRPr="00A778BF">
              <w:rPr>
                <w:rFonts w:ascii="Calibri" w:hAnsi="Calibri" w:cs="Arial"/>
                <w:color w:val="000000"/>
                <w:sz w:val="20"/>
                <w:szCs w:val="20"/>
                <w:lang w:val="fr-CA"/>
              </w:rPr>
              <w:br/>
            </w:r>
            <w:r w:rsidR="00100D3F">
              <w:rPr>
                <w:rFonts w:ascii="Calibri" w:hAnsi="Calibri" w:cs="Arial"/>
                <w:color w:val="000000"/>
                <w:sz w:val="20"/>
                <w:szCs w:val="20"/>
                <w:lang w:val="fr-CA"/>
              </w:rPr>
              <w:t>Secrétariat Ramsar</w:t>
            </w:r>
            <w:r>
              <w:rPr>
                <w:rFonts w:ascii="Calibri" w:hAnsi="Calibri" w:cs="Arial"/>
                <w:color w:val="000000"/>
                <w:sz w:val="20"/>
                <w:szCs w:val="20"/>
                <w:lang w:val="fr-CA"/>
              </w:rPr>
              <w:t xml:space="preserve"> (SG/</w:t>
            </w:r>
            <w:r w:rsidR="00073E0C" w:rsidRPr="00A778BF">
              <w:rPr>
                <w:rFonts w:ascii="Calibri" w:hAnsi="Calibri" w:cs="Arial"/>
                <w:color w:val="000000"/>
                <w:sz w:val="20"/>
                <w:szCs w:val="20"/>
                <w:lang w:val="fr-CA"/>
              </w:rPr>
              <w:t>SG</w:t>
            </w:r>
            <w:r>
              <w:rPr>
                <w:rFonts w:ascii="Calibri" w:hAnsi="Calibri" w:cs="Arial"/>
                <w:color w:val="000000"/>
                <w:sz w:val="20"/>
                <w:szCs w:val="20"/>
                <w:lang w:val="fr-CA"/>
              </w:rPr>
              <w:t>A</w:t>
            </w:r>
            <w:r w:rsidR="00073E0C" w:rsidRPr="00A778BF">
              <w:rPr>
                <w:rFonts w:ascii="Calibri" w:hAnsi="Calibri" w:cs="Arial"/>
                <w:color w:val="000000"/>
                <w:sz w:val="20"/>
                <w:szCs w:val="20"/>
                <w:lang w:val="fr-CA"/>
              </w:rPr>
              <w:t>)</w:t>
            </w:r>
          </w:p>
        </w:tc>
        <w:tc>
          <w:tcPr>
            <w:tcW w:w="1134" w:type="dxa"/>
            <w:tcBorders>
              <w:bottom w:val="single" w:sz="4" w:space="0" w:color="auto"/>
            </w:tcBorders>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COP13</w:t>
            </w:r>
          </w:p>
        </w:tc>
        <w:tc>
          <w:tcPr>
            <w:tcW w:w="3827" w:type="dxa"/>
            <w:tcBorders>
              <w:bottom w:val="single" w:sz="4" w:space="0" w:color="auto"/>
            </w:tcBorders>
            <w:shd w:val="clear" w:color="auto" w:fill="auto"/>
          </w:tcPr>
          <w:p w:rsidR="00073E0C" w:rsidRPr="00A778BF" w:rsidRDefault="00BE212D" w:rsidP="006D32D6">
            <w:pPr>
              <w:rPr>
                <w:rFonts w:ascii="Calibri" w:hAnsi="Calibri" w:cs="Arial"/>
                <w:color w:val="000000"/>
                <w:sz w:val="20"/>
                <w:szCs w:val="20"/>
                <w:lang w:val="fr-CA"/>
              </w:rPr>
            </w:pPr>
            <w:r>
              <w:rPr>
                <w:rFonts w:ascii="Calibri" w:hAnsi="Calibri" w:cs="Arial"/>
                <w:color w:val="000000"/>
                <w:sz w:val="20"/>
                <w:szCs w:val="20"/>
                <w:lang w:val="fr-CA"/>
              </w:rPr>
              <w:t xml:space="preserve">Un coût unitaire de </w:t>
            </w:r>
            <w:r w:rsidR="00073E0C" w:rsidRPr="00A778BF">
              <w:rPr>
                <w:rFonts w:ascii="Calibri" w:hAnsi="Calibri" w:cs="Arial"/>
                <w:color w:val="000000"/>
                <w:sz w:val="20"/>
                <w:szCs w:val="20"/>
                <w:lang w:val="fr-CA"/>
              </w:rPr>
              <w:t>1</w:t>
            </w:r>
            <w:r w:rsidR="00556653">
              <w:rPr>
                <w:rFonts w:ascii="Calibri" w:hAnsi="Calibri" w:cs="Arial"/>
                <w:color w:val="000000"/>
                <w:sz w:val="20"/>
                <w:szCs w:val="20"/>
                <w:lang w:val="fr-CA"/>
              </w:rPr>
              <w:t>37</w:t>
            </w:r>
            <w:r>
              <w:rPr>
                <w:rFonts w:ascii="Calibri" w:hAnsi="Calibri" w:cs="Arial"/>
                <w:color w:val="000000"/>
                <w:sz w:val="20"/>
                <w:szCs w:val="20"/>
                <w:lang w:val="fr-CA"/>
              </w:rPr>
              <w:t> </w:t>
            </w:r>
            <w:r w:rsidR="00073E0C" w:rsidRPr="00A778BF">
              <w:rPr>
                <w:rFonts w:ascii="Calibri" w:hAnsi="Calibri" w:cs="Arial"/>
                <w:color w:val="000000"/>
                <w:sz w:val="20"/>
                <w:szCs w:val="20"/>
                <w:lang w:val="fr-CA"/>
              </w:rPr>
              <w:t>000</w:t>
            </w:r>
            <w:r>
              <w:rPr>
                <w:rFonts w:ascii="Calibri" w:hAnsi="Calibri" w:cs="Arial"/>
                <w:color w:val="000000"/>
                <w:sz w:val="20"/>
                <w:szCs w:val="20"/>
                <w:lang w:val="fr-CA"/>
              </w:rPr>
              <w:t xml:space="preserve"> CHF pour produire une publication importante (ouvrage) sur l’État </w:t>
            </w:r>
            <w:r w:rsidR="006D32D6">
              <w:rPr>
                <w:rFonts w:ascii="Calibri" w:hAnsi="Calibri" w:cs="Arial"/>
                <w:color w:val="000000"/>
                <w:sz w:val="20"/>
                <w:szCs w:val="20"/>
                <w:lang w:val="fr-CA"/>
              </w:rPr>
              <w:t xml:space="preserve">mondial </w:t>
            </w:r>
            <w:r>
              <w:rPr>
                <w:rFonts w:ascii="Calibri" w:hAnsi="Calibri" w:cs="Arial"/>
                <w:color w:val="000000"/>
                <w:sz w:val="20"/>
                <w:szCs w:val="20"/>
                <w:lang w:val="fr-CA"/>
              </w:rPr>
              <w:t xml:space="preserve">des zones humides en 2018 pour la COP13, contribuant ainsi aux </w:t>
            </w:r>
            <w:r w:rsidR="0061532D">
              <w:rPr>
                <w:rFonts w:ascii="Calibri" w:hAnsi="Calibri" w:cs="Arial"/>
                <w:color w:val="000000"/>
                <w:sz w:val="20"/>
                <w:szCs w:val="20"/>
                <w:lang w:val="fr-CA"/>
              </w:rPr>
              <w:t>P</w:t>
            </w:r>
            <w:r>
              <w:rPr>
                <w:rFonts w:ascii="Calibri" w:hAnsi="Calibri" w:cs="Arial"/>
                <w:color w:val="000000"/>
                <w:sz w:val="20"/>
                <w:szCs w:val="20"/>
                <w:lang w:val="fr-CA"/>
              </w:rPr>
              <w:t>erspectives mondiales de la biodiversité de la Convention sur la diversité biologique.</w:t>
            </w:r>
            <w:r w:rsidR="00073E0C" w:rsidRPr="00A778BF">
              <w:rPr>
                <w:rFonts w:ascii="Calibri" w:hAnsi="Calibri" w:cs="Arial"/>
                <w:color w:val="000000"/>
                <w:sz w:val="20"/>
                <w:szCs w:val="20"/>
                <w:lang w:val="fr-CA"/>
              </w:rPr>
              <w:t xml:space="preserve"> </w:t>
            </w:r>
          </w:p>
        </w:tc>
        <w:tc>
          <w:tcPr>
            <w:tcW w:w="1134" w:type="dxa"/>
            <w:tcBorders>
              <w:bottom w:val="single" w:sz="4" w:space="0" w:color="auto"/>
            </w:tcBorders>
            <w:shd w:val="clear" w:color="auto" w:fill="auto"/>
          </w:tcPr>
          <w:p w:rsidR="00073E0C" w:rsidRPr="00534C4C" w:rsidRDefault="00073E0C" w:rsidP="006B5FCE">
            <w:pPr>
              <w:rPr>
                <w:rFonts w:ascii="Calibri" w:hAnsi="Calibri" w:cs="Arial"/>
                <w:bCs/>
                <w:color w:val="000000"/>
                <w:sz w:val="20"/>
                <w:szCs w:val="20"/>
                <w:lang w:val="fr-CA"/>
              </w:rPr>
            </w:pPr>
            <w:r w:rsidRPr="00534C4C">
              <w:rPr>
                <w:rFonts w:ascii="Calibri" w:hAnsi="Calibri" w:cs="Arial"/>
                <w:bCs/>
                <w:color w:val="000000"/>
                <w:sz w:val="20"/>
                <w:szCs w:val="20"/>
                <w:lang w:val="fr-CA"/>
              </w:rPr>
              <w:t> </w:t>
            </w:r>
          </w:p>
        </w:tc>
        <w:tc>
          <w:tcPr>
            <w:tcW w:w="1417" w:type="dxa"/>
            <w:tcBorders>
              <w:bottom w:val="single" w:sz="4" w:space="0" w:color="auto"/>
            </w:tcBorders>
            <w:shd w:val="clear" w:color="auto" w:fill="auto"/>
          </w:tcPr>
          <w:p w:rsidR="00073E0C" w:rsidRPr="00534C4C" w:rsidRDefault="00073E0C" w:rsidP="006B5FCE">
            <w:pPr>
              <w:rPr>
                <w:rFonts w:ascii="Calibri" w:hAnsi="Calibri" w:cs="Arial"/>
                <w:color w:val="000000"/>
                <w:sz w:val="20"/>
                <w:szCs w:val="20"/>
                <w:lang w:val="fr-CA"/>
              </w:rPr>
            </w:pPr>
            <w:r w:rsidRPr="00534C4C">
              <w:rPr>
                <w:rFonts w:ascii="Calibri" w:hAnsi="Calibri" w:cs="Arial"/>
                <w:color w:val="000000"/>
                <w:sz w:val="20"/>
                <w:szCs w:val="20"/>
                <w:lang w:val="fr-CA"/>
              </w:rPr>
              <w:t> </w:t>
            </w:r>
          </w:p>
        </w:tc>
        <w:tc>
          <w:tcPr>
            <w:tcW w:w="1418" w:type="dxa"/>
            <w:tcBorders>
              <w:bottom w:val="single" w:sz="4" w:space="0" w:color="auto"/>
            </w:tcBorders>
            <w:shd w:val="clear" w:color="auto" w:fill="auto"/>
          </w:tcPr>
          <w:p w:rsidR="00073E0C" w:rsidRPr="00534C4C" w:rsidRDefault="00073E0C" w:rsidP="00556653">
            <w:pPr>
              <w:jc w:val="right"/>
              <w:rPr>
                <w:rFonts w:ascii="Calibri" w:hAnsi="Calibri" w:cs="Arial"/>
                <w:color w:val="000000"/>
                <w:sz w:val="20"/>
                <w:szCs w:val="20"/>
                <w:lang w:val="fr-CA"/>
              </w:rPr>
            </w:pPr>
            <w:r w:rsidRPr="00534C4C">
              <w:rPr>
                <w:rFonts w:ascii="Calibri" w:hAnsi="Calibri" w:cs="Arial"/>
                <w:color w:val="000000"/>
                <w:sz w:val="20"/>
                <w:szCs w:val="20"/>
                <w:lang w:val="fr-CA"/>
              </w:rPr>
              <w:t>1</w:t>
            </w:r>
            <w:r w:rsidR="00556653" w:rsidRPr="00534C4C">
              <w:rPr>
                <w:rFonts w:ascii="Calibri" w:hAnsi="Calibri" w:cs="Arial"/>
                <w:color w:val="000000"/>
                <w:sz w:val="20"/>
                <w:szCs w:val="20"/>
                <w:lang w:val="fr-CA"/>
              </w:rPr>
              <w:t>37</w:t>
            </w:r>
            <w:r w:rsidR="00E10389" w:rsidRPr="00534C4C">
              <w:rPr>
                <w:rFonts w:ascii="Calibri" w:hAnsi="Calibri" w:cs="Arial"/>
                <w:color w:val="000000"/>
                <w:sz w:val="20"/>
                <w:szCs w:val="20"/>
                <w:lang w:val="fr-CA"/>
              </w:rPr>
              <w:t xml:space="preserve"> </w:t>
            </w:r>
            <w:r w:rsidRPr="00534C4C">
              <w:rPr>
                <w:rFonts w:ascii="Calibri" w:hAnsi="Calibri" w:cs="Arial"/>
                <w:color w:val="000000"/>
                <w:sz w:val="20"/>
                <w:szCs w:val="20"/>
                <w:lang w:val="fr-CA"/>
              </w:rPr>
              <w:t>000</w:t>
            </w:r>
          </w:p>
        </w:tc>
      </w:tr>
      <w:tr w:rsidR="006B5FCE" w:rsidRPr="00A778BF" w:rsidTr="00534C4C">
        <w:trPr>
          <w:cantSplit/>
        </w:trPr>
        <w:tc>
          <w:tcPr>
            <w:tcW w:w="4253" w:type="dxa"/>
            <w:tcBorders>
              <w:top w:val="single" w:sz="4" w:space="0" w:color="auto"/>
              <w:left w:val="nil"/>
              <w:bottom w:val="nil"/>
              <w:right w:val="nil"/>
            </w:tcBorders>
            <w:shd w:val="clear" w:color="auto" w:fill="auto"/>
          </w:tcPr>
          <w:p w:rsidR="006B5FCE" w:rsidRPr="00A778BF" w:rsidRDefault="006B5FCE" w:rsidP="006B5FCE">
            <w:pPr>
              <w:rPr>
                <w:rFonts w:ascii="Calibri" w:hAnsi="Calibri" w:cs="Arial"/>
                <w:color w:val="000000"/>
                <w:sz w:val="20"/>
                <w:szCs w:val="20"/>
                <w:lang w:val="fr-CA"/>
              </w:rPr>
            </w:pPr>
          </w:p>
          <w:p w:rsidR="006B5FCE" w:rsidRPr="00A778BF" w:rsidRDefault="006B5FCE" w:rsidP="006B5FCE">
            <w:pPr>
              <w:rPr>
                <w:rFonts w:ascii="Calibri" w:hAnsi="Calibri" w:cs="Arial"/>
                <w:color w:val="000000"/>
                <w:sz w:val="20"/>
                <w:szCs w:val="20"/>
                <w:lang w:val="fr-CA"/>
              </w:rPr>
            </w:pPr>
          </w:p>
          <w:p w:rsidR="006B5FCE" w:rsidRPr="00A778BF" w:rsidRDefault="006B5FCE" w:rsidP="006B5FCE">
            <w:pPr>
              <w:rPr>
                <w:rFonts w:ascii="Calibri" w:hAnsi="Calibri" w:cs="Arial"/>
                <w:color w:val="000000"/>
                <w:sz w:val="20"/>
                <w:szCs w:val="20"/>
                <w:lang w:val="fr-CA"/>
              </w:rPr>
            </w:pPr>
          </w:p>
        </w:tc>
        <w:tc>
          <w:tcPr>
            <w:tcW w:w="1560" w:type="dxa"/>
            <w:tcBorders>
              <w:top w:val="single" w:sz="4" w:space="0" w:color="auto"/>
              <w:left w:val="nil"/>
              <w:bottom w:val="nil"/>
              <w:right w:val="nil"/>
            </w:tcBorders>
            <w:shd w:val="clear" w:color="auto" w:fill="auto"/>
          </w:tcPr>
          <w:p w:rsidR="006B5FCE" w:rsidRPr="00A778BF" w:rsidRDefault="006B5FCE" w:rsidP="006B5FCE">
            <w:pPr>
              <w:rPr>
                <w:rFonts w:ascii="Calibri" w:hAnsi="Calibri" w:cs="Arial"/>
                <w:color w:val="000000"/>
                <w:sz w:val="20"/>
                <w:szCs w:val="20"/>
                <w:lang w:val="fr-CA"/>
              </w:rPr>
            </w:pPr>
          </w:p>
        </w:tc>
        <w:tc>
          <w:tcPr>
            <w:tcW w:w="1134" w:type="dxa"/>
            <w:tcBorders>
              <w:top w:val="single" w:sz="4" w:space="0" w:color="auto"/>
              <w:left w:val="nil"/>
              <w:bottom w:val="nil"/>
              <w:right w:val="nil"/>
            </w:tcBorders>
            <w:shd w:val="clear" w:color="auto" w:fill="auto"/>
          </w:tcPr>
          <w:p w:rsidR="006B5FCE" w:rsidRPr="00A778BF" w:rsidRDefault="006B5FCE" w:rsidP="006B5FCE">
            <w:pPr>
              <w:rPr>
                <w:rFonts w:ascii="Calibri" w:hAnsi="Calibri" w:cs="Arial"/>
                <w:color w:val="000000"/>
                <w:sz w:val="20"/>
                <w:szCs w:val="20"/>
                <w:lang w:val="fr-CA"/>
              </w:rPr>
            </w:pPr>
          </w:p>
        </w:tc>
        <w:tc>
          <w:tcPr>
            <w:tcW w:w="3827" w:type="dxa"/>
            <w:tcBorders>
              <w:top w:val="single" w:sz="4" w:space="0" w:color="auto"/>
              <w:left w:val="nil"/>
              <w:bottom w:val="nil"/>
              <w:right w:val="nil"/>
            </w:tcBorders>
            <w:shd w:val="clear" w:color="auto" w:fill="auto"/>
          </w:tcPr>
          <w:p w:rsidR="006B5FCE" w:rsidRPr="00A778BF" w:rsidRDefault="006B5FCE" w:rsidP="006B5FCE">
            <w:pPr>
              <w:rPr>
                <w:rFonts w:ascii="Calibri" w:hAnsi="Calibri" w:cs="Arial"/>
                <w:color w:val="000000"/>
                <w:sz w:val="20"/>
                <w:szCs w:val="20"/>
                <w:lang w:val="fr-CA"/>
              </w:rPr>
            </w:pPr>
          </w:p>
        </w:tc>
        <w:tc>
          <w:tcPr>
            <w:tcW w:w="1134" w:type="dxa"/>
            <w:tcBorders>
              <w:top w:val="single" w:sz="4" w:space="0" w:color="auto"/>
              <w:left w:val="nil"/>
              <w:bottom w:val="nil"/>
              <w:right w:val="nil"/>
            </w:tcBorders>
            <w:shd w:val="clear" w:color="auto" w:fill="auto"/>
          </w:tcPr>
          <w:p w:rsidR="006B5FCE" w:rsidRPr="00A778BF" w:rsidRDefault="006B5FCE" w:rsidP="006B5FCE">
            <w:pPr>
              <w:rPr>
                <w:rFonts w:ascii="Calibri" w:hAnsi="Calibri" w:cs="Arial"/>
                <w:b/>
                <w:bCs/>
                <w:color w:val="000000"/>
                <w:sz w:val="20"/>
                <w:szCs w:val="20"/>
                <w:lang w:val="fr-CA"/>
              </w:rPr>
            </w:pPr>
          </w:p>
        </w:tc>
        <w:tc>
          <w:tcPr>
            <w:tcW w:w="1417" w:type="dxa"/>
            <w:tcBorders>
              <w:top w:val="single" w:sz="4" w:space="0" w:color="auto"/>
              <w:left w:val="nil"/>
              <w:bottom w:val="nil"/>
              <w:right w:val="nil"/>
            </w:tcBorders>
            <w:shd w:val="clear" w:color="auto" w:fill="auto"/>
          </w:tcPr>
          <w:p w:rsidR="006B5FCE" w:rsidRPr="00A778BF" w:rsidRDefault="006B5FCE" w:rsidP="006B5FCE">
            <w:pPr>
              <w:rPr>
                <w:rFonts w:ascii="Calibri" w:hAnsi="Calibri" w:cs="Arial"/>
                <w:color w:val="000000"/>
                <w:sz w:val="20"/>
                <w:szCs w:val="20"/>
                <w:lang w:val="fr-CA"/>
              </w:rPr>
            </w:pPr>
          </w:p>
        </w:tc>
        <w:tc>
          <w:tcPr>
            <w:tcW w:w="1418" w:type="dxa"/>
            <w:tcBorders>
              <w:top w:val="single" w:sz="4" w:space="0" w:color="auto"/>
              <w:left w:val="nil"/>
              <w:bottom w:val="nil"/>
              <w:right w:val="nil"/>
            </w:tcBorders>
            <w:shd w:val="clear" w:color="auto" w:fill="auto"/>
          </w:tcPr>
          <w:p w:rsidR="006B5FCE" w:rsidRPr="00A778BF" w:rsidRDefault="006B5FCE" w:rsidP="006B5FCE">
            <w:pPr>
              <w:jc w:val="right"/>
              <w:rPr>
                <w:rFonts w:ascii="Calibri" w:hAnsi="Calibri" w:cs="Arial"/>
                <w:color w:val="000000"/>
                <w:sz w:val="20"/>
                <w:szCs w:val="20"/>
                <w:lang w:val="fr-CA"/>
              </w:rPr>
            </w:pPr>
          </w:p>
        </w:tc>
      </w:tr>
      <w:tr w:rsidR="006B5FCE" w:rsidRPr="00A778BF" w:rsidTr="00534C4C">
        <w:trPr>
          <w:cantSplit/>
        </w:trPr>
        <w:tc>
          <w:tcPr>
            <w:tcW w:w="4253" w:type="dxa"/>
            <w:tcBorders>
              <w:top w:val="nil"/>
            </w:tcBorders>
            <w:shd w:val="clear" w:color="auto" w:fill="D9D9D9" w:themeFill="background1" w:themeFillShade="D9"/>
          </w:tcPr>
          <w:p w:rsidR="00073E0C" w:rsidRPr="00A778BF" w:rsidRDefault="00BE212D" w:rsidP="00DA45B2">
            <w:pPr>
              <w:rPr>
                <w:rFonts w:ascii="Calibri" w:hAnsi="Calibri" w:cs="Arial"/>
                <w:b/>
                <w:bCs/>
                <w:color w:val="000000"/>
                <w:sz w:val="20"/>
                <w:szCs w:val="20"/>
                <w:lang w:val="fr-CA"/>
              </w:rPr>
            </w:pPr>
            <w:r w:rsidRPr="00A778BF">
              <w:rPr>
                <w:rFonts w:ascii="Calibri" w:hAnsi="Calibri" w:cs="Arial"/>
                <w:b/>
                <w:bCs/>
                <w:color w:val="000000"/>
                <w:sz w:val="20"/>
                <w:szCs w:val="20"/>
                <w:lang w:val="fr-CA"/>
              </w:rPr>
              <w:lastRenderedPageBreak/>
              <w:t>Résolution</w:t>
            </w:r>
            <w:r w:rsidR="00073E0C" w:rsidRPr="00A778BF">
              <w:rPr>
                <w:rFonts w:ascii="Calibri" w:hAnsi="Calibri" w:cs="Arial"/>
                <w:b/>
                <w:bCs/>
                <w:color w:val="000000"/>
                <w:sz w:val="20"/>
                <w:szCs w:val="20"/>
                <w:lang w:val="fr-CA"/>
              </w:rPr>
              <w:t xml:space="preserve"> XII.6</w:t>
            </w:r>
            <w:r w:rsidR="00733655">
              <w:rPr>
                <w:rFonts w:ascii="Calibri" w:hAnsi="Calibri" w:cs="Arial"/>
                <w:b/>
                <w:bCs/>
                <w:color w:val="000000"/>
                <w:sz w:val="20"/>
                <w:szCs w:val="20"/>
                <w:lang w:val="fr-CA"/>
              </w:rPr>
              <w:t xml:space="preserve"> </w:t>
            </w:r>
            <w:r w:rsidR="0048259A" w:rsidRPr="00A778BF">
              <w:rPr>
                <w:rFonts w:ascii="Calibri" w:hAnsi="Calibri" w:cs="Arial"/>
                <w:b/>
                <w:bCs/>
                <w:color w:val="000000"/>
                <w:sz w:val="20"/>
                <w:szCs w:val="20"/>
                <w:lang w:val="fr-CA"/>
              </w:rPr>
              <w:t xml:space="preserve">État des sites inscrits sur la Liste de Ramsar des zones humides d’importance internationale </w:t>
            </w:r>
            <w:r w:rsidR="006B5FCE" w:rsidRPr="00A778BF">
              <w:rPr>
                <w:rFonts w:ascii="Calibri" w:hAnsi="Calibri" w:cs="Arial"/>
                <w:b/>
                <w:bCs/>
                <w:color w:val="000000"/>
                <w:sz w:val="20"/>
                <w:szCs w:val="20"/>
                <w:lang w:val="fr-CA"/>
              </w:rPr>
              <w:t>(</w:t>
            </w:r>
            <w:r w:rsidR="00DA45B2" w:rsidRPr="00A778BF">
              <w:rPr>
                <w:rFonts w:ascii="Calibri" w:hAnsi="Calibri" w:cs="Arial"/>
                <w:b/>
                <w:bCs/>
                <w:color w:val="000000"/>
                <w:sz w:val="20"/>
                <w:szCs w:val="20"/>
                <w:lang w:val="fr-CA"/>
              </w:rPr>
              <w:t>But</w:t>
            </w:r>
            <w:r w:rsidR="006B5FCE" w:rsidRPr="00A778BF">
              <w:rPr>
                <w:rFonts w:ascii="Calibri" w:hAnsi="Calibri" w:cs="Arial"/>
                <w:b/>
                <w:bCs/>
                <w:color w:val="000000"/>
                <w:sz w:val="20"/>
                <w:szCs w:val="20"/>
                <w:lang w:val="fr-CA"/>
              </w:rPr>
              <w:t xml:space="preserve"> 2)</w:t>
            </w:r>
          </w:p>
        </w:tc>
        <w:tc>
          <w:tcPr>
            <w:tcW w:w="1560" w:type="dxa"/>
            <w:tcBorders>
              <w:top w:val="nil"/>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tcBorders>
              <w:top w:val="nil"/>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tcBorders>
              <w:top w:val="nil"/>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tcBorders>
              <w:top w:val="nil"/>
            </w:tcBorders>
            <w:shd w:val="clear" w:color="auto" w:fill="D9D9D9" w:themeFill="background1" w:themeFillShade="D9"/>
          </w:tcPr>
          <w:p w:rsidR="00073E0C" w:rsidRPr="00A778BF" w:rsidRDefault="00CE47C7" w:rsidP="006B5FCE">
            <w:pPr>
              <w:jc w:val="right"/>
              <w:rPr>
                <w:rFonts w:ascii="Calibri" w:hAnsi="Calibri" w:cs="Arial"/>
                <w:b/>
                <w:bCs/>
                <w:color w:val="000000"/>
                <w:sz w:val="20"/>
                <w:szCs w:val="20"/>
                <w:lang w:val="fr-CA"/>
              </w:rPr>
            </w:pPr>
            <w:r>
              <w:rPr>
                <w:rFonts w:ascii="Calibri" w:hAnsi="Calibri" w:cs="Arial"/>
                <w:b/>
                <w:bCs/>
                <w:color w:val="000000"/>
                <w:sz w:val="20"/>
                <w:szCs w:val="20"/>
                <w:lang w:val="fr-CA"/>
              </w:rPr>
              <w:t>8</w:t>
            </w:r>
            <w:r w:rsidR="00073E0C" w:rsidRPr="00A778BF">
              <w:rPr>
                <w:rFonts w:ascii="Calibri" w:hAnsi="Calibri" w:cs="Arial"/>
                <w:b/>
                <w:bCs/>
                <w:color w:val="000000"/>
                <w:sz w:val="20"/>
                <w:szCs w:val="20"/>
                <w:lang w:val="fr-CA"/>
              </w:rPr>
              <w:t>75</w:t>
            </w:r>
            <w:r w:rsidR="00E10389">
              <w:rPr>
                <w:rFonts w:ascii="Calibri" w:hAnsi="Calibri" w:cs="Arial"/>
                <w:b/>
                <w:bCs/>
                <w:color w:val="000000"/>
                <w:sz w:val="20"/>
                <w:szCs w:val="20"/>
                <w:lang w:val="fr-CA"/>
              </w:rPr>
              <w:t xml:space="preserve"> </w:t>
            </w:r>
            <w:r w:rsidR="00073E0C" w:rsidRPr="00A778BF">
              <w:rPr>
                <w:rFonts w:ascii="Calibri" w:hAnsi="Calibri" w:cs="Arial"/>
                <w:b/>
                <w:bCs/>
                <w:color w:val="000000"/>
                <w:sz w:val="20"/>
                <w:szCs w:val="20"/>
                <w:lang w:val="fr-CA"/>
              </w:rPr>
              <w:t>000</w:t>
            </w:r>
          </w:p>
        </w:tc>
        <w:tc>
          <w:tcPr>
            <w:tcW w:w="1417" w:type="dxa"/>
            <w:tcBorders>
              <w:top w:val="nil"/>
            </w:tcBorders>
            <w:shd w:val="clear" w:color="auto" w:fill="D9D9D9" w:themeFill="background1" w:themeFillShade="D9"/>
          </w:tcPr>
          <w:p w:rsidR="00073E0C" w:rsidRPr="00A778BF" w:rsidRDefault="00073E0C" w:rsidP="00534C4C">
            <w:pPr>
              <w:jc w:val="right"/>
              <w:rPr>
                <w:rFonts w:ascii="Calibri" w:hAnsi="Calibri" w:cs="Arial"/>
                <w:color w:val="000000"/>
                <w:sz w:val="20"/>
                <w:szCs w:val="20"/>
                <w:lang w:val="fr-CA"/>
              </w:rPr>
            </w:pPr>
            <w:r w:rsidRPr="00A778BF">
              <w:rPr>
                <w:rFonts w:ascii="Calibri" w:hAnsi="Calibri" w:cs="Arial"/>
                <w:color w:val="000000"/>
                <w:sz w:val="20"/>
                <w:szCs w:val="20"/>
                <w:lang w:val="fr-CA"/>
              </w:rPr>
              <w:t> </w:t>
            </w:r>
            <w:r w:rsidR="00CE47C7">
              <w:rPr>
                <w:rFonts w:ascii="Calibri" w:hAnsi="Calibri" w:cs="Arial"/>
                <w:color w:val="000000"/>
                <w:sz w:val="20"/>
                <w:szCs w:val="20"/>
                <w:lang w:val="fr-CA"/>
              </w:rPr>
              <w:t>775 000</w:t>
            </w:r>
          </w:p>
        </w:tc>
        <w:tc>
          <w:tcPr>
            <w:tcW w:w="1418" w:type="dxa"/>
            <w:tcBorders>
              <w:top w:val="nil"/>
            </w:tcBorders>
            <w:shd w:val="clear" w:color="auto" w:fill="D9D9D9" w:themeFill="background1" w:themeFillShade="D9"/>
          </w:tcPr>
          <w:p w:rsidR="00073E0C" w:rsidRPr="00CE47C7" w:rsidRDefault="00073E0C" w:rsidP="00534C4C">
            <w:pPr>
              <w:spacing w:after="240"/>
              <w:jc w:val="right"/>
              <w:rPr>
                <w:rFonts w:asciiTheme="minorHAnsi" w:hAnsiTheme="minorHAnsi" w:cs="Arial"/>
                <w:color w:val="000000"/>
                <w:sz w:val="20"/>
                <w:szCs w:val="20"/>
                <w:lang w:val="fr-CA"/>
              </w:rPr>
            </w:pPr>
            <w:r w:rsidRPr="00A778BF">
              <w:rPr>
                <w:rFonts w:ascii="Arial" w:hAnsi="Arial" w:cs="Arial"/>
                <w:color w:val="000000"/>
                <w:sz w:val="22"/>
                <w:szCs w:val="22"/>
                <w:lang w:val="fr-CA"/>
              </w:rPr>
              <w:t> </w:t>
            </w:r>
            <w:r w:rsidR="00CE47C7" w:rsidRPr="00CE47C7">
              <w:rPr>
                <w:rFonts w:asciiTheme="minorHAnsi" w:hAnsiTheme="minorHAnsi" w:cs="Arial"/>
                <w:color w:val="000000"/>
                <w:sz w:val="20"/>
                <w:szCs w:val="20"/>
                <w:lang w:val="fr-CA"/>
              </w:rPr>
              <w:t>100 000</w:t>
            </w:r>
          </w:p>
        </w:tc>
      </w:tr>
      <w:tr w:rsidR="00073E0C" w:rsidRPr="00A778BF"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6.13. </w:t>
            </w:r>
            <w:r w:rsidR="0048259A" w:rsidRPr="00A778BF">
              <w:rPr>
                <w:rFonts w:ascii="Calibri" w:hAnsi="Calibri" w:cs="Arial"/>
                <w:color w:val="000000"/>
                <w:sz w:val="20"/>
                <w:szCs w:val="20"/>
                <w:lang w:val="fr-CA"/>
              </w:rPr>
              <w:t>Respecter, de toute urgence, les termes de la Résolution VI.13 et de soumettre des informations à jour sur leurs Sites Ramsar, tous les six ans au moins, en utilisant le formulaire le plus à jour de la Fiche descriptive Ramsar (FDR), désormais disponible en ligne dans le cadre du nouveau Service d’information sur les Sites Ramsar, et d’utiliser également cette FDR pour inscrire de nouveaux sites et agrandir les sites existants.</w:t>
            </w:r>
          </w:p>
        </w:tc>
        <w:tc>
          <w:tcPr>
            <w:tcW w:w="1560" w:type="dxa"/>
            <w:shd w:val="clear" w:color="auto" w:fill="auto"/>
          </w:tcPr>
          <w:p w:rsidR="00073E0C" w:rsidRPr="00A778BF" w:rsidRDefault="00C544E0" w:rsidP="00C544E0">
            <w:pPr>
              <w:rPr>
                <w:rFonts w:ascii="Calibri" w:hAnsi="Calibri" w:cs="Arial"/>
                <w:color w:val="000000"/>
                <w:sz w:val="20"/>
                <w:szCs w:val="20"/>
                <w:lang w:val="fr-CA"/>
              </w:rPr>
            </w:pPr>
            <w:r>
              <w:rPr>
                <w:rFonts w:ascii="Calibri" w:hAnsi="Calibri" w:cs="Arial"/>
                <w:color w:val="000000"/>
                <w:sz w:val="20"/>
                <w:szCs w:val="20"/>
                <w:lang w:val="fr-CA"/>
              </w:rPr>
              <w:t>PC énumérées dans l’annexe 3b du rapport du SG</w:t>
            </w:r>
            <w:r w:rsidR="00CE47C7">
              <w:rPr>
                <w:rFonts w:ascii="Calibri" w:hAnsi="Calibri" w:cs="Arial"/>
                <w:color w:val="000000"/>
                <w:sz w:val="20"/>
                <w:szCs w:val="20"/>
                <w:lang w:val="fr-CA"/>
              </w:rPr>
              <w:t>; Secrétariat Ramsar</w:t>
            </w:r>
            <w:r>
              <w:rPr>
                <w:rFonts w:ascii="Calibri" w:hAnsi="Calibri" w:cs="Arial"/>
                <w:color w:val="000000"/>
                <w:sz w:val="20"/>
                <w:szCs w:val="20"/>
                <w:lang w:val="fr-CA"/>
              </w:rPr>
              <w:t xml:space="preserve"> </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73E0C" w:rsidRPr="00A778BF" w:rsidRDefault="00C544E0" w:rsidP="00C544E0">
            <w:pPr>
              <w:rPr>
                <w:rFonts w:ascii="Calibri" w:hAnsi="Calibri" w:cs="Arial"/>
                <w:color w:val="000000"/>
                <w:sz w:val="20"/>
                <w:szCs w:val="20"/>
                <w:lang w:val="fr-CA"/>
              </w:rPr>
            </w:pPr>
            <w:r>
              <w:rPr>
                <w:rFonts w:ascii="Calibri" w:hAnsi="Calibri" w:cs="Arial"/>
                <w:color w:val="000000"/>
                <w:sz w:val="20"/>
                <w:szCs w:val="20"/>
                <w:lang w:val="fr-CA"/>
              </w:rPr>
              <w:t>SISR</w:t>
            </w:r>
            <w:r w:rsidR="00073E0C" w:rsidRPr="00A778BF">
              <w:rPr>
                <w:rFonts w:ascii="Calibri" w:hAnsi="Calibri" w:cs="Arial"/>
                <w:color w:val="000000"/>
                <w:sz w:val="20"/>
                <w:szCs w:val="20"/>
                <w:lang w:val="fr-CA"/>
              </w:rPr>
              <w:t xml:space="preserve">, </w:t>
            </w:r>
            <w:r>
              <w:rPr>
                <w:rFonts w:ascii="Calibri" w:hAnsi="Calibri" w:cs="Arial"/>
                <w:color w:val="000000"/>
                <w:sz w:val="20"/>
                <w:szCs w:val="20"/>
                <w:lang w:val="fr-CA"/>
              </w:rPr>
              <w:t>GI</w:t>
            </w:r>
            <w:r w:rsidR="00073E0C" w:rsidRPr="00A778BF">
              <w:rPr>
                <w:rFonts w:ascii="Calibri" w:hAnsi="Calibri" w:cs="Arial"/>
                <w:color w:val="000000"/>
                <w:sz w:val="20"/>
                <w:szCs w:val="20"/>
                <w:lang w:val="fr-CA"/>
              </w:rPr>
              <w:t>/</w:t>
            </w:r>
            <w:r>
              <w:rPr>
                <w:rFonts w:ascii="Calibri" w:hAnsi="Calibri" w:cs="Arial"/>
                <w:color w:val="000000"/>
                <w:sz w:val="20"/>
                <w:szCs w:val="20"/>
                <w:lang w:val="fr-CA"/>
              </w:rPr>
              <w:t>TI</w:t>
            </w:r>
            <w:r w:rsidR="00073E0C" w:rsidRPr="00A778BF">
              <w:rPr>
                <w:rFonts w:ascii="Calibri" w:hAnsi="Calibri" w:cs="Arial"/>
                <w:color w:val="000000"/>
                <w:sz w:val="20"/>
                <w:szCs w:val="20"/>
                <w:lang w:val="fr-CA"/>
              </w:rPr>
              <w:t xml:space="preserve"> (</w:t>
            </w:r>
            <w:r>
              <w:rPr>
                <w:rFonts w:ascii="Calibri" w:hAnsi="Calibri" w:cs="Arial"/>
                <w:color w:val="000000"/>
                <w:sz w:val="20"/>
                <w:szCs w:val="20"/>
                <w:lang w:val="fr-CA"/>
              </w:rPr>
              <w:t xml:space="preserve">site web) : développement continu. Également petites subventions de </w:t>
            </w:r>
            <w:r w:rsidR="00073E0C" w:rsidRPr="00A778BF">
              <w:rPr>
                <w:rFonts w:ascii="Calibri" w:hAnsi="Calibri" w:cs="Arial"/>
                <w:color w:val="000000"/>
                <w:sz w:val="20"/>
                <w:szCs w:val="20"/>
                <w:lang w:val="fr-CA"/>
              </w:rPr>
              <w:t>10</w:t>
            </w:r>
            <w:r>
              <w:rPr>
                <w:rFonts w:ascii="Calibri" w:hAnsi="Calibri" w:cs="Arial"/>
                <w:color w:val="000000"/>
                <w:sz w:val="20"/>
                <w:szCs w:val="20"/>
                <w:lang w:val="fr-CA"/>
              </w:rPr>
              <w:t> </w:t>
            </w:r>
            <w:r w:rsidR="00073E0C" w:rsidRPr="00A778BF">
              <w:rPr>
                <w:rFonts w:ascii="Calibri" w:hAnsi="Calibri" w:cs="Arial"/>
                <w:color w:val="000000"/>
                <w:sz w:val="20"/>
                <w:szCs w:val="20"/>
                <w:lang w:val="fr-CA"/>
              </w:rPr>
              <w:t>000</w:t>
            </w:r>
            <w:r>
              <w:rPr>
                <w:rFonts w:ascii="Calibri" w:hAnsi="Calibri" w:cs="Arial"/>
                <w:color w:val="000000"/>
                <w:sz w:val="20"/>
                <w:szCs w:val="20"/>
                <w:lang w:val="fr-CA"/>
              </w:rPr>
              <w:t> CHF par</w:t>
            </w:r>
            <w:r w:rsidR="00073E0C" w:rsidRPr="00A778BF">
              <w:rPr>
                <w:rFonts w:ascii="Calibri" w:hAnsi="Calibri" w:cs="Arial"/>
                <w:color w:val="000000"/>
                <w:sz w:val="20"/>
                <w:szCs w:val="20"/>
                <w:lang w:val="fr-CA"/>
              </w:rPr>
              <w:t xml:space="preserve"> site </w:t>
            </w:r>
            <w:r>
              <w:rPr>
                <w:rFonts w:ascii="Calibri" w:hAnsi="Calibri" w:cs="Arial"/>
                <w:color w:val="000000"/>
                <w:sz w:val="20"/>
                <w:szCs w:val="20"/>
                <w:lang w:val="fr-CA"/>
              </w:rPr>
              <w:t>pour le renforcement des capacités (en particulier en SIG) pour désigner de nouveaux Sites Ramsar ou mettre à jour/agrandir des sites existants</w:t>
            </w:r>
            <w:r w:rsidR="003E292F">
              <w:rPr>
                <w:rFonts w:ascii="Calibri" w:hAnsi="Calibri" w:cs="Arial"/>
                <w:color w:val="000000"/>
                <w:sz w:val="20"/>
                <w:szCs w:val="20"/>
                <w:lang w:val="fr-CA"/>
              </w:rPr>
              <w:t>.</w:t>
            </w:r>
            <w:r>
              <w:rPr>
                <w:rFonts w:ascii="Calibri" w:hAnsi="Calibri" w:cs="Arial"/>
                <w:color w:val="000000"/>
                <w:sz w:val="20"/>
                <w:szCs w:val="20"/>
                <w:lang w:val="fr-CA"/>
              </w:rPr>
              <w:t xml:space="preserve"> </w:t>
            </w:r>
            <w:r w:rsidR="00073E0C" w:rsidRPr="00A778BF">
              <w:rPr>
                <w:rFonts w:ascii="Calibri" w:hAnsi="Calibri" w:cs="Arial"/>
                <w:color w:val="000000"/>
                <w:sz w:val="20"/>
                <w:szCs w:val="20"/>
                <w:lang w:val="fr-CA"/>
              </w:rPr>
              <w:t xml:space="preserve">10 </w:t>
            </w:r>
            <w:r>
              <w:rPr>
                <w:rFonts w:ascii="Calibri" w:hAnsi="Calibri" w:cs="Arial"/>
                <w:color w:val="000000"/>
                <w:sz w:val="20"/>
                <w:szCs w:val="20"/>
                <w:lang w:val="fr-CA"/>
              </w:rPr>
              <w:t>s</w:t>
            </w:r>
            <w:r w:rsidR="00073E0C" w:rsidRPr="00A778BF">
              <w:rPr>
                <w:rFonts w:ascii="Calibri" w:hAnsi="Calibri" w:cs="Arial"/>
                <w:color w:val="000000"/>
                <w:sz w:val="20"/>
                <w:szCs w:val="20"/>
                <w:lang w:val="fr-CA"/>
              </w:rPr>
              <w:t>ites s</w:t>
            </w:r>
            <w:r>
              <w:rPr>
                <w:rFonts w:ascii="Calibri" w:hAnsi="Calibri" w:cs="Arial"/>
                <w:color w:val="000000"/>
                <w:sz w:val="20"/>
                <w:szCs w:val="20"/>
                <w:lang w:val="fr-CA"/>
              </w:rPr>
              <w:t>outenus dans la période triennale.</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jc w:val="right"/>
              <w:rPr>
                <w:rFonts w:ascii="Calibri" w:hAnsi="Calibri" w:cs="Arial"/>
                <w:color w:val="000000"/>
                <w:sz w:val="20"/>
                <w:szCs w:val="20"/>
                <w:lang w:val="fr-CA"/>
              </w:rPr>
            </w:pPr>
            <w:r w:rsidRPr="00A778BF">
              <w:rPr>
                <w:rFonts w:ascii="Calibri" w:hAnsi="Calibri" w:cs="Arial"/>
                <w:color w:val="000000"/>
                <w:sz w:val="20"/>
                <w:szCs w:val="20"/>
                <w:lang w:val="fr-CA"/>
              </w:rPr>
              <w:t>175</w:t>
            </w:r>
            <w:r w:rsidR="00E10389">
              <w:rPr>
                <w:rFonts w:ascii="Calibri" w:hAnsi="Calibri" w:cs="Arial"/>
                <w:color w:val="000000"/>
                <w:sz w:val="20"/>
                <w:szCs w:val="20"/>
                <w:lang w:val="fr-CA"/>
              </w:rPr>
              <w:t xml:space="preserve"> </w:t>
            </w:r>
            <w:r w:rsidRPr="00A778BF">
              <w:rPr>
                <w:rFonts w:ascii="Calibri" w:hAnsi="Calibri" w:cs="Arial"/>
                <w:color w:val="000000"/>
                <w:sz w:val="20"/>
                <w:szCs w:val="20"/>
                <w:lang w:val="fr-CA"/>
              </w:rPr>
              <w:t>000</w:t>
            </w:r>
          </w:p>
        </w:tc>
        <w:tc>
          <w:tcPr>
            <w:tcW w:w="1418" w:type="dxa"/>
            <w:shd w:val="clear" w:color="auto" w:fill="auto"/>
          </w:tcPr>
          <w:p w:rsidR="00073E0C" w:rsidRPr="00A778BF" w:rsidRDefault="00073E0C" w:rsidP="006B5FCE">
            <w:pPr>
              <w:jc w:val="right"/>
              <w:rPr>
                <w:rFonts w:ascii="Calibri" w:hAnsi="Calibri" w:cs="Arial"/>
                <w:color w:val="000000"/>
                <w:sz w:val="20"/>
                <w:szCs w:val="20"/>
                <w:lang w:val="fr-CA"/>
              </w:rPr>
            </w:pPr>
            <w:r w:rsidRPr="00A778BF">
              <w:rPr>
                <w:rFonts w:ascii="Calibri" w:hAnsi="Calibri" w:cs="Arial"/>
                <w:color w:val="000000"/>
                <w:sz w:val="20"/>
                <w:szCs w:val="20"/>
                <w:lang w:val="fr-CA"/>
              </w:rPr>
              <w:t>100</w:t>
            </w:r>
            <w:r w:rsidR="00E10389">
              <w:rPr>
                <w:rFonts w:ascii="Calibri" w:hAnsi="Calibri" w:cs="Arial"/>
                <w:color w:val="000000"/>
                <w:sz w:val="20"/>
                <w:szCs w:val="20"/>
                <w:lang w:val="fr-CA"/>
              </w:rPr>
              <w:t xml:space="preserve"> </w:t>
            </w:r>
            <w:r w:rsidRPr="00A778BF">
              <w:rPr>
                <w:rFonts w:ascii="Calibri" w:hAnsi="Calibri" w:cs="Arial"/>
                <w:color w:val="000000"/>
                <w:sz w:val="20"/>
                <w:szCs w:val="20"/>
                <w:lang w:val="fr-CA"/>
              </w:rPr>
              <w:t>000</w:t>
            </w: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6.15.</w:t>
            </w:r>
            <w:r w:rsidR="00733655">
              <w:rPr>
                <w:rFonts w:ascii="Calibri" w:hAnsi="Calibri" w:cs="Arial"/>
                <w:color w:val="000000"/>
                <w:sz w:val="20"/>
                <w:szCs w:val="20"/>
                <w:lang w:val="fr-CA"/>
              </w:rPr>
              <w:t xml:space="preserve"> </w:t>
            </w:r>
            <w:r w:rsidR="0048259A" w:rsidRPr="00A778BF">
              <w:rPr>
                <w:rFonts w:ascii="Calibri" w:hAnsi="Calibri" w:cs="Arial"/>
                <w:color w:val="000000"/>
                <w:sz w:val="20"/>
                <w:szCs w:val="20"/>
                <w:lang w:val="fr-CA"/>
              </w:rPr>
              <w:t>Adopter et appliquer, dans le cadre de leurs plans de gestion des Sites Ramsar et autres zones humides, un système de surveillance continue approprié, tel que défini dans l’annexe de la Résolution VI.1 (1996), qui englobe le Cadre d’évaluation des risques pour les zones humides (Résolution VII.10) adopté par la Convention, de façon à pouvoir faire rapport sur les changements qui se sont produits ou sont susceptibles de se produire dans les caractéristiques écologiques des Sites Ramsar, conformément à l’article 3.2.</w:t>
            </w:r>
          </w:p>
        </w:tc>
        <w:tc>
          <w:tcPr>
            <w:tcW w:w="1560" w:type="dxa"/>
            <w:shd w:val="clear" w:color="auto" w:fill="auto"/>
          </w:tcPr>
          <w:p w:rsidR="00073E0C" w:rsidRPr="00A778BF" w:rsidRDefault="00613359" w:rsidP="006B5FCE">
            <w:pPr>
              <w:rPr>
                <w:rFonts w:ascii="Calibri" w:hAnsi="Calibri" w:cs="Arial"/>
                <w:color w:val="000000"/>
                <w:sz w:val="20"/>
                <w:szCs w:val="20"/>
                <w:lang w:val="fr-CA"/>
              </w:rPr>
            </w:pPr>
            <w:r>
              <w:rPr>
                <w:rFonts w:ascii="Calibri" w:hAnsi="Calibri" w:cs="Arial"/>
                <w:color w:val="000000"/>
                <w:sz w:val="20"/>
                <w:szCs w:val="20"/>
                <w:lang w:val="fr-CA"/>
              </w:rPr>
              <w:t>Toutes les PC</w:t>
            </w:r>
          </w:p>
        </w:tc>
        <w:tc>
          <w:tcPr>
            <w:tcW w:w="1134"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COP13</w:t>
            </w:r>
          </w:p>
        </w:tc>
        <w:tc>
          <w:tcPr>
            <w:tcW w:w="3827" w:type="dxa"/>
            <w:shd w:val="clear" w:color="auto" w:fill="auto"/>
          </w:tcPr>
          <w:p w:rsidR="00073E0C" w:rsidRPr="00A778BF" w:rsidRDefault="00613359" w:rsidP="00613359">
            <w:pPr>
              <w:rPr>
                <w:rFonts w:ascii="Calibri" w:hAnsi="Calibri" w:cs="Arial"/>
                <w:color w:val="000000"/>
                <w:sz w:val="20"/>
                <w:szCs w:val="20"/>
                <w:lang w:val="fr-CA"/>
              </w:rPr>
            </w:pPr>
            <w:r>
              <w:rPr>
                <w:rFonts w:ascii="Calibri" w:hAnsi="Calibri" w:cs="Arial"/>
                <w:color w:val="000000"/>
                <w:sz w:val="20"/>
                <w:szCs w:val="20"/>
                <w:lang w:val="fr-CA"/>
              </w:rPr>
              <w:t xml:space="preserve">Travail analytique sur le Système d’information sur les Sites Ramsar pour évaluer le nombre de sites dont les caractéristiques écologiques sont menacées et élaborer un régime de suivi avec les Parties concernées pour rassembler l’information sur certains paramètres convenus relatifs aux caractéristiques écologiques sur une base permanente. </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73E0C" w:rsidRPr="00A778BF" w:rsidRDefault="00073E0C" w:rsidP="006B5FCE">
            <w:pPr>
              <w:jc w:val="right"/>
              <w:rPr>
                <w:rFonts w:ascii="Calibri" w:hAnsi="Calibri" w:cs="Arial"/>
                <w:color w:val="000000"/>
                <w:sz w:val="20"/>
                <w:szCs w:val="20"/>
                <w:lang w:val="fr-CA"/>
              </w:rPr>
            </w:pPr>
          </w:p>
        </w:tc>
      </w:tr>
      <w:tr w:rsidR="00073E0C" w:rsidRPr="00A778BF" w:rsidTr="00534C4C">
        <w:trPr>
          <w:cantSplit/>
        </w:trPr>
        <w:tc>
          <w:tcPr>
            <w:tcW w:w="4253" w:type="dxa"/>
            <w:shd w:val="clear" w:color="auto" w:fill="auto"/>
          </w:tcPr>
          <w:p w:rsidR="00073E0C" w:rsidRPr="00A778BF" w:rsidRDefault="00073E0C" w:rsidP="0048259A">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 xml:space="preserve">6.18. </w:t>
            </w:r>
            <w:r w:rsidR="0048259A" w:rsidRPr="00A778BF">
              <w:rPr>
                <w:rFonts w:ascii="Calibri" w:hAnsi="Calibri" w:cs="Arial"/>
                <w:color w:val="000000"/>
                <w:sz w:val="20"/>
                <w:szCs w:val="20"/>
                <w:lang w:val="fr-CA"/>
              </w:rPr>
              <w:t>Aider et encourager les Parties qui prennent des mesures pour faire face aux changements ou changements probables dans les caractéristiques écologiques des Sites Ramsar, par exemple en leur fournissant directement des conseils, sur demande, sur l’application des principes d’utilisation rationnelle ou, le cas échéant, en leur proposant d’inscrire le(s) site(s) au Registre de Montreux ou de demander une Mission consultative Ramsar.</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w:t>
            </w:r>
            <w:r w:rsidR="00613359">
              <w:rPr>
                <w:rFonts w:ascii="Calibri" w:hAnsi="Calibri" w:cs="Arial"/>
                <w:color w:val="000000"/>
                <w:sz w:val="20"/>
                <w:szCs w:val="20"/>
                <w:lang w:val="fr-CA"/>
              </w:rPr>
              <w:br/>
            </w:r>
            <w:r w:rsidR="00073E0C" w:rsidRPr="00A778BF">
              <w:rPr>
                <w:rFonts w:ascii="Calibri" w:hAnsi="Calibri" w:cs="Arial"/>
                <w:color w:val="000000"/>
                <w:sz w:val="20"/>
                <w:szCs w:val="20"/>
                <w:lang w:val="fr-CA"/>
              </w:rPr>
              <w:t>(Reg)</w:t>
            </w:r>
          </w:p>
        </w:tc>
        <w:tc>
          <w:tcPr>
            <w:tcW w:w="1134" w:type="dxa"/>
            <w:shd w:val="clear" w:color="auto" w:fill="auto"/>
          </w:tcPr>
          <w:p w:rsidR="00073E0C" w:rsidRPr="00A778BF" w:rsidRDefault="00613359"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6E09BF" w:rsidP="00B905D7">
            <w:pPr>
              <w:rPr>
                <w:rFonts w:ascii="Calibri" w:hAnsi="Calibri" w:cs="Arial"/>
                <w:color w:val="000000"/>
                <w:sz w:val="20"/>
                <w:szCs w:val="20"/>
                <w:lang w:val="fr-CA"/>
              </w:rPr>
            </w:pPr>
            <w:r>
              <w:rPr>
                <w:rFonts w:ascii="Calibri" w:hAnsi="Calibri" w:cs="Arial"/>
                <w:color w:val="000000"/>
                <w:sz w:val="20"/>
                <w:szCs w:val="20"/>
                <w:lang w:val="fr-CA"/>
              </w:rPr>
              <w:t xml:space="preserve">Fonds nécessaires </w:t>
            </w:r>
            <w:r w:rsidR="00B905D7">
              <w:rPr>
                <w:rFonts w:ascii="Calibri" w:hAnsi="Calibri" w:cs="Arial"/>
                <w:color w:val="000000"/>
                <w:sz w:val="20"/>
                <w:szCs w:val="20"/>
                <w:lang w:val="fr-CA"/>
              </w:rPr>
              <w:t>à obtenir pour les MCR</w:t>
            </w:r>
            <w:r w:rsidR="00766F1E">
              <w:rPr>
                <w:rFonts w:ascii="Calibri" w:hAnsi="Calibri" w:cs="Arial"/>
                <w:color w:val="000000"/>
                <w:sz w:val="20"/>
                <w:szCs w:val="20"/>
                <w:lang w:val="fr-CA"/>
              </w:rPr>
              <w:t>.</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jc w:val="right"/>
              <w:rPr>
                <w:rFonts w:ascii="Calibri" w:hAnsi="Calibri" w:cs="Arial"/>
                <w:color w:val="000000"/>
                <w:sz w:val="20"/>
                <w:szCs w:val="20"/>
                <w:lang w:val="fr-CA"/>
              </w:rPr>
            </w:pPr>
            <w:r w:rsidRPr="00A778BF">
              <w:rPr>
                <w:rFonts w:ascii="Calibri" w:hAnsi="Calibri" w:cs="Arial"/>
                <w:color w:val="000000"/>
                <w:sz w:val="20"/>
                <w:szCs w:val="20"/>
                <w:lang w:val="fr-CA"/>
              </w:rPr>
              <w:t>600</w:t>
            </w:r>
            <w:r w:rsidR="00E10389">
              <w:rPr>
                <w:rFonts w:ascii="Calibri" w:hAnsi="Calibri" w:cs="Arial"/>
                <w:color w:val="000000"/>
                <w:sz w:val="20"/>
                <w:szCs w:val="20"/>
                <w:lang w:val="fr-CA"/>
              </w:rPr>
              <w:t xml:space="preserve"> </w:t>
            </w:r>
            <w:r w:rsidRPr="00A778BF">
              <w:rPr>
                <w:rFonts w:ascii="Calibri" w:hAnsi="Calibri" w:cs="Arial"/>
                <w:color w:val="000000"/>
                <w:sz w:val="20"/>
                <w:szCs w:val="20"/>
                <w:lang w:val="fr-CA"/>
              </w:rPr>
              <w:t>000</w:t>
            </w:r>
          </w:p>
        </w:tc>
        <w:tc>
          <w:tcPr>
            <w:tcW w:w="1418" w:type="dxa"/>
            <w:shd w:val="clear" w:color="auto" w:fill="auto"/>
            <w:vAlign w:val="bottom"/>
          </w:tcPr>
          <w:p w:rsidR="00073E0C" w:rsidRPr="00A778BF" w:rsidRDefault="00073E0C"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73E0C" w:rsidRPr="007825EC" w:rsidTr="00534C4C">
        <w:trPr>
          <w:cantSplit/>
        </w:trPr>
        <w:tc>
          <w:tcPr>
            <w:tcW w:w="4253" w:type="dxa"/>
            <w:tcBorders>
              <w:bottom w:val="single" w:sz="4" w:space="0" w:color="auto"/>
            </w:tcBorders>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6.22</w:t>
            </w:r>
            <w:r w:rsidR="0048259A" w:rsidRPr="00A778BF">
              <w:rPr>
                <w:lang w:val="fr-CA"/>
              </w:rPr>
              <w:t xml:space="preserve"> </w:t>
            </w:r>
            <w:r w:rsidR="0048259A" w:rsidRPr="00A778BF">
              <w:rPr>
                <w:rFonts w:ascii="Calibri" w:hAnsi="Calibri" w:cs="Arial"/>
                <w:color w:val="000000"/>
                <w:sz w:val="20"/>
                <w:szCs w:val="20"/>
                <w:lang w:val="fr-CA"/>
              </w:rPr>
              <w:t>Recourir aux outils et informations fournis par des partenaires techniques pour évaluer les changements dans les caractéristiques écologiques de leurs Sites Ramsar.</w:t>
            </w:r>
          </w:p>
        </w:tc>
        <w:tc>
          <w:tcPr>
            <w:tcW w:w="1560" w:type="dxa"/>
            <w:tcBorders>
              <w:bottom w:val="single" w:sz="4" w:space="0" w:color="auto"/>
            </w:tcBorders>
            <w:shd w:val="clear" w:color="auto" w:fill="auto"/>
          </w:tcPr>
          <w:p w:rsidR="00073E0C" w:rsidRPr="00A778BF" w:rsidRDefault="00613359" w:rsidP="006B5FCE">
            <w:pPr>
              <w:rPr>
                <w:rFonts w:ascii="Calibri" w:hAnsi="Calibri" w:cs="Arial"/>
                <w:color w:val="000000"/>
                <w:sz w:val="20"/>
                <w:szCs w:val="20"/>
                <w:lang w:val="fr-CA"/>
              </w:rPr>
            </w:pPr>
            <w:r>
              <w:rPr>
                <w:rFonts w:ascii="Calibri" w:hAnsi="Calibri" w:cs="Arial"/>
                <w:color w:val="000000"/>
                <w:sz w:val="20"/>
                <w:szCs w:val="20"/>
                <w:lang w:val="fr-CA"/>
              </w:rPr>
              <w:t>Toutes les PC</w:t>
            </w:r>
          </w:p>
        </w:tc>
        <w:tc>
          <w:tcPr>
            <w:tcW w:w="1134" w:type="dxa"/>
            <w:tcBorders>
              <w:bottom w:val="single" w:sz="4" w:space="0" w:color="auto"/>
            </w:tcBorders>
            <w:shd w:val="clear" w:color="auto" w:fill="auto"/>
          </w:tcPr>
          <w:p w:rsidR="00073E0C" w:rsidRPr="00A778BF" w:rsidRDefault="00613359"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tcBorders>
              <w:bottom w:val="single" w:sz="4" w:space="0" w:color="auto"/>
            </w:tcBorders>
            <w:shd w:val="clear" w:color="auto" w:fill="auto"/>
          </w:tcPr>
          <w:p w:rsidR="00073E0C" w:rsidRPr="00A778BF" w:rsidRDefault="00475F7D" w:rsidP="00475F7D">
            <w:pPr>
              <w:rPr>
                <w:rFonts w:ascii="Calibri" w:hAnsi="Calibri" w:cs="Arial"/>
                <w:color w:val="000000"/>
                <w:sz w:val="20"/>
                <w:szCs w:val="20"/>
                <w:lang w:val="fr-CA"/>
              </w:rPr>
            </w:pPr>
            <w:r>
              <w:rPr>
                <w:rFonts w:ascii="Calibri" w:hAnsi="Calibri" w:cs="Arial"/>
                <w:color w:val="000000"/>
                <w:sz w:val="20"/>
                <w:szCs w:val="20"/>
                <w:lang w:val="fr-CA"/>
              </w:rPr>
              <w:t>Travail additionnel avec les outils et informations des OIP, entre autres, pour élaborer un régime de suivi et des orientations pour les sites relevant de l’article 3.2</w:t>
            </w:r>
            <w:r w:rsidR="00B905D7">
              <w:rPr>
                <w:rFonts w:ascii="Calibri" w:hAnsi="Calibri" w:cs="Arial"/>
                <w:color w:val="000000"/>
                <w:sz w:val="20"/>
                <w:szCs w:val="20"/>
                <w:lang w:val="fr-CA"/>
              </w:rPr>
              <w:t>, en cours</w:t>
            </w:r>
            <w:r>
              <w:rPr>
                <w:rFonts w:ascii="Calibri" w:hAnsi="Calibri" w:cs="Arial"/>
                <w:color w:val="000000"/>
                <w:sz w:val="20"/>
                <w:szCs w:val="20"/>
                <w:lang w:val="fr-CA"/>
              </w:rPr>
              <w:t>.</w:t>
            </w:r>
          </w:p>
        </w:tc>
        <w:tc>
          <w:tcPr>
            <w:tcW w:w="1134" w:type="dxa"/>
            <w:tcBorders>
              <w:bottom w:val="single" w:sz="4" w:space="0" w:color="auto"/>
            </w:tcBorders>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tcBorders>
              <w:bottom w:val="single" w:sz="4" w:space="0" w:color="auto"/>
            </w:tcBorders>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tcBorders>
              <w:bottom w:val="single" w:sz="4" w:space="0" w:color="auto"/>
            </w:tcBorders>
            <w:shd w:val="clear" w:color="auto" w:fill="auto"/>
          </w:tcPr>
          <w:p w:rsidR="00073E0C" w:rsidRPr="00A778BF" w:rsidRDefault="00073E0C" w:rsidP="006B5FCE">
            <w:pPr>
              <w:jc w:val="right"/>
              <w:rPr>
                <w:rFonts w:ascii="Calibri" w:hAnsi="Calibri" w:cs="Arial"/>
                <w:color w:val="000000"/>
                <w:sz w:val="20"/>
                <w:szCs w:val="20"/>
                <w:lang w:val="fr-CA"/>
              </w:rPr>
            </w:pPr>
          </w:p>
        </w:tc>
      </w:tr>
      <w:tr w:rsidR="006B5FCE" w:rsidRPr="007825EC" w:rsidTr="00534C4C">
        <w:trPr>
          <w:cantSplit/>
        </w:trPr>
        <w:tc>
          <w:tcPr>
            <w:tcW w:w="4253" w:type="dxa"/>
            <w:tcBorders>
              <w:top w:val="single" w:sz="4" w:space="0" w:color="auto"/>
            </w:tcBorders>
            <w:shd w:val="clear" w:color="auto" w:fill="D9D9D9" w:themeFill="background1" w:themeFillShade="D9"/>
          </w:tcPr>
          <w:p w:rsidR="00073E0C" w:rsidRPr="00A778BF" w:rsidRDefault="000D076F" w:rsidP="00DA45B2">
            <w:pPr>
              <w:rPr>
                <w:rFonts w:ascii="Calibri" w:hAnsi="Calibri" w:cs="Arial"/>
                <w:b/>
                <w:bCs/>
                <w:color w:val="000000"/>
                <w:sz w:val="20"/>
                <w:szCs w:val="20"/>
                <w:lang w:val="fr-CA"/>
              </w:rPr>
            </w:pPr>
            <w:r w:rsidRPr="00A778BF">
              <w:rPr>
                <w:rFonts w:ascii="Calibri" w:hAnsi="Calibri" w:cs="Arial"/>
                <w:b/>
                <w:bCs/>
                <w:color w:val="000000"/>
                <w:sz w:val="20"/>
                <w:szCs w:val="20"/>
                <w:lang w:val="fr-CA"/>
              </w:rPr>
              <w:t>Résolution</w:t>
            </w:r>
            <w:r w:rsidR="00073E0C" w:rsidRPr="00A778BF">
              <w:rPr>
                <w:rFonts w:ascii="Calibri" w:hAnsi="Calibri" w:cs="Arial"/>
                <w:b/>
                <w:bCs/>
                <w:color w:val="000000"/>
                <w:sz w:val="20"/>
                <w:szCs w:val="20"/>
                <w:lang w:val="fr-CA"/>
              </w:rPr>
              <w:t xml:space="preserve"> XII.7</w:t>
            </w:r>
            <w:r w:rsidR="00733655">
              <w:rPr>
                <w:rFonts w:ascii="Calibri" w:hAnsi="Calibri" w:cs="Arial"/>
                <w:b/>
                <w:bCs/>
                <w:color w:val="000000"/>
                <w:sz w:val="20"/>
                <w:szCs w:val="20"/>
                <w:lang w:val="fr-CA"/>
              </w:rPr>
              <w:t xml:space="preserve"> </w:t>
            </w:r>
            <w:r w:rsidRPr="00A778BF">
              <w:rPr>
                <w:rFonts w:ascii="Calibri" w:hAnsi="Calibri" w:cs="Arial"/>
                <w:b/>
                <w:bCs/>
                <w:color w:val="000000"/>
                <w:sz w:val="20"/>
                <w:szCs w:val="20"/>
                <w:lang w:val="fr-CA"/>
              </w:rPr>
              <w:t>Cadre de la Convention de Ramsar pour la mobilisation de ressources et les partenariats</w:t>
            </w:r>
            <w:r w:rsidR="00073E0C" w:rsidRPr="00A778BF">
              <w:rPr>
                <w:rFonts w:ascii="Calibri" w:hAnsi="Calibri" w:cs="Arial"/>
                <w:b/>
                <w:bCs/>
                <w:color w:val="000000"/>
                <w:sz w:val="20"/>
                <w:szCs w:val="20"/>
                <w:lang w:val="fr-CA"/>
              </w:rPr>
              <w:t xml:space="preserve"> (</w:t>
            </w:r>
            <w:r w:rsidR="00DA45B2" w:rsidRPr="00A778BF">
              <w:rPr>
                <w:rFonts w:ascii="Calibri" w:hAnsi="Calibri" w:cs="Arial"/>
                <w:b/>
                <w:bCs/>
                <w:color w:val="000000"/>
                <w:sz w:val="20"/>
                <w:szCs w:val="20"/>
                <w:lang w:val="fr-CA"/>
              </w:rPr>
              <w:t>Buts</w:t>
            </w:r>
            <w:r w:rsidR="00073E0C" w:rsidRPr="00A778BF">
              <w:rPr>
                <w:rFonts w:ascii="Calibri" w:hAnsi="Calibri" w:cs="Arial"/>
                <w:b/>
                <w:bCs/>
                <w:color w:val="000000"/>
                <w:sz w:val="20"/>
                <w:szCs w:val="20"/>
                <w:lang w:val="fr-CA"/>
              </w:rPr>
              <w:t xml:space="preserve"> 3 </w:t>
            </w:r>
            <w:r w:rsidR="00DA45B2" w:rsidRPr="00A778BF">
              <w:rPr>
                <w:rFonts w:ascii="Calibri" w:hAnsi="Calibri" w:cs="Arial"/>
                <w:b/>
                <w:bCs/>
                <w:color w:val="000000"/>
                <w:sz w:val="20"/>
                <w:szCs w:val="20"/>
                <w:lang w:val="fr-CA"/>
              </w:rPr>
              <w:t>et</w:t>
            </w:r>
            <w:r w:rsidR="00073E0C" w:rsidRPr="00A778BF">
              <w:rPr>
                <w:rFonts w:ascii="Calibri" w:hAnsi="Calibri" w:cs="Arial"/>
                <w:b/>
                <w:bCs/>
                <w:color w:val="000000"/>
                <w:sz w:val="20"/>
                <w:szCs w:val="20"/>
                <w:lang w:val="fr-CA"/>
              </w:rPr>
              <w:t xml:space="preserve"> 4)</w:t>
            </w:r>
          </w:p>
        </w:tc>
        <w:tc>
          <w:tcPr>
            <w:tcW w:w="1560" w:type="dxa"/>
            <w:tcBorders>
              <w:top w:val="single" w:sz="4" w:space="0" w:color="auto"/>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tcBorders>
              <w:top w:val="single" w:sz="4" w:space="0" w:color="auto"/>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tcBorders>
              <w:top w:val="single" w:sz="4" w:space="0" w:color="auto"/>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tcBorders>
              <w:top w:val="single" w:sz="4" w:space="0" w:color="auto"/>
            </w:tcBorders>
            <w:shd w:val="clear" w:color="auto" w:fill="D9D9D9" w:themeFill="background1" w:themeFillShade="D9"/>
          </w:tcPr>
          <w:p w:rsidR="00073E0C" w:rsidRPr="00A778BF" w:rsidRDefault="00073E0C" w:rsidP="006B5FCE">
            <w:pPr>
              <w:jc w:val="right"/>
              <w:rPr>
                <w:rFonts w:ascii="Calibri" w:hAnsi="Calibri" w:cs="Arial"/>
                <w:b/>
                <w:bCs/>
                <w:color w:val="000000"/>
                <w:sz w:val="20"/>
                <w:szCs w:val="20"/>
                <w:lang w:val="fr-CA"/>
              </w:rPr>
            </w:pPr>
          </w:p>
        </w:tc>
        <w:tc>
          <w:tcPr>
            <w:tcW w:w="1417" w:type="dxa"/>
            <w:tcBorders>
              <w:top w:val="single" w:sz="4" w:space="0" w:color="auto"/>
            </w:tcBorders>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tcBorders>
              <w:top w:val="single" w:sz="4" w:space="0" w:color="auto"/>
            </w:tcBorders>
            <w:shd w:val="clear" w:color="auto" w:fill="D9D9D9" w:themeFill="background1" w:themeFillShade="D9"/>
            <w:vAlign w:val="bottom"/>
          </w:tcPr>
          <w:p w:rsidR="00073E0C" w:rsidRPr="00A778BF" w:rsidRDefault="00073E0C"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7.11.</w:t>
            </w:r>
            <w:r w:rsidR="00733655">
              <w:rPr>
                <w:rFonts w:ascii="Calibri" w:hAnsi="Calibri" w:cs="Arial"/>
                <w:color w:val="000000"/>
                <w:sz w:val="20"/>
                <w:szCs w:val="20"/>
                <w:lang w:val="fr-CA"/>
              </w:rPr>
              <w:t xml:space="preserve"> </w:t>
            </w:r>
            <w:r w:rsidR="000D076F" w:rsidRPr="00A778BF">
              <w:rPr>
                <w:rFonts w:ascii="Calibri" w:hAnsi="Calibri" w:cs="Arial"/>
                <w:color w:val="000000"/>
                <w:sz w:val="20"/>
                <w:szCs w:val="20"/>
                <w:lang w:val="fr-CA"/>
              </w:rPr>
              <w:t>Donner la priorité aux activités de collecte de fonds, toutes sources confondues, destinées à financer les activités relevant du budget non administratif, dans l’objectif d’accroître de manière substantielle les subventions provenant d’États non parties, et de rendre compte régulièrement au Comité permanent.</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br/>
              <w:t>(Part)</w:t>
            </w:r>
          </w:p>
        </w:tc>
        <w:tc>
          <w:tcPr>
            <w:tcW w:w="1134" w:type="dxa"/>
            <w:shd w:val="clear" w:color="auto" w:fill="auto"/>
          </w:tcPr>
          <w:p w:rsidR="00073E0C" w:rsidRPr="00A778BF" w:rsidRDefault="00475F7D"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475F7D" w:rsidP="00DB4123">
            <w:pPr>
              <w:rPr>
                <w:rFonts w:ascii="Calibri" w:hAnsi="Calibri" w:cs="Arial"/>
                <w:color w:val="000000"/>
                <w:sz w:val="20"/>
                <w:szCs w:val="20"/>
                <w:lang w:val="fr-CA"/>
              </w:rPr>
            </w:pPr>
            <w:r>
              <w:rPr>
                <w:rFonts w:ascii="Calibri" w:hAnsi="Calibri" w:cs="Arial"/>
                <w:color w:val="000000"/>
                <w:sz w:val="20"/>
                <w:szCs w:val="20"/>
                <w:lang w:val="fr-CA"/>
              </w:rPr>
              <w:t>Obtenir des fonds non administratifs de 4</w:t>
            </w:r>
            <w:r w:rsidR="00DB4123">
              <w:rPr>
                <w:rFonts w:ascii="Calibri" w:hAnsi="Calibri" w:cs="Arial"/>
                <w:color w:val="000000"/>
                <w:sz w:val="20"/>
                <w:szCs w:val="20"/>
                <w:lang w:val="fr-CA"/>
              </w:rPr>
              <w:t xml:space="preserve"> 737 000</w:t>
            </w:r>
            <w:r>
              <w:rPr>
                <w:rFonts w:ascii="Calibri" w:hAnsi="Calibri" w:cs="Arial"/>
                <w:color w:val="000000"/>
                <w:sz w:val="20"/>
                <w:szCs w:val="20"/>
                <w:lang w:val="fr-CA"/>
              </w:rPr>
              <w:t xml:space="preserve"> CHF sur 3 ans, </w:t>
            </w:r>
            <w:r w:rsidR="00073E0C" w:rsidRPr="00A778BF">
              <w:rPr>
                <w:rFonts w:ascii="Calibri" w:hAnsi="Calibri" w:cs="Arial"/>
                <w:color w:val="000000"/>
                <w:sz w:val="20"/>
                <w:szCs w:val="20"/>
                <w:lang w:val="fr-CA"/>
              </w:rPr>
              <w:t xml:space="preserve">2016-2018, </w:t>
            </w:r>
            <w:r>
              <w:rPr>
                <w:rFonts w:ascii="Calibri" w:hAnsi="Calibri" w:cs="Arial"/>
                <w:color w:val="000000"/>
                <w:sz w:val="20"/>
                <w:szCs w:val="20"/>
                <w:lang w:val="fr-CA"/>
              </w:rPr>
              <w:t>comme dans la Résolution XII.1, paragraphe 20 ci</w:t>
            </w:r>
            <w:r>
              <w:rPr>
                <w:rFonts w:ascii="Calibri" w:hAnsi="Calibri" w:cs="Arial"/>
                <w:color w:val="000000"/>
                <w:sz w:val="20"/>
                <w:szCs w:val="20"/>
                <w:lang w:val="fr-CA"/>
              </w:rPr>
              <w:noBreakHyphen/>
              <w:t>dessus.</w:t>
            </w:r>
            <w:r w:rsidR="00073E0C" w:rsidRPr="00A778BF">
              <w:rPr>
                <w:rFonts w:ascii="Calibri" w:hAnsi="Calibri" w:cs="Arial"/>
                <w:color w:val="000000"/>
                <w:sz w:val="20"/>
                <w:szCs w:val="20"/>
                <w:lang w:val="fr-CA"/>
              </w:rPr>
              <w:t xml:space="preserve"> </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vAlign w:val="bottom"/>
          </w:tcPr>
          <w:p w:rsidR="00073E0C" w:rsidRPr="00A778BF" w:rsidRDefault="00073E0C"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73E0C" w:rsidRPr="007825EC" w:rsidTr="00534C4C">
        <w:trPr>
          <w:cantSplit/>
        </w:trPr>
        <w:tc>
          <w:tcPr>
            <w:tcW w:w="4253" w:type="dxa"/>
            <w:shd w:val="clear" w:color="auto" w:fill="auto"/>
          </w:tcPr>
          <w:p w:rsidR="00073E0C" w:rsidRPr="00A778BF" w:rsidRDefault="00073E0C" w:rsidP="000D076F">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7.21.</w:t>
            </w:r>
            <w:r w:rsidR="00733655">
              <w:rPr>
                <w:rFonts w:ascii="Calibri" w:hAnsi="Calibri" w:cs="Arial"/>
                <w:color w:val="000000"/>
                <w:sz w:val="20"/>
                <w:szCs w:val="20"/>
                <w:lang w:val="fr-CA"/>
              </w:rPr>
              <w:t xml:space="preserve"> </w:t>
            </w:r>
            <w:r w:rsidR="000D076F" w:rsidRPr="00A778BF">
              <w:rPr>
                <w:rFonts w:ascii="Calibri" w:hAnsi="Calibri" w:cs="Arial"/>
                <w:color w:val="000000"/>
                <w:sz w:val="20"/>
                <w:szCs w:val="20"/>
                <w:lang w:val="fr-CA"/>
              </w:rPr>
              <w:t>Renforcer les partenariats avec d’autres accords multilatéraux sur l’environnement comme, par exemple, la Convention des Nations Unies sur la lutte contre la désertification (CNULD), la CDB et d’autres, afin de renforcer les synergies et le partage des ressources, d’éviter le dédoublement des efforts et d’améliorer la mise en œuvre</w:t>
            </w:r>
            <w:r w:rsidRPr="00A778BF">
              <w:rPr>
                <w:rFonts w:ascii="Calibri" w:hAnsi="Calibri" w:cs="Arial"/>
                <w:color w:val="000000"/>
                <w:sz w:val="20"/>
                <w:szCs w:val="20"/>
                <w:lang w:val="fr-CA"/>
              </w:rPr>
              <w:t xml:space="preserve">; </w:t>
            </w:r>
            <w:r w:rsidR="000D076F" w:rsidRPr="0061532D">
              <w:rPr>
                <w:rFonts w:ascii="Calibri" w:hAnsi="Calibri" w:cs="Arial"/>
                <w:color w:val="000000"/>
                <w:sz w:val="20"/>
                <w:szCs w:val="20"/>
                <w:lang w:val="fr-CA"/>
              </w:rPr>
              <w:t>fournir…</w:t>
            </w:r>
            <w:r w:rsidRPr="0061532D">
              <w:rPr>
                <w:rFonts w:ascii="Calibri" w:hAnsi="Calibri" w:cs="Arial"/>
                <w:color w:val="000000"/>
                <w:sz w:val="20"/>
                <w:szCs w:val="20"/>
                <w:lang w:val="fr-CA"/>
              </w:rPr>
              <w:t xml:space="preserve"> </w:t>
            </w:r>
            <w:r w:rsidR="000D076F" w:rsidRPr="0061532D">
              <w:rPr>
                <w:rFonts w:ascii="Calibri" w:hAnsi="Calibri" w:cs="Arial"/>
                <w:color w:val="000000"/>
                <w:sz w:val="20"/>
                <w:szCs w:val="20"/>
                <w:lang w:val="fr-CA"/>
              </w:rPr>
              <w:t>un</w:t>
            </w:r>
            <w:r w:rsidR="000D076F" w:rsidRPr="00A778BF">
              <w:rPr>
                <w:rFonts w:ascii="Calibri" w:hAnsi="Calibri" w:cs="Arial"/>
                <w:color w:val="000000"/>
                <w:sz w:val="20"/>
                <w:szCs w:val="20"/>
                <w:lang w:val="fr-CA"/>
              </w:rPr>
              <w:t xml:space="preserve"> plan sur la façon d’améliorer la coopération avec d’autres AME</w:t>
            </w:r>
            <w:r w:rsidR="00475F7D">
              <w:rPr>
                <w:rFonts w:ascii="Calibri" w:hAnsi="Calibri" w:cs="Arial"/>
                <w:color w:val="000000"/>
                <w:sz w:val="20"/>
                <w:szCs w:val="20"/>
                <w:lang w:val="fr-CA"/>
              </w:rPr>
              <w:t>.</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w:t>
            </w:r>
            <w:r w:rsidRPr="00A778BF">
              <w:rPr>
                <w:rFonts w:ascii="Calibri" w:hAnsi="Calibri" w:cs="Arial"/>
                <w:color w:val="000000"/>
                <w:sz w:val="20"/>
                <w:szCs w:val="20"/>
                <w:lang w:val="fr-CA"/>
              </w:rPr>
              <w:br/>
            </w:r>
            <w:r w:rsidR="00073E0C" w:rsidRPr="00A778BF">
              <w:rPr>
                <w:rFonts w:ascii="Calibri" w:hAnsi="Calibri" w:cs="Arial"/>
                <w:color w:val="000000"/>
                <w:sz w:val="20"/>
                <w:szCs w:val="20"/>
                <w:lang w:val="fr-CA"/>
              </w:rPr>
              <w:t>(Part)</w:t>
            </w:r>
          </w:p>
        </w:tc>
        <w:tc>
          <w:tcPr>
            <w:tcW w:w="1134" w:type="dxa"/>
            <w:shd w:val="clear" w:color="auto" w:fill="auto"/>
          </w:tcPr>
          <w:p w:rsidR="00073E0C" w:rsidRPr="00A778BF" w:rsidRDefault="005B3DE2" w:rsidP="005B3DE2">
            <w:pPr>
              <w:rPr>
                <w:rFonts w:ascii="Calibri" w:hAnsi="Calibri" w:cs="Arial"/>
                <w:color w:val="000000"/>
                <w:sz w:val="20"/>
                <w:szCs w:val="20"/>
                <w:lang w:val="fr-CA"/>
              </w:rPr>
            </w:pPr>
            <w:r>
              <w:rPr>
                <w:rFonts w:ascii="Calibri" w:hAnsi="Calibri" w:cs="Arial"/>
                <w:color w:val="000000"/>
                <w:sz w:val="20"/>
                <w:szCs w:val="20"/>
                <w:lang w:val="fr-CA"/>
              </w:rPr>
              <w:t>51</w:t>
            </w:r>
            <w:r w:rsidRPr="005B3DE2">
              <w:rPr>
                <w:rFonts w:ascii="Calibri" w:hAnsi="Calibri" w:cs="Arial"/>
                <w:color w:val="000000"/>
                <w:sz w:val="20"/>
                <w:szCs w:val="20"/>
                <w:vertAlign w:val="superscript"/>
                <w:lang w:val="fr-CA"/>
              </w:rPr>
              <w:t>e</w:t>
            </w:r>
            <w:r>
              <w:rPr>
                <w:rFonts w:ascii="Calibri" w:hAnsi="Calibri" w:cs="Arial"/>
                <w:color w:val="000000"/>
                <w:sz w:val="20"/>
                <w:szCs w:val="20"/>
                <w:lang w:val="fr-CA"/>
              </w:rPr>
              <w:t xml:space="preserve"> Réunion et réunions suivantes du Comité permanent</w:t>
            </w:r>
            <w:r w:rsidR="00073E0C" w:rsidRPr="00A778BF">
              <w:rPr>
                <w:rFonts w:ascii="Calibri" w:hAnsi="Calibri" w:cs="Arial"/>
                <w:color w:val="000000"/>
                <w:sz w:val="20"/>
                <w:szCs w:val="20"/>
                <w:lang w:val="fr-CA"/>
              </w:rPr>
              <w:t xml:space="preserve"> </w:t>
            </w:r>
          </w:p>
        </w:tc>
        <w:tc>
          <w:tcPr>
            <w:tcW w:w="3827" w:type="dxa"/>
            <w:shd w:val="clear" w:color="auto" w:fill="auto"/>
          </w:tcPr>
          <w:p w:rsidR="00073E0C" w:rsidRPr="00A778BF" w:rsidRDefault="00475F7D" w:rsidP="00475F7D">
            <w:pPr>
              <w:rPr>
                <w:rFonts w:ascii="Calibri" w:hAnsi="Calibri" w:cs="Arial"/>
                <w:color w:val="000000"/>
                <w:sz w:val="20"/>
                <w:szCs w:val="20"/>
                <w:lang w:val="fr-CA"/>
              </w:rPr>
            </w:pPr>
            <w:r>
              <w:rPr>
                <w:rFonts w:ascii="Calibri" w:hAnsi="Calibri" w:cs="Arial"/>
                <w:color w:val="000000"/>
                <w:sz w:val="20"/>
                <w:szCs w:val="20"/>
                <w:lang w:val="fr-CA"/>
              </w:rPr>
              <w:t>Ateliers conjoints et projets pour développer les synergies entre les AME</w:t>
            </w:r>
            <w:r w:rsidR="00DB4123">
              <w:rPr>
                <w:rFonts w:ascii="Calibri" w:hAnsi="Calibri" w:cs="Arial"/>
                <w:color w:val="000000"/>
                <w:sz w:val="20"/>
                <w:szCs w:val="20"/>
                <w:lang w:val="fr-CA"/>
              </w:rPr>
              <w:t>, en cours</w:t>
            </w:r>
            <w:r>
              <w:rPr>
                <w:rFonts w:ascii="Calibri" w:hAnsi="Calibri" w:cs="Arial"/>
                <w:color w:val="000000"/>
                <w:sz w:val="20"/>
                <w:szCs w:val="20"/>
                <w:lang w:val="fr-CA"/>
              </w:rPr>
              <w:t xml:space="preserve">. </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73E0C" w:rsidRPr="00A778BF" w:rsidRDefault="00073E0C" w:rsidP="006B5FCE">
            <w:pPr>
              <w:jc w:val="right"/>
              <w:rPr>
                <w:rFonts w:ascii="Calibri" w:hAnsi="Calibri" w:cs="Arial"/>
                <w:color w:val="000000"/>
                <w:sz w:val="20"/>
                <w:szCs w:val="20"/>
                <w:lang w:val="fr-CA"/>
              </w:rPr>
            </w:pPr>
          </w:p>
        </w:tc>
      </w:tr>
      <w:tr w:rsidR="006B5FCE" w:rsidRPr="00A778BF" w:rsidTr="00534C4C">
        <w:trPr>
          <w:cantSplit/>
        </w:trPr>
        <w:tc>
          <w:tcPr>
            <w:tcW w:w="4253" w:type="dxa"/>
            <w:shd w:val="clear" w:color="auto" w:fill="D9D9D9" w:themeFill="background1" w:themeFillShade="D9"/>
          </w:tcPr>
          <w:p w:rsidR="00073E0C" w:rsidRPr="00A778BF" w:rsidRDefault="00073E0C" w:rsidP="000D076F">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0D076F" w:rsidRPr="00A778BF">
              <w:rPr>
                <w:rFonts w:ascii="Calibri" w:hAnsi="Calibri" w:cs="Arial"/>
                <w:b/>
                <w:bCs/>
                <w:color w:val="000000"/>
                <w:sz w:val="20"/>
                <w:szCs w:val="20"/>
                <w:lang w:val="fr-CA"/>
              </w:rPr>
              <w:t>és</w:t>
            </w:r>
            <w:r w:rsidRPr="00A778BF">
              <w:rPr>
                <w:rFonts w:ascii="Calibri" w:hAnsi="Calibri" w:cs="Arial"/>
                <w:b/>
                <w:bCs/>
                <w:color w:val="000000"/>
                <w:sz w:val="20"/>
                <w:szCs w:val="20"/>
                <w:lang w:val="fr-CA"/>
              </w:rPr>
              <w:t>olution XII.8</w:t>
            </w:r>
            <w:r w:rsidR="00733655">
              <w:rPr>
                <w:rFonts w:ascii="Calibri" w:hAnsi="Calibri" w:cs="Arial"/>
                <w:b/>
                <w:bCs/>
                <w:color w:val="000000"/>
                <w:sz w:val="20"/>
                <w:szCs w:val="20"/>
                <w:lang w:val="fr-CA"/>
              </w:rPr>
              <w:t xml:space="preserve"> </w:t>
            </w:r>
            <w:r w:rsidR="00772363" w:rsidRPr="00A778BF">
              <w:rPr>
                <w:rFonts w:ascii="Calibri" w:hAnsi="Calibri" w:cs="Arial"/>
                <w:b/>
                <w:bCs/>
                <w:color w:val="000000"/>
                <w:sz w:val="20"/>
                <w:szCs w:val="20"/>
                <w:lang w:val="fr-CA"/>
              </w:rPr>
              <w:t xml:space="preserve">Initiatives régionales 2016-2018 fonctionnant dans le cadre de la Convention de Ramsar </w:t>
            </w:r>
            <w:r w:rsidRPr="00A778BF">
              <w:rPr>
                <w:rFonts w:ascii="Calibri" w:hAnsi="Calibri" w:cs="Arial"/>
                <w:b/>
                <w:bCs/>
                <w:color w:val="000000"/>
                <w:sz w:val="20"/>
                <w:szCs w:val="20"/>
                <w:lang w:val="fr-CA"/>
              </w:rPr>
              <w:t>(</w:t>
            </w:r>
            <w:r w:rsidR="00DA45B2" w:rsidRPr="00A778BF">
              <w:rPr>
                <w:rFonts w:ascii="Calibri" w:hAnsi="Calibri" w:cs="Arial"/>
                <w:b/>
                <w:bCs/>
                <w:color w:val="000000"/>
                <w:sz w:val="20"/>
                <w:szCs w:val="20"/>
                <w:lang w:val="fr-CA"/>
              </w:rPr>
              <w:t>But</w:t>
            </w:r>
            <w:r w:rsidRPr="00A778BF">
              <w:rPr>
                <w:rFonts w:ascii="Calibri" w:hAnsi="Calibri" w:cs="Arial"/>
                <w:b/>
                <w:bCs/>
                <w:color w:val="000000"/>
                <w:sz w:val="20"/>
                <w:szCs w:val="20"/>
                <w:lang w:val="fr-CA"/>
              </w:rPr>
              <w:t xml:space="preserve"> 4)</w:t>
            </w:r>
          </w:p>
        </w:tc>
        <w:tc>
          <w:tcPr>
            <w:tcW w:w="1560"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73E0C" w:rsidRPr="00A778BF" w:rsidRDefault="00DB4123" w:rsidP="006B5FCE">
            <w:pPr>
              <w:jc w:val="right"/>
              <w:rPr>
                <w:rFonts w:ascii="Calibri" w:hAnsi="Calibri" w:cs="Arial"/>
                <w:b/>
                <w:bCs/>
                <w:color w:val="000000"/>
                <w:sz w:val="20"/>
                <w:szCs w:val="20"/>
                <w:lang w:val="fr-CA"/>
              </w:rPr>
            </w:pPr>
            <w:r>
              <w:rPr>
                <w:rFonts w:ascii="Calibri" w:hAnsi="Calibri" w:cs="Arial"/>
                <w:b/>
                <w:bCs/>
                <w:color w:val="000000"/>
                <w:sz w:val="20"/>
                <w:szCs w:val="20"/>
                <w:lang w:val="fr-CA"/>
              </w:rPr>
              <w:t>1</w:t>
            </w:r>
            <w:r w:rsidR="00073E0C" w:rsidRPr="00A778BF">
              <w:rPr>
                <w:rFonts w:ascii="Calibri" w:hAnsi="Calibri" w:cs="Arial"/>
                <w:b/>
                <w:bCs/>
                <w:color w:val="000000"/>
                <w:sz w:val="20"/>
                <w:szCs w:val="20"/>
                <w:lang w:val="fr-CA"/>
              </w:rPr>
              <w:t>65</w:t>
            </w:r>
            <w:r w:rsidR="00E10389">
              <w:rPr>
                <w:rFonts w:ascii="Calibri" w:hAnsi="Calibri" w:cs="Arial"/>
                <w:b/>
                <w:bCs/>
                <w:color w:val="000000"/>
                <w:sz w:val="20"/>
                <w:szCs w:val="20"/>
                <w:lang w:val="fr-CA"/>
              </w:rPr>
              <w:t xml:space="preserve"> </w:t>
            </w:r>
            <w:r w:rsidR="00073E0C" w:rsidRPr="00A778BF">
              <w:rPr>
                <w:rFonts w:ascii="Calibri" w:hAnsi="Calibri" w:cs="Arial"/>
                <w:b/>
                <w:bCs/>
                <w:color w:val="000000"/>
                <w:sz w:val="20"/>
                <w:szCs w:val="20"/>
                <w:lang w:val="fr-CA"/>
              </w:rPr>
              <w:t>000</w:t>
            </w:r>
          </w:p>
        </w:tc>
        <w:tc>
          <w:tcPr>
            <w:tcW w:w="1417" w:type="dxa"/>
            <w:shd w:val="clear" w:color="auto" w:fill="D9D9D9" w:themeFill="background1" w:themeFillShade="D9"/>
          </w:tcPr>
          <w:p w:rsidR="00073E0C" w:rsidRPr="00A778BF" w:rsidRDefault="00073E0C" w:rsidP="00DB4123">
            <w:pPr>
              <w:jc w:val="right"/>
              <w:rPr>
                <w:rFonts w:ascii="Calibri" w:hAnsi="Calibri" w:cs="Arial"/>
                <w:color w:val="000000"/>
                <w:sz w:val="20"/>
                <w:szCs w:val="20"/>
                <w:lang w:val="fr-CA"/>
              </w:rPr>
            </w:pPr>
            <w:r w:rsidRPr="00A778BF">
              <w:rPr>
                <w:rFonts w:ascii="Calibri" w:hAnsi="Calibri" w:cs="Arial"/>
                <w:color w:val="000000"/>
                <w:sz w:val="20"/>
                <w:szCs w:val="20"/>
                <w:lang w:val="fr-CA"/>
              </w:rPr>
              <w:t> </w:t>
            </w:r>
            <w:r w:rsidR="00DB4123">
              <w:rPr>
                <w:rFonts w:ascii="Calibri" w:hAnsi="Calibri" w:cs="Arial"/>
                <w:color w:val="000000"/>
                <w:sz w:val="20"/>
                <w:szCs w:val="20"/>
                <w:lang w:val="fr-CA"/>
              </w:rPr>
              <w:t>150 000</w:t>
            </w:r>
          </w:p>
        </w:tc>
        <w:tc>
          <w:tcPr>
            <w:tcW w:w="1418" w:type="dxa"/>
            <w:shd w:val="clear" w:color="auto" w:fill="D9D9D9" w:themeFill="background1" w:themeFillShade="D9"/>
          </w:tcPr>
          <w:p w:rsidR="00073E0C" w:rsidRPr="00DB4123" w:rsidRDefault="00073E0C" w:rsidP="00534C4C">
            <w:pPr>
              <w:jc w:val="right"/>
              <w:rPr>
                <w:rFonts w:asciiTheme="minorHAnsi" w:hAnsiTheme="minorHAnsi" w:cs="Arial"/>
                <w:color w:val="000000"/>
                <w:sz w:val="20"/>
                <w:szCs w:val="20"/>
                <w:lang w:val="fr-CA"/>
              </w:rPr>
            </w:pPr>
            <w:r w:rsidRPr="00A778BF">
              <w:rPr>
                <w:rFonts w:ascii="Arial" w:hAnsi="Arial" w:cs="Arial"/>
                <w:color w:val="000000"/>
                <w:sz w:val="22"/>
                <w:szCs w:val="22"/>
                <w:lang w:val="fr-CA"/>
              </w:rPr>
              <w:t> </w:t>
            </w:r>
            <w:r w:rsidR="00DB4123">
              <w:rPr>
                <w:rFonts w:asciiTheme="minorHAnsi" w:hAnsiTheme="minorHAnsi" w:cs="Arial"/>
                <w:color w:val="000000"/>
                <w:sz w:val="20"/>
                <w:szCs w:val="20"/>
                <w:lang w:val="fr-CA"/>
              </w:rPr>
              <w:t>15 000</w:t>
            </w:r>
          </w:p>
        </w:tc>
      </w:tr>
      <w:tr w:rsidR="00073E0C" w:rsidRPr="00A778BF" w:rsidTr="00534C4C">
        <w:trPr>
          <w:cantSplit/>
        </w:trPr>
        <w:tc>
          <w:tcPr>
            <w:tcW w:w="4253" w:type="dxa"/>
            <w:shd w:val="clear" w:color="auto" w:fill="auto"/>
          </w:tcPr>
          <w:p w:rsidR="00073E0C" w:rsidRPr="00A778BF" w:rsidRDefault="00073E0C" w:rsidP="00772363">
            <w:pPr>
              <w:rPr>
                <w:rFonts w:ascii="Calibri" w:hAnsi="Calibri" w:cs="Arial"/>
                <w:color w:val="000000"/>
                <w:sz w:val="20"/>
                <w:szCs w:val="20"/>
                <w:lang w:val="fr-CA"/>
              </w:rPr>
            </w:pPr>
            <w:r w:rsidRPr="00A778BF">
              <w:rPr>
                <w:rFonts w:ascii="Calibri" w:hAnsi="Calibri" w:cs="Arial"/>
                <w:color w:val="000000"/>
                <w:sz w:val="20"/>
                <w:szCs w:val="20"/>
                <w:lang w:val="fr-CA"/>
              </w:rPr>
              <w:t xml:space="preserve">8.11. </w:t>
            </w:r>
            <w:r w:rsidR="00772363" w:rsidRPr="00A778BF">
              <w:rPr>
                <w:rFonts w:ascii="Calibri" w:hAnsi="Calibri" w:cs="Arial"/>
                <w:color w:val="000000"/>
                <w:sz w:val="20"/>
                <w:szCs w:val="20"/>
                <w:lang w:val="fr-CA"/>
              </w:rPr>
              <w:t>Continuer de soumettre au Comité permanent des rapports annuels sur leur progrès et leur fonctionnement et plus précisément sur la manière dont elles ont réussi à appliquer les Directives opérationnelles, et de continuer de soumettre des plans annuels conformes au calendrier et à la présentation adoptés par le Comité permanent.</w:t>
            </w:r>
          </w:p>
        </w:tc>
        <w:tc>
          <w:tcPr>
            <w:tcW w:w="1560" w:type="dxa"/>
            <w:shd w:val="clear" w:color="auto" w:fill="auto"/>
          </w:tcPr>
          <w:p w:rsidR="00073E0C" w:rsidRPr="00A778BF" w:rsidRDefault="00475F7D" w:rsidP="00475F7D">
            <w:pPr>
              <w:rPr>
                <w:rFonts w:ascii="Calibri" w:hAnsi="Calibri" w:cs="Arial"/>
                <w:color w:val="000000"/>
                <w:sz w:val="20"/>
                <w:szCs w:val="20"/>
                <w:lang w:val="fr-CA"/>
              </w:rPr>
            </w:pPr>
            <w:r>
              <w:rPr>
                <w:rFonts w:ascii="Calibri" w:hAnsi="Calibri" w:cs="Arial"/>
                <w:color w:val="000000"/>
                <w:sz w:val="20"/>
                <w:szCs w:val="20"/>
                <w:lang w:val="fr-CA"/>
              </w:rPr>
              <w:t>Toutes les IR</w:t>
            </w:r>
            <w:r w:rsidR="006D32D6">
              <w:rPr>
                <w:rFonts w:ascii="Calibri" w:hAnsi="Calibri" w:cs="Arial"/>
                <w:color w:val="000000"/>
                <w:sz w:val="20"/>
                <w:szCs w:val="20"/>
                <w:lang w:val="fr-CA"/>
              </w:rPr>
              <w:t>R</w:t>
            </w:r>
            <w:r>
              <w:rPr>
                <w:rFonts w:ascii="Calibri" w:hAnsi="Calibri" w:cs="Arial"/>
                <w:color w:val="000000"/>
                <w:sz w:val="20"/>
                <w:szCs w:val="20"/>
                <w:lang w:val="fr-CA"/>
              </w:rPr>
              <w:t xml:space="preserve"> approuvées par la </w:t>
            </w:r>
            <w:r w:rsidR="00073E0C" w:rsidRPr="00A778BF">
              <w:rPr>
                <w:rFonts w:ascii="Calibri" w:hAnsi="Calibri" w:cs="Arial"/>
                <w:color w:val="000000"/>
                <w:sz w:val="20"/>
                <w:szCs w:val="20"/>
                <w:lang w:val="fr-CA"/>
              </w:rPr>
              <w:t>Convention</w:t>
            </w:r>
          </w:p>
        </w:tc>
        <w:tc>
          <w:tcPr>
            <w:tcW w:w="1134" w:type="dxa"/>
            <w:shd w:val="clear" w:color="auto" w:fill="auto"/>
          </w:tcPr>
          <w:p w:rsidR="00073E0C" w:rsidRPr="00A778BF" w:rsidRDefault="00475F7D" w:rsidP="006B5FCE">
            <w:pPr>
              <w:rPr>
                <w:rFonts w:ascii="Calibri" w:hAnsi="Calibri" w:cs="Arial"/>
                <w:color w:val="000000"/>
                <w:sz w:val="20"/>
                <w:szCs w:val="20"/>
                <w:lang w:val="fr-CA"/>
              </w:rPr>
            </w:pPr>
            <w:r>
              <w:rPr>
                <w:rFonts w:ascii="Calibri" w:hAnsi="Calibri" w:cs="Arial"/>
                <w:color w:val="000000"/>
                <w:sz w:val="20"/>
                <w:szCs w:val="20"/>
                <w:lang w:val="fr-CA"/>
              </w:rPr>
              <w:t xml:space="preserve">Chaque réunion </w:t>
            </w:r>
            <w:r w:rsidR="005B3DE2">
              <w:rPr>
                <w:rFonts w:ascii="Calibri" w:hAnsi="Calibri" w:cs="Arial"/>
                <w:color w:val="000000"/>
                <w:sz w:val="20"/>
                <w:szCs w:val="20"/>
                <w:lang w:val="fr-CA"/>
              </w:rPr>
              <w:t>du Comité permanent</w:t>
            </w:r>
          </w:p>
        </w:tc>
        <w:tc>
          <w:tcPr>
            <w:tcW w:w="3827" w:type="dxa"/>
            <w:shd w:val="clear" w:color="auto" w:fill="auto"/>
          </w:tcPr>
          <w:p w:rsidR="00073E0C" w:rsidRPr="00A778BF" w:rsidRDefault="00475F7D" w:rsidP="00DB4123">
            <w:pPr>
              <w:rPr>
                <w:rFonts w:ascii="Calibri" w:hAnsi="Calibri" w:cs="Arial"/>
                <w:color w:val="000000"/>
                <w:sz w:val="20"/>
                <w:szCs w:val="20"/>
                <w:lang w:val="fr-CA"/>
              </w:rPr>
            </w:pPr>
            <w:r>
              <w:rPr>
                <w:rFonts w:ascii="Calibri" w:hAnsi="Calibri" w:cs="Arial"/>
                <w:color w:val="000000"/>
                <w:sz w:val="20"/>
                <w:szCs w:val="20"/>
                <w:lang w:val="fr-CA"/>
              </w:rPr>
              <w:t>Ap</w:t>
            </w:r>
            <w:r w:rsidR="0061532D">
              <w:rPr>
                <w:rFonts w:ascii="Calibri" w:hAnsi="Calibri" w:cs="Arial"/>
                <w:color w:val="000000"/>
                <w:sz w:val="20"/>
                <w:szCs w:val="20"/>
                <w:lang w:val="fr-CA"/>
              </w:rPr>
              <w:t>pui aux i</w:t>
            </w:r>
            <w:r>
              <w:rPr>
                <w:rFonts w:ascii="Calibri" w:hAnsi="Calibri" w:cs="Arial"/>
                <w:color w:val="000000"/>
                <w:sz w:val="20"/>
                <w:szCs w:val="20"/>
                <w:lang w:val="fr-CA"/>
              </w:rPr>
              <w:t xml:space="preserve">nitiatives régionales </w:t>
            </w:r>
            <w:r w:rsidR="00DB4123">
              <w:rPr>
                <w:rFonts w:ascii="Calibri" w:hAnsi="Calibri" w:cs="Arial"/>
                <w:color w:val="000000"/>
                <w:sz w:val="20"/>
                <w:szCs w:val="20"/>
                <w:lang w:val="fr-CA"/>
              </w:rPr>
              <w:t xml:space="preserve">Ramsar </w:t>
            </w:r>
            <w:r>
              <w:rPr>
                <w:rFonts w:ascii="Calibri" w:hAnsi="Calibri" w:cs="Arial"/>
                <w:color w:val="000000"/>
                <w:sz w:val="20"/>
                <w:szCs w:val="20"/>
                <w:lang w:val="fr-CA"/>
              </w:rPr>
              <w:t>(activités prioritaires, y compris atelier annuel avec le Secrétariat Ramsar</w:t>
            </w:r>
            <w:r w:rsidR="00073E0C" w:rsidRPr="00A778BF">
              <w:rPr>
                <w:rFonts w:ascii="Calibri" w:hAnsi="Calibri" w:cs="Arial"/>
                <w:color w:val="000000"/>
                <w:sz w:val="20"/>
                <w:szCs w:val="20"/>
                <w:lang w:val="fr-CA"/>
              </w:rPr>
              <w:t>)</w:t>
            </w:r>
            <w:r>
              <w:rPr>
                <w:rFonts w:ascii="Calibri" w:hAnsi="Calibri" w:cs="Arial"/>
                <w:color w:val="000000"/>
                <w:sz w:val="20"/>
                <w:szCs w:val="20"/>
                <w:lang w:val="fr-CA"/>
              </w:rPr>
              <w:t>.</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jc w:val="right"/>
              <w:rPr>
                <w:rFonts w:ascii="Calibri" w:hAnsi="Calibri" w:cs="Arial"/>
                <w:color w:val="000000"/>
                <w:sz w:val="20"/>
                <w:szCs w:val="20"/>
                <w:lang w:val="fr-CA"/>
              </w:rPr>
            </w:pPr>
            <w:r w:rsidRPr="00A778BF">
              <w:rPr>
                <w:rFonts w:ascii="Calibri" w:hAnsi="Calibri" w:cs="Arial"/>
                <w:color w:val="000000"/>
                <w:sz w:val="20"/>
                <w:szCs w:val="20"/>
                <w:lang w:val="fr-CA"/>
              </w:rPr>
              <w:t>150</w:t>
            </w:r>
            <w:r w:rsidR="00E10389">
              <w:rPr>
                <w:rFonts w:ascii="Calibri" w:hAnsi="Calibri" w:cs="Arial"/>
                <w:color w:val="000000"/>
                <w:sz w:val="20"/>
                <w:szCs w:val="20"/>
                <w:lang w:val="fr-CA"/>
              </w:rPr>
              <w:t xml:space="preserve"> </w:t>
            </w:r>
            <w:r w:rsidRPr="00A778BF">
              <w:rPr>
                <w:rFonts w:ascii="Calibri" w:hAnsi="Calibri" w:cs="Arial"/>
                <w:color w:val="000000"/>
                <w:sz w:val="20"/>
                <w:szCs w:val="20"/>
                <w:lang w:val="fr-CA"/>
              </w:rPr>
              <w:t>000</w:t>
            </w:r>
          </w:p>
        </w:tc>
        <w:tc>
          <w:tcPr>
            <w:tcW w:w="1418"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8.18</w:t>
            </w:r>
            <w:r w:rsidR="00772363" w:rsidRPr="00A778BF">
              <w:rPr>
                <w:rFonts w:ascii="Calibri" w:hAnsi="Calibri" w:cs="Arial"/>
                <w:color w:val="000000"/>
                <w:sz w:val="20"/>
                <w:szCs w:val="20"/>
                <w:lang w:val="fr-CA"/>
              </w:rPr>
              <w:t>. Présenter au niveau mondial les initiatives régionales comme des moyens opérationnels de soutien à la mise en œuvre des objectifs de la Convention de Ramsar.</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w:t>
            </w:r>
            <w:r w:rsidRPr="00A778BF">
              <w:rPr>
                <w:rFonts w:ascii="Calibri" w:hAnsi="Calibri" w:cs="Arial"/>
                <w:color w:val="000000"/>
                <w:sz w:val="20"/>
                <w:szCs w:val="20"/>
                <w:lang w:val="fr-CA"/>
              </w:rPr>
              <w:br/>
            </w:r>
            <w:r w:rsidR="00073E0C" w:rsidRPr="00A778BF">
              <w:rPr>
                <w:rFonts w:ascii="Calibri" w:hAnsi="Calibri" w:cs="Arial"/>
                <w:color w:val="000000"/>
                <w:sz w:val="20"/>
                <w:szCs w:val="20"/>
                <w:lang w:val="fr-CA"/>
              </w:rPr>
              <w:t>(Reg)</w:t>
            </w:r>
          </w:p>
        </w:tc>
        <w:tc>
          <w:tcPr>
            <w:tcW w:w="1134" w:type="dxa"/>
            <w:shd w:val="clear" w:color="auto" w:fill="auto"/>
          </w:tcPr>
          <w:p w:rsidR="00073E0C" w:rsidRPr="00A778BF" w:rsidRDefault="00475F7D"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DB4123" w:rsidP="00DB4123">
            <w:pPr>
              <w:rPr>
                <w:rFonts w:ascii="Calibri" w:hAnsi="Calibri" w:cs="Arial"/>
                <w:color w:val="000000"/>
                <w:sz w:val="20"/>
                <w:szCs w:val="20"/>
                <w:lang w:val="fr-CA"/>
              </w:rPr>
            </w:pPr>
            <w:r>
              <w:rPr>
                <w:rFonts w:ascii="Calibri" w:hAnsi="Calibri" w:cs="Arial"/>
                <w:color w:val="000000"/>
                <w:sz w:val="20"/>
                <w:szCs w:val="20"/>
                <w:lang w:val="fr-CA"/>
              </w:rPr>
              <w:t>M</w:t>
            </w:r>
            <w:r w:rsidR="00475F7D">
              <w:rPr>
                <w:rFonts w:ascii="Calibri" w:hAnsi="Calibri" w:cs="Arial"/>
                <w:color w:val="000000"/>
                <w:sz w:val="20"/>
                <w:szCs w:val="20"/>
                <w:lang w:val="fr-CA"/>
              </w:rPr>
              <w:t xml:space="preserve">ise à jour des sites web des </w:t>
            </w:r>
            <w:r w:rsidR="00475F7D" w:rsidRPr="0028479D">
              <w:rPr>
                <w:rFonts w:ascii="Calibri" w:hAnsi="Calibri" w:cs="Arial"/>
                <w:color w:val="000000"/>
                <w:sz w:val="20"/>
                <w:szCs w:val="20"/>
                <w:lang w:val="fr-CA"/>
              </w:rPr>
              <w:t>IR</w:t>
            </w:r>
            <w:r>
              <w:rPr>
                <w:rFonts w:ascii="Calibri" w:hAnsi="Calibri" w:cs="Arial"/>
                <w:color w:val="000000"/>
                <w:sz w:val="20"/>
                <w:szCs w:val="20"/>
                <w:lang w:val="fr-CA"/>
              </w:rPr>
              <w:t>R</w:t>
            </w:r>
            <w:r w:rsidR="00073E0C" w:rsidRPr="00A778BF">
              <w:rPr>
                <w:rFonts w:ascii="Calibri" w:hAnsi="Calibri" w:cs="Arial"/>
                <w:color w:val="000000"/>
                <w:sz w:val="20"/>
                <w:szCs w:val="20"/>
                <w:lang w:val="fr-CA"/>
              </w:rPr>
              <w:t xml:space="preserve"> </w:t>
            </w:r>
            <w:r w:rsidR="00475F7D">
              <w:rPr>
                <w:rFonts w:ascii="Calibri" w:hAnsi="Calibri" w:cs="Arial"/>
                <w:color w:val="000000"/>
                <w:sz w:val="20"/>
                <w:szCs w:val="20"/>
                <w:lang w:val="fr-CA"/>
              </w:rPr>
              <w:t>et lien avec le site web Ramsar</w:t>
            </w:r>
            <w:r>
              <w:rPr>
                <w:rFonts w:ascii="Calibri" w:hAnsi="Calibri" w:cs="Arial"/>
                <w:color w:val="000000"/>
                <w:sz w:val="20"/>
                <w:szCs w:val="20"/>
                <w:lang w:val="fr-CA"/>
              </w:rPr>
              <w:t>, visibilité accrue pour les activités et réalisations des IRR, en cours</w:t>
            </w:r>
            <w:r w:rsidR="00475F7D">
              <w:rPr>
                <w:rFonts w:ascii="Calibri" w:hAnsi="Calibri" w:cs="Arial"/>
                <w:color w:val="000000"/>
                <w:sz w:val="20"/>
                <w:szCs w:val="20"/>
                <w:lang w:val="fr-CA"/>
              </w:rPr>
              <w:t xml:space="preserve">. </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73E0C" w:rsidRPr="00A778BF" w:rsidRDefault="00073E0C" w:rsidP="006B5FCE">
            <w:pPr>
              <w:jc w:val="right"/>
              <w:rPr>
                <w:rFonts w:ascii="Calibri" w:hAnsi="Calibri" w:cs="Arial"/>
                <w:color w:val="000000"/>
                <w:sz w:val="20"/>
                <w:szCs w:val="20"/>
                <w:lang w:val="fr-CA"/>
              </w:rPr>
            </w:pPr>
          </w:p>
        </w:tc>
      </w:tr>
      <w:tr w:rsidR="00073E0C" w:rsidRPr="00DB4123"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8.20.</w:t>
            </w:r>
            <w:r w:rsidR="00733655">
              <w:rPr>
                <w:rFonts w:ascii="Calibri" w:hAnsi="Calibri" w:cs="Arial"/>
                <w:color w:val="000000"/>
                <w:sz w:val="20"/>
                <w:szCs w:val="20"/>
                <w:lang w:val="fr-CA"/>
              </w:rPr>
              <w:t xml:space="preserve"> </w:t>
            </w:r>
            <w:r w:rsidR="00772363" w:rsidRPr="00A778BF">
              <w:rPr>
                <w:rFonts w:ascii="Calibri" w:hAnsi="Calibri" w:cs="Arial"/>
                <w:color w:val="000000"/>
                <w:sz w:val="20"/>
                <w:szCs w:val="20"/>
                <w:lang w:val="fr-CA"/>
              </w:rPr>
              <w:t>Continuer de publier les informations fournies par les initiatives régionales, y compris les rapports décrivant leur application fructueuse des Directives opérationnelles et des plans de travail, sur le site web de la Convention, afin qu’ils soient accessibles aux Parties et au public.</w:t>
            </w:r>
          </w:p>
        </w:tc>
        <w:tc>
          <w:tcPr>
            <w:tcW w:w="1560" w:type="dxa"/>
            <w:shd w:val="clear" w:color="auto" w:fill="auto"/>
          </w:tcPr>
          <w:p w:rsidR="00073E0C"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73E0C" w:rsidRPr="00A778BF">
              <w:rPr>
                <w:rFonts w:ascii="Calibri" w:hAnsi="Calibri" w:cs="Arial"/>
                <w:color w:val="000000"/>
                <w:sz w:val="20"/>
                <w:szCs w:val="20"/>
                <w:lang w:val="fr-CA"/>
              </w:rPr>
              <w:t xml:space="preserve"> </w:t>
            </w:r>
            <w:r w:rsidRPr="00A778BF">
              <w:rPr>
                <w:rFonts w:ascii="Calibri" w:hAnsi="Calibri" w:cs="Arial"/>
                <w:color w:val="000000"/>
                <w:sz w:val="20"/>
                <w:szCs w:val="20"/>
                <w:lang w:val="fr-CA"/>
              </w:rPr>
              <w:br/>
            </w:r>
            <w:r w:rsidR="00073E0C" w:rsidRPr="00A778BF">
              <w:rPr>
                <w:rFonts w:ascii="Calibri" w:hAnsi="Calibri" w:cs="Arial"/>
                <w:color w:val="000000"/>
                <w:sz w:val="20"/>
                <w:szCs w:val="20"/>
                <w:lang w:val="fr-CA"/>
              </w:rPr>
              <w:t>(Reg)</w:t>
            </w:r>
          </w:p>
        </w:tc>
        <w:tc>
          <w:tcPr>
            <w:tcW w:w="1134" w:type="dxa"/>
            <w:shd w:val="clear" w:color="auto" w:fill="auto"/>
          </w:tcPr>
          <w:p w:rsidR="00073E0C" w:rsidRPr="00A778BF" w:rsidRDefault="00475F7D"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DB4123" w:rsidP="00DB4123">
            <w:pPr>
              <w:rPr>
                <w:rFonts w:ascii="Calibri" w:hAnsi="Calibri" w:cs="Arial"/>
                <w:color w:val="000000"/>
                <w:sz w:val="20"/>
                <w:szCs w:val="20"/>
                <w:lang w:val="fr-CA"/>
              </w:rPr>
            </w:pPr>
            <w:r>
              <w:rPr>
                <w:rFonts w:ascii="Calibri" w:hAnsi="Calibri" w:cs="Arial"/>
                <w:color w:val="000000"/>
                <w:sz w:val="20"/>
                <w:szCs w:val="20"/>
                <w:lang w:val="fr-CA"/>
              </w:rPr>
              <w:t>Comme ci-dessus. Également, b</w:t>
            </w:r>
            <w:r w:rsidR="00073E0C" w:rsidRPr="00A778BF">
              <w:rPr>
                <w:rFonts w:ascii="Calibri" w:hAnsi="Calibri" w:cs="Arial"/>
                <w:color w:val="000000"/>
                <w:sz w:val="20"/>
                <w:szCs w:val="20"/>
                <w:lang w:val="fr-CA"/>
              </w:rPr>
              <w:t xml:space="preserve">udget </w:t>
            </w:r>
            <w:r w:rsidR="0028479D">
              <w:rPr>
                <w:rFonts w:ascii="Calibri" w:hAnsi="Calibri" w:cs="Arial"/>
                <w:color w:val="000000"/>
                <w:sz w:val="20"/>
                <w:szCs w:val="20"/>
                <w:lang w:val="fr-CA"/>
              </w:rPr>
              <w:t>de</w:t>
            </w:r>
            <w:r w:rsidR="00073E0C" w:rsidRPr="00A778BF">
              <w:rPr>
                <w:rFonts w:ascii="Calibri" w:hAnsi="Calibri" w:cs="Arial"/>
                <w:color w:val="000000"/>
                <w:sz w:val="20"/>
                <w:szCs w:val="20"/>
                <w:lang w:val="fr-CA"/>
              </w:rPr>
              <w:t xml:space="preserve"> 15</w:t>
            </w:r>
            <w:r w:rsidR="0028479D">
              <w:rPr>
                <w:rFonts w:ascii="Calibri" w:hAnsi="Calibri" w:cs="Arial"/>
                <w:color w:val="000000"/>
                <w:sz w:val="20"/>
                <w:szCs w:val="20"/>
                <w:lang w:val="fr-CA"/>
              </w:rPr>
              <w:t> </w:t>
            </w:r>
            <w:r w:rsidR="00073E0C" w:rsidRPr="00A778BF">
              <w:rPr>
                <w:rFonts w:ascii="Calibri" w:hAnsi="Calibri" w:cs="Arial"/>
                <w:color w:val="000000"/>
                <w:sz w:val="20"/>
                <w:szCs w:val="20"/>
                <w:lang w:val="fr-CA"/>
              </w:rPr>
              <w:t>000</w:t>
            </w:r>
            <w:r w:rsidR="0028479D">
              <w:rPr>
                <w:rFonts w:ascii="Calibri" w:hAnsi="Calibri" w:cs="Arial"/>
                <w:color w:val="000000"/>
                <w:sz w:val="20"/>
                <w:szCs w:val="20"/>
                <w:lang w:val="fr-CA"/>
              </w:rPr>
              <w:t xml:space="preserve"> CHF par an pour élaborer </w:t>
            </w:r>
            <w:r>
              <w:rPr>
                <w:rFonts w:ascii="Calibri" w:hAnsi="Calibri" w:cs="Arial"/>
                <w:color w:val="000000"/>
                <w:sz w:val="20"/>
                <w:szCs w:val="20"/>
                <w:lang w:val="fr-CA"/>
              </w:rPr>
              <w:t>une</w:t>
            </w:r>
            <w:r w:rsidR="0028479D">
              <w:rPr>
                <w:rFonts w:ascii="Calibri" w:hAnsi="Calibri" w:cs="Arial"/>
                <w:color w:val="000000"/>
                <w:sz w:val="20"/>
                <w:szCs w:val="20"/>
                <w:lang w:val="fr-CA"/>
              </w:rPr>
              <w:t xml:space="preserve"> publication</w:t>
            </w:r>
            <w:r>
              <w:rPr>
                <w:rFonts w:ascii="Calibri" w:hAnsi="Calibri" w:cs="Arial"/>
                <w:color w:val="000000"/>
                <w:sz w:val="20"/>
                <w:szCs w:val="20"/>
                <w:lang w:val="fr-CA"/>
              </w:rPr>
              <w:t xml:space="preserve"> pour la COP13,</w:t>
            </w:r>
            <w:r w:rsidR="0028479D">
              <w:rPr>
                <w:rFonts w:ascii="Calibri" w:hAnsi="Calibri" w:cs="Arial"/>
                <w:color w:val="000000"/>
                <w:sz w:val="20"/>
                <w:szCs w:val="20"/>
                <w:lang w:val="fr-CA"/>
              </w:rPr>
              <w:t xml:space="preserve"> soulignant les travaux des IR</w:t>
            </w:r>
            <w:r>
              <w:rPr>
                <w:rFonts w:ascii="Calibri" w:hAnsi="Calibri" w:cs="Arial"/>
                <w:color w:val="000000"/>
                <w:sz w:val="20"/>
                <w:szCs w:val="20"/>
                <w:lang w:val="fr-CA"/>
              </w:rPr>
              <w:t>R</w:t>
            </w:r>
            <w:r w:rsidR="0028479D">
              <w:rPr>
                <w:rFonts w:ascii="Calibri" w:hAnsi="Calibri" w:cs="Arial"/>
                <w:color w:val="000000"/>
                <w:sz w:val="20"/>
                <w:szCs w:val="20"/>
                <w:lang w:val="fr-CA"/>
              </w:rPr>
              <w:t xml:space="preserve"> en matière d’application des travaux de la Convention de Ramsar. </w:t>
            </w:r>
            <w:r w:rsidR="00073E0C" w:rsidRPr="00A778BF">
              <w:rPr>
                <w:rFonts w:ascii="Calibri" w:hAnsi="Calibri" w:cs="Arial"/>
                <w:color w:val="000000"/>
                <w:sz w:val="20"/>
                <w:szCs w:val="20"/>
                <w:lang w:val="fr-CA"/>
              </w:rPr>
              <w:t xml:space="preserve"> </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73E0C" w:rsidRPr="00A778BF" w:rsidRDefault="00DB4123" w:rsidP="006B5FCE">
            <w:pPr>
              <w:jc w:val="right"/>
              <w:rPr>
                <w:rFonts w:ascii="Calibri" w:hAnsi="Calibri" w:cs="Arial"/>
                <w:color w:val="000000"/>
                <w:sz w:val="20"/>
                <w:szCs w:val="20"/>
                <w:lang w:val="fr-CA"/>
              </w:rPr>
            </w:pPr>
            <w:r>
              <w:rPr>
                <w:rFonts w:ascii="Calibri" w:hAnsi="Calibri" w:cs="Arial"/>
                <w:color w:val="000000"/>
                <w:sz w:val="20"/>
                <w:szCs w:val="20"/>
                <w:lang w:val="fr-CA"/>
              </w:rPr>
              <w:t>1</w:t>
            </w:r>
            <w:r w:rsidR="00073E0C" w:rsidRPr="00A778BF">
              <w:rPr>
                <w:rFonts w:ascii="Calibri" w:hAnsi="Calibri" w:cs="Arial"/>
                <w:color w:val="000000"/>
                <w:sz w:val="20"/>
                <w:szCs w:val="20"/>
                <w:lang w:val="fr-CA"/>
              </w:rPr>
              <w:t>5</w:t>
            </w:r>
            <w:r w:rsidR="00E10389">
              <w:rPr>
                <w:rFonts w:ascii="Calibri" w:hAnsi="Calibri" w:cs="Arial"/>
                <w:color w:val="000000"/>
                <w:sz w:val="20"/>
                <w:szCs w:val="20"/>
                <w:lang w:val="fr-CA"/>
              </w:rPr>
              <w:t xml:space="preserve"> </w:t>
            </w:r>
            <w:r w:rsidR="00073E0C" w:rsidRPr="00A778BF">
              <w:rPr>
                <w:rFonts w:ascii="Calibri" w:hAnsi="Calibri" w:cs="Arial"/>
                <w:color w:val="000000"/>
                <w:sz w:val="20"/>
                <w:szCs w:val="20"/>
                <w:lang w:val="fr-CA"/>
              </w:rPr>
              <w:t>000</w:t>
            </w:r>
          </w:p>
        </w:tc>
      </w:tr>
      <w:tr w:rsidR="00073E0C" w:rsidRPr="007825EC" w:rsidTr="00534C4C">
        <w:trPr>
          <w:cantSplit/>
        </w:trPr>
        <w:tc>
          <w:tcPr>
            <w:tcW w:w="4253"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 xml:space="preserve">8.23. </w:t>
            </w:r>
            <w:r w:rsidR="00772363" w:rsidRPr="00A778BF">
              <w:rPr>
                <w:rFonts w:ascii="Calibri" w:hAnsi="Calibri" w:cs="Arial"/>
                <w:color w:val="000000"/>
                <w:sz w:val="20"/>
                <w:szCs w:val="20"/>
                <w:lang w:val="fr-CA"/>
              </w:rPr>
              <w:t>Identifier, en vue d’une intégration possible dans les initiatives régionales, des organisations de bassins hydrographiques/d’eaux souterraines transfrontières.</w:t>
            </w:r>
          </w:p>
        </w:tc>
        <w:tc>
          <w:tcPr>
            <w:tcW w:w="1560" w:type="dxa"/>
            <w:shd w:val="clear" w:color="auto" w:fill="auto"/>
          </w:tcPr>
          <w:p w:rsidR="00073E0C" w:rsidRPr="00A778BF" w:rsidRDefault="00475F7D" w:rsidP="006B5FCE">
            <w:pPr>
              <w:rPr>
                <w:rFonts w:ascii="Calibri" w:hAnsi="Calibri" w:cs="Arial"/>
                <w:color w:val="000000"/>
                <w:sz w:val="20"/>
                <w:szCs w:val="20"/>
                <w:lang w:val="fr-CA"/>
              </w:rPr>
            </w:pPr>
            <w:r>
              <w:rPr>
                <w:rFonts w:ascii="Calibri" w:hAnsi="Calibri" w:cs="Arial"/>
                <w:color w:val="000000"/>
                <w:sz w:val="20"/>
                <w:szCs w:val="20"/>
                <w:lang w:val="fr-CA"/>
              </w:rPr>
              <w:t>Toutes les PC</w:t>
            </w:r>
          </w:p>
        </w:tc>
        <w:tc>
          <w:tcPr>
            <w:tcW w:w="1134" w:type="dxa"/>
            <w:shd w:val="clear" w:color="auto" w:fill="auto"/>
          </w:tcPr>
          <w:p w:rsidR="00073E0C" w:rsidRPr="00A778BF" w:rsidRDefault="00475F7D"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73E0C" w:rsidRPr="00A778BF" w:rsidRDefault="00DB4123" w:rsidP="006D32D6">
            <w:pPr>
              <w:rPr>
                <w:rFonts w:ascii="Calibri" w:hAnsi="Calibri" w:cs="Arial"/>
                <w:color w:val="000000"/>
                <w:sz w:val="20"/>
                <w:szCs w:val="20"/>
                <w:lang w:val="fr-CA"/>
              </w:rPr>
            </w:pPr>
            <w:r>
              <w:rPr>
                <w:rFonts w:ascii="Calibri" w:hAnsi="Calibri" w:cs="Arial"/>
                <w:color w:val="000000"/>
                <w:sz w:val="20"/>
                <w:szCs w:val="20"/>
                <w:lang w:val="fr-CA"/>
              </w:rPr>
              <w:t>Liens avec les</w:t>
            </w:r>
            <w:r w:rsidR="00642F05">
              <w:rPr>
                <w:rFonts w:ascii="Calibri" w:hAnsi="Calibri" w:cs="Arial"/>
                <w:color w:val="000000"/>
                <w:sz w:val="20"/>
                <w:szCs w:val="20"/>
                <w:lang w:val="fr-CA"/>
              </w:rPr>
              <w:t xml:space="preserve"> Commissions de bassins hydrographiques pour informer </w:t>
            </w:r>
            <w:r w:rsidR="0061532D">
              <w:rPr>
                <w:rFonts w:ascii="Calibri" w:hAnsi="Calibri" w:cs="Arial"/>
                <w:color w:val="000000"/>
                <w:sz w:val="20"/>
                <w:szCs w:val="20"/>
                <w:lang w:val="fr-CA"/>
              </w:rPr>
              <w:t>sur</w:t>
            </w:r>
            <w:r w:rsidR="00642F05">
              <w:rPr>
                <w:rFonts w:ascii="Calibri" w:hAnsi="Calibri" w:cs="Arial"/>
                <w:color w:val="000000"/>
                <w:sz w:val="20"/>
                <w:szCs w:val="20"/>
                <w:lang w:val="fr-CA"/>
              </w:rPr>
              <w:t xml:space="preserve"> Ramsar et encourager l</w:t>
            </w:r>
            <w:r w:rsidR="006D32D6">
              <w:rPr>
                <w:rFonts w:ascii="Calibri" w:hAnsi="Calibri" w:cs="Arial"/>
                <w:color w:val="000000"/>
                <w:sz w:val="20"/>
                <w:szCs w:val="20"/>
                <w:lang w:val="fr-CA"/>
              </w:rPr>
              <w:t xml:space="preserve">eur </w:t>
            </w:r>
            <w:r w:rsidR="00642F05">
              <w:rPr>
                <w:rFonts w:ascii="Calibri" w:hAnsi="Calibri" w:cs="Arial"/>
                <w:color w:val="000000"/>
                <w:sz w:val="20"/>
                <w:szCs w:val="20"/>
                <w:lang w:val="fr-CA"/>
              </w:rPr>
              <w:t>enregistrement en tant qu’</w:t>
            </w:r>
            <w:r w:rsidR="0061532D">
              <w:rPr>
                <w:rFonts w:ascii="Calibri" w:hAnsi="Calibri" w:cs="Arial"/>
                <w:color w:val="000000"/>
                <w:sz w:val="20"/>
                <w:szCs w:val="20"/>
                <w:lang w:val="fr-CA"/>
              </w:rPr>
              <w:t>i</w:t>
            </w:r>
            <w:r w:rsidR="00642F05">
              <w:rPr>
                <w:rFonts w:ascii="Calibri" w:hAnsi="Calibri" w:cs="Arial"/>
                <w:color w:val="000000"/>
                <w:sz w:val="20"/>
                <w:szCs w:val="20"/>
                <w:lang w:val="fr-CA"/>
              </w:rPr>
              <w:t>nitiative</w:t>
            </w:r>
            <w:r>
              <w:rPr>
                <w:rFonts w:ascii="Calibri" w:hAnsi="Calibri" w:cs="Arial"/>
                <w:color w:val="000000"/>
                <w:sz w:val="20"/>
                <w:szCs w:val="20"/>
                <w:lang w:val="fr-CA"/>
              </w:rPr>
              <w:t>s</w:t>
            </w:r>
            <w:r w:rsidR="00642F05">
              <w:rPr>
                <w:rFonts w:ascii="Calibri" w:hAnsi="Calibri" w:cs="Arial"/>
                <w:color w:val="000000"/>
                <w:sz w:val="20"/>
                <w:szCs w:val="20"/>
                <w:lang w:val="fr-CA"/>
              </w:rPr>
              <w:t xml:space="preserve"> régionale</w:t>
            </w:r>
            <w:r>
              <w:rPr>
                <w:rFonts w:ascii="Calibri" w:hAnsi="Calibri" w:cs="Arial"/>
                <w:color w:val="000000"/>
                <w:sz w:val="20"/>
                <w:szCs w:val="20"/>
                <w:lang w:val="fr-CA"/>
              </w:rPr>
              <w:t>s</w:t>
            </w:r>
            <w:r w:rsidR="00642F05">
              <w:rPr>
                <w:rFonts w:ascii="Calibri" w:hAnsi="Calibri" w:cs="Arial"/>
                <w:color w:val="000000"/>
                <w:sz w:val="20"/>
                <w:szCs w:val="20"/>
                <w:lang w:val="fr-CA"/>
              </w:rPr>
              <w:t xml:space="preserve"> Ramsar. </w:t>
            </w:r>
            <w:r w:rsidR="00642F05" w:rsidRPr="0061532D">
              <w:rPr>
                <w:rFonts w:ascii="Calibri" w:hAnsi="Calibri" w:cs="Arial"/>
                <w:color w:val="000000"/>
                <w:sz w:val="20"/>
                <w:szCs w:val="20"/>
                <w:lang w:val="fr-CA"/>
              </w:rPr>
              <w:t>Maintenir des liens avec la CEE</w:t>
            </w:r>
            <w:r w:rsidR="00642F05" w:rsidRPr="0061532D">
              <w:rPr>
                <w:rFonts w:ascii="Calibri" w:hAnsi="Calibri" w:cs="Arial"/>
                <w:color w:val="000000"/>
                <w:sz w:val="20"/>
                <w:szCs w:val="20"/>
                <w:lang w:val="fr-CA"/>
              </w:rPr>
              <w:noBreakHyphen/>
              <w:t>ONU</w:t>
            </w:r>
            <w:r w:rsidR="0061532D" w:rsidRPr="0061532D">
              <w:rPr>
                <w:rFonts w:ascii="Calibri" w:hAnsi="Calibri" w:cs="Arial"/>
                <w:color w:val="000000"/>
                <w:sz w:val="20"/>
                <w:szCs w:val="20"/>
                <w:lang w:val="fr-CA"/>
              </w:rPr>
              <w:t xml:space="preserve">, la </w:t>
            </w:r>
            <w:r w:rsidR="00642F05" w:rsidRPr="0061532D">
              <w:rPr>
                <w:rFonts w:ascii="Calibri" w:hAnsi="Calibri" w:cs="Arial"/>
                <w:color w:val="000000"/>
                <w:sz w:val="20"/>
                <w:szCs w:val="20"/>
                <w:lang w:val="fr-CA"/>
              </w:rPr>
              <w:t>Convention d’</w:t>
            </w:r>
            <w:r w:rsidR="00073E0C" w:rsidRPr="0061532D">
              <w:rPr>
                <w:rFonts w:ascii="Calibri" w:hAnsi="Calibri" w:cs="Arial"/>
                <w:color w:val="000000"/>
                <w:sz w:val="20"/>
                <w:szCs w:val="20"/>
                <w:lang w:val="fr-CA"/>
              </w:rPr>
              <w:t xml:space="preserve">Helsinki </w:t>
            </w:r>
            <w:r w:rsidR="00642F05" w:rsidRPr="0061532D">
              <w:rPr>
                <w:rFonts w:ascii="Calibri" w:hAnsi="Calibri" w:cs="Arial"/>
                <w:color w:val="000000"/>
                <w:sz w:val="20"/>
                <w:szCs w:val="20"/>
                <w:lang w:val="fr-CA"/>
              </w:rPr>
              <w:t>et la Convention des Nations Unies sur les cours d’eau</w:t>
            </w:r>
            <w:r w:rsidR="0061532D">
              <w:rPr>
                <w:rFonts w:ascii="Calibri" w:hAnsi="Calibri" w:cs="Arial"/>
                <w:color w:val="000000"/>
                <w:sz w:val="20"/>
                <w:szCs w:val="20"/>
                <w:lang w:val="fr-CA"/>
              </w:rPr>
              <w:t xml:space="preserve"> internationaux</w:t>
            </w:r>
            <w:r>
              <w:rPr>
                <w:rFonts w:ascii="Calibri" w:hAnsi="Calibri" w:cs="Arial"/>
                <w:color w:val="000000"/>
                <w:sz w:val="20"/>
                <w:szCs w:val="20"/>
                <w:lang w:val="fr-CA"/>
              </w:rPr>
              <w:t>, en cours</w:t>
            </w:r>
            <w:r w:rsidR="00642F05" w:rsidRPr="0061532D">
              <w:rPr>
                <w:rFonts w:ascii="Calibri" w:hAnsi="Calibri" w:cs="Arial"/>
                <w:color w:val="000000"/>
                <w:sz w:val="20"/>
                <w:szCs w:val="20"/>
                <w:lang w:val="fr-CA"/>
              </w:rPr>
              <w:t>.</w:t>
            </w:r>
            <w:r w:rsidR="00642F05">
              <w:rPr>
                <w:rFonts w:ascii="Calibri" w:hAnsi="Calibri" w:cs="Arial"/>
                <w:color w:val="000000"/>
                <w:sz w:val="20"/>
                <w:szCs w:val="20"/>
                <w:lang w:val="fr-CA"/>
              </w:rPr>
              <w:t xml:space="preserve"> </w:t>
            </w:r>
            <w:r w:rsidR="00073E0C" w:rsidRPr="00A778BF">
              <w:rPr>
                <w:rFonts w:ascii="Calibri" w:hAnsi="Calibri" w:cs="Arial"/>
                <w:color w:val="000000"/>
                <w:sz w:val="20"/>
                <w:szCs w:val="20"/>
                <w:lang w:val="fr-CA"/>
              </w:rPr>
              <w:t xml:space="preserve"> </w:t>
            </w:r>
          </w:p>
        </w:tc>
        <w:tc>
          <w:tcPr>
            <w:tcW w:w="1134" w:type="dxa"/>
            <w:shd w:val="clear" w:color="auto" w:fill="auto"/>
          </w:tcPr>
          <w:p w:rsidR="00073E0C" w:rsidRPr="00A778BF" w:rsidRDefault="00073E0C"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73E0C" w:rsidRPr="00A778BF" w:rsidRDefault="00073E0C"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73E0C" w:rsidRPr="00A778BF" w:rsidRDefault="00073E0C" w:rsidP="006B5FCE">
            <w:pPr>
              <w:jc w:val="right"/>
              <w:rPr>
                <w:rFonts w:ascii="Calibri" w:hAnsi="Calibri" w:cs="Arial"/>
                <w:color w:val="000000"/>
                <w:sz w:val="20"/>
                <w:szCs w:val="20"/>
                <w:lang w:val="fr-CA"/>
              </w:rPr>
            </w:pPr>
          </w:p>
        </w:tc>
      </w:tr>
      <w:tr w:rsidR="006B5FCE" w:rsidRPr="00A778BF" w:rsidTr="00534C4C">
        <w:trPr>
          <w:cantSplit/>
        </w:trPr>
        <w:tc>
          <w:tcPr>
            <w:tcW w:w="4253" w:type="dxa"/>
            <w:shd w:val="clear" w:color="auto" w:fill="D9D9D9" w:themeFill="background1" w:themeFillShade="D9"/>
          </w:tcPr>
          <w:p w:rsidR="000F555E" w:rsidRPr="00A778BF" w:rsidRDefault="000F555E" w:rsidP="00772363">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772363"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 xml:space="preserve">solution XII.9 </w:t>
            </w:r>
            <w:r w:rsidR="00C95FC6" w:rsidRPr="00A778BF">
              <w:rPr>
                <w:rFonts w:ascii="Calibri" w:hAnsi="Calibri" w:cs="Arial"/>
                <w:b/>
                <w:bCs/>
                <w:color w:val="000000"/>
                <w:sz w:val="20"/>
                <w:szCs w:val="20"/>
                <w:lang w:val="fr-CA"/>
              </w:rPr>
              <w:t xml:space="preserve">Le Programme de la Convention de Ramsar relatif à la communication, au renforcement des capacités, à l’éducation, à la sensibilisation et à la participation (CESP) 2016-2024 </w:t>
            </w:r>
            <w:r w:rsidRPr="00A778BF">
              <w:rPr>
                <w:rFonts w:ascii="Calibri" w:hAnsi="Calibri" w:cs="Arial"/>
                <w:b/>
                <w:bCs/>
                <w:color w:val="000000"/>
                <w:sz w:val="20"/>
                <w:szCs w:val="20"/>
                <w:lang w:val="fr-CA"/>
              </w:rPr>
              <w:t>(</w:t>
            </w:r>
            <w:r w:rsidR="00DA45B2" w:rsidRPr="00A778BF">
              <w:rPr>
                <w:rFonts w:ascii="Calibri" w:eastAsiaTheme="minorHAnsi" w:hAnsi="Calibri" w:cs="Calibri"/>
                <w:b/>
                <w:bCs/>
                <w:color w:val="000000"/>
                <w:sz w:val="20"/>
                <w:szCs w:val="20"/>
                <w:lang w:val="fr-CA" w:eastAsia="en-US"/>
              </w:rPr>
              <w:t>tous les buts stratégiques</w:t>
            </w:r>
            <w:r w:rsidRPr="00A778BF">
              <w:rPr>
                <w:rFonts w:ascii="Calibri" w:hAnsi="Calibri" w:cs="Arial"/>
                <w:b/>
                <w:bCs/>
                <w:color w:val="000000"/>
                <w:sz w:val="20"/>
                <w:szCs w:val="20"/>
                <w:lang w:val="fr-CA"/>
              </w:rPr>
              <w:t>)</w:t>
            </w:r>
          </w:p>
        </w:tc>
        <w:tc>
          <w:tcPr>
            <w:tcW w:w="1560"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DB4123" w:rsidP="006B5FCE">
            <w:pPr>
              <w:jc w:val="right"/>
              <w:rPr>
                <w:rFonts w:ascii="Calibri" w:hAnsi="Calibri" w:cs="Arial"/>
                <w:b/>
                <w:bCs/>
                <w:color w:val="000000"/>
                <w:sz w:val="20"/>
                <w:szCs w:val="20"/>
                <w:lang w:val="fr-CA"/>
              </w:rPr>
            </w:pPr>
            <w:r>
              <w:rPr>
                <w:rFonts w:ascii="Calibri" w:hAnsi="Calibri" w:cs="Arial"/>
                <w:b/>
                <w:bCs/>
                <w:color w:val="000000"/>
                <w:sz w:val="20"/>
                <w:szCs w:val="20"/>
                <w:lang w:val="fr-CA"/>
              </w:rPr>
              <w:t>30</w:t>
            </w:r>
            <w:r w:rsidR="000F555E" w:rsidRPr="00A778BF">
              <w:rPr>
                <w:rFonts w:ascii="Calibri" w:hAnsi="Calibri" w:cs="Arial"/>
                <w:b/>
                <w:bCs/>
                <w:color w:val="000000"/>
                <w:sz w:val="20"/>
                <w:szCs w:val="20"/>
                <w:lang w:val="fr-CA"/>
              </w:rPr>
              <w:t>0</w:t>
            </w:r>
            <w:r w:rsidR="00E10389">
              <w:rPr>
                <w:rFonts w:ascii="Calibri" w:hAnsi="Calibri" w:cs="Arial"/>
                <w:b/>
                <w:bCs/>
                <w:color w:val="000000"/>
                <w:sz w:val="20"/>
                <w:szCs w:val="20"/>
                <w:lang w:val="fr-CA"/>
              </w:rPr>
              <w:t xml:space="preserve"> </w:t>
            </w:r>
            <w:r w:rsidR="000F555E" w:rsidRPr="00A778BF">
              <w:rPr>
                <w:rFonts w:ascii="Calibri" w:hAnsi="Calibri" w:cs="Arial"/>
                <w:b/>
                <w:bCs/>
                <w:color w:val="000000"/>
                <w:sz w:val="20"/>
                <w:szCs w:val="20"/>
                <w:lang w:val="fr-CA"/>
              </w:rPr>
              <w:t>000</w:t>
            </w:r>
          </w:p>
        </w:tc>
        <w:tc>
          <w:tcPr>
            <w:tcW w:w="1417" w:type="dxa"/>
            <w:shd w:val="clear" w:color="auto" w:fill="D9D9D9" w:themeFill="background1" w:themeFillShade="D9"/>
          </w:tcPr>
          <w:p w:rsidR="000F555E" w:rsidRPr="00A778BF" w:rsidRDefault="000F555E" w:rsidP="00DB4123">
            <w:pPr>
              <w:jc w:val="right"/>
              <w:rPr>
                <w:rFonts w:ascii="Calibri" w:hAnsi="Calibri" w:cs="Arial"/>
                <w:color w:val="000000"/>
                <w:sz w:val="20"/>
                <w:szCs w:val="20"/>
                <w:lang w:val="fr-CA"/>
              </w:rPr>
            </w:pPr>
            <w:r w:rsidRPr="00A778BF">
              <w:rPr>
                <w:rFonts w:ascii="Calibri" w:hAnsi="Calibri" w:cs="Arial"/>
                <w:color w:val="000000"/>
                <w:sz w:val="20"/>
                <w:szCs w:val="20"/>
                <w:lang w:val="fr-CA"/>
              </w:rPr>
              <w:t> </w:t>
            </w:r>
            <w:r w:rsidR="00DB4123">
              <w:rPr>
                <w:rFonts w:ascii="Calibri" w:hAnsi="Calibri" w:cs="Arial"/>
                <w:color w:val="000000"/>
                <w:sz w:val="20"/>
                <w:szCs w:val="20"/>
                <w:lang w:val="fr-CA"/>
              </w:rPr>
              <w:t>300 000</w:t>
            </w:r>
          </w:p>
        </w:tc>
        <w:tc>
          <w:tcPr>
            <w:tcW w:w="1418" w:type="dxa"/>
            <w:shd w:val="clear" w:color="auto" w:fill="D9D9D9" w:themeFill="background1" w:themeFillShade="D9"/>
            <w:vAlign w:val="bottom"/>
          </w:tcPr>
          <w:p w:rsidR="000F555E" w:rsidRPr="00A778BF" w:rsidRDefault="000F555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F555E" w:rsidRPr="007825EC"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9.17. </w:t>
            </w:r>
            <w:r w:rsidR="00C95FC6" w:rsidRPr="00A778BF">
              <w:rPr>
                <w:rFonts w:ascii="Calibri" w:hAnsi="Calibri" w:cs="Arial"/>
                <w:color w:val="000000"/>
                <w:sz w:val="20"/>
                <w:szCs w:val="20"/>
                <w:lang w:val="fr-CA"/>
              </w:rPr>
              <w:t>DEMANDE au Secrétariat, sous réserve des ressources disponibles, d’aider à renforcer les capacités des Correspondants CESP en fournissant une formation, des manuels et des modèles, pour les Plans d’action de CESP ; et EXHORTE le Secrétariat à apporter un soutien technique aux Correspondants nationaux CESP en créant un réseau pour qu’ils puissent partager leurs connaissances.</w:t>
            </w:r>
          </w:p>
        </w:tc>
        <w:tc>
          <w:tcPr>
            <w:tcW w:w="1560" w:type="dxa"/>
            <w:shd w:val="clear" w:color="auto" w:fill="auto"/>
          </w:tcPr>
          <w:p w:rsidR="000F555E" w:rsidRPr="00A778BF" w:rsidRDefault="00642F05" w:rsidP="00642F05">
            <w:pPr>
              <w:rPr>
                <w:rFonts w:ascii="Calibri" w:hAnsi="Calibri" w:cs="Arial"/>
                <w:color w:val="000000"/>
                <w:sz w:val="20"/>
                <w:szCs w:val="20"/>
                <w:lang w:val="fr-CA"/>
              </w:rPr>
            </w:pPr>
            <w:r w:rsidRPr="00A778BF">
              <w:rPr>
                <w:rFonts w:ascii="Calibri" w:hAnsi="Calibri" w:cs="Arial"/>
                <w:color w:val="000000"/>
                <w:sz w:val="20"/>
                <w:szCs w:val="20"/>
                <w:lang w:val="fr-CA"/>
              </w:rPr>
              <w:t>Secrétariat</w:t>
            </w:r>
            <w:r w:rsidR="000F555E" w:rsidRPr="00A778BF">
              <w:rPr>
                <w:rFonts w:ascii="Calibri" w:hAnsi="Calibri" w:cs="Arial"/>
                <w:color w:val="000000"/>
                <w:sz w:val="20"/>
                <w:szCs w:val="20"/>
                <w:lang w:val="fr-CA"/>
              </w:rPr>
              <w:t xml:space="preserve"> (Comm</w:t>
            </w:r>
            <w:r>
              <w:rPr>
                <w:rFonts w:ascii="Calibri" w:hAnsi="Calibri" w:cs="Arial"/>
                <w:color w:val="000000"/>
                <w:sz w:val="20"/>
                <w:szCs w:val="20"/>
                <w:lang w:val="fr-CA"/>
              </w:rPr>
              <w:t>.</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t>GEST</w:t>
            </w:r>
            <w:r w:rsidR="000F555E" w:rsidRPr="00A778BF">
              <w:rPr>
                <w:rFonts w:ascii="Calibri" w:hAnsi="Calibri" w:cs="Arial"/>
                <w:color w:val="000000"/>
                <w:sz w:val="20"/>
                <w:szCs w:val="20"/>
                <w:lang w:val="fr-CA"/>
              </w:rPr>
              <w:t>, Reg)</w:t>
            </w:r>
          </w:p>
        </w:tc>
        <w:tc>
          <w:tcPr>
            <w:tcW w:w="1134" w:type="dxa"/>
            <w:shd w:val="clear" w:color="auto" w:fill="auto"/>
          </w:tcPr>
          <w:p w:rsidR="000F555E" w:rsidRPr="00A778BF" w:rsidRDefault="00642F05"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F555E" w:rsidRPr="00A778BF" w:rsidRDefault="00FB402F" w:rsidP="00FB402F">
            <w:pPr>
              <w:rPr>
                <w:rFonts w:ascii="Calibri" w:hAnsi="Calibri" w:cs="Arial"/>
                <w:color w:val="000000"/>
                <w:sz w:val="20"/>
                <w:szCs w:val="20"/>
                <w:lang w:val="fr-CA"/>
              </w:rPr>
            </w:pPr>
            <w:r>
              <w:rPr>
                <w:rFonts w:ascii="Calibri" w:hAnsi="Calibri" w:cs="Arial"/>
                <w:color w:val="000000"/>
                <w:sz w:val="20"/>
                <w:szCs w:val="20"/>
                <w:lang w:val="fr-CA"/>
              </w:rPr>
              <w:t>É</w:t>
            </w:r>
            <w:r w:rsidR="00642F05">
              <w:rPr>
                <w:rFonts w:ascii="Calibri" w:hAnsi="Calibri" w:cs="Arial"/>
                <w:color w:val="000000"/>
                <w:sz w:val="20"/>
                <w:szCs w:val="20"/>
                <w:lang w:val="fr-CA"/>
              </w:rPr>
              <w:t xml:space="preserve">tablir </w:t>
            </w:r>
            <w:r>
              <w:rPr>
                <w:rFonts w:ascii="Calibri" w:hAnsi="Calibri" w:cs="Arial"/>
                <w:color w:val="000000"/>
                <w:sz w:val="20"/>
                <w:szCs w:val="20"/>
                <w:lang w:val="fr-CA"/>
              </w:rPr>
              <w:t>des</w:t>
            </w:r>
            <w:r w:rsidR="00642F05">
              <w:rPr>
                <w:rFonts w:ascii="Calibri" w:hAnsi="Calibri" w:cs="Arial"/>
                <w:color w:val="000000"/>
                <w:sz w:val="20"/>
                <w:szCs w:val="20"/>
                <w:lang w:val="fr-CA"/>
              </w:rPr>
              <w:t xml:space="preserve"> réseau</w:t>
            </w:r>
            <w:r>
              <w:rPr>
                <w:rFonts w:ascii="Calibri" w:hAnsi="Calibri" w:cs="Arial"/>
                <w:color w:val="000000"/>
                <w:sz w:val="20"/>
                <w:szCs w:val="20"/>
                <w:lang w:val="fr-CA"/>
              </w:rPr>
              <w:t>x</w:t>
            </w:r>
            <w:r w:rsidR="00642F05">
              <w:rPr>
                <w:rFonts w:ascii="Calibri" w:hAnsi="Calibri" w:cs="Arial"/>
                <w:color w:val="000000"/>
                <w:sz w:val="20"/>
                <w:szCs w:val="20"/>
                <w:lang w:val="fr-CA"/>
              </w:rPr>
              <w:t xml:space="preserve"> de Correspondants CESP dans chaque région</w:t>
            </w:r>
            <w:r>
              <w:rPr>
                <w:rFonts w:ascii="Calibri" w:hAnsi="Calibri" w:cs="Arial"/>
                <w:color w:val="000000"/>
                <w:sz w:val="20"/>
                <w:szCs w:val="20"/>
                <w:lang w:val="fr-CA"/>
              </w:rPr>
              <w:t xml:space="preserve">, en collaboration avec les IRR. Fournir du matériel basé sur Internet tel que des </w:t>
            </w:r>
            <w:r w:rsidRPr="006D32D6">
              <w:rPr>
                <w:rFonts w:ascii="Calibri" w:hAnsi="Calibri" w:cs="Arial"/>
                <w:color w:val="000000"/>
                <w:sz w:val="20"/>
                <w:szCs w:val="20"/>
                <w:lang w:val="fr-CA"/>
              </w:rPr>
              <w:t>MOOC</w:t>
            </w:r>
            <w:r w:rsidR="006D32D6">
              <w:rPr>
                <w:rFonts w:ascii="Calibri" w:hAnsi="Calibri" w:cs="Arial"/>
                <w:color w:val="000000"/>
                <w:sz w:val="20"/>
                <w:szCs w:val="20"/>
                <w:lang w:val="fr-CA"/>
              </w:rPr>
              <w:t xml:space="preserve"> (formations en ligne gratuites ouvertes à tous)</w:t>
            </w:r>
            <w:r>
              <w:rPr>
                <w:rFonts w:ascii="Calibri" w:hAnsi="Calibri" w:cs="Arial"/>
                <w:color w:val="000000"/>
                <w:sz w:val="20"/>
                <w:szCs w:val="20"/>
                <w:lang w:val="fr-CA"/>
              </w:rPr>
              <w:t xml:space="preserve"> </w:t>
            </w:r>
            <w:r w:rsidR="00642F05">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0F555E" w:rsidRPr="007825EC" w:rsidTr="00534C4C">
        <w:trPr>
          <w:cantSplit/>
        </w:trPr>
        <w:tc>
          <w:tcPr>
            <w:tcW w:w="4253" w:type="dxa"/>
            <w:shd w:val="clear" w:color="auto" w:fill="auto"/>
          </w:tcPr>
          <w:p w:rsidR="000F555E" w:rsidRPr="00A778BF" w:rsidRDefault="000F555E" w:rsidP="00FB402F">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9.21.</w:t>
            </w:r>
            <w:r w:rsidR="00FB402F">
              <w:rPr>
                <w:rFonts w:ascii="Calibri" w:hAnsi="Calibri" w:cs="Arial"/>
                <w:color w:val="000000"/>
                <w:sz w:val="20"/>
                <w:szCs w:val="20"/>
                <w:lang w:val="fr-CA"/>
              </w:rPr>
              <w:t xml:space="preserve"> </w:t>
            </w:r>
            <w:r w:rsidR="00C95FC6" w:rsidRPr="00A778BF">
              <w:rPr>
                <w:rFonts w:ascii="Calibri" w:hAnsi="Calibri" w:cs="Arial"/>
                <w:color w:val="000000"/>
                <w:sz w:val="20"/>
                <w:szCs w:val="20"/>
                <w:lang w:val="fr-CA"/>
              </w:rPr>
              <w:t>ENCOURAGE les Parties contractantes qui ont des centres d’éducation aux zones humides établis ou proposés et/ou des installations similaires, à soutenir l’évolution de ces centres comme des lieux essentiels pour l’apprentissage et la formation aux zones humides et à la CESP relative aux zones humides et à soutenir leur participation à des réseaux mondiaux de ces centres;</w:t>
            </w:r>
            <w:r w:rsidRPr="00A778BF">
              <w:rPr>
                <w:rFonts w:ascii="Calibri" w:hAnsi="Calibri" w:cs="Arial"/>
                <w:color w:val="000000"/>
                <w:sz w:val="20"/>
                <w:szCs w:val="20"/>
                <w:lang w:val="fr-CA"/>
              </w:rPr>
              <w:br/>
            </w:r>
            <w:r w:rsidR="00C95FC6" w:rsidRPr="00A778BF">
              <w:rPr>
                <w:rFonts w:ascii="Calibri" w:hAnsi="Calibri" w:cs="Arial"/>
                <w:color w:val="000000"/>
                <w:sz w:val="20"/>
                <w:szCs w:val="20"/>
                <w:lang w:val="fr-CA"/>
              </w:rPr>
              <w:t>DEMANDE au Secrétariat de compiler une liste des réseaux mondiaux et de la mettre à disposition sur le site web de Ramsar.</w:t>
            </w:r>
          </w:p>
        </w:tc>
        <w:tc>
          <w:tcPr>
            <w:tcW w:w="1560" w:type="dxa"/>
            <w:shd w:val="clear" w:color="auto" w:fill="auto"/>
          </w:tcPr>
          <w:p w:rsidR="000F555E" w:rsidRPr="00A778BF" w:rsidRDefault="00642F05" w:rsidP="006B5FCE">
            <w:pPr>
              <w:rPr>
                <w:rFonts w:ascii="Calibri" w:hAnsi="Calibri" w:cs="Arial"/>
                <w:color w:val="000000"/>
                <w:sz w:val="20"/>
                <w:szCs w:val="20"/>
                <w:lang w:val="fr-CA"/>
              </w:rPr>
            </w:pPr>
            <w:r>
              <w:rPr>
                <w:rFonts w:ascii="Calibri" w:hAnsi="Calibri" w:cs="Arial"/>
                <w:color w:val="000000"/>
                <w:sz w:val="20"/>
                <w:szCs w:val="20"/>
                <w:lang w:val="fr-CA"/>
              </w:rPr>
              <w:t>Toutes les PC</w:t>
            </w:r>
            <w:r w:rsidR="000F555E" w:rsidRPr="00A778BF">
              <w:rPr>
                <w:rFonts w:ascii="Calibri" w:hAnsi="Calibri" w:cs="Arial"/>
                <w:color w:val="000000"/>
                <w:sz w:val="20"/>
                <w:szCs w:val="20"/>
                <w:lang w:val="fr-CA"/>
              </w:rPr>
              <w:br/>
            </w:r>
            <w:r w:rsidR="000F555E" w:rsidRPr="00A778BF">
              <w:rPr>
                <w:rFonts w:ascii="Calibri" w:hAnsi="Calibri" w:cs="Arial"/>
                <w:color w:val="000000"/>
                <w:sz w:val="20"/>
                <w:szCs w:val="20"/>
                <w:lang w:val="fr-CA"/>
              </w:rPr>
              <w:br/>
            </w:r>
            <w:r w:rsidR="000F555E" w:rsidRPr="00A778BF">
              <w:rPr>
                <w:rFonts w:ascii="Calibri" w:hAnsi="Calibri" w:cs="Arial"/>
                <w:color w:val="000000"/>
                <w:sz w:val="20"/>
                <w:szCs w:val="20"/>
                <w:lang w:val="fr-CA"/>
              </w:rPr>
              <w:br/>
            </w:r>
            <w:r w:rsidR="000F555E" w:rsidRPr="00A778BF">
              <w:rPr>
                <w:rFonts w:ascii="Calibri" w:hAnsi="Calibri" w:cs="Arial"/>
                <w:color w:val="000000"/>
                <w:sz w:val="20"/>
                <w:szCs w:val="20"/>
                <w:lang w:val="fr-CA"/>
              </w:rPr>
              <w:br/>
            </w:r>
            <w:r w:rsidR="00100D3F">
              <w:rPr>
                <w:rFonts w:ascii="Calibri" w:hAnsi="Calibri" w:cs="Arial"/>
                <w:color w:val="000000"/>
                <w:sz w:val="20"/>
                <w:szCs w:val="20"/>
                <w:lang w:val="fr-CA"/>
              </w:rPr>
              <w:t>Secrétariat Ramsar</w:t>
            </w:r>
            <w:r w:rsidR="000F555E" w:rsidRPr="00A778BF">
              <w:rPr>
                <w:rFonts w:ascii="Calibri" w:hAnsi="Calibri" w:cs="Arial"/>
                <w:color w:val="000000"/>
                <w:sz w:val="20"/>
                <w:szCs w:val="20"/>
                <w:lang w:val="fr-CA"/>
              </w:rPr>
              <w:t xml:space="preserve"> </w:t>
            </w:r>
          </w:p>
        </w:tc>
        <w:tc>
          <w:tcPr>
            <w:tcW w:w="1134" w:type="dxa"/>
            <w:shd w:val="clear" w:color="auto" w:fill="auto"/>
          </w:tcPr>
          <w:p w:rsidR="000F555E" w:rsidRPr="00A778BF" w:rsidRDefault="00642F05"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F555E" w:rsidRPr="00A778BF" w:rsidRDefault="00FB402F" w:rsidP="00FB402F">
            <w:pPr>
              <w:rPr>
                <w:rFonts w:ascii="Calibri" w:hAnsi="Calibri" w:cs="Arial"/>
                <w:color w:val="000000"/>
                <w:sz w:val="20"/>
                <w:szCs w:val="20"/>
                <w:lang w:val="fr-CA"/>
              </w:rPr>
            </w:pPr>
            <w:r>
              <w:rPr>
                <w:rFonts w:ascii="Calibri" w:hAnsi="Calibri" w:cs="Arial"/>
                <w:color w:val="000000"/>
                <w:sz w:val="20"/>
                <w:szCs w:val="20"/>
                <w:lang w:val="fr-CA"/>
              </w:rPr>
              <w:t>S</w:t>
            </w:r>
            <w:r w:rsidR="00642F05">
              <w:rPr>
                <w:rFonts w:ascii="Calibri" w:hAnsi="Calibri" w:cs="Arial"/>
                <w:color w:val="000000"/>
                <w:sz w:val="20"/>
                <w:szCs w:val="20"/>
                <w:lang w:val="fr-CA"/>
              </w:rPr>
              <w:t xml:space="preserve">outenir </w:t>
            </w:r>
            <w:r>
              <w:rPr>
                <w:rFonts w:ascii="Calibri" w:hAnsi="Calibri" w:cs="Arial"/>
                <w:color w:val="000000"/>
                <w:sz w:val="20"/>
                <w:szCs w:val="20"/>
                <w:lang w:val="fr-CA"/>
              </w:rPr>
              <w:t>un réseau de</w:t>
            </w:r>
            <w:r w:rsidR="00642F05">
              <w:rPr>
                <w:rFonts w:ascii="Calibri" w:hAnsi="Calibri" w:cs="Arial"/>
                <w:color w:val="000000"/>
                <w:sz w:val="20"/>
                <w:szCs w:val="20"/>
                <w:lang w:val="fr-CA"/>
              </w:rPr>
              <w:t xml:space="preserve"> centres d’éducation aux zones humides et rassembler des informations pertinentes pour la page web.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0F555E" w:rsidRPr="00A778BF" w:rsidTr="00534C4C">
        <w:trPr>
          <w:cantSplit/>
        </w:trPr>
        <w:tc>
          <w:tcPr>
            <w:tcW w:w="4253" w:type="dxa"/>
            <w:shd w:val="clear" w:color="auto" w:fill="auto"/>
          </w:tcPr>
          <w:p w:rsidR="000F555E" w:rsidRPr="00A778BF" w:rsidRDefault="000F555E" w:rsidP="00C95FC6">
            <w:pPr>
              <w:rPr>
                <w:rFonts w:ascii="Calibri" w:hAnsi="Calibri" w:cs="Arial"/>
                <w:b/>
                <w:bCs/>
                <w:color w:val="000000"/>
                <w:sz w:val="20"/>
                <w:szCs w:val="20"/>
                <w:lang w:val="fr-CA"/>
              </w:rPr>
            </w:pPr>
            <w:r w:rsidRPr="00A778BF">
              <w:rPr>
                <w:rFonts w:ascii="Calibri" w:hAnsi="Calibri" w:cs="Arial"/>
                <w:b/>
                <w:bCs/>
                <w:color w:val="000000"/>
                <w:sz w:val="20"/>
                <w:szCs w:val="20"/>
                <w:lang w:val="fr-CA"/>
              </w:rPr>
              <w:t>9.</w:t>
            </w:r>
            <w:r w:rsidR="00642F05">
              <w:rPr>
                <w:rFonts w:ascii="Calibri" w:hAnsi="Calibri" w:cs="Arial"/>
                <w:b/>
                <w:bCs/>
                <w:color w:val="000000"/>
                <w:sz w:val="20"/>
                <w:szCs w:val="20"/>
                <w:lang w:val="fr-CA"/>
              </w:rPr>
              <w:t xml:space="preserve"> </w:t>
            </w:r>
            <w:r w:rsidRPr="00A778BF">
              <w:rPr>
                <w:rFonts w:ascii="Calibri" w:hAnsi="Calibri" w:cs="Arial"/>
                <w:b/>
                <w:bCs/>
                <w:color w:val="000000"/>
                <w:sz w:val="20"/>
                <w:szCs w:val="20"/>
                <w:lang w:val="fr-CA"/>
              </w:rPr>
              <w:t>Annex</w:t>
            </w:r>
            <w:r w:rsidR="00C95FC6" w:rsidRPr="00A778BF">
              <w:rPr>
                <w:rFonts w:ascii="Calibri" w:hAnsi="Calibri" w:cs="Arial"/>
                <w:b/>
                <w:bCs/>
                <w:color w:val="000000"/>
                <w:sz w:val="20"/>
                <w:szCs w:val="20"/>
                <w:lang w:val="fr-CA"/>
              </w:rPr>
              <w:t>e</w:t>
            </w:r>
            <w:r w:rsidRPr="00A778BF">
              <w:rPr>
                <w:rFonts w:ascii="Calibri" w:hAnsi="Calibri" w:cs="Arial"/>
                <w:b/>
                <w:bCs/>
                <w:color w:val="000000"/>
                <w:sz w:val="20"/>
                <w:szCs w:val="20"/>
                <w:lang w:val="fr-CA"/>
              </w:rPr>
              <w:t xml:space="preserve"> I : </w:t>
            </w:r>
            <w:r w:rsidR="00C95FC6" w:rsidRPr="00A778BF">
              <w:rPr>
                <w:rFonts w:ascii="Calibri" w:hAnsi="Calibri" w:cs="Arial"/>
                <w:b/>
                <w:bCs/>
                <w:color w:val="000000"/>
                <w:sz w:val="20"/>
                <w:szCs w:val="20"/>
                <w:lang w:val="fr-CA"/>
              </w:rPr>
              <w:t>Buts et objectifs du</w:t>
            </w:r>
            <w:r w:rsidRPr="00A778BF">
              <w:rPr>
                <w:rFonts w:ascii="Calibri" w:hAnsi="Calibri" w:cs="Arial"/>
                <w:b/>
                <w:bCs/>
                <w:color w:val="000000"/>
                <w:sz w:val="20"/>
                <w:szCs w:val="20"/>
                <w:lang w:val="fr-CA"/>
              </w:rPr>
              <w:t xml:space="preserve"> Programme</w:t>
            </w:r>
            <w:r w:rsidR="00C95FC6" w:rsidRPr="00A778BF">
              <w:rPr>
                <w:rFonts w:ascii="Calibri" w:hAnsi="Calibri" w:cs="Arial"/>
                <w:b/>
                <w:bCs/>
                <w:color w:val="000000"/>
                <w:sz w:val="20"/>
                <w:szCs w:val="20"/>
                <w:lang w:val="fr-CA"/>
              </w:rPr>
              <w:t xml:space="preserve"> de CESP</w:t>
            </w:r>
          </w:p>
        </w:tc>
        <w:tc>
          <w:tcPr>
            <w:tcW w:w="1560" w:type="dxa"/>
            <w:shd w:val="clear" w:color="auto" w:fill="auto"/>
          </w:tcPr>
          <w:p w:rsidR="000F555E" w:rsidRPr="00A778BF" w:rsidRDefault="00642F05" w:rsidP="00642F05">
            <w:pPr>
              <w:rPr>
                <w:rFonts w:ascii="Calibri" w:hAnsi="Calibri" w:cs="Arial"/>
                <w:color w:val="000000"/>
                <w:sz w:val="20"/>
                <w:szCs w:val="20"/>
                <w:lang w:val="fr-CA"/>
              </w:rPr>
            </w:pPr>
            <w:r w:rsidRPr="00A778BF">
              <w:rPr>
                <w:rFonts w:ascii="Calibri" w:hAnsi="Calibri" w:cs="Arial"/>
                <w:color w:val="000000"/>
                <w:sz w:val="20"/>
                <w:szCs w:val="20"/>
                <w:lang w:val="fr-CA"/>
              </w:rPr>
              <w:t>Secrétariat</w:t>
            </w:r>
            <w:r w:rsidR="000F555E" w:rsidRPr="00A778BF">
              <w:rPr>
                <w:rFonts w:ascii="Calibri" w:hAnsi="Calibri" w:cs="Arial"/>
                <w:color w:val="000000"/>
                <w:sz w:val="20"/>
                <w:szCs w:val="20"/>
                <w:lang w:val="fr-CA"/>
              </w:rPr>
              <w:t xml:space="preserve"> (Comm</w:t>
            </w:r>
            <w:r>
              <w:rPr>
                <w:rFonts w:ascii="Calibri" w:hAnsi="Calibri" w:cs="Arial"/>
                <w:color w:val="000000"/>
                <w:sz w:val="20"/>
                <w:szCs w:val="20"/>
                <w:lang w:val="fr-CA"/>
              </w:rPr>
              <w:t>.</w:t>
            </w:r>
            <w:r w:rsidR="000F555E" w:rsidRPr="00A778BF">
              <w:rPr>
                <w:rFonts w:ascii="Calibri" w:hAnsi="Calibri" w:cs="Arial"/>
                <w:color w:val="000000"/>
                <w:sz w:val="20"/>
                <w:szCs w:val="20"/>
                <w:lang w:val="fr-CA"/>
              </w:rPr>
              <w:t>)</w:t>
            </w:r>
          </w:p>
        </w:tc>
        <w:tc>
          <w:tcPr>
            <w:tcW w:w="1134"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F555E" w:rsidRPr="00A778BF" w:rsidRDefault="00126961" w:rsidP="00126961">
            <w:pPr>
              <w:rPr>
                <w:rFonts w:ascii="Calibri" w:hAnsi="Calibri" w:cs="Arial"/>
                <w:color w:val="000000"/>
                <w:sz w:val="20"/>
                <w:szCs w:val="20"/>
                <w:lang w:val="fr-CA"/>
              </w:rPr>
            </w:pPr>
            <w:r>
              <w:rPr>
                <w:rFonts w:ascii="Calibri" w:hAnsi="Calibri" w:cs="Arial"/>
                <w:color w:val="000000"/>
                <w:sz w:val="20"/>
                <w:szCs w:val="20"/>
                <w:lang w:val="fr-CA"/>
              </w:rPr>
              <w:t xml:space="preserve">Budget non administratif requis pour soutenir le programme de CESP comme indiqué dans le Plan de travail </w:t>
            </w:r>
            <w:r w:rsidR="000F555E" w:rsidRPr="00A778BF">
              <w:rPr>
                <w:rFonts w:ascii="Calibri" w:hAnsi="Calibri" w:cs="Arial"/>
                <w:color w:val="000000"/>
                <w:sz w:val="20"/>
                <w:szCs w:val="20"/>
                <w:lang w:val="fr-CA"/>
              </w:rPr>
              <w:t>2016-2018</w:t>
            </w:r>
            <w:r>
              <w:rPr>
                <w:rFonts w:ascii="Calibri" w:hAnsi="Calibri" w:cs="Arial"/>
                <w:color w:val="000000"/>
                <w:sz w:val="20"/>
                <w:szCs w:val="20"/>
                <w:lang w:val="fr-CA"/>
              </w:rPr>
              <w:t>.</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jc w:val="right"/>
              <w:rPr>
                <w:rFonts w:ascii="Calibri" w:hAnsi="Calibri" w:cs="Arial"/>
                <w:color w:val="000000"/>
                <w:sz w:val="20"/>
                <w:szCs w:val="20"/>
                <w:lang w:val="fr-CA"/>
              </w:rPr>
            </w:pPr>
            <w:r w:rsidRPr="00A778BF">
              <w:rPr>
                <w:rFonts w:ascii="Calibri" w:hAnsi="Calibri" w:cs="Arial"/>
                <w:color w:val="000000"/>
                <w:sz w:val="20"/>
                <w:szCs w:val="20"/>
                <w:lang w:val="fr-CA"/>
              </w:rPr>
              <w:t>300</w:t>
            </w:r>
            <w:r w:rsidR="00E10389">
              <w:rPr>
                <w:rFonts w:ascii="Calibri" w:hAnsi="Calibri" w:cs="Arial"/>
                <w:color w:val="000000"/>
                <w:sz w:val="20"/>
                <w:szCs w:val="20"/>
                <w:lang w:val="fr-CA"/>
              </w:rPr>
              <w:t xml:space="preserve"> </w:t>
            </w:r>
            <w:r w:rsidRPr="00A778BF">
              <w:rPr>
                <w:rFonts w:ascii="Calibri" w:hAnsi="Calibri" w:cs="Arial"/>
                <w:color w:val="000000"/>
                <w:sz w:val="20"/>
                <w:szCs w:val="20"/>
                <w:lang w:val="fr-CA"/>
              </w:rPr>
              <w:t>000</w:t>
            </w:r>
          </w:p>
        </w:tc>
        <w:tc>
          <w:tcPr>
            <w:tcW w:w="1418" w:type="dxa"/>
            <w:shd w:val="clear" w:color="auto" w:fill="auto"/>
            <w:vAlign w:val="bottom"/>
          </w:tcPr>
          <w:p w:rsidR="000F555E" w:rsidRPr="00A778BF" w:rsidRDefault="000F555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6B5FCE" w:rsidRPr="00A778BF" w:rsidTr="00534C4C">
        <w:trPr>
          <w:cantSplit/>
        </w:trPr>
        <w:tc>
          <w:tcPr>
            <w:tcW w:w="4253" w:type="dxa"/>
            <w:shd w:val="clear" w:color="auto" w:fill="D9D9D9" w:themeFill="background1" w:themeFillShade="D9"/>
          </w:tcPr>
          <w:p w:rsidR="000F555E" w:rsidRPr="00A778BF" w:rsidRDefault="000F555E" w:rsidP="00C95FC6">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C95FC6"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solution XII.10</w:t>
            </w:r>
            <w:r w:rsidR="00642F05">
              <w:rPr>
                <w:rFonts w:ascii="Calibri" w:hAnsi="Calibri" w:cs="Arial"/>
                <w:b/>
                <w:bCs/>
                <w:color w:val="000000"/>
                <w:sz w:val="20"/>
                <w:szCs w:val="20"/>
                <w:lang w:val="fr-CA"/>
              </w:rPr>
              <w:t xml:space="preserve"> </w:t>
            </w:r>
            <w:r w:rsidR="00C95FC6" w:rsidRPr="00A778BF">
              <w:rPr>
                <w:rFonts w:ascii="Calibri" w:hAnsi="Calibri" w:cs="Arial"/>
                <w:b/>
                <w:bCs/>
                <w:color w:val="000000"/>
                <w:sz w:val="20"/>
                <w:szCs w:val="20"/>
                <w:lang w:val="fr-CA"/>
              </w:rPr>
              <w:t>Label Ville des Zones Humides</w:t>
            </w:r>
            <w:r w:rsidR="00733655">
              <w:rPr>
                <w:rFonts w:ascii="Calibri" w:hAnsi="Calibri" w:cs="Arial"/>
                <w:b/>
                <w:bCs/>
                <w:color w:val="000000"/>
                <w:sz w:val="20"/>
                <w:szCs w:val="20"/>
                <w:lang w:val="fr-CA"/>
              </w:rPr>
              <w:t xml:space="preserve"> </w:t>
            </w:r>
            <w:r w:rsidR="00C95FC6" w:rsidRPr="00A778BF">
              <w:rPr>
                <w:rFonts w:ascii="Calibri" w:hAnsi="Calibri" w:cs="Arial"/>
                <w:b/>
                <w:bCs/>
                <w:color w:val="000000"/>
                <w:sz w:val="20"/>
                <w:szCs w:val="20"/>
                <w:lang w:val="fr-CA"/>
              </w:rPr>
              <w:t xml:space="preserve">accréditée par la Convention de Ramsar </w:t>
            </w:r>
            <w:r w:rsidRPr="00A778BF">
              <w:rPr>
                <w:rFonts w:ascii="Calibri" w:hAnsi="Calibri" w:cs="Arial"/>
                <w:b/>
                <w:bCs/>
                <w:color w:val="000000"/>
                <w:sz w:val="20"/>
                <w:szCs w:val="20"/>
                <w:lang w:val="fr-CA"/>
              </w:rPr>
              <w:t>(</w:t>
            </w:r>
            <w:r w:rsidR="00DA45B2" w:rsidRPr="00A778BF">
              <w:rPr>
                <w:rFonts w:ascii="Calibri" w:hAnsi="Calibri" w:cs="Arial"/>
                <w:b/>
                <w:bCs/>
                <w:color w:val="000000"/>
                <w:sz w:val="20"/>
                <w:szCs w:val="20"/>
                <w:lang w:val="fr-CA"/>
              </w:rPr>
              <w:t>Buts</w:t>
            </w:r>
            <w:r w:rsidRPr="00A778BF">
              <w:rPr>
                <w:rFonts w:ascii="Calibri" w:hAnsi="Calibri" w:cs="Arial"/>
                <w:b/>
                <w:bCs/>
                <w:color w:val="000000"/>
                <w:sz w:val="20"/>
                <w:szCs w:val="20"/>
                <w:lang w:val="fr-CA"/>
              </w:rPr>
              <w:t xml:space="preserve"> 2 </w:t>
            </w:r>
            <w:r w:rsidR="00DA45B2" w:rsidRPr="00A778BF">
              <w:rPr>
                <w:rFonts w:ascii="Calibri" w:hAnsi="Calibri" w:cs="Arial"/>
                <w:b/>
                <w:bCs/>
                <w:color w:val="000000"/>
                <w:sz w:val="20"/>
                <w:szCs w:val="20"/>
                <w:lang w:val="fr-CA"/>
              </w:rPr>
              <w:t>et</w:t>
            </w:r>
            <w:r w:rsidRPr="00A778BF">
              <w:rPr>
                <w:rFonts w:ascii="Calibri" w:hAnsi="Calibri" w:cs="Arial"/>
                <w:b/>
                <w:bCs/>
                <w:color w:val="000000"/>
                <w:sz w:val="20"/>
                <w:szCs w:val="20"/>
                <w:lang w:val="fr-CA"/>
              </w:rPr>
              <w:t xml:space="preserve"> 3)</w:t>
            </w:r>
          </w:p>
        </w:tc>
        <w:tc>
          <w:tcPr>
            <w:tcW w:w="1560"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556653" w:rsidP="006B5FCE">
            <w:pPr>
              <w:jc w:val="right"/>
              <w:rPr>
                <w:rFonts w:ascii="Calibri" w:hAnsi="Calibri" w:cs="Arial"/>
                <w:b/>
                <w:bCs/>
                <w:color w:val="000000"/>
                <w:sz w:val="20"/>
                <w:szCs w:val="20"/>
                <w:lang w:val="fr-CA"/>
              </w:rPr>
            </w:pPr>
            <w:r>
              <w:rPr>
                <w:rFonts w:ascii="Calibri" w:hAnsi="Calibri" w:cs="Arial"/>
                <w:b/>
                <w:bCs/>
                <w:color w:val="000000"/>
                <w:sz w:val="20"/>
                <w:szCs w:val="20"/>
                <w:lang w:val="fr-CA"/>
              </w:rPr>
              <w:t>6</w:t>
            </w:r>
            <w:r w:rsidR="000F555E" w:rsidRPr="00A778BF">
              <w:rPr>
                <w:rFonts w:ascii="Calibri" w:hAnsi="Calibri" w:cs="Arial"/>
                <w:b/>
                <w:bCs/>
                <w:color w:val="000000"/>
                <w:sz w:val="20"/>
                <w:szCs w:val="20"/>
                <w:lang w:val="fr-CA"/>
              </w:rPr>
              <w:t>0</w:t>
            </w:r>
            <w:r w:rsidR="00E10389">
              <w:rPr>
                <w:rFonts w:ascii="Calibri" w:hAnsi="Calibri" w:cs="Arial"/>
                <w:b/>
                <w:bCs/>
                <w:color w:val="000000"/>
                <w:sz w:val="20"/>
                <w:szCs w:val="20"/>
                <w:lang w:val="fr-CA"/>
              </w:rPr>
              <w:t xml:space="preserve"> </w:t>
            </w:r>
            <w:r w:rsidR="000F555E" w:rsidRPr="00A778BF">
              <w:rPr>
                <w:rFonts w:ascii="Calibri" w:hAnsi="Calibri" w:cs="Arial"/>
                <w:b/>
                <w:bCs/>
                <w:color w:val="000000"/>
                <w:sz w:val="20"/>
                <w:szCs w:val="20"/>
                <w:lang w:val="fr-CA"/>
              </w:rPr>
              <w:t>000</w:t>
            </w:r>
          </w:p>
        </w:tc>
        <w:tc>
          <w:tcPr>
            <w:tcW w:w="141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D9D9D9" w:themeFill="background1" w:themeFillShade="D9"/>
          </w:tcPr>
          <w:p w:rsidR="000F555E" w:rsidRPr="00FB402F" w:rsidRDefault="000F555E" w:rsidP="00534C4C">
            <w:pPr>
              <w:jc w:val="right"/>
              <w:rPr>
                <w:rFonts w:asciiTheme="minorHAnsi" w:hAnsiTheme="minorHAnsi" w:cs="Arial"/>
                <w:color w:val="000000"/>
                <w:sz w:val="20"/>
                <w:szCs w:val="20"/>
                <w:lang w:val="fr-CA"/>
              </w:rPr>
            </w:pPr>
            <w:r w:rsidRPr="00A778BF">
              <w:rPr>
                <w:rFonts w:ascii="Arial" w:hAnsi="Arial" w:cs="Arial"/>
                <w:color w:val="000000"/>
                <w:sz w:val="22"/>
                <w:szCs w:val="22"/>
                <w:lang w:val="fr-CA"/>
              </w:rPr>
              <w:t> </w:t>
            </w:r>
            <w:r w:rsidR="00FB402F">
              <w:rPr>
                <w:rFonts w:asciiTheme="minorHAnsi" w:hAnsiTheme="minorHAnsi" w:cs="Arial"/>
                <w:color w:val="000000"/>
                <w:sz w:val="20"/>
                <w:szCs w:val="20"/>
                <w:lang w:val="fr-CA"/>
              </w:rPr>
              <w:t>60 000</w:t>
            </w:r>
          </w:p>
        </w:tc>
      </w:tr>
      <w:tr w:rsidR="000F555E" w:rsidRPr="007825EC"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10.14</w:t>
            </w:r>
            <w:r w:rsidR="00C95FC6" w:rsidRPr="00A778BF">
              <w:rPr>
                <w:lang w:val="fr-CA"/>
              </w:rPr>
              <w:t xml:space="preserve"> </w:t>
            </w:r>
            <w:r w:rsidR="00C95FC6" w:rsidRPr="00A778BF">
              <w:rPr>
                <w:rFonts w:ascii="Calibri" w:hAnsi="Calibri" w:cs="Arial"/>
                <w:color w:val="000000"/>
                <w:sz w:val="20"/>
                <w:szCs w:val="20"/>
                <w:lang w:val="fr-CA"/>
              </w:rPr>
              <w:t>DONNE INSTRUCTION au Secrétariat Ramsar, par l’intermédiaire des Conseillers régionaux principaux compétents, de soumettre les candidatures reçues au Comité consultatif indépendant pour examen.</w:t>
            </w:r>
          </w:p>
        </w:tc>
        <w:tc>
          <w:tcPr>
            <w:tcW w:w="1560" w:type="dxa"/>
            <w:shd w:val="clear" w:color="auto" w:fill="auto"/>
          </w:tcPr>
          <w:p w:rsidR="000F555E"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br/>
            </w:r>
            <w:r w:rsidR="000F555E" w:rsidRPr="00A778BF">
              <w:rPr>
                <w:rFonts w:ascii="Calibri" w:hAnsi="Calibri" w:cs="Arial"/>
                <w:color w:val="000000"/>
                <w:sz w:val="20"/>
                <w:szCs w:val="20"/>
                <w:lang w:val="fr-CA"/>
              </w:rPr>
              <w:t>(Reg)</w:t>
            </w:r>
          </w:p>
        </w:tc>
        <w:tc>
          <w:tcPr>
            <w:tcW w:w="1134"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F555E" w:rsidRPr="00A778BF" w:rsidRDefault="00FB402F" w:rsidP="00FB402F">
            <w:pPr>
              <w:rPr>
                <w:rFonts w:ascii="Calibri" w:hAnsi="Calibri" w:cs="Arial"/>
                <w:color w:val="000000"/>
                <w:sz w:val="20"/>
                <w:szCs w:val="20"/>
                <w:lang w:val="fr-CA"/>
              </w:rPr>
            </w:pPr>
            <w:r>
              <w:rPr>
                <w:rFonts w:ascii="Calibri" w:hAnsi="Calibri" w:cs="Arial"/>
                <w:color w:val="000000"/>
                <w:sz w:val="20"/>
                <w:szCs w:val="20"/>
                <w:lang w:val="fr-CA"/>
              </w:rPr>
              <w:t>S</w:t>
            </w:r>
            <w:r w:rsidR="00126961">
              <w:rPr>
                <w:rFonts w:ascii="Calibri" w:hAnsi="Calibri" w:cs="Arial"/>
                <w:color w:val="000000"/>
                <w:sz w:val="20"/>
                <w:szCs w:val="20"/>
                <w:lang w:val="fr-CA"/>
              </w:rPr>
              <w:t xml:space="preserve">outenir les travaux du </w:t>
            </w:r>
            <w:r w:rsidR="0061532D" w:rsidRPr="00A778BF">
              <w:rPr>
                <w:rFonts w:ascii="Calibri" w:hAnsi="Calibri" w:cs="Arial"/>
                <w:color w:val="000000"/>
                <w:sz w:val="20"/>
                <w:szCs w:val="20"/>
                <w:lang w:val="fr-CA"/>
              </w:rPr>
              <w:t>Comité consultatif indépendant</w:t>
            </w:r>
            <w:r>
              <w:rPr>
                <w:rFonts w:ascii="Calibri" w:hAnsi="Calibri" w:cs="Arial"/>
                <w:color w:val="000000"/>
                <w:sz w:val="20"/>
                <w:szCs w:val="20"/>
                <w:lang w:val="fr-CA"/>
              </w:rPr>
              <w:t xml:space="preserve"> qui sera essentiellement basé sur Internet</w:t>
            </w:r>
            <w:r w:rsidR="00126961">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0F555E" w:rsidRPr="00A778BF"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10.16</w:t>
            </w:r>
            <w:r w:rsidR="00C95FC6" w:rsidRPr="00A778BF">
              <w:rPr>
                <w:lang w:val="fr-CA"/>
              </w:rPr>
              <w:t xml:space="preserve"> </w:t>
            </w:r>
            <w:r w:rsidR="00C95FC6" w:rsidRPr="00A778BF">
              <w:rPr>
                <w:rFonts w:ascii="Calibri" w:hAnsi="Calibri" w:cs="Arial"/>
                <w:color w:val="000000"/>
                <w:sz w:val="20"/>
                <w:szCs w:val="20"/>
                <w:lang w:val="fr-CA"/>
              </w:rPr>
              <w:t>DONNE INSTRUCTION au Secrétariat Ramsar de mettre sur pied un réseau mondial en ligne de villes ayant obtenu le Label Ville des Zones Humides accréditée par la Convention de Ramsar.</w:t>
            </w:r>
          </w:p>
        </w:tc>
        <w:tc>
          <w:tcPr>
            <w:tcW w:w="1560" w:type="dxa"/>
            <w:shd w:val="clear" w:color="auto" w:fill="auto"/>
          </w:tcPr>
          <w:p w:rsidR="000F555E" w:rsidRPr="00A778BF" w:rsidRDefault="00100D3F" w:rsidP="00986973">
            <w:pPr>
              <w:rPr>
                <w:rFonts w:ascii="Calibri" w:hAnsi="Calibri" w:cs="Arial"/>
                <w:color w:val="000000"/>
                <w:sz w:val="20"/>
                <w:szCs w:val="20"/>
                <w:lang w:val="fr-CA"/>
              </w:rPr>
            </w:pPr>
            <w:r>
              <w:rPr>
                <w:rFonts w:ascii="Calibri" w:hAnsi="Calibri" w:cs="Arial"/>
                <w:color w:val="000000"/>
                <w:sz w:val="20"/>
                <w:szCs w:val="20"/>
                <w:lang w:val="fr-CA"/>
              </w:rPr>
              <w:t>Secrétariat Ramsar</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br/>
            </w:r>
            <w:r w:rsidR="000F555E" w:rsidRPr="00A778BF">
              <w:rPr>
                <w:rFonts w:ascii="Calibri" w:hAnsi="Calibri" w:cs="Arial"/>
                <w:color w:val="000000"/>
                <w:sz w:val="20"/>
                <w:szCs w:val="20"/>
                <w:lang w:val="fr-CA"/>
              </w:rPr>
              <w:t xml:space="preserve">(Reg, </w:t>
            </w:r>
            <w:r w:rsidR="00986973">
              <w:rPr>
                <w:rFonts w:ascii="Calibri" w:hAnsi="Calibri" w:cs="Arial"/>
                <w:color w:val="000000"/>
                <w:sz w:val="20"/>
                <w:szCs w:val="20"/>
                <w:lang w:val="fr-CA"/>
              </w:rPr>
              <w:t>c</w:t>
            </w:r>
            <w:r w:rsidR="000F555E" w:rsidRPr="00A778BF">
              <w:rPr>
                <w:rFonts w:ascii="Calibri" w:hAnsi="Calibri" w:cs="Arial"/>
                <w:color w:val="000000"/>
                <w:sz w:val="20"/>
                <w:szCs w:val="20"/>
                <w:lang w:val="fr-CA"/>
              </w:rPr>
              <w:t>omm</w:t>
            </w:r>
            <w:r w:rsidR="00126961">
              <w:rPr>
                <w:rFonts w:ascii="Calibri" w:hAnsi="Calibri" w:cs="Arial"/>
                <w:color w:val="000000"/>
                <w:sz w:val="20"/>
                <w:szCs w:val="20"/>
                <w:lang w:val="fr-CA"/>
              </w:rPr>
              <w:t>.</w:t>
            </w:r>
            <w:r w:rsidR="000F555E" w:rsidRPr="00A778BF">
              <w:rPr>
                <w:rFonts w:ascii="Calibri" w:hAnsi="Calibri" w:cs="Arial"/>
                <w:color w:val="000000"/>
                <w:sz w:val="20"/>
                <w:szCs w:val="20"/>
                <w:lang w:val="fr-CA"/>
              </w:rPr>
              <w:t>)</w:t>
            </w:r>
          </w:p>
        </w:tc>
        <w:tc>
          <w:tcPr>
            <w:tcW w:w="1134"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F555E" w:rsidRPr="00A778BF" w:rsidRDefault="00126961" w:rsidP="00FB402F">
            <w:pPr>
              <w:rPr>
                <w:rFonts w:ascii="Calibri" w:hAnsi="Calibri" w:cs="Arial"/>
                <w:color w:val="000000"/>
                <w:sz w:val="20"/>
                <w:szCs w:val="20"/>
                <w:lang w:val="fr-CA"/>
              </w:rPr>
            </w:pPr>
            <w:r>
              <w:rPr>
                <w:rFonts w:ascii="Calibri" w:hAnsi="Calibri" w:cs="Arial"/>
                <w:color w:val="000000"/>
                <w:sz w:val="20"/>
                <w:szCs w:val="20"/>
                <w:lang w:val="fr-CA"/>
              </w:rPr>
              <w:t>Élaboration du site web, publicité associée pour le</w:t>
            </w:r>
            <w:r w:rsidR="00FB402F">
              <w:rPr>
                <w:rFonts w:ascii="Calibri" w:hAnsi="Calibri" w:cs="Arial"/>
                <w:color w:val="000000"/>
                <w:sz w:val="20"/>
                <w:szCs w:val="20"/>
                <w:lang w:val="fr-CA"/>
              </w:rPr>
              <w:t xml:space="preserve"> Label</w:t>
            </w:r>
            <w:r>
              <w:rPr>
                <w:rFonts w:ascii="Calibri" w:hAnsi="Calibri" w:cs="Arial"/>
                <w:color w:val="000000"/>
                <w:sz w:val="20"/>
                <w:szCs w:val="20"/>
                <w:lang w:val="fr-CA"/>
              </w:rPr>
              <w:t xml:space="preserve"> </w:t>
            </w:r>
            <w:r w:rsidR="00FB402F">
              <w:rPr>
                <w:rFonts w:ascii="Calibri" w:hAnsi="Calibri" w:cs="Arial"/>
                <w:color w:val="000000"/>
                <w:sz w:val="20"/>
                <w:szCs w:val="20"/>
                <w:lang w:val="fr-CA"/>
              </w:rPr>
              <w:t>V</w:t>
            </w:r>
            <w:r>
              <w:rPr>
                <w:rFonts w:ascii="Calibri" w:hAnsi="Calibri" w:cs="Arial"/>
                <w:color w:val="000000"/>
                <w:sz w:val="20"/>
                <w:szCs w:val="20"/>
                <w:lang w:val="fr-CA"/>
              </w:rPr>
              <w:t xml:space="preserve">ille des </w:t>
            </w:r>
            <w:r w:rsidR="00FB402F">
              <w:rPr>
                <w:rFonts w:ascii="Calibri" w:hAnsi="Calibri" w:cs="Arial"/>
                <w:color w:val="000000"/>
                <w:sz w:val="20"/>
                <w:szCs w:val="20"/>
                <w:lang w:val="fr-CA"/>
              </w:rPr>
              <w:t>Z</w:t>
            </w:r>
            <w:r>
              <w:rPr>
                <w:rFonts w:ascii="Calibri" w:hAnsi="Calibri" w:cs="Arial"/>
                <w:color w:val="000000"/>
                <w:sz w:val="20"/>
                <w:szCs w:val="20"/>
                <w:lang w:val="fr-CA"/>
              </w:rPr>
              <w:t xml:space="preserve">ones </w:t>
            </w:r>
            <w:r w:rsidR="00FB402F">
              <w:rPr>
                <w:rFonts w:ascii="Calibri" w:hAnsi="Calibri" w:cs="Arial"/>
                <w:color w:val="000000"/>
                <w:sz w:val="20"/>
                <w:szCs w:val="20"/>
                <w:lang w:val="fr-CA"/>
              </w:rPr>
              <w:t>H</w:t>
            </w:r>
            <w:r>
              <w:rPr>
                <w:rFonts w:ascii="Calibri" w:hAnsi="Calibri" w:cs="Arial"/>
                <w:color w:val="000000"/>
                <w:sz w:val="20"/>
                <w:szCs w:val="20"/>
                <w:lang w:val="fr-CA"/>
              </w:rPr>
              <w:t>umides Ramsar</w:t>
            </w:r>
            <w:r w:rsidR="00FB402F">
              <w:rPr>
                <w:rFonts w:ascii="Calibri" w:hAnsi="Calibri" w:cs="Arial"/>
                <w:color w:val="000000"/>
                <w:sz w:val="20"/>
                <w:szCs w:val="20"/>
                <w:lang w:val="fr-CA"/>
              </w:rPr>
              <w:t xml:space="preserve"> qui sera mis en œuvre durant la COP13</w:t>
            </w:r>
            <w:r>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FB402F" w:rsidP="006B5FCE">
            <w:pPr>
              <w:jc w:val="right"/>
              <w:rPr>
                <w:rFonts w:ascii="Calibri" w:hAnsi="Calibri" w:cs="Arial"/>
                <w:color w:val="000000"/>
                <w:sz w:val="20"/>
                <w:szCs w:val="20"/>
                <w:lang w:val="fr-CA"/>
              </w:rPr>
            </w:pPr>
            <w:r>
              <w:rPr>
                <w:rFonts w:ascii="Calibri" w:hAnsi="Calibri" w:cs="Arial"/>
                <w:color w:val="000000"/>
                <w:sz w:val="20"/>
                <w:szCs w:val="20"/>
                <w:lang w:val="fr-CA"/>
              </w:rPr>
              <w:t>6</w:t>
            </w:r>
            <w:r w:rsidR="000F555E" w:rsidRPr="00A778BF">
              <w:rPr>
                <w:rFonts w:ascii="Calibri" w:hAnsi="Calibri" w:cs="Arial"/>
                <w:color w:val="000000"/>
                <w:sz w:val="20"/>
                <w:szCs w:val="20"/>
                <w:lang w:val="fr-CA"/>
              </w:rPr>
              <w:t>0</w:t>
            </w:r>
            <w:r w:rsidR="00E10389">
              <w:rPr>
                <w:rFonts w:ascii="Calibri" w:hAnsi="Calibri" w:cs="Arial"/>
                <w:color w:val="000000"/>
                <w:sz w:val="20"/>
                <w:szCs w:val="20"/>
                <w:lang w:val="fr-CA"/>
              </w:rPr>
              <w:t xml:space="preserve"> </w:t>
            </w:r>
            <w:r w:rsidR="000F555E" w:rsidRPr="00A778BF">
              <w:rPr>
                <w:rFonts w:ascii="Calibri" w:hAnsi="Calibri" w:cs="Arial"/>
                <w:color w:val="000000"/>
                <w:sz w:val="20"/>
                <w:szCs w:val="20"/>
                <w:lang w:val="fr-CA"/>
              </w:rPr>
              <w:t>000</w:t>
            </w:r>
          </w:p>
        </w:tc>
      </w:tr>
      <w:tr w:rsidR="006B5FCE" w:rsidRPr="007825EC" w:rsidTr="00534C4C">
        <w:trPr>
          <w:cantSplit/>
        </w:trPr>
        <w:tc>
          <w:tcPr>
            <w:tcW w:w="4253" w:type="dxa"/>
            <w:shd w:val="clear" w:color="auto" w:fill="D9D9D9" w:themeFill="background1" w:themeFillShade="D9"/>
          </w:tcPr>
          <w:p w:rsidR="000F555E" w:rsidRPr="00A778BF" w:rsidRDefault="000F555E" w:rsidP="00C95FC6">
            <w:pPr>
              <w:rPr>
                <w:rFonts w:ascii="Calibri" w:hAnsi="Calibri" w:cs="Arial"/>
                <w:b/>
                <w:bCs/>
                <w:color w:val="000000"/>
                <w:sz w:val="20"/>
                <w:szCs w:val="20"/>
                <w:lang w:val="fr-CA"/>
              </w:rPr>
            </w:pPr>
            <w:r w:rsidRPr="00A778BF">
              <w:rPr>
                <w:rFonts w:ascii="Calibri" w:hAnsi="Calibri" w:cs="Arial"/>
                <w:b/>
                <w:bCs/>
                <w:color w:val="000000"/>
                <w:sz w:val="20"/>
                <w:szCs w:val="20"/>
                <w:lang w:val="fr-CA"/>
              </w:rPr>
              <w:lastRenderedPageBreak/>
              <w:t>R</w:t>
            </w:r>
            <w:r w:rsidR="00C95FC6"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 xml:space="preserve">solution XII.11: </w:t>
            </w:r>
            <w:r w:rsidR="00C95FC6" w:rsidRPr="00A778BF">
              <w:rPr>
                <w:rFonts w:ascii="Calibri" w:hAnsi="Calibri" w:cs="Arial"/>
                <w:b/>
                <w:bCs/>
                <w:color w:val="000000"/>
                <w:sz w:val="20"/>
                <w:szCs w:val="20"/>
                <w:lang w:val="fr-CA"/>
              </w:rPr>
              <w:t xml:space="preserve">Les tourbières, les changements climatiques et l’utilisation rationnelle : implications pour la Convention de Ramsar </w:t>
            </w:r>
            <w:r w:rsidRPr="00A778BF">
              <w:rPr>
                <w:rFonts w:ascii="Calibri" w:hAnsi="Calibri" w:cs="Arial"/>
                <w:b/>
                <w:bCs/>
                <w:color w:val="000000"/>
                <w:sz w:val="20"/>
                <w:szCs w:val="20"/>
                <w:lang w:val="fr-CA"/>
              </w:rPr>
              <w:t>(</w:t>
            </w:r>
            <w:r w:rsidR="00DA45B2" w:rsidRPr="00A778BF">
              <w:rPr>
                <w:rFonts w:ascii="Calibri" w:hAnsi="Calibri" w:cs="Arial"/>
                <w:b/>
                <w:bCs/>
                <w:color w:val="000000"/>
                <w:sz w:val="20"/>
                <w:szCs w:val="20"/>
                <w:lang w:val="fr-CA"/>
              </w:rPr>
              <w:t>Buts</w:t>
            </w:r>
            <w:r w:rsidRPr="00A778BF">
              <w:rPr>
                <w:rFonts w:ascii="Calibri" w:hAnsi="Calibri" w:cs="Arial"/>
                <w:b/>
                <w:bCs/>
                <w:color w:val="000000"/>
                <w:sz w:val="20"/>
                <w:szCs w:val="20"/>
                <w:lang w:val="fr-CA"/>
              </w:rPr>
              <w:t xml:space="preserve"> 2 </w:t>
            </w:r>
            <w:r w:rsidR="00DA45B2" w:rsidRPr="00A778BF">
              <w:rPr>
                <w:rFonts w:ascii="Calibri" w:hAnsi="Calibri" w:cs="Arial"/>
                <w:b/>
                <w:bCs/>
                <w:color w:val="000000"/>
                <w:sz w:val="20"/>
                <w:szCs w:val="20"/>
                <w:lang w:val="fr-CA"/>
              </w:rPr>
              <w:t>et</w:t>
            </w:r>
            <w:r w:rsidRPr="00A778BF">
              <w:rPr>
                <w:rFonts w:ascii="Calibri" w:hAnsi="Calibri" w:cs="Arial"/>
                <w:b/>
                <w:bCs/>
                <w:color w:val="000000"/>
                <w:sz w:val="20"/>
                <w:szCs w:val="20"/>
                <w:lang w:val="fr-CA"/>
              </w:rPr>
              <w:t xml:space="preserve"> 3)</w:t>
            </w:r>
          </w:p>
        </w:tc>
        <w:tc>
          <w:tcPr>
            <w:tcW w:w="1560"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jc w:val="right"/>
              <w:rPr>
                <w:rFonts w:ascii="Calibri" w:hAnsi="Calibri" w:cs="Arial"/>
                <w:b/>
                <w:bCs/>
                <w:color w:val="000000"/>
                <w:sz w:val="20"/>
                <w:szCs w:val="20"/>
                <w:lang w:val="fr-CA"/>
              </w:rPr>
            </w:pPr>
          </w:p>
        </w:tc>
        <w:tc>
          <w:tcPr>
            <w:tcW w:w="141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D9D9D9" w:themeFill="background1" w:themeFillShade="D9"/>
            <w:vAlign w:val="bottom"/>
          </w:tcPr>
          <w:p w:rsidR="000F555E" w:rsidRPr="00A778BF" w:rsidRDefault="000F555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F555E" w:rsidRPr="007825EC"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11.23. </w:t>
            </w:r>
            <w:r w:rsidR="00C95FC6" w:rsidRPr="00A778BF">
              <w:rPr>
                <w:rFonts w:ascii="Calibri" w:hAnsi="Calibri" w:cs="Arial"/>
                <w:color w:val="000000"/>
                <w:sz w:val="20"/>
                <w:szCs w:val="20"/>
                <w:lang w:val="fr-CA"/>
              </w:rPr>
              <w:t>ENCOURAGE ÉGALEMENT les Parties contractantes, le Secrétariat et d’autres organisations à faciliter l’échange d’informations et la coopération entre les organes administratifs ou de gestion de ces sites.</w:t>
            </w:r>
          </w:p>
        </w:tc>
        <w:tc>
          <w:tcPr>
            <w:tcW w:w="1560" w:type="dxa"/>
            <w:shd w:val="clear" w:color="auto" w:fill="auto"/>
          </w:tcPr>
          <w:p w:rsidR="000F555E" w:rsidRPr="00A778BF" w:rsidRDefault="00100D3F" w:rsidP="00126961">
            <w:pPr>
              <w:rPr>
                <w:rFonts w:ascii="Calibri" w:hAnsi="Calibri" w:cs="Arial"/>
                <w:color w:val="000000"/>
                <w:sz w:val="20"/>
                <w:szCs w:val="20"/>
                <w:lang w:val="fr-CA"/>
              </w:rPr>
            </w:pPr>
            <w:r>
              <w:rPr>
                <w:rFonts w:ascii="Calibri" w:hAnsi="Calibri" w:cs="Arial"/>
                <w:color w:val="000000"/>
                <w:sz w:val="20"/>
                <w:szCs w:val="20"/>
                <w:lang w:val="fr-CA"/>
              </w:rPr>
              <w:t>Secrétariat Ramsar</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br/>
            </w:r>
            <w:r w:rsidR="000F555E" w:rsidRPr="00A778BF">
              <w:rPr>
                <w:rFonts w:ascii="Calibri" w:hAnsi="Calibri" w:cs="Arial"/>
                <w:color w:val="000000"/>
                <w:sz w:val="20"/>
                <w:szCs w:val="20"/>
                <w:lang w:val="fr-CA"/>
              </w:rPr>
              <w:t xml:space="preserve">(Reg), </w:t>
            </w:r>
            <w:r w:rsidR="00126961">
              <w:rPr>
                <w:rFonts w:ascii="Calibri" w:hAnsi="Calibri" w:cs="Arial"/>
                <w:color w:val="000000"/>
                <w:sz w:val="20"/>
                <w:szCs w:val="20"/>
                <w:lang w:val="fr-CA"/>
              </w:rPr>
              <w:t>toutes les PC</w:t>
            </w:r>
          </w:p>
        </w:tc>
        <w:tc>
          <w:tcPr>
            <w:tcW w:w="1134" w:type="dxa"/>
            <w:shd w:val="clear" w:color="auto" w:fill="auto"/>
          </w:tcPr>
          <w:p w:rsidR="000F555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F555E" w:rsidRPr="00A778BF" w:rsidRDefault="00FB402F" w:rsidP="00126961">
            <w:pPr>
              <w:rPr>
                <w:rFonts w:ascii="Calibri" w:hAnsi="Calibri" w:cs="Arial"/>
                <w:color w:val="000000"/>
                <w:sz w:val="20"/>
                <w:szCs w:val="20"/>
                <w:lang w:val="fr-CA"/>
              </w:rPr>
            </w:pPr>
            <w:r>
              <w:rPr>
                <w:rFonts w:ascii="Calibri" w:hAnsi="Calibri" w:cs="Arial"/>
                <w:color w:val="000000"/>
                <w:sz w:val="20"/>
                <w:szCs w:val="20"/>
                <w:lang w:val="fr-CA"/>
              </w:rPr>
              <w:t>Alerter</w:t>
            </w:r>
            <w:r w:rsidR="00126961">
              <w:rPr>
                <w:rFonts w:ascii="Calibri" w:hAnsi="Calibri" w:cs="Arial"/>
                <w:color w:val="000000"/>
                <w:sz w:val="20"/>
                <w:szCs w:val="20"/>
                <w:lang w:val="fr-CA"/>
              </w:rPr>
              <w:t xml:space="preserve"> les administrateurs de sites et les CN responsables pour les sites de tourbières</w:t>
            </w:r>
            <w:r>
              <w:rPr>
                <w:rFonts w:ascii="Calibri" w:hAnsi="Calibri" w:cs="Arial"/>
                <w:color w:val="000000"/>
                <w:sz w:val="20"/>
                <w:szCs w:val="20"/>
                <w:lang w:val="fr-CA"/>
              </w:rPr>
              <w:t xml:space="preserve"> et échanger </w:t>
            </w:r>
            <w:r w:rsidR="00A764BB">
              <w:rPr>
                <w:rFonts w:ascii="Calibri" w:hAnsi="Calibri" w:cs="Arial"/>
                <w:color w:val="000000"/>
                <w:sz w:val="20"/>
                <w:szCs w:val="20"/>
                <w:lang w:val="fr-CA"/>
              </w:rPr>
              <w:t xml:space="preserve">avec eux </w:t>
            </w:r>
            <w:r>
              <w:rPr>
                <w:rFonts w:ascii="Calibri" w:hAnsi="Calibri" w:cs="Arial"/>
                <w:color w:val="000000"/>
                <w:sz w:val="20"/>
                <w:szCs w:val="20"/>
                <w:lang w:val="fr-CA"/>
              </w:rPr>
              <w:t xml:space="preserve">les documents </w:t>
            </w:r>
            <w:r w:rsidR="00A764BB">
              <w:rPr>
                <w:rFonts w:ascii="Calibri" w:hAnsi="Calibri" w:cs="Arial"/>
                <w:color w:val="000000"/>
                <w:sz w:val="20"/>
                <w:szCs w:val="20"/>
                <w:lang w:val="fr-CA"/>
              </w:rPr>
              <w:t xml:space="preserve">et produits de connaissances </w:t>
            </w:r>
            <w:r>
              <w:rPr>
                <w:rFonts w:ascii="Calibri" w:hAnsi="Calibri" w:cs="Arial"/>
                <w:color w:val="000000"/>
                <w:sz w:val="20"/>
                <w:szCs w:val="20"/>
                <w:lang w:val="fr-CA"/>
              </w:rPr>
              <w:t>les plus récents</w:t>
            </w:r>
            <w:r w:rsidR="00126961">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0F555E" w:rsidRPr="007825EC"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11.26. </w:t>
            </w:r>
            <w:r w:rsidR="00885D8F" w:rsidRPr="00A778BF">
              <w:rPr>
                <w:rFonts w:ascii="Calibri" w:hAnsi="Calibri" w:cs="Arial"/>
                <w:color w:val="000000"/>
                <w:sz w:val="20"/>
                <w:szCs w:val="20"/>
                <w:lang w:val="fr-CA"/>
              </w:rPr>
              <w:t>CHARGE le Secrétariat de faciliter le renforcement des capacités aux niveaux national et régional pour aider les experts des Parties contractantes à créer des inventaires de tourbières.</w:t>
            </w:r>
          </w:p>
        </w:tc>
        <w:tc>
          <w:tcPr>
            <w:tcW w:w="1560" w:type="dxa"/>
            <w:shd w:val="clear" w:color="auto" w:fill="auto"/>
          </w:tcPr>
          <w:p w:rsidR="000F555E" w:rsidRPr="00A778BF" w:rsidRDefault="00100D3F"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br/>
            </w:r>
            <w:r w:rsidR="000F555E" w:rsidRPr="00A778BF">
              <w:rPr>
                <w:rFonts w:ascii="Calibri" w:hAnsi="Calibri" w:cs="Arial"/>
                <w:color w:val="000000"/>
                <w:sz w:val="20"/>
                <w:szCs w:val="20"/>
                <w:lang w:val="fr-CA"/>
              </w:rPr>
              <w:t>(Reg)</w:t>
            </w:r>
          </w:p>
        </w:tc>
        <w:tc>
          <w:tcPr>
            <w:tcW w:w="1134" w:type="dxa"/>
            <w:shd w:val="clear" w:color="auto" w:fill="auto"/>
          </w:tcPr>
          <w:p w:rsidR="000F555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F555E" w:rsidRPr="00A778BF" w:rsidRDefault="00A764BB" w:rsidP="00A764BB">
            <w:pPr>
              <w:rPr>
                <w:rFonts w:ascii="Calibri" w:hAnsi="Calibri" w:cs="Arial"/>
                <w:color w:val="000000"/>
                <w:sz w:val="20"/>
                <w:szCs w:val="20"/>
                <w:lang w:val="fr-CA"/>
              </w:rPr>
            </w:pPr>
            <w:r>
              <w:rPr>
                <w:rFonts w:ascii="Calibri" w:hAnsi="Calibri" w:cs="Arial"/>
                <w:color w:val="000000"/>
                <w:sz w:val="20"/>
                <w:szCs w:val="20"/>
                <w:lang w:val="fr-CA"/>
              </w:rPr>
              <w:t>Soutenir le suivi et la mise à jour des inventaires nationaux des zones humides pour veiller à ce que les tourbières soient dûment répertoriées</w:t>
            </w:r>
            <w:r w:rsidR="00126961">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vAlign w:val="bottom"/>
          </w:tcPr>
          <w:p w:rsidR="000F555E" w:rsidRPr="00A778BF" w:rsidRDefault="000F555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F555E" w:rsidRPr="007825EC"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11.28. </w:t>
            </w:r>
            <w:r w:rsidR="00885D8F" w:rsidRPr="00A778BF">
              <w:rPr>
                <w:rFonts w:ascii="Calibri" w:hAnsi="Calibri" w:cs="Arial"/>
                <w:color w:val="000000"/>
                <w:sz w:val="20"/>
                <w:szCs w:val="20"/>
                <w:lang w:val="fr-CA"/>
              </w:rPr>
              <w:t>CHARGE le Secrétariat, en collaboration avec le GEST, les OIP et d’autres acteurs, de compiler les bonnes pratiques de restauration des tourbières afin de soutenir les travaux des administrateurs de zones humides et de communiquer avec eux par l’intermédiaire du site web officiel de la Convention de Ramsar.</w:t>
            </w:r>
          </w:p>
        </w:tc>
        <w:tc>
          <w:tcPr>
            <w:tcW w:w="1560" w:type="dxa"/>
            <w:shd w:val="clear" w:color="auto" w:fill="auto"/>
          </w:tcPr>
          <w:p w:rsidR="00126961" w:rsidRDefault="00126961" w:rsidP="006B5FCE">
            <w:pPr>
              <w:rPr>
                <w:rFonts w:ascii="Calibri" w:hAnsi="Calibri" w:cs="Arial"/>
                <w:color w:val="000000"/>
                <w:sz w:val="20"/>
                <w:szCs w:val="20"/>
                <w:lang w:val="fr-CA"/>
              </w:rPr>
            </w:pPr>
            <w:r>
              <w:rPr>
                <w:rFonts w:ascii="Calibri" w:hAnsi="Calibri" w:cs="Arial"/>
                <w:color w:val="000000"/>
                <w:sz w:val="20"/>
                <w:szCs w:val="20"/>
                <w:lang w:val="fr-CA"/>
              </w:rPr>
              <w:t>Secrétariat Ramsar</w:t>
            </w:r>
          </w:p>
          <w:p w:rsidR="000F555E" w:rsidRPr="00A778BF" w:rsidRDefault="000F555E" w:rsidP="00126961">
            <w:pPr>
              <w:rPr>
                <w:rFonts w:ascii="Calibri" w:hAnsi="Calibri" w:cs="Arial"/>
                <w:color w:val="000000"/>
                <w:sz w:val="20"/>
                <w:szCs w:val="20"/>
                <w:lang w:val="fr-CA"/>
              </w:rPr>
            </w:pPr>
            <w:r w:rsidRPr="00A778BF">
              <w:rPr>
                <w:rFonts w:ascii="Calibri" w:hAnsi="Calibri" w:cs="Arial"/>
                <w:color w:val="000000"/>
                <w:sz w:val="20"/>
                <w:szCs w:val="20"/>
                <w:lang w:val="fr-CA"/>
              </w:rPr>
              <w:t>(</w:t>
            </w:r>
            <w:r w:rsidR="00244EFB">
              <w:rPr>
                <w:rFonts w:ascii="Calibri" w:hAnsi="Calibri" w:cs="Arial"/>
                <w:color w:val="000000"/>
                <w:sz w:val="20"/>
                <w:szCs w:val="20"/>
                <w:lang w:val="fr-CA"/>
              </w:rPr>
              <w:t>GEST, Reg, c</w:t>
            </w:r>
            <w:r w:rsidRPr="00A778BF">
              <w:rPr>
                <w:rFonts w:ascii="Calibri" w:hAnsi="Calibri" w:cs="Arial"/>
                <w:color w:val="000000"/>
                <w:sz w:val="20"/>
                <w:szCs w:val="20"/>
                <w:lang w:val="fr-CA"/>
              </w:rPr>
              <w:t>omm</w:t>
            </w:r>
            <w:r w:rsidR="00126961">
              <w:rPr>
                <w:rFonts w:ascii="Calibri" w:hAnsi="Calibri" w:cs="Arial"/>
                <w:color w:val="000000"/>
                <w:sz w:val="20"/>
                <w:szCs w:val="20"/>
                <w:lang w:val="fr-CA"/>
              </w:rPr>
              <w:t>.</w:t>
            </w:r>
            <w:r w:rsidRPr="00A778BF">
              <w:rPr>
                <w:rFonts w:ascii="Calibri" w:hAnsi="Calibri" w:cs="Arial"/>
                <w:color w:val="000000"/>
                <w:sz w:val="20"/>
                <w:szCs w:val="20"/>
                <w:lang w:val="fr-CA"/>
              </w:rPr>
              <w:t>)</w:t>
            </w:r>
          </w:p>
        </w:tc>
        <w:tc>
          <w:tcPr>
            <w:tcW w:w="1134"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F555E" w:rsidRPr="00A778BF" w:rsidRDefault="00126961" w:rsidP="00C51AEA">
            <w:pPr>
              <w:rPr>
                <w:rFonts w:ascii="Calibri" w:hAnsi="Calibri" w:cs="Arial"/>
                <w:color w:val="000000"/>
                <w:sz w:val="20"/>
                <w:szCs w:val="20"/>
                <w:lang w:val="fr-CA"/>
              </w:rPr>
            </w:pPr>
            <w:r>
              <w:rPr>
                <w:rFonts w:ascii="Calibri" w:hAnsi="Calibri" w:cs="Arial"/>
                <w:color w:val="000000"/>
                <w:sz w:val="20"/>
                <w:szCs w:val="20"/>
                <w:lang w:val="fr-CA"/>
              </w:rPr>
              <w:t xml:space="preserve">Élaborer </w:t>
            </w:r>
            <w:r w:rsidR="00C51AEA">
              <w:rPr>
                <w:rFonts w:ascii="Calibri" w:hAnsi="Calibri" w:cs="Arial"/>
                <w:color w:val="000000"/>
                <w:sz w:val="20"/>
                <w:szCs w:val="20"/>
                <w:lang w:val="fr-CA"/>
              </w:rPr>
              <w:t>des</w:t>
            </w:r>
            <w:r>
              <w:rPr>
                <w:rFonts w:ascii="Calibri" w:hAnsi="Calibri" w:cs="Arial"/>
                <w:color w:val="000000"/>
                <w:sz w:val="20"/>
                <w:szCs w:val="20"/>
                <w:lang w:val="fr-CA"/>
              </w:rPr>
              <w:t xml:space="preserve"> manuels de meilleures pratiques </w:t>
            </w:r>
            <w:r w:rsidR="00C51AEA">
              <w:rPr>
                <w:rFonts w:ascii="Calibri" w:hAnsi="Calibri" w:cs="Arial"/>
                <w:color w:val="000000"/>
                <w:sz w:val="20"/>
                <w:szCs w:val="20"/>
                <w:lang w:val="fr-CA"/>
              </w:rPr>
              <w:t xml:space="preserve">en ligne </w:t>
            </w:r>
            <w:r>
              <w:rPr>
                <w:rFonts w:ascii="Calibri" w:hAnsi="Calibri" w:cs="Arial"/>
                <w:color w:val="000000"/>
                <w:sz w:val="20"/>
                <w:szCs w:val="20"/>
                <w:lang w:val="fr-CA"/>
              </w:rPr>
              <w:t>qui rassemblent les meilleures pratiques pour les sites de tourbières dans chaque écorégion, en collaboration avec des organisations partenaires dans la région</w:t>
            </w:r>
            <w:r w:rsidR="00C51AEA">
              <w:rPr>
                <w:rFonts w:ascii="Calibri" w:hAnsi="Calibri" w:cs="Arial"/>
                <w:color w:val="000000"/>
                <w:sz w:val="20"/>
                <w:szCs w:val="20"/>
                <w:lang w:val="fr-CA"/>
              </w:rPr>
              <w:t xml:space="preserve"> en question</w:t>
            </w:r>
            <w:r>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6B5FCE" w:rsidRPr="007825EC" w:rsidTr="00534C4C">
        <w:trPr>
          <w:cantSplit/>
        </w:trPr>
        <w:tc>
          <w:tcPr>
            <w:tcW w:w="4253" w:type="dxa"/>
            <w:shd w:val="clear" w:color="auto" w:fill="D9D9D9" w:themeFill="background1" w:themeFillShade="D9"/>
          </w:tcPr>
          <w:p w:rsidR="000F555E" w:rsidRPr="00A778BF" w:rsidRDefault="000F555E" w:rsidP="00885D8F">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885D8F"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solution XII.12</w:t>
            </w:r>
            <w:r w:rsidR="00885D8F" w:rsidRPr="00A778BF">
              <w:rPr>
                <w:lang w:val="fr-CA"/>
              </w:rPr>
              <w:t xml:space="preserve"> </w:t>
            </w:r>
            <w:r w:rsidR="00885D8F" w:rsidRPr="00A778BF">
              <w:rPr>
                <w:rFonts w:ascii="Calibri" w:hAnsi="Calibri" w:cs="Arial"/>
                <w:b/>
                <w:bCs/>
                <w:color w:val="000000"/>
                <w:sz w:val="20"/>
                <w:szCs w:val="20"/>
                <w:lang w:val="fr-CA"/>
              </w:rPr>
              <w:t>Appel à l’action pour garantir et protéger les besoins en eau des zones humides, présents et futurs</w:t>
            </w:r>
            <w:r w:rsidRPr="00A778BF">
              <w:rPr>
                <w:rFonts w:ascii="Calibri" w:hAnsi="Calibri" w:cs="Arial"/>
                <w:b/>
                <w:bCs/>
                <w:color w:val="000000"/>
                <w:sz w:val="20"/>
                <w:szCs w:val="20"/>
                <w:lang w:val="fr-CA"/>
              </w:rPr>
              <w:t xml:space="preserve"> (</w:t>
            </w:r>
            <w:r w:rsidR="00DA45B2" w:rsidRPr="00A778BF">
              <w:rPr>
                <w:rFonts w:ascii="Calibri" w:hAnsi="Calibri" w:cs="Arial"/>
                <w:b/>
                <w:bCs/>
                <w:color w:val="000000"/>
                <w:sz w:val="20"/>
                <w:szCs w:val="20"/>
                <w:lang w:val="fr-CA"/>
              </w:rPr>
              <w:t>Buts</w:t>
            </w:r>
            <w:r w:rsidRPr="00A778BF">
              <w:rPr>
                <w:rFonts w:ascii="Calibri" w:hAnsi="Calibri" w:cs="Arial"/>
                <w:b/>
                <w:bCs/>
                <w:color w:val="000000"/>
                <w:sz w:val="20"/>
                <w:szCs w:val="20"/>
                <w:lang w:val="fr-CA"/>
              </w:rPr>
              <w:t xml:space="preserve"> 1</w:t>
            </w:r>
            <w:r w:rsidR="00DA45B2" w:rsidRPr="00A778BF">
              <w:rPr>
                <w:rFonts w:ascii="Calibri" w:hAnsi="Calibri" w:cs="Arial"/>
                <w:b/>
                <w:bCs/>
                <w:color w:val="000000"/>
                <w:sz w:val="20"/>
                <w:szCs w:val="20"/>
                <w:lang w:val="fr-CA"/>
              </w:rPr>
              <w:t xml:space="preserve"> à </w:t>
            </w:r>
            <w:r w:rsidRPr="00A778BF">
              <w:rPr>
                <w:rFonts w:ascii="Calibri" w:hAnsi="Calibri" w:cs="Arial"/>
                <w:b/>
                <w:bCs/>
                <w:color w:val="000000"/>
                <w:sz w:val="20"/>
                <w:szCs w:val="20"/>
                <w:lang w:val="fr-CA"/>
              </w:rPr>
              <w:t>3)</w:t>
            </w:r>
          </w:p>
        </w:tc>
        <w:tc>
          <w:tcPr>
            <w:tcW w:w="1560"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jc w:val="right"/>
              <w:rPr>
                <w:rFonts w:ascii="Calibri" w:hAnsi="Calibri" w:cs="Arial"/>
                <w:b/>
                <w:bCs/>
                <w:color w:val="000000"/>
                <w:sz w:val="20"/>
                <w:szCs w:val="20"/>
                <w:lang w:val="fr-CA"/>
              </w:rPr>
            </w:pPr>
          </w:p>
        </w:tc>
        <w:tc>
          <w:tcPr>
            <w:tcW w:w="141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D9D9D9" w:themeFill="background1" w:themeFillShade="D9"/>
            <w:vAlign w:val="bottom"/>
          </w:tcPr>
          <w:p w:rsidR="000F555E" w:rsidRPr="00A778BF" w:rsidRDefault="000F555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F555E" w:rsidRPr="007825EC" w:rsidTr="00534C4C">
        <w:trPr>
          <w:cantSplit/>
        </w:trPr>
        <w:tc>
          <w:tcPr>
            <w:tcW w:w="4253"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 xml:space="preserve">12.24. </w:t>
            </w:r>
            <w:r w:rsidR="00885D8F" w:rsidRPr="00A778BF">
              <w:rPr>
                <w:rFonts w:ascii="Calibri" w:hAnsi="Calibri" w:cs="Arial"/>
                <w:color w:val="000000"/>
                <w:sz w:val="20"/>
                <w:szCs w:val="20"/>
                <w:lang w:val="fr-CA"/>
              </w:rPr>
              <w:t>DEMANDE au Groupe d'évaluation scientifique et technique et au Groupe de surveillance des activités de communication, éducation, sensibilisation et participation d’envisager de préparer, en coopération avec les initiatives et réseaux existants, des lignes directrices pour l’élaboration de plans d’action mondiaux aux fins de conserver l’eau nécessaire au maintien de l’utilisation rationnelle des zones humides, pouvant être mises en œuvre aux niveaux régional et/ou national, conformément au 4e Plan stratégique</w:t>
            </w:r>
            <w:r w:rsidRPr="00A778BF">
              <w:rPr>
                <w:rFonts w:ascii="Calibri" w:hAnsi="Calibri" w:cs="Arial"/>
                <w:color w:val="000000"/>
                <w:sz w:val="20"/>
                <w:szCs w:val="20"/>
                <w:lang w:val="fr-CA"/>
              </w:rPr>
              <w:t>.</w:t>
            </w:r>
          </w:p>
        </w:tc>
        <w:tc>
          <w:tcPr>
            <w:tcW w:w="1560" w:type="dxa"/>
            <w:shd w:val="clear" w:color="auto" w:fill="auto"/>
          </w:tcPr>
          <w:p w:rsidR="000F555E" w:rsidRPr="00A778BF" w:rsidRDefault="00126961" w:rsidP="00126961">
            <w:pPr>
              <w:rPr>
                <w:rFonts w:ascii="Calibri" w:hAnsi="Calibri" w:cs="Arial"/>
                <w:color w:val="000000"/>
                <w:sz w:val="20"/>
                <w:szCs w:val="20"/>
                <w:lang w:val="fr-CA"/>
              </w:rPr>
            </w:pPr>
            <w:r>
              <w:rPr>
                <w:rFonts w:ascii="Calibri" w:hAnsi="Calibri" w:cs="Arial"/>
                <w:color w:val="000000"/>
                <w:sz w:val="20"/>
                <w:szCs w:val="20"/>
                <w:lang w:val="fr-CA"/>
              </w:rPr>
              <w:t>GEST</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t xml:space="preserve">Groupe de surveillance des activités de CESP </w:t>
            </w:r>
          </w:p>
        </w:tc>
        <w:tc>
          <w:tcPr>
            <w:tcW w:w="1134" w:type="dxa"/>
            <w:shd w:val="clear" w:color="auto" w:fill="auto"/>
          </w:tcPr>
          <w:p w:rsidR="000F555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F555E" w:rsidRPr="00A778BF" w:rsidRDefault="00126961" w:rsidP="00126961">
            <w:pPr>
              <w:rPr>
                <w:rFonts w:ascii="Calibri" w:hAnsi="Calibri" w:cs="Arial"/>
                <w:color w:val="000000"/>
                <w:sz w:val="20"/>
                <w:szCs w:val="20"/>
                <w:lang w:val="fr-CA"/>
              </w:rPr>
            </w:pPr>
            <w:r>
              <w:rPr>
                <w:rFonts w:ascii="Calibri" w:hAnsi="Calibri" w:cs="Arial"/>
                <w:color w:val="000000"/>
                <w:sz w:val="20"/>
                <w:szCs w:val="20"/>
                <w:lang w:val="fr-CA"/>
              </w:rPr>
              <w:t xml:space="preserve">Importante </w:t>
            </w:r>
            <w:r w:rsidR="000F555E" w:rsidRPr="00A778BF">
              <w:rPr>
                <w:rFonts w:ascii="Calibri" w:hAnsi="Calibri" w:cs="Arial"/>
                <w:color w:val="000000"/>
                <w:sz w:val="20"/>
                <w:szCs w:val="20"/>
                <w:lang w:val="fr-CA"/>
              </w:rPr>
              <w:t>publication (</w:t>
            </w:r>
            <w:r>
              <w:rPr>
                <w:rFonts w:ascii="Calibri" w:hAnsi="Calibri" w:cs="Arial"/>
                <w:color w:val="000000"/>
                <w:sz w:val="20"/>
                <w:szCs w:val="20"/>
                <w:lang w:val="fr-CA"/>
              </w:rPr>
              <w:t>manuel</w:t>
            </w:r>
            <w:r w:rsidR="000F555E" w:rsidRPr="00A778BF">
              <w:rPr>
                <w:rFonts w:ascii="Calibri" w:hAnsi="Calibri" w:cs="Arial"/>
                <w:color w:val="000000"/>
                <w:sz w:val="20"/>
                <w:szCs w:val="20"/>
                <w:lang w:val="fr-CA"/>
              </w:rPr>
              <w:t xml:space="preserve">) </w:t>
            </w:r>
            <w:r>
              <w:rPr>
                <w:rFonts w:ascii="Calibri" w:hAnsi="Calibri" w:cs="Arial"/>
                <w:color w:val="000000"/>
                <w:sz w:val="20"/>
                <w:szCs w:val="20"/>
                <w:lang w:val="fr-CA"/>
              </w:rPr>
              <w:t xml:space="preserve">comme orientations Ramsar officielles sur les réserves d’eau et les besoins en flux environnementaux. </w:t>
            </w:r>
            <w:r w:rsidR="00C51AEA">
              <w:rPr>
                <w:rFonts w:ascii="Calibri" w:hAnsi="Calibri" w:cs="Arial"/>
                <w:color w:val="000000"/>
                <w:sz w:val="20"/>
                <w:szCs w:val="20"/>
                <w:lang w:val="fr-CA"/>
              </w:rPr>
              <w:t>100 000 CHF ont été obtenus du WWF qui est un partenaire clé de cette publication, voir 5.24 ci-dessus.</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6B5FCE" w:rsidRPr="007825EC" w:rsidTr="00534C4C">
        <w:trPr>
          <w:cantSplit/>
        </w:trPr>
        <w:tc>
          <w:tcPr>
            <w:tcW w:w="4253" w:type="dxa"/>
            <w:shd w:val="clear" w:color="auto" w:fill="D9D9D9" w:themeFill="background1" w:themeFillShade="D9"/>
          </w:tcPr>
          <w:p w:rsidR="000F555E" w:rsidRPr="00A778BF" w:rsidRDefault="000F555E" w:rsidP="00885D8F">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885D8F"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 xml:space="preserve">solution XII.13: </w:t>
            </w:r>
            <w:r w:rsidR="00885D8F" w:rsidRPr="00A778BF">
              <w:rPr>
                <w:rFonts w:ascii="Calibri" w:hAnsi="Calibri" w:cs="Arial"/>
                <w:b/>
                <w:bCs/>
                <w:color w:val="000000"/>
                <w:sz w:val="20"/>
                <w:szCs w:val="20"/>
                <w:lang w:val="fr-CA"/>
              </w:rPr>
              <w:t xml:space="preserve">Les zones humides et la prévention des risques de catastrophe </w:t>
            </w:r>
            <w:r w:rsidRPr="00A778BF">
              <w:rPr>
                <w:rFonts w:ascii="Calibri" w:hAnsi="Calibri" w:cs="Arial"/>
                <w:b/>
                <w:bCs/>
                <w:color w:val="000000"/>
                <w:sz w:val="20"/>
                <w:szCs w:val="20"/>
                <w:lang w:val="fr-CA"/>
              </w:rPr>
              <w:t>(</w:t>
            </w:r>
            <w:r w:rsidR="00DA45B2" w:rsidRPr="00A778BF">
              <w:rPr>
                <w:rFonts w:ascii="Calibri" w:hAnsi="Calibri" w:cs="Arial"/>
                <w:b/>
                <w:bCs/>
                <w:color w:val="000000"/>
                <w:sz w:val="20"/>
                <w:szCs w:val="20"/>
                <w:lang w:val="fr-CA"/>
              </w:rPr>
              <w:t>Buts</w:t>
            </w:r>
            <w:r w:rsidRPr="00A778BF">
              <w:rPr>
                <w:rFonts w:ascii="Calibri" w:hAnsi="Calibri" w:cs="Arial"/>
                <w:b/>
                <w:bCs/>
                <w:color w:val="000000"/>
                <w:sz w:val="20"/>
                <w:szCs w:val="20"/>
                <w:lang w:val="fr-CA"/>
              </w:rPr>
              <w:t xml:space="preserve"> 1</w:t>
            </w:r>
            <w:r w:rsidR="00126961">
              <w:rPr>
                <w:rFonts w:ascii="Calibri" w:hAnsi="Calibri" w:cs="Arial"/>
                <w:b/>
                <w:bCs/>
                <w:color w:val="000000"/>
                <w:sz w:val="20"/>
                <w:szCs w:val="20"/>
                <w:lang w:val="fr-CA"/>
              </w:rPr>
              <w:t xml:space="preserve"> à </w:t>
            </w:r>
            <w:r w:rsidRPr="00A778BF">
              <w:rPr>
                <w:rFonts w:ascii="Calibri" w:hAnsi="Calibri" w:cs="Arial"/>
                <w:b/>
                <w:bCs/>
                <w:color w:val="000000"/>
                <w:sz w:val="20"/>
                <w:szCs w:val="20"/>
                <w:lang w:val="fr-CA"/>
              </w:rPr>
              <w:t>3)</w:t>
            </w:r>
          </w:p>
        </w:tc>
        <w:tc>
          <w:tcPr>
            <w:tcW w:w="1560"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0F555E" w:rsidRPr="00A778BF" w:rsidRDefault="000F555E" w:rsidP="006B5FCE">
            <w:pPr>
              <w:jc w:val="right"/>
              <w:rPr>
                <w:rFonts w:ascii="Calibri" w:hAnsi="Calibri" w:cs="Arial"/>
                <w:b/>
                <w:bCs/>
                <w:color w:val="000000"/>
                <w:sz w:val="20"/>
                <w:szCs w:val="20"/>
                <w:lang w:val="fr-CA"/>
              </w:rPr>
            </w:pPr>
          </w:p>
        </w:tc>
        <w:tc>
          <w:tcPr>
            <w:tcW w:w="1417" w:type="dxa"/>
            <w:shd w:val="clear" w:color="auto" w:fill="D9D9D9" w:themeFill="background1" w:themeFillShade="D9"/>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D9D9D9" w:themeFill="background1" w:themeFillShade="D9"/>
            <w:vAlign w:val="bottom"/>
          </w:tcPr>
          <w:p w:rsidR="000F555E" w:rsidRPr="00A778BF" w:rsidRDefault="000F555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0F555E" w:rsidRPr="007825EC" w:rsidTr="00534C4C">
        <w:trPr>
          <w:cantSplit/>
        </w:trPr>
        <w:tc>
          <w:tcPr>
            <w:tcW w:w="4253" w:type="dxa"/>
            <w:shd w:val="clear" w:color="auto" w:fill="auto"/>
          </w:tcPr>
          <w:p w:rsidR="000F555E" w:rsidRPr="00A778BF" w:rsidRDefault="000F555E" w:rsidP="00C51AEA">
            <w:pPr>
              <w:rPr>
                <w:rFonts w:ascii="Calibri" w:hAnsi="Calibri" w:cs="Arial"/>
                <w:color w:val="000000"/>
                <w:sz w:val="20"/>
                <w:szCs w:val="20"/>
                <w:lang w:val="fr-CA"/>
              </w:rPr>
            </w:pPr>
            <w:r w:rsidRPr="00A778BF">
              <w:rPr>
                <w:rFonts w:ascii="Calibri" w:hAnsi="Calibri" w:cs="Arial"/>
                <w:color w:val="000000"/>
                <w:sz w:val="20"/>
                <w:szCs w:val="20"/>
                <w:lang w:val="fr-CA"/>
              </w:rPr>
              <w:t>1</w:t>
            </w:r>
            <w:r w:rsidR="00C51AEA">
              <w:rPr>
                <w:rFonts w:ascii="Calibri" w:hAnsi="Calibri" w:cs="Arial"/>
                <w:color w:val="000000"/>
                <w:sz w:val="20"/>
                <w:szCs w:val="20"/>
                <w:lang w:val="fr-CA"/>
              </w:rPr>
              <w:t>3</w:t>
            </w:r>
            <w:r w:rsidRPr="00A778BF">
              <w:rPr>
                <w:rFonts w:ascii="Calibri" w:hAnsi="Calibri" w:cs="Arial"/>
                <w:color w:val="000000"/>
                <w:sz w:val="20"/>
                <w:szCs w:val="20"/>
                <w:lang w:val="fr-CA"/>
              </w:rPr>
              <w:t xml:space="preserve">.26. </w:t>
            </w:r>
            <w:r w:rsidR="00885D8F" w:rsidRPr="00A778BF">
              <w:rPr>
                <w:rFonts w:ascii="Calibri" w:hAnsi="Calibri" w:cs="Arial"/>
                <w:color w:val="000000"/>
                <w:sz w:val="20"/>
                <w:szCs w:val="20"/>
                <w:lang w:val="fr-CA"/>
              </w:rPr>
              <w:t>PRIE INSTAMMENT le Secrétariat d’instaurer un partenariat stratégique avec les conventions et organismes internationaux apparentés, notamment la Convention des Nations Unies sur la lutte contre la désertification, dans le but de créer une plateforme de coopération destinée à fournir un appui scientifique et technique et à faciliter l’accès à des ressources financières en faveur des pays touchés.</w:t>
            </w:r>
          </w:p>
        </w:tc>
        <w:tc>
          <w:tcPr>
            <w:tcW w:w="1560" w:type="dxa"/>
            <w:shd w:val="clear" w:color="auto" w:fill="auto"/>
          </w:tcPr>
          <w:p w:rsidR="000F555E" w:rsidRPr="00A778BF" w:rsidRDefault="00126961" w:rsidP="00126961">
            <w:pPr>
              <w:rPr>
                <w:rFonts w:ascii="Calibri" w:hAnsi="Calibri" w:cs="Arial"/>
                <w:color w:val="000000"/>
                <w:sz w:val="20"/>
                <w:szCs w:val="20"/>
                <w:lang w:val="fr-CA"/>
              </w:rPr>
            </w:pPr>
            <w:r>
              <w:rPr>
                <w:rFonts w:ascii="Calibri" w:hAnsi="Calibri" w:cs="Arial"/>
                <w:color w:val="000000"/>
                <w:sz w:val="20"/>
                <w:szCs w:val="20"/>
                <w:lang w:val="fr-CA"/>
              </w:rPr>
              <w:t xml:space="preserve">Secrétariat Ramsar </w:t>
            </w:r>
            <w:r>
              <w:rPr>
                <w:rFonts w:ascii="Calibri" w:hAnsi="Calibri" w:cs="Arial"/>
                <w:color w:val="000000"/>
                <w:sz w:val="20"/>
                <w:szCs w:val="20"/>
                <w:lang w:val="fr-CA"/>
              </w:rPr>
              <w:br/>
              <w:t>(Part, SG/</w:t>
            </w:r>
            <w:r w:rsidR="000F555E" w:rsidRPr="00A778BF">
              <w:rPr>
                <w:rFonts w:ascii="Calibri" w:hAnsi="Calibri" w:cs="Arial"/>
                <w:color w:val="000000"/>
                <w:sz w:val="20"/>
                <w:szCs w:val="20"/>
                <w:lang w:val="fr-CA"/>
              </w:rPr>
              <w:t>SG</w:t>
            </w:r>
            <w:r>
              <w:rPr>
                <w:rFonts w:ascii="Calibri" w:hAnsi="Calibri" w:cs="Arial"/>
                <w:color w:val="000000"/>
                <w:sz w:val="20"/>
                <w:szCs w:val="20"/>
                <w:lang w:val="fr-CA"/>
              </w:rPr>
              <w:t>A</w:t>
            </w:r>
            <w:r w:rsidR="000F555E" w:rsidRPr="00A778BF">
              <w:rPr>
                <w:rFonts w:ascii="Calibri" w:hAnsi="Calibri" w:cs="Arial"/>
                <w:color w:val="000000"/>
                <w:sz w:val="20"/>
                <w:szCs w:val="20"/>
                <w:lang w:val="fr-CA"/>
              </w:rPr>
              <w:t>)</w:t>
            </w:r>
          </w:p>
        </w:tc>
        <w:tc>
          <w:tcPr>
            <w:tcW w:w="1134" w:type="dxa"/>
            <w:shd w:val="clear" w:color="auto" w:fill="auto"/>
          </w:tcPr>
          <w:p w:rsidR="000F555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0F555E" w:rsidRPr="00A778BF" w:rsidRDefault="00C51AEA" w:rsidP="006D32D6">
            <w:pPr>
              <w:rPr>
                <w:rFonts w:ascii="Calibri" w:hAnsi="Calibri" w:cs="Arial"/>
                <w:color w:val="000000"/>
                <w:sz w:val="20"/>
                <w:szCs w:val="20"/>
                <w:lang w:val="fr-CA"/>
              </w:rPr>
            </w:pPr>
            <w:r>
              <w:rPr>
                <w:rFonts w:ascii="Calibri" w:hAnsi="Calibri" w:cs="Arial"/>
                <w:color w:val="000000"/>
                <w:sz w:val="20"/>
                <w:szCs w:val="20"/>
                <w:lang w:val="fr-CA"/>
              </w:rPr>
              <w:t>Lien</w:t>
            </w:r>
            <w:r w:rsidR="00126961">
              <w:rPr>
                <w:rFonts w:ascii="Calibri" w:hAnsi="Calibri" w:cs="Arial"/>
                <w:color w:val="000000"/>
                <w:sz w:val="20"/>
                <w:szCs w:val="20"/>
                <w:lang w:val="fr-CA"/>
              </w:rPr>
              <w:t xml:space="preserve"> avec la CNULD pour</w:t>
            </w:r>
            <w:r>
              <w:rPr>
                <w:rFonts w:ascii="Calibri" w:hAnsi="Calibri" w:cs="Arial"/>
                <w:color w:val="000000"/>
                <w:sz w:val="20"/>
                <w:szCs w:val="20"/>
                <w:lang w:val="fr-CA"/>
              </w:rPr>
              <w:t xml:space="preserve"> aider à</w:t>
            </w:r>
            <w:r w:rsidR="00126961">
              <w:rPr>
                <w:rFonts w:ascii="Calibri" w:hAnsi="Calibri" w:cs="Arial"/>
                <w:color w:val="000000"/>
                <w:sz w:val="20"/>
                <w:szCs w:val="20"/>
                <w:lang w:val="fr-CA"/>
              </w:rPr>
              <w:t xml:space="preserve"> fournir des orientations techniques ainsi que pour accéder aux ressources financières</w:t>
            </w:r>
            <w:r>
              <w:rPr>
                <w:rFonts w:ascii="Calibri" w:hAnsi="Calibri" w:cs="Arial"/>
                <w:color w:val="000000"/>
                <w:sz w:val="20"/>
                <w:szCs w:val="20"/>
                <w:lang w:val="fr-CA"/>
              </w:rPr>
              <w:t xml:space="preserve">. Lien avec </w:t>
            </w:r>
            <w:r w:rsidR="006D32D6">
              <w:rPr>
                <w:rFonts w:ascii="Calibri" w:hAnsi="Calibri" w:cs="Arial"/>
                <w:color w:val="000000"/>
                <w:sz w:val="20"/>
                <w:szCs w:val="20"/>
                <w:lang w:val="fr-CA"/>
              </w:rPr>
              <w:t xml:space="preserve">le </w:t>
            </w:r>
            <w:r>
              <w:rPr>
                <w:rFonts w:ascii="Calibri" w:hAnsi="Calibri" w:cs="Arial"/>
                <w:color w:val="000000"/>
                <w:sz w:val="20"/>
                <w:szCs w:val="20"/>
                <w:lang w:val="fr-CA"/>
              </w:rPr>
              <w:t>PEDRR. L</w:t>
            </w:r>
            <w:r w:rsidR="00126961">
              <w:rPr>
                <w:rFonts w:ascii="Calibri" w:hAnsi="Calibri" w:cs="Arial"/>
                <w:color w:val="000000"/>
                <w:sz w:val="20"/>
                <w:szCs w:val="20"/>
                <w:lang w:val="fr-CA"/>
              </w:rPr>
              <w:t xml:space="preserve">ien et collaboration avec les programmes </w:t>
            </w:r>
            <w:r w:rsidR="006D32D6">
              <w:rPr>
                <w:rFonts w:ascii="Calibri" w:hAnsi="Calibri" w:cs="Arial"/>
                <w:color w:val="000000"/>
                <w:sz w:val="20"/>
                <w:szCs w:val="20"/>
                <w:lang w:val="fr-CA"/>
              </w:rPr>
              <w:t xml:space="preserve">interagences </w:t>
            </w:r>
            <w:r w:rsidR="00126961">
              <w:rPr>
                <w:rFonts w:ascii="Calibri" w:hAnsi="Calibri" w:cs="Arial"/>
                <w:color w:val="000000"/>
                <w:sz w:val="20"/>
                <w:szCs w:val="20"/>
                <w:lang w:val="fr-CA"/>
              </w:rPr>
              <w:t xml:space="preserve">de gestion de la sécheresse et des inondations (APFM et IDMP) </w:t>
            </w:r>
            <w:r w:rsidR="00126961" w:rsidRPr="00733655">
              <w:rPr>
                <w:rFonts w:ascii="Calibri" w:hAnsi="Calibri" w:cs="Arial"/>
                <w:color w:val="000000"/>
                <w:sz w:val="20"/>
                <w:szCs w:val="20"/>
                <w:lang w:val="fr-CA"/>
              </w:rPr>
              <w:t>basé</w:t>
            </w:r>
            <w:r w:rsidR="00733655" w:rsidRPr="00733655">
              <w:rPr>
                <w:rFonts w:ascii="Calibri" w:hAnsi="Calibri" w:cs="Arial"/>
                <w:color w:val="000000"/>
                <w:sz w:val="20"/>
                <w:szCs w:val="20"/>
                <w:lang w:val="fr-CA"/>
              </w:rPr>
              <w:t>s</w:t>
            </w:r>
            <w:r w:rsidR="00126961">
              <w:rPr>
                <w:rFonts w:ascii="Calibri" w:hAnsi="Calibri" w:cs="Arial"/>
                <w:color w:val="000000"/>
                <w:sz w:val="20"/>
                <w:szCs w:val="20"/>
                <w:lang w:val="fr-CA"/>
              </w:rPr>
              <w:t xml:space="preserve"> à l’OMM).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0F555E" w:rsidRPr="007825EC" w:rsidTr="00534C4C">
        <w:trPr>
          <w:cantSplit/>
        </w:trPr>
        <w:tc>
          <w:tcPr>
            <w:tcW w:w="4253" w:type="dxa"/>
            <w:shd w:val="clear" w:color="auto" w:fill="auto"/>
          </w:tcPr>
          <w:p w:rsidR="000F555E" w:rsidRPr="00A778BF" w:rsidRDefault="000F555E" w:rsidP="00C51AEA">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1</w:t>
            </w:r>
            <w:r w:rsidR="00C51AEA">
              <w:rPr>
                <w:rFonts w:ascii="Calibri" w:hAnsi="Calibri" w:cs="Arial"/>
                <w:color w:val="000000"/>
                <w:sz w:val="20"/>
                <w:szCs w:val="20"/>
                <w:lang w:val="fr-CA"/>
              </w:rPr>
              <w:t>3</w:t>
            </w:r>
            <w:r w:rsidRPr="00A778BF">
              <w:rPr>
                <w:rFonts w:ascii="Calibri" w:hAnsi="Calibri" w:cs="Arial"/>
                <w:color w:val="000000"/>
                <w:sz w:val="20"/>
                <w:szCs w:val="20"/>
                <w:lang w:val="fr-CA"/>
              </w:rPr>
              <w:t>.</w:t>
            </w:r>
            <w:r w:rsidR="00C51AEA">
              <w:rPr>
                <w:rFonts w:ascii="Calibri" w:hAnsi="Calibri" w:cs="Arial"/>
                <w:color w:val="000000"/>
                <w:sz w:val="20"/>
                <w:szCs w:val="20"/>
                <w:lang w:val="fr-CA"/>
              </w:rPr>
              <w:t xml:space="preserve">35. </w:t>
            </w:r>
            <w:r w:rsidR="00885D8F" w:rsidRPr="00A778BF">
              <w:rPr>
                <w:rFonts w:ascii="Calibri" w:hAnsi="Calibri" w:cs="Arial"/>
                <w:color w:val="000000"/>
                <w:sz w:val="20"/>
                <w:szCs w:val="20"/>
                <w:lang w:val="fr-CA"/>
              </w:rPr>
              <w:t>DEMANDE au Secrétariat Ramsar d’assurer la liaison avec le Secrétariat de la Convention cadre des Nations Unies sur les changements climatiques et de la Stratégie internationale de prévention des catastrophes naturelles des Nations Unies pour mettre en lumière l’importance des zones humides pour l’adaptation aux changements climatiques, en particulier pour les pays identifiés comme les plus vulnérables aux changements climatiques; et DEMANDE AUSSI au Secrétariat Ramsar d’établir des partenariats stratégiques pour assurer la collaboration et l’accès aux fonds mondiaux.</w:t>
            </w:r>
          </w:p>
        </w:tc>
        <w:tc>
          <w:tcPr>
            <w:tcW w:w="1560" w:type="dxa"/>
            <w:shd w:val="clear" w:color="auto" w:fill="auto"/>
          </w:tcPr>
          <w:p w:rsidR="000F555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Secrétariat Ramsar (SG/</w:t>
            </w:r>
            <w:r w:rsidR="000F555E" w:rsidRPr="00A778BF">
              <w:rPr>
                <w:rFonts w:ascii="Calibri" w:hAnsi="Calibri" w:cs="Arial"/>
                <w:color w:val="000000"/>
                <w:sz w:val="20"/>
                <w:szCs w:val="20"/>
                <w:lang w:val="fr-CA"/>
              </w:rPr>
              <w:t>SG</w:t>
            </w:r>
            <w:r>
              <w:rPr>
                <w:rFonts w:ascii="Calibri" w:hAnsi="Calibri" w:cs="Arial"/>
                <w:color w:val="000000"/>
                <w:sz w:val="20"/>
                <w:szCs w:val="20"/>
                <w:lang w:val="fr-CA"/>
              </w:rPr>
              <w:t>A</w:t>
            </w:r>
            <w:r w:rsidR="000F555E" w:rsidRPr="00A778BF">
              <w:rPr>
                <w:rFonts w:ascii="Calibri" w:hAnsi="Calibri" w:cs="Arial"/>
                <w:color w:val="000000"/>
                <w:sz w:val="20"/>
                <w:szCs w:val="20"/>
                <w:lang w:val="fr-CA"/>
              </w:rPr>
              <w:t>, Part)</w:t>
            </w:r>
          </w:p>
        </w:tc>
        <w:tc>
          <w:tcPr>
            <w:tcW w:w="1134"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0F555E" w:rsidRPr="00A778BF" w:rsidRDefault="00C51AEA" w:rsidP="006D32D6">
            <w:pPr>
              <w:rPr>
                <w:rFonts w:ascii="Calibri" w:hAnsi="Calibri" w:cs="Arial"/>
                <w:color w:val="000000"/>
                <w:sz w:val="20"/>
                <w:szCs w:val="20"/>
                <w:lang w:val="fr-CA"/>
              </w:rPr>
            </w:pPr>
            <w:r>
              <w:rPr>
                <w:rFonts w:ascii="Calibri" w:hAnsi="Calibri" w:cs="Arial"/>
                <w:color w:val="000000"/>
                <w:sz w:val="20"/>
                <w:szCs w:val="20"/>
                <w:lang w:val="fr-CA"/>
              </w:rPr>
              <w:t>D</w:t>
            </w:r>
            <w:r w:rsidR="00733655">
              <w:rPr>
                <w:rFonts w:ascii="Calibri" w:hAnsi="Calibri" w:cs="Arial"/>
                <w:color w:val="000000"/>
                <w:sz w:val="20"/>
                <w:szCs w:val="20"/>
                <w:lang w:val="fr-CA"/>
              </w:rPr>
              <w:t>évelopper des partenariats stratégiques pour l’éco</w:t>
            </w:r>
            <w:r w:rsidR="00733655">
              <w:rPr>
                <w:rFonts w:ascii="Calibri" w:hAnsi="Calibri" w:cs="Arial"/>
                <w:color w:val="000000"/>
                <w:sz w:val="20"/>
                <w:szCs w:val="20"/>
                <w:lang w:val="fr-CA"/>
              </w:rPr>
              <w:noBreakHyphen/>
              <w:t>PRC</w:t>
            </w:r>
            <w:r w:rsidR="007640E2">
              <w:rPr>
                <w:rFonts w:ascii="Calibri" w:hAnsi="Calibri" w:cs="Arial"/>
                <w:color w:val="000000"/>
                <w:sz w:val="20"/>
                <w:szCs w:val="20"/>
                <w:lang w:val="fr-CA"/>
              </w:rPr>
              <w:t xml:space="preserve">, avec </w:t>
            </w:r>
            <w:r w:rsidR="006D32D6">
              <w:rPr>
                <w:rFonts w:ascii="Calibri" w:hAnsi="Calibri" w:cs="Arial"/>
                <w:color w:val="000000"/>
                <w:sz w:val="20"/>
                <w:szCs w:val="20"/>
                <w:lang w:val="fr-CA"/>
              </w:rPr>
              <w:t>le Bureau des Nations Unies pour la prévention des risques de catastrophes (UN</w:t>
            </w:r>
            <w:r w:rsidR="007640E2">
              <w:rPr>
                <w:rFonts w:ascii="Calibri" w:hAnsi="Calibri" w:cs="Arial"/>
                <w:color w:val="000000"/>
                <w:sz w:val="20"/>
                <w:szCs w:val="20"/>
                <w:lang w:val="fr-CA"/>
              </w:rPr>
              <w:t>ISDR</w:t>
            </w:r>
            <w:r w:rsidR="005A7056">
              <w:rPr>
                <w:rFonts w:ascii="Calibri" w:hAnsi="Calibri" w:cs="Arial"/>
                <w:color w:val="000000"/>
                <w:sz w:val="20"/>
                <w:szCs w:val="20"/>
                <w:lang w:val="fr-CA"/>
              </w:rPr>
              <w:t>)</w:t>
            </w:r>
            <w:r w:rsidR="007640E2">
              <w:rPr>
                <w:rFonts w:ascii="Calibri" w:hAnsi="Calibri" w:cs="Arial"/>
                <w:color w:val="000000"/>
                <w:sz w:val="20"/>
                <w:szCs w:val="20"/>
                <w:lang w:val="fr-CA"/>
              </w:rPr>
              <w:t>, la CCNUCC, le PNUE, entre autres</w:t>
            </w:r>
            <w:r w:rsidR="00733655">
              <w:rPr>
                <w:rFonts w:ascii="Calibri" w:hAnsi="Calibri" w:cs="Arial"/>
                <w:color w:val="000000"/>
                <w:sz w:val="20"/>
                <w:szCs w:val="20"/>
                <w:lang w:val="fr-CA"/>
              </w:rPr>
              <w:t xml:space="preserve"> et </w:t>
            </w:r>
            <w:r w:rsidR="007640E2">
              <w:rPr>
                <w:rFonts w:ascii="Calibri" w:hAnsi="Calibri" w:cs="Arial"/>
                <w:color w:val="000000"/>
                <w:sz w:val="20"/>
                <w:szCs w:val="20"/>
                <w:lang w:val="fr-CA"/>
              </w:rPr>
              <w:t xml:space="preserve"> développer l’</w:t>
            </w:r>
            <w:r w:rsidR="00733655">
              <w:rPr>
                <w:rFonts w:ascii="Calibri" w:hAnsi="Calibri" w:cs="Arial"/>
                <w:color w:val="000000"/>
                <w:sz w:val="20"/>
                <w:szCs w:val="20"/>
                <w:lang w:val="fr-CA"/>
              </w:rPr>
              <w:t>acc</w:t>
            </w:r>
            <w:r w:rsidR="007640E2">
              <w:rPr>
                <w:rFonts w:ascii="Calibri" w:hAnsi="Calibri" w:cs="Arial"/>
                <w:color w:val="000000"/>
                <w:sz w:val="20"/>
                <w:szCs w:val="20"/>
                <w:lang w:val="fr-CA"/>
              </w:rPr>
              <w:t>ès</w:t>
            </w:r>
            <w:r w:rsidR="00733655">
              <w:rPr>
                <w:rFonts w:ascii="Calibri" w:hAnsi="Calibri" w:cs="Arial"/>
                <w:color w:val="000000"/>
                <w:sz w:val="20"/>
                <w:szCs w:val="20"/>
                <w:lang w:val="fr-CA"/>
              </w:rPr>
              <w:t xml:space="preserve"> à des sources de financement. </w:t>
            </w:r>
            <w:r w:rsidR="000F555E" w:rsidRPr="00A778BF">
              <w:rPr>
                <w:rFonts w:ascii="Calibri" w:hAnsi="Calibri" w:cs="Arial"/>
                <w:color w:val="000000"/>
                <w:sz w:val="20"/>
                <w:szCs w:val="20"/>
                <w:lang w:val="fr-CA"/>
              </w:rPr>
              <w:t xml:space="preserve"> </w:t>
            </w:r>
          </w:p>
        </w:tc>
        <w:tc>
          <w:tcPr>
            <w:tcW w:w="1134" w:type="dxa"/>
            <w:shd w:val="clear" w:color="auto" w:fill="auto"/>
          </w:tcPr>
          <w:p w:rsidR="000F555E" w:rsidRPr="00A778BF" w:rsidRDefault="000F555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0F555E" w:rsidRPr="00A778BF" w:rsidRDefault="000F555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0F555E" w:rsidRPr="00A778BF" w:rsidRDefault="000F555E" w:rsidP="006B5FCE">
            <w:pPr>
              <w:jc w:val="right"/>
              <w:rPr>
                <w:rFonts w:ascii="Calibri" w:hAnsi="Calibri" w:cs="Arial"/>
                <w:color w:val="000000"/>
                <w:sz w:val="20"/>
                <w:szCs w:val="20"/>
                <w:lang w:val="fr-CA"/>
              </w:rPr>
            </w:pPr>
          </w:p>
        </w:tc>
      </w:tr>
      <w:tr w:rsidR="006B5FCE" w:rsidRPr="007825EC" w:rsidTr="00534C4C">
        <w:trPr>
          <w:cantSplit/>
        </w:trPr>
        <w:tc>
          <w:tcPr>
            <w:tcW w:w="4253" w:type="dxa"/>
            <w:shd w:val="clear" w:color="auto" w:fill="D9D9D9" w:themeFill="background1" w:themeFillShade="D9"/>
          </w:tcPr>
          <w:p w:rsidR="006B5FCE" w:rsidRPr="00A778BF" w:rsidRDefault="006B5FCE" w:rsidP="00885D8F">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885D8F"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 xml:space="preserve">solution XII.14: </w:t>
            </w:r>
            <w:r w:rsidR="007B5264" w:rsidRPr="00A778BF">
              <w:rPr>
                <w:rFonts w:ascii="Calibri" w:hAnsi="Calibri" w:cs="Arial"/>
                <w:b/>
                <w:bCs/>
                <w:color w:val="000000"/>
                <w:sz w:val="20"/>
                <w:szCs w:val="20"/>
                <w:lang w:val="fr-CA"/>
              </w:rPr>
              <w:t>Conservation des zones humides des îles du bassin méditerranéen</w:t>
            </w:r>
            <w:r w:rsidRPr="00A778BF">
              <w:rPr>
                <w:rFonts w:ascii="Calibri" w:hAnsi="Calibri" w:cs="Arial"/>
                <w:b/>
                <w:bCs/>
                <w:color w:val="000000"/>
                <w:sz w:val="20"/>
                <w:szCs w:val="20"/>
                <w:lang w:val="fr-CA"/>
              </w:rPr>
              <w:t xml:space="preserve"> (</w:t>
            </w:r>
            <w:r w:rsidR="0048259A" w:rsidRPr="00A778BF">
              <w:rPr>
                <w:rFonts w:ascii="Calibri" w:hAnsi="Calibri" w:cs="Arial"/>
                <w:b/>
                <w:bCs/>
                <w:color w:val="000000"/>
                <w:sz w:val="20"/>
                <w:szCs w:val="20"/>
                <w:lang w:val="fr-CA"/>
              </w:rPr>
              <w:t>Buts</w:t>
            </w:r>
            <w:r w:rsidRPr="00A778BF">
              <w:rPr>
                <w:rFonts w:ascii="Calibri" w:hAnsi="Calibri" w:cs="Arial"/>
                <w:b/>
                <w:bCs/>
                <w:color w:val="000000"/>
                <w:sz w:val="20"/>
                <w:szCs w:val="20"/>
                <w:lang w:val="fr-CA"/>
              </w:rPr>
              <w:t xml:space="preserve"> 2 </w:t>
            </w:r>
            <w:r w:rsidR="0048259A" w:rsidRPr="00A778BF">
              <w:rPr>
                <w:rFonts w:ascii="Calibri" w:hAnsi="Calibri" w:cs="Arial"/>
                <w:b/>
                <w:bCs/>
                <w:color w:val="000000"/>
                <w:sz w:val="20"/>
                <w:szCs w:val="20"/>
                <w:lang w:val="fr-CA"/>
              </w:rPr>
              <w:t>et</w:t>
            </w:r>
            <w:r w:rsidRPr="00A778BF">
              <w:rPr>
                <w:rFonts w:ascii="Calibri" w:hAnsi="Calibri" w:cs="Arial"/>
                <w:b/>
                <w:bCs/>
                <w:color w:val="000000"/>
                <w:sz w:val="20"/>
                <w:szCs w:val="20"/>
                <w:lang w:val="fr-CA"/>
              </w:rPr>
              <w:t xml:space="preserve"> 3)</w:t>
            </w:r>
          </w:p>
        </w:tc>
        <w:tc>
          <w:tcPr>
            <w:tcW w:w="1560"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6B5FCE" w:rsidRPr="00A778BF" w:rsidRDefault="006B5FCE" w:rsidP="006B5FCE">
            <w:pPr>
              <w:jc w:val="right"/>
              <w:rPr>
                <w:rFonts w:ascii="Calibri" w:hAnsi="Calibri" w:cs="Arial"/>
                <w:b/>
                <w:bCs/>
                <w:color w:val="000000"/>
                <w:sz w:val="20"/>
                <w:szCs w:val="20"/>
                <w:lang w:val="fr-CA"/>
              </w:rPr>
            </w:pPr>
          </w:p>
        </w:tc>
        <w:tc>
          <w:tcPr>
            <w:tcW w:w="1417"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D9D9D9" w:themeFill="background1" w:themeFillShade="D9"/>
            <w:vAlign w:val="bottom"/>
          </w:tcPr>
          <w:p w:rsidR="006B5FCE" w:rsidRPr="00A778BF" w:rsidRDefault="006B5FCE" w:rsidP="006B5FCE">
            <w:pPr>
              <w:rPr>
                <w:rFonts w:ascii="Arial" w:hAnsi="Arial" w:cs="Arial"/>
                <w:color w:val="000000"/>
                <w:sz w:val="22"/>
                <w:szCs w:val="22"/>
                <w:lang w:val="fr-CA"/>
              </w:rPr>
            </w:pPr>
            <w:r w:rsidRPr="00A778BF">
              <w:rPr>
                <w:rFonts w:ascii="Arial" w:hAnsi="Arial" w:cs="Arial"/>
                <w:color w:val="000000"/>
                <w:sz w:val="22"/>
                <w:szCs w:val="22"/>
                <w:lang w:val="fr-CA"/>
              </w:rPr>
              <w:t> </w:t>
            </w:r>
          </w:p>
        </w:tc>
      </w:tr>
      <w:tr w:rsidR="006B5FCE" w:rsidRPr="007825EC" w:rsidTr="00534C4C">
        <w:trPr>
          <w:cantSplit/>
        </w:trPr>
        <w:tc>
          <w:tcPr>
            <w:tcW w:w="4253"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14.16. </w:t>
            </w:r>
            <w:r w:rsidR="007B5264" w:rsidRPr="00A778BF">
              <w:rPr>
                <w:rFonts w:ascii="Calibri" w:hAnsi="Calibri" w:cs="Arial"/>
                <w:color w:val="000000"/>
                <w:sz w:val="20"/>
                <w:szCs w:val="20"/>
                <w:lang w:val="fr-CA"/>
              </w:rPr>
              <w:t>PRIE INSTAMMENT les Parties contractantes du bassin méditerranéen, dans le cadre de l’Initiative MedWet, de produire ou de mettre à jour, de manière hautement prioritaire, un inventaire complet et scientifiquement fondé des zones humides insulaires, s’appuyant sur les méthodologies appropriées et de partager cet inventaire avec les pays voisins, par exemple dans le contexte d’une base de données MedWet.</w:t>
            </w:r>
          </w:p>
        </w:tc>
        <w:tc>
          <w:tcPr>
            <w:tcW w:w="1560" w:type="dxa"/>
            <w:shd w:val="clear" w:color="auto" w:fill="auto"/>
          </w:tcPr>
          <w:p w:rsidR="006B5FCE" w:rsidRPr="00A778BF" w:rsidRDefault="00126961" w:rsidP="007640E2">
            <w:pPr>
              <w:rPr>
                <w:rFonts w:ascii="Calibri" w:hAnsi="Calibri" w:cs="Arial"/>
                <w:color w:val="000000"/>
                <w:sz w:val="20"/>
                <w:szCs w:val="20"/>
                <w:lang w:val="fr-CA"/>
              </w:rPr>
            </w:pPr>
            <w:r>
              <w:rPr>
                <w:rFonts w:ascii="Calibri" w:hAnsi="Calibri" w:cs="Arial"/>
                <w:color w:val="000000"/>
                <w:sz w:val="20"/>
                <w:szCs w:val="20"/>
                <w:lang w:val="fr-CA"/>
              </w:rPr>
              <w:t xml:space="preserve">PC </w:t>
            </w:r>
            <w:r w:rsidR="007640E2">
              <w:rPr>
                <w:rFonts w:ascii="Calibri" w:hAnsi="Calibri" w:cs="Arial"/>
                <w:color w:val="000000"/>
                <w:sz w:val="20"/>
                <w:szCs w:val="20"/>
                <w:lang w:val="fr-CA"/>
              </w:rPr>
              <w:t>de la Mé</w:t>
            </w:r>
            <w:r>
              <w:rPr>
                <w:rFonts w:ascii="Calibri" w:hAnsi="Calibri" w:cs="Arial"/>
                <w:color w:val="000000"/>
                <w:sz w:val="20"/>
                <w:szCs w:val="20"/>
                <w:lang w:val="fr-CA"/>
              </w:rPr>
              <w:t>diterranée</w:t>
            </w:r>
          </w:p>
        </w:tc>
        <w:tc>
          <w:tcPr>
            <w:tcW w:w="1134" w:type="dxa"/>
            <w:shd w:val="clear" w:color="auto" w:fill="auto"/>
          </w:tcPr>
          <w:p w:rsidR="006B5FC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En cours</w:t>
            </w:r>
          </w:p>
        </w:tc>
        <w:tc>
          <w:tcPr>
            <w:tcW w:w="3827" w:type="dxa"/>
            <w:shd w:val="clear" w:color="auto" w:fill="auto"/>
          </w:tcPr>
          <w:p w:rsidR="006B5FCE" w:rsidRPr="00A778BF" w:rsidRDefault="007640E2" w:rsidP="007640E2">
            <w:pPr>
              <w:rPr>
                <w:rFonts w:ascii="Calibri" w:hAnsi="Calibri" w:cs="Arial"/>
                <w:color w:val="000000"/>
                <w:sz w:val="20"/>
                <w:szCs w:val="20"/>
                <w:lang w:val="fr-CA"/>
              </w:rPr>
            </w:pPr>
            <w:r>
              <w:rPr>
                <w:rFonts w:ascii="Calibri" w:hAnsi="Calibri" w:cs="Arial"/>
                <w:color w:val="000000"/>
                <w:sz w:val="20"/>
                <w:szCs w:val="20"/>
                <w:lang w:val="fr-CA"/>
              </w:rPr>
              <w:t>S</w:t>
            </w:r>
            <w:r w:rsidR="00733655">
              <w:rPr>
                <w:rFonts w:ascii="Calibri" w:hAnsi="Calibri" w:cs="Arial"/>
                <w:color w:val="000000"/>
                <w:sz w:val="20"/>
                <w:szCs w:val="20"/>
                <w:lang w:val="fr-CA"/>
              </w:rPr>
              <w:t>out</w:t>
            </w:r>
            <w:r>
              <w:rPr>
                <w:rFonts w:ascii="Calibri" w:hAnsi="Calibri" w:cs="Arial"/>
                <w:color w:val="000000"/>
                <w:sz w:val="20"/>
                <w:szCs w:val="20"/>
                <w:lang w:val="fr-CA"/>
              </w:rPr>
              <w:t>enir le</w:t>
            </w:r>
            <w:r w:rsidR="00733655">
              <w:rPr>
                <w:rFonts w:ascii="Calibri" w:hAnsi="Calibri" w:cs="Arial"/>
                <w:color w:val="000000"/>
                <w:sz w:val="20"/>
                <w:szCs w:val="20"/>
                <w:lang w:val="fr-CA"/>
              </w:rPr>
              <w:t xml:space="preserve"> développement d’une base de données </w:t>
            </w:r>
            <w:r w:rsidR="006B5FCE" w:rsidRPr="00A778BF">
              <w:rPr>
                <w:rFonts w:ascii="Calibri" w:hAnsi="Calibri" w:cs="Arial"/>
                <w:color w:val="000000"/>
                <w:sz w:val="20"/>
                <w:szCs w:val="20"/>
                <w:lang w:val="fr-CA"/>
              </w:rPr>
              <w:t xml:space="preserve">MedWet </w:t>
            </w:r>
            <w:r w:rsidR="00733655">
              <w:rPr>
                <w:rFonts w:ascii="Calibri" w:hAnsi="Calibri" w:cs="Arial"/>
                <w:color w:val="000000"/>
                <w:sz w:val="20"/>
                <w:szCs w:val="20"/>
                <w:lang w:val="fr-CA"/>
              </w:rPr>
              <w:t xml:space="preserve">et </w:t>
            </w:r>
            <w:r>
              <w:rPr>
                <w:rFonts w:ascii="Calibri" w:hAnsi="Calibri" w:cs="Arial"/>
                <w:color w:val="000000"/>
                <w:sz w:val="20"/>
                <w:szCs w:val="20"/>
                <w:lang w:val="fr-CA"/>
              </w:rPr>
              <w:t>le</w:t>
            </w:r>
            <w:r w:rsidR="00733655">
              <w:rPr>
                <w:rFonts w:ascii="Calibri" w:hAnsi="Calibri" w:cs="Arial"/>
                <w:color w:val="000000"/>
                <w:sz w:val="20"/>
                <w:szCs w:val="20"/>
                <w:lang w:val="fr-CA"/>
              </w:rPr>
              <w:t xml:space="preserve"> partage de l’information sur les zones humides des îles, et partager cette information avec d’autres régions dans le cadre des travaux des </w:t>
            </w:r>
            <w:r w:rsidR="00172C94">
              <w:rPr>
                <w:rFonts w:ascii="Calibri" w:hAnsi="Calibri" w:cs="Arial"/>
                <w:color w:val="000000"/>
                <w:sz w:val="20"/>
                <w:szCs w:val="20"/>
                <w:lang w:val="fr-CA"/>
              </w:rPr>
              <w:t>i</w:t>
            </w:r>
            <w:r w:rsidR="00733655">
              <w:rPr>
                <w:rFonts w:ascii="Calibri" w:hAnsi="Calibri" w:cs="Arial"/>
                <w:color w:val="000000"/>
                <w:sz w:val="20"/>
                <w:szCs w:val="20"/>
                <w:lang w:val="fr-CA"/>
              </w:rPr>
              <w:t xml:space="preserve">nitiatives régionales et autres organes. </w:t>
            </w:r>
          </w:p>
        </w:tc>
        <w:tc>
          <w:tcPr>
            <w:tcW w:w="1134" w:type="dxa"/>
            <w:shd w:val="clear" w:color="auto" w:fill="auto"/>
          </w:tcPr>
          <w:p w:rsidR="006B5FCE" w:rsidRPr="00A778BF" w:rsidRDefault="006B5FC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6B5FCE" w:rsidRPr="00A778BF" w:rsidRDefault="006B5FCE" w:rsidP="006B5FCE">
            <w:pPr>
              <w:jc w:val="right"/>
              <w:rPr>
                <w:rFonts w:ascii="Calibri" w:hAnsi="Calibri" w:cs="Arial"/>
                <w:color w:val="000000"/>
                <w:sz w:val="20"/>
                <w:szCs w:val="20"/>
                <w:lang w:val="fr-CA"/>
              </w:rPr>
            </w:pPr>
          </w:p>
        </w:tc>
      </w:tr>
      <w:tr w:rsidR="006B5FCE" w:rsidRPr="00A778BF" w:rsidTr="00534C4C">
        <w:trPr>
          <w:cantSplit/>
        </w:trPr>
        <w:tc>
          <w:tcPr>
            <w:tcW w:w="4253" w:type="dxa"/>
            <w:shd w:val="clear" w:color="auto" w:fill="D9D9D9" w:themeFill="background1" w:themeFillShade="D9"/>
          </w:tcPr>
          <w:p w:rsidR="006B5FCE" w:rsidRPr="00A778BF" w:rsidRDefault="006B5FCE" w:rsidP="00733655">
            <w:pPr>
              <w:rPr>
                <w:rFonts w:ascii="Calibri" w:hAnsi="Calibri" w:cs="Arial"/>
                <w:b/>
                <w:bCs/>
                <w:color w:val="000000"/>
                <w:sz w:val="20"/>
                <w:szCs w:val="20"/>
                <w:lang w:val="fr-CA"/>
              </w:rPr>
            </w:pPr>
            <w:r w:rsidRPr="00A778BF">
              <w:rPr>
                <w:rFonts w:ascii="Calibri" w:hAnsi="Calibri" w:cs="Arial"/>
                <w:b/>
                <w:bCs/>
                <w:color w:val="000000"/>
                <w:sz w:val="20"/>
                <w:szCs w:val="20"/>
                <w:lang w:val="fr-CA"/>
              </w:rPr>
              <w:t>R</w:t>
            </w:r>
            <w:r w:rsidR="00885D8F" w:rsidRPr="00A778BF">
              <w:rPr>
                <w:rFonts w:ascii="Calibri" w:hAnsi="Calibri" w:cs="Arial"/>
                <w:b/>
                <w:bCs/>
                <w:color w:val="000000"/>
                <w:sz w:val="20"/>
                <w:szCs w:val="20"/>
                <w:lang w:val="fr-CA"/>
              </w:rPr>
              <w:t>é</w:t>
            </w:r>
            <w:r w:rsidRPr="00A778BF">
              <w:rPr>
                <w:rFonts w:ascii="Calibri" w:hAnsi="Calibri" w:cs="Arial"/>
                <w:b/>
                <w:bCs/>
                <w:color w:val="000000"/>
                <w:sz w:val="20"/>
                <w:szCs w:val="20"/>
                <w:lang w:val="fr-CA"/>
              </w:rPr>
              <w:t xml:space="preserve">solution XII.15 </w:t>
            </w:r>
            <w:r w:rsidR="007B5264" w:rsidRPr="00A778BF">
              <w:rPr>
                <w:rFonts w:ascii="Calibri" w:hAnsi="Calibri" w:cs="Arial"/>
                <w:b/>
                <w:bCs/>
                <w:color w:val="000000"/>
                <w:sz w:val="20"/>
                <w:szCs w:val="20"/>
                <w:lang w:val="fr-CA"/>
              </w:rPr>
              <w:t xml:space="preserve">Évaluation de l’efficacité de la gestion et de la conservation des Sites Ramsar </w:t>
            </w:r>
            <w:r w:rsidRPr="00A778BF">
              <w:rPr>
                <w:rFonts w:ascii="Calibri" w:hAnsi="Calibri" w:cs="Arial"/>
                <w:b/>
                <w:bCs/>
                <w:color w:val="000000"/>
                <w:sz w:val="20"/>
                <w:szCs w:val="20"/>
                <w:lang w:val="fr-CA"/>
              </w:rPr>
              <w:t>(</w:t>
            </w:r>
            <w:r w:rsidR="0048259A" w:rsidRPr="00A778BF">
              <w:rPr>
                <w:rFonts w:ascii="Calibri" w:hAnsi="Calibri" w:cs="Arial"/>
                <w:b/>
                <w:bCs/>
                <w:color w:val="000000"/>
                <w:sz w:val="20"/>
                <w:szCs w:val="20"/>
                <w:lang w:val="fr-CA"/>
              </w:rPr>
              <w:t>Buts</w:t>
            </w:r>
            <w:r w:rsidRPr="00A778BF">
              <w:rPr>
                <w:rFonts w:ascii="Calibri" w:hAnsi="Calibri" w:cs="Arial"/>
                <w:b/>
                <w:bCs/>
                <w:color w:val="000000"/>
                <w:sz w:val="20"/>
                <w:szCs w:val="20"/>
                <w:lang w:val="fr-CA"/>
              </w:rPr>
              <w:t xml:space="preserve"> </w:t>
            </w:r>
            <w:r w:rsidR="0048259A" w:rsidRPr="00A778BF">
              <w:rPr>
                <w:rFonts w:ascii="Calibri" w:hAnsi="Calibri" w:cs="Arial"/>
                <w:b/>
                <w:bCs/>
                <w:color w:val="000000"/>
                <w:sz w:val="20"/>
                <w:szCs w:val="20"/>
                <w:lang w:val="fr-CA"/>
              </w:rPr>
              <w:t xml:space="preserve">1 à </w:t>
            </w:r>
            <w:r w:rsidRPr="00A778BF">
              <w:rPr>
                <w:rFonts w:ascii="Calibri" w:hAnsi="Calibri" w:cs="Arial"/>
                <w:b/>
                <w:bCs/>
                <w:color w:val="000000"/>
                <w:sz w:val="20"/>
                <w:szCs w:val="20"/>
                <w:lang w:val="fr-CA"/>
              </w:rPr>
              <w:t>3)</w:t>
            </w:r>
          </w:p>
        </w:tc>
        <w:tc>
          <w:tcPr>
            <w:tcW w:w="1560"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D9D9D9" w:themeFill="background1" w:themeFillShade="D9"/>
          </w:tcPr>
          <w:p w:rsidR="006B5FCE" w:rsidRPr="00A778BF" w:rsidRDefault="006B5FCE" w:rsidP="006B5FCE">
            <w:pPr>
              <w:jc w:val="right"/>
              <w:rPr>
                <w:rFonts w:ascii="Calibri" w:hAnsi="Calibri" w:cs="Arial"/>
                <w:b/>
                <w:bCs/>
                <w:color w:val="000000"/>
                <w:sz w:val="20"/>
                <w:szCs w:val="20"/>
                <w:lang w:val="fr-CA"/>
              </w:rPr>
            </w:pPr>
          </w:p>
        </w:tc>
        <w:tc>
          <w:tcPr>
            <w:tcW w:w="1417" w:type="dxa"/>
            <w:shd w:val="clear" w:color="auto" w:fill="D9D9D9" w:themeFill="background1" w:themeFillShade="D9"/>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D9D9D9" w:themeFill="background1" w:themeFillShade="D9"/>
          </w:tcPr>
          <w:p w:rsidR="006B5FCE" w:rsidRPr="007640E2" w:rsidRDefault="006B5FCE" w:rsidP="00534C4C">
            <w:pPr>
              <w:jc w:val="right"/>
              <w:rPr>
                <w:rFonts w:asciiTheme="minorHAnsi" w:hAnsiTheme="minorHAnsi" w:cs="Arial"/>
                <w:color w:val="000000"/>
                <w:sz w:val="20"/>
                <w:szCs w:val="20"/>
                <w:lang w:val="fr-CA"/>
              </w:rPr>
            </w:pPr>
            <w:r w:rsidRPr="00A778BF">
              <w:rPr>
                <w:rFonts w:ascii="Arial" w:hAnsi="Arial" w:cs="Arial"/>
                <w:color w:val="000000"/>
                <w:sz w:val="22"/>
                <w:szCs w:val="22"/>
                <w:lang w:val="fr-CA"/>
              </w:rPr>
              <w:t> </w:t>
            </w:r>
            <w:r w:rsidR="007640E2">
              <w:rPr>
                <w:rFonts w:asciiTheme="minorHAnsi" w:hAnsiTheme="minorHAnsi" w:cs="Arial"/>
                <w:color w:val="000000"/>
                <w:sz w:val="20"/>
                <w:szCs w:val="20"/>
                <w:lang w:val="fr-CA"/>
              </w:rPr>
              <w:t>200 000</w:t>
            </w:r>
          </w:p>
        </w:tc>
      </w:tr>
      <w:tr w:rsidR="006B5FCE" w:rsidRPr="00A778BF" w:rsidTr="00534C4C">
        <w:trPr>
          <w:cantSplit/>
        </w:trPr>
        <w:tc>
          <w:tcPr>
            <w:tcW w:w="4253"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lastRenderedPageBreak/>
              <w:t xml:space="preserve">15.21. </w:t>
            </w:r>
            <w:r w:rsidR="007B5264" w:rsidRPr="00A778BF">
              <w:rPr>
                <w:rFonts w:ascii="Calibri" w:hAnsi="Calibri" w:cs="Arial"/>
                <w:color w:val="000000"/>
                <w:sz w:val="20"/>
                <w:szCs w:val="20"/>
                <w:lang w:val="fr-CA"/>
              </w:rPr>
              <w:t>PRIE INSTAMMENT le Secrétariat Ramsar, le GEST, les Organisations internationales partenaires (OIP), les Centres régionaux Ramsar et autres partenaires d’envisager de soutenir les Parties contractantes dans les efforts qu’elles déploient, incluant le renforcement des capacités pour appliquer ces outils d’évaluation de la gestion.</w:t>
            </w:r>
          </w:p>
        </w:tc>
        <w:tc>
          <w:tcPr>
            <w:tcW w:w="1560" w:type="dxa"/>
            <w:shd w:val="clear" w:color="auto" w:fill="auto"/>
          </w:tcPr>
          <w:p w:rsidR="006B5FCE" w:rsidRPr="00A778BF" w:rsidRDefault="00126961" w:rsidP="00126961">
            <w:pPr>
              <w:rPr>
                <w:rFonts w:ascii="Calibri" w:hAnsi="Calibri" w:cs="Arial"/>
                <w:color w:val="000000"/>
                <w:sz w:val="20"/>
                <w:szCs w:val="20"/>
                <w:lang w:val="fr-CA"/>
              </w:rPr>
            </w:pPr>
            <w:r>
              <w:rPr>
                <w:rFonts w:ascii="Calibri" w:hAnsi="Calibri" w:cs="Arial"/>
                <w:color w:val="000000"/>
                <w:sz w:val="20"/>
                <w:szCs w:val="20"/>
                <w:lang w:val="fr-CA"/>
              </w:rPr>
              <w:t>Secrétariat Ramsar</w:t>
            </w:r>
            <w:r>
              <w:rPr>
                <w:rFonts w:ascii="Calibri" w:hAnsi="Calibri" w:cs="Arial"/>
                <w:color w:val="000000"/>
                <w:sz w:val="20"/>
                <w:szCs w:val="20"/>
                <w:lang w:val="fr-CA"/>
              </w:rPr>
              <w:br/>
            </w:r>
            <w:r w:rsidR="006B5FCE" w:rsidRPr="00A778BF">
              <w:rPr>
                <w:rFonts w:ascii="Calibri" w:hAnsi="Calibri" w:cs="Arial"/>
                <w:color w:val="000000"/>
                <w:sz w:val="20"/>
                <w:szCs w:val="20"/>
                <w:lang w:val="fr-CA"/>
              </w:rPr>
              <w:t xml:space="preserve">(Reg), </w:t>
            </w:r>
            <w:r>
              <w:rPr>
                <w:rFonts w:ascii="Calibri" w:hAnsi="Calibri" w:cs="Arial"/>
                <w:color w:val="000000"/>
                <w:sz w:val="20"/>
                <w:szCs w:val="20"/>
                <w:lang w:val="fr-CA"/>
              </w:rPr>
              <w:t>GEST</w:t>
            </w:r>
            <w:r w:rsidR="006B5FCE" w:rsidRPr="00A778BF">
              <w:rPr>
                <w:rFonts w:ascii="Calibri" w:hAnsi="Calibri" w:cs="Arial"/>
                <w:color w:val="000000"/>
                <w:sz w:val="20"/>
                <w:szCs w:val="20"/>
                <w:lang w:val="fr-CA"/>
              </w:rPr>
              <w:t xml:space="preserve">, </w:t>
            </w:r>
            <w:r>
              <w:rPr>
                <w:rFonts w:ascii="Calibri" w:hAnsi="Calibri" w:cs="Arial"/>
                <w:color w:val="000000"/>
                <w:sz w:val="20"/>
                <w:szCs w:val="20"/>
                <w:lang w:val="fr-CA"/>
              </w:rPr>
              <w:t>OIP</w:t>
            </w:r>
            <w:r w:rsidR="006B5FCE" w:rsidRPr="00A778BF">
              <w:rPr>
                <w:rFonts w:ascii="Calibri" w:hAnsi="Calibri" w:cs="Arial"/>
                <w:color w:val="000000"/>
                <w:sz w:val="20"/>
                <w:szCs w:val="20"/>
                <w:lang w:val="fr-CA"/>
              </w:rPr>
              <w:t xml:space="preserve">, </w:t>
            </w:r>
            <w:r>
              <w:rPr>
                <w:rFonts w:ascii="Calibri" w:hAnsi="Calibri" w:cs="Arial"/>
                <w:color w:val="000000"/>
                <w:sz w:val="20"/>
                <w:szCs w:val="20"/>
                <w:lang w:val="fr-CA"/>
              </w:rPr>
              <w:t>CRR</w:t>
            </w:r>
            <w:r w:rsidR="006B5FCE" w:rsidRPr="00A778BF">
              <w:rPr>
                <w:rFonts w:ascii="Calibri" w:hAnsi="Calibri" w:cs="Arial"/>
                <w:color w:val="000000"/>
                <w:sz w:val="20"/>
                <w:szCs w:val="20"/>
                <w:lang w:val="fr-CA"/>
              </w:rPr>
              <w:t xml:space="preserve">, </w:t>
            </w:r>
            <w:r>
              <w:rPr>
                <w:rFonts w:ascii="Calibri" w:hAnsi="Calibri" w:cs="Arial"/>
                <w:color w:val="000000"/>
                <w:sz w:val="20"/>
                <w:szCs w:val="20"/>
                <w:lang w:val="fr-CA"/>
              </w:rPr>
              <w:t>partenaires</w:t>
            </w:r>
          </w:p>
        </w:tc>
        <w:tc>
          <w:tcPr>
            <w:tcW w:w="1134" w:type="dxa"/>
            <w:shd w:val="clear" w:color="auto" w:fill="auto"/>
          </w:tcPr>
          <w:p w:rsidR="006B5FCE" w:rsidRPr="00A778BF" w:rsidRDefault="00126961" w:rsidP="006B5FCE">
            <w:pPr>
              <w:rPr>
                <w:rFonts w:ascii="Calibri" w:hAnsi="Calibri" w:cs="Arial"/>
                <w:color w:val="000000"/>
                <w:sz w:val="20"/>
                <w:szCs w:val="20"/>
                <w:lang w:val="fr-CA"/>
              </w:rPr>
            </w:pPr>
            <w:r>
              <w:rPr>
                <w:rFonts w:ascii="Calibri" w:hAnsi="Calibri" w:cs="Arial"/>
                <w:color w:val="000000"/>
                <w:sz w:val="20"/>
                <w:szCs w:val="20"/>
                <w:lang w:val="fr-CA"/>
              </w:rPr>
              <w:t>En cours</w:t>
            </w:r>
            <w:r w:rsidR="006B5FCE" w:rsidRPr="00A778BF">
              <w:rPr>
                <w:rFonts w:ascii="Calibri" w:hAnsi="Calibri" w:cs="Arial"/>
                <w:color w:val="000000"/>
                <w:sz w:val="20"/>
                <w:szCs w:val="20"/>
                <w:lang w:val="fr-CA"/>
              </w:rPr>
              <w:t xml:space="preserve"> </w:t>
            </w:r>
          </w:p>
        </w:tc>
        <w:tc>
          <w:tcPr>
            <w:tcW w:w="3827" w:type="dxa"/>
            <w:shd w:val="clear" w:color="auto" w:fill="auto"/>
          </w:tcPr>
          <w:p w:rsidR="006B5FCE" w:rsidRPr="00A778BF" w:rsidRDefault="00E64AA1" w:rsidP="00E64AA1">
            <w:pPr>
              <w:rPr>
                <w:rFonts w:ascii="Calibri" w:hAnsi="Calibri" w:cs="Arial"/>
                <w:color w:val="000000"/>
                <w:sz w:val="20"/>
                <w:szCs w:val="20"/>
                <w:lang w:val="fr-CA"/>
              </w:rPr>
            </w:pPr>
            <w:r>
              <w:rPr>
                <w:rFonts w:ascii="Calibri" w:hAnsi="Calibri" w:cs="Arial"/>
                <w:color w:val="000000"/>
                <w:sz w:val="20"/>
                <w:szCs w:val="20"/>
                <w:lang w:val="fr-CA"/>
              </w:rPr>
              <w:t>R</w:t>
            </w:r>
            <w:r w:rsidR="00733655">
              <w:rPr>
                <w:rFonts w:ascii="Calibri" w:hAnsi="Calibri" w:cs="Arial"/>
                <w:color w:val="000000"/>
                <w:sz w:val="20"/>
                <w:szCs w:val="20"/>
                <w:lang w:val="fr-CA"/>
              </w:rPr>
              <w:t>enforcer les capacités en matière d’application de l’outil R-METT</w:t>
            </w:r>
            <w:r>
              <w:rPr>
                <w:rFonts w:ascii="Calibri" w:hAnsi="Calibri" w:cs="Arial"/>
                <w:color w:val="000000"/>
                <w:sz w:val="20"/>
                <w:szCs w:val="20"/>
                <w:lang w:val="fr-CA"/>
              </w:rPr>
              <w:t xml:space="preserve"> en organisant des ateliers avec des partenaires, notamment l’UICN, le PNUE, etc.</w:t>
            </w:r>
          </w:p>
        </w:tc>
        <w:tc>
          <w:tcPr>
            <w:tcW w:w="1134" w:type="dxa"/>
            <w:shd w:val="clear" w:color="auto" w:fill="auto"/>
          </w:tcPr>
          <w:p w:rsidR="006B5FCE" w:rsidRPr="00A778BF" w:rsidRDefault="006B5FC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6B5FCE" w:rsidRPr="00A778BF" w:rsidRDefault="00E64AA1" w:rsidP="006B5FCE">
            <w:pPr>
              <w:jc w:val="right"/>
              <w:rPr>
                <w:rFonts w:ascii="Calibri" w:hAnsi="Calibri" w:cs="Arial"/>
                <w:color w:val="000000"/>
                <w:sz w:val="20"/>
                <w:szCs w:val="20"/>
                <w:lang w:val="fr-CA"/>
              </w:rPr>
            </w:pPr>
            <w:r>
              <w:rPr>
                <w:rFonts w:ascii="Calibri" w:hAnsi="Calibri" w:cs="Arial"/>
                <w:color w:val="000000"/>
                <w:sz w:val="20"/>
                <w:szCs w:val="20"/>
                <w:lang w:val="fr-CA"/>
              </w:rPr>
              <w:t>2</w:t>
            </w:r>
            <w:r w:rsidR="006B5FCE" w:rsidRPr="00A778BF">
              <w:rPr>
                <w:rFonts w:ascii="Calibri" w:hAnsi="Calibri" w:cs="Arial"/>
                <w:color w:val="000000"/>
                <w:sz w:val="20"/>
                <w:szCs w:val="20"/>
                <w:lang w:val="fr-CA"/>
              </w:rPr>
              <w:t>00</w:t>
            </w:r>
            <w:r w:rsidR="00E10389">
              <w:rPr>
                <w:rFonts w:ascii="Calibri" w:hAnsi="Calibri" w:cs="Arial"/>
                <w:color w:val="000000"/>
                <w:sz w:val="20"/>
                <w:szCs w:val="20"/>
                <w:lang w:val="fr-CA"/>
              </w:rPr>
              <w:t xml:space="preserve"> </w:t>
            </w:r>
            <w:r w:rsidR="006B5FCE" w:rsidRPr="00A778BF">
              <w:rPr>
                <w:rFonts w:ascii="Calibri" w:hAnsi="Calibri" w:cs="Arial"/>
                <w:color w:val="000000"/>
                <w:sz w:val="20"/>
                <w:szCs w:val="20"/>
                <w:lang w:val="fr-CA"/>
              </w:rPr>
              <w:t>000</w:t>
            </w:r>
          </w:p>
        </w:tc>
      </w:tr>
      <w:tr w:rsidR="006B5FCE" w:rsidRPr="007825EC" w:rsidTr="00534C4C">
        <w:trPr>
          <w:cantSplit/>
        </w:trPr>
        <w:tc>
          <w:tcPr>
            <w:tcW w:w="4253"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xml:space="preserve">15.22. </w:t>
            </w:r>
            <w:r w:rsidR="007B5264" w:rsidRPr="00A778BF">
              <w:rPr>
                <w:rFonts w:ascii="Calibri" w:hAnsi="Calibri" w:cs="Arial"/>
                <w:color w:val="000000"/>
                <w:sz w:val="20"/>
                <w:szCs w:val="20"/>
                <w:lang w:val="fr-CA"/>
              </w:rPr>
              <w:t>APPROUVE l’Outil de suivi de l’efficacité de la gestion des Sites Ramsar (R-METT) figurant en annexe à la présente Résolution comme outil volontaire d’auto-évaluation approprié pour évaluer l’efficacité de la gestion des Sites Ramsar et autres zones humides</w:t>
            </w:r>
          </w:p>
        </w:tc>
        <w:tc>
          <w:tcPr>
            <w:tcW w:w="1560"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134"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3827" w:type="dxa"/>
            <w:shd w:val="clear" w:color="auto" w:fill="auto"/>
          </w:tcPr>
          <w:p w:rsidR="006B5FCE" w:rsidRPr="00A778BF" w:rsidRDefault="00733655" w:rsidP="00733655">
            <w:pPr>
              <w:rPr>
                <w:rFonts w:ascii="Calibri" w:hAnsi="Calibri" w:cs="Arial"/>
                <w:color w:val="000000"/>
                <w:sz w:val="20"/>
                <w:szCs w:val="20"/>
                <w:lang w:val="fr-CA"/>
              </w:rPr>
            </w:pPr>
            <w:r>
              <w:rPr>
                <w:rFonts w:ascii="Calibri" w:hAnsi="Calibri" w:cs="Arial"/>
                <w:color w:val="000000"/>
                <w:sz w:val="20"/>
                <w:szCs w:val="20"/>
                <w:lang w:val="fr-CA"/>
              </w:rPr>
              <w:t xml:space="preserve">Renforcer les capacités au sein du Secrétariat Ramsar concernant l’utilisation de l’outil </w:t>
            </w:r>
            <w:r w:rsidR="006B5FCE" w:rsidRPr="00A778BF">
              <w:rPr>
                <w:rFonts w:ascii="Calibri" w:hAnsi="Calibri" w:cs="Arial"/>
                <w:color w:val="000000"/>
                <w:sz w:val="20"/>
                <w:szCs w:val="20"/>
                <w:lang w:val="fr-CA"/>
              </w:rPr>
              <w:t>R-METT</w:t>
            </w:r>
            <w:r>
              <w:rPr>
                <w:rFonts w:ascii="Calibri" w:hAnsi="Calibri" w:cs="Arial"/>
                <w:color w:val="000000"/>
                <w:sz w:val="20"/>
                <w:szCs w:val="20"/>
                <w:lang w:val="fr-CA"/>
              </w:rPr>
              <w:t>.</w:t>
            </w:r>
          </w:p>
        </w:tc>
        <w:tc>
          <w:tcPr>
            <w:tcW w:w="1134" w:type="dxa"/>
            <w:shd w:val="clear" w:color="auto" w:fill="auto"/>
          </w:tcPr>
          <w:p w:rsidR="006B5FCE" w:rsidRPr="00A778BF" w:rsidRDefault="006B5FC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417" w:type="dxa"/>
            <w:shd w:val="clear" w:color="auto" w:fill="auto"/>
          </w:tcPr>
          <w:p w:rsidR="006B5FCE" w:rsidRPr="00A778BF" w:rsidRDefault="006B5FCE" w:rsidP="006B5FCE">
            <w:pPr>
              <w:rPr>
                <w:rFonts w:ascii="Calibri" w:hAnsi="Calibri" w:cs="Arial"/>
                <w:color w:val="000000"/>
                <w:sz w:val="20"/>
                <w:szCs w:val="20"/>
                <w:lang w:val="fr-CA"/>
              </w:rPr>
            </w:pPr>
            <w:r w:rsidRPr="00A778BF">
              <w:rPr>
                <w:rFonts w:ascii="Calibri" w:hAnsi="Calibri" w:cs="Arial"/>
                <w:color w:val="000000"/>
                <w:sz w:val="20"/>
                <w:szCs w:val="20"/>
                <w:lang w:val="fr-CA"/>
              </w:rPr>
              <w:t> </w:t>
            </w:r>
          </w:p>
        </w:tc>
        <w:tc>
          <w:tcPr>
            <w:tcW w:w="1418" w:type="dxa"/>
            <w:shd w:val="clear" w:color="auto" w:fill="auto"/>
          </w:tcPr>
          <w:p w:rsidR="006B5FCE" w:rsidRPr="00A778BF" w:rsidRDefault="006B5FCE" w:rsidP="006B5FCE">
            <w:pPr>
              <w:jc w:val="right"/>
              <w:rPr>
                <w:rFonts w:ascii="Calibri" w:hAnsi="Calibri" w:cs="Arial"/>
                <w:color w:val="000000"/>
                <w:sz w:val="20"/>
                <w:szCs w:val="20"/>
                <w:lang w:val="fr-CA"/>
              </w:rPr>
            </w:pPr>
          </w:p>
        </w:tc>
      </w:tr>
      <w:tr w:rsidR="006B5FCE" w:rsidRPr="00A778BF" w:rsidTr="00534C4C">
        <w:trPr>
          <w:cantSplit/>
        </w:trPr>
        <w:tc>
          <w:tcPr>
            <w:tcW w:w="4253" w:type="dxa"/>
            <w:shd w:val="clear" w:color="auto" w:fill="BFBFBF" w:themeFill="background1" w:themeFillShade="BF"/>
          </w:tcPr>
          <w:p w:rsidR="00475CAF" w:rsidRDefault="00475CAF" w:rsidP="006B5FCE">
            <w:pPr>
              <w:rPr>
                <w:rFonts w:ascii="Calibri" w:hAnsi="Calibri" w:cs="Arial"/>
                <w:b/>
                <w:bCs/>
                <w:color w:val="000000"/>
                <w:sz w:val="20"/>
                <w:szCs w:val="20"/>
                <w:lang w:val="fr-CA"/>
              </w:rPr>
            </w:pPr>
          </w:p>
          <w:p w:rsidR="006B5FCE" w:rsidRDefault="006B5FC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TOTAL</w:t>
            </w:r>
          </w:p>
          <w:p w:rsidR="00475CAF" w:rsidRPr="00A778BF" w:rsidRDefault="00475CAF" w:rsidP="006B5FCE">
            <w:pPr>
              <w:rPr>
                <w:rFonts w:ascii="Calibri" w:hAnsi="Calibri" w:cs="Arial"/>
                <w:b/>
                <w:bCs/>
                <w:color w:val="000000"/>
                <w:sz w:val="20"/>
                <w:szCs w:val="20"/>
                <w:lang w:val="fr-CA"/>
              </w:rPr>
            </w:pPr>
          </w:p>
        </w:tc>
        <w:tc>
          <w:tcPr>
            <w:tcW w:w="1560" w:type="dxa"/>
            <w:shd w:val="clear" w:color="auto" w:fill="BFBFBF" w:themeFill="background1" w:themeFillShade="BF"/>
          </w:tcPr>
          <w:p w:rsidR="006B5FCE" w:rsidRPr="00A778BF" w:rsidRDefault="006B5FC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1134" w:type="dxa"/>
            <w:shd w:val="clear" w:color="auto" w:fill="BFBFBF" w:themeFill="background1" w:themeFillShade="BF"/>
          </w:tcPr>
          <w:p w:rsidR="006B5FCE" w:rsidRPr="00A778BF" w:rsidRDefault="006B5FCE" w:rsidP="006B5FCE">
            <w:pPr>
              <w:rPr>
                <w:rFonts w:ascii="Calibri" w:hAnsi="Calibri" w:cs="Arial"/>
                <w:b/>
                <w:bCs/>
                <w:color w:val="000000"/>
                <w:sz w:val="20"/>
                <w:szCs w:val="20"/>
                <w:lang w:val="fr-CA"/>
              </w:rPr>
            </w:pPr>
            <w:r w:rsidRPr="00A778BF">
              <w:rPr>
                <w:rFonts w:ascii="Calibri" w:hAnsi="Calibri" w:cs="Arial"/>
                <w:b/>
                <w:bCs/>
                <w:color w:val="000000"/>
                <w:sz w:val="20"/>
                <w:szCs w:val="20"/>
                <w:lang w:val="fr-CA"/>
              </w:rPr>
              <w:t> </w:t>
            </w:r>
          </w:p>
        </w:tc>
        <w:tc>
          <w:tcPr>
            <w:tcW w:w="3827" w:type="dxa"/>
            <w:shd w:val="clear" w:color="auto" w:fill="BFBFBF" w:themeFill="background1" w:themeFillShade="BF"/>
          </w:tcPr>
          <w:p w:rsidR="006B5FCE" w:rsidRPr="00A778BF" w:rsidRDefault="006B5FCE" w:rsidP="0061532D">
            <w:pPr>
              <w:rPr>
                <w:rFonts w:ascii="Calibri" w:hAnsi="Calibri" w:cs="Arial"/>
                <w:b/>
                <w:bCs/>
                <w:color w:val="000000"/>
                <w:sz w:val="20"/>
                <w:szCs w:val="20"/>
                <w:lang w:val="fr-CA"/>
              </w:rPr>
            </w:pPr>
          </w:p>
        </w:tc>
        <w:tc>
          <w:tcPr>
            <w:tcW w:w="1134" w:type="dxa"/>
            <w:shd w:val="clear" w:color="auto" w:fill="BFBFBF" w:themeFill="background1" w:themeFillShade="BF"/>
          </w:tcPr>
          <w:p w:rsidR="00475CAF" w:rsidRDefault="00475CAF" w:rsidP="00E64AA1">
            <w:pPr>
              <w:jc w:val="right"/>
              <w:rPr>
                <w:rFonts w:ascii="Calibri" w:hAnsi="Calibri" w:cs="Arial"/>
                <w:b/>
                <w:bCs/>
                <w:color w:val="000000"/>
                <w:sz w:val="20"/>
                <w:szCs w:val="20"/>
                <w:lang w:val="fr-CA"/>
              </w:rPr>
            </w:pPr>
          </w:p>
          <w:p w:rsidR="006B5FCE" w:rsidRPr="00A778BF" w:rsidRDefault="00E64AA1" w:rsidP="00E64AA1">
            <w:pPr>
              <w:jc w:val="right"/>
              <w:rPr>
                <w:rFonts w:ascii="Calibri" w:hAnsi="Calibri" w:cs="Arial"/>
                <w:b/>
                <w:bCs/>
                <w:color w:val="000000"/>
                <w:sz w:val="20"/>
                <w:szCs w:val="20"/>
                <w:lang w:val="fr-CA"/>
              </w:rPr>
            </w:pPr>
            <w:r>
              <w:rPr>
                <w:rFonts w:ascii="Calibri" w:hAnsi="Calibri" w:cs="Arial"/>
                <w:b/>
                <w:bCs/>
                <w:color w:val="000000"/>
                <w:sz w:val="20"/>
                <w:szCs w:val="20"/>
                <w:lang w:val="fr-CA"/>
              </w:rPr>
              <w:t>5</w:t>
            </w:r>
            <w:r w:rsidR="00E10389">
              <w:rPr>
                <w:rFonts w:ascii="Calibri" w:hAnsi="Calibri" w:cs="Arial"/>
                <w:b/>
                <w:bCs/>
                <w:color w:val="000000"/>
                <w:sz w:val="20"/>
                <w:szCs w:val="20"/>
                <w:lang w:val="fr-CA"/>
              </w:rPr>
              <w:t xml:space="preserve"> </w:t>
            </w:r>
            <w:r>
              <w:rPr>
                <w:rFonts w:ascii="Calibri" w:hAnsi="Calibri" w:cs="Arial"/>
                <w:b/>
                <w:bCs/>
                <w:color w:val="000000"/>
                <w:sz w:val="20"/>
                <w:szCs w:val="20"/>
                <w:lang w:val="fr-CA"/>
              </w:rPr>
              <w:t>119</w:t>
            </w:r>
            <w:r w:rsidR="00E10389">
              <w:rPr>
                <w:rFonts w:ascii="Calibri" w:hAnsi="Calibri" w:cs="Arial"/>
                <w:b/>
                <w:bCs/>
                <w:color w:val="000000"/>
                <w:sz w:val="20"/>
                <w:szCs w:val="20"/>
                <w:lang w:val="fr-CA"/>
              </w:rPr>
              <w:t xml:space="preserve"> </w:t>
            </w:r>
            <w:r w:rsidR="006B5FCE" w:rsidRPr="00A778BF">
              <w:rPr>
                <w:rFonts w:ascii="Calibri" w:hAnsi="Calibri" w:cs="Arial"/>
                <w:b/>
                <w:bCs/>
                <w:color w:val="000000"/>
                <w:sz w:val="20"/>
                <w:szCs w:val="20"/>
                <w:lang w:val="fr-CA"/>
              </w:rPr>
              <w:t>000</w:t>
            </w:r>
          </w:p>
        </w:tc>
        <w:tc>
          <w:tcPr>
            <w:tcW w:w="1417" w:type="dxa"/>
            <w:shd w:val="clear" w:color="auto" w:fill="BFBFBF" w:themeFill="background1" w:themeFillShade="BF"/>
          </w:tcPr>
          <w:p w:rsidR="00475CAF" w:rsidRDefault="00475CAF" w:rsidP="00E64AA1">
            <w:pPr>
              <w:jc w:val="right"/>
              <w:rPr>
                <w:rFonts w:ascii="Calibri" w:hAnsi="Calibri" w:cs="Arial"/>
                <w:b/>
                <w:bCs/>
                <w:color w:val="000000"/>
                <w:sz w:val="20"/>
                <w:szCs w:val="20"/>
                <w:lang w:val="fr-CA"/>
              </w:rPr>
            </w:pPr>
          </w:p>
          <w:p w:rsidR="006B5FCE" w:rsidRPr="00A778BF" w:rsidRDefault="00E64AA1" w:rsidP="00E64AA1">
            <w:pPr>
              <w:jc w:val="right"/>
              <w:rPr>
                <w:rFonts w:ascii="Calibri" w:hAnsi="Calibri" w:cs="Arial"/>
                <w:b/>
                <w:bCs/>
                <w:color w:val="000000"/>
                <w:sz w:val="20"/>
                <w:szCs w:val="20"/>
                <w:lang w:val="fr-CA"/>
              </w:rPr>
            </w:pPr>
            <w:r>
              <w:rPr>
                <w:rFonts w:ascii="Calibri" w:hAnsi="Calibri" w:cs="Arial"/>
                <w:b/>
                <w:bCs/>
                <w:color w:val="000000"/>
                <w:sz w:val="20"/>
                <w:szCs w:val="20"/>
                <w:lang w:val="fr-CA"/>
              </w:rPr>
              <w:t>4</w:t>
            </w:r>
            <w:r w:rsidR="00E10389">
              <w:rPr>
                <w:rFonts w:ascii="Calibri" w:hAnsi="Calibri" w:cs="Arial"/>
                <w:b/>
                <w:bCs/>
                <w:color w:val="000000"/>
                <w:sz w:val="20"/>
                <w:szCs w:val="20"/>
                <w:lang w:val="fr-CA"/>
              </w:rPr>
              <w:t xml:space="preserve"> </w:t>
            </w:r>
            <w:r>
              <w:rPr>
                <w:rFonts w:ascii="Calibri" w:hAnsi="Calibri" w:cs="Arial"/>
                <w:b/>
                <w:bCs/>
                <w:color w:val="000000"/>
                <w:sz w:val="20"/>
                <w:szCs w:val="20"/>
                <w:lang w:val="fr-CA"/>
              </w:rPr>
              <w:t>20</w:t>
            </w:r>
            <w:r w:rsidR="006B5FCE" w:rsidRPr="00A778BF">
              <w:rPr>
                <w:rFonts w:ascii="Calibri" w:hAnsi="Calibri" w:cs="Arial"/>
                <w:b/>
                <w:bCs/>
                <w:color w:val="000000"/>
                <w:sz w:val="20"/>
                <w:szCs w:val="20"/>
                <w:lang w:val="fr-CA"/>
              </w:rPr>
              <w:t>0</w:t>
            </w:r>
            <w:r w:rsidR="00E10389">
              <w:rPr>
                <w:rFonts w:ascii="Calibri" w:hAnsi="Calibri" w:cs="Arial"/>
                <w:b/>
                <w:bCs/>
                <w:color w:val="000000"/>
                <w:sz w:val="20"/>
                <w:szCs w:val="20"/>
                <w:lang w:val="fr-CA"/>
              </w:rPr>
              <w:t xml:space="preserve"> </w:t>
            </w:r>
            <w:r w:rsidR="006B5FCE" w:rsidRPr="00A778BF">
              <w:rPr>
                <w:rFonts w:ascii="Calibri" w:hAnsi="Calibri" w:cs="Arial"/>
                <w:b/>
                <w:bCs/>
                <w:color w:val="000000"/>
                <w:sz w:val="20"/>
                <w:szCs w:val="20"/>
                <w:lang w:val="fr-CA"/>
              </w:rPr>
              <w:t>000</w:t>
            </w:r>
          </w:p>
        </w:tc>
        <w:tc>
          <w:tcPr>
            <w:tcW w:w="1418" w:type="dxa"/>
            <w:shd w:val="clear" w:color="auto" w:fill="BFBFBF" w:themeFill="background1" w:themeFillShade="BF"/>
          </w:tcPr>
          <w:p w:rsidR="00475CAF" w:rsidRDefault="00475CAF" w:rsidP="00E64AA1">
            <w:pPr>
              <w:jc w:val="right"/>
              <w:rPr>
                <w:rFonts w:ascii="Calibri" w:hAnsi="Calibri" w:cs="Arial"/>
                <w:b/>
                <w:bCs/>
                <w:color w:val="000000"/>
                <w:sz w:val="20"/>
                <w:szCs w:val="20"/>
                <w:lang w:val="fr-CA"/>
              </w:rPr>
            </w:pPr>
          </w:p>
          <w:p w:rsidR="006B5FCE" w:rsidRPr="00A778BF" w:rsidRDefault="006B5FCE" w:rsidP="00E64AA1">
            <w:pPr>
              <w:jc w:val="right"/>
              <w:rPr>
                <w:rFonts w:ascii="Calibri" w:hAnsi="Calibri" w:cs="Arial"/>
                <w:b/>
                <w:bCs/>
                <w:color w:val="000000"/>
                <w:sz w:val="20"/>
                <w:szCs w:val="20"/>
                <w:lang w:val="fr-CA"/>
              </w:rPr>
            </w:pPr>
            <w:r w:rsidRPr="00A778BF">
              <w:rPr>
                <w:rFonts w:ascii="Calibri" w:hAnsi="Calibri" w:cs="Arial"/>
                <w:b/>
                <w:bCs/>
                <w:color w:val="000000"/>
                <w:sz w:val="20"/>
                <w:szCs w:val="20"/>
                <w:lang w:val="fr-CA"/>
              </w:rPr>
              <w:t>9</w:t>
            </w:r>
            <w:r w:rsidR="00E64AA1">
              <w:rPr>
                <w:rFonts w:ascii="Calibri" w:hAnsi="Calibri" w:cs="Arial"/>
                <w:b/>
                <w:bCs/>
                <w:color w:val="000000"/>
                <w:sz w:val="20"/>
                <w:szCs w:val="20"/>
                <w:lang w:val="fr-CA"/>
              </w:rPr>
              <w:t>19</w:t>
            </w:r>
            <w:r w:rsidR="00E10389">
              <w:rPr>
                <w:rFonts w:ascii="Calibri" w:hAnsi="Calibri" w:cs="Arial"/>
                <w:b/>
                <w:bCs/>
                <w:color w:val="000000"/>
                <w:sz w:val="20"/>
                <w:szCs w:val="20"/>
                <w:lang w:val="fr-CA"/>
              </w:rPr>
              <w:t xml:space="preserve"> </w:t>
            </w:r>
            <w:r w:rsidRPr="00A778BF">
              <w:rPr>
                <w:rFonts w:ascii="Calibri" w:hAnsi="Calibri" w:cs="Arial"/>
                <w:b/>
                <w:bCs/>
                <w:color w:val="000000"/>
                <w:sz w:val="20"/>
                <w:szCs w:val="20"/>
                <w:lang w:val="fr-CA"/>
              </w:rPr>
              <w:t>000</w:t>
            </w:r>
          </w:p>
        </w:tc>
      </w:tr>
    </w:tbl>
    <w:p w:rsidR="00FF15AC" w:rsidRPr="00A778BF" w:rsidRDefault="00FF15AC" w:rsidP="00331C37">
      <w:pPr>
        <w:shd w:val="clear" w:color="auto" w:fill="FFFFFF" w:themeFill="background1"/>
        <w:rPr>
          <w:rFonts w:ascii="Calibri" w:eastAsia="Batang" w:hAnsi="Calibri" w:cs="Calibri"/>
          <w:b/>
          <w:lang w:val="fr-CA" w:eastAsia="en-US"/>
        </w:rPr>
      </w:pPr>
    </w:p>
    <w:sectPr w:rsidR="00FF15AC" w:rsidRPr="00A778BF" w:rsidSect="00FF15AC">
      <w:footerReference w:type="default" r:id="rId10"/>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4C" w:rsidRDefault="00534C4C" w:rsidP="00FF697B">
      <w:r>
        <w:separator/>
      </w:r>
    </w:p>
  </w:endnote>
  <w:endnote w:type="continuationSeparator" w:id="0">
    <w:p w:rsidR="00534C4C" w:rsidRDefault="00534C4C" w:rsidP="00FF697B">
      <w:r>
        <w:continuationSeparator/>
      </w:r>
    </w:p>
  </w:endnote>
  <w:endnote w:type="continuationNotice" w:id="1">
    <w:p w:rsidR="00534C4C" w:rsidRDefault="00534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C4C" w:rsidRPr="00534C4C" w:rsidRDefault="00534C4C" w:rsidP="00534C4C">
    <w:pPr>
      <w:pStyle w:val="Footer"/>
      <w:tabs>
        <w:tab w:val="clear" w:pos="9360"/>
        <w:tab w:val="right" w:pos="9072"/>
      </w:tabs>
      <w:rPr>
        <w:rFonts w:asciiTheme="minorHAnsi" w:hAnsiTheme="minorHAnsi"/>
        <w:sz w:val="20"/>
        <w:szCs w:val="20"/>
      </w:rPr>
    </w:pPr>
    <w:r w:rsidRPr="00534C4C">
      <w:rPr>
        <w:rFonts w:asciiTheme="minorHAnsi" w:hAnsiTheme="minorHAnsi"/>
        <w:sz w:val="20"/>
        <w:szCs w:val="20"/>
      </w:rPr>
      <w:t>SC52-09</w:t>
    </w:r>
    <w:r w:rsidR="007825EC">
      <w:rPr>
        <w:rFonts w:asciiTheme="minorHAnsi" w:hAnsiTheme="minorHAnsi"/>
        <w:sz w:val="20"/>
        <w:szCs w:val="20"/>
      </w:rPr>
      <w:t xml:space="preserve"> Rev.1</w:t>
    </w:r>
    <w:r>
      <w:rPr>
        <w:rFonts w:asciiTheme="minorHAnsi" w:hAnsiTheme="minorHAnsi"/>
        <w:sz w:val="20"/>
        <w:szCs w:val="20"/>
      </w:rPr>
      <w:tab/>
    </w:r>
    <w:r>
      <w:rPr>
        <w:rFonts w:asciiTheme="minorHAnsi" w:hAnsiTheme="minorHAnsi"/>
        <w:sz w:val="20"/>
        <w:szCs w:val="20"/>
      </w:rPr>
      <w:tab/>
    </w:r>
    <w:r w:rsidRPr="00534C4C">
      <w:rPr>
        <w:rFonts w:asciiTheme="minorHAnsi" w:hAnsiTheme="minorHAnsi"/>
        <w:sz w:val="20"/>
        <w:szCs w:val="20"/>
      </w:rPr>
      <w:fldChar w:fldCharType="begin"/>
    </w:r>
    <w:r w:rsidRPr="00534C4C">
      <w:rPr>
        <w:rFonts w:asciiTheme="minorHAnsi" w:hAnsiTheme="minorHAnsi"/>
        <w:sz w:val="20"/>
        <w:szCs w:val="20"/>
      </w:rPr>
      <w:instrText xml:space="preserve"> PAGE   \* MERGEFORMAT </w:instrText>
    </w:r>
    <w:r w:rsidRPr="00534C4C">
      <w:rPr>
        <w:rFonts w:asciiTheme="minorHAnsi" w:hAnsiTheme="minorHAnsi"/>
        <w:sz w:val="20"/>
        <w:szCs w:val="20"/>
      </w:rPr>
      <w:fldChar w:fldCharType="separate"/>
    </w:r>
    <w:r w:rsidR="007825EC">
      <w:rPr>
        <w:rFonts w:asciiTheme="minorHAnsi" w:hAnsiTheme="minorHAnsi"/>
        <w:noProof/>
        <w:sz w:val="20"/>
        <w:szCs w:val="20"/>
      </w:rPr>
      <w:t>3</w:t>
    </w:r>
    <w:r w:rsidRPr="00534C4C">
      <w:rPr>
        <w:rFonts w:asciiTheme="minorHAnsi" w:hAnsiTheme="minorHAnsi"/>
        <w:noProof/>
        <w:sz w:val="20"/>
        <w:szCs w:val="20"/>
      </w:rPr>
      <w:fldChar w:fldCharType="end"/>
    </w:r>
  </w:p>
  <w:p w:rsidR="00534C4C" w:rsidRPr="002714E9" w:rsidRDefault="00534C4C" w:rsidP="00FD503E">
    <w:pPr>
      <w:pStyle w:val="Footer"/>
      <w:tabs>
        <w:tab w:val="clear" w:pos="9360"/>
        <w:tab w:val="right" w:pos="4680"/>
        <w:tab w:val="left" w:pos="8931"/>
      </w:tabs>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33630235"/>
      <w:docPartObj>
        <w:docPartGallery w:val="Page Numbers (Bottom of Page)"/>
        <w:docPartUnique/>
      </w:docPartObj>
    </w:sdtPr>
    <w:sdtEndPr/>
    <w:sdtContent>
      <w:p w:rsidR="00534C4C" w:rsidRPr="002714E9" w:rsidRDefault="00534C4C" w:rsidP="00FD503E">
        <w:pPr>
          <w:pStyle w:val="Footer"/>
          <w:tabs>
            <w:tab w:val="clear" w:pos="9360"/>
            <w:tab w:val="right" w:pos="4680"/>
            <w:tab w:val="left" w:pos="13750"/>
          </w:tabs>
          <w:rPr>
            <w:rFonts w:asciiTheme="minorHAnsi" w:hAnsiTheme="minorHAnsi"/>
            <w:sz w:val="20"/>
            <w:szCs w:val="20"/>
          </w:rPr>
        </w:pPr>
        <w:r>
          <w:rPr>
            <w:rFonts w:asciiTheme="minorHAnsi" w:hAnsiTheme="minorHAnsi"/>
            <w:sz w:val="20"/>
            <w:szCs w:val="20"/>
          </w:rPr>
          <w:t>SC52-09</w:t>
        </w:r>
        <w:r w:rsidR="007825EC">
          <w:rPr>
            <w:rFonts w:asciiTheme="minorHAnsi" w:hAnsiTheme="minorHAnsi"/>
            <w:sz w:val="20"/>
            <w:szCs w:val="20"/>
          </w:rPr>
          <w:t xml:space="preserve"> Rev.1</w:t>
        </w:r>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7825EC">
          <w:rPr>
            <w:rFonts w:asciiTheme="minorHAnsi" w:hAnsiTheme="minorHAnsi"/>
            <w:noProof/>
            <w:sz w:val="20"/>
            <w:szCs w:val="20"/>
          </w:rPr>
          <w:t>17</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4C" w:rsidRDefault="00534C4C" w:rsidP="00FF697B">
      <w:r>
        <w:separator/>
      </w:r>
    </w:p>
  </w:footnote>
  <w:footnote w:type="continuationSeparator" w:id="0">
    <w:p w:rsidR="00534C4C" w:rsidRDefault="00534C4C" w:rsidP="00FF697B">
      <w:r>
        <w:continuationSeparator/>
      </w:r>
    </w:p>
  </w:footnote>
  <w:footnote w:type="continuationNotice" w:id="1">
    <w:p w:rsidR="00534C4C" w:rsidRDefault="00534C4C"/>
  </w:footnote>
  <w:footnote w:id="2">
    <w:p w:rsidR="00534C4C" w:rsidRPr="000F6CC5" w:rsidRDefault="00534C4C" w:rsidP="000F6CC5">
      <w:pPr>
        <w:autoSpaceDE w:val="0"/>
        <w:autoSpaceDN w:val="0"/>
        <w:adjustRightInd w:val="0"/>
        <w:rPr>
          <w:rFonts w:asciiTheme="minorHAnsi" w:eastAsiaTheme="minorHAnsi" w:hAnsiTheme="minorHAnsi" w:cstheme="minorHAnsi"/>
          <w:b/>
          <w:bCs/>
          <w:sz w:val="20"/>
          <w:szCs w:val="20"/>
          <w:lang w:val="fr-CH" w:eastAsia="en-US"/>
        </w:rPr>
      </w:pPr>
      <w:r w:rsidRPr="002E1289">
        <w:rPr>
          <w:rStyle w:val="FootnoteReference"/>
          <w:rFonts w:asciiTheme="minorHAnsi" w:hAnsiTheme="minorHAnsi"/>
          <w:sz w:val="20"/>
          <w:szCs w:val="20"/>
        </w:rPr>
        <w:footnoteRef/>
      </w:r>
      <w:r w:rsidRPr="000F6CC5">
        <w:rPr>
          <w:rFonts w:asciiTheme="minorHAnsi" w:hAnsiTheme="minorHAnsi"/>
          <w:sz w:val="20"/>
          <w:szCs w:val="20"/>
          <w:lang w:val="fr-CH"/>
        </w:rPr>
        <w:t xml:space="preserve"> Voir </w:t>
      </w:r>
      <w:hyperlink r:id="rId1" w:history="1">
        <w:r w:rsidRPr="000F6CC5">
          <w:rPr>
            <w:rStyle w:val="Hyperlink"/>
            <w:rFonts w:asciiTheme="minorHAnsi" w:hAnsiTheme="minorHAnsi"/>
            <w:sz w:val="20"/>
            <w:szCs w:val="20"/>
            <w:lang w:val="fr-CH"/>
          </w:rPr>
          <w:t>www.ramsar.org/sites/default/files/documents/library/ramsar_rules_of_procedure_f.pdf</w:t>
        </w:r>
      </w:hyperlink>
      <w:r w:rsidRPr="000F6CC5">
        <w:rPr>
          <w:rFonts w:asciiTheme="minorHAnsi" w:hAnsiTheme="minorHAnsi"/>
          <w:sz w:val="20"/>
          <w:szCs w:val="20"/>
          <w:lang w:val="fr-CH"/>
        </w:rPr>
        <w:t xml:space="preserve">. </w:t>
      </w:r>
      <w:r>
        <w:rPr>
          <w:rFonts w:asciiTheme="minorHAnsi" w:eastAsiaTheme="minorHAnsi" w:hAnsiTheme="minorHAnsi" w:cstheme="minorHAnsi"/>
          <w:b/>
          <w:bCs/>
          <w:sz w:val="20"/>
          <w:szCs w:val="20"/>
          <w:lang w:val="fr-CH" w:eastAsia="en-US"/>
        </w:rPr>
        <w:t>Article </w:t>
      </w:r>
      <w:r w:rsidRPr="000F6CC5">
        <w:rPr>
          <w:rFonts w:asciiTheme="minorHAnsi" w:eastAsiaTheme="minorHAnsi" w:hAnsiTheme="minorHAnsi" w:cstheme="minorHAnsi"/>
          <w:b/>
          <w:bCs/>
          <w:sz w:val="20"/>
          <w:szCs w:val="20"/>
          <w:lang w:val="fr-CH" w:eastAsia="en-US"/>
        </w:rPr>
        <w:t>14 Rapport du Secrétariat sur les incidences administratives et financières des points de l’ordre du jour</w:t>
      </w:r>
      <w:r>
        <w:rPr>
          <w:rFonts w:asciiTheme="minorHAnsi" w:eastAsiaTheme="minorHAnsi" w:hAnsiTheme="minorHAnsi" w:cstheme="minorHAnsi"/>
          <w:b/>
          <w:bCs/>
          <w:sz w:val="20"/>
          <w:szCs w:val="20"/>
          <w:lang w:val="fr-CH" w:eastAsia="en-US"/>
        </w:rPr>
        <w:t> :</w:t>
      </w:r>
    </w:p>
    <w:p w:rsidR="00534C4C" w:rsidRPr="000F6CC5" w:rsidRDefault="00534C4C" w:rsidP="000F6CC5">
      <w:pPr>
        <w:autoSpaceDE w:val="0"/>
        <w:autoSpaceDN w:val="0"/>
        <w:adjustRightInd w:val="0"/>
        <w:rPr>
          <w:sz w:val="20"/>
          <w:szCs w:val="20"/>
          <w:lang w:val="fr-CH"/>
        </w:rPr>
      </w:pPr>
      <w:r w:rsidRPr="000F6CC5">
        <w:rPr>
          <w:rFonts w:asciiTheme="minorHAnsi" w:eastAsiaTheme="minorHAnsi" w:hAnsiTheme="minorHAnsi" w:cstheme="minorHAnsi"/>
          <w:bCs/>
          <w:sz w:val="20"/>
          <w:szCs w:val="20"/>
          <w:lang w:val="fr-CH" w:eastAsia="en-US"/>
        </w:rPr>
        <w:t xml:space="preserve">Le Secrétariat fait rapport, dans un délai de 24 heures après l’ouverture de la session de la Conférence des Parties sur les incidences administratives et financières prévues de toutes les questions de fond inscrites à l’ordre du jour de la session avant que ces questions ne soient examinées par la session et </w:t>
      </w:r>
      <w:r w:rsidRPr="0069072D">
        <w:rPr>
          <w:rFonts w:asciiTheme="minorHAnsi" w:eastAsiaTheme="minorHAnsi" w:hAnsiTheme="minorHAnsi" w:cstheme="minorHAnsi"/>
          <w:bCs/>
          <w:sz w:val="20"/>
          <w:szCs w:val="20"/>
          <w:u w:val="single"/>
          <w:lang w:val="fr-CH" w:eastAsia="en-US"/>
        </w:rPr>
        <w:t>avant</w:t>
      </w:r>
      <w:r w:rsidRPr="000F6CC5">
        <w:rPr>
          <w:rFonts w:asciiTheme="minorHAnsi" w:eastAsiaTheme="minorHAnsi" w:hAnsiTheme="minorHAnsi" w:cstheme="minorHAnsi"/>
          <w:bCs/>
          <w:sz w:val="20"/>
          <w:szCs w:val="20"/>
          <w:lang w:val="fr-CH" w:eastAsia="en-US"/>
        </w:rPr>
        <w:t xml:space="preserve"> que la Conférence des Parties ne prenne des décisions relatives à ces questions.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C4334E"/>
    <w:multiLevelType w:val="hybridMultilevel"/>
    <w:tmpl w:val="D538509C"/>
    <w:lvl w:ilvl="0" w:tplc="38129D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17778D0"/>
    <w:multiLevelType w:val="hybridMultilevel"/>
    <w:tmpl w:val="E0EC3DA8"/>
    <w:lvl w:ilvl="0" w:tplc="7AF2F74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4D3431"/>
    <w:multiLevelType w:val="hybridMultilevel"/>
    <w:tmpl w:val="33CC91C6"/>
    <w:lvl w:ilvl="0" w:tplc="38129D90">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9A484B"/>
    <w:multiLevelType w:val="hybridMultilevel"/>
    <w:tmpl w:val="36C8E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5101C"/>
    <w:multiLevelType w:val="hybridMultilevel"/>
    <w:tmpl w:val="5E9C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3049A6"/>
    <w:multiLevelType w:val="hybridMultilevel"/>
    <w:tmpl w:val="642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0"/>
  </w:num>
  <w:num w:numId="5">
    <w:abstractNumId w:val="5"/>
  </w:num>
  <w:num w:numId="6">
    <w:abstractNumId w:val="3"/>
  </w:num>
  <w:num w:numId="7">
    <w:abstractNumId w:val="14"/>
  </w:num>
  <w:num w:numId="8">
    <w:abstractNumId w:val="2"/>
  </w:num>
  <w:num w:numId="9">
    <w:abstractNumId w:val="7"/>
  </w:num>
  <w:num w:numId="10">
    <w:abstractNumId w:val="18"/>
  </w:num>
  <w:num w:numId="11">
    <w:abstractNumId w:val="9"/>
  </w:num>
  <w:num w:numId="12">
    <w:abstractNumId w:val="15"/>
  </w:num>
  <w:num w:numId="13">
    <w:abstractNumId w:val="12"/>
  </w:num>
  <w:num w:numId="14">
    <w:abstractNumId w:val="4"/>
  </w:num>
  <w:num w:numId="15">
    <w:abstractNumId w:val="20"/>
  </w:num>
  <w:num w:numId="16">
    <w:abstractNumId w:val="21"/>
  </w:num>
  <w:num w:numId="17">
    <w:abstractNumId w:val="6"/>
  </w:num>
  <w:num w:numId="18">
    <w:abstractNumId w:val="22"/>
  </w:num>
  <w:num w:numId="19">
    <w:abstractNumId w:val="1"/>
  </w:num>
  <w:num w:numId="20">
    <w:abstractNumId w:val="19"/>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17B3"/>
    <w:rsid w:val="00003727"/>
    <w:rsid w:val="00015361"/>
    <w:rsid w:val="00015F2A"/>
    <w:rsid w:val="00025A82"/>
    <w:rsid w:val="00032C51"/>
    <w:rsid w:val="00033522"/>
    <w:rsid w:val="000358E9"/>
    <w:rsid w:val="000359C6"/>
    <w:rsid w:val="00041AFD"/>
    <w:rsid w:val="000506A6"/>
    <w:rsid w:val="00051CDC"/>
    <w:rsid w:val="0005674C"/>
    <w:rsid w:val="00057770"/>
    <w:rsid w:val="000728A7"/>
    <w:rsid w:val="00073E0C"/>
    <w:rsid w:val="0007671F"/>
    <w:rsid w:val="00080B42"/>
    <w:rsid w:val="000815CF"/>
    <w:rsid w:val="00081961"/>
    <w:rsid w:val="00092540"/>
    <w:rsid w:val="000A5223"/>
    <w:rsid w:val="000A6728"/>
    <w:rsid w:val="000B4FCC"/>
    <w:rsid w:val="000C7803"/>
    <w:rsid w:val="000D076F"/>
    <w:rsid w:val="000E0DD8"/>
    <w:rsid w:val="000E19EC"/>
    <w:rsid w:val="000E5353"/>
    <w:rsid w:val="000F1D6E"/>
    <w:rsid w:val="000F555E"/>
    <w:rsid w:val="000F6CC5"/>
    <w:rsid w:val="001006BE"/>
    <w:rsid w:val="00100888"/>
    <w:rsid w:val="00100D3F"/>
    <w:rsid w:val="00104BBE"/>
    <w:rsid w:val="0010584A"/>
    <w:rsid w:val="0011563D"/>
    <w:rsid w:val="00117941"/>
    <w:rsid w:val="001233DE"/>
    <w:rsid w:val="00125BC4"/>
    <w:rsid w:val="00126961"/>
    <w:rsid w:val="00133E5A"/>
    <w:rsid w:val="001348B6"/>
    <w:rsid w:val="0013737A"/>
    <w:rsid w:val="00146F43"/>
    <w:rsid w:val="00172C94"/>
    <w:rsid w:val="00172DDC"/>
    <w:rsid w:val="0017359A"/>
    <w:rsid w:val="00174630"/>
    <w:rsid w:val="00183A30"/>
    <w:rsid w:val="001A0160"/>
    <w:rsid w:val="001B72FB"/>
    <w:rsid w:val="001C3EA2"/>
    <w:rsid w:val="001C64CD"/>
    <w:rsid w:val="001D0F43"/>
    <w:rsid w:val="001D265C"/>
    <w:rsid w:val="001D4A5C"/>
    <w:rsid w:val="001F1FBB"/>
    <w:rsid w:val="002046D5"/>
    <w:rsid w:val="002426E4"/>
    <w:rsid w:val="002447E7"/>
    <w:rsid w:val="00244EFB"/>
    <w:rsid w:val="002514F1"/>
    <w:rsid w:val="002646FA"/>
    <w:rsid w:val="002660B1"/>
    <w:rsid w:val="002714E9"/>
    <w:rsid w:val="0028479D"/>
    <w:rsid w:val="002934B0"/>
    <w:rsid w:val="002953F3"/>
    <w:rsid w:val="002B42B8"/>
    <w:rsid w:val="002C0479"/>
    <w:rsid w:val="002C0555"/>
    <w:rsid w:val="002D6856"/>
    <w:rsid w:val="002E1289"/>
    <w:rsid w:val="002E157F"/>
    <w:rsid w:val="002E3958"/>
    <w:rsid w:val="002E64DF"/>
    <w:rsid w:val="002F0FC9"/>
    <w:rsid w:val="002F58A7"/>
    <w:rsid w:val="003125B0"/>
    <w:rsid w:val="00326F22"/>
    <w:rsid w:val="00331C37"/>
    <w:rsid w:val="003320A7"/>
    <w:rsid w:val="00334B93"/>
    <w:rsid w:val="00337C92"/>
    <w:rsid w:val="00337CDB"/>
    <w:rsid w:val="0035558F"/>
    <w:rsid w:val="00382E89"/>
    <w:rsid w:val="003915FB"/>
    <w:rsid w:val="00391C56"/>
    <w:rsid w:val="00392E1D"/>
    <w:rsid w:val="003B050A"/>
    <w:rsid w:val="003B253B"/>
    <w:rsid w:val="003B5014"/>
    <w:rsid w:val="003C128F"/>
    <w:rsid w:val="003C20FF"/>
    <w:rsid w:val="003C6A54"/>
    <w:rsid w:val="003C7DE1"/>
    <w:rsid w:val="003D1A52"/>
    <w:rsid w:val="003E0E4E"/>
    <w:rsid w:val="003E11F9"/>
    <w:rsid w:val="003E292F"/>
    <w:rsid w:val="003F2E97"/>
    <w:rsid w:val="003F7B34"/>
    <w:rsid w:val="00400BE4"/>
    <w:rsid w:val="00434554"/>
    <w:rsid w:val="00442350"/>
    <w:rsid w:val="00446641"/>
    <w:rsid w:val="00457243"/>
    <w:rsid w:val="00457E6A"/>
    <w:rsid w:val="004731DE"/>
    <w:rsid w:val="00473889"/>
    <w:rsid w:val="00475CAF"/>
    <w:rsid w:val="00475F7D"/>
    <w:rsid w:val="0048259A"/>
    <w:rsid w:val="004825FD"/>
    <w:rsid w:val="00482DC9"/>
    <w:rsid w:val="00483B22"/>
    <w:rsid w:val="00487333"/>
    <w:rsid w:val="004A08F0"/>
    <w:rsid w:val="004B4F43"/>
    <w:rsid w:val="004B5B4C"/>
    <w:rsid w:val="004C3C9F"/>
    <w:rsid w:val="004C7A23"/>
    <w:rsid w:val="004E373E"/>
    <w:rsid w:val="004E623F"/>
    <w:rsid w:val="004F5DCB"/>
    <w:rsid w:val="004F5DCD"/>
    <w:rsid w:val="004F6FD2"/>
    <w:rsid w:val="00504F5D"/>
    <w:rsid w:val="005153CF"/>
    <w:rsid w:val="005158E3"/>
    <w:rsid w:val="00526E84"/>
    <w:rsid w:val="00527D4B"/>
    <w:rsid w:val="00533213"/>
    <w:rsid w:val="00534C4C"/>
    <w:rsid w:val="005502D2"/>
    <w:rsid w:val="005518CD"/>
    <w:rsid w:val="00555D74"/>
    <w:rsid w:val="00556653"/>
    <w:rsid w:val="005610FC"/>
    <w:rsid w:val="005619D1"/>
    <w:rsid w:val="005630B6"/>
    <w:rsid w:val="00581EC3"/>
    <w:rsid w:val="00582948"/>
    <w:rsid w:val="00587498"/>
    <w:rsid w:val="00590622"/>
    <w:rsid w:val="005908DA"/>
    <w:rsid w:val="00592107"/>
    <w:rsid w:val="00596A96"/>
    <w:rsid w:val="005A4493"/>
    <w:rsid w:val="005A7056"/>
    <w:rsid w:val="005B3DE2"/>
    <w:rsid w:val="005B581C"/>
    <w:rsid w:val="005B769D"/>
    <w:rsid w:val="005D1BB0"/>
    <w:rsid w:val="005D2101"/>
    <w:rsid w:val="005D5FFC"/>
    <w:rsid w:val="005D7F8A"/>
    <w:rsid w:val="005F4ABE"/>
    <w:rsid w:val="00613092"/>
    <w:rsid w:val="00613359"/>
    <w:rsid w:val="0061532D"/>
    <w:rsid w:val="00624617"/>
    <w:rsid w:val="00631532"/>
    <w:rsid w:val="00635AC9"/>
    <w:rsid w:val="00642F05"/>
    <w:rsid w:val="0064540F"/>
    <w:rsid w:val="00645412"/>
    <w:rsid w:val="00651E2D"/>
    <w:rsid w:val="00656CC2"/>
    <w:rsid w:val="00657000"/>
    <w:rsid w:val="0066576E"/>
    <w:rsid w:val="00667F55"/>
    <w:rsid w:val="00675CA6"/>
    <w:rsid w:val="006820B0"/>
    <w:rsid w:val="0069072D"/>
    <w:rsid w:val="00694AC4"/>
    <w:rsid w:val="006961B7"/>
    <w:rsid w:val="006A4A76"/>
    <w:rsid w:val="006A71EC"/>
    <w:rsid w:val="006A73E2"/>
    <w:rsid w:val="006B4949"/>
    <w:rsid w:val="006B5FCE"/>
    <w:rsid w:val="006B6339"/>
    <w:rsid w:val="006D0C5F"/>
    <w:rsid w:val="006D12B3"/>
    <w:rsid w:val="006D32D6"/>
    <w:rsid w:val="006E09BF"/>
    <w:rsid w:val="006F1C33"/>
    <w:rsid w:val="006F3570"/>
    <w:rsid w:val="0072398B"/>
    <w:rsid w:val="00733655"/>
    <w:rsid w:val="00744ACF"/>
    <w:rsid w:val="00760D4B"/>
    <w:rsid w:val="007640E2"/>
    <w:rsid w:val="00766F1E"/>
    <w:rsid w:val="00771876"/>
    <w:rsid w:val="00772363"/>
    <w:rsid w:val="00776F3B"/>
    <w:rsid w:val="007825EC"/>
    <w:rsid w:val="00787545"/>
    <w:rsid w:val="00793B13"/>
    <w:rsid w:val="007A1587"/>
    <w:rsid w:val="007A16D7"/>
    <w:rsid w:val="007A5606"/>
    <w:rsid w:val="007A7516"/>
    <w:rsid w:val="007B419C"/>
    <w:rsid w:val="007B5264"/>
    <w:rsid w:val="007C5A10"/>
    <w:rsid w:val="007E7B4D"/>
    <w:rsid w:val="007F1E7B"/>
    <w:rsid w:val="007F38E9"/>
    <w:rsid w:val="007F4615"/>
    <w:rsid w:val="008024D4"/>
    <w:rsid w:val="00802DF7"/>
    <w:rsid w:val="00806209"/>
    <w:rsid w:val="00810F0C"/>
    <w:rsid w:val="0081347B"/>
    <w:rsid w:val="0081725A"/>
    <w:rsid w:val="008200FA"/>
    <w:rsid w:val="0082444A"/>
    <w:rsid w:val="00837832"/>
    <w:rsid w:val="00863FEF"/>
    <w:rsid w:val="00870DF6"/>
    <w:rsid w:val="008723F0"/>
    <w:rsid w:val="00873D23"/>
    <w:rsid w:val="008769EA"/>
    <w:rsid w:val="008776F2"/>
    <w:rsid w:val="00885D8F"/>
    <w:rsid w:val="00892E1A"/>
    <w:rsid w:val="008961E7"/>
    <w:rsid w:val="00896DF7"/>
    <w:rsid w:val="008A6402"/>
    <w:rsid w:val="008A769A"/>
    <w:rsid w:val="008B2CBB"/>
    <w:rsid w:val="008C445B"/>
    <w:rsid w:val="008D14FE"/>
    <w:rsid w:val="008D7607"/>
    <w:rsid w:val="008E03AA"/>
    <w:rsid w:val="008E23DC"/>
    <w:rsid w:val="008E7A2A"/>
    <w:rsid w:val="009157D4"/>
    <w:rsid w:val="00920D91"/>
    <w:rsid w:val="00941D6F"/>
    <w:rsid w:val="00952C58"/>
    <w:rsid w:val="00954E10"/>
    <w:rsid w:val="00955DFF"/>
    <w:rsid w:val="009635E1"/>
    <w:rsid w:val="00964595"/>
    <w:rsid w:val="00986973"/>
    <w:rsid w:val="009A48DD"/>
    <w:rsid w:val="009B52DA"/>
    <w:rsid w:val="009C09B1"/>
    <w:rsid w:val="009C34E3"/>
    <w:rsid w:val="009D1E33"/>
    <w:rsid w:val="009D3985"/>
    <w:rsid w:val="009D4081"/>
    <w:rsid w:val="009D4C02"/>
    <w:rsid w:val="009D7EE2"/>
    <w:rsid w:val="009E5776"/>
    <w:rsid w:val="00A02F36"/>
    <w:rsid w:val="00A07D4F"/>
    <w:rsid w:val="00A10C01"/>
    <w:rsid w:val="00A14906"/>
    <w:rsid w:val="00A158A4"/>
    <w:rsid w:val="00A16BDF"/>
    <w:rsid w:val="00A214E2"/>
    <w:rsid w:val="00A228B2"/>
    <w:rsid w:val="00A36B41"/>
    <w:rsid w:val="00A42E22"/>
    <w:rsid w:val="00A43C7D"/>
    <w:rsid w:val="00A46E45"/>
    <w:rsid w:val="00A55093"/>
    <w:rsid w:val="00A6690C"/>
    <w:rsid w:val="00A74E3D"/>
    <w:rsid w:val="00A764BB"/>
    <w:rsid w:val="00A778BF"/>
    <w:rsid w:val="00A8614B"/>
    <w:rsid w:val="00AB28A1"/>
    <w:rsid w:val="00AB29B0"/>
    <w:rsid w:val="00AB7590"/>
    <w:rsid w:val="00AC410C"/>
    <w:rsid w:val="00AC669A"/>
    <w:rsid w:val="00AD06E0"/>
    <w:rsid w:val="00AD39A4"/>
    <w:rsid w:val="00AE05E7"/>
    <w:rsid w:val="00AE7273"/>
    <w:rsid w:val="00AF2442"/>
    <w:rsid w:val="00AF391D"/>
    <w:rsid w:val="00AF63F3"/>
    <w:rsid w:val="00B23ED3"/>
    <w:rsid w:val="00B30085"/>
    <w:rsid w:val="00B31BC1"/>
    <w:rsid w:val="00B37EFC"/>
    <w:rsid w:val="00B447BA"/>
    <w:rsid w:val="00B72286"/>
    <w:rsid w:val="00B905D7"/>
    <w:rsid w:val="00B94F41"/>
    <w:rsid w:val="00B96189"/>
    <w:rsid w:val="00BA1F7B"/>
    <w:rsid w:val="00BA2127"/>
    <w:rsid w:val="00BA4D61"/>
    <w:rsid w:val="00BA6D1A"/>
    <w:rsid w:val="00BA70B5"/>
    <w:rsid w:val="00BC245F"/>
    <w:rsid w:val="00BC621C"/>
    <w:rsid w:val="00BD0330"/>
    <w:rsid w:val="00BD294A"/>
    <w:rsid w:val="00BD5EA5"/>
    <w:rsid w:val="00BE212D"/>
    <w:rsid w:val="00BE5EAD"/>
    <w:rsid w:val="00BF3184"/>
    <w:rsid w:val="00BF4C81"/>
    <w:rsid w:val="00BF521A"/>
    <w:rsid w:val="00C1530C"/>
    <w:rsid w:val="00C17766"/>
    <w:rsid w:val="00C4689B"/>
    <w:rsid w:val="00C51AEA"/>
    <w:rsid w:val="00C53DB5"/>
    <w:rsid w:val="00C544E0"/>
    <w:rsid w:val="00C545EA"/>
    <w:rsid w:val="00C552A9"/>
    <w:rsid w:val="00C55392"/>
    <w:rsid w:val="00C57997"/>
    <w:rsid w:val="00C606CD"/>
    <w:rsid w:val="00C7225E"/>
    <w:rsid w:val="00C74B34"/>
    <w:rsid w:val="00C770A9"/>
    <w:rsid w:val="00C80D1A"/>
    <w:rsid w:val="00C931F7"/>
    <w:rsid w:val="00C95FC6"/>
    <w:rsid w:val="00C96B54"/>
    <w:rsid w:val="00CA36DC"/>
    <w:rsid w:val="00CB3600"/>
    <w:rsid w:val="00CB792A"/>
    <w:rsid w:val="00CD26B4"/>
    <w:rsid w:val="00CE06B5"/>
    <w:rsid w:val="00CE200E"/>
    <w:rsid w:val="00CE47C7"/>
    <w:rsid w:val="00CF24AA"/>
    <w:rsid w:val="00D12244"/>
    <w:rsid w:val="00D21621"/>
    <w:rsid w:val="00D33954"/>
    <w:rsid w:val="00D36866"/>
    <w:rsid w:val="00D55DD9"/>
    <w:rsid w:val="00D61062"/>
    <w:rsid w:val="00D75281"/>
    <w:rsid w:val="00D76D82"/>
    <w:rsid w:val="00D8166D"/>
    <w:rsid w:val="00D91024"/>
    <w:rsid w:val="00D94C75"/>
    <w:rsid w:val="00DA4296"/>
    <w:rsid w:val="00DA45B2"/>
    <w:rsid w:val="00DB4123"/>
    <w:rsid w:val="00DC4D8F"/>
    <w:rsid w:val="00DC7754"/>
    <w:rsid w:val="00DE0D6A"/>
    <w:rsid w:val="00DE297C"/>
    <w:rsid w:val="00DF047C"/>
    <w:rsid w:val="00DF0CB9"/>
    <w:rsid w:val="00DF1044"/>
    <w:rsid w:val="00DF1E83"/>
    <w:rsid w:val="00E039B7"/>
    <w:rsid w:val="00E077BC"/>
    <w:rsid w:val="00E10389"/>
    <w:rsid w:val="00E14208"/>
    <w:rsid w:val="00E14BCB"/>
    <w:rsid w:val="00E26B24"/>
    <w:rsid w:val="00E26DD6"/>
    <w:rsid w:val="00E441CB"/>
    <w:rsid w:val="00E45412"/>
    <w:rsid w:val="00E61EBB"/>
    <w:rsid w:val="00E64AA1"/>
    <w:rsid w:val="00E656E6"/>
    <w:rsid w:val="00E7270C"/>
    <w:rsid w:val="00E8002B"/>
    <w:rsid w:val="00E8018B"/>
    <w:rsid w:val="00E858A1"/>
    <w:rsid w:val="00E86897"/>
    <w:rsid w:val="00E91F78"/>
    <w:rsid w:val="00E929EF"/>
    <w:rsid w:val="00E959F6"/>
    <w:rsid w:val="00EA3B55"/>
    <w:rsid w:val="00EA3FBC"/>
    <w:rsid w:val="00EC77AD"/>
    <w:rsid w:val="00EE0E62"/>
    <w:rsid w:val="00EF17EF"/>
    <w:rsid w:val="00EF2B14"/>
    <w:rsid w:val="00EF2E30"/>
    <w:rsid w:val="00EF4815"/>
    <w:rsid w:val="00F05AA5"/>
    <w:rsid w:val="00F110D1"/>
    <w:rsid w:val="00F35761"/>
    <w:rsid w:val="00F427E1"/>
    <w:rsid w:val="00F507B8"/>
    <w:rsid w:val="00F65FE4"/>
    <w:rsid w:val="00F66E12"/>
    <w:rsid w:val="00F6710A"/>
    <w:rsid w:val="00F73267"/>
    <w:rsid w:val="00F83863"/>
    <w:rsid w:val="00F85A79"/>
    <w:rsid w:val="00F86463"/>
    <w:rsid w:val="00FA2B25"/>
    <w:rsid w:val="00FB151C"/>
    <w:rsid w:val="00FB402F"/>
    <w:rsid w:val="00FB5873"/>
    <w:rsid w:val="00FC2FD7"/>
    <w:rsid w:val="00FC4460"/>
    <w:rsid w:val="00FD04F2"/>
    <w:rsid w:val="00FD0F57"/>
    <w:rsid w:val="00FD503E"/>
    <w:rsid w:val="00FE0FAB"/>
    <w:rsid w:val="00FE3C74"/>
    <w:rsid w:val="00FF0CE5"/>
    <w:rsid w:val="00FF15AC"/>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6184">
      <w:bodyDiv w:val="1"/>
      <w:marLeft w:val="0"/>
      <w:marRight w:val="0"/>
      <w:marTop w:val="0"/>
      <w:marBottom w:val="0"/>
      <w:divBdr>
        <w:top w:val="none" w:sz="0" w:space="0" w:color="auto"/>
        <w:left w:val="none" w:sz="0" w:space="0" w:color="auto"/>
        <w:bottom w:val="none" w:sz="0" w:space="0" w:color="auto"/>
        <w:right w:val="none" w:sz="0" w:space="0" w:color="auto"/>
      </w:divBdr>
    </w:div>
    <w:div w:id="925309815">
      <w:bodyDiv w:val="1"/>
      <w:marLeft w:val="0"/>
      <w:marRight w:val="0"/>
      <w:marTop w:val="0"/>
      <w:marBottom w:val="0"/>
      <w:divBdr>
        <w:top w:val="none" w:sz="0" w:space="0" w:color="auto"/>
        <w:left w:val="none" w:sz="0" w:space="0" w:color="auto"/>
        <w:bottom w:val="none" w:sz="0" w:space="0" w:color="auto"/>
        <w:right w:val="none" w:sz="0" w:space="0" w:color="auto"/>
      </w:divBdr>
    </w:div>
    <w:div w:id="1919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msar.org/sites/default/files/documents/library/ramsar_rules_of_procedure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44A9-C638-40B3-A68C-9FC53CAC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4584</Words>
  <Characters>26130</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2015-08-04T15:36:00Z</cp:lastPrinted>
  <dcterms:created xsi:type="dcterms:W3CDTF">2016-05-02T14:56:00Z</dcterms:created>
  <dcterms:modified xsi:type="dcterms:W3CDTF">2016-05-02T14:56:00Z</dcterms:modified>
</cp:coreProperties>
</file>