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FFC9" w14:textId="77777777" w:rsidR="00331E94" w:rsidRPr="00D21980" w:rsidRDefault="00331E94" w:rsidP="00331E94">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D21980">
        <w:rPr>
          <w:rFonts w:eastAsia="Times New Roman" w:cstheme="minorHAnsi"/>
          <w:bCs/>
          <w:sz w:val="24"/>
          <w:szCs w:val="20"/>
          <w:lang w:val="es-ES_tradnl" w:eastAsia="en-GB"/>
        </w:rPr>
        <w:t>CONVENCIÓN SOBRE LOS HUMEDALES (Ramsar, Irán, 1971)</w:t>
      </w:r>
    </w:p>
    <w:p w14:paraId="42798947" w14:textId="77777777" w:rsidR="00331E94" w:rsidRPr="00D21980" w:rsidRDefault="00331E94" w:rsidP="00331E94">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D21980">
        <w:rPr>
          <w:rFonts w:eastAsia="Times New Roman" w:cstheme="minorHAnsi"/>
          <w:bCs/>
          <w:sz w:val="24"/>
          <w:szCs w:val="20"/>
          <w:lang w:val="es-ES_tradnl" w:eastAsia="en-GB"/>
        </w:rPr>
        <w:t>52ª Reunión del Comité Permanente</w:t>
      </w:r>
    </w:p>
    <w:p w14:paraId="4B9438AB" w14:textId="77777777" w:rsidR="00331E94" w:rsidRPr="00D21980" w:rsidRDefault="00331E94" w:rsidP="00331E94">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D21980">
        <w:rPr>
          <w:rFonts w:eastAsia="Times New Roman" w:cstheme="minorHAnsi"/>
          <w:bCs/>
          <w:sz w:val="24"/>
          <w:szCs w:val="20"/>
          <w:lang w:val="es-ES_tradnl" w:eastAsia="en-GB"/>
        </w:rPr>
        <w:t>Gland, Suiza, 13 a 17 de junio de 2016</w:t>
      </w:r>
    </w:p>
    <w:p w14:paraId="104EC3BA" w14:textId="77777777" w:rsidR="004C4527" w:rsidRPr="00D21980"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lang w:val="es-ES_tradnl"/>
        </w:rPr>
      </w:pPr>
    </w:p>
    <w:p w14:paraId="38B7749D" w14:textId="77777777" w:rsidR="004C4527" w:rsidRPr="00D21980" w:rsidRDefault="004C4527" w:rsidP="004C4527">
      <w:pPr>
        <w:spacing w:after="0" w:line="240" w:lineRule="auto"/>
        <w:jc w:val="right"/>
        <w:rPr>
          <w:b/>
          <w:sz w:val="28"/>
          <w:szCs w:val="28"/>
          <w:lang w:val="es-ES_tradnl"/>
        </w:rPr>
      </w:pPr>
      <w:r w:rsidRPr="00D21980">
        <w:rPr>
          <w:b/>
          <w:sz w:val="28"/>
          <w:szCs w:val="28"/>
          <w:lang w:val="es-ES_tradnl"/>
        </w:rPr>
        <w:t>SC52-</w:t>
      </w:r>
      <w:r w:rsidR="00E357E1" w:rsidRPr="00D21980">
        <w:rPr>
          <w:b/>
          <w:sz w:val="28"/>
          <w:szCs w:val="28"/>
          <w:lang w:val="es-ES_tradnl"/>
        </w:rPr>
        <w:t>08</w:t>
      </w:r>
    </w:p>
    <w:p w14:paraId="71016DCB" w14:textId="77777777" w:rsidR="004C4527" w:rsidRPr="00D21980"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lang w:val="es-ES_tradnl"/>
        </w:rPr>
      </w:pPr>
    </w:p>
    <w:p w14:paraId="5EDDFEE1" w14:textId="77777777" w:rsidR="004C4527" w:rsidRPr="00D21980" w:rsidRDefault="00331E94" w:rsidP="004C4527">
      <w:pPr>
        <w:spacing w:after="0" w:line="240" w:lineRule="auto"/>
        <w:ind w:right="-568"/>
        <w:jc w:val="center"/>
        <w:rPr>
          <w:rFonts w:cs="Arial"/>
          <w:b/>
          <w:sz w:val="28"/>
          <w:szCs w:val="28"/>
          <w:lang w:val="es-ES_tradnl"/>
        </w:rPr>
      </w:pPr>
      <w:r w:rsidRPr="00D21980">
        <w:rPr>
          <w:rFonts w:eastAsia="Garamond" w:cs="Garamond"/>
          <w:b/>
          <w:bCs/>
          <w:sz w:val="28"/>
          <w:szCs w:val="28"/>
          <w:lang w:val="es-ES_tradnl"/>
        </w:rPr>
        <w:t xml:space="preserve">Plan de trabajo de la Secretaría para </w:t>
      </w:r>
      <w:r w:rsidR="004C4527" w:rsidRPr="00D21980">
        <w:rPr>
          <w:rFonts w:eastAsia="Garamond" w:cs="Garamond"/>
          <w:b/>
          <w:bCs/>
          <w:sz w:val="28"/>
          <w:szCs w:val="28"/>
          <w:lang w:val="es-ES_tradnl"/>
        </w:rPr>
        <w:t>2016</w:t>
      </w:r>
    </w:p>
    <w:p w14:paraId="0587DA94" w14:textId="77777777" w:rsidR="004C4527" w:rsidRPr="00D21980"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es-ES_tradnl"/>
        </w:rPr>
      </w:pPr>
    </w:p>
    <w:p w14:paraId="47D91544" w14:textId="77777777" w:rsidR="004C4527" w:rsidRPr="00D21980"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lang w:val="es-ES_tradnl"/>
        </w:rPr>
      </w:pPr>
      <w:r w:rsidRPr="00D21980">
        <w:rPr>
          <w:noProof/>
          <w:szCs w:val="20"/>
          <w:lang w:eastAsia="en-GB"/>
        </w:rPr>
        <mc:AlternateContent>
          <mc:Choice Requires="wps">
            <w:drawing>
              <wp:inline distT="0" distB="0" distL="0" distR="0" wp14:anchorId="467CB420" wp14:editId="3917129B">
                <wp:extent cx="5842635" cy="1012512"/>
                <wp:effectExtent l="0" t="0" r="24765" b="292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012512"/>
                        </a:xfrm>
                        <a:prstGeom prst="rect">
                          <a:avLst/>
                        </a:prstGeom>
                        <a:solidFill>
                          <a:srgbClr val="FFFFFF"/>
                        </a:solidFill>
                        <a:ln w="9525">
                          <a:solidFill>
                            <a:srgbClr val="000000"/>
                          </a:solidFill>
                          <a:miter lim="800000"/>
                          <a:headEnd/>
                          <a:tailEnd/>
                        </a:ln>
                      </wps:spPr>
                      <wps:txbx>
                        <w:txbxContent>
                          <w:p w14:paraId="638ECD47" w14:textId="77777777" w:rsidR="00D21980" w:rsidRPr="00CF0DD4" w:rsidRDefault="00D21980" w:rsidP="004C4527">
                            <w:pPr>
                              <w:spacing w:after="0" w:line="240" w:lineRule="auto"/>
                              <w:rPr>
                                <w:rFonts w:ascii="Calibri" w:hAnsi="Calibri"/>
                                <w:b/>
                                <w:bCs/>
                              </w:rPr>
                            </w:pPr>
                            <w:r w:rsidRPr="002A080C">
                              <w:rPr>
                                <w:rFonts w:ascii="Calibri" w:hAnsi="Calibri"/>
                              </w:rPr>
                              <w:t xml:space="preserve"> </w:t>
                            </w:r>
                            <w:r>
                              <w:rPr>
                                <w:rFonts w:ascii="Calibri" w:hAnsi="Calibri"/>
                                <w:b/>
                                <w:bCs/>
                              </w:rPr>
                              <w:t>Acciones solicitadas</w:t>
                            </w:r>
                            <w:r w:rsidRPr="00CF0DD4">
                              <w:rPr>
                                <w:rFonts w:ascii="Calibri" w:hAnsi="Calibri"/>
                                <w:b/>
                                <w:bCs/>
                              </w:rPr>
                              <w:t xml:space="preserve">: </w:t>
                            </w:r>
                          </w:p>
                          <w:p w14:paraId="78660683" w14:textId="77777777" w:rsidR="00D21980" w:rsidRPr="00F0664F" w:rsidRDefault="00D21980" w:rsidP="004C4527">
                            <w:pPr>
                              <w:spacing w:after="0" w:line="240" w:lineRule="auto"/>
                              <w:rPr>
                                <w:rFonts w:ascii="Calibri" w:hAnsi="Calibri" w:cs="Arial"/>
                              </w:rPr>
                            </w:pPr>
                            <w:r w:rsidRPr="00FF6FC8">
                              <w:rPr>
                                <w:rFonts w:ascii="Calibri" w:eastAsia="Calibri" w:hAnsi="Calibri"/>
                                <w:lang w:val="es-ES_tradnl"/>
                              </w:rPr>
                              <w:t xml:space="preserve">Se invita al Comité Permanente a tomar nota del plan de </w:t>
                            </w:r>
                            <w:r>
                              <w:rPr>
                                <w:rFonts w:ascii="Calibri" w:eastAsia="Calibri" w:hAnsi="Calibri"/>
                                <w:lang w:val="es-ES_tradnl"/>
                              </w:rPr>
                              <w:t>trabajo de la Secretaría para</w:t>
                            </w:r>
                            <w:r w:rsidRPr="00FF6FC8">
                              <w:rPr>
                                <w:rFonts w:ascii="Calibri" w:eastAsia="Calibri" w:hAnsi="Calibri"/>
                                <w:lang w:val="es-ES_tradnl"/>
                              </w:rPr>
                              <w:t xml:space="preserve"> 2016</w:t>
                            </w:r>
                            <w:r>
                              <w:rPr>
                                <w:rFonts w:ascii="Calibri" w:eastAsia="Calibri" w:hAnsi="Calibri"/>
                              </w:rPr>
                              <w:t>, que está basado en el plan de trabajo para el trienio e incluye también las acciones prioritarias solicitadas por el Equipo Ejecutivo en los Arreglos provisionales para la administración de la Secretaría en noviembre de 2015.</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width:460.05pt;height:79.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">
                <v:textbox>
                  <w:txbxContent>
                    <w:p w14:paraId="638ECD47" w14:textId="77777777" w:rsidR="005D36A4" w:rsidRPr="00CF0DD4" w:rsidRDefault="005D36A4" w:rsidP="004C4527">
                      <w:pPr>
                        <w:spacing w:after="0" w:line="240" w:lineRule="auto"/>
                        <w:rPr>
                          <w:rFonts w:ascii="Calibri" w:hAnsi="Calibri"/>
                          <w:b/>
                          <w:bCs/>
                        </w:rPr>
                      </w:pPr>
                      <w:r w:rsidRPr="002A080C">
                        <w:rPr>
                          <w:rFonts w:ascii="Calibri" w:hAnsi="Calibri"/>
                        </w:rPr>
                        <w:t xml:space="preserve"> </w:t>
                      </w:r>
                      <w:r>
                        <w:rPr>
                          <w:rFonts w:ascii="Calibri" w:hAnsi="Calibri"/>
                          <w:b/>
                          <w:bCs/>
                        </w:rPr>
                        <w:t>Acciones solicitadas</w:t>
                      </w:r>
                      <w:r w:rsidRPr="00CF0DD4">
                        <w:rPr>
                          <w:rFonts w:ascii="Calibri" w:hAnsi="Calibri"/>
                          <w:b/>
                          <w:bCs/>
                        </w:rPr>
                        <w:t xml:space="preserve">: </w:t>
                      </w:r>
                    </w:p>
                    <w:p w14:paraId="78660683" w14:textId="77777777" w:rsidR="005D36A4" w:rsidRPr="00F0664F" w:rsidRDefault="005D36A4" w:rsidP="004C4527">
                      <w:pPr>
                        <w:spacing w:after="0" w:line="240" w:lineRule="auto"/>
                        <w:rPr>
                          <w:rFonts w:ascii="Calibri" w:hAnsi="Calibri" w:cs="Arial"/>
                        </w:rPr>
                      </w:pPr>
                      <w:r w:rsidRPr="00FF6FC8">
                        <w:rPr>
                          <w:rFonts w:ascii="Calibri" w:eastAsia="Calibri" w:hAnsi="Calibri"/>
                          <w:lang w:val="es-ES_tradnl"/>
                        </w:rPr>
                        <w:t xml:space="preserve">Se invita al Comité Permanente a tomar nota del plan de </w:t>
                      </w:r>
                      <w:r>
                        <w:rPr>
                          <w:rFonts w:ascii="Calibri" w:eastAsia="Calibri" w:hAnsi="Calibri"/>
                          <w:lang w:val="es-ES_tradnl"/>
                        </w:rPr>
                        <w:t>trabajo de la Secretaría para</w:t>
                      </w:r>
                      <w:r w:rsidRPr="00FF6FC8">
                        <w:rPr>
                          <w:rFonts w:ascii="Calibri" w:eastAsia="Calibri" w:hAnsi="Calibri"/>
                          <w:lang w:val="es-ES_tradnl"/>
                        </w:rPr>
                        <w:t xml:space="preserve"> 2016</w:t>
                      </w:r>
                      <w:r>
                        <w:rPr>
                          <w:rFonts w:ascii="Calibri" w:eastAsia="Calibri" w:hAnsi="Calibri"/>
                        </w:rPr>
                        <w:t>, que está basado en el plan de trabajo para el trienio e incluye también las acciones prioritarias solicitadas por el Equipo Ejecutivo en los Arreglos provisionales para la administración de la Secretaría en noviembre de 2015.</w:t>
                      </w:r>
                    </w:p>
                  </w:txbxContent>
                </v:textbox>
                <w10:anchorlock/>
              </v:shape>
            </w:pict>
          </mc:Fallback>
        </mc:AlternateContent>
      </w:r>
    </w:p>
    <w:p w14:paraId="6E119FB3" w14:textId="77777777" w:rsidR="004C4527" w:rsidRPr="00D21980" w:rsidRDefault="004C4527" w:rsidP="004C4527">
      <w:pPr>
        <w:spacing w:after="0" w:line="240" w:lineRule="auto"/>
        <w:rPr>
          <w:rFonts w:ascii="Calibri" w:hAnsi="Calibri" w:cs="Calibri"/>
          <w:b/>
          <w:sz w:val="20"/>
          <w:lang w:val="es-ES_tradnl"/>
        </w:rPr>
      </w:pPr>
    </w:p>
    <w:p w14:paraId="3528999A" w14:textId="77777777" w:rsidR="00331E94" w:rsidRPr="00D21980" w:rsidRDefault="00331E94" w:rsidP="00331E94">
      <w:pPr>
        <w:pStyle w:val="ListParagraph"/>
        <w:widowControl w:val="0"/>
        <w:numPr>
          <w:ilvl w:val="0"/>
          <w:numId w:val="4"/>
        </w:numPr>
        <w:spacing w:after="0" w:line="240" w:lineRule="auto"/>
        <w:ind w:left="426" w:right="-46" w:hanging="426"/>
        <w:rPr>
          <w:rFonts w:ascii="Calibri" w:hAnsi="Calibri"/>
          <w:lang w:val="es-ES_tradnl"/>
        </w:rPr>
      </w:pPr>
      <w:r w:rsidRPr="00D21980">
        <w:rPr>
          <w:lang w:val="es-ES_tradnl"/>
        </w:rPr>
        <w:t>La 12ª reunión de la Conferencia de las Partes concluyó con 16 resoluciones, que contienen decisiones e instrucciones específicas para la Secretaría</w:t>
      </w:r>
      <w:r w:rsidRPr="00D21980">
        <w:rPr>
          <w:rFonts w:ascii="Calibri" w:hAnsi="Calibri"/>
          <w:lang w:val="es-ES_tradnl"/>
        </w:rPr>
        <w:t xml:space="preserve">.  </w:t>
      </w:r>
    </w:p>
    <w:p w14:paraId="71998148" w14:textId="77777777" w:rsidR="00331E94" w:rsidRPr="00D21980" w:rsidRDefault="00331E94" w:rsidP="00331E94">
      <w:pPr>
        <w:pStyle w:val="ListParagraph"/>
        <w:widowControl w:val="0"/>
        <w:spacing w:after="0" w:line="240" w:lineRule="auto"/>
        <w:ind w:left="426" w:right="-46"/>
        <w:rPr>
          <w:rFonts w:ascii="Calibri" w:hAnsi="Calibri"/>
          <w:lang w:val="es-ES_tradnl"/>
        </w:rPr>
      </w:pPr>
    </w:p>
    <w:p w14:paraId="2901AD48" w14:textId="77777777" w:rsidR="00331E94" w:rsidRPr="00D21980" w:rsidRDefault="00331E94" w:rsidP="00331E94">
      <w:pPr>
        <w:pStyle w:val="ListParagraph"/>
        <w:widowControl w:val="0"/>
        <w:numPr>
          <w:ilvl w:val="0"/>
          <w:numId w:val="4"/>
        </w:numPr>
        <w:spacing w:after="0" w:line="240" w:lineRule="auto"/>
        <w:ind w:left="426" w:right="-46" w:hanging="426"/>
        <w:rPr>
          <w:rFonts w:ascii="Calibri" w:hAnsi="Calibri"/>
          <w:lang w:val="es-ES_tradnl"/>
        </w:rPr>
      </w:pPr>
      <w:r w:rsidRPr="00D21980">
        <w:rPr>
          <w:lang w:val="es-ES_tradnl"/>
        </w:rPr>
        <w:t>Para cada una de las decisiones derivadas de las resoluciones de la COP12 se han definido las actividades de la Secretaría y se han establecido correspondencias con los objetivos y metas del Cuarto Plan Estratégico de Ramsar a fin de elaborar el plan de trabajo para el trienio 2016-2018</w:t>
      </w:r>
      <w:r w:rsidRPr="00D21980">
        <w:rPr>
          <w:rFonts w:ascii="Calibri" w:hAnsi="Calibri"/>
          <w:lang w:val="es-ES_tradnl"/>
        </w:rPr>
        <w:t>.</w:t>
      </w:r>
    </w:p>
    <w:p w14:paraId="40615C07" w14:textId="77777777" w:rsidR="00331E94" w:rsidRPr="00D21980" w:rsidRDefault="00331E94" w:rsidP="00331E94">
      <w:pPr>
        <w:pStyle w:val="ListParagraph"/>
        <w:rPr>
          <w:rFonts w:ascii="Calibri" w:hAnsi="Calibri"/>
          <w:lang w:val="es-ES_tradnl"/>
        </w:rPr>
      </w:pPr>
    </w:p>
    <w:p w14:paraId="72144D36" w14:textId="77777777" w:rsidR="00331E94" w:rsidRPr="00D21980" w:rsidRDefault="00331E94" w:rsidP="00331E94">
      <w:pPr>
        <w:pStyle w:val="ListParagraph"/>
        <w:widowControl w:val="0"/>
        <w:numPr>
          <w:ilvl w:val="0"/>
          <w:numId w:val="4"/>
        </w:numPr>
        <w:spacing w:after="0" w:line="240" w:lineRule="auto"/>
        <w:ind w:left="426" w:right="-46" w:hanging="426"/>
        <w:rPr>
          <w:rFonts w:ascii="Calibri" w:hAnsi="Calibri"/>
          <w:lang w:val="es-ES_tradnl"/>
        </w:rPr>
      </w:pPr>
      <w:r w:rsidRPr="00D21980">
        <w:rPr>
          <w:rFonts w:ascii="Calibri" w:hAnsi="Calibri"/>
          <w:lang w:val="es-ES_tradnl"/>
        </w:rPr>
        <w:t>Esta planificación del trabajo se realizó en un taller de colaboración en el que participó todo el personal de la Secretaría de la Convención de Ramsar y que se celebró del 21 al 24 de julio de 2015. El resultado del taller fue una tabla detallada de las actividades y tareas para el trienio, establecidas por las resoluciones de la COP12, con referencias a las metas del Cuarto Plan Estratégico. Cada actividad está a cargo de un responsable de la Secretaría y las tareas detalladas se han asignado a distintos miembros del personal de la Secretaría, de forma que el trabajo se realice en colaboración. En la tabla también se tienen en cuenta las tareas de la Secretaría que están en curso. El plan de trabajo de la Secretaría para 2016 así como los planes de trabajo para 2016 de los miembros del personal de la Secretaría se han derivado de la tabla.</w:t>
      </w:r>
    </w:p>
    <w:p w14:paraId="0FE2F433" w14:textId="77777777" w:rsidR="004C4527" w:rsidRPr="00D21980" w:rsidRDefault="004C4527" w:rsidP="004C4527">
      <w:pPr>
        <w:ind w:left="720"/>
        <w:contextualSpacing/>
        <w:rPr>
          <w:rFonts w:ascii="Calibri" w:hAnsi="Calibri"/>
          <w:lang w:val="es-ES_tradnl"/>
        </w:rPr>
      </w:pPr>
    </w:p>
    <w:p w14:paraId="10BF0B71" w14:textId="28BDBD27" w:rsidR="0006506F" w:rsidRPr="00D21980" w:rsidRDefault="00331E94" w:rsidP="0006506F">
      <w:pPr>
        <w:widowControl w:val="0"/>
        <w:numPr>
          <w:ilvl w:val="0"/>
          <w:numId w:val="4"/>
        </w:numPr>
        <w:spacing w:after="0" w:line="240" w:lineRule="auto"/>
        <w:ind w:left="426" w:right="-46" w:hanging="426"/>
        <w:contextualSpacing/>
        <w:rPr>
          <w:rFonts w:ascii="Calibri" w:hAnsi="Calibri"/>
          <w:lang w:val="es-ES_tradnl"/>
        </w:rPr>
      </w:pPr>
      <w:r w:rsidRPr="00D21980">
        <w:rPr>
          <w:rFonts w:ascii="Calibri" w:hAnsi="Calibri"/>
          <w:lang w:val="es-ES_tradnl"/>
        </w:rPr>
        <w:t>En la Decisión</w:t>
      </w:r>
      <w:r w:rsidRPr="00D21980">
        <w:rPr>
          <w:rFonts w:eastAsia="Arial Unicode MS" w:cs="Arial Unicode MS"/>
          <w:lang w:val="es-ES_tradnl" w:eastAsia="zh-CN" w:bidi="hi-IN"/>
        </w:rPr>
        <w:t xml:space="preserve"> SC51-10 del Comité Permanente (CP) se encargaba a la Secretaría </w:t>
      </w:r>
      <w:r w:rsidRPr="00D21980">
        <w:rPr>
          <w:rFonts w:ascii="Calibri" w:hAnsi="Calibri"/>
          <w:lang w:val="es-ES_tradnl"/>
        </w:rPr>
        <w:t>que preparara una versión revisada del plan de trabajo de la Secretaría para el trienio 2016-2018</w:t>
      </w:r>
      <w:r w:rsidR="004C4527" w:rsidRPr="00D21980">
        <w:rPr>
          <w:rFonts w:eastAsia="Arial Unicode MS" w:cs="Arial Unicode MS"/>
          <w:lang w:val="es-ES_tradnl" w:eastAsia="zh-CN" w:bidi="hi-IN"/>
        </w:rPr>
        <w:t xml:space="preserve">. </w:t>
      </w:r>
      <w:r w:rsidR="0054724D" w:rsidRPr="00D21980">
        <w:rPr>
          <w:rFonts w:eastAsia="Arial Unicode MS" w:cs="Arial Unicode MS"/>
          <w:lang w:val="es-ES_tradnl" w:eastAsia="zh-CN" w:bidi="hi-IN"/>
        </w:rPr>
        <w:t>El plan de trabajo an</w:t>
      </w:r>
      <w:r w:rsidRPr="00D21980">
        <w:rPr>
          <w:rFonts w:eastAsia="Arial Unicode MS" w:cs="Arial Unicode MS"/>
          <w:lang w:val="es-ES_tradnl" w:eastAsia="zh-CN" w:bidi="hi-IN"/>
        </w:rPr>
        <w:t xml:space="preserve">ual para 2016 que figura en el Anexo 1 a continuación se ha derivado del plan de trabajo para el trienio </w:t>
      </w:r>
      <w:r w:rsidRPr="00D21980">
        <w:rPr>
          <w:rFonts w:ascii="Calibri" w:hAnsi="Calibri"/>
          <w:lang w:val="es-ES_tradnl"/>
        </w:rPr>
        <w:t xml:space="preserve">2016-2018. También </w:t>
      </w:r>
      <w:r w:rsidR="0054724D" w:rsidRPr="00D21980">
        <w:rPr>
          <w:rFonts w:ascii="Calibri" w:hAnsi="Calibri"/>
          <w:lang w:val="es-ES_tradnl"/>
        </w:rPr>
        <w:t>se han incluido</w:t>
      </w:r>
      <w:r w:rsidRPr="00D21980">
        <w:rPr>
          <w:rFonts w:ascii="Calibri" w:hAnsi="Calibri"/>
          <w:lang w:val="es-ES_tradnl"/>
        </w:rPr>
        <w:t xml:space="preserve"> las acciones prioritarias solicitadas por el Equipo Ejecutivo en los Arreglos provisionales para la administración de la Secretaría (véase el documento </w:t>
      </w:r>
      <w:r w:rsidR="00A74EFF" w:rsidRPr="00D21980">
        <w:rPr>
          <w:rFonts w:ascii="Calibri" w:hAnsi="Calibri"/>
          <w:lang w:val="es-ES_tradnl"/>
        </w:rPr>
        <w:t>SC52-04</w:t>
      </w:r>
      <w:r w:rsidRPr="00D21980">
        <w:rPr>
          <w:rFonts w:ascii="Calibri" w:hAnsi="Calibri"/>
          <w:lang w:val="es-ES_tradnl"/>
        </w:rPr>
        <w:t>, Anexo 1), a saber</w:t>
      </w:r>
      <w:r w:rsidR="0006506F" w:rsidRPr="00D21980">
        <w:rPr>
          <w:rFonts w:ascii="Calibri" w:hAnsi="Calibri"/>
          <w:lang w:val="es-ES_tradnl"/>
        </w:rPr>
        <w:t>:</w:t>
      </w:r>
    </w:p>
    <w:p w14:paraId="0C26A966" w14:textId="77777777" w:rsidR="00331E94"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t xml:space="preserve">memorando de entendimiento (MdE) sobre la COP13 (y otros MdE que el Equipo Ejecutivo considere apropiados); </w:t>
      </w:r>
    </w:p>
    <w:p w14:paraId="423D5C23" w14:textId="77777777" w:rsidR="00331E94"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t>auditoría del presupuesto para garantizar que corresponda plenamente a las prioridades;</w:t>
      </w:r>
    </w:p>
    <w:p w14:paraId="47047964" w14:textId="77777777" w:rsidR="00331E94"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t>preparativos de la 52ª reunión del Comité Permanente (CP) en 2016;</w:t>
      </w:r>
    </w:p>
    <w:p w14:paraId="11B1C088" w14:textId="77777777" w:rsidR="00331E94"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t>finalización de la puesta en marcha del sitio web y el SISR funcionales;</w:t>
      </w:r>
    </w:p>
    <w:p w14:paraId="6B33D4A8" w14:textId="77777777" w:rsidR="00331E94"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t>examen y racionalización de los contratos de consultoría en la medida de lo posible;</w:t>
      </w:r>
    </w:p>
    <w:p w14:paraId="3E721429" w14:textId="77777777" w:rsidR="00331E94"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t>examen de la movilización de recursos, particularmente en relación con la recaudación de fondos, para garantizar que se aproveche el trabajo ya realizado a fin de que el próximo Secretario General pueda volver a dinamizar este programa. Este examen debe realizarse conjuntamente con el Grupo de trabajo sobre la movilización de recursos;</w:t>
      </w:r>
    </w:p>
    <w:p w14:paraId="397C4EB9" w14:textId="77777777" w:rsidR="0006506F" w:rsidRPr="00D21980" w:rsidRDefault="00331E94" w:rsidP="005123AB">
      <w:pPr>
        <w:pStyle w:val="ListParagraph"/>
        <w:numPr>
          <w:ilvl w:val="0"/>
          <w:numId w:val="13"/>
        </w:numPr>
        <w:spacing w:after="0" w:line="240" w:lineRule="auto"/>
        <w:ind w:left="851" w:hanging="425"/>
        <w:rPr>
          <w:rFonts w:ascii="Calibri" w:hAnsi="Calibri" w:cs="Arial"/>
          <w:lang w:val="es-ES_tradnl"/>
        </w:rPr>
      </w:pPr>
      <w:r w:rsidRPr="00D21980">
        <w:rPr>
          <w:rFonts w:ascii="Calibri" w:hAnsi="Calibri" w:cs="Arial"/>
          <w:lang w:val="es-ES_tradnl"/>
        </w:rPr>
        <w:lastRenderedPageBreak/>
        <w:t xml:space="preserve">evaluación de la COP12 </w:t>
      </w:r>
      <w:r w:rsidR="00D83A19" w:rsidRPr="00D21980">
        <w:rPr>
          <w:rFonts w:ascii="Calibri" w:hAnsi="Calibri" w:cs="Arial"/>
          <w:lang w:val="es-ES_tradnl"/>
        </w:rPr>
        <w:t>(</w:t>
      </w:r>
      <w:r w:rsidRPr="00D21980">
        <w:rPr>
          <w:rFonts w:ascii="Calibri" w:hAnsi="Calibri" w:cs="Arial"/>
          <w:lang w:val="es-ES_tradnl"/>
        </w:rPr>
        <w:t xml:space="preserve">la evaluación se finalizó en diciembre de </w:t>
      </w:r>
      <w:r w:rsidR="00D83A19" w:rsidRPr="00D21980">
        <w:rPr>
          <w:rFonts w:ascii="Calibri" w:hAnsi="Calibri" w:cs="Arial"/>
          <w:lang w:val="es-ES_tradnl"/>
        </w:rPr>
        <w:t xml:space="preserve">2015 </w:t>
      </w:r>
      <w:r w:rsidRPr="00D21980">
        <w:rPr>
          <w:rFonts w:ascii="Calibri" w:hAnsi="Calibri" w:cs="Arial"/>
          <w:lang w:val="es-ES_tradnl"/>
        </w:rPr>
        <w:t>y por lo tanto no se incluye en el plan de trabajo para 2016</w:t>
      </w:r>
      <w:r w:rsidR="00D83A19" w:rsidRPr="00D21980">
        <w:rPr>
          <w:rFonts w:ascii="Calibri" w:hAnsi="Calibri" w:cs="Arial"/>
          <w:lang w:val="es-ES_tradnl"/>
        </w:rPr>
        <w:t>)</w:t>
      </w:r>
      <w:r w:rsidR="0006506F" w:rsidRPr="00D21980">
        <w:rPr>
          <w:rFonts w:ascii="Calibri" w:hAnsi="Calibri" w:cs="Arial"/>
          <w:lang w:val="es-ES_tradnl"/>
        </w:rPr>
        <w:t>.</w:t>
      </w:r>
    </w:p>
    <w:p w14:paraId="70E4E346" w14:textId="77777777" w:rsidR="0006506F" w:rsidRPr="00D21980" w:rsidRDefault="0006506F" w:rsidP="00E357E1">
      <w:pPr>
        <w:widowControl w:val="0"/>
        <w:spacing w:after="0" w:line="240" w:lineRule="auto"/>
        <w:ind w:right="-46"/>
        <w:contextualSpacing/>
        <w:rPr>
          <w:rFonts w:ascii="Calibri" w:hAnsi="Calibri"/>
          <w:lang w:val="es-ES_tradnl"/>
        </w:rPr>
      </w:pPr>
      <w:r w:rsidRPr="00D21980">
        <w:rPr>
          <w:rFonts w:ascii="Calibri" w:hAnsi="Calibri"/>
          <w:lang w:val="es-ES_tradnl"/>
        </w:rPr>
        <w:t xml:space="preserve"> </w:t>
      </w:r>
    </w:p>
    <w:p w14:paraId="17EFECFE" w14:textId="77777777" w:rsidR="004C4527" w:rsidRPr="00D21980" w:rsidRDefault="004C4527" w:rsidP="004C4527">
      <w:pPr>
        <w:spacing w:after="0" w:line="240" w:lineRule="auto"/>
        <w:ind w:left="426" w:right="-46" w:hanging="426"/>
        <w:contextualSpacing/>
        <w:rPr>
          <w:rFonts w:ascii="Calibri" w:hAnsi="Calibri"/>
          <w:lang w:val="es-ES_tradnl"/>
        </w:rPr>
      </w:pPr>
    </w:p>
    <w:p w14:paraId="6A6389CA" w14:textId="77777777" w:rsidR="004C4527" w:rsidRPr="00D21980" w:rsidRDefault="004C4527" w:rsidP="004C4527">
      <w:pPr>
        <w:rPr>
          <w:rFonts w:ascii="Calibri" w:hAnsi="Calibri" w:cs="Calibri"/>
          <w:b/>
          <w:lang w:val="es-ES_tradnl"/>
        </w:rPr>
        <w:sectPr w:rsidR="004C4527" w:rsidRPr="00D21980" w:rsidSect="00331E94">
          <w:footerReference w:type="default" r:id="rId8"/>
          <w:pgSz w:w="11906" w:h="16838"/>
          <w:pgMar w:top="1440" w:right="1440" w:bottom="1440" w:left="1440" w:header="708" w:footer="708" w:gutter="0"/>
          <w:cols w:space="708"/>
          <w:titlePg/>
          <w:docGrid w:linePitch="360"/>
        </w:sectPr>
      </w:pPr>
    </w:p>
    <w:p w14:paraId="07A9E919" w14:textId="77777777" w:rsidR="004C4527" w:rsidRPr="00D21980" w:rsidRDefault="004C4527" w:rsidP="004C4527">
      <w:pPr>
        <w:tabs>
          <w:tab w:val="left" w:pos="851"/>
        </w:tabs>
        <w:spacing w:after="0" w:line="240" w:lineRule="auto"/>
        <w:rPr>
          <w:rFonts w:eastAsia="Garamond" w:cs="Garamond"/>
          <w:b/>
          <w:bCs/>
          <w:color w:val="000000" w:themeColor="text1"/>
          <w:sz w:val="24"/>
          <w:szCs w:val="24"/>
          <w:lang w:val="es-ES_tradnl"/>
        </w:rPr>
      </w:pPr>
      <w:r w:rsidRPr="00D21980">
        <w:rPr>
          <w:rFonts w:eastAsia="Garamond" w:cs="Garamond"/>
          <w:b/>
          <w:bCs/>
          <w:color w:val="000000" w:themeColor="text1"/>
          <w:sz w:val="24"/>
          <w:szCs w:val="24"/>
          <w:lang w:val="es-ES_tradnl"/>
        </w:rPr>
        <w:lastRenderedPageBreak/>
        <w:t>An</w:t>
      </w:r>
      <w:r w:rsidR="00331E94" w:rsidRPr="00D21980">
        <w:rPr>
          <w:rFonts w:eastAsia="Garamond" w:cs="Garamond"/>
          <w:b/>
          <w:bCs/>
          <w:color w:val="000000" w:themeColor="text1"/>
          <w:sz w:val="24"/>
          <w:szCs w:val="24"/>
          <w:lang w:val="es-ES_tradnl"/>
        </w:rPr>
        <w:t>exo</w:t>
      </w:r>
      <w:r w:rsidRPr="00D21980">
        <w:rPr>
          <w:rFonts w:eastAsia="Garamond" w:cs="Garamond"/>
          <w:b/>
          <w:bCs/>
          <w:color w:val="000000" w:themeColor="text1"/>
          <w:sz w:val="24"/>
          <w:szCs w:val="24"/>
          <w:lang w:val="es-ES_tradnl"/>
        </w:rPr>
        <w:t xml:space="preserve"> 1</w:t>
      </w:r>
    </w:p>
    <w:p w14:paraId="1C6007FA" w14:textId="77777777" w:rsidR="004C4527" w:rsidRPr="00D21980" w:rsidRDefault="00331E94" w:rsidP="004C4527">
      <w:pPr>
        <w:spacing w:after="0" w:line="240" w:lineRule="auto"/>
        <w:rPr>
          <w:rFonts w:eastAsia="Garamond" w:cs="Garamond"/>
          <w:b/>
          <w:bCs/>
          <w:color w:val="000000" w:themeColor="text1"/>
          <w:sz w:val="24"/>
          <w:szCs w:val="24"/>
          <w:lang w:val="es-ES_tradnl"/>
        </w:rPr>
      </w:pPr>
      <w:r w:rsidRPr="00D21980">
        <w:rPr>
          <w:rFonts w:eastAsia="Garamond" w:cs="Garamond"/>
          <w:b/>
          <w:bCs/>
          <w:color w:val="000000" w:themeColor="text1"/>
          <w:sz w:val="24"/>
          <w:szCs w:val="24"/>
          <w:lang w:val="es-ES_tradnl"/>
        </w:rPr>
        <w:t>Plan de trabajo de la Secretaría para 2016</w:t>
      </w:r>
    </w:p>
    <w:p w14:paraId="2B1EB586" w14:textId="77777777" w:rsidR="004C4527" w:rsidRPr="00D21980" w:rsidRDefault="004C4527" w:rsidP="004C4527">
      <w:pPr>
        <w:spacing w:after="0" w:line="240" w:lineRule="auto"/>
        <w:rPr>
          <w:rFonts w:ascii="Calibri" w:eastAsia="Times New Roman" w:hAnsi="Calibri" w:cs="Arial"/>
          <w:color w:val="000000" w:themeColor="text1"/>
          <w:lang w:val="es-ES_tradnl" w:eastAsia="en-GB"/>
        </w:rPr>
      </w:pPr>
    </w:p>
    <w:p w14:paraId="542695E4" w14:textId="499E75AD" w:rsidR="004C4527" w:rsidRPr="00D21980" w:rsidRDefault="005D36A4" w:rsidP="004C4527">
      <w:pPr>
        <w:spacing w:after="0" w:line="240" w:lineRule="auto"/>
        <w:rPr>
          <w:rFonts w:ascii="Calibri" w:eastAsia="Times New Roman" w:hAnsi="Calibri" w:cs="Arial"/>
          <w:b/>
          <w:bCs/>
          <w:color w:val="000000" w:themeColor="text1"/>
          <w:lang w:val="es-ES_tradnl" w:eastAsia="en-GB"/>
        </w:rPr>
      </w:pPr>
      <w:r w:rsidRPr="00D21980">
        <w:rPr>
          <w:rFonts w:ascii="Calibri" w:eastAsia="Times New Roman" w:hAnsi="Calibri" w:cs="Arial"/>
          <w:b/>
          <w:bCs/>
          <w:lang w:val="es-ES_tradnl" w:eastAsia="en-GB"/>
        </w:rPr>
        <w:t>Objetivo</w:t>
      </w:r>
      <w:r w:rsidRPr="00D21980">
        <w:rPr>
          <w:rFonts w:ascii="Calibri" w:eastAsia="Times New Roman" w:hAnsi="Calibri" w:cs="Arial"/>
          <w:b/>
          <w:bCs/>
          <w:color w:val="FF0000"/>
          <w:lang w:val="es-ES_tradnl" w:eastAsia="en-GB"/>
        </w:rPr>
        <w:t xml:space="preserve"> </w:t>
      </w:r>
      <w:r w:rsidR="004C4527" w:rsidRPr="00D21980">
        <w:rPr>
          <w:rFonts w:ascii="Calibri" w:eastAsia="Times New Roman" w:hAnsi="Calibri" w:cs="Arial"/>
          <w:b/>
          <w:bCs/>
          <w:color w:val="000000" w:themeColor="text1"/>
          <w:lang w:val="es-ES_tradnl" w:eastAsia="en-GB"/>
        </w:rPr>
        <w:t>1</w:t>
      </w:r>
    </w:p>
    <w:p w14:paraId="67513F37" w14:textId="77777777" w:rsidR="00331E94" w:rsidRPr="00D21980" w:rsidRDefault="00331E94" w:rsidP="00331E94">
      <w:pPr>
        <w:spacing w:after="0" w:line="240" w:lineRule="auto"/>
        <w:rPr>
          <w:rFonts w:eastAsia="Times New Roman" w:cs="Arial"/>
          <w:b/>
          <w:bCs/>
          <w:color w:val="000000"/>
          <w:lang w:val="es-ES_tradnl" w:eastAsia="en-GB"/>
        </w:rPr>
      </w:pPr>
      <w:r w:rsidRPr="00D21980">
        <w:rPr>
          <w:b/>
          <w:lang w:val="es-ES_tradnl"/>
        </w:rPr>
        <w:t>Hacer frente a los factores que impulsan la pérdida y degradación de los humedales</w:t>
      </w:r>
    </w:p>
    <w:p w14:paraId="32F316B2" w14:textId="77777777" w:rsidR="00925672" w:rsidRPr="00D21980" w:rsidRDefault="00925672" w:rsidP="004C4527">
      <w:pPr>
        <w:spacing w:after="0" w:line="240" w:lineRule="auto"/>
        <w:rPr>
          <w:rFonts w:ascii="Calibri" w:eastAsia="Times New Roman" w:hAnsi="Calibri" w:cs="Arial"/>
          <w:b/>
          <w:bCs/>
          <w:color w:val="000000" w:themeColor="text1"/>
          <w:lang w:val="es-ES_tradnl" w:eastAsia="en-GB"/>
        </w:rPr>
      </w:pPr>
    </w:p>
    <w:tbl>
      <w:tblPr>
        <w:tblW w:w="99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9"/>
        <w:gridCol w:w="2977"/>
        <w:gridCol w:w="3260"/>
        <w:gridCol w:w="1437"/>
      </w:tblGrid>
      <w:tr w:rsidR="004C4527" w:rsidRPr="00D21980" w14:paraId="79D59A9D" w14:textId="77777777" w:rsidTr="00925672">
        <w:trPr>
          <w:cantSplit/>
          <w:tblHeader/>
        </w:trPr>
        <w:tc>
          <w:tcPr>
            <w:tcW w:w="2269" w:type="dxa"/>
            <w:shd w:val="clear" w:color="auto" w:fill="C6D9F1" w:themeFill="text2" w:themeFillTint="33"/>
            <w:vAlign w:val="center"/>
          </w:tcPr>
          <w:p w14:paraId="32BA6BDA" w14:textId="28D3F2D9" w:rsidR="004C4527" w:rsidRPr="00D21980" w:rsidRDefault="005D36A4" w:rsidP="004C4527">
            <w:pPr>
              <w:spacing w:after="0" w:line="240" w:lineRule="auto"/>
              <w:jc w:val="center"/>
              <w:rPr>
                <w:rFonts w:eastAsia="Times New Roman" w:cs="Arial"/>
                <w:b/>
                <w:bCs/>
                <w:sz w:val="20"/>
                <w:szCs w:val="20"/>
                <w:lang w:val="es-ES_tradnl" w:eastAsia="en-GB"/>
              </w:rPr>
            </w:pPr>
            <w:r w:rsidRPr="00D21980">
              <w:rPr>
                <w:rFonts w:eastAsia="Times New Roman" w:cs="Arial"/>
                <w:b/>
                <w:bCs/>
                <w:sz w:val="20"/>
                <w:szCs w:val="20"/>
                <w:lang w:val="es-ES_tradnl" w:eastAsia="en-GB"/>
              </w:rPr>
              <w:t>Meta</w:t>
            </w:r>
          </w:p>
        </w:tc>
        <w:tc>
          <w:tcPr>
            <w:tcW w:w="2977" w:type="dxa"/>
            <w:shd w:val="clear" w:color="auto" w:fill="C6D9F1" w:themeFill="text2" w:themeFillTint="33"/>
            <w:noWrap/>
            <w:vAlign w:val="center"/>
          </w:tcPr>
          <w:p w14:paraId="34C86516" w14:textId="0334DF78" w:rsidR="004C4527" w:rsidRPr="00D21980" w:rsidRDefault="005D36A4" w:rsidP="004C4527">
            <w:pPr>
              <w:spacing w:after="0" w:line="240" w:lineRule="auto"/>
              <w:jc w:val="center"/>
              <w:rPr>
                <w:rFonts w:eastAsia="Times New Roman" w:cs="Arial"/>
                <w:b/>
                <w:bCs/>
                <w:sz w:val="20"/>
                <w:szCs w:val="20"/>
                <w:lang w:val="es-ES_tradnl" w:eastAsia="en-GB"/>
              </w:rPr>
            </w:pPr>
            <w:r w:rsidRPr="00D21980">
              <w:rPr>
                <w:rFonts w:eastAsia="Times New Roman" w:cs="Arial"/>
                <w:b/>
                <w:bCs/>
                <w:sz w:val="20"/>
                <w:szCs w:val="20"/>
                <w:lang w:val="es-ES_tradnl" w:eastAsia="en-GB"/>
              </w:rPr>
              <w:t>Actividades</w:t>
            </w:r>
          </w:p>
        </w:tc>
        <w:tc>
          <w:tcPr>
            <w:tcW w:w="3260" w:type="dxa"/>
            <w:shd w:val="clear" w:color="auto" w:fill="C6D9F1" w:themeFill="text2" w:themeFillTint="33"/>
            <w:noWrap/>
            <w:vAlign w:val="center"/>
          </w:tcPr>
          <w:p w14:paraId="06DABD22" w14:textId="0E9003FE" w:rsidR="004C4527" w:rsidRPr="00D21980" w:rsidRDefault="005D36A4" w:rsidP="004C4527">
            <w:pPr>
              <w:spacing w:after="0" w:line="240" w:lineRule="auto"/>
              <w:jc w:val="center"/>
              <w:rPr>
                <w:rFonts w:eastAsia="Times New Roman" w:cs="Arial"/>
                <w:b/>
                <w:bCs/>
                <w:sz w:val="20"/>
                <w:szCs w:val="20"/>
                <w:lang w:val="es-ES_tradnl" w:eastAsia="en-GB"/>
              </w:rPr>
            </w:pPr>
            <w:r w:rsidRPr="00D21980">
              <w:rPr>
                <w:rFonts w:eastAsia="Times New Roman" w:cs="Arial"/>
                <w:b/>
                <w:bCs/>
                <w:sz w:val="20"/>
                <w:szCs w:val="20"/>
                <w:lang w:val="es-ES_tradnl" w:eastAsia="en-GB"/>
              </w:rPr>
              <w:t>Indicador</w:t>
            </w:r>
          </w:p>
        </w:tc>
        <w:tc>
          <w:tcPr>
            <w:tcW w:w="1437" w:type="dxa"/>
            <w:shd w:val="clear" w:color="auto" w:fill="C6D9F1" w:themeFill="text2" w:themeFillTint="33"/>
            <w:vAlign w:val="center"/>
          </w:tcPr>
          <w:p w14:paraId="1096876A" w14:textId="4AF16D67" w:rsidR="004C4527" w:rsidRPr="00D21980" w:rsidRDefault="005D36A4" w:rsidP="004C4527">
            <w:pPr>
              <w:spacing w:after="0" w:line="240" w:lineRule="auto"/>
              <w:jc w:val="center"/>
              <w:rPr>
                <w:rFonts w:eastAsia="Times New Roman" w:cs="Arial"/>
                <w:b/>
                <w:bCs/>
                <w:sz w:val="20"/>
                <w:szCs w:val="20"/>
                <w:lang w:val="es-ES_tradnl" w:eastAsia="en-GB"/>
              </w:rPr>
            </w:pPr>
            <w:r w:rsidRPr="00D21980">
              <w:rPr>
                <w:rFonts w:eastAsia="Times New Roman" w:cs="Arial"/>
                <w:b/>
                <w:bCs/>
                <w:sz w:val="20"/>
                <w:szCs w:val="20"/>
                <w:lang w:val="es-ES_tradnl" w:eastAsia="en-GB"/>
              </w:rPr>
              <w:t>Jefe(s) de equipo</w:t>
            </w:r>
          </w:p>
        </w:tc>
      </w:tr>
      <w:tr w:rsidR="00E357E1" w:rsidRPr="00D21980" w14:paraId="6AFB2774" w14:textId="77777777" w:rsidTr="00925672">
        <w:trPr>
          <w:cantSplit/>
        </w:trPr>
        <w:tc>
          <w:tcPr>
            <w:tcW w:w="2269" w:type="dxa"/>
            <w:vMerge w:val="restart"/>
            <w:shd w:val="clear" w:color="auto" w:fill="auto"/>
            <w:hideMark/>
          </w:tcPr>
          <w:p w14:paraId="12996037" w14:textId="4CD3DE37" w:rsidR="00E357E1"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Meta</w:t>
            </w:r>
            <w:r w:rsidR="00E357E1" w:rsidRPr="00D21980">
              <w:rPr>
                <w:rFonts w:eastAsia="Times New Roman" w:cs="Arial"/>
                <w:b/>
                <w:bCs/>
                <w:color w:val="000000" w:themeColor="text1"/>
                <w:sz w:val="20"/>
                <w:szCs w:val="20"/>
                <w:lang w:val="es-ES_tradnl" w:eastAsia="en-GB"/>
              </w:rPr>
              <w:t xml:space="preserve"> 1:</w:t>
            </w:r>
            <w:r w:rsidR="00E357E1" w:rsidRPr="00D21980">
              <w:rPr>
                <w:rFonts w:eastAsia="Times New Roman" w:cs="Arial"/>
                <w:b/>
                <w:bCs/>
                <w:color w:val="000000" w:themeColor="text1"/>
                <w:sz w:val="20"/>
                <w:szCs w:val="20"/>
                <w:lang w:val="es-ES_tradnl" w:eastAsia="en-GB"/>
              </w:rPr>
              <w:br/>
            </w:r>
            <w:r w:rsidR="00331E94" w:rsidRPr="00D21980">
              <w:rPr>
                <w:sz w:val="20"/>
                <w:szCs w:val="20"/>
                <w:lang w:val="es-ES_tradnl"/>
              </w:rPr>
              <w:t>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r w:rsidR="00E357E1" w:rsidRPr="00D21980">
              <w:rPr>
                <w:rFonts w:eastAsia="Times New Roman" w:cs="Arial"/>
                <w:color w:val="000000" w:themeColor="text1"/>
                <w:sz w:val="20"/>
                <w:szCs w:val="20"/>
                <w:lang w:val="es-ES_tradnl" w:eastAsia="en-GB"/>
              </w:rPr>
              <w:t>.</w:t>
            </w:r>
          </w:p>
        </w:tc>
        <w:tc>
          <w:tcPr>
            <w:tcW w:w="2977" w:type="dxa"/>
            <w:shd w:val="clear" w:color="auto" w:fill="auto"/>
            <w:hideMark/>
          </w:tcPr>
          <w:p w14:paraId="210CD61B" w14:textId="77777777" w:rsidR="00E357E1" w:rsidRPr="00D21980" w:rsidRDefault="00E357E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1.1 </w:t>
            </w:r>
            <w:r w:rsidR="00331E94" w:rsidRPr="00D21980">
              <w:rPr>
                <w:rFonts w:eastAsia="Times New Roman" w:cs="Arial"/>
                <w:sz w:val="20"/>
                <w:szCs w:val="20"/>
                <w:lang w:val="es-ES_tradnl" w:eastAsia="en-GB"/>
              </w:rPr>
              <w:t>Ayudar a las Partes Contratantes a aumentar la atención prestada en la toma de decisiones a la importancia de los beneficios de los humedales a través de Comités Nacionales de Humedales que colaboren con los departamentos e instituciones gubernamentales pertinentes (Resolución XII.9, meta</w:t>
            </w:r>
            <w:r w:rsidR="00331E94" w:rsidRPr="00D21980">
              <w:rPr>
                <w:rFonts w:eastAsia="Times New Roman" w:cs="Arial"/>
                <w:color w:val="FF0000"/>
                <w:sz w:val="20"/>
                <w:szCs w:val="20"/>
                <w:lang w:val="es-ES_tradnl" w:eastAsia="en-GB"/>
              </w:rPr>
              <w:t xml:space="preserve"> </w:t>
            </w:r>
            <w:r w:rsidR="00331E94" w:rsidRPr="00D21980">
              <w:rPr>
                <w:rFonts w:eastAsia="Times New Roman" w:cs="Arial"/>
                <w:sz w:val="20"/>
                <w:szCs w:val="20"/>
                <w:lang w:val="es-ES_tradnl" w:eastAsia="en-GB"/>
              </w:rPr>
              <w:t>1.2). Preparar ejemplos de buenas prácticas dirigidos a sectores específicos</w:t>
            </w:r>
            <w:r w:rsidRPr="00D21980">
              <w:rPr>
                <w:rFonts w:eastAsia="Times New Roman" w:cs="Arial"/>
                <w:color w:val="000000" w:themeColor="text1"/>
                <w:sz w:val="20"/>
                <w:szCs w:val="20"/>
                <w:lang w:val="es-ES_tradnl" w:eastAsia="en-GB"/>
              </w:rPr>
              <w:t>.</w:t>
            </w:r>
          </w:p>
        </w:tc>
        <w:tc>
          <w:tcPr>
            <w:tcW w:w="3260" w:type="dxa"/>
            <w:shd w:val="clear" w:color="auto" w:fill="auto"/>
            <w:hideMark/>
          </w:tcPr>
          <w:p w14:paraId="047E7F29" w14:textId="77777777" w:rsidR="00E357E1" w:rsidRPr="00D21980" w:rsidRDefault="00331E9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Número de Comités Nacionales de Humedales apoyados. Orientaciones pertinentes (p. ej., informe TEEB, Manuales Ramsar) y estudios de caso actualizados y divulgados entre las Partes Contratantes y los usuarios del agua. Ejemplos concretos y buenas prácticas dirigidos a sectores concretos, a saber, el agua, la acuicultura, el turismo, la agricultura, la silvicultura, la minería y la planificación del uso de la tierra, con ejemplos y buenas prácticas concretos</w:t>
            </w:r>
            <w:r w:rsidR="00E357E1" w:rsidRPr="00D21980">
              <w:rPr>
                <w:rFonts w:eastAsia="Times New Roman" w:cs="Arial"/>
                <w:color w:val="000000" w:themeColor="text1"/>
                <w:sz w:val="20"/>
                <w:szCs w:val="20"/>
                <w:lang w:val="es-ES_tradnl" w:eastAsia="en-GB"/>
              </w:rPr>
              <w:t xml:space="preserve">. </w:t>
            </w:r>
          </w:p>
        </w:tc>
        <w:tc>
          <w:tcPr>
            <w:tcW w:w="1437" w:type="dxa"/>
            <w:shd w:val="clear" w:color="auto" w:fill="auto"/>
            <w:noWrap/>
            <w:hideMark/>
          </w:tcPr>
          <w:p w14:paraId="03E107F6" w14:textId="3C71CD26" w:rsidR="00E357E1" w:rsidRPr="00D21980" w:rsidRDefault="005D36A4" w:rsidP="005D36A4">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Secretario General (SG)/ Secretaria General Adjunta (SGA)/Aseso-res Regionales Superiores (ARS)</w:t>
            </w:r>
          </w:p>
        </w:tc>
      </w:tr>
      <w:tr w:rsidR="00E357E1" w:rsidRPr="00D21980" w14:paraId="6E4E2EAC" w14:textId="77777777" w:rsidTr="00925672">
        <w:trPr>
          <w:cantSplit/>
        </w:trPr>
        <w:tc>
          <w:tcPr>
            <w:tcW w:w="2269" w:type="dxa"/>
            <w:vMerge/>
            <w:shd w:val="clear" w:color="auto" w:fill="auto"/>
          </w:tcPr>
          <w:p w14:paraId="40258B18" w14:textId="77777777" w:rsidR="00E357E1" w:rsidRPr="00D21980" w:rsidRDefault="00E357E1" w:rsidP="004C4527">
            <w:pPr>
              <w:spacing w:after="0" w:line="240" w:lineRule="auto"/>
              <w:rPr>
                <w:rFonts w:eastAsia="Times New Roman" w:cs="Arial"/>
                <w:b/>
                <w:bCs/>
                <w:color w:val="000000" w:themeColor="text1"/>
                <w:sz w:val="20"/>
                <w:szCs w:val="20"/>
                <w:lang w:val="es-ES_tradnl" w:eastAsia="en-GB"/>
              </w:rPr>
            </w:pPr>
          </w:p>
        </w:tc>
        <w:tc>
          <w:tcPr>
            <w:tcW w:w="2977" w:type="dxa"/>
            <w:shd w:val="clear" w:color="auto" w:fill="auto"/>
          </w:tcPr>
          <w:p w14:paraId="7B55FE98" w14:textId="1573142D" w:rsidR="00E357E1" w:rsidRPr="00D21980" w:rsidRDefault="00E357E1" w:rsidP="0054724D">
            <w:pPr>
              <w:spacing w:after="0" w:line="240" w:lineRule="auto"/>
              <w:rPr>
                <w:rFonts w:eastAsia="Times New Roman" w:cs="Arial"/>
                <w:color w:val="000000" w:themeColor="text1"/>
                <w:sz w:val="20"/>
                <w:szCs w:val="20"/>
                <w:lang w:val="es-ES_tradnl" w:eastAsia="en-GB"/>
              </w:rPr>
            </w:pPr>
            <w:r w:rsidRPr="00D21980">
              <w:rPr>
                <w:rFonts w:cs="Arial"/>
                <w:color w:val="000000" w:themeColor="text1"/>
                <w:sz w:val="20"/>
                <w:szCs w:val="20"/>
                <w:lang w:val="es-ES_tradnl"/>
              </w:rPr>
              <w:t xml:space="preserve">1.2 </w:t>
            </w:r>
            <w:r w:rsidR="00E7252C" w:rsidRPr="00D21980">
              <w:rPr>
                <w:rFonts w:cs="Arial"/>
                <w:sz w:val="20"/>
                <w:szCs w:val="20"/>
                <w:lang w:val="es-ES_tradnl"/>
              </w:rPr>
              <w:t xml:space="preserve">Aplicar el </w:t>
            </w:r>
            <w:r w:rsidR="00E7252C" w:rsidRPr="00D21980">
              <w:rPr>
                <w:rFonts w:cs="Arial"/>
                <w:i/>
                <w:sz w:val="20"/>
                <w:szCs w:val="20"/>
                <w:lang w:val="es-ES_tradnl"/>
              </w:rPr>
              <w:t>Marco conceptual para el uso racional de los humedales</w:t>
            </w:r>
            <w:r w:rsidR="00E7252C" w:rsidRPr="00D21980">
              <w:rPr>
                <w:rFonts w:cs="Arial"/>
                <w:sz w:val="20"/>
                <w:szCs w:val="20"/>
                <w:lang w:val="es-ES_tradnl"/>
              </w:rPr>
              <w:t xml:space="preserve"> (Resolución IX.1, Anexo A), el </w:t>
            </w:r>
            <w:r w:rsidR="00E7252C" w:rsidRPr="00D21980">
              <w:rPr>
                <w:rFonts w:cs="Arial"/>
                <w:i/>
                <w:sz w:val="20"/>
                <w:szCs w:val="20"/>
                <w:lang w:val="es-ES_tradnl"/>
              </w:rPr>
              <w:t xml:space="preserve">Marco integrado para los lineamientos de la Convención de Ramsar en relación con el agua </w:t>
            </w:r>
            <w:r w:rsidR="00E7252C" w:rsidRPr="00D21980">
              <w:rPr>
                <w:rFonts w:cs="Arial"/>
                <w:sz w:val="20"/>
                <w:szCs w:val="20"/>
                <w:lang w:val="es-ES_tradnl"/>
              </w:rPr>
              <w:t xml:space="preserve">(Resolución IX.1, Anexo C) y la Resolución XI.21,  </w:t>
            </w:r>
            <w:r w:rsidR="00E7252C" w:rsidRPr="00D21980">
              <w:rPr>
                <w:rFonts w:cs="Arial"/>
                <w:i/>
                <w:sz w:val="20"/>
                <w:szCs w:val="20"/>
                <w:lang w:val="es-ES_tradnl"/>
              </w:rPr>
              <w:t xml:space="preserve">Humedales y desarrollo sostenible, </w:t>
            </w:r>
            <w:r w:rsidR="00E7252C" w:rsidRPr="00D21980">
              <w:rPr>
                <w:rFonts w:cs="Arial"/>
                <w:sz w:val="20"/>
                <w:szCs w:val="20"/>
                <w:lang w:val="es-ES_tradnl"/>
              </w:rPr>
              <w:t>según se indica en la Resolución XII.3, párr. 50, mediante la movilización de recursos para la protección y el uso racional de los humedales</w:t>
            </w:r>
            <w:r w:rsidRPr="00D21980">
              <w:rPr>
                <w:rFonts w:cs="Arial"/>
                <w:color w:val="000000" w:themeColor="text1"/>
                <w:sz w:val="20"/>
                <w:szCs w:val="20"/>
                <w:lang w:val="es-ES_tradnl"/>
              </w:rPr>
              <w:t xml:space="preserve">. </w:t>
            </w:r>
            <w:r w:rsidR="00A876F6" w:rsidRPr="00D21980">
              <w:rPr>
                <w:rFonts w:cs="Arial"/>
                <w:color w:val="000000" w:themeColor="text1"/>
                <w:sz w:val="20"/>
                <w:szCs w:val="20"/>
                <w:lang w:val="es-ES_tradnl"/>
              </w:rPr>
              <w:t xml:space="preserve">Realizar un examen de </w:t>
            </w:r>
            <w:r w:rsidR="00D21980" w:rsidRPr="00D21980">
              <w:rPr>
                <w:rFonts w:cs="Arial"/>
                <w:color w:val="000000" w:themeColor="text1"/>
                <w:sz w:val="20"/>
                <w:szCs w:val="20"/>
                <w:lang w:val="es-ES_tradnl"/>
              </w:rPr>
              <w:t>todos los esfuerzos en materia de movilización de recursos junto con el Grupo de trabajo sobre la movilización de recursos.</w:t>
            </w:r>
          </w:p>
        </w:tc>
        <w:tc>
          <w:tcPr>
            <w:tcW w:w="3260" w:type="dxa"/>
            <w:shd w:val="clear" w:color="auto" w:fill="auto"/>
          </w:tcPr>
          <w:p w14:paraId="2D14F61F" w14:textId="1C34BF20" w:rsidR="00E357E1"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Se realiza un trabajo dirigido a las Partes Contratantes, las OIA y otros interesados y se preparan propuestas conjuntas de recaudación de fondos en todas las regiones dirigidas a donantes bilaterales y multilaterales tales como el FMAM y otros, entidades del sector privado y fundaciones filantrópicas</w:t>
            </w:r>
            <w:r w:rsidR="00E357E1" w:rsidRPr="00D21980">
              <w:rPr>
                <w:rFonts w:cs="Arial"/>
                <w:color w:val="000000" w:themeColor="text1"/>
                <w:sz w:val="20"/>
                <w:szCs w:val="20"/>
                <w:lang w:val="es-ES_tradnl"/>
              </w:rPr>
              <w:t xml:space="preserve">. </w:t>
            </w:r>
            <w:r w:rsidR="00D21980" w:rsidRPr="00D21980">
              <w:rPr>
                <w:rFonts w:cs="Arial"/>
                <w:color w:val="000000" w:themeColor="text1"/>
                <w:sz w:val="20"/>
                <w:szCs w:val="20"/>
                <w:lang w:val="es-ES_tradnl"/>
              </w:rPr>
              <w:t>Examen de la movilización de recursos finalizado.</w:t>
            </w:r>
          </w:p>
        </w:tc>
        <w:tc>
          <w:tcPr>
            <w:tcW w:w="1437" w:type="dxa"/>
            <w:shd w:val="clear" w:color="auto" w:fill="auto"/>
            <w:noWrap/>
          </w:tcPr>
          <w:p w14:paraId="1832C221" w14:textId="6135E6C6" w:rsidR="00E357E1" w:rsidRPr="00D21980" w:rsidRDefault="00E357E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5D36A4" w:rsidRPr="00D21980">
              <w:rPr>
                <w:rFonts w:eastAsia="Times New Roman" w:cs="Arial"/>
                <w:color w:val="000000" w:themeColor="text1"/>
                <w:sz w:val="20"/>
                <w:szCs w:val="20"/>
                <w:lang w:val="es-ES_tradnl" w:eastAsia="en-GB"/>
              </w:rPr>
              <w:t>SGA</w:t>
            </w:r>
            <w:r w:rsidRPr="00D21980">
              <w:rPr>
                <w:rFonts w:eastAsia="Times New Roman" w:cs="Arial"/>
                <w:color w:val="000000" w:themeColor="text1"/>
                <w:sz w:val="20"/>
                <w:szCs w:val="20"/>
                <w:lang w:val="es-ES_tradnl" w:eastAsia="en-GB"/>
              </w:rPr>
              <w:t>/</w:t>
            </w:r>
            <w:r w:rsidR="005D36A4" w:rsidRPr="00D21980">
              <w:rPr>
                <w:rFonts w:eastAsia="Times New Roman" w:cs="Arial"/>
                <w:color w:val="000000" w:themeColor="text1"/>
                <w:sz w:val="20"/>
                <w:szCs w:val="20"/>
                <w:lang w:val="es-ES_tradnl" w:eastAsia="en-GB"/>
              </w:rPr>
              <w:t>ARS</w:t>
            </w:r>
          </w:p>
        </w:tc>
      </w:tr>
      <w:tr w:rsidR="004C4527" w:rsidRPr="00D21980" w14:paraId="610FD862" w14:textId="77777777" w:rsidTr="00925672">
        <w:trPr>
          <w:cantSplit/>
        </w:trPr>
        <w:tc>
          <w:tcPr>
            <w:tcW w:w="2269" w:type="dxa"/>
            <w:vMerge w:val="restart"/>
            <w:shd w:val="clear" w:color="auto" w:fill="auto"/>
            <w:hideMark/>
          </w:tcPr>
          <w:p w14:paraId="48616FA6" w14:textId="74A9BA00"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lastRenderedPageBreak/>
              <w:t>Meta</w:t>
            </w:r>
            <w:r w:rsidR="004C4527" w:rsidRPr="00D21980">
              <w:rPr>
                <w:rFonts w:eastAsia="Times New Roman" w:cs="Arial"/>
                <w:b/>
                <w:bCs/>
                <w:color w:val="000000" w:themeColor="text1"/>
                <w:sz w:val="20"/>
                <w:szCs w:val="20"/>
                <w:lang w:val="es-ES_tradnl" w:eastAsia="en-GB"/>
              </w:rPr>
              <w:t xml:space="preserve"> 2:</w:t>
            </w:r>
            <w:r w:rsidR="004C4527" w:rsidRPr="00D21980">
              <w:rPr>
                <w:rFonts w:eastAsia="Times New Roman" w:cs="Arial"/>
                <w:color w:val="000000" w:themeColor="text1"/>
                <w:sz w:val="20"/>
                <w:szCs w:val="20"/>
                <w:lang w:val="es-ES_tradnl" w:eastAsia="en-GB"/>
              </w:rPr>
              <w:br/>
            </w:r>
            <w:r w:rsidR="00E7252C" w:rsidRPr="00D21980">
              <w:rPr>
                <w:sz w:val="20"/>
                <w:szCs w:val="20"/>
                <w:lang w:val="es-ES_tradnl"/>
              </w:rPr>
              <w:t>El uso del agua respeta las necesidades de los ecosistemas de humedales para que estos puedan cumplir sus funciones y proporcionar servicios a la escala adecuada, por ejemplo, en una cuenca hidrográfica o una zona costera</w:t>
            </w:r>
            <w:r w:rsidR="004C4527" w:rsidRPr="00D21980">
              <w:rPr>
                <w:rFonts w:eastAsia="Times New Roman" w:cs="Arial"/>
                <w:color w:val="000000" w:themeColor="text1"/>
                <w:sz w:val="20"/>
                <w:szCs w:val="20"/>
                <w:lang w:val="es-ES_tradnl" w:eastAsia="en-GB"/>
              </w:rPr>
              <w:t xml:space="preserve">. </w:t>
            </w:r>
          </w:p>
        </w:tc>
        <w:tc>
          <w:tcPr>
            <w:tcW w:w="2977" w:type="dxa"/>
            <w:shd w:val="clear" w:color="auto" w:fill="auto"/>
            <w:hideMark/>
          </w:tcPr>
          <w:p w14:paraId="5D05142F"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2.1 </w:t>
            </w:r>
            <w:r w:rsidR="00E7252C" w:rsidRPr="00D21980">
              <w:rPr>
                <w:rFonts w:eastAsia="Times New Roman" w:cs="Arial"/>
                <w:color w:val="000000"/>
                <w:sz w:val="20"/>
                <w:szCs w:val="20"/>
                <w:lang w:val="es-ES_tradnl" w:eastAsia="en-GB"/>
              </w:rPr>
              <w:t>Divulgación de Manuales Ramsar, Fichas Informativas (</w:t>
            </w:r>
            <w:r w:rsidR="00E7252C" w:rsidRPr="00D21980">
              <w:rPr>
                <w:rFonts w:eastAsia="Times New Roman" w:cs="Arial"/>
                <w:i/>
                <w:color w:val="000000"/>
                <w:sz w:val="20"/>
                <w:szCs w:val="20"/>
                <w:lang w:val="es-ES_tradnl" w:eastAsia="en-GB"/>
              </w:rPr>
              <w:t>Factsheets</w:t>
            </w:r>
            <w:r w:rsidR="00E7252C" w:rsidRPr="00D21980">
              <w:rPr>
                <w:rFonts w:eastAsia="Times New Roman" w:cs="Arial"/>
                <w:color w:val="000000"/>
                <w:sz w:val="20"/>
                <w:szCs w:val="20"/>
                <w:lang w:val="es-ES_tradnl" w:eastAsia="en-GB"/>
              </w:rPr>
              <w:t xml:space="preserve">), Notas Informativas y otros productos sobre orientaciones relacionadas con el agua, manejo de cuencas hidrográficas, asignación y </w:t>
            </w:r>
            <w:r w:rsidR="00E7252C" w:rsidRPr="00D21980">
              <w:rPr>
                <w:rFonts w:eastAsia="Times New Roman" w:cs="Arial"/>
                <w:sz w:val="20"/>
                <w:szCs w:val="20"/>
                <w:lang w:val="es-ES_tradnl" w:eastAsia="en-GB"/>
              </w:rPr>
              <w:t>manejo</w:t>
            </w:r>
            <w:r w:rsidR="00E7252C" w:rsidRPr="00D21980">
              <w:rPr>
                <w:rFonts w:eastAsia="Times New Roman" w:cs="Arial"/>
                <w:color w:val="000000"/>
                <w:sz w:val="20"/>
                <w:szCs w:val="20"/>
                <w:lang w:val="es-ES_tradnl" w:eastAsia="en-GB"/>
              </w:rPr>
              <w:t xml:space="preserve"> del agua, manejo de aguas subterráneas y otras orientaciones conexas en el manejo integrado de los recursos hídricos y buenas prácticas a las Partes Contratantes y los usuarios del agua para garantizar la aplicación de las disposiciones de la Convención sobre el uso racional</w:t>
            </w:r>
            <w:r w:rsidRPr="00D21980">
              <w:rPr>
                <w:rFonts w:eastAsia="Times New Roman" w:cs="Arial"/>
                <w:color w:val="000000" w:themeColor="text1"/>
                <w:sz w:val="20"/>
                <w:szCs w:val="20"/>
                <w:lang w:val="es-ES_tradnl" w:eastAsia="en-GB"/>
              </w:rPr>
              <w:t xml:space="preserve">. </w:t>
            </w:r>
          </w:p>
        </w:tc>
        <w:tc>
          <w:tcPr>
            <w:tcW w:w="3260" w:type="dxa"/>
            <w:shd w:val="clear" w:color="auto" w:fill="auto"/>
            <w:hideMark/>
          </w:tcPr>
          <w:p w14:paraId="26E449F5"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 xml:space="preserve">Se han facilitado a todas las Partes las orientaciones de Ramsar sobre la asignación y el manejo del </w:t>
            </w:r>
            <w:r w:rsidRPr="00D21980">
              <w:rPr>
                <w:rFonts w:eastAsia="Times New Roman" w:cs="Arial"/>
                <w:sz w:val="20"/>
                <w:szCs w:val="20"/>
                <w:lang w:val="es-ES_tradnl" w:eastAsia="en-GB"/>
              </w:rPr>
              <w:t>agua para los ecosistemas a fin de apoyar la toma de decisiones sobre el manejo de los recursos hídricos, como contribución al logro de los planes de manejo de los recursos hídricos y de eficiencia hídrica. Trabajo dirigido a las redes de usuarios del agua para contribuir a la divulgación</w:t>
            </w:r>
            <w:r w:rsidR="004C4527" w:rsidRPr="00D21980">
              <w:rPr>
                <w:rFonts w:eastAsia="Times New Roman" w:cs="Arial"/>
                <w:color w:val="000000" w:themeColor="text1"/>
                <w:sz w:val="20"/>
                <w:szCs w:val="20"/>
                <w:lang w:val="es-ES_tradnl" w:eastAsia="en-GB"/>
              </w:rPr>
              <w:t>.</w:t>
            </w:r>
          </w:p>
        </w:tc>
        <w:tc>
          <w:tcPr>
            <w:tcW w:w="1437" w:type="dxa"/>
            <w:shd w:val="clear" w:color="auto" w:fill="auto"/>
            <w:hideMark/>
          </w:tcPr>
          <w:p w14:paraId="1EF611A6" w14:textId="7823E9C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Resp. de Comunic.</w:t>
            </w:r>
            <w:r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br/>
            </w:r>
            <w:r w:rsidR="005D36A4" w:rsidRPr="00D21980">
              <w:rPr>
                <w:rFonts w:eastAsia="Times New Roman" w:cs="Arial"/>
                <w:color w:val="000000" w:themeColor="text1"/>
                <w:sz w:val="20"/>
                <w:szCs w:val="20"/>
                <w:lang w:val="es-ES_tradnl" w:eastAsia="en-GB"/>
              </w:rPr>
              <w:t>ARS</w:t>
            </w:r>
          </w:p>
        </w:tc>
      </w:tr>
      <w:tr w:rsidR="004C4527" w:rsidRPr="00D21980" w14:paraId="3048A1B1" w14:textId="77777777" w:rsidTr="00925672">
        <w:trPr>
          <w:cantSplit/>
        </w:trPr>
        <w:tc>
          <w:tcPr>
            <w:tcW w:w="2269" w:type="dxa"/>
            <w:vMerge/>
            <w:shd w:val="clear" w:color="auto" w:fill="auto"/>
          </w:tcPr>
          <w:p w14:paraId="37ED0197"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tc>
        <w:tc>
          <w:tcPr>
            <w:tcW w:w="2977" w:type="dxa"/>
            <w:shd w:val="clear" w:color="auto" w:fill="auto"/>
          </w:tcPr>
          <w:p w14:paraId="1A62DD77"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cs="Arial"/>
                <w:color w:val="000000" w:themeColor="text1"/>
                <w:sz w:val="20"/>
                <w:szCs w:val="20"/>
                <w:lang w:val="es-ES_tradnl"/>
              </w:rPr>
              <w:t xml:space="preserve">2.2 </w:t>
            </w:r>
            <w:r w:rsidR="00E7252C" w:rsidRPr="00D21980">
              <w:rPr>
                <w:rFonts w:cs="Arial"/>
                <w:sz w:val="20"/>
                <w:szCs w:val="20"/>
                <w:lang w:val="es-ES_tradnl"/>
              </w:rPr>
              <w:t>Aumentar los esfuerzos para integrar los planes de manejo de los humedales en los planes de manejo integrado de los recursos hídricos y los planes de eficiencia a nivel de las cuencas y también en los planes de ordenación del territorio y uso de la tierra</w:t>
            </w:r>
            <w:r w:rsidRPr="00D21980">
              <w:rPr>
                <w:rFonts w:cs="Arial"/>
                <w:color w:val="000000" w:themeColor="text1"/>
                <w:sz w:val="20"/>
                <w:szCs w:val="20"/>
                <w:lang w:val="es-ES_tradnl"/>
              </w:rPr>
              <w:t>.</w:t>
            </w:r>
          </w:p>
        </w:tc>
        <w:tc>
          <w:tcPr>
            <w:tcW w:w="3260" w:type="dxa"/>
            <w:shd w:val="clear" w:color="auto" w:fill="auto"/>
          </w:tcPr>
          <w:p w14:paraId="5DD6EF60"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Directrices y proyectos elaborados junto con las comisiones de cuencas hidrográficas para reforzar la integración de los planes de manejo de los humedales en su trabajo a fin de movilizar una financiación del FMAM7</w:t>
            </w:r>
            <w:r w:rsidR="004C4527" w:rsidRPr="00D21980">
              <w:rPr>
                <w:rFonts w:cs="Arial"/>
                <w:color w:val="000000" w:themeColor="text1"/>
                <w:sz w:val="20"/>
                <w:szCs w:val="20"/>
                <w:lang w:val="es-ES_tradnl"/>
              </w:rPr>
              <w:t>.</w:t>
            </w:r>
          </w:p>
        </w:tc>
        <w:tc>
          <w:tcPr>
            <w:tcW w:w="1437" w:type="dxa"/>
            <w:shd w:val="clear" w:color="auto" w:fill="auto"/>
          </w:tcPr>
          <w:p w14:paraId="19AA2B37" w14:textId="796A1F55"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C452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4C4527" w:rsidRPr="00D21980" w14:paraId="394F03A4" w14:textId="77777777" w:rsidTr="00925672">
        <w:trPr>
          <w:cantSplit/>
        </w:trPr>
        <w:tc>
          <w:tcPr>
            <w:tcW w:w="2269" w:type="dxa"/>
            <w:vMerge/>
            <w:shd w:val="clear" w:color="auto" w:fill="auto"/>
          </w:tcPr>
          <w:p w14:paraId="6D6FCC6E"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tc>
        <w:tc>
          <w:tcPr>
            <w:tcW w:w="2977" w:type="dxa"/>
            <w:shd w:val="clear" w:color="auto" w:fill="auto"/>
          </w:tcPr>
          <w:p w14:paraId="75027C96" w14:textId="77777777" w:rsidR="004C4527" w:rsidRPr="00D21980" w:rsidRDefault="004C4527" w:rsidP="004C4527">
            <w:pPr>
              <w:spacing w:after="0" w:line="240" w:lineRule="auto"/>
              <w:rPr>
                <w:rFonts w:cs="Arial"/>
                <w:color w:val="000000" w:themeColor="text1"/>
                <w:sz w:val="20"/>
                <w:szCs w:val="20"/>
                <w:lang w:val="es-ES_tradnl"/>
              </w:rPr>
            </w:pPr>
            <w:r w:rsidRPr="00D21980">
              <w:rPr>
                <w:rFonts w:cs="Arial"/>
                <w:color w:val="000000" w:themeColor="text1"/>
                <w:sz w:val="20"/>
                <w:szCs w:val="20"/>
                <w:lang w:val="es-ES_tradnl"/>
              </w:rPr>
              <w:t xml:space="preserve">2.3 </w:t>
            </w:r>
            <w:r w:rsidR="00E7252C" w:rsidRPr="00D21980">
              <w:rPr>
                <w:rFonts w:cs="Arial"/>
                <w:sz w:val="20"/>
                <w:szCs w:val="20"/>
                <w:lang w:val="es-ES_tradnl"/>
              </w:rPr>
              <w:t>Ampliar los esfuerzos de comunicación sobre los valores de los servicios de los ecosistemas de los humedales en las estrategias, los planes y la reglamentación de otros sectores e integrarlos, mediante un enfoque centrado en las cuencas, en los planes sobre el uso de la tierra y otras decisiones locales, nacionales y mundiales pertinentes, según se establece en la Resolución XII.3 párr. 55</w:t>
            </w:r>
            <w:r w:rsidRPr="00D21980">
              <w:rPr>
                <w:rFonts w:cs="Arial"/>
                <w:color w:val="000000" w:themeColor="text1"/>
                <w:sz w:val="20"/>
                <w:szCs w:val="20"/>
                <w:lang w:val="es-ES_tradnl"/>
              </w:rPr>
              <w:t>.</w:t>
            </w:r>
          </w:p>
        </w:tc>
        <w:tc>
          <w:tcPr>
            <w:tcW w:w="3260" w:type="dxa"/>
            <w:shd w:val="clear" w:color="auto" w:fill="auto"/>
          </w:tcPr>
          <w:p w14:paraId="7B728498"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Los valores de los servicios de los ecosistemas de los humedales y el enfoque centrado en las cuencas están integrados en los planes y estrategias de otros sectores. Se muestra al menos un ejemplo de cambios en las estrategias o la reglamentación de cada sector, a saber, el agua, la acuicultura, el turismo, la silvicultura, la minería, la agricultura o la planificación del uso de la tierra</w:t>
            </w:r>
            <w:r w:rsidR="004C4527" w:rsidRPr="00D21980">
              <w:rPr>
                <w:rFonts w:cs="Arial"/>
                <w:color w:val="000000" w:themeColor="text1"/>
                <w:sz w:val="20"/>
                <w:szCs w:val="20"/>
                <w:lang w:val="es-ES_tradnl"/>
              </w:rPr>
              <w:t>.</w:t>
            </w:r>
          </w:p>
        </w:tc>
        <w:tc>
          <w:tcPr>
            <w:tcW w:w="1437" w:type="dxa"/>
            <w:shd w:val="clear" w:color="auto" w:fill="auto"/>
          </w:tcPr>
          <w:p w14:paraId="7355B007" w14:textId="11936F7D"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C452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4C4527" w:rsidRPr="00D21980" w14:paraId="78FB3816" w14:textId="77777777" w:rsidTr="00925672">
        <w:trPr>
          <w:cantSplit/>
        </w:trPr>
        <w:tc>
          <w:tcPr>
            <w:tcW w:w="2269" w:type="dxa"/>
            <w:vMerge w:val="restart"/>
            <w:shd w:val="clear" w:color="auto" w:fill="auto"/>
            <w:hideMark/>
          </w:tcPr>
          <w:p w14:paraId="274B713D" w14:textId="061E57C9"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Meta</w:t>
            </w:r>
            <w:r w:rsidR="004C4527" w:rsidRPr="00D21980">
              <w:rPr>
                <w:rFonts w:eastAsia="Times New Roman" w:cs="Arial"/>
                <w:b/>
                <w:bCs/>
                <w:color w:val="000000" w:themeColor="text1"/>
                <w:sz w:val="20"/>
                <w:szCs w:val="20"/>
                <w:lang w:val="es-ES_tradnl" w:eastAsia="en-GB"/>
              </w:rPr>
              <w:t xml:space="preserve"> 3: </w:t>
            </w:r>
            <w:r w:rsidR="004C4527" w:rsidRPr="00D21980">
              <w:rPr>
                <w:rFonts w:eastAsia="Times New Roman" w:cs="Arial"/>
                <w:b/>
                <w:bCs/>
                <w:color w:val="000000" w:themeColor="text1"/>
                <w:sz w:val="20"/>
                <w:szCs w:val="20"/>
                <w:lang w:val="es-ES_tradnl" w:eastAsia="en-GB"/>
              </w:rPr>
              <w:br/>
            </w:r>
            <w:r w:rsidR="00E7252C" w:rsidRPr="00D21980">
              <w:rPr>
                <w:sz w:val="20"/>
                <w:szCs w:val="20"/>
                <w:lang w:val="es-ES_tradnl"/>
              </w:rPr>
              <w:t>Los sectores público y privado han aumentado sus esfuerzos para aplicar lineamientos y buenas prácticas para el uso racional del agua y de los humedales</w:t>
            </w:r>
            <w:r w:rsidR="004C4527" w:rsidRPr="00D21980">
              <w:rPr>
                <w:rFonts w:eastAsia="Times New Roman" w:cs="Arial"/>
                <w:color w:val="000000" w:themeColor="text1"/>
                <w:sz w:val="20"/>
                <w:szCs w:val="20"/>
                <w:lang w:val="es-ES_tradnl" w:eastAsia="en-GB"/>
              </w:rPr>
              <w:t xml:space="preserve">. </w:t>
            </w:r>
          </w:p>
        </w:tc>
        <w:tc>
          <w:tcPr>
            <w:tcW w:w="2977" w:type="dxa"/>
            <w:shd w:val="clear" w:color="auto" w:fill="auto"/>
            <w:hideMark/>
          </w:tcPr>
          <w:p w14:paraId="1443EFA7"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3.1 </w:t>
            </w:r>
            <w:r w:rsidR="00E7252C" w:rsidRPr="00D21980">
              <w:rPr>
                <w:rFonts w:eastAsia="Times New Roman" w:cs="Arial"/>
                <w:color w:val="000000"/>
                <w:sz w:val="20"/>
                <w:szCs w:val="20"/>
                <w:lang w:val="es-ES_tradnl" w:eastAsia="en-GB"/>
              </w:rPr>
              <w:t xml:space="preserve">Promover la participación de los sectores público y privado en la conservación y el uso racional de los humedales. Preparar y aplicar una estrategia para trabajar con el sector empresarial; </w:t>
            </w:r>
            <w:r w:rsidR="00E7252C" w:rsidRPr="00D21980">
              <w:rPr>
                <w:rFonts w:eastAsia="Times New Roman" w:cs="Arial"/>
                <w:sz w:val="20"/>
                <w:szCs w:val="20"/>
                <w:lang w:val="es-ES_tradnl" w:eastAsia="en-GB"/>
              </w:rPr>
              <w:t>encontrar</w:t>
            </w:r>
            <w:r w:rsidR="00E7252C" w:rsidRPr="00D21980">
              <w:rPr>
                <w:rFonts w:eastAsia="Times New Roman" w:cs="Arial"/>
                <w:color w:val="000000"/>
                <w:sz w:val="20"/>
                <w:szCs w:val="20"/>
                <w:lang w:val="es-ES_tradnl" w:eastAsia="en-GB"/>
              </w:rPr>
              <w:t xml:space="preserve"> posibles asociados en el sector empresarial; preparar estudios de diligencia debida y realizar propuestas al Comité Permanente</w:t>
            </w:r>
            <w:r w:rsidRPr="00D21980">
              <w:rPr>
                <w:rFonts w:eastAsia="Times New Roman" w:cs="Arial"/>
                <w:color w:val="000000" w:themeColor="text1"/>
                <w:sz w:val="20"/>
                <w:szCs w:val="20"/>
                <w:lang w:val="es-ES_tradnl" w:eastAsia="en-GB"/>
              </w:rPr>
              <w:t>.</w:t>
            </w:r>
          </w:p>
        </w:tc>
        <w:tc>
          <w:tcPr>
            <w:tcW w:w="3260" w:type="dxa"/>
            <w:shd w:val="clear" w:color="auto" w:fill="auto"/>
            <w:hideMark/>
          </w:tcPr>
          <w:p w14:paraId="0D4D9FE1" w14:textId="1D1C6E6D" w:rsidR="004C4527" w:rsidRPr="00D21980" w:rsidRDefault="00E7252C" w:rsidP="0006506F">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Los actores pertinentes, y particularmente el Consejo Empresarial Mundial para el Desarrollo Sostenible (WBCSD, por sus siglas en inglés) reconocen los beneficios de mantener los humedales y sus servicios de los ecosistemas. Trabajo dirigido a los actores de los siguientes sectores privados: agua, acuicultura, turismo, silvicultura, minería y agricultura</w:t>
            </w:r>
            <w:r w:rsidR="004C4527" w:rsidRPr="00D21980">
              <w:rPr>
                <w:rFonts w:cs="Arial"/>
                <w:color w:val="000000" w:themeColor="text1"/>
                <w:sz w:val="20"/>
                <w:szCs w:val="20"/>
                <w:lang w:val="es-ES_tradnl"/>
              </w:rPr>
              <w:t>.</w:t>
            </w:r>
            <w:r w:rsidR="0006506F" w:rsidRPr="00D21980">
              <w:rPr>
                <w:rFonts w:cs="Arial"/>
                <w:color w:val="000000" w:themeColor="text1"/>
                <w:sz w:val="20"/>
                <w:szCs w:val="20"/>
                <w:lang w:val="es-ES_tradnl"/>
              </w:rPr>
              <w:t xml:space="preserve">  </w:t>
            </w:r>
            <w:r w:rsidR="00D21980" w:rsidRPr="00D21980">
              <w:rPr>
                <w:rFonts w:cs="Arial"/>
                <w:color w:val="000000" w:themeColor="text1"/>
                <w:sz w:val="20"/>
                <w:szCs w:val="20"/>
                <w:lang w:val="es-ES_tradnl"/>
              </w:rPr>
              <w:t>Días del agua y de los bosques celebrados con la CEPE y el WBCSD.</w:t>
            </w:r>
          </w:p>
        </w:tc>
        <w:tc>
          <w:tcPr>
            <w:tcW w:w="1437" w:type="dxa"/>
            <w:shd w:val="clear" w:color="auto" w:fill="auto"/>
            <w:hideMark/>
          </w:tcPr>
          <w:p w14:paraId="75FB35C7" w14:textId="616EF681" w:rsidR="004C4527"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Asoc. de Colab.</w:t>
            </w:r>
            <w:r w:rsidR="004C4527" w:rsidRPr="00D21980">
              <w:rPr>
                <w:rFonts w:eastAsia="Times New Roman" w:cs="Arial"/>
                <w:color w:val="000000" w:themeColor="text1"/>
                <w:sz w:val="20"/>
                <w:szCs w:val="20"/>
                <w:lang w:val="es-ES_tradnl" w:eastAsia="en-GB"/>
              </w:rPr>
              <w:t xml:space="preserve">/ </w:t>
            </w:r>
            <w:r w:rsidR="005D36A4" w:rsidRPr="00D21980">
              <w:rPr>
                <w:rFonts w:eastAsia="Times New Roman" w:cs="Arial"/>
                <w:color w:val="000000" w:themeColor="text1"/>
                <w:sz w:val="20"/>
                <w:szCs w:val="20"/>
                <w:lang w:val="es-ES_tradnl" w:eastAsia="en-GB"/>
              </w:rPr>
              <w:t>ARS</w:t>
            </w:r>
          </w:p>
          <w:p w14:paraId="414B1897"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p>
        </w:tc>
      </w:tr>
      <w:tr w:rsidR="004C4527" w:rsidRPr="00D21980" w14:paraId="6F1D60FC" w14:textId="77777777" w:rsidTr="00925672">
        <w:trPr>
          <w:cantSplit/>
        </w:trPr>
        <w:tc>
          <w:tcPr>
            <w:tcW w:w="2269" w:type="dxa"/>
            <w:vMerge/>
            <w:shd w:val="clear" w:color="auto" w:fill="auto"/>
          </w:tcPr>
          <w:p w14:paraId="58A39F06"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tc>
        <w:tc>
          <w:tcPr>
            <w:tcW w:w="2977" w:type="dxa"/>
            <w:shd w:val="clear" w:color="auto" w:fill="auto"/>
          </w:tcPr>
          <w:p w14:paraId="18188CE9" w14:textId="7BAB1AD3"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cs="Calibri"/>
                <w:color w:val="000000" w:themeColor="text1"/>
                <w:sz w:val="20"/>
                <w:szCs w:val="20"/>
                <w:lang w:val="es-ES_tradnl"/>
              </w:rPr>
              <w:t xml:space="preserve">3.2 </w:t>
            </w:r>
            <w:r w:rsidR="00E7252C" w:rsidRPr="00D21980">
              <w:rPr>
                <w:rFonts w:cs="Calibri"/>
                <w:sz w:val="20"/>
                <w:szCs w:val="20"/>
                <w:lang w:val="es-ES_tradnl"/>
              </w:rPr>
              <w:t>Aprovechar los acuerdos de colaboración existentes con el sector privado y otros asociados pertinentes para aumentar el intercambio de información beneficioso y aumentar la visibilidad de la Convención (Resolución XII.3)</w:t>
            </w:r>
            <w:r w:rsidRPr="00D21980">
              <w:rPr>
                <w:rFonts w:cs="Calibri"/>
                <w:color w:val="000000" w:themeColor="text1"/>
                <w:sz w:val="20"/>
                <w:szCs w:val="20"/>
                <w:lang w:val="es-ES_tradnl"/>
              </w:rPr>
              <w:t>.</w:t>
            </w:r>
            <w:r w:rsidR="00A74EFF" w:rsidRPr="00D21980">
              <w:rPr>
                <w:rFonts w:cs="Calibri"/>
                <w:color w:val="000000" w:themeColor="text1"/>
                <w:sz w:val="20"/>
                <w:szCs w:val="20"/>
                <w:lang w:val="es-ES_tradnl"/>
              </w:rPr>
              <w:t xml:space="preserve"> </w:t>
            </w:r>
            <w:r w:rsidR="00D21980" w:rsidRPr="00D21980">
              <w:rPr>
                <w:rFonts w:cs="Calibri"/>
                <w:color w:val="000000" w:themeColor="text1"/>
                <w:sz w:val="20"/>
                <w:szCs w:val="20"/>
                <w:lang w:val="es-ES_tradnl"/>
              </w:rPr>
              <w:t>Finalizar el MdE con los Emiratos Árabes Unidos para la COP13.</w:t>
            </w:r>
          </w:p>
        </w:tc>
        <w:tc>
          <w:tcPr>
            <w:tcW w:w="3260" w:type="dxa"/>
            <w:shd w:val="clear" w:color="auto" w:fill="auto"/>
          </w:tcPr>
          <w:p w14:paraId="00E2976C" w14:textId="00BA7138"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Número de memorandos de entendimiento (MdE) firmados con nuevos asociados y redes</w:t>
            </w:r>
            <w:r w:rsidR="004C4527" w:rsidRPr="00D21980">
              <w:rPr>
                <w:rFonts w:eastAsia="Times New Roman" w:cs="Arial"/>
                <w:color w:val="000000" w:themeColor="text1"/>
                <w:sz w:val="20"/>
                <w:szCs w:val="20"/>
                <w:lang w:val="es-ES_tradnl" w:eastAsia="en-GB"/>
              </w:rPr>
              <w:t>.</w:t>
            </w:r>
            <w:r w:rsidR="00A74EFF" w:rsidRPr="00D21980">
              <w:rPr>
                <w:rFonts w:eastAsia="Times New Roman" w:cs="Arial"/>
                <w:color w:val="000000" w:themeColor="text1"/>
                <w:sz w:val="20"/>
                <w:szCs w:val="20"/>
                <w:lang w:val="es-ES_tradnl" w:eastAsia="en-GB"/>
              </w:rPr>
              <w:t xml:space="preserve"> </w:t>
            </w:r>
            <w:r w:rsidR="00D21980" w:rsidRPr="00D21980">
              <w:rPr>
                <w:rFonts w:eastAsia="Times New Roman" w:cs="Arial"/>
                <w:color w:val="000000" w:themeColor="text1"/>
                <w:sz w:val="20"/>
                <w:szCs w:val="20"/>
                <w:lang w:val="es-ES_tradnl" w:eastAsia="en-GB"/>
              </w:rPr>
              <w:t>MdE para la COP13 finalizado y firmado.</w:t>
            </w:r>
          </w:p>
        </w:tc>
        <w:tc>
          <w:tcPr>
            <w:tcW w:w="1437" w:type="dxa"/>
            <w:shd w:val="clear" w:color="auto" w:fill="auto"/>
          </w:tcPr>
          <w:p w14:paraId="0FD7B65F" w14:textId="32B74392" w:rsidR="004C4527"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Asoc. de Colab.</w:t>
            </w:r>
            <w:r w:rsidR="004C4527" w:rsidRPr="00D21980">
              <w:rPr>
                <w:rFonts w:eastAsia="Times New Roman" w:cs="Arial"/>
                <w:color w:val="000000" w:themeColor="text1"/>
                <w:sz w:val="20"/>
                <w:szCs w:val="20"/>
                <w:lang w:val="es-ES_tradnl" w:eastAsia="en-GB"/>
              </w:rPr>
              <w:t xml:space="preserve">/ </w:t>
            </w:r>
            <w:r w:rsidR="005D36A4" w:rsidRPr="00D21980">
              <w:rPr>
                <w:rFonts w:eastAsia="Times New Roman" w:cs="Arial"/>
                <w:color w:val="000000" w:themeColor="text1"/>
                <w:sz w:val="20"/>
                <w:szCs w:val="20"/>
                <w:lang w:val="es-ES_tradnl" w:eastAsia="en-GB"/>
              </w:rPr>
              <w:t>ARS</w:t>
            </w:r>
          </w:p>
          <w:p w14:paraId="617C0D76"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p>
        </w:tc>
      </w:tr>
      <w:tr w:rsidR="004C4527" w:rsidRPr="00D21980" w14:paraId="7267DF19" w14:textId="77777777" w:rsidTr="00925672">
        <w:trPr>
          <w:cantSplit/>
        </w:trPr>
        <w:tc>
          <w:tcPr>
            <w:tcW w:w="2269" w:type="dxa"/>
            <w:vMerge/>
            <w:hideMark/>
          </w:tcPr>
          <w:p w14:paraId="551EA878"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p>
        </w:tc>
        <w:tc>
          <w:tcPr>
            <w:tcW w:w="2977" w:type="dxa"/>
            <w:shd w:val="clear" w:color="auto" w:fill="auto"/>
            <w:hideMark/>
          </w:tcPr>
          <w:p w14:paraId="1431E66D"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3.3 </w:t>
            </w:r>
            <w:r w:rsidR="00E7252C" w:rsidRPr="00D21980">
              <w:rPr>
                <w:rFonts w:eastAsia="Times New Roman" w:cs="Arial"/>
                <w:color w:val="000000"/>
                <w:sz w:val="20"/>
                <w:szCs w:val="20"/>
                <w:lang w:val="es-ES_tradnl" w:eastAsia="en-GB"/>
              </w:rPr>
              <w:t xml:space="preserve">En consonancia con la Resolución X.12, trabajar con las Partes Contratantes y los asociados de Ramsar para hacer un buen uso de los </w:t>
            </w:r>
            <w:r w:rsidR="00E7252C" w:rsidRPr="00D21980">
              <w:rPr>
                <w:rFonts w:eastAsia="Times New Roman" w:cs="Arial"/>
                <w:i/>
                <w:color w:val="000000"/>
                <w:sz w:val="20"/>
                <w:szCs w:val="20"/>
                <w:lang w:val="es-ES_tradnl" w:eastAsia="en-GB"/>
              </w:rPr>
              <w:t>Principios para las asociaciones entre la Convención de Ramsar y el sector empresarial</w:t>
            </w:r>
            <w:r w:rsidR="00E7252C" w:rsidRPr="00D21980">
              <w:rPr>
                <w:rFonts w:eastAsia="Times New Roman" w:cs="Arial"/>
                <w:color w:val="000000"/>
                <w:sz w:val="20"/>
                <w:szCs w:val="20"/>
                <w:lang w:val="es-ES_tradnl" w:eastAsia="en-GB"/>
              </w:rPr>
              <w:t xml:space="preserve">, </w:t>
            </w:r>
            <w:r w:rsidR="00E7252C" w:rsidRPr="00D21980">
              <w:rPr>
                <w:rFonts w:eastAsia="Times New Roman" w:cs="Arial"/>
                <w:sz w:val="20"/>
                <w:szCs w:val="20"/>
                <w:lang w:val="es-ES_tradnl" w:eastAsia="en-GB"/>
              </w:rPr>
              <w:t>por ejemplo en el marco</w:t>
            </w:r>
            <w:r w:rsidR="00E7252C" w:rsidRPr="00D21980">
              <w:rPr>
                <w:rFonts w:eastAsia="Times New Roman" w:cs="Arial"/>
                <w:color w:val="000000"/>
                <w:sz w:val="20"/>
                <w:szCs w:val="20"/>
                <w:lang w:val="es-ES_tradnl" w:eastAsia="en-GB"/>
              </w:rPr>
              <w:t xml:space="preserve"> de las iniciativas y los compromisos nacionales, regionales y mundiales existentes</w:t>
            </w:r>
            <w:r w:rsidRPr="00D21980">
              <w:rPr>
                <w:rFonts w:eastAsia="Times New Roman" w:cs="Arial"/>
                <w:color w:val="000000" w:themeColor="text1"/>
                <w:sz w:val="20"/>
                <w:szCs w:val="20"/>
                <w:lang w:val="es-ES_tradnl" w:eastAsia="en-GB"/>
              </w:rPr>
              <w:t>.</w:t>
            </w:r>
          </w:p>
        </w:tc>
        <w:tc>
          <w:tcPr>
            <w:tcW w:w="3260" w:type="dxa"/>
            <w:shd w:val="clear" w:color="auto" w:fill="auto"/>
            <w:hideMark/>
          </w:tcPr>
          <w:p w14:paraId="5961AD7A"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Mayor implicación del sector privado en el uso racional de los humedales y la aplicación de los conceptos y enfoques para la conservación y el uso racional de los humedales contenidos en las orientaciones de Ramsar (</w:t>
            </w:r>
            <w:r w:rsidRPr="00D21980">
              <w:rPr>
                <w:rFonts w:eastAsia="Times New Roman" w:cs="Arial"/>
                <w:sz w:val="20"/>
                <w:szCs w:val="20"/>
                <w:lang w:val="es-ES_tradnl" w:eastAsia="en-GB"/>
              </w:rPr>
              <w:t>Manuales Ramsar</w:t>
            </w:r>
            <w:r w:rsidRPr="00D21980">
              <w:rPr>
                <w:rFonts w:eastAsia="Times New Roman" w:cs="Arial"/>
                <w:color w:val="000000"/>
                <w:sz w:val="20"/>
                <w:szCs w:val="20"/>
                <w:lang w:val="es-ES_tradnl" w:eastAsia="en-GB"/>
              </w:rPr>
              <w:t>) y otras directrices pertinentes en sus actividades e inversiones que afecten a los humedales</w:t>
            </w:r>
            <w:r w:rsidR="004C4527" w:rsidRPr="00D21980">
              <w:rPr>
                <w:rFonts w:eastAsia="Times New Roman" w:cs="Arial"/>
                <w:color w:val="000000" w:themeColor="text1"/>
                <w:sz w:val="20"/>
                <w:szCs w:val="20"/>
                <w:lang w:val="es-ES_tradnl" w:eastAsia="en-GB"/>
              </w:rPr>
              <w:t xml:space="preserve">. </w:t>
            </w:r>
          </w:p>
        </w:tc>
        <w:tc>
          <w:tcPr>
            <w:tcW w:w="1437" w:type="dxa"/>
            <w:shd w:val="clear" w:color="auto" w:fill="auto"/>
            <w:hideMark/>
          </w:tcPr>
          <w:p w14:paraId="2F2F3771" w14:textId="77777777" w:rsidR="00AA0F80"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5D36A4" w:rsidRPr="00D21980">
              <w:rPr>
                <w:rFonts w:eastAsia="Times New Roman" w:cs="Arial"/>
                <w:color w:val="000000" w:themeColor="text1"/>
                <w:sz w:val="20"/>
                <w:szCs w:val="20"/>
                <w:lang w:val="es-ES_tradnl" w:eastAsia="en-GB"/>
              </w:rPr>
              <w:t>SGA</w:t>
            </w:r>
            <w:r w:rsidRPr="00D21980">
              <w:rPr>
                <w:rFonts w:eastAsia="Times New Roman" w:cs="Arial"/>
                <w:color w:val="000000" w:themeColor="text1"/>
                <w:sz w:val="20"/>
                <w:szCs w:val="20"/>
                <w:lang w:val="es-ES_tradnl" w:eastAsia="en-GB"/>
              </w:rPr>
              <w:t>/</w:t>
            </w:r>
            <w:r w:rsidR="005D36A4" w:rsidRPr="00D21980">
              <w:rPr>
                <w:rFonts w:eastAsia="Times New Roman" w:cs="Arial"/>
                <w:color w:val="000000" w:themeColor="text1"/>
                <w:sz w:val="20"/>
                <w:szCs w:val="20"/>
                <w:lang w:val="es-ES_tradnl" w:eastAsia="en-GB"/>
              </w:rPr>
              <w:t>ARS</w:t>
            </w:r>
            <w:r w:rsidRPr="00D21980">
              <w:rPr>
                <w:rFonts w:eastAsia="Times New Roman" w:cs="Arial"/>
                <w:color w:val="000000" w:themeColor="text1"/>
                <w:sz w:val="20"/>
                <w:szCs w:val="20"/>
                <w:lang w:val="es-ES_tradnl" w:eastAsia="en-GB"/>
              </w:rPr>
              <w:t>/</w:t>
            </w:r>
          </w:p>
          <w:p w14:paraId="1348FEE9" w14:textId="416EB6A1" w:rsidR="004C4527"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Comunic.</w:t>
            </w:r>
            <w:r w:rsidR="004C4527" w:rsidRPr="00D21980">
              <w:rPr>
                <w:rFonts w:eastAsia="Times New Roman" w:cs="Arial"/>
                <w:color w:val="000000" w:themeColor="text1"/>
                <w:sz w:val="20"/>
                <w:szCs w:val="20"/>
                <w:lang w:val="es-ES_tradnl" w:eastAsia="en-GB"/>
              </w:rPr>
              <w:t>/</w:t>
            </w:r>
            <w:r w:rsidR="004C4527" w:rsidRPr="00D21980">
              <w:rPr>
                <w:rFonts w:eastAsia="Times New Roman" w:cs="Arial"/>
                <w:color w:val="000000" w:themeColor="text1"/>
                <w:sz w:val="20"/>
                <w:szCs w:val="20"/>
                <w:lang w:val="es-ES_tradnl" w:eastAsia="en-GB"/>
              </w:rPr>
              <w:br/>
            </w:r>
            <w:r w:rsidRPr="00D21980">
              <w:rPr>
                <w:rFonts w:eastAsia="Times New Roman" w:cs="Arial"/>
                <w:color w:val="000000" w:themeColor="text1"/>
                <w:sz w:val="20"/>
                <w:szCs w:val="20"/>
                <w:lang w:val="es-ES_tradnl" w:eastAsia="en-GB"/>
              </w:rPr>
              <w:t>Resp. de Asoc. de Colab.</w:t>
            </w:r>
          </w:p>
        </w:tc>
      </w:tr>
      <w:tr w:rsidR="004C4527" w:rsidRPr="00D21980" w14:paraId="0FABB72E" w14:textId="77777777" w:rsidTr="00925672">
        <w:trPr>
          <w:cantSplit/>
        </w:trPr>
        <w:tc>
          <w:tcPr>
            <w:tcW w:w="2269" w:type="dxa"/>
            <w:vMerge/>
            <w:hideMark/>
          </w:tcPr>
          <w:p w14:paraId="15E6B39A"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p>
        </w:tc>
        <w:tc>
          <w:tcPr>
            <w:tcW w:w="2977" w:type="dxa"/>
            <w:vMerge w:val="restart"/>
            <w:shd w:val="clear" w:color="auto" w:fill="auto"/>
            <w:hideMark/>
          </w:tcPr>
          <w:p w14:paraId="4E84D59D"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3.4 </w:t>
            </w:r>
            <w:r w:rsidR="00E7252C" w:rsidRPr="00D21980">
              <w:rPr>
                <w:rFonts w:eastAsia="Times New Roman" w:cs="Arial"/>
                <w:color w:val="000000"/>
                <w:sz w:val="20"/>
                <w:szCs w:val="20"/>
                <w:lang w:val="es-ES_tradnl" w:eastAsia="en-GB"/>
              </w:rPr>
              <w:t>Continuar la asociación de colaboración existente entre Ramsar y Danone y la asociación “Biosphere Connections” con Star Alliance</w:t>
            </w:r>
            <w:r w:rsidRPr="00D21980">
              <w:rPr>
                <w:rFonts w:eastAsia="Times New Roman" w:cs="Arial"/>
                <w:color w:val="000000" w:themeColor="text1"/>
                <w:sz w:val="20"/>
                <w:szCs w:val="20"/>
                <w:lang w:val="es-ES_tradnl" w:eastAsia="en-GB"/>
              </w:rPr>
              <w:t>.</w:t>
            </w:r>
          </w:p>
        </w:tc>
        <w:tc>
          <w:tcPr>
            <w:tcW w:w="3260" w:type="dxa"/>
            <w:shd w:val="clear" w:color="auto" w:fill="auto"/>
            <w:hideMark/>
          </w:tcPr>
          <w:p w14:paraId="5903CA7D"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MdE 2017-2021 </w:t>
            </w:r>
            <w:r w:rsidRPr="00D21980">
              <w:rPr>
                <w:rFonts w:eastAsia="Times New Roman" w:cs="Arial"/>
                <w:color w:val="000000"/>
                <w:sz w:val="20"/>
                <w:szCs w:val="20"/>
                <w:lang w:val="es-ES_tradnl" w:eastAsia="en-GB"/>
              </w:rPr>
              <w:t>negociado con Danone y plan de trabajo y presupuesto anuales de Danone aprobados; plan de trabajo y presupuesto ejecutados en su totalidad</w:t>
            </w:r>
            <w:r w:rsidR="004C4527" w:rsidRPr="00D21980">
              <w:rPr>
                <w:rFonts w:eastAsia="Times New Roman" w:cs="Arial"/>
                <w:color w:val="000000" w:themeColor="text1"/>
                <w:sz w:val="20"/>
                <w:szCs w:val="20"/>
                <w:lang w:val="es-ES_tradnl" w:eastAsia="en-GB"/>
              </w:rPr>
              <w:t xml:space="preserve">. </w:t>
            </w:r>
          </w:p>
        </w:tc>
        <w:tc>
          <w:tcPr>
            <w:tcW w:w="1437" w:type="dxa"/>
            <w:shd w:val="clear" w:color="auto" w:fill="auto"/>
            <w:hideMark/>
          </w:tcPr>
          <w:p w14:paraId="017C112E" w14:textId="6CF2D7F0"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Resp. de Comunic.</w:t>
            </w:r>
          </w:p>
        </w:tc>
      </w:tr>
      <w:tr w:rsidR="004C4527" w:rsidRPr="00D21980" w14:paraId="5B3CC51E" w14:textId="77777777" w:rsidTr="00925672">
        <w:trPr>
          <w:cantSplit/>
        </w:trPr>
        <w:tc>
          <w:tcPr>
            <w:tcW w:w="2269" w:type="dxa"/>
            <w:vMerge/>
            <w:hideMark/>
          </w:tcPr>
          <w:p w14:paraId="499F0C4B"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p>
        </w:tc>
        <w:tc>
          <w:tcPr>
            <w:tcW w:w="2977" w:type="dxa"/>
            <w:vMerge/>
            <w:hideMark/>
          </w:tcPr>
          <w:p w14:paraId="75A78181"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36203BBB"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Apoyo facilitado a expertos de Ramsar para asistir a reuniones sobre los humedales con la ayuda de Star Alliance. Contribuciones al boletín electrónico de Biosphere Connections obtenidas, incluidos los informes sobre dichos viajes y noticias generales sobre Ramsar</w:t>
            </w:r>
            <w:r w:rsidR="004C4527" w:rsidRPr="00D21980">
              <w:rPr>
                <w:rFonts w:eastAsia="Times New Roman" w:cs="Arial"/>
                <w:color w:val="000000" w:themeColor="text1"/>
                <w:sz w:val="20"/>
                <w:szCs w:val="20"/>
                <w:lang w:val="es-ES_tradnl" w:eastAsia="en-GB"/>
              </w:rPr>
              <w:t>.</w:t>
            </w:r>
          </w:p>
        </w:tc>
        <w:tc>
          <w:tcPr>
            <w:tcW w:w="1437" w:type="dxa"/>
            <w:shd w:val="clear" w:color="auto" w:fill="auto"/>
            <w:hideMark/>
          </w:tcPr>
          <w:p w14:paraId="0DA0572B" w14:textId="7CE138E7"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C452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r w:rsidR="004C4527" w:rsidRPr="00D21980">
              <w:rPr>
                <w:rFonts w:eastAsia="Times New Roman" w:cs="Arial"/>
                <w:color w:val="000000" w:themeColor="text1"/>
                <w:sz w:val="20"/>
                <w:szCs w:val="20"/>
                <w:lang w:val="es-ES_tradnl" w:eastAsia="en-GB"/>
              </w:rPr>
              <w:t>/</w:t>
            </w:r>
            <w:r w:rsidR="004C4527" w:rsidRPr="00D21980">
              <w:rPr>
                <w:rFonts w:eastAsia="Times New Roman" w:cs="Arial"/>
                <w:color w:val="000000" w:themeColor="text1"/>
                <w:sz w:val="20"/>
                <w:szCs w:val="20"/>
                <w:lang w:val="es-ES_tradnl" w:eastAsia="en-GB"/>
              </w:rPr>
              <w:br/>
            </w:r>
            <w:r w:rsidR="00AA0F80" w:rsidRPr="00D21980">
              <w:rPr>
                <w:rFonts w:eastAsia="Times New Roman" w:cs="Arial"/>
                <w:color w:val="000000" w:themeColor="text1"/>
                <w:sz w:val="20"/>
                <w:szCs w:val="20"/>
                <w:lang w:val="es-ES_tradnl" w:eastAsia="en-GB"/>
              </w:rPr>
              <w:t>Resp. de Comunic.</w:t>
            </w:r>
          </w:p>
        </w:tc>
      </w:tr>
      <w:tr w:rsidR="004C4527" w:rsidRPr="00D21980" w14:paraId="4E708AD3" w14:textId="77777777" w:rsidTr="00925672">
        <w:trPr>
          <w:cantSplit/>
        </w:trPr>
        <w:tc>
          <w:tcPr>
            <w:tcW w:w="2269" w:type="dxa"/>
            <w:shd w:val="clear" w:color="auto" w:fill="auto"/>
            <w:hideMark/>
          </w:tcPr>
          <w:p w14:paraId="4562E817" w14:textId="71D91374"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Meta</w:t>
            </w:r>
            <w:r w:rsidR="004C4527" w:rsidRPr="00D21980">
              <w:rPr>
                <w:rFonts w:eastAsia="Times New Roman" w:cs="Arial"/>
                <w:b/>
                <w:bCs/>
                <w:color w:val="000000" w:themeColor="text1"/>
                <w:sz w:val="20"/>
                <w:szCs w:val="20"/>
                <w:lang w:val="es-ES_tradnl" w:eastAsia="en-GB"/>
              </w:rPr>
              <w:t xml:space="preserve"> 4:</w:t>
            </w:r>
            <w:r w:rsidR="004C4527" w:rsidRPr="00D21980">
              <w:rPr>
                <w:rFonts w:eastAsia="Times New Roman" w:cs="Arial"/>
                <w:b/>
                <w:bCs/>
                <w:color w:val="000000" w:themeColor="text1"/>
                <w:sz w:val="20"/>
                <w:szCs w:val="20"/>
                <w:lang w:val="es-ES_tradnl" w:eastAsia="en-GB"/>
              </w:rPr>
              <w:br/>
            </w:r>
            <w:r w:rsidR="00E7252C" w:rsidRPr="00D21980">
              <w:rPr>
                <w:sz w:val="20"/>
                <w:szCs w:val="20"/>
                <w:lang w:val="es-ES_tradnl"/>
              </w:rPr>
              <w:t>Se identifican y priorizan especies exóticas invasoras y sus vías de entrada y expansión, se controlan o erradican las especies exóticas invasoras prioritarias y se preparan y aplican medidas de manejo para evitar su introducción y establecimiento</w:t>
            </w:r>
            <w:r w:rsidR="004C4527" w:rsidRPr="00D21980">
              <w:rPr>
                <w:rFonts w:eastAsia="Times New Roman" w:cs="Arial"/>
                <w:color w:val="000000" w:themeColor="text1"/>
                <w:sz w:val="20"/>
                <w:szCs w:val="20"/>
                <w:lang w:val="es-ES_tradnl" w:eastAsia="en-GB"/>
              </w:rPr>
              <w:t>.</w:t>
            </w:r>
          </w:p>
        </w:tc>
        <w:tc>
          <w:tcPr>
            <w:tcW w:w="2977" w:type="dxa"/>
            <w:shd w:val="clear" w:color="auto" w:fill="auto"/>
            <w:hideMark/>
          </w:tcPr>
          <w:p w14:paraId="7E6E8C2C"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4.1 </w:t>
            </w:r>
            <w:r w:rsidR="00E7252C" w:rsidRPr="00D21980">
              <w:rPr>
                <w:rFonts w:eastAsia="Times New Roman" w:cs="Arial"/>
                <w:sz w:val="20"/>
                <w:szCs w:val="20"/>
                <w:lang w:val="es-ES_tradnl" w:eastAsia="en-GB"/>
              </w:rPr>
              <w:t xml:space="preserve">Alentar a las Partes Contratantes a elaborar políticas o directrices nacionales y un inventario nacional de las especies </w:t>
            </w:r>
            <w:r w:rsidR="00E7252C" w:rsidRPr="00D21980">
              <w:rPr>
                <w:rFonts w:eastAsia="Times New Roman" w:cs="Arial"/>
                <w:color w:val="000000"/>
                <w:sz w:val="20"/>
                <w:szCs w:val="20"/>
                <w:lang w:val="es-ES_tradnl" w:eastAsia="en-GB"/>
              </w:rPr>
              <w:t>exóticas invasoras (EEI) que tienen un impacto real o potencial sobre las características ecológicas de los humedales, particularmente los sitios Ramsar</w:t>
            </w:r>
            <w:r w:rsidR="00E7252C" w:rsidRPr="00D21980">
              <w:rPr>
                <w:rFonts w:eastAsia="Times New Roman" w:cs="Arial"/>
                <w:sz w:val="20"/>
                <w:szCs w:val="20"/>
                <w:lang w:val="es-ES_tradnl" w:eastAsia="en-GB"/>
              </w:rPr>
              <w:t xml:space="preserve"> (Resolución VIII.18, </w:t>
            </w:r>
            <w:r w:rsidR="00E7252C" w:rsidRPr="00D21980">
              <w:rPr>
                <w:rFonts w:eastAsia="Times New Roman" w:cs="Arial"/>
                <w:i/>
                <w:sz w:val="20"/>
                <w:szCs w:val="20"/>
                <w:lang w:val="es-ES_tradnl" w:eastAsia="en-GB"/>
              </w:rPr>
              <w:t>Especies invasoras y humedales</w:t>
            </w:r>
            <w:r w:rsidR="00E7252C" w:rsidRPr="00D21980">
              <w:rPr>
                <w:rFonts w:eastAsia="Times New Roman" w:cs="Arial"/>
                <w:sz w:val="20"/>
                <w:szCs w:val="20"/>
                <w:lang w:val="es-ES_tradnl" w:eastAsia="en-GB"/>
              </w:rPr>
              <w:t>) mediante la divulgación de orientaciones mundiales</w:t>
            </w:r>
            <w:r w:rsidRPr="00D21980">
              <w:rPr>
                <w:rFonts w:eastAsia="Times New Roman" w:cs="Arial"/>
                <w:color w:val="000000" w:themeColor="text1"/>
                <w:sz w:val="20"/>
                <w:szCs w:val="20"/>
                <w:lang w:val="es-ES_tradnl" w:eastAsia="en-GB"/>
              </w:rPr>
              <w:t>.</w:t>
            </w:r>
          </w:p>
        </w:tc>
        <w:tc>
          <w:tcPr>
            <w:tcW w:w="3260" w:type="dxa"/>
            <w:shd w:val="clear" w:color="auto" w:fill="auto"/>
            <w:hideMark/>
          </w:tcPr>
          <w:p w14:paraId="720481AC"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Número de países apoyados en la elaboración de políticas sobre EEI, número de países apoyados en la elaboración de inventarios nacionales de EEI</w:t>
            </w:r>
            <w:r w:rsidR="004C4527" w:rsidRPr="00D21980">
              <w:rPr>
                <w:rFonts w:eastAsia="Times New Roman" w:cs="Arial"/>
                <w:color w:val="000000" w:themeColor="text1"/>
                <w:sz w:val="20"/>
                <w:szCs w:val="20"/>
                <w:lang w:val="es-ES_tradnl" w:eastAsia="en-GB"/>
              </w:rPr>
              <w:t>.</w:t>
            </w:r>
          </w:p>
        </w:tc>
        <w:tc>
          <w:tcPr>
            <w:tcW w:w="1437" w:type="dxa"/>
            <w:shd w:val="clear" w:color="auto" w:fill="auto"/>
            <w:hideMark/>
          </w:tcPr>
          <w:p w14:paraId="31EF8FE8" w14:textId="397CBB88"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C4527" w:rsidRPr="00D21980">
              <w:rPr>
                <w:rFonts w:eastAsia="Times New Roman" w:cs="Arial"/>
                <w:color w:val="000000" w:themeColor="text1"/>
                <w:sz w:val="20"/>
                <w:szCs w:val="20"/>
                <w:lang w:val="es-ES_tradnl" w:eastAsia="en-GB"/>
              </w:rPr>
              <w:t>/</w:t>
            </w:r>
            <w:r w:rsidR="004C4527" w:rsidRPr="00D21980">
              <w:rPr>
                <w:rFonts w:eastAsia="Times New Roman" w:cs="Arial"/>
                <w:color w:val="000000" w:themeColor="text1"/>
                <w:sz w:val="20"/>
                <w:szCs w:val="20"/>
                <w:lang w:val="es-ES_tradnl" w:eastAsia="en-GB"/>
              </w:rPr>
              <w:br/>
            </w:r>
            <w:r w:rsidRPr="00D21980">
              <w:rPr>
                <w:rFonts w:eastAsia="Times New Roman" w:cs="Arial"/>
                <w:color w:val="000000" w:themeColor="text1"/>
                <w:sz w:val="20"/>
                <w:szCs w:val="20"/>
                <w:lang w:val="es-ES_tradnl" w:eastAsia="en-GB"/>
              </w:rPr>
              <w:t>ARS</w:t>
            </w:r>
          </w:p>
        </w:tc>
      </w:tr>
    </w:tbl>
    <w:p w14:paraId="4E8AAECC"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p w14:paraId="3960A266" w14:textId="77777777" w:rsidR="00E357E1" w:rsidRPr="00D21980" w:rsidRDefault="00E357E1" w:rsidP="004C4527">
      <w:pPr>
        <w:spacing w:after="0" w:line="240" w:lineRule="auto"/>
        <w:rPr>
          <w:rFonts w:eastAsia="Times New Roman" w:cs="Arial"/>
          <w:b/>
          <w:bCs/>
          <w:color w:val="000000" w:themeColor="text1"/>
          <w:sz w:val="20"/>
          <w:szCs w:val="20"/>
          <w:lang w:val="es-ES_tradnl" w:eastAsia="en-GB"/>
        </w:rPr>
      </w:pPr>
    </w:p>
    <w:p w14:paraId="4B42F82C" w14:textId="4FE48BAB" w:rsidR="004C4527" w:rsidRPr="00D21980" w:rsidRDefault="005D36A4" w:rsidP="004C4527">
      <w:pPr>
        <w:spacing w:after="0" w:line="240" w:lineRule="auto"/>
        <w:rPr>
          <w:rFonts w:eastAsia="Times New Roman" w:cs="Arial"/>
          <w:b/>
          <w:bCs/>
          <w:color w:val="000000" w:themeColor="text1"/>
          <w:lang w:val="es-ES_tradnl" w:eastAsia="en-GB"/>
        </w:rPr>
      </w:pPr>
      <w:r w:rsidRPr="00D21980">
        <w:rPr>
          <w:rFonts w:eastAsia="Times New Roman" w:cs="Arial"/>
          <w:b/>
          <w:bCs/>
          <w:color w:val="000000" w:themeColor="text1"/>
          <w:lang w:val="es-ES_tradnl" w:eastAsia="en-GB"/>
        </w:rPr>
        <w:t xml:space="preserve">Objetivo </w:t>
      </w:r>
      <w:r w:rsidR="004C4527" w:rsidRPr="00D21980">
        <w:rPr>
          <w:rFonts w:eastAsia="Times New Roman" w:cs="Arial"/>
          <w:b/>
          <w:bCs/>
          <w:color w:val="000000" w:themeColor="text1"/>
          <w:lang w:val="es-ES_tradnl" w:eastAsia="en-GB"/>
        </w:rPr>
        <w:t>2</w:t>
      </w:r>
    </w:p>
    <w:p w14:paraId="63379702" w14:textId="77777777" w:rsidR="00E7252C" w:rsidRPr="00D21980" w:rsidRDefault="00E7252C" w:rsidP="00E7252C">
      <w:pPr>
        <w:spacing w:after="0" w:line="240" w:lineRule="auto"/>
        <w:rPr>
          <w:rFonts w:eastAsia="Times New Roman" w:cs="Arial"/>
          <w:b/>
          <w:bCs/>
          <w:sz w:val="20"/>
          <w:szCs w:val="20"/>
          <w:lang w:val="es-ES_tradnl" w:eastAsia="en-GB"/>
        </w:rPr>
      </w:pPr>
      <w:r w:rsidRPr="00D21980">
        <w:rPr>
          <w:b/>
          <w:lang w:val="es-ES_tradnl"/>
        </w:rPr>
        <w:t>Llevar a cabo una conservación y un manejo eficaces de la red de sitios Ramsar</w:t>
      </w:r>
    </w:p>
    <w:p w14:paraId="66A91E90" w14:textId="77777777" w:rsidR="00925672" w:rsidRPr="00D21980" w:rsidRDefault="00925672" w:rsidP="004C4527">
      <w:pPr>
        <w:spacing w:after="0" w:line="240" w:lineRule="auto"/>
        <w:rPr>
          <w:rFonts w:eastAsia="Times New Roman" w:cs="Arial"/>
          <w:b/>
          <w:bCs/>
          <w:color w:val="000000" w:themeColor="text1"/>
          <w:sz w:val="20"/>
          <w:szCs w:val="20"/>
          <w:lang w:val="es-ES_tradnl" w:eastAsia="en-GB"/>
        </w:rPr>
      </w:pPr>
    </w:p>
    <w:tbl>
      <w:tblPr>
        <w:tblW w:w="9951" w:type="dxa"/>
        <w:tblInd w:w="-318" w:type="dxa"/>
        <w:tblLook w:val="04A0" w:firstRow="1" w:lastRow="0" w:firstColumn="1" w:lastColumn="0" w:noHBand="0" w:noVBand="1"/>
      </w:tblPr>
      <w:tblGrid>
        <w:gridCol w:w="1986"/>
        <w:gridCol w:w="3260"/>
        <w:gridCol w:w="3260"/>
        <w:gridCol w:w="1445"/>
      </w:tblGrid>
      <w:tr w:rsidR="004C4527" w:rsidRPr="00D21980" w14:paraId="5ADB9510" w14:textId="77777777" w:rsidTr="00925672">
        <w:trPr>
          <w:tblHeader/>
        </w:trPr>
        <w:tc>
          <w:tcPr>
            <w:tcW w:w="1986" w:type="dxa"/>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hideMark/>
          </w:tcPr>
          <w:p w14:paraId="0106574D" w14:textId="486C0611"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lastRenderedPageBreak/>
              <w:t>Meta</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B4FE868" w14:textId="70F93259"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Actividades</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393C9E7" w14:textId="03405027"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Indicador</w:t>
            </w:r>
          </w:p>
        </w:tc>
        <w:tc>
          <w:tcPr>
            <w:tcW w:w="144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7B58C7F" w14:textId="1148D7FC"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Jefe(s) de equipo</w:t>
            </w:r>
          </w:p>
        </w:tc>
      </w:tr>
      <w:tr w:rsidR="004C4527" w:rsidRPr="00D21980" w14:paraId="0A1FBA89" w14:textId="77777777" w:rsidTr="00925672">
        <w:trPr>
          <w:trHeight w:val="1211"/>
        </w:trPr>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F2781B" w14:textId="508F490C"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Meta</w:t>
            </w:r>
            <w:r w:rsidR="004C4527" w:rsidRPr="00D21980">
              <w:rPr>
                <w:rFonts w:eastAsia="Times New Roman" w:cs="Arial"/>
                <w:b/>
                <w:bCs/>
                <w:color w:val="000000" w:themeColor="text1"/>
                <w:sz w:val="20"/>
                <w:szCs w:val="20"/>
                <w:lang w:val="es-ES_tradnl" w:eastAsia="en-GB"/>
              </w:rPr>
              <w:t xml:space="preserve"> 5:</w:t>
            </w:r>
            <w:r w:rsidR="004C4527" w:rsidRPr="00D21980">
              <w:rPr>
                <w:rFonts w:eastAsia="Times New Roman" w:cs="Arial"/>
                <w:b/>
                <w:bCs/>
                <w:color w:val="000000" w:themeColor="text1"/>
                <w:sz w:val="20"/>
                <w:szCs w:val="20"/>
                <w:lang w:val="es-ES_tradnl" w:eastAsia="en-GB"/>
              </w:rPr>
              <w:br/>
            </w:r>
            <w:r w:rsidR="00E7252C" w:rsidRPr="00D21980">
              <w:rPr>
                <w:sz w:val="20"/>
                <w:szCs w:val="20"/>
                <w:lang w:val="es-ES_tradnl"/>
              </w:rPr>
              <w:t>Se mantienen o restauran las características ecológicas de los sitios Ramsar a través de una planificación eficaz y un manejo integrado</w:t>
            </w:r>
            <w:r w:rsidR="004C4527" w:rsidRPr="00D21980">
              <w:rPr>
                <w:rFonts w:eastAsia="Times New Roman" w:cs="Arial"/>
                <w:color w:val="000000" w:themeColor="text1"/>
                <w:sz w:val="20"/>
                <w:szCs w:val="20"/>
                <w:lang w:val="es-ES_tradnl" w:eastAsia="en-GB"/>
              </w:rPr>
              <w:t>.</w:t>
            </w:r>
          </w:p>
        </w:tc>
        <w:tc>
          <w:tcPr>
            <w:tcW w:w="3260" w:type="dxa"/>
            <w:tcBorders>
              <w:top w:val="single" w:sz="4" w:space="0" w:color="auto"/>
              <w:left w:val="single" w:sz="6" w:space="0" w:color="auto"/>
              <w:bottom w:val="single" w:sz="4" w:space="0" w:color="auto"/>
              <w:right w:val="single" w:sz="6" w:space="0" w:color="auto"/>
            </w:tcBorders>
            <w:shd w:val="clear" w:color="auto" w:fill="auto"/>
          </w:tcPr>
          <w:p w14:paraId="54F66FDC" w14:textId="77777777" w:rsidR="004C4527" w:rsidRPr="00D21980" w:rsidRDefault="004C4527" w:rsidP="004C4527">
            <w:pPr>
              <w:spacing w:after="0" w:line="240" w:lineRule="auto"/>
              <w:rPr>
                <w:rFonts w:eastAsia="Times New Roman" w:cs="Arial"/>
                <w:color w:val="000000" w:themeColor="text1"/>
                <w:sz w:val="20"/>
                <w:szCs w:val="20"/>
                <w:lang w:val="es-ES_tradnl" w:eastAsia="en-GB"/>
              </w:rPr>
            </w:pPr>
            <w:r w:rsidRPr="00D21980">
              <w:rPr>
                <w:rFonts w:cs="Arial"/>
                <w:color w:val="000000" w:themeColor="text1"/>
                <w:sz w:val="20"/>
                <w:szCs w:val="20"/>
                <w:lang w:val="es-ES_tradnl"/>
              </w:rPr>
              <w:t xml:space="preserve">5.1 </w:t>
            </w:r>
            <w:r w:rsidR="00E7252C" w:rsidRPr="00D21980">
              <w:rPr>
                <w:rFonts w:cs="Arial"/>
                <w:sz w:val="20"/>
                <w:szCs w:val="20"/>
                <w:lang w:val="es-ES_tradnl"/>
              </w:rPr>
              <w:t xml:space="preserve">Promover la utilización de la R-METT (Herramienta de seguimiento de la efectividad del manejo) con arreglo a la Resolución XII.15, así como el </w:t>
            </w:r>
            <w:r w:rsidR="00E7252C" w:rsidRPr="00D21980">
              <w:rPr>
                <w:rFonts w:cs="Arial"/>
                <w:i/>
                <w:sz w:val="20"/>
                <w:szCs w:val="20"/>
                <w:lang w:val="es-ES_tradnl"/>
              </w:rPr>
              <w:t>Marco integrado para el inventario, la evaluación y el monitoreo de humedales</w:t>
            </w:r>
            <w:r w:rsidR="00E7252C" w:rsidRPr="00D21980">
              <w:rPr>
                <w:rFonts w:cs="Arial"/>
                <w:sz w:val="20"/>
                <w:szCs w:val="20"/>
                <w:lang w:val="es-ES_tradnl"/>
              </w:rPr>
              <w:t>, en la Resolución IX.1, Anexo</w:t>
            </w:r>
            <w:r w:rsidR="00E7252C" w:rsidRPr="00D21980">
              <w:rPr>
                <w:rFonts w:cs="Arial"/>
                <w:color w:val="FF0000"/>
                <w:sz w:val="20"/>
                <w:szCs w:val="20"/>
                <w:lang w:val="es-ES_tradnl"/>
              </w:rPr>
              <w:t xml:space="preserve"> </w:t>
            </w:r>
            <w:r w:rsidR="00E7252C" w:rsidRPr="00D21980">
              <w:rPr>
                <w:rFonts w:cs="Arial"/>
                <w:sz w:val="20"/>
                <w:szCs w:val="20"/>
                <w:lang w:val="es-ES_tradnl"/>
              </w:rPr>
              <w:t>E</w:t>
            </w:r>
            <w:r w:rsidRPr="00D21980">
              <w:rPr>
                <w:rFonts w:cs="Arial"/>
                <w:color w:val="000000" w:themeColor="text1"/>
                <w:sz w:val="20"/>
                <w:szCs w:val="20"/>
                <w:lang w:val="es-ES_tradnl"/>
              </w:rPr>
              <w:t>.</w:t>
            </w:r>
          </w:p>
        </w:tc>
        <w:tc>
          <w:tcPr>
            <w:tcW w:w="3260" w:type="dxa"/>
            <w:tcBorders>
              <w:top w:val="single" w:sz="4" w:space="0" w:color="auto"/>
              <w:left w:val="single" w:sz="6" w:space="0" w:color="auto"/>
              <w:bottom w:val="single" w:sz="4" w:space="0" w:color="auto"/>
              <w:right w:val="single" w:sz="6" w:space="0" w:color="auto"/>
            </w:tcBorders>
            <w:shd w:val="clear" w:color="auto" w:fill="auto"/>
          </w:tcPr>
          <w:p w14:paraId="0D2E32C7" w14:textId="77777777" w:rsidR="004C4527" w:rsidRPr="00D21980" w:rsidRDefault="00E7252C"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Número de países que utilizan la R-METT para evaluar la efectividad del manejo de sus sitios Ramsar en su informe nacional a la COP13.</w:t>
            </w:r>
          </w:p>
        </w:tc>
        <w:tc>
          <w:tcPr>
            <w:tcW w:w="1445" w:type="dxa"/>
            <w:tcBorders>
              <w:top w:val="single" w:sz="4" w:space="0" w:color="auto"/>
              <w:left w:val="single" w:sz="6" w:space="0" w:color="auto"/>
              <w:bottom w:val="single" w:sz="4" w:space="0" w:color="auto"/>
              <w:right w:val="single" w:sz="6" w:space="0" w:color="auto"/>
            </w:tcBorders>
            <w:shd w:val="clear" w:color="auto" w:fill="auto"/>
            <w:noWrap/>
          </w:tcPr>
          <w:p w14:paraId="405EA654" w14:textId="241EF698" w:rsidR="004C452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C452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E7252C" w:rsidRPr="00D21980" w14:paraId="53EB1B88" w14:textId="77777777" w:rsidTr="00925672">
        <w:tc>
          <w:tcPr>
            <w:tcW w:w="1986" w:type="dxa"/>
            <w:vMerge w:val="restart"/>
            <w:tcBorders>
              <w:top w:val="single" w:sz="6" w:space="0" w:color="auto"/>
              <w:left w:val="single" w:sz="4" w:space="0" w:color="auto"/>
              <w:right w:val="single" w:sz="6" w:space="0" w:color="auto"/>
            </w:tcBorders>
            <w:shd w:val="clear" w:color="auto" w:fill="auto"/>
          </w:tcPr>
          <w:p w14:paraId="7E43E153" w14:textId="77777777" w:rsidR="00E7252C" w:rsidRPr="00D21980" w:rsidRDefault="00E7252C" w:rsidP="004C4527">
            <w:pPr>
              <w:spacing w:after="0" w:line="240" w:lineRule="auto"/>
              <w:rPr>
                <w:rFonts w:eastAsia="Times New Roman" w:cs="Arial"/>
                <w:b/>
                <w:bCs/>
                <w:color w:val="000000" w:themeColor="text1"/>
                <w:sz w:val="20"/>
                <w:szCs w:val="20"/>
                <w:lang w:val="es-ES_tradnl" w:eastAsia="en-GB"/>
              </w:rPr>
            </w:pPr>
          </w:p>
        </w:tc>
        <w:tc>
          <w:tcPr>
            <w:tcW w:w="3260" w:type="dxa"/>
            <w:tcBorders>
              <w:top w:val="single" w:sz="4" w:space="0" w:color="auto"/>
              <w:left w:val="single" w:sz="6" w:space="0" w:color="auto"/>
              <w:bottom w:val="single" w:sz="4" w:space="0" w:color="auto"/>
              <w:right w:val="single" w:sz="4" w:space="0" w:color="auto"/>
            </w:tcBorders>
            <w:shd w:val="clear" w:color="auto" w:fill="auto"/>
          </w:tcPr>
          <w:p w14:paraId="0D2818E7" w14:textId="77777777" w:rsidR="00E7252C" w:rsidRPr="00D21980" w:rsidRDefault="00E7252C" w:rsidP="00E7252C">
            <w:pPr>
              <w:spacing w:after="0" w:line="240" w:lineRule="auto"/>
              <w:rPr>
                <w:rFonts w:cs="Arial"/>
                <w:sz w:val="20"/>
                <w:szCs w:val="20"/>
                <w:lang w:val="es-ES_tradnl"/>
              </w:rPr>
            </w:pPr>
            <w:r w:rsidRPr="00D21980">
              <w:rPr>
                <w:rFonts w:cs="Arial"/>
                <w:sz w:val="20"/>
                <w:szCs w:val="20"/>
                <w:lang w:val="es-ES_tradnl"/>
              </w:rPr>
              <w:t>5.2 Prestar asistencia y alentar a las Partes en las medidas de respuesta a los cambios o probables cambios en las características ecológicas de los sitios Ramsar, p. ej., proporcionando asesoramiento directo sobre la aplicación de los principios de uso racional o proponiendo a las Partes que incluyan el sitio o los sitios en el Registro de Montreux o soliciten una Misión Ramsar de Asesoramiento (MRA) (Resolución XII.6 párr. 18).</w:t>
            </w:r>
          </w:p>
        </w:tc>
        <w:tc>
          <w:tcPr>
            <w:tcW w:w="3260" w:type="dxa"/>
            <w:tcBorders>
              <w:top w:val="single" w:sz="4" w:space="0" w:color="auto"/>
              <w:left w:val="nil"/>
              <w:bottom w:val="single" w:sz="4" w:space="0" w:color="auto"/>
              <w:right w:val="single" w:sz="4" w:space="0" w:color="auto"/>
            </w:tcBorders>
            <w:shd w:val="clear" w:color="auto" w:fill="auto"/>
          </w:tcPr>
          <w:p w14:paraId="5650112F" w14:textId="77777777" w:rsidR="00E7252C" w:rsidRPr="00D21980" w:rsidRDefault="00E7252C" w:rsidP="00E7252C">
            <w:pPr>
              <w:spacing w:after="0" w:line="240" w:lineRule="auto"/>
              <w:rPr>
                <w:rFonts w:cs="Arial"/>
                <w:sz w:val="20"/>
                <w:szCs w:val="20"/>
                <w:lang w:val="es-ES_tradnl"/>
              </w:rPr>
            </w:pPr>
            <w:r w:rsidRPr="00D21980">
              <w:rPr>
                <w:rFonts w:cs="Arial"/>
                <w:sz w:val="20"/>
                <w:szCs w:val="20"/>
                <w:lang w:val="es-ES_tradnl"/>
              </w:rPr>
              <w:t>Fondos obtenidos para las MRA. Número de MRA realizadas. Número de sitios suprimidos del Registro de Montreux.</w:t>
            </w:r>
          </w:p>
          <w:p w14:paraId="58B02BEA" w14:textId="77777777" w:rsidR="00E7252C" w:rsidRPr="00D21980" w:rsidRDefault="00E7252C" w:rsidP="004C4527">
            <w:pPr>
              <w:spacing w:after="0" w:line="240" w:lineRule="auto"/>
              <w:rPr>
                <w:rFonts w:cs="Arial"/>
                <w:color w:val="000000" w:themeColor="text1"/>
                <w:sz w:val="20"/>
                <w:szCs w:val="20"/>
                <w:lang w:val="es-ES_tradnl"/>
              </w:rPr>
            </w:pPr>
          </w:p>
          <w:p w14:paraId="799182CD" w14:textId="77777777" w:rsidR="00E7252C" w:rsidRPr="00D21980" w:rsidRDefault="00E7252C" w:rsidP="004C4527">
            <w:pPr>
              <w:spacing w:after="0" w:line="240" w:lineRule="auto"/>
              <w:rPr>
                <w:rFonts w:eastAsia="Times New Roman" w:cs="Arial"/>
                <w:color w:val="000000" w:themeColor="text1"/>
                <w:sz w:val="20"/>
                <w:szCs w:val="20"/>
                <w:lang w:val="es-ES_tradnl" w:eastAsia="en-GB"/>
              </w:rPr>
            </w:pPr>
          </w:p>
        </w:tc>
        <w:tc>
          <w:tcPr>
            <w:tcW w:w="1445" w:type="dxa"/>
            <w:tcBorders>
              <w:top w:val="single" w:sz="4" w:space="0" w:color="auto"/>
              <w:left w:val="nil"/>
              <w:bottom w:val="single" w:sz="4" w:space="0" w:color="auto"/>
              <w:right w:val="single" w:sz="4" w:space="0" w:color="auto"/>
            </w:tcBorders>
            <w:shd w:val="clear" w:color="auto" w:fill="auto"/>
            <w:noWrap/>
          </w:tcPr>
          <w:p w14:paraId="5E53E7A9" w14:textId="7F4D283A" w:rsidR="00E7252C"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E7252C"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E7252C" w:rsidRPr="00D21980" w14:paraId="48723E45" w14:textId="77777777" w:rsidTr="00925672">
        <w:tc>
          <w:tcPr>
            <w:tcW w:w="1986" w:type="dxa"/>
            <w:vMerge/>
            <w:tcBorders>
              <w:left w:val="single" w:sz="4" w:space="0" w:color="auto"/>
              <w:bottom w:val="single" w:sz="4" w:space="0" w:color="auto"/>
              <w:right w:val="single" w:sz="6" w:space="0" w:color="auto"/>
            </w:tcBorders>
            <w:shd w:val="clear" w:color="auto" w:fill="auto"/>
          </w:tcPr>
          <w:p w14:paraId="7D8C01C6" w14:textId="77777777" w:rsidR="00E7252C" w:rsidRPr="00D21980" w:rsidRDefault="00E7252C" w:rsidP="004C4527">
            <w:pPr>
              <w:spacing w:after="0" w:line="240" w:lineRule="auto"/>
              <w:rPr>
                <w:rFonts w:eastAsia="Times New Roman" w:cs="Arial"/>
                <w:b/>
                <w:bCs/>
                <w:color w:val="000000" w:themeColor="text1"/>
                <w:sz w:val="20"/>
                <w:szCs w:val="20"/>
                <w:lang w:val="es-ES_tradnl" w:eastAsia="en-GB"/>
              </w:rPr>
            </w:pPr>
          </w:p>
        </w:tc>
        <w:tc>
          <w:tcPr>
            <w:tcW w:w="3260" w:type="dxa"/>
            <w:tcBorders>
              <w:top w:val="nil"/>
              <w:left w:val="single" w:sz="6" w:space="0" w:color="auto"/>
              <w:bottom w:val="single" w:sz="4" w:space="0" w:color="auto"/>
              <w:right w:val="single" w:sz="4" w:space="0" w:color="auto"/>
            </w:tcBorders>
            <w:shd w:val="clear" w:color="auto" w:fill="auto"/>
          </w:tcPr>
          <w:p w14:paraId="7F2D132B" w14:textId="77777777" w:rsidR="00E7252C" w:rsidRPr="00D21980" w:rsidRDefault="00E7252C" w:rsidP="00E7252C">
            <w:pPr>
              <w:spacing w:after="0" w:line="240" w:lineRule="auto"/>
              <w:rPr>
                <w:rFonts w:cs="Arial"/>
                <w:sz w:val="20"/>
                <w:szCs w:val="20"/>
                <w:lang w:val="es-ES_tradnl"/>
              </w:rPr>
            </w:pPr>
            <w:r w:rsidRPr="00D21980">
              <w:rPr>
                <w:rFonts w:cs="Arial"/>
                <w:sz w:val="20"/>
                <w:szCs w:val="20"/>
                <w:lang w:val="es-ES_tradnl"/>
              </w:rPr>
              <w:t>5.3 Utilizar herramientas e información facilitadas por asociados técnicos para evaluar los cambios en las características ecológicas de los sitios Ramsar (Resolución XII.6 párr. 22).</w:t>
            </w:r>
          </w:p>
        </w:tc>
        <w:tc>
          <w:tcPr>
            <w:tcW w:w="3260" w:type="dxa"/>
            <w:tcBorders>
              <w:top w:val="nil"/>
              <w:left w:val="nil"/>
              <w:bottom w:val="single" w:sz="4" w:space="0" w:color="auto"/>
              <w:right w:val="single" w:sz="4" w:space="0" w:color="auto"/>
            </w:tcBorders>
            <w:shd w:val="clear" w:color="auto" w:fill="auto"/>
          </w:tcPr>
          <w:p w14:paraId="7F455DC4" w14:textId="77777777" w:rsidR="00E7252C" w:rsidRPr="00D21980" w:rsidRDefault="00E7252C" w:rsidP="00E7252C">
            <w:pPr>
              <w:spacing w:after="0" w:line="240" w:lineRule="auto"/>
              <w:rPr>
                <w:rFonts w:eastAsia="Times New Roman" w:cs="Arial"/>
                <w:sz w:val="20"/>
                <w:szCs w:val="20"/>
                <w:lang w:val="es-ES_tradnl" w:eastAsia="en-GB"/>
              </w:rPr>
            </w:pPr>
            <w:r w:rsidRPr="00D21980">
              <w:rPr>
                <w:rFonts w:cs="Arial"/>
                <w:sz w:val="20"/>
                <w:szCs w:val="20"/>
                <w:lang w:val="es-ES_tradnl"/>
              </w:rPr>
              <w:t>Lista de herramientas recopiladas y puestas a disposición de las Partes Contratantes.</w:t>
            </w:r>
          </w:p>
        </w:tc>
        <w:tc>
          <w:tcPr>
            <w:tcW w:w="1445" w:type="dxa"/>
            <w:tcBorders>
              <w:top w:val="nil"/>
              <w:left w:val="nil"/>
              <w:bottom w:val="single" w:sz="4" w:space="0" w:color="auto"/>
              <w:right w:val="single" w:sz="4" w:space="0" w:color="auto"/>
            </w:tcBorders>
            <w:shd w:val="clear" w:color="auto" w:fill="auto"/>
            <w:noWrap/>
          </w:tcPr>
          <w:p w14:paraId="232B1FDE" w14:textId="6CED9DA7" w:rsidR="00E7252C"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E7252C"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D21980" w:rsidRPr="00D21980" w14:paraId="780C54DB" w14:textId="77777777" w:rsidTr="00925672">
        <w:trPr>
          <w:trHeight w:val="1755"/>
        </w:trPr>
        <w:tc>
          <w:tcPr>
            <w:tcW w:w="1986" w:type="dxa"/>
            <w:vMerge w:val="restart"/>
            <w:tcBorders>
              <w:top w:val="single" w:sz="4" w:space="0" w:color="auto"/>
              <w:left w:val="single" w:sz="4" w:space="0" w:color="auto"/>
              <w:right w:val="single" w:sz="4" w:space="0" w:color="auto"/>
            </w:tcBorders>
            <w:shd w:val="clear" w:color="auto" w:fill="auto"/>
            <w:hideMark/>
          </w:tcPr>
          <w:p w14:paraId="61CBC6DD" w14:textId="0B411119"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15589A">
              <w:rPr>
                <w:rFonts w:eastAsia="Times New Roman" w:cs="Arial"/>
                <w:b/>
                <w:bCs/>
                <w:sz w:val="20"/>
                <w:szCs w:val="20"/>
                <w:lang w:val="es-ES_tradnl" w:eastAsia="en-GB"/>
              </w:rPr>
              <w:t>Meta 6:</w:t>
            </w:r>
            <w:r w:rsidRPr="0015589A">
              <w:rPr>
                <w:rFonts w:eastAsia="Times New Roman" w:cs="Arial"/>
                <w:b/>
                <w:bCs/>
                <w:sz w:val="20"/>
                <w:szCs w:val="20"/>
                <w:lang w:val="es-ES_tradnl" w:eastAsia="en-GB"/>
              </w:rPr>
              <w:br/>
            </w:r>
            <w:r w:rsidRPr="0015589A">
              <w:rPr>
                <w:sz w:val="20"/>
                <w:szCs w:val="20"/>
                <w:lang w:val="es-ES_tradnl"/>
              </w:rPr>
              <w:t>Se produce un aumento considerable de la superficie, la cantidad y conectividad ecológica de la red de sitios Ramsar, particularmente en lo que se refiere a tipos de humedales insuficientemente representados, inclusive en ecorregiones insuficientemente representadas y sitios transfronterizos</w:t>
            </w:r>
            <w:r w:rsidRPr="0015589A">
              <w:rPr>
                <w:rFonts w:eastAsia="Times New Roman" w:cs="Arial"/>
                <w:sz w:val="20"/>
                <w:szCs w:val="20"/>
                <w:lang w:val="es-ES_tradnl" w:eastAsia="en-GB"/>
              </w:rPr>
              <w:t>.</w:t>
            </w:r>
          </w:p>
        </w:tc>
        <w:tc>
          <w:tcPr>
            <w:tcW w:w="3260" w:type="dxa"/>
            <w:tcBorders>
              <w:top w:val="nil"/>
              <w:left w:val="single" w:sz="4" w:space="0" w:color="auto"/>
              <w:bottom w:val="single" w:sz="4" w:space="0" w:color="000000"/>
              <w:right w:val="single" w:sz="4" w:space="0" w:color="auto"/>
            </w:tcBorders>
            <w:shd w:val="clear" w:color="auto" w:fill="auto"/>
            <w:hideMark/>
          </w:tcPr>
          <w:p w14:paraId="6198F868" w14:textId="77777777" w:rsidR="00D21980" w:rsidRPr="00D21980" w:rsidRDefault="00D21980" w:rsidP="004D7EE7">
            <w:pPr>
              <w:spacing w:after="0" w:line="240" w:lineRule="auto"/>
              <w:rPr>
                <w:rFonts w:eastAsia="Times New Roman" w:cs="Arial"/>
                <w:color w:val="000000"/>
                <w:sz w:val="20"/>
                <w:szCs w:val="20"/>
                <w:lang w:val="es-ES_tradnl" w:eastAsia="en-GB"/>
              </w:rPr>
            </w:pPr>
            <w:r w:rsidRPr="00D21980">
              <w:rPr>
                <w:rFonts w:eastAsia="Times New Roman" w:cs="Arial"/>
                <w:sz w:val="20"/>
                <w:szCs w:val="20"/>
                <w:lang w:val="es-ES_tradnl" w:eastAsia="en-GB"/>
              </w:rPr>
              <w:t>6.1 Encargarse</w:t>
            </w:r>
            <w:r w:rsidRPr="00D21980">
              <w:rPr>
                <w:rFonts w:eastAsia="Times New Roman" w:cs="Arial"/>
                <w:color w:val="000000"/>
                <w:sz w:val="20"/>
                <w:szCs w:val="20"/>
                <w:lang w:val="es-ES_tradnl" w:eastAsia="en-GB"/>
              </w:rPr>
              <w:t xml:space="preserve"> del mantenimiento y funcionamiento del Servicio de Información sobre Sitios Ramsar (SISR);</w:t>
            </w:r>
          </w:p>
          <w:p w14:paraId="447E8BBE" w14:textId="77777777" w:rsidR="00D21980" w:rsidRPr="00D21980" w:rsidRDefault="00D21980" w:rsidP="004D7EE7">
            <w:pPr>
              <w:spacing w:after="0" w:line="240" w:lineRule="auto"/>
              <w:rPr>
                <w:rFonts w:eastAsia="Times New Roman" w:cs="Arial"/>
                <w:sz w:val="20"/>
                <w:szCs w:val="20"/>
                <w:lang w:val="es-ES_tradnl" w:eastAsia="en-GB"/>
              </w:rPr>
            </w:pPr>
            <w:r w:rsidRPr="00D21980">
              <w:rPr>
                <w:rFonts w:eastAsia="Times New Roman" w:cs="Arial"/>
                <w:color w:val="000000"/>
                <w:sz w:val="20"/>
                <w:szCs w:val="20"/>
                <w:lang w:val="es-ES_tradnl" w:eastAsia="en-GB"/>
              </w:rPr>
              <w:t>el SISR facilita una serie de herramientas y apoyo a las Partes Contratantes para ayudarles a identificar las lagunas y prioridades para la designación de sitios Ramsar adicionales</w:t>
            </w:r>
            <w:r w:rsidRPr="00D21980">
              <w:rPr>
                <w:rFonts w:eastAsia="Times New Roman" w:cs="Arial"/>
                <w:sz w:val="20"/>
                <w:szCs w:val="20"/>
                <w:lang w:val="es-ES_tradnl" w:eastAsia="en-GB"/>
              </w:rPr>
              <w:t xml:space="preserve">. </w:t>
            </w:r>
          </w:p>
        </w:tc>
        <w:tc>
          <w:tcPr>
            <w:tcW w:w="3260" w:type="dxa"/>
            <w:tcBorders>
              <w:top w:val="nil"/>
              <w:left w:val="single" w:sz="4" w:space="0" w:color="auto"/>
              <w:bottom w:val="single" w:sz="4" w:space="0" w:color="000000"/>
              <w:right w:val="single" w:sz="4" w:space="0" w:color="auto"/>
            </w:tcBorders>
            <w:shd w:val="clear" w:color="auto" w:fill="auto"/>
            <w:hideMark/>
          </w:tcPr>
          <w:p w14:paraId="45C3C952" w14:textId="77777777" w:rsidR="00D21980" w:rsidRPr="00D21980" w:rsidRDefault="00D21980" w:rsidP="004D7EE7">
            <w:pPr>
              <w:spacing w:after="0" w:line="240" w:lineRule="auto"/>
              <w:rPr>
                <w:rFonts w:eastAsia="Times New Roman" w:cs="Arial"/>
                <w:sz w:val="20"/>
                <w:szCs w:val="20"/>
                <w:lang w:val="es-ES_tradnl" w:eastAsia="en-GB"/>
              </w:rPr>
            </w:pPr>
            <w:r w:rsidRPr="00D21980">
              <w:rPr>
                <w:rFonts w:eastAsia="Times New Roman" w:cs="Arial"/>
                <w:color w:val="000000"/>
                <w:sz w:val="20"/>
                <w:szCs w:val="20"/>
                <w:lang w:val="es-ES_tradnl" w:eastAsia="en-GB"/>
              </w:rPr>
              <w:t>Servicios eficaces y eficientes brindados a las Partes que se encargan de la designación y las actualizaciones de los sitios Ramsar; mejor comunicación sobre los sitios Ramsar a escala mundial. Mejor entendimiento del estado de conservación de los sitios Ramsar e integración de dichos sitios en redes mundiales de áreas protegidas</w:t>
            </w:r>
            <w:r w:rsidRPr="00D21980">
              <w:rPr>
                <w:rFonts w:eastAsia="Times New Roman" w:cs="Arial"/>
                <w:sz w:val="20"/>
                <w:szCs w:val="20"/>
                <w:lang w:val="es-ES_tradnl" w:eastAsia="en-GB"/>
              </w:rPr>
              <w:t>.</w:t>
            </w:r>
          </w:p>
        </w:tc>
        <w:tc>
          <w:tcPr>
            <w:tcW w:w="1445" w:type="dxa"/>
            <w:tcBorders>
              <w:top w:val="nil"/>
              <w:left w:val="single" w:sz="4" w:space="0" w:color="auto"/>
              <w:bottom w:val="single" w:sz="4" w:space="0" w:color="000000"/>
              <w:right w:val="single" w:sz="4" w:space="0" w:color="auto"/>
            </w:tcBorders>
            <w:shd w:val="clear" w:color="auto" w:fill="auto"/>
            <w:noWrap/>
            <w:hideMark/>
          </w:tcPr>
          <w:p w14:paraId="030F2BB4" w14:textId="33FDD7FB" w:rsidR="00D21980" w:rsidRPr="00D21980" w:rsidRDefault="00D21980"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Equipo básico del SISR</w:t>
            </w:r>
          </w:p>
        </w:tc>
      </w:tr>
      <w:tr w:rsidR="00F06D01" w:rsidRPr="00D21980" w14:paraId="5F1914C0" w14:textId="77777777" w:rsidTr="00925672">
        <w:trPr>
          <w:cantSplit/>
        </w:trPr>
        <w:tc>
          <w:tcPr>
            <w:tcW w:w="1986" w:type="dxa"/>
            <w:vMerge/>
            <w:tcBorders>
              <w:left w:val="single" w:sz="4" w:space="0" w:color="auto"/>
              <w:bottom w:val="single" w:sz="4" w:space="0" w:color="auto"/>
              <w:right w:val="single" w:sz="4" w:space="0" w:color="auto"/>
            </w:tcBorders>
            <w:shd w:val="clear" w:color="auto" w:fill="auto"/>
          </w:tcPr>
          <w:p w14:paraId="0C2045CF" w14:textId="77777777" w:rsidR="00F06D01" w:rsidRPr="00D21980" w:rsidRDefault="00F06D01" w:rsidP="004C4527">
            <w:pPr>
              <w:spacing w:after="0" w:line="240" w:lineRule="auto"/>
              <w:rPr>
                <w:rFonts w:eastAsia="Times New Roman" w:cs="Arial"/>
                <w:b/>
                <w:bCs/>
                <w:color w:val="000000" w:themeColor="text1"/>
                <w:sz w:val="20"/>
                <w:szCs w:val="20"/>
                <w:lang w:val="es-ES_tradnl" w:eastAsia="en-GB"/>
              </w:rPr>
            </w:pPr>
          </w:p>
        </w:tc>
        <w:tc>
          <w:tcPr>
            <w:tcW w:w="3260" w:type="dxa"/>
            <w:tcBorders>
              <w:top w:val="single" w:sz="4" w:space="0" w:color="auto"/>
              <w:left w:val="nil"/>
              <w:bottom w:val="single" w:sz="4" w:space="0" w:color="auto"/>
              <w:right w:val="single" w:sz="4" w:space="0" w:color="auto"/>
            </w:tcBorders>
            <w:shd w:val="clear" w:color="auto" w:fill="auto"/>
          </w:tcPr>
          <w:p w14:paraId="4D22BE23" w14:textId="3A3FD728" w:rsidR="00F06D01" w:rsidRPr="00D21980" w:rsidRDefault="0054724D" w:rsidP="0054724D">
            <w:pPr>
              <w:spacing w:after="0" w:line="240" w:lineRule="auto"/>
              <w:rPr>
                <w:rFonts w:eastAsia="Times New Roman" w:cs="Arial"/>
                <w:sz w:val="20"/>
                <w:szCs w:val="20"/>
                <w:lang w:val="es-ES_tradnl" w:eastAsia="en-GB"/>
              </w:rPr>
            </w:pPr>
            <w:r w:rsidRPr="00D21980">
              <w:rPr>
                <w:rFonts w:cs="Arial"/>
                <w:sz w:val="20"/>
                <w:szCs w:val="20"/>
                <w:lang w:val="es-ES_tradnl"/>
              </w:rPr>
              <w:t>6.2 Ayudar a los países</w:t>
            </w:r>
            <w:r w:rsidR="00F06D01" w:rsidRPr="00D21980">
              <w:rPr>
                <w:rFonts w:cs="Arial"/>
                <w:sz w:val="20"/>
                <w:szCs w:val="20"/>
                <w:lang w:val="es-ES_tradnl"/>
              </w:rPr>
              <w:t xml:space="preserve"> a aplicar urgentemente la Resolución VI.13 y presentar información actualizada sobre sus sitios Ramsar al menos cada seis años utilizando la Ficha de Información Ramsar (FIR) en línea, también para designar nuevos sitios y ampliar sitios existentes.</w:t>
            </w:r>
          </w:p>
        </w:tc>
        <w:tc>
          <w:tcPr>
            <w:tcW w:w="3260" w:type="dxa"/>
            <w:tcBorders>
              <w:top w:val="single" w:sz="4" w:space="0" w:color="auto"/>
              <w:left w:val="nil"/>
              <w:bottom w:val="single" w:sz="4" w:space="0" w:color="auto"/>
              <w:right w:val="single" w:sz="4" w:space="0" w:color="auto"/>
            </w:tcBorders>
            <w:shd w:val="clear" w:color="auto" w:fill="auto"/>
          </w:tcPr>
          <w:p w14:paraId="48E5176F" w14:textId="398CA1FA"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Videos de formación sobre el SISR elaborados. Número de sitios actualizados en el SISR.</w:t>
            </w:r>
          </w:p>
        </w:tc>
        <w:tc>
          <w:tcPr>
            <w:tcW w:w="1445" w:type="dxa"/>
            <w:tcBorders>
              <w:top w:val="single" w:sz="4" w:space="0" w:color="auto"/>
              <w:left w:val="nil"/>
              <w:bottom w:val="single" w:sz="4" w:space="0" w:color="auto"/>
              <w:right w:val="single" w:sz="4" w:space="0" w:color="auto"/>
            </w:tcBorders>
            <w:shd w:val="clear" w:color="auto" w:fill="auto"/>
            <w:noWrap/>
          </w:tcPr>
          <w:p w14:paraId="17C0EB8C" w14:textId="32A0D83E" w:rsidR="00F06D01"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F06D01"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F06D01" w:rsidRPr="00D21980" w14:paraId="3358555C" w14:textId="77777777" w:rsidTr="00925672">
        <w:trPr>
          <w:cantSplit/>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14:paraId="603E011C" w14:textId="77777777" w:rsidR="00F06D01" w:rsidRPr="00D21980" w:rsidRDefault="00F06D01" w:rsidP="004C4527">
            <w:pPr>
              <w:spacing w:after="0" w:line="240" w:lineRule="auto"/>
              <w:rPr>
                <w:rFonts w:eastAsia="Times New Roman" w:cs="Arial"/>
                <w:b/>
                <w:bCs/>
                <w:color w:val="000000" w:themeColor="text1"/>
                <w:sz w:val="20"/>
                <w:szCs w:val="20"/>
                <w:lang w:val="es-ES_tradnl" w:eastAsia="en-GB"/>
              </w:rPr>
            </w:pPr>
          </w:p>
        </w:tc>
        <w:tc>
          <w:tcPr>
            <w:tcW w:w="3260" w:type="dxa"/>
            <w:tcBorders>
              <w:top w:val="single" w:sz="4" w:space="0" w:color="auto"/>
              <w:left w:val="nil"/>
              <w:bottom w:val="single" w:sz="4" w:space="0" w:color="auto"/>
              <w:right w:val="single" w:sz="4" w:space="0" w:color="auto"/>
            </w:tcBorders>
            <w:shd w:val="clear" w:color="auto" w:fill="auto"/>
          </w:tcPr>
          <w:p w14:paraId="45BD7693" w14:textId="7265C375" w:rsidR="00F06D01" w:rsidRPr="00D21980" w:rsidRDefault="00F06D01" w:rsidP="004C4527">
            <w:pPr>
              <w:spacing w:after="0" w:line="240" w:lineRule="auto"/>
              <w:rPr>
                <w:rFonts w:cs="Arial"/>
                <w:color w:val="000000" w:themeColor="text1"/>
                <w:sz w:val="20"/>
                <w:szCs w:val="20"/>
                <w:lang w:val="es-ES_tradnl"/>
              </w:rPr>
            </w:pPr>
            <w:r w:rsidRPr="00D21980">
              <w:rPr>
                <w:rFonts w:eastAsia="Times New Roman" w:cs="Arial"/>
                <w:sz w:val="20"/>
                <w:szCs w:val="20"/>
                <w:lang w:val="es-ES_tradnl" w:eastAsia="en-GB"/>
              </w:rPr>
              <w:t>6.3 Gestionar y tramitar las nuevas designaciones y actualizaciones de sitios Ramsar, velar por que se completen los datos y mapas del SISR (Resolución XII.6 párr. 12). Promover la realización de inventarios de humedales y las designación de nuevos sitios Ramsar.</w:t>
            </w:r>
          </w:p>
        </w:tc>
        <w:tc>
          <w:tcPr>
            <w:tcW w:w="3260" w:type="dxa"/>
            <w:tcBorders>
              <w:top w:val="single" w:sz="4" w:space="0" w:color="auto"/>
              <w:left w:val="nil"/>
              <w:bottom w:val="single" w:sz="4" w:space="0" w:color="auto"/>
              <w:right w:val="single" w:sz="4" w:space="0" w:color="auto"/>
            </w:tcBorders>
            <w:shd w:val="clear" w:color="auto" w:fill="auto"/>
          </w:tcPr>
          <w:p w14:paraId="107AB25B" w14:textId="4BD008CF" w:rsidR="00F06D01" w:rsidRPr="00D21980" w:rsidRDefault="00F06D01" w:rsidP="004C4527">
            <w:pPr>
              <w:spacing w:after="0" w:line="240" w:lineRule="auto"/>
              <w:rPr>
                <w:rFonts w:cs="Arial"/>
                <w:color w:val="000000" w:themeColor="text1"/>
                <w:sz w:val="20"/>
                <w:szCs w:val="20"/>
                <w:lang w:val="es-ES_tradnl"/>
              </w:rPr>
            </w:pPr>
            <w:r w:rsidRPr="00D21980">
              <w:rPr>
                <w:rFonts w:eastAsia="Times New Roman" w:cs="Arial"/>
                <w:sz w:val="20"/>
                <w:szCs w:val="20"/>
                <w:lang w:val="es-ES_tradnl" w:eastAsia="en-GB"/>
              </w:rPr>
              <w:t>Todas las FIR debidamente completadas y actualizadas; información sobre todos los sitios Ramsar resumida y puesta a disposición; cartas y certificados enviados. Aumento de la superficie de los humedales incluidos en la Lista de Ramsar. Aumento del número de sitios Ramsar.</w:t>
            </w:r>
          </w:p>
        </w:tc>
        <w:tc>
          <w:tcPr>
            <w:tcW w:w="1445" w:type="dxa"/>
            <w:tcBorders>
              <w:top w:val="single" w:sz="4" w:space="0" w:color="auto"/>
              <w:left w:val="nil"/>
              <w:bottom w:val="single" w:sz="4" w:space="0" w:color="auto"/>
              <w:right w:val="single" w:sz="4" w:space="0" w:color="auto"/>
            </w:tcBorders>
            <w:shd w:val="clear" w:color="auto" w:fill="auto"/>
            <w:noWrap/>
          </w:tcPr>
          <w:p w14:paraId="4E191570" w14:textId="5F6E196D" w:rsidR="00F06D01"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F06D01"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F06D01" w:rsidRPr="00D21980" w14:paraId="337DD0B8" w14:textId="77777777" w:rsidTr="00925672">
        <w:tc>
          <w:tcPr>
            <w:tcW w:w="1986" w:type="dxa"/>
            <w:vMerge/>
            <w:tcBorders>
              <w:left w:val="single" w:sz="4" w:space="0" w:color="auto"/>
              <w:bottom w:val="single" w:sz="4" w:space="0" w:color="auto"/>
              <w:right w:val="single" w:sz="4" w:space="0" w:color="auto"/>
            </w:tcBorders>
            <w:shd w:val="clear" w:color="auto" w:fill="auto"/>
          </w:tcPr>
          <w:p w14:paraId="5ECF84EF" w14:textId="77777777" w:rsidR="00F06D01" w:rsidRPr="00D21980" w:rsidRDefault="00F06D01" w:rsidP="004C4527">
            <w:pPr>
              <w:spacing w:after="0" w:line="240" w:lineRule="auto"/>
              <w:rPr>
                <w:rFonts w:eastAsia="Times New Roman" w:cs="Arial"/>
                <w:b/>
                <w:bCs/>
                <w:color w:val="000000" w:themeColor="text1"/>
                <w:sz w:val="20"/>
                <w:szCs w:val="20"/>
                <w:lang w:val="es-ES_tradnl" w:eastAsia="en-GB"/>
              </w:rPr>
            </w:pPr>
          </w:p>
        </w:tc>
        <w:tc>
          <w:tcPr>
            <w:tcW w:w="3260" w:type="dxa"/>
            <w:tcBorders>
              <w:top w:val="single" w:sz="4" w:space="0" w:color="auto"/>
              <w:left w:val="nil"/>
              <w:bottom w:val="single" w:sz="4" w:space="0" w:color="auto"/>
              <w:right w:val="single" w:sz="4" w:space="0" w:color="auto"/>
            </w:tcBorders>
            <w:shd w:val="clear" w:color="auto" w:fill="auto"/>
          </w:tcPr>
          <w:p w14:paraId="5A2BAED9" w14:textId="7293A084" w:rsidR="00F06D01" w:rsidRPr="00D21980" w:rsidRDefault="00F06D01" w:rsidP="004C4527">
            <w:pPr>
              <w:spacing w:after="0" w:line="240" w:lineRule="auto"/>
              <w:rPr>
                <w:rFonts w:eastAsia="Times New Roman" w:cs="Times New Roman"/>
                <w:color w:val="000000" w:themeColor="text1"/>
                <w:sz w:val="20"/>
                <w:szCs w:val="20"/>
                <w:lang w:val="es-ES_tradnl"/>
              </w:rPr>
            </w:pPr>
            <w:r w:rsidRPr="00D21980">
              <w:rPr>
                <w:rFonts w:eastAsia="Times New Roman" w:cs="Times New Roman"/>
                <w:sz w:val="20"/>
                <w:szCs w:val="20"/>
                <w:lang w:val="es-ES_tradnl"/>
              </w:rPr>
              <w:t>6.4 Alentar a todas las Partes Contratantes a incluir en la Lista de Ramsar al menos a una zona de turberas que sea adecuada para crear conciencia acerca del uso racional de las turberas y sus servicios (Resolución XI.11 párr. 22).</w:t>
            </w:r>
          </w:p>
        </w:tc>
        <w:tc>
          <w:tcPr>
            <w:tcW w:w="3260" w:type="dxa"/>
            <w:tcBorders>
              <w:top w:val="single" w:sz="4" w:space="0" w:color="auto"/>
              <w:left w:val="nil"/>
              <w:bottom w:val="single" w:sz="4" w:space="0" w:color="auto"/>
              <w:right w:val="single" w:sz="4" w:space="0" w:color="auto"/>
            </w:tcBorders>
            <w:shd w:val="clear" w:color="auto" w:fill="auto"/>
          </w:tcPr>
          <w:p w14:paraId="58DF957E" w14:textId="1CB51001" w:rsidR="00F06D01" w:rsidRPr="00D21980" w:rsidRDefault="00F06D01" w:rsidP="004C4527">
            <w:pPr>
              <w:spacing w:after="0" w:line="240" w:lineRule="auto"/>
              <w:rPr>
                <w:rFonts w:eastAsia="Times New Roman" w:cs="Times New Roman"/>
                <w:color w:val="000000" w:themeColor="text1"/>
                <w:sz w:val="20"/>
                <w:szCs w:val="20"/>
                <w:lang w:val="es-ES_tradnl"/>
              </w:rPr>
            </w:pPr>
            <w:r w:rsidRPr="00D21980">
              <w:rPr>
                <w:rFonts w:eastAsia="Times New Roman" w:cs="Times New Roman"/>
                <w:sz w:val="20"/>
                <w:szCs w:val="20"/>
                <w:lang w:val="es-ES_tradnl"/>
              </w:rPr>
              <w:t>Número de nuevas turberas incluidas en la Lista de Ramsar.</w:t>
            </w:r>
          </w:p>
        </w:tc>
        <w:tc>
          <w:tcPr>
            <w:tcW w:w="1445" w:type="dxa"/>
            <w:tcBorders>
              <w:top w:val="single" w:sz="4" w:space="0" w:color="auto"/>
              <w:left w:val="nil"/>
              <w:bottom w:val="single" w:sz="4" w:space="0" w:color="auto"/>
              <w:right w:val="single" w:sz="4" w:space="0" w:color="auto"/>
            </w:tcBorders>
            <w:shd w:val="clear" w:color="auto" w:fill="auto"/>
            <w:noWrap/>
          </w:tcPr>
          <w:p w14:paraId="1476FABD" w14:textId="73803954" w:rsidR="00F06D01"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F06D01" w:rsidRPr="00D21980">
              <w:rPr>
                <w:rFonts w:eastAsia="Times New Roman" w:cs="Arial"/>
                <w:color w:val="000000" w:themeColor="text1"/>
                <w:sz w:val="20"/>
                <w:szCs w:val="20"/>
                <w:lang w:val="es-ES_tradnl" w:eastAsia="en-GB"/>
              </w:rPr>
              <w:t>/</w:t>
            </w:r>
            <w:r w:rsidR="00AA0F80" w:rsidRPr="00D21980">
              <w:rPr>
                <w:rFonts w:eastAsia="Times New Roman" w:cs="Arial"/>
                <w:color w:val="000000" w:themeColor="text1"/>
                <w:sz w:val="20"/>
                <w:szCs w:val="20"/>
                <w:lang w:val="es-ES_tradnl" w:eastAsia="en-GB"/>
              </w:rPr>
              <w:t>Oficial de Tecn. de la Información</w:t>
            </w:r>
          </w:p>
        </w:tc>
      </w:tr>
      <w:tr w:rsidR="00D21980" w:rsidRPr="00D21980" w14:paraId="1B649553" w14:textId="77777777" w:rsidTr="00925672">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CBCF530" w14:textId="09359093"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15589A">
              <w:rPr>
                <w:rFonts w:eastAsia="Times New Roman" w:cs="Arial"/>
                <w:b/>
                <w:bCs/>
                <w:sz w:val="20"/>
                <w:szCs w:val="20"/>
                <w:lang w:val="es-ES_tradnl" w:eastAsia="en-GB"/>
              </w:rPr>
              <w:t>Meta 7:</w:t>
            </w:r>
            <w:r>
              <w:rPr>
                <w:rFonts w:eastAsia="Times New Roman" w:cs="Arial"/>
                <w:b/>
                <w:bCs/>
                <w:sz w:val="20"/>
                <w:szCs w:val="20"/>
                <w:lang w:val="es-ES_tradnl" w:eastAsia="en-GB"/>
              </w:rPr>
              <w:tab/>
            </w:r>
            <w:r w:rsidRPr="0015589A">
              <w:rPr>
                <w:rFonts w:eastAsia="Times New Roman" w:cs="Arial"/>
                <w:b/>
                <w:bCs/>
                <w:sz w:val="20"/>
                <w:szCs w:val="20"/>
                <w:lang w:val="es-ES_tradnl" w:eastAsia="en-GB"/>
              </w:rPr>
              <w:br/>
            </w:r>
            <w:r w:rsidRPr="0015589A">
              <w:rPr>
                <w:sz w:val="20"/>
                <w:szCs w:val="20"/>
                <w:lang w:val="es-ES_tradnl"/>
              </w:rPr>
              <w:t>Se hace frente a las amenazas de los sitios con riesgo de cambios en sus características ecológicas</w:t>
            </w:r>
            <w:r w:rsidRPr="0015589A">
              <w:rPr>
                <w:rFonts w:eastAsia="Times New Roman" w:cs="Arial"/>
                <w:sz w:val="20"/>
                <w:szCs w:val="20"/>
                <w:lang w:val="es-ES_tradnl" w:eastAsia="en-GB"/>
              </w:rPr>
              <w:t>.</w:t>
            </w:r>
          </w:p>
        </w:tc>
        <w:tc>
          <w:tcPr>
            <w:tcW w:w="3260" w:type="dxa"/>
            <w:tcBorders>
              <w:top w:val="single" w:sz="4" w:space="0" w:color="auto"/>
              <w:left w:val="nil"/>
              <w:bottom w:val="single" w:sz="4" w:space="0" w:color="auto"/>
              <w:right w:val="single" w:sz="4" w:space="0" w:color="auto"/>
            </w:tcBorders>
            <w:shd w:val="clear" w:color="auto" w:fill="auto"/>
            <w:hideMark/>
          </w:tcPr>
          <w:p w14:paraId="7817242D" w14:textId="79DFBAD6"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7.1 Asesorar a las Partes sobre cuestiones relativas al Artículo 3.2, al Registro de Montreux y a las Misiones Ramsar de Asesoramiento</w:t>
            </w:r>
            <w:r w:rsidRPr="00D21980">
              <w:rPr>
                <w:rFonts w:eastAsia="Times New Roman" w:cs="Arial"/>
                <w:color w:val="000000"/>
                <w:sz w:val="20"/>
                <w:szCs w:val="20"/>
                <w:lang w:val="es-ES_tradnl" w:eastAsia="en-GB"/>
              </w:rPr>
              <w:t>; realizar un seguimiento periódico de las Partes en cualquier situación de posible riesgo y trabajar para resolver los problemas</w:t>
            </w:r>
            <w:r w:rsidRPr="00D21980">
              <w:rPr>
                <w:rFonts w:eastAsia="Times New Roman" w:cs="Arial"/>
                <w:sz w:val="20"/>
                <w:szCs w:val="20"/>
                <w:lang w:val="es-ES_tradnl" w:eastAsia="en-GB"/>
              </w:rPr>
              <w:t>.</w:t>
            </w:r>
          </w:p>
        </w:tc>
        <w:tc>
          <w:tcPr>
            <w:tcW w:w="3260" w:type="dxa"/>
            <w:tcBorders>
              <w:top w:val="single" w:sz="4" w:space="0" w:color="auto"/>
              <w:left w:val="nil"/>
              <w:bottom w:val="single" w:sz="4" w:space="0" w:color="auto"/>
              <w:right w:val="single" w:sz="4" w:space="0" w:color="auto"/>
            </w:tcBorders>
            <w:shd w:val="clear" w:color="auto" w:fill="auto"/>
            <w:hideMark/>
          </w:tcPr>
          <w:p w14:paraId="2AD3C85D" w14:textId="650A9515"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Número de expedientes abiertos del artículo 3.2 resueltos. Número de sitios suprimidos del Registro de Montreux.</w:t>
            </w:r>
          </w:p>
        </w:tc>
        <w:tc>
          <w:tcPr>
            <w:tcW w:w="1445" w:type="dxa"/>
            <w:tcBorders>
              <w:top w:val="single" w:sz="4" w:space="0" w:color="auto"/>
              <w:left w:val="nil"/>
              <w:bottom w:val="single" w:sz="4" w:space="0" w:color="auto"/>
              <w:right w:val="single" w:sz="4" w:space="0" w:color="auto"/>
            </w:tcBorders>
            <w:shd w:val="clear" w:color="auto" w:fill="auto"/>
            <w:noWrap/>
            <w:hideMark/>
          </w:tcPr>
          <w:p w14:paraId="19BA4E8F" w14:textId="29896C7A"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SGA/ARS</w:t>
            </w:r>
          </w:p>
        </w:tc>
      </w:tr>
    </w:tbl>
    <w:p w14:paraId="7CC14EAA"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p w14:paraId="1EF3D4D5"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p w14:paraId="0B38B9A3" w14:textId="57B62C99" w:rsidR="004C4527" w:rsidRPr="00D21980" w:rsidRDefault="005D36A4" w:rsidP="004C4527">
      <w:pPr>
        <w:spacing w:after="0" w:line="240" w:lineRule="auto"/>
        <w:rPr>
          <w:rFonts w:eastAsia="Times New Roman" w:cs="Arial"/>
          <w:b/>
          <w:bCs/>
          <w:color w:val="000000" w:themeColor="text1"/>
          <w:lang w:val="es-ES_tradnl" w:eastAsia="en-GB"/>
        </w:rPr>
      </w:pPr>
      <w:r w:rsidRPr="00D21980">
        <w:rPr>
          <w:rFonts w:eastAsia="Times New Roman" w:cs="Arial"/>
          <w:b/>
          <w:bCs/>
          <w:color w:val="000000" w:themeColor="text1"/>
          <w:lang w:val="es-ES_tradnl" w:eastAsia="en-GB"/>
        </w:rPr>
        <w:t xml:space="preserve">Objetivo </w:t>
      </w:r>
      <w:r w:rsidR="004C4527" w:rsidRPr="00D21980">
        <w:rPr>
          <w:rFonts w:eastAsia="Times New Roman" w:cs="Arial"/>
          <w:b/>
          <w:bCs/>
          <w:color w:val="000000" w:themeColor="text1"/>
          <w:lang w:val="es-ES_tradnl" w:eastAsia="en-GB"/>
        </w:rPr>
        <w:t>3</w:t>
      </w:r>
    </w:p>
    <w:p w14:paraId="23E9C14C" w14:textId="77777777" w:rsidR="00F06D01" w:rsidRPr="00D21980" w:rsidRDefault="00F06D01" w:rsidP="00F06D01">
      <w:pPr>
        <w:spacing w:after="0" w:line="240" w:lineRule="auto"/>
        <w:rPr>
          <w:rFonts w:eastAsia="Times New Roman" w:cs="Arial"/>
          <w:b/>
          <w:bCs/>
          <w:sz w:val="20"/>
          <w:szCs w:val="20"/>
          <w:lang w:val="es-ES_tradnl" w:eastAsia="en-GB"/>
        </w:rPr>
      </w:pPr>
      <w:r w:rsidRPr="00D21980">
        <w:rPr>
          <w:b/>
          <w:lang w:val="es-ES_tradnl"/>
        </w:rPr>
        <w:t>Realizar un uso racional de todos los humedales</w:t>
      </w:r>
    </w:p>
    <w:p w14:paraId="318AD896" w14:textId="77777777" w:rsidR="00925672" w:rsidRPr="00D21980" w:rsidRDefault="00925672" w:rsidP="004C4527">
      <w:pPr>
        <w:spacing w:after="0" w:line="240" w:lineRule="auto"/>
        <w:rPr>
          <w:rFonts w:eastAsia="Times New Roman" w:cs="Arial"/>
          <w:b/>
          <w:bCs/>
          <w:color w:val="000000" w:themeColor="text1"/>
          <w:sz w:val="20"/>
          <w:szCs w:val="20"/>
          <w:lang w:val="es-ES_tradnl" w:eastAsia="en-GB"/>
        </w:rPr>
      </w:pPr>
    </w:p>
    <w:tbl>
      <w:tblPr>
        <w:tblW w:w="99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260"/>
        <w:gridCol w:w="3274"/>
        <w:gridCol w:w="1418"/>
      </w:tblGrid>
      <w:tr w:rsidR="004C4527" w:rsidRPr="00D21980" w14:paraId="62F476FE" w14:textId="77777777" w:rsidTr="00925672">
        <w:trPr>
          <w:cantSplit/>
          <w:tblHeader/>
        </w:trPr>
        <w:tc>
          <w:tcPr>
            <w:tcW w:w="1986" w:type="dxa"/>
            <w:shd w:val="clear" w:color="auto" w:fill="C6D9F1" w:themeFill="text2" w:themeFillTint="33"/>
            <w:vAlign w:val="center"/>
            <w:hideMark/>
          </w:tcPr>
          <w:p w14:paraId="36A3BF85" w14:textId="4FF59007"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Meta</w:t>
            </w:r>
          </w:p>
        </w:tc>
        <w:tc>
          <w:tcPr>
            <w:tcW w:w="3260" w:type="dxa"/>
            <w:shd w:val="clear" w:color="auto" w:fill="C6D9F1" w:themeFill="text2" w:themeFillTint="33"/>
            <w:noWrap/>
            <w:vAlign w:val="center"/>
            <w:hideMark/>
          </w:tcPr>
          <w:p w14:paraId="42F720AA" w14:textId="582E37C2"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Actividades</w:t>
            </w:r>
          </w:p>
        </w:tc>
        <w:tc>
          <w:tcPr>
            <w:tcW w:w="3274" w:type="dxa"/>
            <w:shd w:val="clear" w:color="auto" w:fill="C6D9F1" w:themeFill="text2" w:themeFillTint="33"/>
            <w:noWrap/>
            <w:vAlign w:val="center"/>
            <w:hideMark/>
          </w:tcPr>
          <w:p w14:paraId="1DAD0150" w14:textId="67A036CE"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Indicador</w:t>
            </w:r>
          </w:p>
        </w:tc>
        <w:tc>
          <w:tcPr>
            <w:tcW w:w="1418" w:type="dxa"/>
            <w:shd w:val="clear" w:color="auto" w:fill="C6D9F1" w:themeFill="text2" w:themeFillTint="33"/>
            <w:vAlign w:val="center"/>
            <w:hideMark/>
          </w:tcPr>
          <w:p w14:paraId="11180E97" w14:textId="3DDE8BFF"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Jefe(s) de equipo</w:t>
            </w:r>
          </w:p>
        </w:tc>
      </w:tr>
      <w:tr w:rsidR="00F06D01" w:rsidRPr="00D21980" w14:paraId="26F254A7" w14:textId="77777777" w:rsidTr="00925672">
        <w:trPr>
          <w:cantSplit/>
        </w:trPr>
        <w:tc>
          <w:tcPr>
            <w:tcW w:w="1986" w:type="dxa"/>
            <w:vMerge w:val="restart"/>
            <w:shd w:val="clear" w:color="auto" w:fill="auto"/>
            <w:hideMark/>
          </w:tcPr>
          <w:p w14:paraId="5785DAB2" w14:textId="0EAF48C1"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Meta 8:</w:t>
            </w:r>
            <w:r w:rsidRPr="00D21980">
              <w:rPr>
                <w:rFonts w:eastAsia="Times New Roman" w:cs="Arial"/>
                <w:b/>
                <w:bCs/>
                <w:sz w:val="20"/>
                <w:szCs w:val="20"/>
                <w:lang w:val="es-ES_tradnl" w:eastAsia="en-GB"/>
              </w:rPr>
              <w:br/>
            </w:r>
            <w:r w:rsidRPr="00D21980">
              <w:rPr>
                <w:sz w:val="20"/>
                <w:szCs w:val="20"/>
                <w:lang w:val="es-ES_tradnl"/>
              </w:rPr>
              <w:t>Se han iniciado, completado o actualizado, divulgado y utilizado inventarios nacionales de humedales para promover la conservación y el manejo eficaz de todos los humedales</w:t>
            </w:r>
            <w:r w:rsidRPr="00D21980">
              <w:rPr>
                <w:rFonts w:eastAsia="Times New Roman" w:cs="Arial"/>
                <w:sz w:val="20"/>
                <w:szCs w:val="20"/>
                <w:lang w:val="es-ES_tradnl" w:eastAsia="en-GB"/>
              </w:rPr>
              <w:t>.</w:t>
            </w:r>
          </w:p>
        </w:tc>
        <w:tc>
          <w:tcPr>
            <w:tcW w:w="3260" w:type="dxa"/>
            <w:shd w:val="clear" w:color="auto" w:fill="auto"/>
            <w:hideMark/>
          </w:tcPr>
          <w:p w14:paraId="4523B222" w14:textId="7705F30C"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8.1 Crear una biblioteca en línea de inventarios nacionales de humedales en la que también se incluyan las turberas (Resolución XII.11 párr. 24). Crear un sistema mundial de observación de los humedales a través de asociaciones de colaboración que se financie mediante contribuciones voluntarias para mejorar la accesibilidad de los datos y la información sobre los humedales; incrementar los conocimientos mundiales sobre el estado y la extensión de los humedales con el informe “Estado de los humedales del mundo…” y otros medios para apoyar el seguimiento de las metas de los Objetivos de Desarrollo Sostenible (ODS) y las metas de Aichi. </w:t>
            </w:r>
          </w:p>
        </w:tc>
        <w:tc>
          <w:tcPr>
            <w:tcW w:w="3274" w:type="dxa"/>
            <w:shd w:val="clear" w:color="auto" w:fill="auto"/>
            <w:hideMark/>
          </w:tcPr>
          <w:p w14:paraId="408A8CBD" w14:textId="77777777" w:rsidR="00F06D01" w:rsidRPr="00D21980" w:rsidRDefault="00F06D01" w:rsidP="004D7EE7">
            <w:pPr>
              <w:spacing w:after="0" w:line="240" w:lineRule="auto"/>
              <w:rPr>
                <w:rFonts w:eastAsia="Times New Roman" w:cs="Arial"/>
                <w:color w:val="000000"/>
                <w:sz w:val="20"/>
                <w:szCs w:val="20"/>
                <w:lang w:val="es-ES_tradnl" w:eastAsia="en-GB"/>
              </w:rPr>
            </w:pPr>
            <w:r w:rsidRPr="00D21980">
              <w:rPr>
                <w:rFonts w:eastAsia="Times New Roman" w:cs="Arial"/>
                <w:color w:val="000000"/>
                <w:sz w:val="20"/>
                <w:szCs w:val="20"/>
                <w:lang w:val="es-ES_tradnl" w:eastAsia="en-GB"/>
              </w:rPr>
              <w:t>Se ha creado una metabase de datos a través de la Web de fácil acceso que está gestionada por la Secretaría y contiene información sobre todos los inventarios nacionales de humedales y está vinculada a bases de datos nacionales y otras bases de datos internacionales pertinentes.</w:t>
            </w:r>
          </w:p>
          <w:p w14:paraId="0DF57E75" w14:textId="1E46170A"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Los datos y la información sobre la distribución y el estado de los humedales a escala mundial derivados de satélites y otras fuentes están disponibles a través de mecanismos de portales en Internet</w:t>
            </w:r>
            <w:r w:rsidRPr="00D21980">
              <w:rPr>
                <w:rFonts w:eastAsia="Times New Roman" w:cs="Arial"/>
                <w:sz w:val="20"/>
                <w:szCs w:val="20"/>
                <w:lang w:val="es-ES_tradnl" w:eastAsia="en-GB"/>
              </w:rPr>
              <w:t xml:space="preserve">. </w:t>
            </w:r>
          </w:p>
        </w:tc>
        <w:tc>
          <w:tcPr>
            <w:tcW w:w="1418" w:type="dxa"/>
            <w:shd w:val="clear" w:color="auto" w:fill="auto"/>
            <w:hideMark/>
          </w:tcPr>
          <w:p w14:paraId="1E00FCE3" w14:textId="26808649"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5D36A4" w:rsidRPr="00D21980">
              <w:rPr>
                <w:rFonts w:eastAsia="Times New Roman" w:cs="Arial"/>
                <w:color w:val="000000" w:themeColor="text1"/>
                <w:sz w:val="20"/>
                <w:szCs w:val="20"/>
                <w:lang w:val="es-ES_tradnl" w:eastAsia="en-GB"/>
              </w:rPr>
              <w:t>SGA</w:t>
            </w:r>
            <w:r w:rsidRPr="00D21980">
              <w:rPr>
                <w:rFonts w:eastAsia="Times New Roman" w:cs="Arial"/>
                <w:color w:val="000000" w:themeColor="text1"/>
                <w:sz w:val="20"/>
                <w:szCs w:val="20"/>
                <w:lang w:val="es-ES_tradnl" w:eastAsia="en-GB"/>
              </w:rPr>
              <w:t>/</w:t>
            </w:r>
            <w:r w:rsidR="00AA0F80" w:rsidRPr="00D21980">
              <w:rPr>
                <w:rFonts w:eastAsia="Times New Roman" w:cs="Arial"/>
                <w:color w:val="000000" w:themeColor="text1"/>
                <w:sz w:val="20"/>
                <w:szCs w:val="20"/>
                <w:lang w:val="es-ES_tradnl" w:eastAsia="en-GB"/>
              </w:rPr>
              <w:t>Resp. de Comunic.</w:t>
            </w:r>
            <w:r w:rsidRPr="00D21980">
              <w:rPr>
                <w:rFonts w:eastAsia="Times New Roman" w:cs="Arial"/>
                <w:color w:val="000000" w:themeColor="text1"/>
                <w:sz w:val="20"/>
                <w:szCs w:val="20"/>
                <w:lang w:val="es-ES_tradnl" w:eastAsia="en-GB"/>
              </w:rPr>
              <w:br/>
            </w:r>
          </w:p>
        </w:tc>
      </w:tr>
      <w:tr w:rsidR="00F06D01" w:rsidRPr="00D21980" w14:paraId="456C1F41" w14:textId="77777777" w:rsidTr="00925672">
        <w:trPr>
          <w:cantSplit/>
          <w:trHeight w:val="1614"/>
        </w:trPr>
        <w:tc>
          <w:tcPr>
            <w:tcW w:w="1986" w:type="dxa"/>
            <w:vMerge/>
            <w:shd w:val="clear" w:color="auto" w:fill="FFFFFF" w:themeFill="background1"/>
          </w:tcPr>
          <w:p w14:paraId="39A64962" w14:textId="77777777" w:rsidR="00F06D01" w:rsidRPr="00D21980" w:rsidRDefault="00F06D01"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FFFFFF" w:themeFill="background1"/>
          </w:tcPr>
          <w:p w14:paraId="3B5A0FB7" w14:textId="249F5F56"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8.2 Transmitir a la IPBES la solicitud de una evaluación temática de los humedales y de su estado para incorporarla en las evaluaciones regionales y mundiales de la biodiversidad y los servicios de los ecosistemas. Apoyar la participación del GECT en la IPBES (Resoluciones XII.2 párr. 24 y XII.3 párr. 48).</w:t>
            </w:r>
          </w:p>
        </w:tc>
        <w:tc>
          <w:tcPr>
            <w:tcW w:w="3274" w:type="dxa"/>
            <w:shd w:val="clear" w:color="auto" w:fill="FFFFFF" w:themeFill="background1"/>
          </w:tcPr>
          <w:p w14:paraId="0919B487" w14:textId="00213742" w:rsidR="00F06D01" w:rsidRPr="00D21980" w:rsidRDefault="00F06D01"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Solicitud redactada y presentada. El GECT contribuye a la evaluación de la IPBES</w:t>
            </w:r>
            <w:r w:rsidR="0054724D" w:rsidRPr="00D21980">
              <w:rPr>
                <w:rFonts w:eastAsia="Times New Roman" w:cs="Arial"/>
                <w:sz w:val="20"/>
                <w:szCs w:val="20"/>
                <w:lang w:val="es-ES_tradnl" w:eastAsia="en-GB"/>
              </w:rPr>
              <w:t>;</w:t>
            </w:r>
            <w:r w:rsidRPr="00D21980">
              <w:rPr>
                <w:rFonts w:eastAsia="Times New Roman" w:cs="Arial"/>
                <w:sz w:val="20"/>
                <w:szCs w:val="20"/>
                <w:lang w:val="es-ES_tradnl" w:eastAsia="en-GB"/>
              </w:rPr>
              <w:t xml:space="preserve"> evaluación finalizada.</w:t>
            </w:r>
          </w:p>
        </w:tc>
        <w:tc>
          <w:tcPr>
            <w:tcW w:w="1418" w:type="dxa"/>
            <w:shd w:val="clear" w:color="auto" w:fill="FFFFFF" w:themeFill="background1"/>
          </w:tcPr>
          <w:p w14:paraId="3A2F58BD" w14:textId="77777777" w:rsidR="00F06D01" w:rsidRPr="00D21980" w:rsidRDefault="00F06D01" w:rsidP="004C4527">
            <w:pPr>
              <w:spacing w:after="0" w:line="240" w:lineRule="auto"/>
              <w:rPr>
                <w:rFonts w:eastAsia="Times New Roman" w:cs="Arial"/>
                <w:color w:val="000000" w:themeColor="text1"/>
                <w:sz w:val="20"/>
                <w:szCs w:val="20"/>
                <w:lang w:val="es-ES_tradnl" w:eastAsia="en-GB"/>
              </w:rPr>
            </w:pPr>
          </w:p>
        </w:tc>
      </w:tr>
      <w:tr w:rsidR="0003371A" w:rsidRPr="00D21980" w14:paraId="1051740F" w14:textId="77777777" w:rsidTr="00925672">
        <w:trPr>
          <w:cantSplit/>
        </w:trPr>
        <w:tc>
          <w:tcPr>
            <w:tcW w:w="1986" w:type="dxa"/>
            <w:shd w:val="clear" w:color="auto" w:fill="auto"/>
            <w:hideMark/>
          </w:tcPr>
          <w:p w14:paraId="5FF7DD39" w14:textId="71BFBE08"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Meta 9:</w:t>
            </w:r>
            <w:r w:rsidRPr="00D21980">
              <w:rPr>
                <w:rFonts w:eastAsia="Times New Roman" w:cs="Arial"/>
                <w:b/>
                <w:bCs/>
                <w:sz w:val="20"/>
                <w:szCs w:val="20"/>
                <w:lang w:val="es-ES_tradnl" w:eastAsia="en-GB"/>
              </w:rPr>
              <w:br/>
            </w:r>
            <w:r w:rsidRPr="00D21980">
              <w:rPr>
                <w:sz w:val="20"/>
                <w:szCs w:val="20"/>
                <w:lang w:val="es-ES_tradnl"/>
              </w:rPr>
              <w:t>El uso racional de los humedales se refuerza a través del manejo integrado de los recursos a la escala adecuada, por ejemplo, en una cuenca hidrográfica o una zona costera</w:t>
            </w:r>
            <w:r w:rsidRPr="00D21980">
              <w:rPr>
                <w:rFonts w:eastAsia="Times New Roman" w:cs="Arial"/>
                <w:sz w:val="20"/>
                <w:szCs w:val="20"/>
                <w:lang w:val="es-ES_tradnl" w:eastAsia="en-GB"/>
              </w:rPr>
              <w:t xml:space="preserve">. </w:t>
            </w:r>
          </w:p>
        </w:tc>
        <w:tc>
          <w:tcPr>
            <w:tcW w:w="3260" w:type="dxa"/>
            <w:shd w:val="clear" w:color="auto" w:fill="auto"/>
            <w:hideMark/>
          </w:tcPr>
          <w:p w14:paraId="42EEC107" w14:textId="51D39CA9"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9.1 </w:t>
            </w:r>
            <w:r w:rsidRPr="00D21980">
              <w:rPr>
                <w:rFonts w:eastAsia="Times New Roman" w:cs="Arial"/>
                <w:color w:val="000000"/>
                <w:sz w:val="20"/>
                <w:szCs w:val="20"/>
                <w:lang w:val="es-ES_tradnl" w:eastAsia="en-GB"/>
              </w:rPr>
              <w:t>Ayudar a las Partes Contratantes a promover el uso racional, el manejo integrado de los recursos hídricos y la integración de los humedales en los planes, políticas o estrategias de otros sectores</w:t>
            </w:r>
            <w:r w:rsidRPr="00D21980">
              <w:rPr>
                <w:rFonts w:eastAsia="Times New Roman" w:cs="Arial"/>
                <w:sz w:val="20"/>
                <w:szCs w:val="20"/>
                <w:lang w:val="es-ES_tradnl" w:eastAsia="en-GB"/>
              </w:rPr>
              <w:t>.</w:t>
            </w:r>
          </w:p>
        </w:tc>
        <w:tc>
          <w:tcPr>
            <w:tcW w:w="3274" w:type="dxa"/>
            <w:shd w:val="clear" w:color="auto" w:fill="auto"/>
            <w:hideMark/>
          </w:tcPr>
          <w:p w14:paraId="5C7003E8" w14:textId="55A4DA5F"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Preparación de un juego de herramientas con los manuales Ramsar sobre las orientaciones relacionadas con el agua, el manejo de las cuencas hidrográficas, la asignación y el manejo del agua, las aguas subterráneas, el uso racional de los humedales (</w:t>
            </w:r>
            <w:r w:rsidRPr="00D21980">
              <w:rPr>
                <w:rFonts w:eastAsia="Times New Roman" w:cs="Arial"/>
                <w:sz w:val="20"/>
                <w:szCs w:val="20"/>
                <w:lang w:val="es-ES_tradnl" w:eastAsia="en-GB"/>
              </w:rPr>
              <w:t>Resolución IX. 1, Anexos A y C, Resolución XI.21</w:t>
            </w:r>
            <w:r w:rsidRPr="00D21980">
              <w:rPr>
                <w:rFonts w:eastAsia="Times New Roman" w:cs="Arial"/>
                <w:color w:val="000000"/>
                <w:sz w:val="20"/>
                <w:szCs w:val="20"/>
                <w:lang w:val="es-ES_tradnl" w:eastAsia="en-GB"/>
              </w:rPr>
              <w:t xml:space="preserve">), el manejo integrado de los recursos hídricos y las buenas </w:t>
            </w:r>
            <w:r w:rsidRPr="00D21980">
              <w:rPr>
                <w:rFonts w:eastAsia="Times New Roman" w:cs="Arial"/>
                <w:sz w:val="20"/>
                <w:szCs w:val="20"/>
                <w:lang w:val="es-ES_tradnl" w:eastAsia="en-GB"/>
              </w:rPr>
              <w:t>prácticas (ibídem, meta 2</w:t>
            </w:r>
            <w:r w:rsidRPr="00D21980">
              <w:rPr>
                <w:rFonts w:eastAsia="Times New Roman" w:cs="Arial"/>
                <w:color w:val="000000"/>
                <w:sz w:val="20"/>
                <w:szCs w:val="20"/>
                <w:lang w:val="es-ES_tradnl" w:eastAsia="en-GB"/>
              </w:rPr>
              <w:t>)</w:t>
            </w:r>
            <w:r w:rsidRPr="00D21980">
              <w:rPr>
                <w:rFonts w:eastAsia="Times New Roman" w:cs="Arial"/>
                <w:sz w:val="20"/>
                <w:szCs w:val="20"/>
                <w:lang w:val="es-ES_tradnl" w:eastAsia="en-GB"/>
              </w:rPr>
              <w:t>.</w:t>
            </w:r>
          </w:p>
        </w:tc>
        <w:tc>
          <w:tcPr>
            <w:tcW w:w="1418" w:type="dxa"/>
            <w:shd w:val="clear" w:color="auto" w:fill="auto"/>
            <w:hideMark/>
          </w:tcPr>
          <w:p w14:paraId="5052B75E" w14:textId="392A26EA" w:rsidR="0003371A"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03371A"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r w:rsidR="0003371A" w:rsidRPr="00D21980">
              <w:rPr>
                <w:rFonts w:eastAsia="Times New Roman" w:cs="Arial"/>
                <w:color w:val="000000" w:themeColor="text1"/>
                <w:sz w:val="20"/>
                <w:szCs w:val="20"/>
                <w:lang w:val="es-ES_tradnl" w:eastAsia="en-GB"/>
              </w:rPr>
              <w:t xml:space="preserve"> </w:t>
            </w:r>
          </w:p>
        </w:tc>
      </w:tr>
      <w:tr w:rsidR="0003371A" w:rsidRPr="00D21980" w14:paraId="70996CE7" w14:textId="77777777" w:rsidTr="00925672">
        <w:trPr>
          <w:cantSplit/>
          <w:trHeight w:val="4150"/>
        </w:trPr>
        <w:tc>
          <w:tcPr>
            <w:tcW w:w="1986" w:type="dxa"/>
            <w:tcBorders>
              <w:bottom w:val="single" w:sz="4" w:space="0" w:color="auto"/>
            </w:tcBorders>
            <w:shd w:val="clear" w:color="auto" w:fill="auto"/>
            <w:hideMark/>
          </w:tcPr>
          <w:p w14:paraId="1FDE0DF0" w14:textId="180AB572"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 xml:space="preserve">Meta 10: </w:t>
            </w:r>
            <w:r w:rsidRPr="00D21980">
              <w:rPr>
                <w:rFonts w:eastAsia="Times New Roman" w:cs="Arial"/>
                <w:b/>
                <w:bCs/>
                <w:sz w:val="20"/>
                <w:szCs w:val="20"/>
                <w:lang w:val="es-ES_tradnl" w:eastAsia="en-GB"/>
              </w:rPr>
              <w:br/>
            </w:r>
            <w:r w:rsidRPr="00D21980">
              <w:rPr>
                <w:sz w:val="20"/>
                <w:szCs w:val="20"/>
                <w:lang w:val="es-ES_tradnl"/>
              </w:rPr>
              <w:t>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r w:rsidRPr="00D21980">
              <w:rPr>
                <w:rFonts w:eastAsia="Times New Roman" w:cs="Arial"/>
                <w:sz w:val="20"/>
                <w:szCs w:val="20"/>
                <w:lang w:val="es-ES_tradnl" w:eastAsia="en-GB"/>
              </w:rPr>
              <w:t xml:space="preserve">. </w:t>
            </w:r>
          </w:p>
        </w:tc>
        <w:tc>
          <w:tcPr>
            <w:tcW w:w="3260" w:type="dxa"/>
            <w:tcBorders>
              <w:bottom w:val="single" w:sz="4" w:space="0" w:color="auto"/>
            </w:tcBorders>
            <w:shd w:val="clear" w:color="auto" w:fill="auto"/>
            <w:hideMark/>
          </w:tcPr>
          <w:p w14:paraId="24C9634A" w14:textId="39B30D19"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10.1 Ayudar a la Red de Cultura de Ramsar </w:t>
            </w:r>
            <w:r w:rsidRPr="00D21980">
              <w:rPr>
                <w:rFonts w:eastAsia="Times New Roman" w:cs="Arial"/>
                <w:color w:val="000000"/>
                <w:sz w:val="20"/>
                <w:szCs w:val="20"/>
                <w:lang w:val="es-ES_tradnl" w:eastAsia="en-GB"/>
              </w:rPr>
              <w:t>a fomentar la participación activa e informada de los pueblos indígenas y las comunidades locales en la conservación y el uso racional de los humedales</w:t>
            </w:r>
            <w:r w:rsidRPr="00D21980">
              <w:rPr>
                <w:rFonts w:eastAsia="Times New Roman" w:cs="Arial"/>
                <w:sz w:val="20"/>
                <w:szCs w:val="20"/>
                <w:lang w:val="es-ES_tradnl" w:eastAsia="en-GB"/>
              </w:rPr>
              <w:t xml:space="preserve"> (Resolución XII.2 párr. 19).</w:t>
            </w:r>
          </w:p>
        </w:tc>
        <w:tc>
          <w:tcPr>
            <w:tcW w:w="3274" w:type="dxa"/>
            <w:tcBorders>
              <w:bottom w:val="single" w:sz="4" w:space="0" w:color="auto"/>
            </w:tcBorders>
            <w:shd w:val="clear" w:color="auto" w:fill="auto"/>
            <w:hideMark/>
          </w:tcPr>
          <w:p w14:paraId="5CF2E313" w14:textId="4C6D7F07"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Directrices de Ramsar elaboradas y divulgadas y Red de Cultura de Ramsar apoyada para </w:t>
            </w:r>
            <w:r w:rsidRPr="00D21980">
              <w:rPr>
                <w:rFonts w:eastAsia="Times New Roman" w:cs="Arial"/>
                <w:color w:val="000000"/>
                <w:sz w:val="20"/>
                <w:szCs w:val="20"/>
                <w:lang w:val="es-ES_tradnl" w:eastAsia="en-GB"/>
              </w:rPr>
              <w:t>establecer y fortalecer la participación de las comunidades locales y los pueblos indígenas en el manejo de los humedales. Casos de estudio pertinentes publicados y divulgados</w:t>
            </w:r>
            <w:r w:rsidRPr="00D21980">
              <w:rPr>
                <w:rFonts w:eastAsia="Times New Roman" w:cs="Arial"/>
                <w:sz w:val="20"/>
                <w:szCs w:val="20"/>
                <w:lang w:val="es-ES_tradnl" w:eastAsia="en-GB"/>
              </w:rPr>
              <w:t xml:space="preserve">. </w:t>
            </w:r>
          </w:p>
        </w:tc>
        <w:tc>
          <w:tcPr>
            <w:tcW w:w="1418" w:type="dxa"/>
            <w:tcBorders>
              <w:bottom w:val="single" w:sz="4" w:space="0" w:color="auto"/>
            </w:tcBorders>
            <w:shd w:val="clear" w:color="auto" w:fill="auto"/>
            <w:hideMark/>
          </w:tcPr>
          <w:p w14:paraId="6CFE3DE5" w14:textId="1E7BE426" w:rsidR="0003371A"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ARS</w:t>
            </w:r>
            <w:r w:rsidR="0003371A" w:rsidRPr="00D21980">
              <w:rPr>
                <w:rFonts w:eastAsia="Times New Roman" w:cs="Arial"/>
                <w:color w:val="000000" w:themeColor="text1"/>
                <w:sz w:val="20"/>
                <w:szCs w:val="20"/>
                <w:lang w:val="es-ES_tradnl" w:eastAsia="en-GB"/>
              </w:rPr>
              <w:t>/</w:t>
            </w:r>
            <w:r w:rsidR="00AA0F80" w:rsidRPr="00D21980">
              <w:rPr>
                <w:rFonts w:eastAsia="Times New Roman" w:cs="Arial"/>
                <w:color w:val="000000" w:themeColor="text1"/>
                <w:sz w:val="20"/>
                <w:szCs w:val="20"/>
                <w:lang w:val="es-ES_tradnl" w:eastAsia="en-GB"/>
              </w:rPr>
              <w:t>GECT</w:t>
            </w:r>
            <w:r w:rsidR="0003371A" w:rsidRPr="00D21980">
              <w:rPr>
                <w:rFonts w:eastAsia="Times New Roman" w:cs="Arial"/>
                <w:color w:val="000000" w:themeColor="text1"/>
                <w:sz w:val="20"/>
                <w:szCs w:val="20"/>
                <w:lang w:val="es-ES_tradnl" w:eastAsia="en-GB"/>
              </w:rPr>
              <w:t>/</w:t>
            </w:r>
            <w:r w:rsidR="0003371A" w:rsidRPr="00D21980">
              <w:rPr>
                <w:rFonts w:eastAsia="Times New Roman" w:cs="Arial"/>
                <w:color w:val="000000" w:themeColor="text1"/>
                <w:sz w:val="20"/>
                <w:szCs w:val="20"/>
                <w:lang w:val="es-ES_tradnl" w:eastAsia="en-GB"/>
              </w:rPr>
              <w:br/>
              <w:t>R</w:t>
            </w:r>
            <w:r w:rsidR="00AA0F80" w:rsidRPr="00D21980">
              <w:rPr>
                <w:rFonts w:eastAsia="Times New Roman" w:cs="Arial"/>
                <w:color w:val="000000" w:themeColor="text1"/>
                <w:sz w:val="20"/>
                <w:szCs w:val="20"/>
                <w:lang w:val="es-ES_tradnl" w:eastAsia="en-GB"/>
              </w:rPr>
              <w:t>ed de Cult. de Ramsar</w:t>
            </w:r>
          </w:p>
        </w:tc>
      </w:tr>
      <w:tr w:rsidR="0003371A" w:rsidRPr="00D21980" w14:paraId="1DD66087" w14:textId="77777777" w:rsidTr="00925672">
        <w:trPr>
          <w:cantSplit/>
        </w:trPr>
        <w:tc>
          <w:tcPr>
            <w:tcW w:w="1986" w:type="dxa"/>
            <w:vMerge w:val="restart"/>
            <w:tcBorders>
              <w:top w:val="nil"/>
            </w:tcBorders>
            <w:shd w:val="clear" w:color="auto" w:fill="auto"/>
            <w:hideMark/>
          </w:tcPr>
          <w:p w14:paraId="1AC8321A" w14:textId="77777777" w:rsidR="0003371A" w:rsidRPr="00D21980" w:rsidRDefault="0003371A" w:rsidP="0003371A">
            <w:pPr>
              <w:spacing w:after="0" w:line="240" w:lineRule="auto"/>
              <w:rPr>
                <w:rFonts w:eastAsia="Times New Roman" w:cs="Arial"/>
                <w:sz w:val="20"/>
                <w:szCs w:val="20"/>
                <w:lang w:val="es-ES_tradnl" w:eastAsia="en-GB"/>
              </w:rPr>
            </w:pPr>
            <w:r w:rsidRPr="00D21980">
              <w:rPr>
                <w:rFonts w:eastAsia="Times New Roman" w:cs="Arial"/>
                <w:b/>
                <w:bCs/>
                <w:sz w:val="20"/>
                <w:szCs w:val="20"/>
                <w:lang w:val="es-ES_tradnl" w:eastAsia="en-GB"/>
              </w:rPr>
              <w:lastRenderedPageBreak/>
              <w:t xml:space="preserve">Meta 11: </w:t>
            </w:r>
            <w:r w:rsidRPr="00D21980">
              <w:rPr>
                <w:rFonts w:eastAsia="Times New Roman" w:cs="Arial"/>
                <w:b/>
                <w:bCs/>
                <w:sz w:val="20"/>
                <w:szCs w:val="20"/>
                <w:lang w:val="es-ES_tradnl" w:eastAsia="en-GB"/>
              </w:rPr>
              <w:br/>
            </w:r>
            <w:r w:rsidRPr="00D21980">
              <w:rPr>
                <w:sz w:val="20"/>
                <w:szCs w:val="20"/>
                <w:lang w:val="es-ES_tradnl"/>
              </w:rPr>
              <w:t>Se demuestran, documentan y divulgan ampliamente las funciones, los servicios y los beneficios de los humedales</w:t>
            </w:r>
            <w:r w:rsidRPr="00D21980">
              <w:rPr>
                <w:rFonts w:eastAsia="Times New Roman" w:cs="Arial"/>
                <w:sz w:val="20"/>
                <w:szCs w:val="20"/>
                <w:lang w:val="es-ES_tradnl" w:eastAsia="en-GB"/>
              </w:rPr>
              <w:t xml:space="preserve">. </w:t>
            </w:r>
          </w:p>
          <w:p w14:paraId="6997AB52" w14:textId="77777777" w:rsidR="0003371A" w:rsidRPr="00D21980" w:rsidRDefault="0003371A" w:rsidP="004C4527">
            <w:pPr>
              <w:spacing w:after="0" w:line="240" w:lineRule="auto"/>
              <w:rPr>
                <w:rFonts w:eastAsia="Times New Roman" w:cs="Arial"/>
                <w:color w:val="000000" w:themeColor="text1"/>
                <w:sz w:val="20"/>
                <w:szCs w:val="20"/>
                <w:lang w:val="es-ES_tradnl" w:eastAsia="en-GB"/>
              </w:rPr>
            </w:pPr>
          </w:p>
        </w:tc>
        <w:tc>
          <w:tcPr>
            <w:tcW w:w="3260" w:type="dxa"/>
            <w:vMerge w:val="restart"/>
            <w:tcBorders>
              <w:top w:val="nil"/>
            </w:tcBorders>
            <w:shd w:val="clear" w:color="auto" w:fill="auto"/>
            <w:hideMark/>
          </w:tcPr>
          <w:p w14:paraId="7A946611" w14:textId="679AFF21"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11.1 Elaborar un sistema voluntario de acreditación de Ciudad de Humedal que demuestre las funciones, los servicios y beneficios de los humedales urbanos y periurbanos. Ayudar a las partes a proponer ciudades en sus territorios para la acreditación de Ciudad de Humedal (Resolución XII.10 párr. 11 y 12)</w:t>
            </w:r>
          </w:p>
        </w:tc>
        <w:tc>
          <w:tcPr>
            <w:tcW w:w="3274" w:type="dxa"/>
            <w:tcBorders>
              <w:top w:val="nil"/>
            </w:tcBorders>
            <w:shd w:val="clear" w:color="auto" w:fill="auto"/>
            <w:hideMark/>
          </w:tcPr>
          <w:p w14:paraId="2A1C8EFE" w14:textId="1C541E98"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Formulario de la acreditación de Ciudad de Humedal preparado, comité asesor establecido, calendario preparado.</w:t>
            </w:r>
          </w:p>
        </w:tc>
        <w:tc>
          <w:tcPr>
            <w:tcW w:w="1418" w:type="dxa"/>
            <w:tcBorders>
              <w:top w:val="nil"/>
            </w:tcBorders>
            <w:shd w:val="clear" w:color="auto" w:fill="auto"/>
            <w:hideMark/>
          </w:tcPr>
          <w:p w14:paraId="24A660A5" w14:textId="29595486" w:rsidR="0003371A"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03371A"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r w:rsidR="0003371A" w:rsidRPr="00D21980">
              <w:rPr>
                <w:rFonts w:eastAsia="Times New Roman" w:cs="Arial"/>
                <w:color w:val="000000" w:themeColor="text1"/>
                <w:sz w:val="20"/>
                <w:szCs w:val="20"/>
                <w:lang w:val="es-ES_tradnl" w:eastAsia="en-GB"/>
              </w:rPr>
              <w:t xml:space="preserve"> </w:t>
            </w:r>
          </w:p>
        </w:tc>
      </w:tr>
      <w:tr w:rsidR="0003371A" w:rsidRPr="00D21980" w14:paraId="4532DA5B" w14:textId="77777777" w:rsidTr="00925672">
        <w:trPr>
          <w:cantSplit/>
          <w:trHeight w:val="742"/>
        </w:trPr>
        <w:tc>
          <w:tcPr>
            <w:tcW w:w="1986" w:type="dxa"/>
            <w:vMerge/>
            <w:shd w:val="clear" w:color="auto" w:fill="auto"/>
          </w:tcPr>
          <w:p w14:paraId="4441D291" w14:textId="77777777" w:rsidR="0003371A" w:rsidRPr="00D21980" w:rsidRDefault="0003371A" w:rsidP="004C4527">
            <w:pPr>
              <w:spacing w:after="0" w:line="240" w:lineRule="auto"/>
              <w:rPr>
                <w:rFonts w:eastAsia="Times New Roman" w:cs="Arial"/>
                <w:b/>
                <w:bCs/>
                <w:color w:val="000000" w:themeColor="text1"/>
                <w:sz w:val="20"/>
                <w:szCs w:val="20"/>
                <w:lang w:val="es-ES_tradnl" w:eastAsia="en-GB"/>
              </w:rPr>
            </w:pPr>
          </w:p>
        </w:tc>
        <w:tc>
          <w:tcPr>
            <w:tcW w:w="3260" w:type="dxa"/>
            <w:vMerge/>
            <w:shd w:val="clear" w:color="auto" w:fill="auto"/>
            <w:vAlign w:val="center"/>
          </w:tcPr>
          <w:p w14:paraId="2C37CF02" w14:textId="77777777" w:rsidR="0003371A" w:rsidRPr="00D21980" w:rsidRDefault="0003371A" w:rsidP="004C4527">
            <w:pPr>
              <w:spacing w:after="0" w:line="240" w:lineRule="auto"/>
              <w:rPr>
                <w:rFonts w:eastAsia="Times New Roman" w:cs="Arial"/>
                <w:color w:val="000000" w:themeColor="text1"/>
                <w:sz w:val="20"/>
                <w:szCs w:val="20"/>
                <w:lang w:val="es-ES_tradnl" w:eastAsia="en-GB"/>
              </w:rPr>
            </w:pPr>
          </w:p>
        </w:tc>
        <w:tc>
          <w:tcPr>
            <w:tcW w:w="3274" w:type="dxa"/>
            <w:shd w:val="clear" w:color="auto" w:fill="auto"/>
          </w:tcPr>
          <w:p w14:paraId="740D3A64" w14:textId="1551802C"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cs="Tahoma"/>
                <w:sz w:val="20"/>
                <w:szCs w:val="20"/>
                <w:lang w:val="es-ES_tradnl"/>
              </w:rPr>
              <w:t>Número de ciudades que reciben el apoyo para ser acreditadas como Ciudad de Humedal</w:t>
            </w:r>
            <w:r w:rsidR="0054724D" w:rsidRPr="00D21980">
              <w:rPr>
                <w:rFonts w:cs="Tahoma"/>
                <w:sz w:val="20"/>
                <w:szCs w:val="20"/>
                <w:lang w:val="es-ES_tradnl"/>
              </w:rPr>
              <w:t>.</w:t>
            </w:r>
          </w:p>
        </w:tc>
        <w:tc>
          <w:tcPr>
            <w:tcW w:w="1418" w:type="dxa"/>
            <w:shd w:val="clear" w:color="auto" w:fill="auto"/>
          </w:tcPr>
          <w:p w14:paraId="3A861726" w14:textId="3426FD4A" w:rsidR="0003371A" w:rsidRPr="00D21980" w:rsidRDefault="00AA0F80"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Comunic.</w:t>
            </w:r>
            <w:r w:rsidR="0003371A" w:rsidRPr="00D21980">
              <w:rPr>
                <w:rFonts w:eastAsia="Times New Roman" w:cs="Arial"/>
                <w:color w:val="000000" w:themeColor="text1"/>
                <w:sz w:val="20"/>
                <w:szCs w:val="20"/>
                <w:lang w:val="es-ES_tradnl" w:eastAsia="en-GB"/>
              </w:rPr>
              <w:t>/</w:t>
            </w:r>
            <w:r w:rsidR="0003371A" w:rsidRPr="00D21980">
              <w:rPr>
                <w:rFonts w:eastAsia="Times New Roman" w:cs="Arial"/>
                <w:color w:val="000000" w:themeColor="text1"/>
                <w:sz w:val="20"/>
                <w:szCs w:val="20"/>
                <w:lang w:val="es-ES_tradnl" w:eastAsia="en-GB"/>
              </w:rPr>
              <w:br/>
            </w:r>
            <w:r w:rsidR="005D36A4" w:rsidRPr="00D21980">
              <w:rPr>
                <w:rFonts w:eastAsia="Times New Roman" w:cs="Arial"/>
                <w:color w:val="000000" w:themeColor="text1"/>
                <w:sz w:val="20"/>
                <w:szCs w:val="20"/>
                <w:lang w:val="es-ES_tradnl" w:eastAsia="en-GB"/>
              </w:rPr>
              <w:t>SGA</w:t>
            </w:r>
            <w:r w:rsidR="0003371A" w:rsidRPr="00D21980">
              <w:rPr>
                <w:rFonts w:eastAsia="Times New Roman" w:cs="Arial"/>
                <w:color w:val="000000" w:themeColor="text1"/>
                <w:sz w:val="20"/>
                <w:szCs w:val="20"/>
                <w:lang w:val="es-ES_tradnl" w:eastAsia="en-GB"/>
              </w:rPr>
              <w:t>/</w:t>
            </w:r>
            <w:r w:rsidR="005D36A4" w:rsidRPr="00D21980">
              <w:rPr>
                <w:rFonts w:eastAsia="Times New Roman" w:cs="Arial"/>
                <w:color w:val="000000" w:themeColor="text1"/>
                <w:sz w:val="20"/>
                <w:szCs w:val="20"/>
                <w:lang w:val="es-ES_tradnl" w:eastAsia="en-GB"/>
              </w:rPr>
              <w:t>ARS</w:t>
            </w:r>
          </w:p>
        </w:tc>
      </w:tr>
      <w:tr w:rsidR="0003371A" w:rsidRPr="00D21980" w14:paraId="167FCB1B" w14:textId="77777777" w:rsidTr="00925672">
        <w:trPr>
          <w:cantSplit/>
        </w:trPr>
        <w:tc>
          <w:tcPr>
            <w:tcW w:w="1986" w:type="dxa"/>
            <w:vMerge/>
            <w:shd w:val="clear" w:color="auto" w:fill="auto"/>
          </w:tcPr>
          <w:p w14:paraId="4AEFAED3" w14:textId="77777777" w:rsidR="0003371A" w:rsidRPr="00D21980" w:rsidRDefault="0003371A"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auto"/>
            <w:vAlign w:val="center"/>
          </w:tcPr>
          <w:p w14:paraId="68129F5B" w14:textId="42B8D790" w:rsidR="0003371A" w:rsidRPr="00D21980" w:rsidRDefault="0003371A" w:rsidP="004C4527">
            <w:pPr>
              <w:tabs>
                <w:tab w:val="left" w:pos="3080"/>
              </w:tabs>
              <w:spacing w:after="0" w:line="240" w:lineRule="auto"/>
              <w:rPr>
                <w:rFonts w:eastAsia="Times New Roman" w:cs="Tahoma"/>
                <w:color w:val="000000" w:themeColor="text1"/>
                <w:kern w:val="32"/>
                <w:sz w:val="20"/>
                <w:szCs w:val="20"/>
                <w:lang w:val="es-ES_tradnl"/>
              </w:rPr>
            </w:pPr>
            <w:r w:rsidRPr="00D21980">
              <w:rPr>
                <w:rFonts w:eastAsia="Times New Roman" w:cs="Tahoma"/>
                <w:kern w:val="32"/>
                <w:sz w:val="20"/>
                <w:szCs w:val="20"/>
                <w:lang w:val="es-ES_tradnl"/>
              </w:rPr>
              <w:t>11.3 Celebrar talleres y seminarios web: para impartir una formación y capacitación a un público amplio de manera eficaz en función de los costos.</w:t>
            </w:r>
          </w:p>
        </w:tc>
        <w:tc>
          <w:tcPr>
            <w:tcW w:w="3274" w:type="dxa"/>
            <w:shd w:val="clear" w:color="auto" w:fill="auto"/>
          </w:tcPr>
          <w:p w14:paraId="2D784392" w14:textId="1D71733B" w:rsidR="0003371A" w:rsidRPr="00D21980" w:rsidRDefault="0003371A" w:rsidP="004C4527">
            <w:pPr>
              <w:spacing w:after="0" w:line="240" w:lineRule="auto"/>
              <w:rPr>
                <w:rFonts w:cs="Tahoma"/>
                <w:color w:val="000000" w:themeColor="text1"/>
                <w:sz w:val="20"/>
                <w:szCs w:val="20"/>
                <w:lang w:val="es-ES_tradnl"/>
              </w:rPr>
            </w:pPr>
            <w:r w:rsidRPr="00D21980">
              <w:rPr>
                <w:rFonts w:cs="Tahoma"/>
                <w:sz w:val="20"/>
                <w:szCs w:val="20"/>
                <w:lang w:val="es-ES_tradnl"/>
              </w:rPr>
              <w:t>Número de talleres y seminarios web celebrados.</w:t>
            </w:r>
          </w:p>
        </w:tc>
        <w:tc>
          <w:tcPr>
            <w:tcW w:w="1418" w:type="dxa"/>
            <w:shd w:val="clear" w:color="auto" w:fill="auto"/>
          </w:tcPr>
          <w:p w14:paraId="79C505E3" w14:textId="107E6B06" w:rsidR="0003371A"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Comunic.</w:t>
            </w:r>
            <w:r w:rsidR="0003371A" w:rsidRPr="00D21980">
              <w:rPr>
                <w:rFonts w:eastAsia="Times New Roman" w:cs="Arial"/>
                <w:color w:val="000000" w:themeColor="text1"/>
                <w:sz w:val="20"/>
                <w:szCs w:val="20"/>
                <w:lang w:val="es-ES_tradnl" w:eastAsia="en-GB"/>
              </w:rPr>
              <w:t>/</w:t>
            </w:r>
            <w:r w:rsidR="0003371A" w:rsidRPr="00D21980">
              <w:rPr>
                <w:rFonts w:eastAsia="Times New Roman" w:cs="Arial"/>
                <w:color w:val="000000" w:themeColor="text1"/>
                <w:sz w:val="20"/>
                <w:szCs w:val="20"/>
                <w:lang w:val="es-ES_tradnl" w:eastAsia="en-GB"/>
              </w:rPr>
              <w:br/>
            </w:r>
            <w:r w:rsidR="005D36A4" w:rsidRPr="00D21980">
              <w:rPr>
                <w:rFonts w:eastAsia="Times New Roman" w:cs="Arial"/>
                <w:color w:val="000000" w:themeColor="text1"/>
                <w:sz w:val="20"/>
                <w:szCs w:val="20"/>
                <w:lang w:val="es-ES_tradnl" w:eastAsia="en-GB"/>
              </w:rPr>
              <w:t>SGA</w:t>
            </w:r>
            <w:r w:rsidR="0003371A" w:rsidRPr="00D21980">
              <w:rPr>
                <w:rFonts w:eastAsia="Times New Roman" w:cs="Arial"/>
                <w:color w:val="000000" w:themeColor="text1"/>
                <w:sz w:val="20"/>
                <w:szCs w:val="20"/>
                <w:lang w:val="es-ES_tradnl" w:eastAsia="en-GB"/>
              </w:rPr>
              <w:t>/</w:t>
            </w:r>
            <w:r w:rsidR="005D36A4" w:rsidRPr="00D21980">
              <w:rPr>
                <w:rFonts w:eastAsia="Times New Roman" w:cs="Arial"/>
                <w:color w:val="000000" w:themeColor="text1"/>
                <w:sz w:val="20"/>
                <w:szCs w:val="20"/>
                <w:lang w:val="es-ES_tradnl" w:eastAsia="en-GB"/>
              </w:rPr>
              <w:t>ARS</w:t>
            </w:r>
          </w:p>
        </w:tc>
      </w:tr>
      <w:tr w:rsidR="0003371A" w:rsidRPr="00D21980" w14:paraId="64C72D3E" w14:textId="77777777" w:rsidTr="00925672">
        <w:trPr>
          <w:cantSplit/>
        </w:trPr>
        <w:tc>
          <w:tcPr>
            <w:tcW w:w="1986" w:type="dxa"/>
            <w:vMerge/>
            <w:shd w:val="clear" w:color="auto" w:fill="auto"/>
          </w:tcPr>
          <w:p w14:paraId="3F9F852E" w14:textId="77777777" w:rsidR="0003371A" w:rsidRPr="00D21980" w:rsidRDefault="0003371A"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auto"/>
            <w:vAlign w:val="center"/>
          </w:tcPr>
          <w:p w14:paraId="65C4FC4B" w14:textId="66EB00D6" w:rsidR="0003371A" w:rsidRPr="00D21980" w:rsidRDefault="0003371A" w:rsidP="004C4527">
            <w:pPr>
              <w:tabs>
                <w:tab w:val="left" w:pos="3080"/>
              </w:tabs>
              <w:spacing w:after="0" w:line="240" w:lineRule="auto"/>
              <w:rPr>
                <w:rFonts w:eastAsia="Times New Roman" w:cs="Tahoma"/>
                <w:color w:val="000000" w:themeColor="text1"/>
                <w:kern w:val="32"/>
                <w:sz w:val="20"/>
                <w:szCs w:val="20"/>
                <w:lang w:val="es-ES_tradnl"/>
              </w:rPr>
            </w:pPr>
            <w:r w:rsidRPr="00D21980">
              <w:rPr>
                <w:rFonts w:cs="Tahoma"/>
                <w:sz w:val="20"/>
                <w:szCs w:val="20"/>
                <w:lang w:val="es-ES_tradnl"/>
              </w:rPr>
              <w:t>11.4 Publicar un boletín trimestral que ponga de relieve el trabajo de la Convención destinado a un gran público para crear conciencia y facilitar herramientas y formación relativas al uso racional.</w:t>
            </w:r>
          </w:p>
        </w:tc>
        <w:tc>
          <w:tcPr>
            <w:tcW w:w="3274" w:type="dxa"/>
            <w:shd w:val="clear" w:color="auto" w:fill="auto"/>
          </w:tcPr>
          <w:p w14:paraId="510FA721" w14:textId="6B376994" w:rsidR="0003371A" w:rsidRPr="00D21980" w:rsidRDefault="0003371A" w:rsidP="004C4527">
            <w:pPr>
              <w:spacing w:after="0" w:line="240" w:lineRule="auto"/>
              <w:rPr>
                <w:rFonts w:cs="Tahoma"/>
                <w:color w:val="000000" w:themeColor="text1"/>
                <w:sz w:val="20"/>
                <w:szCs w:val="20"/>
                <w:lang w:val="es-ES_tradnl"/>
              </w:rPr>
            </w:pPr>
            <w:r w:rsidRPr="00D21980">
              <w:rPr>
                <w:rFonts w:cs="Tahoma"/>
                <w:sz w:val="20"/>
                <w:szCs w:val="20"/>
                <w:lang w:val="es-ES_tradnl"/>
              </w:rPr>
              <w:t>Número de boletines publicados.</w:t>
            </w:r>
          </w:p>
        </w:tc>
        <w:tc>
          <w:tcPr>
            <w:tcW w:w="1418" w:type="dxa"/>
            <w:shd w:val="clear" w:color="auto" w:fill="auto"/>
          </w:tcPr>
          <w:p w14:paraId="608B8DAE" w14:textId="10417FE3" w:rsidR="0003371A"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Comunic.</w:t>
            </w:r>
            <w:r w:rsidR="0003371A" w:rsidRPr="00D21980">
              <w:rPr>
                <w:rFonts w:eastAsia="Times New Roman" w:cs="Arial"/>
                <w:color w:val="000000" w:themeColor="text1"/>
                <w:sz w:val="20"/>
                <w:szCs w:val="20"/>
                <w:lang w:val="es-ES_tradnl" w:eastAsia="en-GB"/>
              </w:rPr>
              <w:t>/</w:t>
            </w:r>
            <w:r w:rsidR="0003371A" w:rsidRPr="00D21980">
              <w:rPr>
                <w:rFonts w:eastAsia="Times New Roman" w:cs="Arial"/>
                <w:color w:val="000000" w:themeColor="text1"/>
                <w:sz w:val="20"/>
                <w:szCs w:val="20"/>
                <w:lang w:val="es-ES_tradnl" w:eastAsia="en-GB"/>
              </w:rPr>
              <w:br/>
            </w:r>
            <w:r w:rsidR="005D36A4" w:rsidRPr="00D21980">
              <w:rPr>
                <w:rFonts w:eastAsia="Times New Roman" w:cs="Arial"/>
                <w:color w:val="000000" w:themeColor="text1"/>
                <w:sz w:val="20"/>
                <w:szCs w:val="20"/>
                <w:lang w:val="es-ES_tradnl" w:eastAsia="en-GB"/>
              </w:rPr>
              <w:t>SGA</w:t>
            </w:r>
            <w:r w:rsidR="0003371A" w:rsidRPr="00D21980">
              <w:rPr>
                <w:rFonts w:eastAsia="Times New Roman" w:cs="Arial"/>
                <w:color w:val="000000" w:themeColor="text1"/>
                <w:sz w:val="20"/>
                <w:szCs w:val="20"/>
                <w:lang w:val="es-ES_tradnl" w:eastAsia="en-GB"/>
              </w:rPr>
              <w:t>/</w:t>
            </w:r>
            <w:r w:rsidR="005D36A4" w:rsidRPr="00D21980">
              <w:rPr>
                <w:rFonts w:eastAsia="Times New Roman" w:cs="Arial"/>
                <w:color w:val="000000" w:themeColor="text1"/>
                <w:sz w:val="20"/>
                <w:szCs w:val="20"/>
                <w:lang w:val="es-ES_tradnl" w:eastAsia="en-GB"/>
              </w:rPr>
              <w:t>ARS</w:t>
            </w:r>
          </w:p>
        </w:tc>
      </w:tr>
      <w:tr w:rsidR="0003371A" w:rsidRPr="00D21980" w14:paraId="39DAD20F" w14:textId="77777777" w:rsidTr="00925672">
        <w:trPr>
          <w:cantSplit/>
        </w:trPr>
        <w:tc>
          <w:tcPr>
            <w:tcW w:w="1986" w:type="dxa"/>
            <w:shd w:val="clear" w:color="auto" w:fill="auto"/>
            <w:hideMark/>
          </w:tcPr>
          <w:p w14:paraId="481F85FB" w14:textId="434B5A31"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Meta 12:</w:t>
            </w:r>
            <w:r w:rsidRPr="00D21980">
              <w:rPr>
                <w:rFonts w:eastAsia="Times New Roman" w:cs="Arial"/>
                <w:b/>
                <w:bCs/>
                <w:sz w:val="20"/>
                <w:szCs w:val="20"/>
                <w:lang w:val="es-ES_tradnl" w:eastAsia="en-GB"/>
              </w:rPr>
              <w:br/>
            </w:r>
            <w:r w:rsidRPr="00D21980">
              <w:rPr>
                <w:sz w:val="20"/>
                <w:szCs w:val="20"/>
                <w:lang w:val="es-ES_tradnl"/>
              </w:rPr>
              <w:t>La restauración está en curso en los humedales degradados, dando prioridad a los humedales importantes para la conservación de la biodiversidad, la reducción del riesgo de desastres, los medios de vida y/o la mitigación del cambio climático y la adaptación a este</w:t>
            </w:r>
            <w:r w:rsidRPr="00D21980">
              <w:rPr>
                <w:rFonts w:eastAsia="Times New Roman" w:cs="Arial"/>
                <w:sz w:val="20"/>
                <w:szCs w:val="20"/>
                <w:lang w:val="es-ES_tradnl" w:eastAsia="en-GB"/>
              </w:rPr>
              <w:t>.</w:t>
            </w:r>
          </w:p>
        </w:tc>
        <w:tc>
          <w:tcPr>
            <w:tcW w:w="3260" w:type="dxa"/>
            <w:shd w:val="clear" w:color="auto" w:fill="auto"/>
            <w:hideMark/>
          </w:tcPr>
          <w:p w14:paraId="7C63BB95" w14:textId="7FEFA0D8"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12.1 Subrayar la importancia de la conservación, la restauración y el uso racional de los humedales para la reducción del riesgo de desastres (Resolución XII.13 párr. 22) y la adaptación basada en los ecosistemas (EcoDRR y EbA, por sus siglas en inglés), trabajando conjuntamente con el GECT y las OIA.</w:t>
            </w:r>
          </w:p>
        </w:tc>
        <w:tc>
          <w:tcPr>
            <w:tcW w:w="3274" w:type="dxa"/>
            <w:shd w:val="clear" w:color="auto" w:fill="auto"/>
            <w:hideMark/>
          </w:tcPr>
          <w:p w14:paraId="19203553" w14:textId="65BE0A8E" w:rsidR="0003371A" w:rsidRPr="00D21980" w:rsidRDefault="0003371A"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Informes conjuntos elaborados con otras organizaciones, incluso en el marco del PEDRR; estudios de caso y métodos relativos al EcoDRR y EbA divulgados entre las Partes Contratantes.</w:t>
            </w:r>
          </w:p>
        </w:tc>
        <w:tc>
          <w:tcPr>
            <w:tcW w:w="1418" w:type="dxa"/>
            <w:shd w:val="clear" w:color="auto" w:fill="auto"/>
            <w:hideMark/>
          </w:tcPr>
          <w:p w14:paraId="03AA5DBD" w14:textId="597D9CF0" w:rsidR="0003371A"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03371A"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54724D" w:rsidRPr="00D21980" w14:paraId="3AB25047" w14:textId="77777777" w:rsidTr="005123AB">
        <w:trPr>
          <w:cantSplit/>
          <w:trHeight w:val="2441"/>
        </w:trPr>
        <w:tc>
          <w:tcPr>
            <w:tcW w:w="1986" w:type="dxa"/>
            <w:shd w:val="clear" w:color="auto" w:fill="auto"/>
            <w:hideMark/>
          </w:tcPr>
          <w:p w14:paraId="1AB95E58" w14:textId="3C2B8A9F" w:rsidR="0054724D" w:rsidRPr="00D21980" w:rsidRDefault="0054724D"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lastRenderedPageBreak/>
              <w:t>Meta 13:</w:t>
            </w:r>
            <w:r w:rsidRPr="00D21980">
              <w:rPr>
                <w:rFonts w:eastAsia="Times New Roman" w:cs="Arial"/>
                <w:b/>
                <w:bCs/>
                <w:sz w:val="20"/>
                <w:szCs w:val="20"/>
                <w:lang w:val="es-ES_tradnl" w:eastAsia="en-GB"/>
              </w:rPr>
              <w:br/>
            </w:r>
            <w:r w:rsidRPr="00D21980">
              <w:rPr>
                <w:sz w:val="20"/>
                <w:szCs w:val="20"/>
                <w:lang w:val="es-ES_tradnl"/>
              </w:rPr>
              <w:t>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r w:rsidRPr="00D21980">
              <w:rPr>
                <w:rFonts w:eastAsia="Times New Roman" w:cs="Arial"/>
                <w:sz w:val="20"/>
                <w:szCs w:val="20"/>
                <w:lang w:val="es-ES_tradnl" w:eastAsia="en-GB"/>
              </w:rPr>
              <w:t>.</w:t>
            </w:r>
          </w:p>
        </w:tc>
        <w:tc>
          <w:tcPr>
            <w:tcW w:w="3260" w:type="dxa"/>
            <w:shd w:val="clear" w:color="auto" w:fill="auto"/>
          </w:tcPr>
          <w:p w14:paraId="54652817" w14:textId="05FD4E4A" w:rsidR="0054724D" w:rsidRPr="00D21980" w:rsidRDefault="0054724D" w:rsidP="005123AB">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13.2 Preparar un informe sobre las oportunidades para la Convención de aumentar su contribución a la agenda de desarrollo para después de 2015 y los ODS en lo relativo a los humedales. Realizar una estimación de los costos de las posibilidades de trabajar con los asociados relevantes para mejorar el acceso de las Partes a los datos y a las herramientas de seguimiento relacionadas con los ODS (Resolución XII.3 párr. 41 y 53).</w:t>
            </w:r>
          </w:p>
        </w:tc>
        <w:tc>
          <w:tcPr>
            <w:tcW w:w="3274" w:type="dxa"/>
            <w:shd w:val="clear" w:color="auto" w:fill="auto"/>
          </w:tcPr>
          <w:p w14:paraId="074D8358" w14:textId="77777777" w:rsidR="0054724D" w:rsidRPr="00D21980" w:rsidRDefault="0054724D" w:rsidP="0003371A">
            <w:pPr>
              <w:spacing w:after="0" w:line="240" w:lineRule="auto"/>
              <w:rPr>
                <w:rFonts w:eastAsia="Times New Roman" w:cs="Arial"/>
                <w:sz w:val="20"/>
                <w:szCs w:val="20"/>
                <w:lang w:val="es-ES_tradnl" w:eastAsia="en-GB"/>
              </w:rPr>
            </w:pPr>
            <w:r w:rsidRPr="00D21980">
              <w:rPr>
                <w:rFonts w:eastAsia="Times New Roman" w:cs="Arial"/>
                <w:sz w:val="20"/>
                <w:szCs w:val="20"/>
                <w:lang w:val="es-ES_tradnl" w:eastAsia="en-GB"/>
              </w:rPr>
              <w:t>Informe sobre la contribución de Ramsar a los ODS preparado para la COP13.</w:t>
            </w:r>
          </w:p>
          <w:p w14:paraId="43B468B0" w14:textId="77777777" w:rsidR="0054724D" w:rsidRPr="00D21980" w:rsidRDefault="0054724D" w:rsidP="0003371A">
            <w:pPr>
              <w:spacing w:after="0" w:line="240" w:lineRule="auto"/>
              <w:rPr>
                <w:rFonts w:eastAsia="Times New Roman" w:cs="Arial"/>
                <w:sz w:val="20"/>
                <w:szCs w:val="20"/>
                <w:lang w:val="es-ES_tradnl" w:eastAsia="en-GB"/>
              </w:rPr>
            </w:pPr>
            <w:r w:rsidRPr="00D21980">
              <w:rPr>
                <w:rFonts w:eastAsia="Times New Roman" w:cs="Arial"/>
                <w:sz w:val="20"/>
                <w:szCs w:val="20"/>
                <w:lang w:val="es-ES_tradnl" w:eastAsia="en-GB"/>
              </w:rPr>
              <w:t>Número de Partes que reciben apoyo a través de proyectos de observación de la Tierra.</w:t>
            </w:r>
          </w:p>
          <w:p w14:paraId="51699DC2" w14:textId="7B20F7BC" w:rsidR="0054724D" w:rsidRPr="00D21980" w:rsidRDefault="0054724D" w:rsidP="0003371A">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Costo del acceso a los datos y a las herramientas de seguimiento estimado.</w:t>
            </w:r>
          </w:p>
        </w:tc>
        <w:tc>
          <w:tcPr>
            <w:tcW w:w="1418" w:type="dxa"/>
            <w:shd w:val="clear" w:color="auto" w:fill="auto"/>
          </w:tcPr>
          <w:p w14:paraId="5BD5F8B0" w14:textId="1DEBEF1B" w:rsidR="0054724D" w:rsidRPr="00D21980" w:rsidRDefault="0054724D"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SGA/ARS</w:t>
            </w:r>
          </w:p>
        </w:tc>
      </w:tr>
    </w:tbl>
    <w:p w14:paraId="65BE938D"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p w14:paraId="5B2F674E" w14:textId="77777777" w:rsidR="004C4527" w:rsidRPr="00D21980" w:rsidRDefault="004C4527" w:rsidP="004C4527">
      <w:pPr>
        <w:spacing w:after="0" w:line="240" w:lineRule="auto"/>
        <w:rPr>
          <w:rFonts w:eastAsia="Times New Roman" w:cs="Arial"/>
          <w:b/>
          <w:bCs/>
          <w:color w:val="000000" w:themeColor="text1"/>
          <w:sz w:val="20"/>
          <w:szCs w:val="20"/>
          <w:lang w:val="es-ES_tradnl" w:eastAsia="en-GB"/>
        </w:rPr>
      </w:pPr>
    </w:p>
    <w:p w14:paraId="0A9F4FC9" w14:textId="2B18F2AC" w:rsidR="004C4527" w:rsidRPr="00D21980" w:rsidRDefault="005D36A4" w:rsidP="005123AB">
      <w:pPr>
        <w:tabs>
          <w:tab w:val="left" w:pos="1515"/>
        </w:tabs>
        <w:spacing w:after="0" w:line="240" w:lineRule="auto"/>
        <w:rPr>
          <w:rFonts w:eastAsia="Times New Roman" w:cs="Arial"/>
          <w:b/>
          <w:bCs/>
          <w:color w:val="000000" w:themeColor="text1"/>
          <w:sz w:val="20"/>
          <w:szCs w:val="20"/>
          <w:lang w:val="es-ES_tradnl" w:eastAsia="en-GB"/>
        </w:rPr>
      </w:pPr>
      <w:r w:rsidRPr="00D21980">
        <w:rPr>
          <w:rFonts w:eastAsia="Times New Roman" w:cs="Arial"/>
          <w:b/>
          <w:bCs/>
          <w:color w:val="000000" w:themeColor="text1"/>
          <w:lang w:val="es-ES_tradnl" w:eastAsia="en-GB"/>
        </w:rPr>
        <w:t xml:space="preserve">Objetivo </w:t>
      </w:r>
      <w:r w:rsidR="004C4527" w:rsidRPr="00D21980">
        <w:rPr>
          <w:rFonts w:eastAsia="Times New Roman" w:cs="Arial"/>
          <w:b/>
          <w:bCs/>
          <w:color w:val="000000" w:themeColor="text1"/>
          <w:lang w:val="es-ES_tradnl" w:eastAsia="en-GB"/>
        </w:rPr>
        <w:t>4</w:t>
      </w:r>
      <w:r w:rsidR="005123AB">
        <w:rPr>
          <w:rFonts w:eastAsia="Times New Roman" w:cs="Arial"/>
          <w:b/>
          <w:bCs/>
          <w:color w:val="000000" w:themeColor="text1"/>
          <w:lang w:val="es-ES_tradnl" w:eastAsia="en-GB"/>
        </w:rPr>
        <w:tab/>
      </w:r>
    </w:p>
    <w:p w14:paraId="6EB8C274" w14:textId="77777777" w:rsidR="004D7EE7" w:rsidRPr="00D21980" w:rsidRDefault="004D7EE7" w:rsidP="005123AB">
      <w:pPr>
        <w:spacing w:after="0" w:line="240" w:lineRule="auto"/>
        <w:rPr>
          <w:rFonts w:eastAsia="Times New Roman" w:cs="Arial"/>
          <w:b/>
          <w:bCs/>
          <w:sz w:val="20"/>
          <w:szCs w:val="20"/>
          <w:lang w:val="es-ES_tradnl" w:eastAsia="en-GB"/>
        </w:rPr>
      </w:pPr>
      <w:r w:rsidRPr="00D21980">
        <w:rPr>
          <w:b/>
          <w:lang w:val="es-ES_tradnl"/>
        </w:rPr>
        <w:t>Mejorar la aplicación</w:t>
      </w:r>
    </w:p>
    <w:p w14:paraId="3C72B197" w14:textId="77777777" w:rsidR="00192AA0" w:rsidRPr="00D21980" w:rsidRDefault="00192AA0" w:rsidP="004C4527">
      <w:pPr>
        <w:spacing w:after="0" w:line="240" w:lineRule="auto"/>
        <w:rPr>
          <w:rFonts w:eastAsia="Times New Roman" w:cs="Arial"/>
          <w:b/>
          <w:bCs/>
          <w:color w:val="000000" w:themeColor="text1"/>
          <w:sz w:val="20"/>
          <w:szCs w:val="20"/>
          <w:lang w:val="es-ES_tradnl" w:eastAsia="en-GB"/>
        </w:rPr>
      </w:pPr>
    </w:p>
    <w:tbl>
      <w:tblPr>
        <w:tblW w:w="992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6"/>
        <w:gridCol w:w="3260"/>
        <w:gridCol w:w="3260"/>
        <w:gridCol w:w="1418"/>
      </w:tblGrid>
      <w:tr w:rsidR="004C4527" w:rsidRPr="00D21980" w14:paraId="774A5F81" w14:textId="77777777" w:rsidTr="00925672">
        <w:trPr>
          <w:trHeight w:val="300"/>
          <w:tblHeader/>
        </w:trPr>
        <w:tc>
          <w:tcPr>
            <w:tcW w:w="1986" w:type="dxa"/>
            <w:shd w:val="clear" w:color="auto" w:fill="C6D9F1" w:themeFill="text2" w:themeFillTint="33"/>
            <w:vAlign w:val="center"/>
            <w:hideMark/>
          </w:tcPr>
          <w:p w14:paraId="1713C945" w14:textId="00CC31E7"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Meta</w:t>
            </w:r>
          </w:p>
        </w:tc>
        <w:tc>
          <w:tcPr>
            <w:tcW w:w="3260" w:type="dxa"/>
            <w:shd w:val="clear" w:color="auto" w:fill="C6D9F1" w:themeFill="text2" w:themeFillTint="33"/>
            <w:noWrap/>
            <w:vAlign w:val="center"/>
            <w:hideMark/>
          </w:tcPr>
          <w:p w14:paraId="6D1D269E" w14:textId="19A6D8EA"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Actividades</w:t>
            </w:r>
          </w:p>
        </w:tc>
        <w:tc>
          <w:tcPr>
            <w:tcW w:w="3260" w:type="dxa"/>
            <w:shd w:val="clear" w:color="auto" w:fill="C6D9F1" w:themeFill="text2" w:themeFillTint="33"/>
            <w:noWrap/>
            <w:vAlign w:val="center"/>
            <w:hideMark/>
          </w:tcPr>
          <w:p w14:paraId="125F7157" w14:textId="6BC959EA" w:rsidR="004C4527" w:rsidRPr="00D21980" w:rsidRDefault="005D36A4"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Indicador</w:t>
            </w:r>
          </w:p>
        </w:tc>
        <w:tc>
          <w:tcPr>
            <w:tcW w:w="1418" w:type="dxa"/>
            <w:shd w:val="clear" w:color="auto" w:fill="C6D9F1" w:themeFill="text2" w:themeFillTint="33"/>
            <w:vAlign w:val="center"/>
            <w:hideMark/>
          </w:tcPr>
          <w:p w14:paraId="728BC67B" w14:textId="77777777" w:rsidR="004C4527" w:rsidRPr="00D21980" w:rsidRDefault="004C4527" w:rsidP="004C4527">
            <w:pPr>
              <w:spacing w:after="0" w:line="240" w:lineRule="auto"/>
              <w:jc w:val="center"/>
              <w:rPr>
                <w:rFonts w:eastAsia="Times New Roman" w:cs="Arial"/>
                <w:b/>
                <w:bCs/>
                <w:color w:val="000000" w:themeColor="text1"/>
                <w:sz w:val="20"/>
                <w:szCs w:val="20"/>
                <w:lang w:val="es-ES_tradnl" w:eastAsia="en-GB"/>
              </w:rPr>
            </w:pPr>
            <w:r w:rsidRPr="00D21980">
              <w:rPr>
                <w:rFonts w:eastAsia="Times New Roman" w:cs="Arial"/>
                <w:b/>
                <w:bCs/>
                <w:color w:val="000000" w:themeColor="text1"/>
                <w:sz w:val="20"/>
                <w:szCs w:val="20"/>
                <w:lang w:val="es-ES_tradnl" w:eastAsia="en-GB"/>
              </w:rPr>
              <w:t>Team Leader (s)</w:t>
            </w:r>
          </w:p>
        </w:tc>
      </w:tr>
      <w:tr w:rsidR="004D7EE7" w:rsidRPr="00D21980" w14:paraId="138435B8" w14:textId="77777777" w:rsidTr="00925672">
        <w:trPr>
          <w:trHeight w:val="1810"/>
        </w:trPr>
        <w:tc>
          <w:tcPr>
            <w:tcW w:w="1986" w:type="dxa"/>
            <w:vMerge w:val="restart"/>
            <w:shd w:val="clear" w:color="auto" w:fill="auto"/>
            <w:hideMark/>
          </w:tcPr>
          <w:p w14:paraId="7B3EDDC2" w14:textId="6506D36B"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Meta 14:</w:t>
            </w:r>
            <w:r w:rsidRPr="00D21980">
              <w:rPr>
                <w:rFonts w:eastAsia="Times New Roman" w:cs="Arial"/>
                <w:sz w:val="20"/>
                <w:szCs w:val="20"/>
                <w:lang w:val="es-ES_tradnl" w:eastAsia="en-GB"/>
              </w:rPr>
              <w:br/>
            </w:r>
            <w:r w:rsidRPr="00D21980">
              <w:rPr>
                <w:sz w:val="20"/>
                <w:szCs w:val="20"/>
                <w:lang w:val="es-ES_tradnl"/>
              </w:rPr>
              <w:t>Se desarrollan orientaciones científicas y metodologías técnicas a escala mundial y regional sobre temas relevantes que están disponibles para los responsables de políticas y los profesionales en un formato y un lenguaje apropiados</w:t>
            </w:r>
            <w:r w:rsidRPr="00D21980">
              <w:rPr>
                <w:rFonts w:eastAsia="Times New Roman" w:cs="Arial"/>
                <w:sz w:val="20"/>
                <w:szCs w:val="20"/>
                <w:lang w:val="es-ES_tradnl" w:eastAsia="en-GB"/>
              </w:rPr>
              <w:t>.</w:t>
            </w:r>
          </w:p>
        </w:tc>
        <w:tc>
          <w:tcPr>
            <w:tcW w:w="3260" w:type="dxa"/>
            <w:shd w:val="clear" w:color="auto" w:fill="auto"/>
            <w:hideMark/>
          </w:tcPr>
          <w:p w14:paraId="35CE4C18" w14:textId="3D57C6E8"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14.1 Apoyar al GECT a elaborar el plan de trabajo para el trienio en consonancia plena con el Cuarto Plan Estratégico. Seguir apoyando al GECT según se establece en el Anexo 1 (Resolución XII.5 párr. 20 y 22). Integrar el sitio web del GECT en el sitio web de Ramsar (Resolución XII.9 meta 9.4).</w:t>
            </w:r>
          </w:p>
        </w:tc>
        <w:tc>
          <w:tcPr>
            <w:tcW w:w="3260" w:type="dxa"/>
            <w:shd w:val="clear" w:color="auto" w:fill="auto"/>
            <w:hideMark/>
          </w:tcPr>
          <w:p w14:paraId="464A0EDC" w14:textId="71FA7531"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Apoyo facilitado al GECT para la preparación y ejecución de su plan de trabajo y áreas temáticas</w:t>
            </w:r>
            <w:r w:rsidRPr="00D21980">
              <w:rPr>
                <w:rFonts w:eastAsia="Times New Roman" w:cs="Arial"/>
                <w:sz w:val="20"/>
                <w:szCs w:val="20"/>
                <w:lang w:val="es-ES_tradnl" w:eastAsia="en-GB"/>
              </w:rPr>
              <w:t>. Plan de trabajo del GECT aprobado por la reunión SC52. Sitio web del GECT integrado en el sitio web principal de Ramsar.</w:t>
            </w:r>
          </w:p>
        </w:tc>
        <w:tc>
          <w:tcPr>
            <w:tcW w:w="1418" w:type="dxa"/>
            <w:shd w:val="clear" w:color="auto" w:fill="auto"/>
            <w:hideMark/>
          </w:tcPr>
          <w:p w14:paraId="2228D51B" w14:textId="5F7384E3" w:rsidR="004D7EE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/SG/</w:t>
            </w:r>
            <w:r w:rsidR="004D7EE7" w:rsidRPr="00D21980">
              <w:rPr>
                <w:rFonts w:eastAsia="Times New Roman" w:cs="Arial"/>
                <w:color w:val="000000" w:themeColor="text1"/>
                <w:sz w:val="20"/>
                <w:szCs w:val="20"/>
                <w:lang w:val="es-ES_tradnl" w:eastAsia="en-GB"/>
              </w:rPr>
              <w:br/>
            </w:r>
            <w:r w:rsidR="00AA0F80" w:rsidRPr="00D21980">
              <w:rPr>
                <w:rFonts w:eastAsia="Times New Roman" w:cs="Arial"/>
                <w:color w:val="000000" w:themeColor="text1"/>
                <w:sz w:val="20"/>
                <w:szCs w:val="20"/>
                <w:lang w:val="es-ES_tradnl" w:eastAsia="en-GB"/>
              </w:rPr>
              <w:t>Pres. del GECT</w:t>
            </w:r>
            <w:r w:rsidR="004D7EE7" w:rsidRPr="00D21980">
              <w:rPr>
                <w:rFonts w:eastAsia="Times New Roman" w:cs="Arial"/>
                <w:color w:val="000000" w:themeColor="text1"/>
                <w:sz w:val="20"/>
                <w:szCs w:val="20"/>
                <w:lang w:val="es-ES_tradnl" w:eastAsia="en-GB"/>
              </w:rPr>
              <w:t>/</w:t>
            </w:r>
            <w:r w:rsidR="004D7EE7" w:rsidRPr="00D21980">
              <w:rPr>
                <w:rFonts w:eastAsia="Times New Roman" w:cs="Arial"/>
                <w:color w:val="000000" w:themeColor="text1"/>
                <w:sz w:val="20"/>
                <w:szCs w:val="20"/>
                <w:lang w:val="es-ES_tradnl" w:eastAsia="en-GB"/>
              </w:rPr>
              <w:br/>
            </w:r>
            <w:r w:rsidR="00AA0F80" w:rsidRPr="00D21980">
              <w:rPr>
                <w:rFonts w:eastAsia="Times New Roman" w:cs="Arial"/>
                <w:color w:val="000000" w:themeColor="text1"/>
                <w:sz w:val="20"/>
                <w:szCs w:val="20"/>
                <w:lang w:val="es-ES_tradnl" w:eastAsia="en-GB"/>
              </w:rPr>
              <w:t>Oficial de apoyo al GECT</w:t>
            </w:r>
            <w:r w:rsidR="004D7EE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4D7EE7" w:rsidRPr="00D21980" w14:paraId="534033D4" w14:textId="77777777" w:rsidTr="00192AA0">
        <w:tc>
          <w:tcPr>
            <w:tcW w:w="1986" w:type="dxa"/>
            <w:vMerge/>
            <w:vAlign w:val="center"/>
            <w:hideMark/>
          </w:tcPr>
          <w:p w14:paraId="520D7D34"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6A8917EB" w14:textId="7EE562A4"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14.3 Preparar la nueva versión del informe </w:t>
            </w:r>
            <w:r w:rsidRPr="00D21980">
              <w:rPr>
                <w:rFonts w:eastAsia="Times New Roman" w:cs="Arial"/>
                <w:i/>
                <w:color w:val="000000"/>
                <w:sz w:val="20"/>
                <w:szCs w:val="20"/>
                <w:lang w:val="es-ES_tradnl" w:eastAsia="en-GB"/>
              </w:rPr>
              <w:t>Estado de los humedales del mundo y de los servicios que prestan a las personas</w:t>
            </w:r>
            <w:r w:rsidRPr="00D21980">
              <w:rPr>
                <w:rFonts w:eastAsia="Times New Roman" w:cs="Arial"/>
                <w:color w:val="000000"/>
                <w:sz w:val="20"/>
                <w:szCs w:val="20"/>
                <w:lang w:val="es-ES_tradnl" w:eastAsia="en-GB"/>
              </w:rPr>
              <w:t xml:space="preserve"> (SOWWS, por sus siglas en inglés) y estudiar modalidades para su posterior mejora y actualización como informe emblemático periódico de la Convención</w:t>
            </w:r>
            <w:r w:rsidRPr="00D21980">
              <w:rPr>
                <w:rFonts w:eastAsia="Times New Roman" w:cs="Arial"/>
                <w:sz w:val="20"/>
                <w:szCs w:val="20"/>
                <w:lang w:val="es-ES_tradnl" w:eastAsia="en-GB"/>
              </w:rPr>
              <w:t xml:space="preserve"> (Resolución XII.5 párr. 25).</w:t>
            </w:r>
          </w:p>
        </w:tc>
        <w:tc>
          <w:tcPr>
            <w:tcW w:w="3260" w:type="dxa"/>
            <w:shd w:val="clear" w:color="auto" w:fill="auto"/>
            <w:hideMark/>
          </w:tcPr>
          <w:p w14:paraId="28677F05" w14:textId="1B868172"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Taller de redacción del informe SOWWS celebrado en septiembre de 2016 (durante la reunión de INTECOL). Primer proyecto de informe preparado. Modalidades para incluir la información procedente de los informes nacionales y de los proyectos de observación de la Tierra (GlobWetland África, Global Mangrove Watch, SWOS) estudiadas.</w:t>
            </w:r>
          </w:p>
        </w:tc>
        <w:tc>
          <w:tcPr>
            <w:tcW w:w="1418" w:type="dxa"/>
            <w:shd w:val="clear" w:color="auto" w:fill="auto"/>
            <w:hideMark/>
          </w:tcPr>
          <w:p w14:paraId="2580A4D5" w14:textId="50DA58BB" w:rsidR="004D7EE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w:t>
            </w:r>
            <w:r w:rsidR="00AA0F80" w:rsidRPr="00D21980">
              <w:rPr>
                <w:rFonts w:eastAsia="Times New Roman" w:cs="Arial"/>
                <w:color w:val="000000" w:themeColor="text1"/>
                <w:sz w:val="20"/>
                <w:szCs w:val="20"/>
                <w:lang w:val="es-ES_tradnl" w:eastAsia="en-GB"/>
              </w:rPr>
              <w:t>Pres. del GECT</w:t>
            </w:r>
            <w:r w:rsidR="004D7EE7" w:rsidRPr="00D21980">
              <w:rPr>
                <w:rFonts w:eastAsia="Times New Roman" w:cs="Arial"/>
                <w:color w:val="000000" w:themeColor="text1"/>
                <w:sz w:val="20"/>
                <w:szCs w:val="20"/>
                <w:lang w:val="es-ES_tradnl" w:eastAsia="en-GB"/>
              </w:rPr>
              <w:t>/</w:t>
            </w:r>
            <w:r w:rsidR="00AA0F80" w:rsidRPr="00D21980">
              <w:rPr>
                <w:rFonts w:eastAsia="Times New Roman" w:cs="Arial"/>
                <w:color w:val="000000" w:themeColor="text1"/>
                <w:sz w:val="20"/>
                <w:szCs w:val="20"/>
                <w:lang w:val="es-ES_tradnl" w:eastAsia="en-GB"/>
              </w:rPr>
              <w:t>Resp. de Asoc. de Colab.</w:t>
            </w:r>
          </w:p>
        </w:tc>
      </w:tr>
      <w:tr w:rsidR="004D7EE7" w:rsidRPr="00D21980" w14:paraId="263EB1A4" w14:textId="77777777" w:rsidTr="00925672">
        <w:tc>
          <w:tcPr>
            <w:tcW w:w="1986" w:type="dxa"/>
            <w:vMerge w:val="restart"/>
            <w:shd w:val="clear" w:color="auto" w:fill="auto"/>
            <w:hideMark/>
          </w:tcPr>
          <w:p w14:paraId="61112B8C" w14:textId="28E5E7F6"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Meta 15:</w:t>
            </w:r>
            <w:r w:rsidRPr="00D21980">
              <w:rPr>
                <w:rFonts w:eastAsia="Times New Roman" w:cs="Arial"/>
                <w:b/>
                <w:bCs/>
                <w:sz w:val="20"/>
                <w:szCs w:val="20"/>
                <w:lang w:val="es-ES_tradnl" w:eastAsia="en-GB"/>
              </w:rPr>
              <w:br/>
            </w:r>
            <w:r w:rsidRPr="00D21980">
              <w:rPr>
                <w:sz w:val="20"/>
                <w:szCs w:val="20"/>
                <w:lang w:val="es-ES_tradnl"/>
              </w:rPr>
              <w:t xml:space="preserve">Con la participación activa y el apoyo de las Partes de cada región, se refuerzan las Iniciativas Regionales de Ramsar y se </w:t>
            </w:r>
            <w:r w:rsidRPr="00D21980">
              <w:rPr>
                <w:sz w:val="20"/>
                <w:szCs w:val="20"/>
                <w:lang w:val="es-ES_tradnl"/>
              </w:rPr>
              <w:lastRenderedPageBreak/>
              <w:t>convierten en herramientas eficaces para contribuir a la aplicación plena de la Convención</w:t>
            </w:r>
            <w:r w:rsidRPr="00D21980">
              <w:rPr>
                <w:rFonts w:eastAsia="Times New Roman" w:cs="Arial"/>
                <w:sz w:val="20"/>
                <w:szCs w:val="20"/>
                <w:lang w:val="es-ES_tradnl" w:eastAsia="en-GB"/>
              </w:rPr>
              <w:t>.</w:t>
            </w:r>
          </w:p>
        </w:tc>
        <w:tc>
          <w:tcPr>
            <w:tcW w:w="3260" w:type="dxa"/>
            <w:shd w:val="clear" w:color="auto" w:fill="auto"/>
            <w:hideMark/>
          </w:tcPr>
          <w:p w14:paraId="642F2F7E" w14:textId="77777777" w:rsidR="004D7EE7" w:rsidRPr="00D21980" w:rsidRDefault="004D7EE7" w:rsidP="004D7EE7">
            <w:pPr>
              <w:spacing w:after="0" w:line="240" w:lineRule="auto"/>
              <w:rPr>
                <w:rFonts w:eastAsia="Times New Roman" w:cs="Arial"/>
                <w:sz w:val="20"/>
                <w:szCs w:val="20"/>
                <w:lang w:val="es-ES_tradnl" w:eastAsia="en-GB"/>
              </w:rPr>
            </w:pPr>
            <w:r w:rsidRPr="00D21980">
              <w:rPr>
                <w:rFonts w:eastAsia="Times New Roman" w:cs="Arial"/>
                <w:sz w:val="20"/>
                <w:szCs w:val="20"/>
                <w:lang w:val="es-ES_tradnl" w:eastAsia="en-GB"/>
              </w:rPr>
              <w:lastRenderedPageBreak/>
              <w:t xml:space="preserve">15.1 </w:t>
            </w:r>
            <w:r w:rsidRPr="00D21980">
              <w:rPr>
                <w:rFonts w:eastAsia="Times New Roman" w:cs="Arial"/>
                <w:color w:val="000000"/>
                <w:sz w:val="20"/>
                <w:szCs w:val="20"/>
                <w:lang w:val="es-ES_tradnl" w:eastAsia="en-GB"/>
              </w:rPr>
              <w:t xml:space="preserve">Respaldar los arreglos regionales vigentes bajo la Convención y promover otros con nuevas iniciativas regionales </w:t>
            </w:r>
            <w:r w:rsidRPr="00D21980">
              <w:rPr>
                <w:rFonts w:eastAsia="Times New Roman" w:cs="Arial"/>
                <w:sz w:val="20"/>
                <w:szCs w:val="20"/>
                <w:lang w:val="es-ES_tradnl" w:eastAsia="en-GB"/>
              </w:rPr>
              <w:t xml:space="preserve">(Resolución XII.8). </w:t>
            </w:r>
          </w:p>
          <w:p w14:paraId="778A6483" w14:textId="013DEAA4"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 xml:space="preserve">Seguir evaluando las IRR cada año a partir de los informes sobre sus progresos y su funcionamiento, y </w:t>
            </w:r>
            <w:r w:rsidRPr="00D21980">
              <w:rPr>
                <w:rFonts w:cs="Arial"/>
                <w:sz w:val="20"/>
                <w:szCs w:val="20"/>
                <w:lang w:val="es-ES_tradnl"/>
              </w:rPr>
              <w:lastRenderedPageBreak/>
              <w:t>particularmente sobre su capacidad de aplicar los Lineamientos Operativos, con el apoyo del Grupo de supervisión de las actividades de CECoP en caso necesario. Preparar un resumen de las evaluaciones anuales 2016-2018 (Resolución XII.8 párr. 12 y 24).</w:t>
            </w:r>
          </w:p>
        </w:tc>
        <w:tc>
          <w:tcPr>
            <w:tcW w:w="3260" w:type="dxa"/>
            <w:shd w:val="clear" w:color="auto" w:fill="auto"/>
            <w:hideMark/>
          </w:tcPr>
          <w:p w14:paraId="133EE04A" w14:textId="39FC00C6"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lastRenderedPageBreak/>
              <w:t xml:space="preserve">Las iniciativas regionales de Ramsar apoyan actividades prioritarias, incluido un taller de colaboración anual con la Secretaría de Ramsar, y presentan sus informes anuales a la Secretaría. Informes anuales de evaluación de los progresos presentados. Evaluación trienal </w:t>
            </w:r>
            <w:r w:rsidRPr="00D21980">
              <w:rPr>
                <w:rFonts w:cs="Arial"/>
                <w:sz w:val="20"/>
                <w:szCs w:val="20"/>
                <w:lang w:val="es-ES_tradnl"/>
              </w:rPr>
              <w:lastRenderedPageBreak/>
              <w:t>resumida facilitada en 2018.</w:t>
            </w:r>
            <w:r w:rsidRPr="00D21980">
              <w:rPr>
                <w:rFonts w:eastAsia="Times New Roman" w:cs="Arial"/>
                <w:sz w:val="20"/>
                <w:szCs w:val="20"/>
                <w:lang w:val="es-ES_tradnl" w:eastAsia="en-GB"/>
              </w:rPr>
              <w:t xml:space="preserve"> Apoyo financiero gestionado por la Secretaría.</w:t>
            </w:r>
          </w:p>
        </w:tc>
        <w:tc>
          <w:tcPr>
            <w:tcW w:w="1418" w:type="dxa"/>
            <w:shd w:val="clear" w:color="auto" w:fill="auto"/>
            <w:noWrap/>
            <w:hideMark/>
          </w:tcPr>
          <w:p w14:paraId="6E2F4388" w14:textId="5479C723" w:rsidR="004D7EE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lastRenderedPageBreak/>
              <w:t>SGA</w:t>
            </w:r>
            <w:r w:rsidR="004D7EE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4D7EE7" w:rsidRPr="00D21980" w14:paraId="2B22CDDE" w14:textId="77777777" w:rsidTr="00925672">
        <w:tc>
          <w:tcPr>
            <w:tcW w:w="1986" w:type="dxa"/>
            <w:vMerge/>
            <w:shd w:val="clear" w:color="auto" w:fill="auto"/>
          </w:tcPr>
          <w:p w14:paraId="4E31B685" w14:textId="77777777" w:rsidR="004D7EE7" w:rsidRPr="00D21980" w:rsidRDefault="004D7EE7"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auto"/>
          </w:tcPr>
          <w:p w14:paraId="6433F344" w14:textId="484C714D"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15.2 Dar a conocer a escala mundial las iniciativas regionales como un medio operativo de apoyar la aplicación y los objetivos de la Convención de Ramsar. Publicar la información facilitada por las IRR en el sitio web de la Convención (Resolución XII.8 párr. 18 y 20).</w:t>
            </w:r>
          </w:p>
        </w:tc>
        <w:tc>
          <w:tcPr>
            <w:tcW w:w="3260" w:type="dxa"/>
            <w:shd w:val="clear" w:color="auto" w:fill="auto"/>
          </w:tcPr>
          <w:p w14:paraId="38086792" w14:textId="41229401"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Sitios web de las IRR mejorados y vinculados al sitio web de Ramsar. Actividades y logros de las IRR publicados y más visibles en el sitio web de Ramsar.</w:t>
            </w:r>
          </w:p>
        </w:tc>
        <w:tc>
          <w:tcPr>
            <w:tcW w:w="1418" w:type="dxa"/>
            <w:shd w:val="clear" w:color="auto" w:fill="auto"/>
            <w:noWrap/>
          </w:tcPr>
          <w:p w14:paraId="28691886" w14:textId="77777777" w:rsidR="00AA0F80"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r w:rsidR="004D7EE7" w:rsidRPr="00D21980">
              <w:rPr>
                <w:rFonts w:eastAsia="Times New Roman" w:cs="Arial"/>
                <w:color w:val="000000" w:themeColor="text1"/>
                <w:sz w:val="20"/>
                <w:szCs w:val="20"/>
                <w:lang w:val="es-ES_tradnl" w:eastAsia="en-GB"/>
              </w:rPr>
              <w:t>/</w:t>
            </w:r>
          </w:p>
          <w:p w14:paraId="357A2D26" w14:textId="62DEA219" w:rsidR="004D7EE7"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Comunic.</w:t>
            </w:r>
          </w:p>
        </w:tc>
      </w:tr>
      <w:tr w:rsidR="004D7EE7" w:rsidRPr="00D21980" w14:paraId="2E8FC418" w14:textId="77777777" w:rsidTr="00925672">
        <w:tc>
          <w:tcPr>
            <w:tcW w:w="1986" w:type="dxa"/>
            <w:vMerge/>
            <w:shd w:val="clear" w:color="auto" w:fill="auto"/>
          </w:tcPr>
          <w:p w14:paraId="714086ED" w14:textId="77777777" w:rsidR="004D7EE7" w:rsidRPr="00D21980" w:rsidRDefault="004D7EE7"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auto"/>
          </w:tcPr>
          <w:p w14:paraId="538524AA" w14:textId="28521CA9" w:rsidR="004D7EE7" w:rsidRPr="00D21980" w:rsidRDefault="004D7EE7" w:rsidP="004C4527">
            <w:pPr>
              <w:spacing w:after="0" w:line="240" w:lineRule="auto"/>
              <w:rPr>
                <w:rFonts w:cs="Arial"/>
                <w:color w:val="000000" w:themeColor="text1"/>
                <w:sz w:val="20"/>
                <w:szCs w:val="20"/>
                <w:lang w:val="es-ES_tradnl"/>
              </w:rPr>
            </w:pPr>
            <w:r w:rsidRPr="00D21980">
              <w:rPr>
                <w:rFonts w:cs="Arial"/>
                <w:sz w:val="20"/>
                <w:szCs w:val="20"/>
                <w:lang w:val="es-ES_tradnl"/>
              </w:rPr>
              <w:t>15.3 Realizar un examen de los Lineamientos Operativos para las IRR (Resolución XII.8 párr. 9).</w:t>
            </w:r>
          </w:p>
        </w:tc>
        <w:tc>
          <w:tcPr>
            <w:tcW w:w="3260" w:type="dxa"/>
            <w:shd w:val="clear" w:color="auto" w:fill="auto"/>
          </w:tcPr>
          <w:p w14:paraId="35DC5D42" w14:textId="281443FC"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Examen realizado. Lineamientos operativos 2016-2024 finalizados.</w:t>
            </w:r>
          </w:p>
        </w:tc>
        <w:tc>
          <w:tcPr>
            <w:tcW w:w="1418" w:type="dxa"/>
            <w:shd w:val="clear" w:color="auto" w:fill="auto"/>
            <w:noWrap/>
          </w:tcPr>
          <w:p w14:paraId="61F27C19" w14:textId="13DDEA5F" w:rsidR="004D7EE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4D7EE7" w:rsidRPr="00D21980" w14:paraId="2009AC92" w14:textId="77777777" w:rsidTr="00925672">
        <w:tc>
          <w:tcPr>
            <w:tcW w:w="1986" w:type="dxa"/>
            <w:vMerge/>
            <w:shd w:val="clear" w:color="auto" w:fill="auto"/>
          </w:tcPr>
          <w:p w14:paraId="5C628D9B" w14:textId="77777777" w:rsidR="004D7EE7" w:rsidRPr="00D21980" w:rsidRDefault="004D7EE7"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auto"/>
          </w:tcPr>
          <w:p w14:paraId="4BDF58B0" w14:textId="6716A580" w:rsidR="004D7EE7" w:rsidRPr="00D21980" w:rsidRDefault="004D7EE7" w:rsidP="004C4527">
            <w:pPr>
              <w:spacing w:after="0" w:line="240" w:lineRule="auto"/>
              <w:rPr>
                <w:rFonts w:cs="Arial"/>
                <w:color w:val="000000" w:themeColor="text1"/>
                <w:sz w:val="20"/>
                <w:szCs w:val="20"/>
                <w:lang w:val="es-ES_tradnl"/>
              </w:rPr>
            </w:pPr>
            <w:r w:rsidRPr="00D21980">
              <w:rPr>
                <w:rFonts w:cs="Arial"/>
                <w:sz w:val="20"/>
                <w:szCs w:val="20"/>
                <w:lang w:val="es-ES_tradnl"/>
              </w:rPr>
              <w:t>15.4 Identificar organismos de cuencas fluviales o aguas subterráneas transfronterizas para su posible inclusión entre las iniciativas regionales (Resolución XII.8 párr. 23).</w:t>
            </w:r>
          </w:p>
        </w:tc>
        <w:tc>
          <w:tcPr>
            <w:tcW w:w="3260" w:type="dxa"/>
            <w:shd w:val="clear" w:color="auto" w:fill="auto"/>
          </w:tcPr>
          <w:p w14:paraId="525A288F" w14:textId="55C89E77" w:rsidR="004D7EE7" w:rsidRPr="00D21980" w:rsidRDefault="004D7EE7" w:rsidP="004C4527">
            <w:pPr>
              <w:spacing w:after="0" w:line="240" w:lineRule="auto"/>
              <w:rPr>
                <w:rFonts w:cs="Arial"/>
                <w:color w:val="000000" w:themeColor="text1"/>
                <w:sz w:val="20"/>
                <w:szCs w:val="20"/>
                <w:lang w:val="es-ES_tradnl"/>
              </w:rPr>
            </w:pPr>
            <w:r w:rsidRPr="00D21980">
              <w:rPr>
                <w:rFonts w:cs="Arial"/>
                <w:sz w:val="20"/>
                <w:szCs w:val="20"/>
                <w:lang w:val="es-ES_tradnl"/>
              </w:rPr>
              <w:t>Comisiones de cuencas hidrográficas contactadas para informarles sobre Ramsar y alentarlas a inscribirse como iniciativas regionales de Ramsar. Relaciones mantenidas con la CEPE (Convenio de Helsinki) y la Convención de las Naciones Unidas sobre los cursos de agua.</w:t>
            </w:r>
          </w:p>
        </w:tc>
        <w:tc>
          <w:tcPr>
            <w:tcW w:w="1418" w:type="dxa"/>
            <w:shd w:val="clear" w:color="auto" w:fill="auto"/>
            <w:noWrap/>
          </w:tcPr>
          <w:p w14:paraId="67D2E0DF" w14:textId="7B5FA6F4" w:rsidR="004D7EE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D21980" w:rsidRPr="00D21980" w14:paraId="22AA9631" w14:textId="77777777" w:rsidTr="00925672">
        <w:trPr>
          <w:cantSplit/>
        </w:trPr>
        <w:tc>
          <w:tcPr>
            <w:tcW w:w="1986" w:type="dxa"/>
            <w:vMerge w:val="restart"/>
            <w:shd w:val="clear" w:color="auto" w:fill="auto"/>
            <w:hideMark/>
          </w:tcPr>
          <w:p w14:paraId="2E2E238C" w14:textId="576AC466"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15589A">
              <w:rPr>
                <w:rFonts w:eastAsia="Times New Roman" w:cs="Arial"/>
                <w:b/>
                <w:bCs/>
                <w:sz w:val="20"/>
                <w:szCs w:val="20"/>
                <w:lang w:val="es-ES_tradnl" w:eastAsia="en-GB"/>
              </w:rPr>
              <w:t>Meta 16:</w:t>
            </w:r>
            <w:r w:rsidRPr="0015589A">
              <w:rPr>
                <w:rFonts w:eastAsia="Times New Roman" w:cs="Arial"/>
                <w:b/>
                <w:bCs/>
                <w:sz w:val="20"/>
                <w:szCs w:val="20"/>
                <w:lang w:val="es-ES_tradnl" w:eastAsia="en-GB"/>
              </w:rPr>
              <w:br/>
            </w:r>
            <w:r w:rsidRPr="0015589A">
              <w:rPr>
                <w:sz w:val="20"/>
                <w:szCs w:val="20"/>
                <w:lang w:val="es-ES_tradnl"/>
              </w:rPr>
              <w:t>La conservación y el uso racional de los humedales se integran a través de la comunicación, el desarrollo de capacidad, la educación, concienciación y participación</w:t>
            </w:r>
            <w:r w:rsidRPr="0015589A">
              <w:rPr>
                <w:rFonts w:eastAsia="Times New Roman" w:cs="Arial"/>
                <w:sz w:val="20"/>
                <w:szCs w:val="20"/>
                <w:lang w:val="es-ES_tradnl" w:eastAsia="en-GB"/>
              </w:rPr>
              <w:t>.</w:t>
            </w:r>
          </w:p>
        </w:tc>
        <w:tc>
          <w:tcPr>
            <w:tcW w:w="3260" w:type="dxa"/>
            <w:shd w:val="clear" w:color="auto" w:fill="auto"/>
            <w:hideMark/>
          </w:tcPr>
          <w:p w14:paraId="3B1688C7" w14:textId="6CDB63F7"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16.1 Preparación, elaboración, divulgación y seguimiento de los materiales para el Día Mundial de los Humedales durante el trienio. Se ejecutan programas y campañas de amplio alcance con diversos asociados con miras a aumentar la conciencia, particularmente mediante el uso de los medios sociales (Resolución XII.9 meta 6.1)</w:t>
            </w:r>
          </w:p>
        </w:tc>
        <w:tc>
          <w:tcPr>
            <w:tcW w:w="3260" w:type="dxa"/>
            <w:shd w:val="clear" w:color="auto" w:fill="auto"/>
            <w:hideMark/>
          </w:tcPr>
          <w:p w14:paraId="6A8A08BE" w14:textId="4DF65964"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Materiales definitivos para el DMH preparados y facilitados a los usuarios y su uso y alcance medidos</w:t>
            </w:r>
            <w:r w:rsidRPr="00D21980">
              <w:rPr>
                <w:rFonts w:eastAsia="Times New Roman" w:cs="Arial"/>
                <w:sz w:val="20"/>
                <w:szCs w:val="20"/>
                <w:lang w:val="es-ES_tradnl" w:eastAsia="en-GB"/>
              </w:rPr>
              <w:t xml:space="preserve">. Participación en los medios sociales medida; </w:t>
            </w:r>
            <w:r w:rsidRPr="00D21980">
              <w:rPr>
                <w:rFonts w:eastAsia="Times New Roman" w:cs="Arial"/>
                <w:color w:val="000000"/>
                <w:sz w:val="20"/>
                <w:szCs w:val="20"/>
                <w:lang w:val="es-ES_tradnl" w:eastAsia="en-GB"/>
              </w:rPr>
              <w:t>las actividades del DMH se llevan a cabo a escala mundial con el apoyo del personal de la Secretaría según sea necesario</w:t>
            </w:r>
            <w:r w:rsidRPr="00D21980">
              <w:rPr>
                <w:rFonts w:eastAsia="Times New Roman" w:cs="Arial"/>
                <w:sz w:val="20"/>
                <w:szCs w:val="20"/>
                <w:lang w:val="es-ES_tradnl" w:eastAsia="en-GB"/>
              </w:rPr>
              <w:t xml:space="preserve">. </w:t>
            </w:r>
          </w:p>
        </w:tc>
        <w:tc>
          <w:tcPr>
            <w:tcW w:w="1418" w:type="dxa"/>
            <w:shd w:val="clear" w:color="auto" w:fill="auto"/>
            <w:hideMark/>
          </w:tcPr>
          <w:p w14:paraId="4C7E41AE" w14:textId="53E67A2D" w:rsidR="00D21980" w:rsidRPr="00D21980" w:rsidRDefault="00D219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SG/Resp. de Comunic./ARS</w:t>
            </w:r>
          </w:p>
        </w:tc>
      </w:tr>
      <w:tr w:rsidR="004D7EE7" w:rsidRPr="00D21980" w14:paraId="253165A0" w14:textId="77777777" w:rsidTr="00925672">
        <w:tc>
          <w:tcPr>
            <w:tcW w:w="1986" w:type="dxa"/>
            <w:vMerge/>
            <w:vAlign w:val="center"/>
            <w:hideMark/>
          </w:tcPr>
          <w:p w14:paraId="05509173"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7EE88C5D" w14:textId="7DB9881F"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16.2 Ayudar a aumentar la capacidad de los Coordinadores de CECoP mediante formación, juegos de herramientas y modelos y desarrollar en mayor medida el sitio web de Ramsar para que cumpla su propósito y sea una plataforma útil para el intercambio de información y recursos (Resolución XII.9 meta 3.3)</w:t>
            </w:r>
          </w:p>
        </w:tc>
        <w:tc>
          <w:tcPr>
            <w:tcW w:w="3260" w:type="dxa"/>
            <w:shd w:val="clear" w:color="auto" w:fill="auto"/>
            <w:hideMark/>
          </w:tcPr>
          <w:p w14:paraId="3A5DD6B4" w14:textId="09FA9121"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Redes de Coordinadores de CECoP definidas en cada región, colaborado con las IRR. Materiales basados en la web tales como módulos de formación y MOOC facilitados.</w:t>
            </w:r>
          </w:p>
        </w:tc>
        <w:tc>
          <w:tcPr>
            <w:tcW w:w="1418" w:type="dxa"/>
            <w:shd w:val="clear" w:color="auto" w:fill="auto"/>
            <w:hideMark/>
          </w:tcPr>
          <w:p w14:paraId="3D02883D" w14:textId="6BEBD584" w:rsidR="004D7EE7"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 xml:space="preserve">/ </w:t>
            </w:r>
            <w:r w:rsidR="00AA0F80" w:rsidRPr="00D21980">
              <w:rPr>
                <w:rFonts w:eastAsia="Times New Roman" w:cs="Arial"/>
                <w:color w:val="000000" w:themeColor="text1"/>
                <w:sz w:val="20"/>
                <w:szCs w:val="20"/>
                <w:lang w:val="es-ES_tradnl" w:eastAsia="en-GB"/>
              </w:rPr>
              <w:t>Resp. de Comunic.</w:t>
            </w:r>
          </w:p>
        </w:tc>
      </w:tr>
      <w:tr w:rsidR="004D7EE7" w:rsidRPr="00D21980" w14:paraId="7564A783" w14:textId="77777777" w:rsidTr="00925672">
        <w:tc>
          <w:tcPr>
            <w:tcW w:w="1986" w:type="dxa"/>
            <w:vMerge/>
            <w:vAlign w:val="center"/>
          </w:tcPr>
          <w:p w14:paraId="73148051"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tcPr>
          <w:p w14:paraId="748B916B" w14:textId="02D81906" w:rsidR="004D7EE7" w:rsidRPr="00D21980" w:rsidRDefault="004D7EE7" w:rsidP="004C4527">
            <w:pPr>
              <w:spacing w:after="0" w:line="240" w:lineRule="auto"/>
              <w:rPr>
                <w:rFonts w:cs="Arial"/>
                <w:color w:val="000000" w:themeColor="text1"/>
                <w:sz w:val="16"/>
                <w:szCs w:val="16"/>
                <w:lang w:val="es-ES_tradnl"/>
              </w:rPr>
            </w:pPr>
            <w:r w:rsidRPr="00D21980">
              <w:rPr>
                <w:rFonts w:cs="Arial"/>
                <w:sz w:val="20"/>
                <w:szCs w:val="20"/>
                <w:lang w:val="es-ES_tradnl"/>
              </w:rPr>
              <w:t xml:space="preserve">16.3 Alentar a las Partes Contratantes que tengan centros educativos establecidos o propuestos sobre humedales o instalaciones similares a facilitar información sobre esos centros como lugares clave para el aprendizaje y la formación sobre los </w:t>
            </w:r>
            <w:r w:rsidRPr="00D21980">
              <w:rPr>
                <w:rFonts w:cs="Arial"/>
                <w:sz w:val="20"/>
                <w:szCs w:val="20"/>
                <w:lang w:val="es-ES_tradnl"/>
              </w:rPr>
              <w:lastRenderedPageBreak/>
              <w:t>humedales; establecer una base de datos exhaustiva de los centros educativos sobre humedales (Resolución XII.9 meta 7.5).</w:t>
            </w:r>
          </w:p>
        </w:tc>
        <w:tc>
          <w:tcPr>
            <w:tcW w:w="3260" w:type="dxa"/>
            <w:shd w:val="clear" w:color="auto" w:fill="auto"/>
          </w:tcPr>
          <w:p w14:paraId="6051FBB0" w14:textId="77777777" w:rsidR="004D7EE7" w:rsidRPr="00D21980" w:rsidRDefault="004D7EE7" w:rsidP="004D7EE7">
            <w:pPr>
              <w:spacing w:after="0" w:line="240" w:lineRule="auto"/>
              <w:rPr>
                <w:rFonts w:cs="Arial"/>
                <w:sz w:val="20"/>
                <w:szCs w:val="20"/>
                <w:lang w:val="es-ES_tradnl"/>
              </w:rPr>
            </w:pPr>
            <w:r w:rsidRPr="00D21980">
              <w:rPr>
                <w:rFonts w:cs="Arial"/>
                <w:sz w:val="20"/>
                <w:szCs w:val="20"/>
                <w:lang w:val="es-ES_tradnl"/>
              </w:rPr>
              <w:lastRenderedPageBreak/>
              <w:t>Base de datos de los centros educativos de humedales elaborada conjuntamente con WLI.</w:t>
            </w:r>
          </w:p>
          <w:p w14:paraId="7C8E5FED"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1418" w:type="dxa"/>
            <w:vMerge w:val="restart"/>
            <w:shd w:val="clear" w:color="auto" w:fill="auto"/>
          </w:tcPr>
          <w:p w14:paraId="7D02F457" w14:textId="13F7993C" w:rsidR="004D7EE7" w:rsidRPr="00D21980" w:rsidRDefault="005D36A4" w:rsidP="00331E94">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w:t>
            </w:r>
            <w:r w:rsidR="004D7EE7" w:rsidRPr="00D21980">
              <w:rPr>
                <w:rFonts w:eastAsia="Times New Roman" w:cs="Arial"/>
                <w:color w:val="000000" w:themeColor="text1"/>
                <w:sz w:val="20"/>
                <w:szCs w:val="20"/>
                <w:lang w:val="es-ES_tradnl" w:eastAsia="en-GB"/>
              </w:rPr>
              <w:t xml:space="preserve">/ </w:t>
            </w:r>
            <w:r w:rsidR="00AA0F80" w:rsidRPr="00D21980">
              <w:rPr>
                <w:rFonts w:eastAsia="Times New Roman" w:cs="Arial"/>
                <w:color w:val="000000" w:themeColor="text1"/>
                <w:sz w:val="20"/>
                <w:szCs w:val="20"/>
                <w:lang w:val="es-ES_tradnl" w:eastAsia="en-GB"/>
              </w:rPr>
              <w:t>Resp. de Comunic.</w:t>
            </w:r>
            <w:r w:rsidR="004D7EE7"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t>ARS</w:t>
            </w:r>
          </w:p>
        </w:tc>
      </w:tr>
      <w:tr w:rsidR="004D7EE7" w:rsidRPr="00D21980" w14:paraId="75461512" w14:textId="77777777" w:rsidTr="00925672">
        <w:tc>
          <w:tcPr>
            <w:tcW w:w="1986" w:type="dxa"/>
            <w:vMerge/>
            <w:tcBorders>
              <w:bottom w:val="single" w:sz="4" w:space="0" w:color="auto"/>
            </w:tcBorders>
            <w:vAlign w:val="center"/>
          </w:tcPr>
          <w:p w14:paraId="317B3AD0"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3260" w:type="dxa"/>
            <w:tcBorders>
              <w:bottom w:val="single" w:sz="4" w:space="0" w:color="auto"/>
            </w:tcBorders>
            <w:shd w:val="clear" w:color="auto" w:fill="auto"/>
          </w:tcPr>
          <w:p w14:paraId="5F8BF888" w14:textId="66319D3C" w:rsidR="004D7EE7" w:rsidRPr="00D21980" w:rsidRDefault="004D7EE7" w:rsidP="004C4527">
            <w:pPr>
              <w:spacing w:after="0" w:line="240" w:lineRule="auto"/>
              <w:rPr>
                <w:rFonts w:cs="Arial"/>
                <w:color w:val="000000" w:themeColor="text1"/>
                <w:sz w:val="20"/>
                <w:szCs w:val="20"/>
                <w:lang w:val="es-ES_tradnl"/>
              </w:rPr>
            </w:pPr>
            <w:r w:rsidRPr="00D21980">
              <w:rPr>
                <w:rFonts w:cs="Arial"/>
                <w:sz w:val="20"/>
                <w:szCs w:val="20"/>
                <w:lang w:val="es-ES_tradnl"/>
              </w:rPr>
              <w:t>16.4 Elaborar bibliotecas de fotografías, videos y otras herramientas similares para apoyar la creación de conciencia (Resolución XII.9.6.4).</w:t>
            </w:r>
          </w:p>
        </w:tc>
        <w:tc>
          <w:tcPr>
            <w:tcW w:w="3260" w:type="dxa"/>
            <w:tcBorders>
              <w:bottom w:val="single" w:sz="4" w:space="0" w:color="auto"/>
            </w:tcBorders>
            <w:shd w:val="clear" w:color="auto" w:fill="auto"/>
          </w:tcPr>
          <w:p w14:paraId="17CA5160" w14:textId="22A99F4E" w:rsidR="004D7EE7" w:rsidRPr="00D21980" w:rsidRDefault="004D7EE7" w:rsidP="004C4527">
            <w:pPr>
              <w:spacing w:after="0" w:line="240" w:lineRule="auto"/>
              <w:rPr>
                <w:rFonts w:cs="Arial"/>
                <w:color w:val="000000" w:themeColor="text1"/>
                <w:sz w:val="20"/>
                <w:szCs w:val="20"/>
                <w:lang w:val="es-ES_tradnl"/>
              </w:rPr>
            </w:pPr>
            <w:r w:rsidRPr="00D21980">
              <w:rPr>
                <w:rFonts w:cs="Arial"/>
                <w:sz w:val="20"/>
                <w:szCs w:val="20"/>
                <w:lang w:val="es-ES_tradnl"/>
              </w:rPr>
              <w:t>El sitio web de Ramsar proporciona un acceso claro y sencillo a fotografías y videos sobre los humedales.</w:t>
            </w:r>
          </w:p>
        </w:tc>
        <w:tc>
          <w:tcPr>
            <w:tcW w:w="1418" w:type="dxa"/>
            <w:vMerge/>
            <w:tcBorders>
              <w:bottom w:val="single" w:sz="4" w:space="0" w:color="auto"/>
            </w:tcBorders>
            <w:shd w:val="clear" w:color="auto" w:fill="auto"/>
          </w:tcPr>
          <w:p w14:paraId="47A08CCB" w14:textId="77777777" w:rsidR="004D7EE7" w:rsidRPr="00D21980" w:rsidRDefault="004D7EE7" w:rsidP="00331E94">
            <w:pPr>
              <w:spacing w:after="0" w:line="240" w:lineRule="auto"/>
              <w:rPr>
                <w:rFonts w:eastAsia="Times New Roman" w:cs="Arial"/>
                <w:color w:val="000000" w:themeColor="text1"/>
                <w:sz w:val="20"/>
                <w:szCs w:val="20"/>
                <w:lang w:val="es-ES_tradnl" w:eastAsia="en-GB"/>
              </w:rPr>
            </w:pPr>
          </w:p>
        </w:tc>
      </w:tr>
      <w:tr w:rsidR="004D7EE7" w:rsidRPr="00D21980" w14:paraId="2D81175A" w14:textId="77777777" w:rsidTr="00925672">
        <w:trPr>
          <w:trHeight w:val="1704"/>
        </w:trPr>
        <w:tc>
          <w:tcPr>
            <w:tcW w:w="1986" w:type="dxa"/>
            <w:vMerge/>
            <w:vAlign w:val="center"/>
          </w:tcPr>
          <w:p w14:paraId="1CA33EC4"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tcPr>
          <w:p w14:paraId="3DAB95FB" w14:textId="214EFCD1" w:rsidR="004D7EE7" w:rsidRPr="00D21980" w:rsidRDefault="004D7EE7" w:rsidP="004C4527">
            <w:pPr>
              <w:spacing w:after="0" w:line="240" w:lineRule="auto"/>
              <w:rPr>
                <w:rFonts w:cs="Arial"/>
                <w:color w:val="000000" w:themeColor="text1"/>
                <w:sz w:val="20"/>
                <w:szCs w:val="20"/>
                <w:lang w:val="es-ES_tradnl"/>
              </w:rPr>
            </w:pPr>
            <w:r w:rsidRPr="00D21980">
              <w:rPr>
                <w:rFonts w:cs="Tahoma"/>
                <w:sz w:val="20"/>
                <w:szCs w:val="20"/>
                <w:lang w:val="es-ES_tradnl"/>
              </w:rPr>
              <w:t xml:space="preserve">16.8 Mejorar el sitio web oficial d Ramsar para servir al objetivo de los distintos públicos interesados y presentar un informe sobre los progresos en la mejora del sitio web al CP y a la COP13 (Resolución XII.9 párr. 26 y 27), p. ej., subrayando y divulgando las orientaciones del GECT, haciendo participar a las IRR o mostrando las mejores prácticas de las Partes Contratantes. </w:t>
            </w:r>
          </w:p>
        </w:tc>
        <w:tc>
          <w:tcPr>
            <w:tcW w:w="3260" w:type="dxa"/>
            <w:shd w:val="clear" w:color="auto" w:fill="auto"/>
          </w:tcPr>
          <w:p w14:paraId="0315127A" w14:textId="77777777" w:rsidR="004D7EE7" w:rsidRPr="00D21980" w:rsidRDefault="004D7EE7" w:rsidP="004D7EE7">
            <w:pPr>
              <w:tabs>
                <w:tab w:val="left" w:pos="3080"/>
              </w:tabs>
              <w:spacing w:after="0" w:line="240" w:lineRule="auto"/>
              <w:rPr>
                <w:rFonts w:eastAsia="Times New Roman" w:cs="Times New Roman"/>
                <w:sz w:val="20"/>
                <w:szCs w:val="20"/>
                <w:lang w:val="es-ES_tradnl"/>
              </w:rPr>
            </w:pPr>
            <w:r w:rsidRPr="00D21980">
              <w:rPr>
                <w:rFonts w:eastAsia="Times New Roman" w:cs="Times New Roman"/>
                <w:sz w:val="20"/>
                <w:szCs w:val="20"/>
                <w:lang w:val="es-ES_tradnl"/>
              </w:rPr>
              <w:t>Sitio web de Ramsar revisado y mejorado y encuesta de satisfacción de los usuarios completada antes de la COP13.</w:t>
            </w:r>
          </w:p>
          <w:p w14:paraId="3F32FF6D" w14:textId="77777777" w:rsidR="004D7EE7" w:rsidRPr="00D21980" w:rsidRDefault="004D7EE7" w:rsidP="004C4527">
            <w:pPr>
              <w:tabs>
                <w:tab w:val="left" w:pos="3080"/>
              </w:tabs>
              <w:spacing w:after="0" w:line="240" w:lineRule="auto"/>
              <w:rPr>
                <w:rFonts w:eastAsia="Times New Roman" w:cs="Times New Roman"/>
                <w:color w:val="000000" w:themeColor="text1"/>
                <w:sz w:val="20"/>
                <w:szCs w:val="20"/>
                <w:lang w:val="es-ES_tradnl"/>
              </w:rPr>
            </w:pPr>
          </w:p>
          <w:p w14:paraId="227DDFC7" w14:textId="77777777" w:rsidR="004D7EE7" w:rsidRPr="00D21980" w:rsidRDefault="004D7EE7" w:rsidP="004C4527">
            <w:pPr>
              <w:spacing w:after="0" w:line="240" w:lineRule="auto"/>
              <w:rPr>
                <w:rFonts w:cs="Arial"/>
                <w:color w:val="000000" w:themeColor="text1"/>
                <w:sz w:val="20"/>
                <w:szCs w:val="20"/>
                <w:lang w:val="es-ES_tradnl"/>
              </w:rPr>
            </w:pPr>
          </w:p>
        </w:tc>
        <w:tc>
          <w:tcPr>
            <w:tcW w:w="1418" w:type="dxa"/>
            <w:shd w:val="clear" w:color="auto" w:fill="auto"/>
          </w:tcPr>
          <w:p w14:paraId="51FE8D57" w14:textId="6FB1CD61"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5D36A4" w:rsidRPr="00D21980">
              <w:rPr>
                <w:rFonts w:eastAsia="Times New Roman" w:cs="Arial"/>
                <w:color w:val="000000" w:themeColor="text1"/>
                <w:sz w:val="20"/>
                <w:szCs w:val="20"/>
                <w:lang w:val="es-ES_tradnl" w:eastAsia="en-GB"/>
              </w:rPr>
              <w:t>SGA</w:t>
            </w:r>
            <w:r w:rsidRPr="00D21980">
              <w:rPr>
                <w:rFonts w:eastAsia="Times New Roman" w:cs="Arial"/>
                <w:color w:val="000000" w:themeColor="text1"/>
                <w:sz w:val="20"/>
                <w:szCs w:val="20"/>
                <w:lang w:val="es-ES_tradnl" w:eastAsia="en-GB"/>
              </w:rPr>
              <w:t>/</w:t>
            </w:r>
            <w:r w:rsidR="00AA0F80" w:rsidRPr="00D21980">
              <w:rPr>
                <w:rFonts w:eastAsia="Times New Roman" w:cs="Arial"/>
                <w:color w:val="000000" w:themeColor="text1"/>
                <w:sz w:val="20"/>
                <w:szCs w:val="20"/>
                <w:lang w:val="es-ES_tradnl" w:eastAsia="en-GB"/>
              </w:rPr>
              <w:t>Resp. de Comunic.</w:t>
            </w:r>
            <w:r w:rsidRPr="00D21980">
              <w:rPr>
                <w:rFonts w:eastAsia="Times New Roman" w:cs="Arial"/>
                <w:color w:val="000000" w:themeColor="text1"/>
                <w:sz w:val="20"/>
                <w:szCs w:val="20"/>
                <w:lang w:val="es-ES_tradnl" w:eastAsia="en-GB"/>
              </w:rPr>
              <w:t xml:space="preserve">/ </w:t>
            </w:r>
            <w:r w:rsidR="00AA0F80" w:rsidRPr="00D21980">
              <w:rPr>
                <w:rFonts w:eastAsia="Times New Roman" w:cs="Arial"/>
                <w:color w:val="000000" w:themeColor="text1"/>
                <w:sz w:val="20"/>
                <w:szCs w:val="20"/>
                <w:lang w:val="es-ES_tradnl" w:eastAsia="en-GB"/>
              </w:rPr>
              <w:t>GECT</w:t>
            </w:r>
          </w:p>
        </w:tc>
      </w:tr>
      <w:tr w:rsidR="004D7EE7" w:rsidRPr="00D21980" w14:paraId="5B193CE8" w14:textId="77777777" w:rsidTr="00925672">
        <w:tc>
          <w:tcPr>
            <w:tcW w:w="1986" w:type="dxa"/>
            <w:vMerge w:val="restart"/>
            <w:shd w:val="clear" w:color="auto" w:fill="auto"/>
            <w:hideMark/>
          </w:tcPr>
          <w:p w14:paraId="4C699BE1" w14:textId="54F13A4C"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t>Meta 17:</w:t>
            </w:r>
            <w:r w:rsidRPr="00D21980">
              <w:rPr>
                <w:rFonts w:eastAsia="Times New Roman" w:cs="Arial"/>
                <w:b/>
                <w:bCs/>
                <w:sz w:val="20"/>
                <w:szCs w:val="20"/>
                <w:lang w:val="es-ES_tradnl" w:eastAsia="en-GB"/>
              </w:rPr>
              <w:br/>
            </w:r>
            <w:r w:rsidRPr="00D21980">
              <w:rPr>
                <w:sz w:val="20"/>
                <w:szCs w:val="20"/>
                <w:lang w:val="es-ES_tradnl"/>
              </w:rPr>
              <w:t>Se facilitan recursos financieros y de otro tipo procedentes de todas las fuentes para ejecutar de forma efectiva el Cuarto Plan Estratégico de Ramsar (2016-2024)</w:t>
            </w:r>
            <w:r w:rsidRPr="00D21980">
              <w:rPr>
                <w:rFonts w:eastAsia="Times New Roman" w:cs="Arial"/>
                <w:sz w:val="20"/>
                <w:szCs w:val="20"/>
                <w:lang w:val="es-ES_tradnl" w:eastAsia="en-GB"/>
              </w:rPr>
              <w:t>.</w:t>
            </w:r>
          </w:p>
        </w:tc>
        <w:tc>
          <w:tcPr>
            <w:tcW w:w="3260" w:type="dxa"/>
            <w:shd w:val="clear" w:color="auto" w:fill="auto"/>
            <w:hideMark/>
          </w:tcPr>
          <w:p w14:paraId="0A8DEBD2" w14:textId="5BFA9D99"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cs="Tahoma"/>
                <w:sz w:val="20"/>
                <w:szCs w:val="20"/>
                <w:lang w:val="es-ES_tradnl"/>
              </w:rPr>
              <w:t>17.1 Contactar a las Partes Contratantes con contribuciones pendientes de pago desde hace más de tres años y trabajar con ellas para encontrar posibilidades adecuadas para que abonen dichas contribuciones (Resolución XII.1 párr. 18)</w:t>
            </w:r>
          </w:p>
        </w:tc>
        <w:tc>
          <w:tcPr>
            <w:tcW w:w="3260" w:type="dxa"/>
            <w:shd w:val="clear" w:color="auto" w:fill="auto"/>
            <w:hideMark/>
          </w:tcPr>
          <w:p w14:paraId="019C8C0B" w14:textId="73F28E65"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Tahoma"/>
                <w:kern w:val="32"/>
                <w:sz w:val="20"/>
                <w:szCs w:val="20"/>
                <w:lang w:val="es-ES_tradnl"/>
              </w:rPr>
              <w:t>Reducción en un 30 % del número de Partes con contribuciones pendientes de pago.</w:t>
            </w:r>
          </w:p>
        </w:tc>
        <w:tc>
          <w:tcPr>
            <w:tcW w:w="1418" w:type="dxa"/>
            <w:shd w:val="clear" w:color="auto" w:fill="auto"/>
            <w:noWrap/>
            <w:hideMark/>
          </w:tcPr>
          <w:p w14:paraId="6DB530AD" w14:textId="0E3F913D" w:rsidR="004D7EE7" w:rsidRPr="00D21980" w:rsidRDefault="004D7EE7"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Oficial de Finanzas</w:t>
            </w:r>
          </w:p>
        </w:tc>
      </w:tr>
      <w:tr w:rsidR="004D7EE7" w:rsidRPr="00D21980" w14:paraId="65F5C9A7" w14:textId="77777777" w:rsidTr="00925672">
        <w:trPr>
          <w:trHeight w:val="600"/>
        </w:trPr>
        <w:tc>
          <w:tcPr>
            <w:tcW w:w="1986" w:type="dxa"/>
            <w:vMerge/>
            <w:vAlign w:val="center"/>
            <w:hideMark/>
          </w:tcPr>
          <w:p w14:paraId="72427069" w14:textId="77777777" w:rsidR="004D7EE7" w:rsidRPr="00D21980" w:rsidRDefault="004D7EE7"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79DF6E11" w14:textId="0BB806AA" w:rsidR="004D7EE7" w:rsidRPr="00D21980" w:rsidRDefault="004D7EE7"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17.2 </w:t>
            </w:r>
            <w:r w:rsidRPr="00D21980">
              <w:rPr>
                <w:rFonts w:eastAsia="Times New Roman" w:cs="Arial"/>
                <w:color w:val="000000"/>
                <w:sz w:val="20"/>
                <w:szCs w:val="20"/>
                <w:lang w:val="es-ES_tradnl" w:eastAsia="en-GB"/>
              </w:rPr>
              <w:t xml:space="preserve">Evaluación y seguimiento de los proyectos </w:t>
            </w:r>
            <w:r w:rsidRPr="00D21980">
              <w:rPr>
                <w:rFonts w:eastAsia="Times New Roman" w:cs="Arial"/>
                <w:i/>
                <w:color w:val="000000"/>
                <w:sz w:val="20"/>
                <w:szCs w:val="20"/>
                <w:lang w:val="es-ES_tradnl" w:eastAsia="en-GB"/>
              </w:rPr>
              <w:t>Wetlands for the Future</w:t>
            </w:r>
            <w:r w:rsidR="00D227E5" w:rsidRPr="00D21980">
              <w:rPr>
                <w:rFonts w:eastAsia="Times New Roman" w:cs="Arial"/>
                <w:color w:val="000000"/>
                <w:sz w:val="20"/>
                <w:szCs w:val="20"/>
                <w:lang w:val="es-ES_tradnl" w:eastAsia="en-GB"/>
              </w:rPr>
              <w:t xml:space="preserve"> (WFF),</w:t>
            </w:r>
            <w:r w:rsidRPr="00D21980">
              <w:rPr>
                <w:rFonts w:eastAsia="Times New Roman" w:cs="Arial"/>
                <w:color w:val="000000"/>
                <w:sz w:val="20"/>
                <w:szCs w:val="20"/>
                <w:lang w:val="es-ES_tradnl" w:eastAsia="en-GB"/>
              </w:rPr>
              <w:t xml:space="preserve"> </w:t>
            </w:r>
            <w:r w:rsidRPr="00D21980">
              <w:rPr>
                <w:rFonts w:eastAsia="Times New Roman" w:cs="Arial"/>
                <w:i/>
                <w:color w:val="000000"/>
                <w:sz w:val="20"/>
                <w:szCs w:val="20"/>
                <w:lang w:val="es-ES_tradnl" w:eastAsia="en-GB"/>
              </w:rPr>
              <w:t>Swiss Grants for Africa</w:t>
            </w:r>
            <w:r w:rsidRPr="00D21980">
              <w:rPr>
                <w:rFonts w:eastAsia="Times New Roman" w:cs="Arial"/>
                <w:color w:val="000000"/>
                <w:sz w:val="20"/>
                <w:szCs w:val="20"/>
                <w:lang w:val="es-ES_tradnl" w:eastAsia="en-GB"/>
              </w:rPr>
              <w:t xml:space="preserve"> (SGA)</w:t>
            </w:r>
            <w:r w:rsidR="00D227E5" w:rsidRPr="00D21980">
              <w:rPr>
                <w:rFonts w:eastAsia="Times New Roman" w:cs="Arial"/>
                <w:color w:val="000000"/>
                <w:sz w:val="20"/>
                <w:szCs w:val="20"/>
                <w:lang w:val="es-ES_tradnl" w:eastAsia="en-GB"/>
              </w:rPr>
              <w:t xml:space="preserve"> y la Nagao Foundation</w:t>
            </w:r>
            <w:r w:rsidRPr="00D21980">
              <w:rPr>
                <w:rFonts w:eastAsia="Times New Roman" w:cs="Arial"/>
                <w:sz w:val="20"/>
                <w:szCs w:val="20"/>
                <w:lang w:val="es-ES_tradnl" w:eastAsia="en-GB"/>
              </w:rPr>
              <w:t>.</w:t>
            </w:r>
          </w:p>
        </w:tc>
        <w:tc>
          <w:tcPr>
            <w:tcW w:w="3260" w:type="dxa"/>
            <w:shd w:val="clear" w:color="auto" w:fill="auto"/>
            <w:hideMark/>
          </w:tcPr>
          <w:p w14:paraId="0B8E812F" w14:textId="04F894D2" w:rsidR="004D7EE7" w:rsidRPr="00D21980" w:rsidRDefault="004D7EE7" w:rsidP="0009568C">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Seguimiento técnico y administrativo en tiempo oportuno de los proyectos financiados. Aplicación exitosa sobre el terreno del proyecto financiado que contribuye a la aplicación de la Convenció</w:t>
            </w:r>
            <w:r w:rsidR="0009568C" w:rsidRPr="00D21980">
              <w:rPr>
                <w:rFonts w:eastAsia="Times New Roman" w:cs="Arial"/>
                <w:color w:val="000000"/>
                <w:sz w:val="20"/>
                <w:szCs w:val="20"/>
                <w:lang w:val="es-ES_tradnl" w:eastAsia="en-GB"/>
              </w:rPr>
              <w:t xml:space="preserve">n en América Latina y el Caribe, en </w:t>
            </w:r>
            <w:r w:rsidRPr="00D21980">
              <w:rPr>
                <w:rFonts w:eastAsia="Times New Roman" w:cs="Arial"/>
                <w:color w:val="000000"/>
                <w:sz w:val="20"/>
                <w:szCs w:val="20"/>
                <w:lang w:val="es-ES_tradnl" w:eastAsia="en-GB"/>
              </w:rPr>
              <w:t>África</w:t>
            </w:r>
            <w:r w:rsidR="0009568C" w:rsidRPr="00D21980">
              <w:rPr>
                <w:rFonts w:eastAsia="Times New Roman" w:cs="Arial"/>
                <w:color w:val="000000"/>
                <w:sz w:val="20"/>
                <w:szCs w:val="20"/>
                <w:lang w:val="es-ES_tradnl" w:eastAsia="en-GB"/>
              </w:rPr>
              <w:t xml:space="preserve"> y Asia.</w:t>
            </w:r>
          </w:p>
        </w:tc>
        <w:tc>
          <w:tcPr>
            <w:tcW w:w="1418" w:type="dxa"/>
            <w:shd w:val="clear" w:color="auto" w:fill="auto"/>
            <w:noWrap/>
            <w:hideMark/>
          </w:tcPr>
          <w:p w14:paraId="74FE970D" w14:textId="3C6A40E2" w:rsidR="004D7EE7" w:rsidRPr="00D21980" w:rsidRDefault="00AA0F80" w:rsidP="00C67AA5">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ARS para las Américas, África y Asia</w:t>
            </w:r>
          </w:p>
        </w:tc>
      </w:tr>
      <w:tr w:rsidR="005D36A4" w:rsidRPr="00D21980" w14:paraId="57B86E7C" w14:textId="77777777" w:rsidTr="00925672">
        <w:trPr>
          <w:trHeight w:val="1384"/>
        </w:trPr>
        <w:tc>
          <w:tcPr>
            <w:tcW w:w="1986" w:type="dxa"/>
            <w:vMerge/>
            <w:vAlign w:val="center"/>
            <w:hideMark/>
          </w:tcPr>
          <w:p w14:paraId="2145F64B"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140660EF" w14:textId="5C15AF1D"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17.2 </w:t>
            </w:r>
            <w:r w:rsidRPr="00D21980">
              <w:rPr>
                <w:rFonts w:eastAsia="Times New Roman" w:cs="Arial"/>
                <w:color w:val="000000"/>
                <w:sz w:val="20"/>
                <w:szCs w:val="20"/>
                <w:lang w:val="es-ES_tradnl" w:eastAsia="en-GB"/>
              </w:rPr>
              <w:t>Gestionar el presupuesto de la Convención de manera oportuna y eficiente</w:t>
            </w:r>
            <w:r w:rsidRPr="00D21980">
              <w:rPr>
                <w:rFonts w:eastAsia="Times New Roman" w:cs="Arial"/>
                <w:sz w:val="20"/>
                <w:szCs w:val="20"/>
                <w:lang w:val="es-ES_tradnl" w:eastAsia="en-GB"/>
              </w:rPr>
              <w:t>; garantizar que el patrocinio de delegados para la COP13 sea una prioridad en la recaudación de fondos durante el trienio (Resolución XII.1.12).</w:t>
            </w:r>
          </w:p>
        </w:tc>
        <w:tc>
          <w:tcPr>
            <w:tcW w:w="3260" w:type="dxa"/>
            <w:shd w:val="clear" w:color="auto" w:fill="auto"/>
            <w:hideMark/>
          </w:tcPr>
          <w:p w14:paraId="53C16174" w14:textId="3858EC3F" w:rsidR="005D36A4" w:rsidRPr="00D21980" w:rsidRDefault="005D36A4" w:rsidP="0054724D">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Gestión financiera eficiente llevada a cabo. Todos los informes son satisfactorios y aprobados por la</w:t>
            </w:r>
            <w:r w:rsidR="0054724D" w:rsidRPr="00D21980">
              <w:rPr>
                <w:rFonts w:eastAsia="Times New Roman" w:cs="Arial"/>
                <w:color w:val="000000"/>
                <w:sz w:val="20"/>
                <w:szCs w:val="20"/>
                <w:lang w:val="es-ES_tradnl" w:eastAsia="en-GB"/>
              </w:rPr>
              <w:t xml:space="preserve"> reunión </w:t>
            </w:r>
            <w:r w:rsidRPr="00D21980">
              <w:rPr>
                <w:rFonts w:eastAsia="Times New Roman" w:cs="Arial"/>
                <w:color w:val="000000"/>
                <w:sz w:val="20"/>
                <w:szCs w:val="20"/>
                <w:lang w:val="es-ES_tradnl" w:eastAsia="en-GB"/>
              </w:rPr>
              <w:t>SC52</w:t>
            </w:r>
            <w:r w:rsidRPr="00D21980">
              <w:rPr>
                <w:rFonts w:eastAsia="Times New Roman" w:cs="Arial"/>
                <w:sz w:val="20"/>
                <w:szCs w:val="20"/>
                <w:lang w:val="es-ES_tradnl" w:eastAsia="en-GB"/>
              </w:rPr>
              <w:t>. Se identifica y se contacta a los donantes clave para sufragar todos los costos de los delegados en la COP13.</w:t>
            </w:r>
          </w:p>
        </w:tc>
        <w:tc>
          <w:tcPr>
            <w:tcW w:w="1418" w:type="dxa"/>
            <w:shd w:val="clear" w:color="auto" w:fill="auto"/>
            <w:noWrap/>
            <w:hideMark/>
          </w:tcPr>
          <w:p w14:paraId="3CC4748F" w14:textId="08286AF2" w:rsidR="005D36A4"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Oficial de Finanzas</w:t>
            </w:r>
          </w:p>
        </w:tc>
      </w:tr>
      <w:tr w:rsidR="00925672" w:rsidRPr="00D21980" w14:paraId="3DED7FA5" w14:textId="77777777" w:rsidTr="00925672">
        <w:trPr>
          <w:cantSplit/>
          <w:trHeight w:val="1200"/>
        </w:trPr>
        <w:tc>
          <w:tcPr>
            <w:tcW w:w="1986" w:type="dxa"/>
            <w:vMerge/>
            <w:vAlign w:val="center"/>
          </w:tcPr>
          <w:p w14:paraId="59737166" w14:textId="77777777" w:rsidR="00925672" w:rsidRPr="00D21980" w:rsidRDefault="00925672"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tcPr>
          <w:p w14:paraId="3CD2348A" w14:textId="7CE01C9A" w:rsidR="00925672" w:rsidRPr="00D21980" w:rsidRDefault="00925672" w:rsidP="00D21980">
            <w:pPr>
              <w:spacing w:after="0" w:line="240" w:lineRule="auto"/>
              <w:rPr>
                <w:rFonts w:cs="Arial"/>
                <w:color w:val="000000" w:themeColor="text1"/>
                <w:sz w:val="20"/>
                <w:szCs w:val="20"/>
                <w:lang w:val="es-ES_tradnl"/>
              </w:rPr>
            </w:pPr>
            <w:r w:rsidRPr="00D21980">
              <w:rPr>
                <w:rFonts w:eastAsia="Times New Roman" w:cs="Arial"/>
                <w:color w:val="000000" w:themeColor="text1"/>
                <w:sz w:val="20"/>
                <w:szCs w:val="20"/>
                <w:lang w:val="es-ES_tradnl" w:eastAsia="en-GB"/>
              </w:rPr>
              <w:t xml:space="preserve">17.6 </w:t>
            </w:r>
            <w:r w:rsidR="005D36A4" w:rsidRPr="00D21980">
              <w:rPr>
                <w:rFonts w:eastAsia="Times New Roman" w:cs="Arial"/>
                <w:sz w:val="20"/>
                <w:szCs w:val="20"/>
                <w:lang w:val="es-ES_tradnl" w:eastAsia="en-GB"/>
              </w:rPr>
              <w:t>Seguir fortaleciendo las relaciones con la Convención del Patrimonio Mundial de la UNESCO para impulsar prácticas, normas y una gestión comparables de los sitios importantes a escala mundial y apoyar el trabajo en los sitios con múltiples designaciones</w:t>
            </w:r>
            <w:r w:rsidR="00D21980" w:rsidRPr="00D21980">
              <w:rPr>
                <w:rFonts w:eastAsia="Times New Roman" w:cs="Arial"/>
                <w:sz w:val="20"/>
                <w:szCs w:val="20"/>
                <w:lang w:val="es-ES_tradnl" w:eastAsia="en-GB"/>
              </w:rPr>
              <w:t>. Ejecutar el Plan de trabajo conjunto con la CEM. Fortalecer la relación con la AEWA.</w:t>
            </w:r>
          </w:p>
        </w:tc>
        <w:tc>
          <w:tcPr>
            <w:tcW w:w="3260" w:type="dxa"/>
            <w:shd w:val="clear" w:color="auto" w:fill="auto"/>
          </w:tcPr>
          <w:p w14:paraId="67366DD8" w14:textId="17BBF7CC" w:rsidR="00925672"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Seguimiento de los planes de trabajo conjuntos con la CEM/AEWA y el Patrimonio Mundial de la UNESCO.</w:t>
            </w:r>
          </w:p>
        </w:tc>
        <w:tc>
          <w:tcPr>
            <w:tcW w:w="1418" w:type="dxa"/>
            <w:shd w:val="clear" w:color="auto" w:fill="auto"/>
          </w:tcPr>
          <w:p w14:paraId="2E20DDE6" w14:textId="4F63C400" w:rsidR="00925672" w:rsidRPr="00D21980" w:rsidRDefault="00925672"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5D36A4" w:rsidRPr="00D21980">
              <w:rPr>
                <w:rFonts w:eastAsia="Times New Roman" w:cs="Arial"/>
                <w:color w:val="000000" w:themeColor="text1"/>
                <w:sz w:val="20"/>
                <w:szCs w:val="20"/>
                <w:lang w:val="es-ES_tradnl" w:eastAsia="en-GB"/>
              </w:rPr>
              <w:t>SGA</w:t>
            </w:r>
            <w:r w:rsidRPr="00D21980">
              <w:rPr>
                <w:rFonts w:eastAsia="Times New Roman" w:cs="Arial"/>
                <w:color w:val="000000" w:themeColor="text1"/>
                <w:sz w:val="20"/>
                <w:szCs w:val="20"/>
                <w:lang w:val="es-ES_tradnl" w:eastAsia="en-GB"/>
              </w:rPr>
              <w:t>/</w:t>
            </w:r>
            <w:r w:rsidR="005D36A4" w:rsidRPr="00D21980">
              <w:rPr>
                <w:rFonts w:eastAsia="Times New Roman" w:cs="Arial"/>
                <w:color w:val="000000" w:themeColor="text1"/>
                <w:sz w:val="20"/>
                <w:szCs w:val="20"/>
                <w:lang w:val="es-ES_tradnl" w:eastAsia="en-GB"/>
              </w:rPr>
              <w:t>ARS</w:t>
            </w:r>
            <w:r w:rsidRPr="00D21980">
              <w:rPr>
                <w:rFonts w:eastAsia="Times New Roman" w:cs="Arial"/>
                <w:color w:val="000000" w:themeColor="text1"/>
                <w:sz w:val="20"/>
                <w:szCs w:val="20"/>
                <w:lang w:val="es-ES_tradnl" w:eastAsia="en-GB"/>
              </w:rPr>
              <w:t>/</w:t>
            </w:r>
            <w:r w:rsidRPr="00D21980">
              <w:rPr>
                <w:rFonts w:eastAsia="Times New Roman" w:cs="Arial"/>
                <w:color w:val="000000" w:themeColor="text1"/>
                <w:sz w:val="20"/>
                <w:szCs w:val="20"/>
                <w:lang w:val="es-ES_tradnl" w:eastAsia="en-GB"/>
              </w:rPr>
              <w:br/>
            </w:r>
            <w:r w:rsidR="00AA0F80" w:rsidRPr="00D21980">
              <w:rPr>
                <w:rFonts w:eastAsia="Times New Roman" w:cs="Arial"/>
                <w:color w:val="000000" w:themeColor="text1"/>
                <w:sz w:val="20"/>
                <w:szCs w:val="20"/>
                <w:lang w:val="es-ES_tradnl" w:eastAsia="en-GB"/>
              </w:rPr>
              <w:t>Resp. de Asoc. de Colab.</w:t>
            </w:r>
          </w:p>
        </w:tc>
      </w:tr>
      <w:tr w:rsidR="005D36A4" w:rsidRPr="00D21980" w14:paraId="4EC0C2E9" w14:textId="77777777" w:rsidTr="00925672">
        <w:trPr>
          <w:trHeight w:val="1490"/>
        </w:trPr>
        <w:tc>
          <w:tcPr>
            <w:tcW w:w="1986" w:type="dxa"/>
            <w:vMerge w:val="restart"/>
            <w:shd w:val="clear" w:color="auto" w:fill="auto"/>
            <w:hideMark/>
          </w:tcPr>
          <w:p w14:paraId="5B46B488" w14:textId="0BB55CD9"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b/>
                <w:bCs/>
                <w:sz w:val="20"/>
                <w:szCs w:val="20"/>
                <w:lang w:val="es-ES_tradnl" w:eastAsia="en-GB"/>
              </w:rPr>
              <w:lastRenderedPageBreak/>
              <w:t>Meta 18:</w:t>
            </w:r>
            <w:r w:rsidRPr="00D21980">
              <w:rPr>
                <w:rFonts w:eastAsia="Times New Roman" w:cs="Arial"/>
                <w:b/>
                <w:bCs/>
                <w:sz w:val="20"/>
                <w:szCs w:val="20"/>
                <w:lang w:val="es-ES_tradnl" w:eastAsia="en-GB"/>
              </w:rPr>
              <w:br/>
            </w:r>
            <w:r w:rsidRPr="00D21980">
              <w:rPr>
                <w:sz w:val="20"/>
                <w:szCs w:val="20"/>
                <w:lang w:val="es-ES_tradnl"/>
              </w:rPr>
              <w:t>Se refuerza la cooperación internacional a todos los niveles</w:t>
            </w:r>
            <w:r w:rsidRPr="00D21980">
              <w:rPr>
                <w:rFonts w:eastAsia="Times New Roman" w:cs="Arial"/>
                <w:sz w:val="20"/>
                <w:szCs w:val="20"/>
                <w:lang w:val="es-ES_tradnl" w:eastAsia="en-GB"/>
              </w:rPr>
              <w:t>.</w:t>
            </w:r>
          </w:p>
        </w:tc>
        <w:tc>
          <w:tcPr>
            <w:tcW w:w="3260" w:type="dxa"/>
            <w:shd w:val="clear" w:color="auto" w:fill="auto"/>
          </w:tcPr>
          <w:p w14:paraId="4288AC35" w14:textId="68FC6ED0"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18.3 Preparar una estrategia para la posible introducción escalonada del árabe u otros idiomas de las Naciones Unidas en la labor de la Convención de Ramsar (Resolución XII.3 párr. 26), con sujeción a la disponibilidad de recursos.</w:t>
            </w:r>
          </w:p>
        </w:tc>
        <w:tc>
          <w:tcPr>
            <w:tcW w:w="3260" w:type="dxa"/>
            <w:shd w:val="clear" w:color="auto" w:fill="auto"/>
          </w:tcPr>
          <w:p w14:paraId="10434F30" w14:textId="4C672195" w:rsidR="005D36A4" w:rsidRPr="00D21980" w:rsidRDefault="005D36A4" w:rsidP="004C4527">
            <w:pPr>
              <w:spacing w:after="0" w:line="240" w:lineRule="auto"/>
              <w:rPr>
                <w:rFonts w:eastAsia="Times New Roman" w:cs="Arial"/>
                <w:color w:val="000000" w:themeColor="text1"/>
                <w:spacing w:val="-2"/>
                <w:sz w:val="20"/>
                <w:szCs w:val="20"/>
                <w:lang w:val="es-ES_tradnl" w:eastAsia="en-GB"/>
              </w:rPr>
            </w:pPr>
            <w:r w:rsidRPr="00D21980">
              <w:rPr>
                <w:rFonts w:eastAsia="Times New Roman" w:cs="Arial"/>
                <w:sz w:val="20"/>
                <w:szCs w:val="20"/>
                <w:lang w:val="es-ES_tradnl" w:eastAsia="en-GB"/>
              </w:rPr>
              <w:t>Estrategia elaborada sobre la posible introducción escalonada del árabe u otros idiomas de las Naciones Unidas en la labor de la Convención de Ramsar.</w:t>
            </w:r>
          </w:p>
        </w:tc>
        <w:tc>
          <w:tcPr>
            <w:tcW w:w="1418" w:type="dxa"/>
            <w:shd w:val="clear" w:color="auto" w:fill="auto"/>
          </w:tcPr>
          <w:p w14:paraId="0141A76D" w14:textId="475CFDA1" w:rsidR="005D36A4"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 xml:space="preserve">ARS </w:t>
            </w:r>
            <w:r w:rsidRPr="00D21980">
              <w:rPr>
                <w:rFonts w:eastAsia="Times New Roman" w:cs="Arial"/>
                <w:color w:val="000000" w:themeColor="text1"/>
                <w:sz w:val="20"/>
                <w:szCs w:val="20"/>
                <w:lang w:val="es-ES_tradnl" w:eastAsia="en-GB"/>
              </w:rPr>
              <w:t xml:space="preserve">Asia </w:t>
            </w:r>
          </w:p>
        </w:tc>
      </w:tr>
      <w:tr w:rsidR="005D36A4" w:rsidRPr="00D21980" w14:paraId="79A12CF6" w14:textId="77777777" w:rsidTr="00925672">
        <w:tc>
          <w:tcPr>
            <w:tcW w:w="1986" w:type="dxa"/>
            <w:vMerge/>
            <w:vAlign w:val="center"/>
            <w:hideMark/>
          </w:tcPr>
          <w:p w14:paraId="540234F8"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tcPr>
          <w:p w14:paraId="73B6E89B" w14:textId="2BDE0A02"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18.4 Trabajar con el Grupo de Enlace sobre la Diversidad Biológica para aumentar la coherencia y cooperación y proseguir los esfuerzos para mejorar la eficiencia y reducir la superposición y duplicación innecesarias a todos los niveles pertinentes entre las Convenciones relacionadas con la biodiversidad. Facilitar la selección de los representantes para participar en el taller sobre sinergias dirigido por el CDB en febrero de 2016 (Resoluciones XII.3 párr. 44 y 46).</w:t>
            </w:r>
          </w:p>
        </w:tc>
        <w:tc>
          <w:tcPr>
            <w:tcW w:w="3260" w:type="dxa"/>
            <w:shd w:val="clear" w:color="auto" w:fill="auto"/>
          </w:tcPr>
          <w:p w14:paraId="1EF83E74" w14:textId="7A197136" w:rsidR="005D36A4" w:rsidRPr="00D21980" w:rsidRDefault="005D36A4" w:rsidP="005D36A4">
            <w:pPr>
              <w:spacing w:after="0" w:line="240" w:lineRule="auto"/>
              <w:rPr>
                <w:rFonts w:eastAsia="Times New Roman" w:cs="Arial"/>
                <w:sz w:val="20"/>
                <w:szCs w:val="20"/>
                <w:lang w:val="es-ES_tradnl" w:eastAsia="en-GB"/>
              </w:rPr>
            </w:pPr>
            <w:r w:rsidRPr="00D21980">
              <w:rPr>
                <w:rFonts w:cs="Arial"/>
                <w:sz w:val="20"/>
                <w:szCs w:val="20"/>
                <w:lang w:val="es-ES_tradnl"/>
              </w:rPr>
              <w:t>Asistencia a las reuniones del BLG, coherencia y cooperación mejoradas, solapamiento y duplicación innecesarios reducidos. Asistencia de las Partes Contratantes y el personal de la Secretaría al taller del CDB.</w:t>
            </w:r>
          </w:p>
          <w:p w14:paraId="4B066C55" w14:textId="107621B8"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1418" w:type="dxa"/>
            <w:shd w:val="clear" w:color="auto" w:fill="auto"/>
            <w:noWrap/>
          </w:tcPr>
          <w:p w14:paraId="5076D39E" w14:textId="31C7A662"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SG/SGA</w:t>
            </w:r>
          </w:p>
        </w:tc>
      </w:tr>
      <w:tr w:rsidR="005D36A4" w:rsidRPr="00D21980" w14:paraId="74806E45" w14:textId="77777777" w:rsidTr="00925672">
        <w:tc>
          <w:tcPr>
            <w:tcW w:w="1986" w:type="dxa"/>
            <w:vMerge/>
            <w:vAlign w:val="center"/>
          </w:tcPr>
          <w:p w14:paraId="3746CE08"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tcPr>
          <w:p w14:paraId="325ADBB4" w14:textId="3F61C0F5"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18.5 Trabajar con el PNUMA sobre la aplicación del memorando de entendimiento e informar sobre los progresos de las actividades correspondientes (Resolución XII.3 párr. 45).</w:t>
            </w:r>
          </w:p>
        </w:tc>
        <w:tc>
          <w:tcPr>
            <w:tcW w:w="3260" w:type="dxa"/>
            <w:shd w:val="clear" w:color="auto" w:fill="auto"/>
          </w:tcPr>
          <w:p w14:paraId="62AB5737" w14:textId="61606CC7" w:rsidR="005D36A4" w:rsidRPr="00D21980" w:rsidRDefault="005D36A4" w:rsidP="0054724D">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MdE con el PNUMA ejecutado, informe sobre las acciones conjuntas</w:t>
            </w:r>
            <w:r w:rsidR="0054724D" w:rsidRPr="00D21980">
              <w:rPr>
                <w:rFonts w:cs="Arial"/>
                <w:sz w:val="20"/>
                <w:szCs w:val="20"/>
                <w:lang w:val="es-ES_tradnl"/>
              </w:rPr>
              <w:t xml:space="preserve"> presentado</w:t>
            </w:r>
            <w:r w:rsidRPr="00D21980">
              <w:rPr>
                <w:rFonts w:cs="Arial"/>
                <w:sz w:val="20"/>
                <w:szCs w:val="20"/>
                <w:lang w:val="es-ES_tradnl"/>
              </w:rPr>
              <w:t>.</w:t>
            </w:r>
          </w:p>
        </w:tc>
        <w:tc>
          <w:tcPr>
            <w:tcW w:w="1418" w:type="dxa"/>
            <w:shd w:val="clear" w:color="auto" w:fill="auto"/>
            <w:noWrap/>
          </w:tcPr>
          <w:p w14:paraId="623DB61D" w14:textId="76259643" w:rsidR="005D36A4"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SG/SGA/</w:t>
            </w:r>
            <w:r w:rsidR="00AA0F80" w:rsidRPr="00D21980">
              <w:rPr>
                <w:rFonts w:eastAsia="Times New Roman" w:cs="Arial"/>
                <w:color w:val="000000" w:themeColor="text1"/>
                <w:sz w:val="20"/>
                <w:szCs w:val="20"/>
                <w:lang w:val="es-ES_tradnl" w:eastAsia="en-GB"/>
              </w:rPr>
              <w:t>Resp. de Asoc. de Colab.</w:t>
            </w:r>
          </w:p>
        </w:tc>
      </w:tr>
      <w:tr w:rsidR="005D36A4" w:rsidRPr="00D21980" w14:paraId="3D61DFA5" w14:textId="77777777" w:rsidTr="00925672">
        <w:trPr>
          <w:trHeight w:val="2157"/>
        </w:trPr>
        <w:tc>
          <w:tcPr>
            <w:tcW w:w="1986" w:type="dxa"/>
            <w:vMerge/>
            <w:vAlign w:val="center"/>
            <w:hideMark/>
          </w:tcPr>
          <w:p w14:paraId="7E1330F1"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414992B3" w14:textId="7BDDBCF6"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18.6 Ejecutar el Plan de Trabajo Conjunto con el CDB para promover la concienciación y la creación de capacidad acerca de soluciones para el manejo de los recursos hídricos basadas en los ecosistemas como contribución al desarrollo sostenible con arreglo a la Decisión XI/23 del CDB. Contribuir a la aplicación de las Metas de Aichi (Resolución XII.3 párr. 47 y 51).</w:t>
            </w:r>
          </w:p>
        </w:tc>
        <w:tc>
          <w:tcPr>
            <w:tcW w:w="3260" w:type="dxa"/>
            <w:shd w:val="clear" w:color="auto" w:fill="auto"/>
            <w:hideMark/>
          </w:tcPr>
          <w:p w14:paraId="3E8DAE53" w14:textId="3A5879DE"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Acciones del plan de trabajo conjunto ejecutadas, evento paralelo sobre la Convención de Ramsar organizado en la próxima COP del CDB. Modelo de informe nacional modificado para reflejar las Metas de Aichi.</w:t>
            </w:r>
          </w:p>
        </w:tc>
        <w:tc>
          <w:tcPr>
            <w:tcW w:w="1418" w:type="dxa"/>
            <w:shd w:val="clear" w:color="auto" w:fill="auto"/>
            <w:noWrap/>
            <w:hideMark/>
          </w:tcPr>
          <w:p w14:paraId="5C658310" w14:textId="128F2654"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SG/SGA/</w:t>
            </w:r>
            <w:r w:rsidRPr="00D21980">
              <w:rPr>
                <w:rFonts w:eastAsia="Times New Roman" w:cs="Arial"/>
                <w:color w:val="000000" w:themeColor="text1"/>
                <w:sz w:val="20"/>
                <w:szCs w:val="20"/>
                <w:lang w:val="es-ES_tradnl" w:eastAsia="en-GB"/>
              </w:rPr>
              <w:br/>
            </w:r>
            <w:r w:rsidR="00AA0F80" w:rsidRPr="00D21980">
              <w:rPr>
                <w:rFonts w:eastAsia="Times New Roman" w:cs="Arial"/>
                <w:color w:val="000000" w:themeColor="text1"/>
                <w:sz w:val="20"/>
                <w:szCs w:val="20"/>
                <w:lang w:val="es-ES_tradnl" w:eastAsia="en-GB"/>
              </w:rPr>
              <w:t>Resp. de Asoc. de Colab.</w:t>
            </w:r>
          </w:p>
        </w:tc>
      </w:tr>
      <w:tr w:rsidR="005D36A4" w:rsidRPr="00D21980" w14:paraId="354A1846" w14:textId="77777777" w:rsidTr="00925672">
        <w:trPr>
          <w:cantSplit/>
          <w:trHeight w:val="1221"/>
        </w:trPr>
        <w:tc>
          <w:tcPr>
            <w:tcW w:w="1986" w:type="dxa"/>
            <w:vMerge w:val="restart"/>
            <w:shd w:val="clear" w:color="auto" w:fill="auto"/>
            <w:hideMark/>
          </w:tcPr>
          <w:p w14:paraId="6ECD86D1" w14:textId="098493B0" w:rsidR="005D36A4" w:rsidRPr="00D21980" w:rsidRDefault="005D36A4" w:rsidP="004C4527">
            <w:pPr>
              <w:spacing w:after="0" w:line="240" w:lineRule="auto"/>
              <w:rPr>
                <w:rFonts w:eastAsia="Times New Roman" w:cs="Arial"/>
                <w:b/>
                <w:bCs/>
                <w:color w:val="000000" w:themeColor="text1"/>
                <w:sz w:val="20"/>
                <w:szCs w:val="20"/>
                <w:lang w:val="es-ES_tradnl" w:eastAsia="en-GB"/>
              </w:rPr>
            </w:pPr>
            <w:r w:rsidRPr="00D21980">
              <w:rPr>
                <w:rFonts w:eastAsia="Times New Roman" w:cs="Arial"/>
                <w:b/>
                <w:bCs/>
                <w:sz w:val="20"/>
                <w:szCs w:val="20"/>
                <w:lang w:val="es-ES_tradnl" w:eastAsia="en-GB"/>
              </w:rPr>
              <w:t>Meta 19:</w:t>
            </w:r>
            <w:r w:rsidRPr="00D21980">
              <w:rPr>
                <w:rFonts w:eastAsia="Times New Roman" w:cs="Arial"/>
                <w:b/>
                <w:bCs/>
                <w:sz w:val="20"/>
                <w:szCs w:val="20"/>
                <w:lang w:val="es-ES_tradnl" w:eastAsia="en-GB"/>
              </w:rPr>
              <w:br/>
            </w:r>
            <w:r w:rsidRPr="00D21980">
              <w:rPr>
                <w:sz w:val="20"/>
                <w:szCs w:val="20"/>
                <w:lang w:val="es-ES_tradnl"/>
              </w:rPr>
              <w:t>Se potencia la creación de capacidad para la aplicación de la Convención y del Cuarto Plan Estratégico de Ramsar (2016-2024)</w:t>
            </w:r>
            <w:r w:rsidRPr="00D21980">
              <w:rPr>
                <w:rFonts w:eastAsia="Times New Roman" w:cs="Arial"/>
                <w:sz w:val="20"/>
                <w:szCs w:val="20"/>
                <w:lang w:val="es-ES_tradnl" w:eastAsia="en-GB"/>
              </w:rPr>
              <w:t>.</w:t>
            </w:r>
          </w:p>
        </w:tc>
        <w:tc>
          <w:tcPr>
            <w:tcW w:w="3260" w:type="dxa"/>
            <w:shd w:val="clear" w:color="auto" w:fill="auto"/>
            <w:hideMark/>
          </w:tcPr>
          <w:p w14:paraId="5DBA03DF" w14:textId="2006977E"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19.1 Comunicar la información sobre Ramsar en curso para llegar a los interesados. Establecer una biblioteca online de traducciones oficiales y no oficiales realizadas por los gobiernos de los documentos de Ramsar que sea públicamente accesible (Resolución XII.3 párr. 30).</w:t>
            </w:r>
          </w:p>
        </w:tc>
        <w:tc>
          <w:tcPr>
            <w:tcW w:w="3260" w:type="dxa"/>
            <w:shd w:val="clear" w:color="auto" w:fill="auto"/>
            <w:hideMark/>
          </w:tcPr>
          <w:p w14:paraId="44337D45" w14:textId="4174CC1C"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Biblioteca online de traducciones oficiales y no oficiales realizadas por los gobiernos y examinadas por homólogos de los documentos de Ramsar públicamente accesible en el sitio web de Ramsar, dado que las Partes proporcionan tales documentos a la Secretaría.</w:t>
            </w:r>
          </w:p>
        </w:tc>
        <w:tc>
          <w:tcPr>
            <w:tcW w:w="1418" w:type="dxa"/>
            <w:shd w:val="clear" w:color="auto" w:fill="auto"/>
            <w:hideMark/>
          </w:tcPr>
          <w:p w14:paraId="06599231" w14:textId="788E9E69"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SG/SGA/</w:t>
            </w:r>
            <w:r w:rsidR="00AA0F80" w:rsidRPr="00D21980">
              <w:rPr>
                <w:rFonts w:eastAsia="Times New Roman" w:cs="Arial"/>
                <w:color w:val="000000" w:themeColor="text1"/>
                <w:sz w:val="20"/>
                <w:szCs w:val="20"/>
                <w:lang w:val="es-ES_tradnl" w:eastAsia="en-GB"/>
              </w:rPr>
              <w:t>Resp. de Comunic.</w:t>
            </w:r>
            <w:r w:rsidRPr="00D21980">
              <w:rPr>
                <w:rFonts w:eastAsia="Times New Roman" w:cs="Arial"/>
                <w:color w:val="000000" w:themeColor="text1"/>
                <w:sz w:val="20"/>
                <w:szCs w:val="20"/>
                <w:lang w:val="es-ES_tradnl" w:eastAsia="en-GB"/>
              </w:rPr>
              <w:t>/ ARS</w:t>
            </w:r>
          </w:p>
        </w:tc>
      </w:tr>
      <w:tr w:rsidR="005D36A4" w:rsidRPr="00D21980" w14:paraId="5614A9E2" w14:textId="77777777" w:rsidTr="005123AB">
        <w:trPr>
          <w:cantSplit/>
        </w:trPr>
        <w:tc>
          <w:tcPr>
            <w:tcW w:w="1986" w:type="dxa"/>
            <w:vMerge/>
            <w:vAlign w:val="center"/>
            <w:hideMark/>
          </w:tcPr>
          <w:p w14:paraId="7692114A" w14:textId="77777777" w:rsidR="005D36A4" w:rsidRPr="00D21980" w:rsidRDefault="005D36A4" w:rsidP="004C4527">
            <w:pPr>
              <w:spacing w:after="0" w:line="240" w:lineRule="auto"/>
              <w:rPr>
                <w:rFonts w:eastAsia="Times New Roman" w:cs="Arial"/>
                <w:b/>
                <w:bCs/>
                <w:color w:val="000000" w:themeColor="text1"/>
                <w:sz w:val="20"/>
                <w:szCs w:val="20"/>
                <w:lang w:val="es-ES_tradnl" w:eastAsia="en-GB"/>
              </w:rPr>
            </w:pPr>
            <w:bookmarkStart w:id="0" w:name="_GoBack" w:colFirst="1" w:colLast="3"/>
          </w:p>
        </w:tc>
        <w:tc>
          <w:tcPr>
            <w:tcW w:w="3260" w:type="dxa"/>
            <w:shd w:val="clear" w:color="auto" w:fill="auto"/>
            <w:hideMark/>
          </w:tcPr>
          <w:p w14:paraId="5CAE383F" w14:textId="5734194C"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19.2 Apoyar a las Partes Contratantes en sus esfuerzos para aplicar herramientas de evaluación de la efectividad del manejo mediante la creación de capacidad (Resolución XII.15 párr. 21).</w:t>
            </w:r>
            <w:r w:rsidRPr="00D21980">
              <w:rPr>
                <w:rFonts w:cs="Arial"/>
                <w:color w:val="FF0000"/>
                <w:sz w:val="20"/>
                <w:szCs w:val="20"/>
                <w:lang w:val="es-ES_tradnl"/>
              </w:rPr>
              <w:t xml:space="preserve"> </w:t>
            </w:r>
          </w:p>
        </w:tc>
        <w:tc>
          <w:tcPr>
            <w:tcW w:w="3260" w:type="dxa"/>
            <w:shd w:val="clear" w:color="auto" w:fill="auto"/>
            <w:hideMark/>
          </w:tcPr>
          <w:p w14:paraId="22B0A62D" w14:textId="6EFCB0C0"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cs="Arial"/>
                <w:sz w:val="20"/>
                <w:szCs w:val="20"/>
                <w:lang w:val="es-ES_tradnl"/>
              </w:rPr>
              <w:t>Creación de capacidad llevada a cabo sobre la aplicación de la herramienta R-METT, elaborando talleres con asociados tales como la UICN, el PNUMA, etc. Número de talleres celebrados. Materiales de formación elaborados.</w:t>
            </w:r>
          </w:p>
        </w:tc>
        <w:tc>
          <w:tcPr>
            <w:tcW w:w="1418" w:type="dxa"/>
            <w:shd w:val="clear" w:color="auto" w:fill="auto"/>
            <w:hideMark/>
          </w:tcPr>
          <w:p w14:paraId="1B0278CF" w14:textId="77777777" w:rsidR="00AA0F80"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SGA/ARS/</w:t>
            </w:r>
          </w:p>
          <w:p w14:paraId="6DE3C54A" w14:textId="48E16967" w:rsidR="005D36A4" w:rsidRPr="00D21980" w:rsidRDefault="00AA0F80"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Resp. de Comunic.</w:t>
            </w:r>
          </w:p>
        </w:tc>
      </w:tr>
      <w:tr w:rsidR="005D36A4" w:rsidRPr="00D21980" w14:paraId="3BA3AA6D" w14:textId="77777777" w:rsidTr="005123AB">
        <w:trPr>
          <w:cantSplit/>
        </w:trPr>
        <w:tc>
          <w:tcPr>
            <w:tcW w:w="1986" w:type="dxa"/>
            <w:vMerge/>
            <w:vAlign w:val="center"/>
            <w:hideMark/>
          </w:tcPr>
          <w:p w14:paraId="71C622A2" w14:textId="77777777" w:rsidR="005D36A4" w:rsidRPr="00D21980" w:rsidRDefault="005D36A4" w:rsidP="004C4527">
            <w:pPr>
              <w:spacing w:after="0" w:line="240" w:lineRule="auto"/>
              <w:rPr>
                <w:rFonts w:eastAsia="Times New Roman" w:cs="Arial"/>
                <w:b/>
                <w:bCs/>
                <w:color w:val="000000" w:themeColor="text1"/>
                <w:sz w:val="20"/>
                <w:szCs w:val="20"/>
                <w:lang w:val="es-ES_tradnl" w:eastAsia="en-GB"/>
              </w:rPr>
            </w:pPr>
          </w:p>
        </w:tc>
        <w:tc>
          <w:tcPr>
            <w:tcW w:w="3260" w:type="dxa"/>
            <w:shd w:val="clear" w:color="auto" w:fill="auto"/>
            <w:hideMark/>
          </w:tcPr>
          <w:p w14:paraId="592B9165" w14:textId="4C45A7E8"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sz w:val="20"/>
                <w:szCs w:val="20"/>
                <w:lang w:val="es-ES_tradnl"/>
              </w:rPr>
              <w:t>19.3 Elaborar el modelo de informe nacional para la COP13 de forma que sea un instrumento de más fácil uso que refleje los objetivos y metas del Cuarto Plan Estratégico (Resolución XII.2.17).</w:t>
            </w:r>
          </w:p>
        </w:tc>
        <w:tc>
          <w:tcPr>
            <w:tcW w:w="3260" w:type="dxa"/>
            <w:shd w:val="clear" w:color="auto" w:fill="auto"/>
            <w:hideMark/>
          </w:tcPr>
          <w:p w14:paraId="7775A2EF" w14:textId="2B0CED61"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sz w:val="20"/>
                <w:szCs w:val="20"/>
                <w:lang w:val="es-ES_tradnl"/>
              </w:rPr>
              <w:t>Nuevo modelo de informe nacional preparado con la participación de los principales interesados y Partes Contratantes.</w:t>
            </w:r>
          </w:p>
        </w:tc>
        <w:tc>
          <w:tcPr>
            <w:tcW w:w="1418" w:type="dxa"/>
            <w:shd w:val="clear" w:color="auto" w:fill="auto"/>
            <w:hideMark/>
          </w:tcPr>
          <w:p w14:paraId="76F8A375" w14:textId="08B9D14C"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SG/SGA/ARS</w:t>
            </w:r>
          </w:p>
        </w:tc>
      </w:tr>
      <w:bookmarkEnd w:id="0"/>
      <w:tr w:rsidR="005D36A4" w:rsidRPr="00D21980" w14:paraId="4BF1F983" w14:textId="77777777" w:rsidTr="00925672">
        <w:trPr>
          <w:trHeight w:val="1704"/>
        </w:trPr>
        <w:tc>
          <w:tcPr>
            <w:tcW w:w="1986" w:type="dxa"/>
            <w:vMerge/>
            <w:tcBorders>
              <w:bottom w:val="single" w:sz="4" w:space="0" w:color="auto"/>
            </w:tcBorders>
            <w:vAlign w:val="center"/>
          </w:tcPr>
          <w:p w14:paraId="10CDF93C" w14:textId="77777777" w:rsidR="005D36A4" w:rsidRPr="00D21980" w:rsidRDefault="005D36A4" w:rsidP="004C4527">
            <w:pPr>
              <w:spacing w:after="0" w:line="240" w:lineRule="auto"/>
              <w:rPr>
                <w:rFonts w:eastAsia="Times New Roman" w:cs="Arial"/>
                <w:b/>
                <w:bCs/>
                <w:color w:val="000000" w:themeColor="text1"/>
                <w:sz w:val="20"/>
                <w:szCs w:val="20"/>
                <w:lang w:val="es-ES_tradnl" w:eastAsia="en-GB"/>
              </w:rPr>
            </w:pPr>
          </w:p>
        </w:tc>
        <w:tc>
          <w:tcPr>
            <w:tcW w:w="3260" w:type="dxa"/>
            <w:tcBorders>
              <w:bottom w:val="single" w:sz="4" w:space="0" w:color="auto"/>
            </w:tcBorders>
            <w:shd w:val="clear" w:color="auto" w:fill="auto"/>
          </w:tcPr>
          <w:p w14:paraId="48DF19E9" w14:textId="02EF5162"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19.4 </w:t>
            </w:r>
            <w:r w:rsidRPr="00D21980">
              <w:rPr>
                <w:rFonts w:eastAsia="Times New Roman" w:cs="Arial"/>
                <w:color w:val="000000"/>
                <w:sz w:val="20"/>
                <w:szCs w:val="20"/>
                <w:lang w:val="es-ES_tradnl" w:eastAsia="en-GB"/>
              </w:rPr>
              <w:t>Organizar y celebrar las reuniones 52ª, 53ª y 54ª del Comité Permanente</w:t>
            </w:r>
            <w:r w:rsidRPr="00D21980">
              <w:rPr>
                <w:rFonts w:eastAsia="Times New Roman" w:cs="Arial"/>
                <w:sz w:val="20"/>
                <w:szCs w:val="20"/>
                <w:lang w:val="es-ES_tradnl" w:eastAsia="en-GB"/>
              </w:rPr>
              <w:t>.</w:t>
            </w:r>
          </w:p>
        </w:tc>
        <w:tc>
          <w:tcPr>
            <w:tcW w:w="3260" w:type="dxa"/>
            <w:tcBorders>
              <w:bottom w:val="single" w:sz="4" w:space="0" w:color="auto"/>
            </w:tcBorders>
            <w:shd w:val="clear" w:color="auto" w:fill="auto"/>
          </w:tcPr>
          <w:p w14:paraId="31F1D271" w14:textId="6B86426E" w:rsidR="005D36A4" w:rsidRPr="00D21980" w:rsidRDefault="005D36A4" w:rsidP="005D36A4">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Todos los documentos preparados, traducidos y publicados en el sitio web con tres meses de antelación. Toda la logística de los delegados patrocinados bien organizada. Productos de las reuniones 52ª, 53ª y 54ª del CP divulgados y acciones de seguimiento realizadas</w:t>
            </w:r>
          </w:p>
        </w:tc>
        <w:tc>
          <w:tcPr>
            <w:tcW w:w="1418" w:type="dxa"/>
            <w:tcBorders>
              <w:bottom w:val="single" w:sz="4" w:space="0" w:color="auto"/>
            </w:tcBorders>
            <w:shd w:val="clear" w:color="auto" w:fill="auto"/>
          </w:tcPr>
          <w:p w14:paraId="252307E1" w14:textId="3A8A54D2" w:rsidR="005D36A4"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todo el personal</w:t>
            </w:r>
          </w:p>
        </w:tc>
      </w:tr>
      <w:tr w:rsidR="005D36A4" w:rsidRPr="00D21980" w14:paraId="7F3C7B6C" w14:textId="77777777" w:rsidTr="00925672">
        <w:tc>
          <w:tcPr>
            <w:tcW w:w="1986" w:type="dxa"/>
            <w:vMerge w:val="restart"/>
            <w:shd w:val="clear" w:color="auto" w:fill="auto"/>
            <w:hideMark/>
          </w:tcPr>
          <w:p w14:paraId="61D91536" w14:textId="77777777" w:rsidR="005D36A4" w:rsidRPr="00D21980" w:rsidRDefault="005D36A4" w:rsidP="005D36A4">
            <w:pPr>
              <w:spacing w:after="0" w:line="240" w:lineRule="auto"/>
              <w:rPr>
                <w:rFonts w:eastAsia="Times New Roman" w:cs="Arial"/>
                <w:sz w:val="20"/>
                <w:szCs w:val="20"/>
                <w:lang w:val="es-ES_tradnl" w:eastAsia="en-GB"/>
              </w:rPr>
            </w:pPr>
            <w:r w:rsidRPr="00D21980">
              <w:rPr>
                <w:rFonts w:eastAsia="Times New Roman" w:cs="Arial"/>
                <w:b/>
                <w:bCs/>
                <w:sz w:val="20"/>
                <w:szCs w:val="20"/>
                <w:lang w:val="es-ES_tradnl" w:eastAsia="en-GB"/>
              </w:rPr>
              <w:t>Meta 20. Otras actividades de la Secretaría</w:t>
            </w:r>
            <w:r w:rsidRPr="00D21980">
              <w:rPr>
                <w:rFonts w:eastAsia="Times New Roman" w:cs="Arial"/>
                <w:sz w:val="20"/>
                <w:szCs w:val="20"/>
                <w:lang w:val="es-ES_tradnl" w:eastAsia="en-GB"/>
              </w:rPr>
              <w:t xml:space="preserve"> </w:t>
            </w:r>
          </w:p>
          <w:p w14:paraId="6EB4CB98" w14:textId="3D267B14"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Otras actividades en curso de la Secretaría no incluidas en ninguna de las metas anteriores del Plan Estratégico para 2016-2024.</w:t>
            </w:r>
          </w:p>
        </w:tc>
        <w:tc>
          <w:tcPr>
            <w:tcW w:w="3260" w:type="dxa"/>
            <w:shd w:val="clear" w:color="auto" w:fill="auto"/>
          </w:tcPr>
          <w:p w14:paraId="28F376D6" w14:textId="5B2522C5"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20.2 Sesiones informativas periódicas para las misiones en Ginebra sobre las actividades</w:t>
            </w:r>
            <w:r w:rsidRPr="00D21980">
              <w:rPr>
                <w:rFonts w:eastAsia="Times New Roman" w:cs="Arial"/>
                <w:color w:val="000000"/>
                <w:sz w:val="20"/>
                <w:szCs w:val="20"/>
                <w:lang w:val="es-ES_tradnl" w:eastAsia="en-GB"/>
              </w:rPr>
              <w:t xml:space="preserve"> realizadas entre reuniones del CP</w:t>
            </w:r>
            <w:r w:rsidRPr="00D21980">
              <w:rPr>
                <w:rFonts w:eastAsia="Times New Roman" w:cs="Arial"/>
                <w:sz w:val="20"/>
                <w:szCs w:val="20"/>
                <w:lang w:val="es-ES_tradnl" w:eastAsia="en-GB"/>
              </w:rPr>
              <w:t>.</w:t>
            </w:r>
          </w:p>
        </w:tc>
        <w:tc>
          <w:tcPr>
            <w:tcW w:w="3260" w:type="dxa"/>
            <w:shd w:val="clear" w:color="auto" w:fill="auto"/>
          </w:tcPr>
          <w:p w14:paraId="1F22C9E2" w14:textId="147F0DCA"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 xml:space="preserve">Número de sesiones informativas. </w:t>
            </w:r>
            <w:r w:rsidRPr="00D21980">
              <w:rPr>
                <w:rFonts w:eastAsia="Times New Roman" w:cs="Arial"/>
                <w:color w:val="000000"/>
                <w:sz w:val="20"/>
                <w:szCs w:val="20"/>
                <w:lang w:val="es-ES_tradnl" w:eastAsia="en-GB"/>
              </w:rPr>
              <w:t>Misiones en Ginebra plenamente conscientes del trabajo de la Convención y la importancia de los humedales en sus países</w:t>
            </w:r>
            <w:r w:rsidRPr="00D21980">
              <w:rPr>
                <w:rFonts w:eastAsia="Times New Roman" w:cs="Arial"/>
                <w:color w:val="000000" w:themeColor="text1"/>
                <w:sz w:val="20"/>
                <w:szCs w:val="20"/>
                <w:lang w:val="es-ES_tradnl" w:eastAsia="en-GB"/>
              </w:rPr>
              <w:t>.</w:t>
            </w:r>
          </w:p>
        </w:tc>
        <w:tc>
          <w:tcPr>
            <w:tcW w:w="1418" w:type="dxa"/>
            <w:shd w:val="clear" w:color="auto" w:fill="auto"/>
            <w:noWrap/>
          </w:tcPr>
          <w:p w14:paraId="14A7AA49" w14:textId="01692F44"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SG/SGA/ARS</w:t>
            </w:r>
          </w:p>
        </w:tc>
      </w:tr>
      <w:tr w:rsidR="005D36A4" w:rsidRPr="00D21980" w14:paraId="77BE6551" w14:textId="77777777" w:rsidTr="00925672">
        <w:tc>
          <w:tcPr>
            <w:tcW w:w="1986" w:type="dxa"/>
            <w:vMerge/>
            <w:vAlign w:val="center"/>
          </w:tcPr>
          <w:p w14:paraId="4E57D452"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tcPr>
          <w:p w14:paraId="1A7931D2" w14:textId="2DF95252"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20.3 </w:t>
            </w:r>
            <w:r w:rsidRPr="00D21980">
              <w:rPr>
                <w:rFonts w:eastAsia="Times New Roman" w:cs="Arial"/>
                <w:color w:val="000000"/>
                <w:sz w:val="20"/>
                <w:szCs w:val="20"/>
                <w:lang w:val="es-ES_tradnl" w:eastAsia="en-GB"/>
              </w:rPr>
              <w:t>Llevar a cabo la administración general de la Secretaría y la Convención</w:t>
            </w:r>
            <w:r w:rsidRPr="00D21980">
              <w:rPr>
                <w:rFonts w:eastAsia="Times New Roman" w:cs="Arial"/>
                <w:sz w:val="20"/>
                <w:szCs w:val="20"/>
                <w:lang w:val="es-ES_tradnl" w:eastAsia="en-GB"/>
              </w:rPr>
              <w:t>.</w:t>
            </w:r>
          </w:p>
        </w:tc>
        <w:tc>
          <w:tcPr>
            <w:tcW w:w="3260" w:type="dxa"/>
            <w:shd w:val="clear" w:color="auto" w:fill="auto"/>
          </w:tcPr>
          <w:p w14:paraId="36790B93" w14:textId="2A324818"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sz w:val="20"/>
                <w:szCs w:val="20"/>
                <w:lang w:val="es-ES_tradnl" w:eastAsia="en-GB"/>
              </w:rPr>
              <w:t>La Secretaría brinda servicios eficaces y oportunos a las Partes y otros interesados</w:t>
            </w:r>
            <w:r w:rsidRPr="00D21980">
              <w:rPr>
                <w:rFonts w:eastAsia="Times New Roman" w:cs="Arial"/>
                <w:sz w:val="20"/>
                <w:szCs w:val="20"/>
                <w:lang w:val="es-ES_tradnl" w:eastAsia="en-GB"/>
              </w:rPr>
              <w:t>.</w:t>
            </w:r>
          </w:p>
        </w:tc>
        <w:tc>
          <w:tcPr>
            <w:tcW w:w="1418" w:type="dxa"/>
            <w:shd w:val="clear" w:color="auto" w:fill="auto"/>
            <w:noWrap/>
          </w:tcPr>
          <w:p w14:paraId="5CBDC86A" w14:textId="50F4A1CA" w:rsidR="005D36A4" w:rsidRPr="00D21980" w:rsidRDefault="005D36A4" w:rsidP="00AA0F80">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r w:rsidR="00AA0F80" w:rsidRPr="00D21980">
              <w:rPr>
                <w:rFonts w:eastAsia="Times New Roman" w:cs="Arial"/>
                <w:color w:val="000000" w:themeColor="text1"/>
                <w:sz w:val="20"/>
                <w:szCs w:val="20"/>
                <w:lang w:val="es-ES_tradnl" w:eastAsia="en-GB"/>
              </w:rPr>
              <w:t>todo el personal</w:t>
            </w:r>
          </w:p>
        </w:tc>
      </w:tr>
      <w:tr w:rsidR="005D36A4" w:rsidRPr="00D21980" w14:paraId="084BED77" w14:textId="77777777" w:rsidTr="00925672">
        <w:trPr>
          <w:trHeight w:val="977"/>
        </w:trPr>
        <w:tc>
          <w:tcPr>
            <w:tcW w:w="1986" w:type="dxa"/>
            <w:vMerge/>
            <w:vAlign w:val="center"/>
            <w:hideMark/>
          </w:tcPr>
          <w:p w14:paraId="5E41DA52"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3260" w:type="dxa"/>
            <w:shd w:val="clear" w:color="auto" w:fill="auto"/>
            <w:hideMark/>
          </w:tcPr>
          <w:p w14:paraId="1F616C69" w14:textId="24FD2F6A" w:rsidR="005D36A4" w:rsidRPr="00D21980" w:rsidRDefault="005D36A4" w:rsidP="004C4527">
            <w:pPr>
              <w:spacing w:after="0" w:line="240" w:lineRule="auto"/>
              <w:rPr>
                <w:rFonts w:eastAsia="Times New Roman" w:cs="Arial"/>
                <w:color w:val="000000" w:themeColor="text1"/>
                <w:sz w:val="20"/>
                <w:szCs w:val="20"/>
                <w:lang w:val="es-ES_tradnl" w:eastAsia="en-GB"/>
              </w:rPr>
            </w:pPr>
            <w:r w:rsidRPr="00D21980">
              <w:rPr>
                <w:rFonts w:eastAsia="Times New Roman" w:cs="Arial"/>
                <w:sz w:val="20"/>
                <w:szCs w:val="20"/>
                <w:lang w:val="es-ES_tradnl" w:eastAsia="en-GB"/>
              </w:rPr>
              <w:t xml:space="preserve">20.4 </w:t>
            </w:r>
            <w:r w:rsidRPr="00D21980">
              <w:rPr>
                <w:rFonts w:eastAsia="Times New Roman" w:cs="Arial"/>
                <w:color w:val="000000"/>
                <w:sz w:val="20"/>
                <w:szCs w:val="20"/>
                <w:lang w:val="es-ES_tradnl" w:eastAsia="en-GB"/>
              </w:rPr>
              <w:t>Con el Grupo de Trabajo Administrativo (GTA), examinar las estructuras de gestión actuales de la Secretaría y la Convención y debatir las cuestiones pertinentes según proceda</w:t>
            </w:r>
            <w:r w:rsidRPr="00D21980">
              <w:rPr>
                <w:rFonts w:eastAsia="Times New Roman" w:cs="Arial"/>
                <w:sz w:val="20"/>
                <w:szCs w:val="20"/>
                <w:lang w:val="es-ES_tradnl" w:eastAsia="en-GB"/>
              </w:rPr>
              <w:t xml:space="preserve">. </w:t>
            </w:r>
          </w:p>
        </w:tc>
        <w:tc>
          <w:tcPr>
            <w:tcW w:w="3260" w:type="dxa"/>
            <w:shd w:val="clear" w:color="auto" w:fill="auto"/>
          </w:tcPr>
          <w:p w14:paraId="7788ABD8" w14:textId="77777777" w:rsidR="005D36A4" w:rsidRPr="00D21980" w:rsidRDefault="005D36A4" w:rsidP="004C4527">
            <w:pPr>
              <w:spacing w:after="0" w:line="240" w:lineRule="auto"/>
              <w:rPr>
                <w:rFonts w:eastAsia="Times New Roman" w:cs="Arial"/>
                <w:color w:val="000000" w:themeColor="text1"/>
                <w:sz w:val="20"/>
                <w:szCs w:val="20"/>
                <w:lang w:val="es-ES_tradnl" w:eastAsia="en-GB"/>
              </w:rPr>
            </w:pPr>
          </w:p>
        </w:tc>
        <w:tc>
          <w:tcPr>
            <w:tcW w:w="1418" w:type="dxa"/>
            <w:shd w:val="clear" w:color="auto" w:fill="auto"/>
            <w:noWrap/>
          </w:tcPr>
          <w:p w14:paraId="5135640B" w14:textId="77777777" w:rsidR="005D36A4" w:rsidRPr="00D21980" w:rsidRDefault="005D36A4" w:rsidP="00C67AA5">
            <w:pPr>
              <w:spacing w:after="0" w:line="240" w:lineRule="auto"/>
              <w:rPr>
                <w:rFonts w:eastAsia="Times New Roman" w:cs="Arial"/>
                <w:color w:val="000000" w:themeColor="text1"/>
                <w:sz w:val="20"/>
                <w:szCs w:val="20"/>
                <w:lang w:val="es-ES_tradnl" w:eastAsia="en-GB"/>
              </w:rPr>
            </w:pPr>
            <w:r w:rsidRPr="00D21980">
              <w:rPr>
                <w:rFonts w:eastAsia="Times New Roman" w:cs="Arial"/>
                <w:color w:val="000000" w:themeColor="text1"/>
                <w:sz w:val="20"/>
                <w:szCs w:val="20"/>
                <w:lang w:val="es-ES_tradnl" w:eastAsia="en-GB"/>
              </w:rPr>
              <w:t>SG</w:t>
            </w:r>
          </w:p>
        </w:tc>
      </w:tr>
    </w:tbl>
    <w:p w14:paraId="63E19E2F" w14:textId="77777777" w:rsidR="004C4527" w:rsidRPr="00D21980" w:rsidRDefault="004C4527" w:rsidP="004C4527">
      <w:pPr>
        <w:rPr>
          <w:rFonts w:ascii="Calibri" w:hAnsi="Calibri" w:cs="Calibri"/>
          <w:b/>
          <w:lang w:val="es-ES_tradnl"/>
        </w:rPr>
      </w:pPr>
    </w:p>
    <w:p w14:paraId="617E5481" w14:textId="77777777" w:rsidR="004C4527" w:rsidRPr="00D21980" w:rsidRDefault="004C4527" w:rsidP="008569A6">
      <w:pPr>
        <w:spacing w:after="0" w:line="240" w:lineRule="auto"/>
        <w:rPr>
          <w:rFonts w:ascii="Times New Roman" w:eastAsia="Times New Roman" w:hAnsi="Times New Roman" w:cs="Times New Roman"/>
          <w:sz w:val="24"/>
          <w:szCs w:val="24"/>
          <w:lang w:val="es-ES_tradnl" w:eastAsia="en-GB"/>
        </w:rPr>
      </w:pPr>
    </w:p>
    <w:sectPr w:rsidR="004C4527" w:rsidRPr="00D21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0FEC2" w14:textId="77777777" w:rsidR="00D21980" w:rsidRDefault="00D21980">
      <w:pPr>
        <w:spacing w:after="0" w:line="240" w:lineRule="auto"/>
      </w:pPr>
      <w:r>
        <w:separator/>
      </w:r>
    </w:p>
  </w:endnote>
  <w:endnote w:type="continuationSeparator" w:id="0">
    <w:p w14:paraId="34B815CA" w14:textId="77777777" w:rsidR="00D21980" w:rsidRDefault="00D2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946664"/>
      <w:docPartObj>
        <w:docPartGallery w:val="Page Numbers (Bottom of Page)"/>
        <w:docPartUnique/>
      </w:docPartObj>
    </w:sdtPr>
    <w:sdtEndPr/>
    <w:sdtContent>
      <w:p w14:paraId="53190DC8" w14:textId="77777777" w:rsidR="00D21980" w:rsidRPr="00EE7940" w:rsidRDefault="00D21980" w:rsidP="00E357E1">
        <w:pPr>
          <w:pStyle w:val="Footer"/>
          <w:rPr>
            <w:sz w:val="20"/>
            <w:szCs w:val="20"/>
          </w:rPr>
        </w:pPr>
        <w:r>
          <w:rPr>
            <w:sz w:val="20"/>
            <w:szCs w:val="20"/>
          </w:rPr>
          <w:t>SC52-08</w:t>
        </w:r>
        <w:r>
          <w:rPr>
            <w:sz w:val="20"/>
            <w:szCs w:val="20"/>
          </w:rPr>
          <w:tab/>
        </w:r>
        <w:r>
          <w:rPr>
            <w:sz w:val="20"/>
            <w:szCs w:val="20"/>
          </w:rPr>
          <w:tab/>
        </w:r>
        <w:r w:rsidRPr="006B6339">
          <w:rPr>
            <w:sz w:val="20"/>
            <w:szCs w:val="20"/>
          </w:rPr>
          <w:fldChar w:fldCharType="begin"/>
        </w:r>
        <w:r w:rsidRPr="006B6339">
          <w:rPr>
            <w:sz w:val="20"/>
            <w:szCs w:val="20"/>
          </w:rPr>
          <w:instrText xml:space="preserve"> PAGE   \* MERGEFORMAT </w:instrText>
        </w:r>
        <w:r w:rsidRPr="006B6339">
          <w:rPr>
            <w:sz w:val="20"/>
            <w:szCs w:val="20"/>
          </w:rPr>
          <w:fldChar w:fldCharType="separate"/>
        </w:r>
        <w:r w:rsidR="005123AB">
          <w:rPr>
            <w:noProof/>
            <w:sz w:val="20"/>
            <w:szCs w:val="20"/>
          </w:rPr>
          <w:t>14</w:t>
        </w:r>
        <w:r w:rsidRPr="006B633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19C20" w14:textId="77777777" w:rsidR="00D21980" w:rsidRDefault="00D21980">
      <w:pPr>
        <w:spacing w:after="0" w:line="240" w:lineRule="auto"/>
      </w:pPr>
      <w:r>
        <w:separator/>
      </w:r>
    </w:p>
  </w:footnote>
  <w:footnote w:type="continuationSeparator" w:id="0">
    <w:p w14:paraId="66789BA9" w14:textId="77777777" w:rsidR="00D21980" w:rsidRDefault="00D21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7F9"/>
    <w:multiLevelType w:val="hybridMultilevel"/>
    <w:tmpl w:val="CFE8A0FE"/>
    <w:lvl w:ilvl="0" w:tplc="12A6D5D2">
      <w:start w:val="1"/>
      <w:numFmt w:val="bullet"/>
      <w:lvlText w:val=""/>
      <w:lvlJc w:val="left"/>
      <w:pPr>
        <w:ind w:left="720" w:hanging="360"/>
      </w:pPr>
      <w:rPr>
        <w:rFonts w:ascii="Symbol" w:hAnsi="Symbo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D81BB4"/>
    <w:multiLevelType w:val="hybridMultilevel"/>
    <w:tmpl w:val="ECD8DC7A"/>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84739"/>
    <w:multiLevelType w:val="hybridMultilevel"/>
    <w:tmpl w:val="3880FA9A"/>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E677EA"/>
    <w:multiLevelType w:val="multilevel"/>
    <w:tmpl w:val="207C9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98443A"/>
    <w:multiLevelType w:val="multilevel"/>
    <w:tmpl w:val="5FF2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11F6F"/>
    <w:multiLevelType w:val="hybridMultilevel"/>
    <w:tmpl w:val="3A240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AD4236"/>
    <w:multiLevelType w:val="hybridMultilevel"/>
    <w:tmpl w:val="A3FC91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633BBD"/>
    <w:multiLevelType w:val="multilevel"/>
    <w:tmpl w:val="E28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542572"/>
    <w:multiLevelType w:val="multilevel"/>
    <w:tmpl w:val="207C9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ED2278"/>
    <w:multiLevelType w:val="hybridMultilevel"/>
    <w:tmpl w:val="0346D6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915CFA"/>
    <w:multiLevelType w:val="multilevel"/>
    <w:tmpl w:val="651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2"/>
  </w:num>
  <w:num w:numId="4">
    <w:abstractNumId w:val="4"/>
  </w:num>
  <w:num w:numId="5">
    <w:abstractNumId w:val="8"/>
  </w:num>
  <w:num w:numId="6">
    <w:abstractNumId w:val="11"/>
  </w:num>
  <w:num w:numId="7">
    <w:abstractNumId w:val="3"/>
  </w:num>
  <w:num w:numId="8">
    <w:abstractNumId w:val="0"/>
  </w:num>
  <w:num w:numId="9">
    <w:abstractNumId w:val="2"/>
  </w:num>
  <w:num w:numId="10">
    <w:abstractNumId w:val="1"/>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A6"/>
    <w:rsid w:val="0003371A"/>
    <w:rsid w:val="0006506F"/>
    <w:rsid w:val="0009568C"/>
    <w:rsid w:val="0012096C"/>
    <w:rsid w:val="00192AA0"/>
    <w:rsid w:val="00295556"/>
    <w:rsid w:val="00331E94"/>
    <w:rsid w:val="003D74DF"/>
    <w:rsid w:val="004C4527"/>
    <w:rsid w:val="004D7EE7"/>
    <w:rsid w:val="005123AB"/>
    <w:rsid w:val="0054724D"/>
    <w:rsid w:val="005D36A4"/>
    <w:rsid w:val="00603D23"/>
    <w:rsid w:val="00701AA2"/>
    <w:rsid w:val="00856877"/>
    <w:rsid w:val="008569A6"/>
    <w:rsid w:val="00871BE8"/>
    <w:rsid w:val="00881BFD"/>
    <w:rsid w:val="00925672"/>
    <w:rsid w:val="009D09BF"/>
    <w:rsid w:val="00A74EFF"/>
    <w:rsid w:val="00A876F6"/>
    <w:rsid w:val="00AA0F80"/>
    <w:rsid w:val="00BB273A"/>
    <w:rsid w:val="00C67AA5"/>
    <w:rsid w:val="00D21980"/>
    <w:rsid w:val="00D227E5"/>
    <w:rsid w:val="00D83A19"/>
    <w:rsid w:val="00E357E1"/>
    <w:rsid w:val="00E7252C"/>
    <w:rsid w:val="00F06D01"/>
    <w:rsid w:val="00FD56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CF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27"/>
  </w:style>
  <w:style w:type="paragraph" w:styleId="BalloonText">
    <w:name w:val="Balloon Text"/>
    <w:basedOn w:val="Normal"/>
    <w:link w:val="BalloonTextChar"/>
    <w:uiPriority w:val="99"/>
    <w:semiHidden/>
    <w:unhideWhenUsed/>
    <w:rsid w:val="000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6F"/>
    <w:rPr>
      <w:rFonts w:ascii="Tahoma" w:hAnsi="Tahoma" w:cs="Tahoma"/>
      <w:sz w:val="16"/>
      <w:szCs w:val="16"/>
    </w:rPr>
  </w:style>
  <w:style w:type="paragraph" w:styleId="ListParagraph">
    <w:name w:val="List Paragraph"/>
    <w:basedOn w:val="Normal"/>
    <w:uiPriority w:val="34"/>
    <w:qFormat/>
    <w:rsid w:val="0006506F"/>
    <w:pPr>
      <w:ind w:left="720"/>
      <w:contextualSpacing/>
    </w:pPr>
  </w:style>
  <w:style w:type="paragraph" w:styleId="Header">
    <w:name w:val="header"/>
    <w:basedOn w:val="Normal"/>
    <w:link w:val="HeaderChar"/>
    <w:uiPriority w:val="99"/>
    <w:unhideWhenUsed/>
    <w:rsid w:val="00E3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E1"/>
  </w:style>
  <w:style w:type="paragraph" w:styleId="EndnoteText">
    <w:name w:val="endnote text"/>
    <w:basedOn w:val="Normal"/>
    <w:link w:val="EndnoteTextChar"/>
    <w:uiPriority w:val="99"/>
    <w:semiHidden/>
    <w:unhideWhenUsed/>
    <w:rsid w:val="00331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E94"/>
    <w:rPr>
      <w:sz w:val="20"/>
      <w:szCs w:val="20"/>
    </w:rPr>
  </w:style>
  <w:style w:type="character" w:styleId="CommentReference">
    <w:name w:val="annotation reference"/>
    <w:basedOn w:val="DefaultParagraphFont"/>
    <w:uiPriority w:val="99"/>
    <w:semiHidden/>
    <w:unhideWhenUsed/>
    <w:rsid w:val="0054724D"/>
    <w:rPr>
      <w:sz w:val="18"/>
      <w:szCs w:val="18"/>
    </w:rPr>
  </w:style>
  <w:style w:type="paragraph" w:styleId="CommentText">
    <w:name w:val="annotation text"/>
    <w:basedOn w:val="Normal"/>
    <w:link w:val="CommentTextChar"/>
    <w:uiPriority w:val="99"/>
    <w:semiHidden/>
    <w:unhideWhenUsed/>
    <w:rsid w:val="0054724D"/>
    <w:pPr>
      <w:spacing w:line="240" w:lineRule="auto"/>
    </w:pPr>
    <w:rPr>
      <w:sz w:val="24"/>
      <w:szCs w:val="24"/>
    </w:rPr>
  </w:style>
  <w:style w:type="character" w:customStyle="1" w:styleId="CommentTextChar">
    <w:name w:val="Comment Text Char"/>
    <w:basedOn w:val="DefaultParagraphFont"/>
    <w:link w:val="CommentText"/>
    <w:uiPriority w:val="99"/>
    <w:semiHidden/>
    <w:rsid w:val="0054724D"/>
    <w:rPr>
      <w:sz w:val="24"/>
      <w:szCs w:val="24"/>
    </w:rPr>
  </w:style>
  <w:style w:type="paragraph" w:styleId="CommentSubject">
    <w:name w:val="annotation subject"/>
    <w:basedOn w:val="CommentText"/>
    <w:next w:val="CommentText"/>
    <w:link w:val="CommentSubjectChar"/>
    <w:uiPriority w:val="99"/>
    <w:semiHidden/>
    <w:unhideWhenUsed/>
    <w:rsid w:val="0054724D"/>
    <w:rPr>
      <w:b/>
      <w:bCs/>
      <w:sz w:val="20"/>
      <w:szCs w:val="20"/>
    </w:rPr>
  </w:style>
  <w:style w:type="character" w:customStyle="1" w:styleId="CommentSubjectChar">
    <w:name w:val="Comment Subject Char"/>
    <w:basedOn w:val="CommentTextChar"/>
    <w:link w:val="CommentSubject"/>
    <w:uiPriority w:val="99"/>
    <w:semiHidden/>
    <w:rsid w:val="005472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27"/>
  </w:style>
  <w:style w:type="paragraph" w:styleId="BalloonText">
    <w:name w:val="Balloon Text"/>
    <w:basedOn w:val="Normal"/>
    <w:link w:val="BalloonTextChar"/>
    <w:uiPriority w:val="99"/>
    <w:semiHidden/>
    <w:unhideWhenUsed/>
    <w:rsid w:val="000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6F"/>
    <w:rPr>
      <w:rFonts w:ascii="Tahoma" w:hAnsi="Tahoma" w:cs="Tahoma"/>
      <w:sz w:val="16"/>
      <w:szCs w:val="16"/>
    </w:rPr>
  </w:style>
  <w:style w:type="paragraph" w:styleId="ListParagraph">
    <w:name w:val="List Paragraph"/>
    <w:basedOn w:val="Normal"/>
    <w:uiPriority w:val="34"/>
    <w:qFormat/>
    <w:rsid w:val="0006506F"/>
    <w:pPr>
      <w:ind w:left="720"/>
      <w:contextualSpacing/>
    </w:pPr>
  </w:style>
  <w:style w:type="paragraph" w:styleId="Header">
    <w:name w:val="header"/>
    <w:basedOn w:val="Normal"/>
    <w:link w:val="HeaderChar"/>
    <w:uiPriority w:val="99"/>
    <w:unhideWhenUsed/>
    <w:rsid w:val="00E3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E1"/>
  </w:style>
  <w:style w:type="paragraph" w:styleId="EndnoteText">
    <w:name w:val="endnote text"/>
    <w:basedOn w:val="Normal"/>
    <w:link w:val="EndnoteTextChar"/>
    <w:uiPriority w:val="99"/>
    <w:semiHidden/>
    <w:unhideWhenUsed/>
    <w:rsid w:val="00331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E94"/>
    <w:rPr>
      <w:sz w:val="20"/>
      <w:szCs w:val="20"/>
    </w:rPr>
  </w:style>
  <w:style w:type="character" w:styleId="CommentReference">
    <w:name w:val="annotation reference"/>
    <w:basedOn w:val="DefaultParagraphFont"/>
    <w:uiPriority w:val="99"/>
    <w:semiHidden/>
    <w:unhideWhenUsed/>
    <w:rsid w:val="0054724D"/>
    <w:rPr>
      <w:sz w:val="18"/>
      <w:szCs w:val="18"/>
    </w:rPr>
  </w:style>
  <w:style w:type="paragraph" w:styleId="CommentText">
    <w:name w:val="annotation text"/>
    <w:basedOn w:val="Normal"/>
    <w:link w:val="CommentTextChar"/>
    <w:uiPriority w:val="99"/>
    <w:semiHidden/>
    <w:unhideWhenUsed/>
    <w:rsid w:val="0054724D"/>
    <w:pPr>
      <w:spacing w:line="240" w:lineRule="auto"/>
    </w:pPr>
    <w:rPr>
      <w:sz w:val="24"/>
      <w:szCs w:val="24"/>
    </w:rPr>
  </w:style>
  <w:style w:type="character" w:customStyle="1" w:styleId="CommentTextChar">
    <w:name w:val="Comment Text Char"/>
    <w:basedOn w:val="DefaultParagraphFont"/>
    <w:link w:val="CommentText"/>
    <w:uiPriority w:val="99"/>
    <w:semiHidden/>
    <w:rsid w:val="0054724D"/>
    <w:rPr>
      <w:sz w:val="24"/>
      <w:szCs w:val="24"/>
    </w:rPr>
  </w:style>
  <w:style w:type="paragraph" w:styleId="CommentSubject">
    <w:name w:val="annotation subject"/>
    <w:basedOn w:val="CommentText"/>
    <w:next w:val="CommentText"/>
    <w:link w:val="CommentSubjectChar"/>
    <w:uiPriority w:val="99"/>
    <w:semiHidden/>
    <w:unhideWhenUsed/>
    <w:rsid w:val="0054724D"/>
    <w:rPr>
      <w:b/>
      <w:bCs/>
      <w:sz w:val="20"/>
      <w:szCs w:val="20"/>
    </w:rPr>
  </w:style>
  <w:style w:type="character" w:customStyle="1" w:styleId="CommentSubjectChar">
    <w:name w:val="Comment Subject Char"/>
    <w:basedOn w:val="CommentTextChar"/>
    <w:link w:val="CommentSubject"/>
    <w:uiPriority w:val="99"/>
    <w:semiHidden/>
    <w:rsid w:val="00547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338">
      <w:bodyDiv w:val="1"/>
      <w:marLeft w:val="0"/>
      <w:marRight w:val="0"/>
      <w:marTop w:val="0"/>
      <w:marBottom w:val="0"/>
      <w:divBdr>
        <w:top w:val="none" w:sz="0" w:space="0" w:color="auto"/>
        <w:left w:val="none" w:sz="0" w:space="0" w:color="auto"/>
        <w:bottom w:val="none" w:sz="0" w:space="0" w:color="auto"/>
        <w:right w:val="none" w:sz="0" w:space="0" w:color="auto"/>
      </w:divBdr>
      <w:divsChild>
        <w:div w:id="874394165">
          <w:marLeft w:val="0"/>
          <w:marRight w:val="0"/>
          <w:marTop w:val="0"/>
          <w:marBottom w:val="0"/>
          <w:divBdr>
            <w:top w:val="none" w:sz="0" w:space="0" w:color="auto"/>
            <w:left w:val="none" w:sz="0" w:space="0" w:color="auto"/>
            <w:bottom w:val="none" w:sz="0" w:space="0" w:color="auto"/>
            <w:right w:val="none" w:sz="0" w:space="0" w:color="auto"/>
          </w:divBdr>
          <w:divsChild>
            <w:div w:id="2063088932">
              <w:marLeft w:val="0"/>
              <w:marRight w:val="0"/>
              <w:marTop w:val="0"/>
              <w:marBottom w:val="0"/>
              <w:divBdr>
                <w:top w:val="none" w:sz="0" w:space="0" w:color="auto"/>
                <w:left w:val="none" w:sz="0" w:space="0" w:color="auto"/>
                <w:bottom w:val="none" w:sz="0" w:space="0" w:color="auto"/>
                <w:right w:val="none" w:sz="0" w:space="0" w:color="auto"/>
              </w:divBdr>
              <w:divsChild>
                <w:div w:id="356126412">
                  <w:marLeft w:val="0"/>
                  <w:marRight w:val="0"/>
                  <w:marTop w:val="0"/>
                  <w:marBottom w:val="0"/>
                  <w:divBdr>
                    <w:top w:val="none" w:sz="0" w:space="0" w:color="auto"/>
                    <w:left w:val="none" w:sz="0" w:space="0" w:color="auto"/>
                    <w:bottom w:val="none" w:sz="0" w:space="0" w:color="auto"/>
                    <w:right w:val="none" w:sz="0" w:space="0" w:color="auto"/>
                  </w:divBdr>
                </w:div>
                <w:div w:id="1157645068">
                  <w:marLeft w:val="0"/>
                  <w:marRight w:val="0"/>
                  <w:marTop w:val="0"/>
                  <w:marBottom w:val="0"/>
                  <w:divBdr>
                    <w:top w:val="none" w:sz="0" w:space="0" w:color="auto"/>
                    <w:left w:val="none" w:sz="0" w:space="0" w:color="auto"/>
                    <w:bottom w:val="none" w:sz="0" w:space="0" w:color="auto"/>
                    <w:right w:val="none" w:sz="0" w:space="0" w:color="auto"/>
                  </w:divBdr>
                </w:div>
                <w:div w:id="615791396">
                  <w:marLeft w:val="0"/>
                  <w:marRight w:val="0"/>
                  <w:marTop w:val="0"/>
                  <w:marBottom w:val="0"/>
                  <w:divBdr>
                    <w:top w:val="none" w:sz="0" w:space="0" w:color="auto"/>
                    <w:left w:val="none" w:sz="0" w:space="0" w:color="auto"/>
                    <w:bottom w:val="none" w:sz="0" w:space="0" w:color="auto"/>
                    <w:right w:val="none" w:sz="0" w:space="0" w:color="auto"/>
                  </w:divBdr>
                  <w:divsChild>
                    <w:div w:id="6750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5215</Words>
  <Characters>29731</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dcterms:created xsi:type="dcterms:W3CDTF">2016-03-31T22:31:00Z</dcterms:created>
  <dcterms:modified xsi:type="dcterms:W3CDTF">2016-03-31T22:31:00Z</dcterms:modified>
</cp:coreProperties>
</file>