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3C" w:rsidRPr="008C7A56" w:rsidRDefault="0029353C" w:rsidP="00193687">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val="fr-FR" w:eastAsia="en-GB"/>
        </w:rPr>
      </w:pPr>
      <w:r w:rsidRPr="008C7A56">
        <w:rPr>
          <w:rFonts w:eastAsia="Times New Roman" w:cstheme="minorHAnsi"/>
          <w:bCs/>
          <w:sz w:val="24"/>
          <w:szCs w:val="20"/>
          <w:lang w:val="fr-FR" w:eastAsia="en-GB"/>
        </w:rPr>
        <w:t xml:space="preserve">CONVENTION </w:t>
      </w:r>
      <w:r w:rsidR="002C20F7" w:rsidRPr="008C7A56">
        <w:rPr>
          <w:rFonts w:eastAsia="Times New Roman" w:cstheme="minorHAnsi"/>
          <w:bCs/>
          <w:sz w:val="24"/>
          <w:szCs w:val="20"/>
          <w:lang w:val="fr-FR" w:eastAsia="en-GB"/>
        </w:rPr>
        <w:t>SUR LES ZONES HUMIDES</w:t>
      </w:r>
      <w:r w:rsidRPr="008C7A56">
        <w:rPr>
          <w:rFonts w:eastAsia="Times New Roman" w:cstheme="minorHAnsi"/>
          <w:bCs/>
          <w:sz w:val="24"/>
          <w:szCs w:val="20"/>
          <w:lang w:val="fr-FR" w:eastAsia="en-GB"/>
        </w:rPr>
        <w:t xml:space="preserve"> (Ramsar, Iran, 1971)</w:t>
      </w:r>
    </w:p>
    <w:p w:rsidR="0029353C" w:rsidRPr="008C7A56" w:rsidRDefault="0029353C" w:rsidP="00193687">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val="fr-FR" w:eastAsia="en-GB"/>
        </w:rPr>
      </w:pPr>
      <w:r w:rsidRPr="008C7A56">
        <w:rPr>
          <w:rFonts w:eastAsia="Times New Roman" w:cstheme="minorHAnsi"/>
          <w:bCs/>
          <w:sz w:val="24"/>
          <w:szCs w:val="20"/>
          <w:lang w:val="fr-FR" w:eastAsia="en-GB"/>
        </w:rPr>
        <w:t>5</w:t>
      </w:r>
      <w:r w:rsidR="00FB4C67" w:rsidRPr="008C7A56">
        <w:rPr>
          <w:rFonts w:eastAsia="Times New Roman" w:cstheme="minorHAnsi"/>
          <w:bCs/>
          <w:sz w:val="24"/>
          <w:szCs w:val="20"/>
          <w:lang w:val="fr-FR" w:eastAsia="en-GB"/>
        </w:rPr>
        <w:t>2</w:t>
      </w:r>
      <w:r w:rsidR="002C20F7" w:rsidRPr="008C7A56">
        <w:rPr>
          <w:rFonts w:eastAsia="Times New Roman" w:cstheme="minorHAnsi"/>
          <w:bCs/>
          <w:sz w:val="24"/>
          <w:szCs w:val="20"/>
          <w:vertAlign w:val="superscript"/>
          <w:lang w:val="fr-FR" w:eastAsia="en-GB"/>
        </w:rPr>
        <w:t>e</w:t>
      </w:r>
      <w:r w:rsidR="00FB4C67" w:rsidRPr="008C7A56">
        <w:rPr>
          <w:rFonts w:eastAsia="Times New Roman" w:cstheme="minorHAnsi"/>
          <w:bCs/>
          <w:sz w:val="24"/>
          <w:szCs w:val="20"/>
          <w:lang w:val="fr-FR" w:eastAsia="en-GB"/>
        </w:rPr>
        <w:t xml:space="preserve"> </w:t>
      </w:r>
      <w:r w:rsidR="002C20F7" w:rsidRPr="008C7A56">
        <w:rPr>
          <w:rFonts w:eastAsia="Times New Roman" w:cstheme="minorHAnsi"/>
          <w:bCs/>
          <w:sz w:val="24"/>
          <w:szCs w:val="20"/>
          <w:lang w:val="fr-FR" w:eastAsia="en-GB"/>
        </w:rPr>
        <w:t>Réunion du Comité permanent</w:t>
      </w:r>
    </w:p>
    <w:p w:rsidR="0029353C" w:rsidRPr="008C7A56" w:rsidRDefault="0029353C" w:rsidP="00193687">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val="fr-FR" w:eastAsia="en-GB"/>
        </w:rPr>
      </w:pPr>
      <w:r w:rsidRPr="008C7A56">
        <w:rPr>
          <w:rFonts w:eastAsia="Times New Roman" w:cstheme="minorHAnsi"/>
          <w:bCs/>
          <w:sz w:val="24"/>
          <w:szCs w:val="20"/>
          <w:lang w:val="fr-FR" w:eastAsia="en-GB"/>
        </w:rPr>
        <w:t xml:space="preserve">Gland, </w:t>
      </w:r>
      <w:r w:rsidR="002C20F7" w:rsidRPr="008C7A56">
        <w:rPr>
          <w:rFonts w:eastAsia="Times New Roman" w:cstheme="minorHAnsi"/>
          <w:bCs/>
          <w:sz w:val="24"/>
          <w:szCs w:val="20"/>
          <w:lang w:val="fr-FR" w:eastAsia="en-GB"/>
        </w:rPr>
        <w:t>Suisse</w:t>
      </w:r>
      <w:r w:rsidRPr="008C7A56">
        <w:rPr>
          <w:rFonts w:eastAsia="Times New Roman" w:cstheme="minorHAnsi"/>
          <w:bCs/>
          <w:sz w:val="24"/>
          <w:szCs w:val="20"/>
          <w:lang w:val="fr-FR" w:eastAsia="en-GB"/>
        </w:rPr>
        <w:t xml:space="preserve">, </w:t>
      </w:r>
      <w:r w:rsidR="00FB4C67" w:rsidRPr="008C7A56">
        <w:rPr>
          <w:rFonts w:eastAsia="Times New Roman" w:cstheme="minorHAnsi"/>
          <w:bCs/>
          <w:sz w:val="24"/>
          <w:szCs w:val="20"/>
          <w:lang w:val="fr-FR" w:eastAsia="en-GB"/>
        </w:rPr>
        <w:t>1</w:t>
      </w:r>
      <w:r w:rsidR="00193687" w:rsidRPr="008C7A56">
        <w:rPr>
          <w:rFonts w:eastAsia="Times New Roman" w:cstheme="minorHAnsi"/>
          <w:bCs/>
          <w:sz w:val="24"/>
          <w:szCs w:val="20"/>
          <w:lang w:val="fr-FR" w:eastAsia="en-GB"/>
        </w:rPr>
        <w:t>3</w:t>
      </w:r>
      <w:r w:rsidR="002C20F7" w:rsidRPr="008C7A56">
        <w:rPr>
          <w:rFonts w:eastAsia="Times New Roman" w:cstheme="minorHAnsi"/>
          <w:bCs/>
          <w:sz w:val="24"/>
          <w:szCs w:val="20"/>
          <w:lang w:val="fr-FR" w:eastAsia="en-GB"/>
        </w:rPr>
        <w:t xml:space="preserve"> au </w:t>
      </w:r>
      <w:r w:rsidR="00FB4C67" w:rsidRPr="008C7A56">
        <w:rPr>
          <w:rFonts w:eastAsia="Times New Roman" w:cstheme="minorHAnsi"/>
          <w:bCs/>
          <w:sz w:val="24"/>
          <w:szCs w:val="20"/>
          <w:lang w:val="fr-FR" w:eastAsia="en-GB"/>
        </w:rPr>
        <w:t>1</w:t>
      </w:r>
      <w:r w:rsidR="00193687" w:rsidRPr="008C7A56">
        <w:rPr>
          <w:rFonts w:eastAsia="Times New Roman" w:cstheme="minorHAnsi"/>
          <w:bCs/>
          <w:sz w:val="24"/>
          <w:szCs w:val="20"/>
          <w:lang w:val="fr-FR" w:eastAsia="en-GB"/>
        </w:rPr>
        <w:t xml:space="preserve">7 </w:t>
      </w:r>
      <w:r w:rsidR="002C20F7" w:rsidRPr="008C7A56">
        <w:rPr>
          <w:rFonts w:eastAsia="Times New Roman" w:cstheme="minorHAnsi"/>
          <w:bCs/>
          <w:sz w:val="24"/>
          <w:szCs w:val="20"/>
          <w:lang w:val="fr-FR" w:eastAsia="en-GB"/>
        </w:rPr>
        <w:t>juin</w:t>
      </w:r>
      <w:r w:rsidR="00193687" w:rsidRPr="008C7A56">
        <w:rPr>
          <w:rFonts w:eastAsia="Times New Roman" w:cstheme="minorHAnsi"/>
          <w:bCs/>
          <w:sz w:val="24"/>
          <w:szCs w:val="20"/>
          <w:lang w:val="fr-FR" w:eastAsia="en-GB"/>
        </w:rPr>
        <w:t xml:space="preserve"> </w:t>
      </w:r>
      <w:r w:rsidRPr="008C7A56">
        <w:rPr>
          <w:rFonts w:eastAsia="Times New Roman" w:cstheme="minorHAnsi"/>
          <w:bCs/>
          <w:sz w:val="24"/>
          <w:szCs w:val="20"/>
          <w:lang w:val="fr-FR" w:eastAsia="en-GB"/>
        </w:rPr>
        <w:t>201</w:t>
      </w:r>
      <w:r w:rsidR="00FB4C67" w:rsidRPr="008C7A56">
        <w:rPr>
          <w:rFonts w:eastAsia="Times New Roman" w:cstheme="minorHAnsi"/>
          <w:bCs/>
          <w:sz w:val="24"/>
          <w:szCs w:val="20"/>
          <w:lang w:val="fr-FR" w:eastAsia="en-GB"/>
        </w:rPr>
        <w:t>6</w:t>
      </w:r>
    </w:p>
    <w:p w:rsidR="0029353C" w:rsidRPr="008C7A56" w:rsidRDefault="0029353C" w:rsidP="00505AD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jc w:val="center"/>
        <w:rPr>
          <w:b/>
          <w:sz w:val="28"/>
          <w:szCs w:val="28"/>
          <w:lang w:val="fr-FR"/>
        </w:rPr>
      </w:pPr>
    </w:p>
    <w:p w:rsidR="0029353C" w:rsidRPr="008C7A56" w:rsidRDefault="00861F80" w:rsidP="00505ADE">
      <w:pPr>
        <w:spacing w:after="0" w:line="240" w:lineRule="auto"/>
        <w:jc w:val="right"/>
        <w:rPr>
          <w:b/>
          <w:sz w:val="28"/>
          <w:szCs w:val="28"/>
          <w:lang w:val="fr-FR"/>
        </w:rPr>
      </w:pPr>
      <w:r w:rsidRPr="008C7A56">
        <w:rPr>
          <w:b/>
          <w:sz w:val="28"/>
          <w:szCs w:val="28"/>
          <w:lang w:val="fr-FR"/>
        </w:rPr>
        <w:t>SC52</w:t>
      </w:r>
      <w:r w:rsidR="0029353C" w:rsidRPr="008C7A56">
        <w:rPr>
          <w:b/>
          <w:sz w:val="28"/>
          <w:szCs w:val="28"/>
          <w:lang w:val="fr-FR"/>
        </w:rPr>
        <w:t>-</w:t>
      </w:r>
      <w:r w:rsidRPr="008C7A56">
        <w:rPr>
          <w:b/>
          <w:sz w:val="28"/>
          <w:szCs w:val="28"/>
          <w:lang w:val="fr-FR"/>
        </w:rPr>
        <w:t>04</w:t>
      </w:r>
      <w:r w:rsidR="00221A66" w:rsidRPr="008C7A56">
        <w:rPr>
          <w:b/>
          <w:sz w:val="28"/>
          <w:szCs w:val="28"/>
          <w:lang w:val="fr-FR"/>
        </w:rPr>
        <w:t xml:space="preserve"> Rev.</w:t>
      </w:r>
      <w:r w:rsidR="00E25902">
        <w:rPr>
          <w:b/>
          <w:sz w:val="28"/>
          <w:szCs w:val="28"/>
          <w:lang w:val="fr-FR"/>
        </w:rPr>
        <w:t>2</w:t>
      </w:r>
    </w:p>
    <w:p w:rsidR="0029353C" w:rsidRPr="008C7A56" w:rsidRDefault="0029353C" w:rsidP="00505AD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cs="Calibri"/>
          <w:b/>
          <w:sz w:val="28"/>
          <w:szCs w:val="28"/>
          <w:lang w:val="fr-FR"/>
        </w:rPr>
      </w:pPr>
    </w:p>
    <w:p w:rsidR="0029353C" w:rsidRPr="008C7A56" w:rsidRDefault="0029353C" w:rsidP="00505ADE">
      <w:pPr>
        <w:spacing w:after="0" w:line="240" w:lineRule="auto"/>
        <w:ind w:right="-568"/>
        <w:jc w:val="center"/>
        <w:rPr>
          <w:rFonts w:cs="Arial"/>
          <w:b/>
          <w:sz w:val="28"/>
          <w:szCs w:val="28"/>
          <w:lang w:val="fr-FR"/>
        </w:rPr>
      </w:pPr>
      <w:r w:rsidRPr="008C7A56">
        <w:rPr>
          <w:rFonts w:cs="Arial"/>
          <w:b/>
          <w:sz w:val="28"/>
          <w:szCs w:val="28"/>
          <w:lang w:val="fr-FR"/>
        </w:rPr>
        <w:t>R</w:t>
      </w:r>
      <w:r w:rsidR="002C20F7" w:rsidRPr="008C7A56">
        <w:rPr>
          <w:rFonts w:cs="Arial"/>
          <w:b/>
          <w:sz w:val="28"/>
          <w:szCs w:val="28"/>
          <w:lang w:val="fr-FR"/>
        </w:rPr>
        <w:t>apport de la Secrétaire générale par intérim</w:t>
      </w:r>
      <w:r w:rsidRPr="008C7A56">
        <w:rPr>
          <w:rFonts w:cs="Arial"/>
          <w:b/>
          <w:sz w:val="28"/>
          <w:szCs w:val="28"/>
          <w:lang w:val="fr-FR"/>
        </w:rPr>
        <w:t xml:space="preserve"> </w:t>
      </w:r>
    </w:p>
    <w:p w:rsidR="0029353C" w:rsidRPr="008C7A56" w:rsidRDefault="0029353C" w:rsidP="00505AD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ascii="Calibri" w:hAnsi="Calibri" w:cs="Calibri"/>
          <w:sz w:val="28"/>
          <w:szCs w:val="28"/>
          <w:lang w:val="fr-FR"/>
        </w:rPr>
      </w:pPr>
    </w:p>
    <w:p w:rsidR="0029353C" w:rsidRPr="008C7A56" w:rsidRDefault="0029353C" w:rsidP="0029353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Calibri" w:hAnsi="Calibri" w:cs="Calibri"/>
          <w:b/>
          <w:lang w:val="fr-FR"/>
        </w:rPr>
      </w:pPr>
      <w:r w:rsidRPr="008C7A56">
        <w:rPr>
          <w:noProof/>
          <w:szCs w:val="20"/>
          <w:lang w:eastAsia="en-GB"/>
        </w:rPr>
        <mc:AlternateContent>
          <mc:Choice Requires="wps">
            <w:drawing>
              <wp:inline distT="0" distB="0" distL="0" distR="0" wp14:anchorId="3BF18997" wp14:editId="3C383B0D">
                <wp:extent cx="5842635" cy="1228954"/>
                <wp:effectExtent l="0" t="0" r="24765"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1228954"/>
                        </a:xfrm>
                        <a:prstGeom prst="rect">
                          <a:avLst/>
                        </a:prstGeom>
                        <a:solidFill>
                          <a:srgbClr val="FFFFFF"/>
                        </a:solidFill>
                        <a:ln w="9525">
                          <a:solidFill>
                            <a:srgbClr val="000000"/>
                          </a:solidFill>
                          <a:miter lim="800000"/>
                          <a:headEnd/>
                          <a:tailEnd/>
                        </a:ln>
                      </wps:spPr>
                      <wps:txbx>
                        <w:txbxContent>
                          <w:p w:rsidR="007B26C2" w:rsidRPr="00D911D5" w:rsidRDefault="007B26C2" w:rsidP="0029353C">
                            <w:pPr>
                              <w:spacing w:after="0" w:line="240" w:lineRule="auto"/>
                              <w:rPr>
                                <w:rFonts w:ascii="Calibri" w:hAnsi="Calibri"/>
                                <w:b/>
                                <w:bCs/>
                                <w:lang w:val="fr-CA"/>
                              </w:rPr>
                            </w:pPr>
                            <w:r w:rsidRPr="00D911D5">
                              <w:rPr>
                                <w:rFonts w:ascii="Calibri" w:hAnsi="Calibri"/>
                                <w:b/>
                                <w:bCs/>
                                <w:lang w:val="fr-CA"/>
                              </w:rPr>
                              <w:t xml:space="preserve">Actions </w:t>
                            </w:r>
                            <w:r>
                              <w:rPr>
                                <w:rFonts w:ascii="Calibri" w:hAnsi="Calibri"/>
                                <w:b/>
                                <w:bCs/>
                                <w:lang w:val="fr-CA"/>
                              </w:rPr>
                              <w:t>requises </w:t>
                            </w:r>
                            <w:r w:rsidRPr="00D911D5">
                              <w:rPr>
                                <w:rFonts w:ascii="Calibri" w:hAnsi="Calibri"/>
                                <w:b/>
                                <w:bCs/>
                                <w:lang w:val="fr-CA"/>
                              </w:rPr>
                              <w:t xml:space="preserve">: </w:t>
                            </w:r>
                          </w:p>
                          <w:p w:rsidR="007B26C2" w:rsidRPr="00D911D5" w:rsidRDefault="007B26C2" w:rsidP="00861F80">
                            <w:pPr>
                              <w:pStyle w:val="ListParagraph"/>
                              <w:numPr>
                                <w:ilvl w:val="0"/>
                                <w:numId w:val="1"/>
                              </w:numPr>
                              <w:spacing w:after="0" w:line="240" w:lineRule="auto"/>
                              <w:ind w:left="0"/>
                              <w:rPr>
                                <w:rFonts w:ascii="Calibri" w:hAnsi="Calibri" w:cs="Arial"/>
                                <w:lang w:val="fr-CA"/>
                              </w:rPr>
                            </w:pPr>
                            <w:r>
                              <w:rPr>
                                <w:rFonts w:ascii="Calibri" w:eastAsia="Calibri" w:hAnsi="Calibri"/>
                                <w:lang w:val="fr-CA"/>
                              </w:rPr>
                              <w:t xml:space="preserve">Le Comité permanent est invité à prendre note du rapport de la Secrétaire générale par intérim qui s’appuie sur : </w:t>
                            </w:r>
                          </w:p>
                          <w:p w:rsidR="007B26C2" w:rsidRPr="00D911D5" w:rsidRDefault="007B26C2" w:rsidP="00FB4C67">
                            <w:pPr>
                              <w:pStyle w:val="ListParagraph"/>
                              <w:numPr>
                                <w:ilvl w:val="0"/>
                                <w:numId w:val="31"/>
                              </w:numPr>
                              <w:spacing w:after="0" w:line="240" w:lineRule="auto"/>
                              <w:rPr>
                                <w:rFonts w:ascii="Calibri" w:hAnsi="Calibri" w:cs="Arial"/>
                                <w:lang w:val="fr-CA"/>
                              </w:rPr>
                            </w:pPr>
                            <w:r>
                              <w:rPr>
                                <w:rFonts w:ascii="Calibri" w:eastAsia="Calibri" w:hAnsi="Calibri"/>
                                <w:lang w:val="fr-CA"/>
                              </w:rPr>
                              <w:t>le paragraphe 7.c de la Résolution</w:t>
                            </w:r>
                            <w:r w:rsidRPr="00D911D5">
                              <w:rPr>
                                <w:rFonts w:ascii="Calibri" w:eastAsia="Calibri" w:hAnsi="Calibri"/>
                                <w:lang w:val="fr-CA"/>
                              </w:rPr>
                              <w:t xml:space="preserve"> XII.4</w:t>
                            </w:r>
                            <w:r w:rsidRPr="00D911D5">
                              <w:rPr>
                                <w:rFonts w:ascii="Calibri" w:hAnsi="Calibri"/>
                                <w:lang w:val="fr-CA"/>
                              </w:rPr>
                              <w:t xml:space="preserve">; </w:t>
                            </w:r>
                            <w:r>
                              <w:rPr>
                                <w:rFonts w:ascii="Calibri" w:hAnsi="Calibri"/>
                                <w:lang w:val="fr-CA"/>
                              </w:rPr>
                              <w:t>et</w:t>
                            </w:r>
                          </w:p>
                          <w:p w:rsidR="007B26C2" w:rsidRPr="00E26F78" w:rsidRDefault="007B26C2" w:rsidP="002C20F7">
                            <w:pPr>
                              <w:pStyle w:val="ListParagraph"/>
                              <w:numPr>
                                <w:ilvl w:val="0"/>
                                <w:numId w:val="31"/>
                              </w:numPr>
                              <w:spacing w:after="0" w:line="240" w:lineRule="auto"/>
                              <w:rPr>
                                <w:lang w:val="fr-CH"/>
                              </w:rPr>
                            </w:pPr>
                            <w:r w:rsidRPr="002C20F7">
                              <w:rPr>
                                <w:rFonts w:ascii="Calibri" w:hAnsi="Calibri"/>
                                <w:lang w:val="fr-CA"/>
                              </w:rPr>
                              <w:t xml:space="preserve">les Dispositions intérimaires pour l’administration du Secrétariat, un document préparé par le Comité exécutif et reçu par la Secrétaire générale par intérim le 26 novembre 2015.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0.05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">
                <v:textbox>
                  <w:txbxContent>
                    <w:p w:rsidR="007B26C2" w:rsidRPr="00D911D5" w:rsidRDefault="007B26C2" w:rsidP="0029353C">
                      <w:pPr>
                        <w:spacing w:after="0" w:line="240" w:lineRule="auto"/>
                        <w:rPr>
                          <w:rFonts w:ascii="Calibri" w:hAnsi="Calibri"/>
                          <w:b/>
                          <w:bCs/>
                          <w:lang w:val="fr-CA"/>
                        </w:rPr>
                      </w:pPr>
                      <w:r w:rsidRPr="00D911D5">
                        <w:rPr>
                          <w:rFonts w:ascii="Calibri" w:hAnsi="Calibri"/>
                          <w:b/>
                          <w:bCs/>
                          <w:lang w:val="fr-CA"/>
                        </w:rPr>
                        <w:t xml:space="preserve">Actions </w:t>
                      </w:r>
                      <w:r>
                        <w:rPr>
                          <w:rFonts w:ascii="Calibri" w:hAnsi="Calibri"/>
                          <w:b/>
                          <w:bCs/>
                          <w:lang w:val="fr-CA"/>
                        </w:rPr>
                        <w:t>requises </w:t>
                      </w:r>
                      <w:r w:rsidRPr="00D911D5">
                        <w:rPr>
                          <w:rFonts w:ascii="Calibri" w:hAnsi="Calibri"/>
                          <w:b/>
                          <w:bCs/>
                          <w:lang w:val="fr-CA"/>
                        </w:rPr>
                        <w:t xml:space="preserve">: </w:t>
                      </w:r>
                    </w:p>
                    <w:p w:rsidR="007B26C2" w:rsidRPr="00D911D5" w:rsidRDefault="007B26C2" w:rsidP="00861F80">
                      <w:pPr>
                        <w:pStyle w:val="ListParagraph"/>
                        <w:numPr>
                          <w:ilvl w:val="0"/>
                          <w:numId w:val="1"/>
                        </w:numPr>
                        <w:spacing w:after="0" w:line="240" w:lineRule="auto"/>
                        <w:ind w:left="0"/>
                        <w:rPr>
                          <w:rFonts w:ascii="Calibri" w:hAnsi="Calibri" w:cs="Arial"/>
                          <w:lang w:val="fr-CA"/>
                        </w:rPr>
                      </w:pPr>
                      <w:r>
                        <w:rPr>
                          <w:rFonts w:ascii="Calibri" w:eastAsia="Calibri" w:hAnsi="Calibri"/>
                          <w:lang w:val="fr-CA"/>
                        </w:rPr>
                        <w:t xml:space="preserve">Le Comité permanent est invité à prendre note du rapport de la Secrétaire générale par intérim qui s’appuie sur : </w:t>
                      </w:r>
                    </w:p>
                    <w:p w:rsidR="007B26C2" w:rsidRPr="00D911D5" w:rsidRDefault="007B26C2" w:rsidP="00FB4C67">
                      <w:pPr>
                        <w:pStyle w:val="ListParagraph"/>
                        <w:numPr>
                          <w:ilvl w:val="0"/>
                          <w:numId w:val="31"/>
                        </w:numPr>
                        <w:spacing w:after="0" w:line="240" w:lineRule="auto"/>
                        <w:rPr>
                          <w:rFonts w:ascii="Calibri" w:hAnsi="Calibri" w:cs="Arial"/>
                          <w:lang w:val="fr-CA"/>
                        </w:rPr>
                      </w:pPr>
                      <w:r>
                        <w:rPr>
                          <w:rFonts w:ascii="Calibri" w:eastAsia="Calibri" w:hAnsi="Calibri"/>
                          <w:lang w:val="fr-CA"/>
                        </w:rPr>
                        <w:t>le paragraphe 7.c de la Résolution</w:t>
                      </w:r>
                      <w:r w:rsidRPr="00D911D5">
                        <w:rPr>
                          <w:rFonts w:ascii="Calibri" w:eastAsia="Calibri" w:hAnsi="Calibri"/>
                          <w:lang w:val="fr-CA"/>
                        </w:rPr>
                        <w:t xml:space="preserve"> XII.4</w:t>
                      </w:r>
                      <w:r w:rsidRPr="00D911D5">
                        <w:rPr>
                          <w:rFonts w:ascii="Calibri" w:hAnsi="Calibri"/>
                          <w:lang w:val="fr-CA"/>
                        </w:rPr>
                        <w:t xml:space="preserve">; </w:t>
                      </w:r>
                      <w:r>
                        <w:rPr>
                          <w:rFonts w:ascii="Calibri" w:hAnsi="Calibri"/>
                          <w:lang w:val="fr-CA"/>
                        </w:rPr>
                        <w:t>et</w:t>
                      </w:r>
                    </w:p>
                    <w:p w:rsidR="007B26C2" w:rsidRPr="00E26F78" w:rsidRDefault="007B26C2" w:rsidP="002C20F7">
                      <w:pPr>
                        <w:pStyle w:val="ListParagraph"/>
                        <w:numPr>
                          <w:ilvl w:val="0"/>
                          <w:numId w:val="31"/>
                        </w:numPr>
                        <w:spacing w:after="0" w:line="240" w:lineRule="auto"/>
                        <w:rPr>
                          <w:lang w:val="fr-CH"/>
                        </w:rPr>
                      </w:pPr>
                      <w:r w:rsidRPr="002C20F7">
                        <w:rPr>
                          <w:rFonts w:ascii="Calibri" w:hAnsi="Calibri"/>
                          <w:lang w:val="fr-CA"/>
                        </w:rPr>
                        <w:t xml:space="preserve">les Dispositions intérimaires pour l’administration du Secrétariat, un document préparé par le Comité exécutif et reçu par la Secrétaire générale par intérim le 26 novembre 2015. </w:t>
                      </w:r>
                    </w:p>
                  </w:txbxContent>
                </v:textbox>
                <w10:anchorlock/>
              </v:shape>
            </w:pict>
          </mc:Fallback>
        </mc:AlternateContent>
      </w:r>
    </w:p>
    <w:p w:rsidR="00E67057" w:rsidRPr="008C7A56" w:rsidRDefault="00E67057" w:rsidP="003B529A">
      <w:pPr>
        <w:spacing w:after="0" w:line="240" w:lineRule="auto"/>
        <w:rPr>
          <w:rFonts w:ascii="Calibri" w:hAnsi="Calibri" w:cs="Calibri"/>
          <w:b/>
          <w:sz w:val="20"/>
          <w:lang w:val="fr-FR"/>
        </w:rPr>
      </w:pPr>
    </w:p>
    <w:p w:rsidR="00861F80" w:rsidRPr="008C7A56" w:rsidRDefault="002C20F7" w:rsidP="003B529A">
      <w:pPr>
        <w:pStyle w:val="BodyText"/>
        <w:widowControl w:val="0"/>
        <w:numPr>
          <w:ilvl w:val="0"/>
          <w:numId w:val="4"/>
        </w:numPr>
        <w:spacing w:after="0"/>
        <w:ind w:left="426" w:right="-46" w:hanging="426"/>
        <w:rPr>
          <w:rFonts w:ascii="Calibri" w:hAnsi="Calibri"/>
          <w:sz w:val="22"/>
          <w:szCs w:val="22"/>
          <w:lang w:val="fr-FR"/>
        </w:rPr>
      </w:pPr>
      <w:r w:rsidRPr="008C7A56">
        <w:rPr>
          <w:rFonts w:ascii="Calibri" w:eastAsiaTheme="minorHAnsi" w:hAnsi="Calibri" w:cstheme="minorBidi"/>
          <w:sz w:val="22"/>
          <w:szCs w:val="22"/>
          <w:lang w:val="fr-FR"/>
        </w:rPr>
        <w:t>La Secrétaire générale par intérim a préparé le présent rapport en réponse à la Résolution pertinente de la COP12 concernant l’établissement des rapports par le Secrétaire général ainsi qu’aux Dispositions intérimaires pour l’administration du Secrétariat, établies par le Comité exécutif (annexe 1).</w:t>
      </w:r>
      <w:r w:rsidR="00861F80" w:rsidRPr="008C7A56">
        <w:rPr>
          <w:rFonts w:ascii="Calibri" w:eastAsiaTheme="minorHAnsi" w:hAnsi="Calibri" w:cstheme="minorBidi"/>
          <w:sz w:val="22"/>
          <w:szCs w:val="22"/>
          <w:lang w:val="fr-FR"/>
        </w:rPr>
        <w:t xml:space="preserve"> </w:t>
      </w:r>
    </w:p>
    <w:p w:rsidR="00861F80" w:rsidRPr="008C7A56" w:rsidRDefault="00861F80" w:rsidP="00861F80">
      <w:pPr>
        <w:pStyle w:val="BodyText"/>
        <w:widowControl w:val="0"/>
        <w:spacing w:after="0"/>
        <w:ind w:left="426" w:right="-46"/>
        <w:rPr>
          <w:rFonts w:ascii="Calibri" w:hAnsi="Calibri"/>
          <w:sz w:val="22"/>
          <w:szCs w:val="22"/>
          <w:lang w:val="fr-FR"/>
        </w:rPr>
      </w:pPr>
    </w:p>
    <w:p w:rsidR="00F2326A" w:rsidRPr="008C7A56" w:rsidRDefault="0027200B" w:rsidP="00E26F78">
      <w:pPr>
        <w:pStyle w:val="BodyText"/>
        <w:widowControl w:val="0"/>
        <w:numPr>
          <w:ilvl w:val="0"/>
          <w:numId w:val="4"/>
        </w:numPr>
        <w:spacing w:after="0"/>
        <w:ind w:left="450" w:right="-46" w:hanging="450"/>
        <w:rPr>
          <w:rFonts w:ascii="Calibri" w:hAnsi="Calibri"/>
          <w:sz w:val="22"/>
          <w:szCs w:val="22"/>
          <w:lang w:val="fr-FR"/>
        </w:rPr>
      </w:pPr>
      <w:r w:rsidRPr="008C7A56">
        <w:rPr>
          <w:rFonts w:ascii="Calibri" w:eastAsiaTheme="minorHAnsi" w:hAnsi="Calibri" w:cstheme="minorBidi"/>
          <w:sz w:val="22"/>
          <w:szCs w:val="22"/>
          <w:lang w:val="fr-FR"/>
        </w:rPr>
        <w:t>Le p</w:t>
      </w:r>
      <w:r w:rsidR="0029353C" w:rsidRPr="008C7A56">
        <w:rPr>
          <w:rFonts w:ascii="Calibri" w:eastAsiaTheme="minorHAnsi" w:hAnsi="Calibri" w:cstheme="minorBidi"/>
          <w:sz w:val="22"/>
          <w:szCs w:val="22"/>
          <w:lang w:val="fr-FR"/>
        </w:rPr>
        <w:t>ara</w:t>
      </w:r>
      <w:r w:rsidR="00861F80" w:rsidRPr="008C7A56">
        <w:rPr>
          <w:rFonts w:ascii="Calibri" w:eastAsiaTheme="minorHAnsi" w:hAnsi="Calibri" w:cstheme="minorBidi"/>
          <w:sz w:val="22"/>
          <w:szCs w:val="22"/>
          <w:lang w:val="fr-FR"/>
        </w:rPr>
        <w:t>graph</w:t>
      </w:r>
      <w:r w:rsidRPr="008C7A56">
        <w:rPr>
          <w:rFonts w:ascii="Calibri" w:eastAsiaTheme="minorHAnsi" w:hAnsi="Calibri" w:cstheme="minorBidi"/>
          <w:sz w:val="22"/>
          <w:szCs w:val="22"/>
          <w:lang w:val="fr-FR"/>
        </w:rPr>
        <w:t>e </w:t>
      </w:r>
      <w:r w:rsidR="0029353C" w:rsidRPr="008C7A56">
        <w:rPr>
          <w:rFonts w:ascii="Calibri" w:eastAsiaTheme="minorHAnsi" w:hAnsi="Calibri" w:cstheme="minorBidi"/>
          <w:sz w:val="22"/>
          <w:szCs w:val="22"/>
          <w:lang w:val="fr-FR"/>
        </w:rPr>
        <w:t xml:space="preserve">7.c </w:t>
      </w:r>
      <w:r w:rsidRPr="008C7A56">
        <w:rPr>
          <w:rFonts w:ascii="Calibri" w:eastAsiaTheme="minorHAnsi" w:hAnsi="Calibri" w:cstheme="minorBidi"/>
          <w:sz w:val="22"/>
          <w:szCs w:val="22"/>
          <w:lang w:val="fr-FR"/>
        </w:rPr>
        <w:t>de la</w:t>
      </w:r>
      <w:r w:rsidR="0029353C" w:rsidRPr="008C7A56">
        <w:rPr>
          <w:rFonts w:ascii="Calibri" w:eastAsiaTheme="minorHAnsi" w:hAnsi="Calibri" w:cstheme="minorBidi"/>
          <w:sz w:val="22"/>
          <w:szCs w:val="22"/>
          <w:lang w:val="fr-FR"/>
        </w:rPr>
        <w:t xml:space="preserve"> </w:t>
      </w:r>
      <w:r w:rsidRPr="008C7A56">
        <w:rPr>
          <w:rFonts w:ascii="Calibri" w:eastAsiaTheme="minorHAnsi" w:hAnsi="Calibri" w:cstheme="minorBidi"/>
          <w:sz w:val="22"/>
          <w:szCs w:val="22"/>
          <w:lang w:val="fr-FR"/>
        </w:rPr>
        <w:t>Résolution</w:t>
      </w:r>
      <w:r w:rsidR="0029353C" w:rsidRPr="008C7A56">
        <w:rPr>
          <w:rFonts w:ascii="Calibri" w:eastAsiaTheme="minorHAnsi" w:hAnsi="Calibri" w:cstheme="minorBidi"/>
          <w:sz w:val="22"/>
          <w:szCs w:val="22"/>
          <w:lang w:val="fr-FR"/>
        </w:rPr>
        <w:t xml:space="preserve"> XII.4</w:t>
      </w:r>
      <w:r w:rsidR="003D1F56" w:rsidRPr="008C7A56">
        <w:rPr>
          <w:rFonts w:ascii="Calibri" w:eastAsiaTheme="minorHAnsi" w:hAnsi="Calibri" w:cstheme="minorBidi"/>
          <w:sz w:val="22"/>
          <w:szCs w:val="22"/>
          <w:lang w:val="fr-FR"/>
        </w:rPr>
        <w:t xml:space="preserve"> </w:t>
      </w:r>
      <w:r w:rsidRPr="008C7A56">
        <w:rPr>
          <w:rFonts w:ascii="Calibri" w:eastAsiaTheme="minorHAnsi" w:hAnsi="Calibri" w:cstheme="minorBidi"/>
          <w:sz w:val="22"/>
          <w:szCs w:val="22"/>
          <w:lang w:val="fr-FR"/>
        </w:rPr>
        <w:t>donne instruction au Secrétaire général de préparer des rapports « </w:t>
      </w:r>
      <w:r w:rsidR="00E26F78" w:rsidRPr="008C7A56">
        <w:rPr>
          <w:rFonts w:ascii="Calibri" w:hAnsi="Calibri"/>
          <w:sz w:val="22"/>
          <w:szCs w:val="22"/>
          <w:lang w:val="fr-FR"/>
        </w:rPr>
        <w:t>regroupant des informations sur l’évolution des travaux du Secrétariat, en accordant une attention particulière aux questions prioritaires adoptées par la COP, aux déplacements et réunions du Secrétariat, à l’état du budget administratif et non administratif, et comprenant un récapitulatif des contrats du personnel et des consultants</w:t>
      </w:r>
      <w:r w:rsidRPr="008C7A56">
        <w:rPr>
          <w:rFonts w:ascii="Calibri" w:hAnsi="Calibri"/>
          <w:sz w:val="22"/>
          <w:szCs w:val="22"/>
          <w:lang w:val="fr-FR"/>
        </w:rPr>
        <w:t>»</w:t>
      </w:r>
      <w:r w:rsidR="003D1F56" w:rsidRPr="008C7A56">
        <w:rPr>
          <w:rFonts w:ascii="Calibri" w:hAnsi="Calibri"/>
          <w:sz w:val="22"/>
          <w:szCs w:val="22"/>
          <w:lang w:val="fr-FR"/>
        </w:rPr>
        <w:t>.</w:t>
      </w:r>
    </w:p>
    <w:p w:rsidR="00F2326A" w:rsidRPr="008C7A56" w:rsidRDefault="00F2326A" w:rsidP="00F2326A">
      <w:pPr>
        <w:pStyle w:val="BodyText"/>
        <w:widowControl w:val="0"/>
        <w:spacing w:after="0"/>
        <w:ind w:right="-46"/>
        <w:rPr>
          <w:rFonts w:ascii="Calibri" w:hAnsi="Calibri"/>
          <w:sz w:val="22"/>
          <w:szCs w:val="22"/>
          <w:lang w:val="fr-FR"/>
        </w:rPr>
      </w:pPr>
    </w:p>
    <w:p w:rsidR="00F2326A" w:rsidRPr="008C7A56" w:rsidRDefault="0027200B" w:rsidP="003B529A">
      <w:pPr>
        <w:pStyle w:val="BodyText"/>
        <w:widowControl w:val="0"/>
        <w:numPr>
          <w:ilvl w:val="0"/>
          <w:numId w:val="4"/>
        </w:numPr>
        <w:spacing w:after="0"/>
        <w:ind w:left="426" w:right="-46" w:hanging="426"/>
        <w:rPr>
          <w:rFonts w:ascii="Calibri" w:hAnsi="Calibri"/>
          <w:sz w:val="22"/>
          <w:szCs w:val="22"/>
          <w:lang w:val="fr-FR"/>
        </w:rPr>
      </w:pPr>
      <w:r w:rsidRPr="008C7A56">
        <w:rPr>
          <w:rFonts w:ascii="Calibri" w:hAnsi="Calibri"/>
          <w:sz w:val="22"/>
          <w:szCs w:val="22"/>
          <w:lang w:val="fr-FR"/>
        </w:rPr>
        <w:t xml:space="preserve">Les Dispositions intérimaires pour l’administration du Secrétariat identifient les priorités d’importance critique suivantes pour action par le Secrétariat durant cette période (annexe 1) : </w:t>
      </w:r>
    </w:p>
    <w:p w:rsidR="00F2326A" w:rsidRPr="008C7A56" w:rsidRDefault="00F2326A" w:rsidP="00F2326A">
      <w:pPr>
        <w:pStyle w:val="ListParagraph"/>
        <w:rPr>
          <w:rFonts w:ascii="Calibri" w:hAnsi="Calibri"/>
          <w:lang w:val="fr-FR"/>
        </w:rPr>
      </w:pPr>
    </w:p>
    <w:p w:rsidR="00F2326A" w:rsidRPr="008C7A56" w:rsidRDefault="0027200B" w:rsidP="00FB4C67">
      <w:pPr>
        <w:pStyle w:val="ListParagraph"/>
        <w:numPr>
          <w:ilvl w:val="0"/>
          <w:numId w:val="32"/>
        </w:numPr>
        <w:spacing w:after="0" w:line="240" w:lineRule="auto"/>
        <w:ind w:left="851" w:hanging="425"/>
        <w:rPr>
          <w:rFonts w:ascii="Calibri" w:hAnsi="Calibri" w:cs="Arial"/>
          <w:lang w:val="fr-FR"/>
        </w:rPr>
      </w:pPr>
      <w:r w:rsidRPr="008C7A56">
        <w:rPr>
          <w:rFonts w:ascii="Calibri" w:hAnsi="Calibri" w:cs="Arial"/>
          <w:lang w:val="fr-FR"/>
        </w:rPr>
        <w:t xml:space="preserve">mémorandum d’accord pour la </w:t>
      </w:r>
      <w:r w:rsidR="00F2326A" w:rsidRPr="008C7A56">
        <w:rPr>
          <w:rFonts w:ascii="Calibri" w:hAnsi="Calibri" w:cs="Arial"/>
          <w:lang w:val="fr-FR"/>
        </w:rPr>
        <w:t>COP13 (</w:t>
      </w:r>
      <w:r w:rsidRPr="008C7A56">
        <w:rPr>
          <w:rFonts w:ascii="Calibri" w:hAnsi="Calibri" w:cs="Arial"/>
          <w:lang w:val="fr-FR"/>
        </w:rPr>
        <w:t xml:space="preserve">et autres mémorandums d’accord jugés appropriés par le Comité exécutif); </w:t>
      </w:r>
    </w:p>
    <w:p w:rsidR="00F2326A" w:rsidRPr="008C7A56" w:rsidRDefault="00F2326A" w:rsidP="00FB4C67">
      <w:pPr>
        <w:pStyle w:val="ListParagraph"/>
        <w:numPr>
          <w:ilvl w:val="0"/>
          <w:numId w:val="32"/>
        </w:numPr>
        <w:spacing w:after="0" w:line="240" w:lineRule="auto"/>
        <w:ind w:left="851" w:hanging="425"/>
        <w:rPr>
          <w:rFonts w:ascii="Calibri" w:hAnsi="Calibri" w:cs="Arial"/>
          <w:lang w:val="fr-FR"/>
        </w:rPr>
      </w:pPr>
      <w:r w:rsidRPr="008C7A56">
        <w:rPr>
          <w:rFonts w:ascii="Calibri" w:hAnsi="Calibri" w:cs="Arial"/>
          <w:lang w:val="fr-FR"/>
        </w:rPr>
        <w:t xml:space="preserve">audit </w:t>
      </w:r>
      <w:r w:rsidR="0027200B" w:rsidRPr="008C7A56">
        <w:rPr>
          <w:rFonts w:ascii="Calibri" w:hAnsi="Calibri" w:cs="Arial"/>
          <w:lang w:val="fr-FR"/>
        </w:rPr>
        <w:t xml:space="preserve">du budget pour </w:t>
      </w:r>
      <w:r w:rsidR="0019412B" w:rsidRPr="008C7A56">
        <w:rPr>
          <w:rFonts w:ascii="Calibri" w:hAnsi="Calibri" w:cs="Arial"/>
          <w:lang w:val="fr-FR"/>
        </w:rPr>
        <w:t>veiller</w:t>
      </w:r>
      <w:r w:rsidR="00E26F78" w:rsidRPr="008C7A56">
        <w:rPr>
          <w:rFonts w:ascii="Calibri" w:hAnsi="Calibri" w:cs="Arial"/>
          <w:lang w:val="fr-FR"/>
        </w:rPr>
        <w:t xml:space="preserve"> à ce</w:t>
      </w:r>
      <w:r w:rsidR="0027200B" w:rsidRPr="008C7A56">
        <w:rPr>
          <w:rFonts w:ascii="Calibri" w:hAnsi="Calibri" w:cs="Arial"/>
          <w:lang w:val="fr-FR"/>
        </w:rPr>
        <w:t xml:space="preserve"> qu’il soit dûment aligné sur les priorités; </w:t>
      </w:r>
    </w:p>
    <w:p w:rsidR="00F2326A" w:rsidRPr="008C7A56" w:rsidRDefault="0027200B" w:rsidP="00FB4C67">
      <w:pPr>
        <w:pStyle w:val="ListParagraph"/>
        <w:numPr>
          <w:ilvl w:val="0"/>
          <w:numId w:val="32"/>
        </w:numPr>
        <w:spacing w:after="0" w:line="240" w:lineRule="auto"/>
        <w:ind w:left="851" w:hanging="425"/>
        <w:rPr>
          <w:rFonts w:ascii="Calibri" w:hAnsi="Calibri" w:cs="Arial"/>
          <w:lang w:val="fr-FR"/>
        </w:rPr>
      </w:pPr>
      <w:r w:rsidRPr="008C7A56">
        <w:rPr>
          <w:rFonts w:ascii="Calibri" w:hAnsi="Calibri" w:cs="Arial"/>
          <w:lang w:val="fr-FR"/>
        </w:rPr>
        <w:t>préparatifs pour la 52</w:t>
      </w:r>
      <w:r w:rsidRPr="008C7A56">
        <w:rPr>
          <w:rFonts w:ascii="Calibri" w:hAnsi="Calibri" w:cs="Arial"/>
          <w:vertAlign w:val="superscript"/>
          <w:lang w:val="fr-FR"/>
        </w:rPr>
        <w:t>e</w:t>
      </w:r>
      <w:r w:rsidRPr="008C7A56">
        <w:rPr>
          <w:rFonts w:ascii="Calibri" w:hAnsi="Calibri" w:cs="Arial"/>
          <w:lang w:val="fr-FR"/>
        </w:rPr>
        <w:t xml:space="preserve"> Réunion du Comité permanent en 2016; </w:t>
      </w:r>
    </w:p>
    <w:p w:rsidR="00F2326A" w:rsidRPr="008C7A56" w:rsidRDefault="0027200B" w:rsidP="00FB4C67">
      <w:pPr>
        <w:pStyle w:val="ListParagraph"/>
        <w:numPr>
          <w:ilvl w:val="0"/>
          <w:numId w:val="32"/>
        </w:numPr>
        <w:spacing w:after="0" w:line="240" w:lineRule="auto"/>
        <w:ind w:left="851" w:hanging="425"/>
        <w:rPr>
          <w:rFonts w:ascii="Calibri" w:hAnsi="Calibri" w:cs="Arial"/>
          <w:lang w:val="fr-FR"/>
        </w:rPr>
      </w:pPr>
      <w:r w:rsidRPr="008C7A56">
        <w:rPr>
          <w:rFonts w:ascii="Calibri" w:hAnsi="Calibri" w:cs="Arial"/>
          <w:lang w:val="fr-FR"/>
        </w:rPr>
        <w:t xml:space="preserve">mise en œuvre complète de la page web fonctionnelle et du SISR; </w:t>
      </w:r>
    </w:p>
    <w:p w:rsidR="00F2326A" w:rsidRPr="008C7A56" w:rsidRDefault="0027200B" w:rsidP="00FB4C67">
      <w:pPr>
        <w:pStyle w:val="ListParagraph"/>
        <w:numPr>
          <w:ilvl w:val="0"/>
          <w:numId w:val="32"/>
        </w:numPr>
        <w:spacing w:after="0" w:line="240" w:lineRule="auto"/>
        <w:ind w:left="851" w:hanging="425"/>
        <w:rPr>
          <w:rFonts w:ascii="Calibri" w:hAnsi="Calibri" w:cs="Arial"/>
          <w:lang w:val="fr-FR"/>
        </w:rPr>
      </w:pPr>
      <w:r w:rsidRPr="008C7A56">
        <w:rPr>
          <w:rFonts w:ascii="Calibri" w:hAnsi="Calibri" w:cs="Arial"/>
          <w:lang w:val="fr-FR"/>
        </w:rPr>
        <w:t xml:space="preserve">examen des contrats de </w:t>
      </w:r>
      <w:r w:rsidR="00960F63" w:rsidRPr="008C7A56">
        <w:rPr>
          <w:rFonts w:ascii="Calibri" w:hAnsi="Calibri" w:cs="Arial"/>
          <w:lang w:val="fr-FR"/>
        </w:rPr>
        <w:t>consulta</w:t>
      </w:r>
      <w:r w:rsidR="004A2F4D" w:rsidRPr="008C7A56">
        <w:rPr>
          <w:rFonts w:ascii="Calibri" w:hAnsi="Calibri" w:cs="Arial"/>
          <w:lang w:val="fr-FR"/>
        </w:rPr>
        <w:t>nts</w:t>
      </w:r>
      <w:r w:rsidRPr="008C7A56">
        <w:rPr>
          <w:rFonts w:ascii="Calibri" w:hAnsi="Calibri" w:cs="Arial"/>
          <w:lang w:val="fr-FR"/>
        </w:rPr>
        <w:t xml:space="preserve"> et rationalisation dans la mesure du possible; </w:t>
      </w:r>
    </w:p>
    <w:p w:rsidR="00F2326A" w:rsidRPr="008C7A56" w:rsidRDefault="0027200B" w:rsidP="00FB4C67">
      <w:pPr>
        <w:pStyle w:val="ListParagraph"/>
        <w:numPr>
          <w:ilvl w:val="0"/>
          <w:numId w:val="32"/>
        </w:numPr>
        <w:spacing w:after="0" w:line="240" w:lineRule="auto"/>
        <w:ind w:left="851" w:hanging="425"/>
        <w:rPr>
          <w:rFonts w:ascii="Calibri" w:hAnsi="Calibri" w:cs="Arial"/>
          <w:lang w:val="fr-FR"/>
        </w:rPr>
      </w:pPr>
      <w:r w:rsidRPr="008C7A56">
        <w:rPr>
          <w:rFonts w:ascii="Calibri" w:hAnsi="Calibri" w:cs="Arial"/>
          <w:lang w:val="fr-FR"/>
        </w:rPr>
        <w:t xml:space="preserve">examen de la mobilisation des ressources, en particulier du point de vue des appels de fonds pour </w:t>
      </w:r>
      <w:r w:rsidR="00E26F78" w:rsidRPr="008C7A56">
        <w:rPr>
          <w:rFonts w:ascii="Calibri" w:hAnsi="Calibri" w:cs="Arial"/>
          <w:lang w:val="fr-FR"/>
        </w:rPr>
        <w:t>faire en sorte</w:t>
      </w:r>
      <w:r w:rsidRPr="008C7A56">
        <w:rPr>
          <w:rFonts w:ascii="Calibri" w:hAnsi="Calibri" w:cs="Arial"/>
          <w:lang w:val="fr-FR"/>
        </w:rPr>
        <w:t xml:space="preserve"> que les travaux entrepris soient déjà pris en compte afin que le prochain Secrétaire général soit en mesure de </w:t>
      </w:r>
      <w:r w:rsidR="00E26F78" w:rsidRPr="008C7A56">
        <w:rPr>
          <w:rFonts w:ascii="Calibri" w:hAnsi="Calibri" w:cs="Arial"/>
          <w:lang w:val="fr-FR"/>
        </w:rPr>
        <w:t>relancer</w:t>
      </w:r>
      <w:r w:rsidRPr="008C7A56">
        <w:rPr>
          <w:rFonts w:ascii="Calibri" w:hAnsi="Calibri" w:cs="Arial"/>
          <w:lang w:val="fr-FR"/>
        </w:rPr>
        <w:t xml:space="preserve"> ce programme. </w:t>
      </w:r>
      <w:r w:rsidR="00E26F78" w:rsidRPr="008C7A56">
        <w:rPr>
          <w:rFonts w:ascii="Calibri" w:hAnsi="Calibri" w:cs="Arial"/>
          <w:lang w:val="fr-FR"/>
        </w:rPr>
        <w:t xml:space="preserve">Cet </w:t>
      </w:r>
      <w:r w:rsidRPr="008C7A56">
        <w:rPr>
          <w:rFonts w:ascii="Calibri" w:hAnsi="Calibri" w:cs="Arial"/>
          <w:lang w:val="fr-FR"/>
        </w:rPr>
        <w:t>examen devrait être entrepris conjointement avec le Groupe de travail sur la mobilisation des ressources;</w:t>
      </w:r>
    </w:p>
    <w:p w:rsidR="00F2326A" w:rsidRPr="008C7A56" w:rsidRDefault="0027200B" w:rsidP="00FB4C67">
      <w:pPr>
        <w:pStyle w:val="ListParagraph"/>
        <w:numPr>
          <w:ilvl w:val="0"/>
          <w:numId w:val="32"/>
        </w:numPr>
        <w:spacing w:after="0" w:line="240" w:lineRule="auto"/>
        <w:ind w:left="851" w:hanging="425"/>
        <w:rPr>
          <w:rFonts w:ascii="Calibri" w:hAnsi="Calibri" w:cs="Arial"/>
          <w:lang w:val="fr-FR"/>
        </w:rPr>
      </w:pPr>
      <w:r w:rsidRPr="008C7A56">
        <w:rPr>
          <w:rFonts w:ascii="Calibri" w:hAnsi="Calibri" w:cs="Arial"/>
          <w:lang w:val="fr-FR"/>
        </w:rPr>
        <w:t xml:space="preserve">évaluation de la </w:t>
      </w:r>
      <w:r w:rsidR="00F2326A" w:rsidRPr="008C7A56">
        <w:rPr>
          <w:rFonts w:ascii="Calibri" w:hAnsi="Calibri" w:cs="Arial"/>
          <w:lang w:val="fr-FR"/>
        </w:rPr>
        <w:t>COP12.</w:t>
      </w:r>
    </w:p>
    <w:p w:rsidR="009050AD" w:rsidRPr="008C7A56" w:rsidRDefault="009050AD" w:rsidP="00861F80">
      <w:pPr>
        <w:widowControl w:val="0"/>
        <w:spacing w:after="0" w:line="240" w:lineRule="auto"/>
        <w:ind w:right="-46"/>
        <w:rPr>
          <w:rFonts w:ascii="Calibri" w:hAnsi="Calibri"/>
          <w:lang w:val="fr-FR"/>
        </w:rPr>
      </w:pPr>
    </w:p>
    <w:p w:rsidR="00EC04D2" w:rsidRPr="008C7A56" w:rsidRDefault="0027200B" w:rsidP="003B529A">
      <w:pPr>
        <w:pStyle w:val="ListParagraph"/>
        <w:widowControl w:val="0"/>
        <w:numPr>
          <w:ilvl w:val="0"/>
          <w:numId w:val="4"/>
        </w:numPr>
        <w:spacing w:after="0" w:line="240" w:lineRule="auto"/>
        <w:ind w:left="426" w:right="-46" w:hanging="426"/>
        <w:rPr>
          <w:rFonts w:ascii="Calibri" w:hAnsi="Calibri"/>
          <w:lang w:val="fr-FR"/>
        </w:rPr>
      </w:pPr>
      <w:r w:rsidRPr="008C7A56">
        <w:rPr>
          <w:rFonts w:ascii="Calibri" w:hAnsi="Calibri"/>
          <w:lang w:val="fr-FR"/>
        </w:rPr>
        <w:t xml:space="preserve">Le plan de travail triennal du Secrétariat a été préparé </w:t>
      </w:r>
      <w:r w:rsidR="00E26F78" w:rsidRPr="008C7A56">
        <w:rPr>
          <w:rFonts w:ascii="Calibri" w:hAnsi="Calibri"/>
          <w:lang w:val="fr-FR"/>
        </w:rPr>
        <w:t>collectivement</w:t>
      </w:r>
      <w:r w:rsidRPr="008C7A56">
        <w:rPr>
          <w:rFonts w:ascii="Calibri" w:hAnsi="Calibri"/>
          <w:lang w:val="fr-FR"/>
        </w:rPr>
        <w:t>, avec la participation de tous les membres du personnel du Secrétariat guidés par les buts et objectifs du 4</w:t>
      </w:r>
      <w:r w:rsidRPr="008C7A56">
        <w:rPr>
          <w:rFonts w:ascii="Calibri" w:hAnsi="Calibri"/>
          <w:vertAlign w:val="superscript"/>
          <w:lang w:val="fr-FR"/>
        </w:rPr>
        <w:t>e</w:t>
      </w:r>
      <w:r w:rsidRPr="008C7A56">
        <w:rPr>
          <w:rFonts w:ascii="Calibri" w:hAnsi="Calibri"/>
          <w:lang w:val="fr-FR"/>
        </w:rPr>
        <w:t xml:space="preserve"> Plan stratégique pour </w:t>
      </w:r>
      <w:r w:rsidR="00004F1A" w:rsidRPr="008C7A56">
        <w:rPr>
          <w:rFonts w:ascii="Calibri" w:hAnsi="Calibri"/>
          <w:lang w:val="fr-FR"/>
        </w:rPr>
        <w:t xml:space="preserve">2016-2024, </w:t>
      </w:r>
      <w:r w:rsidRPr="008C7A56">
        <w:rPr>
          <w:rFonts w:ascii="Calibri" w:hAnsi="Calibri"/>
          <w:lang w:val="fr-FR"/>
        </w:rPr>
        <w:t>ainsi que par les mesures spécifiques prises par le Secrétariat et demandées dans les Résolutions de la COP12. Le plan de travail annuel pour 2016 a été tiré du plan de travail triennal. Les deux documents sont présentés à la 52</w:t>
      </w:r>
      <w:r w:rsidRPr="008C7A56">
        <w:rPr>
          <w:rFonts w:ascii="Calibri" w:hAnsi="Calibri"/>
          <w:vertAlign w:val="superscript"/>
          <w:lang w:val="fr-FR"/>
        </w:rPr>
        <w:t>e</w:t>
      </w:r>
      <w:r w:rsidRPr="008C7A56">
        <w:rPr>
          <w:rFonts w:ascii="Calibri" w:hAnsi="Calibri"/>
          <w:lang w:val="fr-FR"/>
        </w:rPr>
        <w:t xml:space="preserve"> Réunion du Comité permanent sous le point 12 de l’ordre du jour </w:t>
      </w:r>
      <w:r w:rsidR="00521719" w:rsidRPr="008C7A56">
        <w:rPr>
          <w:rFonts w:ascii="Calibri" w:hAnsi="Calibri"/>
          <w:lang w:val="fr-FR"/>
        </w:rPr>
        <w:t>(</w:t>
      </w:r>
      <w:r w:rsidRPr="008C7A56">
        <w:rPr>
          <w:rFonts w:ascii="Calibri" w:eastAsia="Arial Unicode MS" w:hAnsi="Calibri" w:cs="Arial Unicode MS"/>
          <w:kern w:val="1"/>
          <w:lang w:val="fr-FR" w:eastAsia="hi-IN" w:bidi="hi-IN"/>
        </w:rPr>
        <w:t>d</w:t>
      </w:r>
      <w:r w:rsidR="00BE6581" w:rsidRPr="008C7A56">
        <w:rPr>
          <w:rFonts w:ascii="Calibri" w:eastAsia="Arial Unicode MS" w:hAnsi="Calibri" w:cs="Arial Unicode MS"/>
          <w:kern w:val="1"/>
          <w:lang w:val="fr-FR" w:eastAsia="hi-IN" w:bidi="hi-IN"/>
        </w:rPr>
        <w:t>ocument</w:t>
      </w:r>
      <w:r w:rsidR="00B47A61" w:rsidRPr="008C7A56">
        <w:rPr>
          <w:rFonts w:ascii="Calibri" w:eastAsia="Arial Unicode MS" w:hAnsi="Calibri" w:cs="Arial Unicode MS"/>
          <w:kern w:val="1"/>
          <w:lang w:val="fr-FR" w:eastAsia="hi-IN" w:bidi="hi-IN"/>
        </w:rPr>
        <w:t>s SC52</w:t>
      </w:r>
      <w:r w:rsidR="00BE6581" w:rsidRPr="008C7A56">
        <w:rPr>
          <w:rFonts w:ascii="Calibri" w:eastAsia="Arial Unicode MS" w:hAnsi="Calibri" w:cs="Arial Unicode MS"/>
          <w:kern w:val="1"/>
          <w:lang w:val="fr-FR" w:eastAsia="hi-IN" w:bidi="hi-IN"/>
        </w:rPr>
        <w:t>-</w:t>
      </w:r>
      <w:r w:rsidR="00505ADE" w:rsidRPr="008C7A56">
        <w:rPr>
          <w:rFonts w:ascii="Calibri" w:eastAsia="Arial Unicode MS" w:hAnsi="Calibri" w:cs="Arial Unicode MS"/>
          <w:kern w:val="1"/>
          <w:lang w:val="fr-FR" w:eastAsia="hi-IN" w:bidi="hi-IN"/>
        </w:rPr>
        <w:t>07</w:t>
      </w:r>
      <w:r w:rsidR="00B47A61" w:rsidRPr="008C7A56">
        <w:rPr>
          <w:rFonts w:ascii="Calibri" w:eastAsia="Arial Unicode MS" w:hAnsi="Calibri" w:cs="Arial Unicode MS"/>
          <w:kern w:val="1"/>
          <w:lang w:val="fr-FR" w:eastAsia="hi-IN" w:bidi="hi-IN"/>
        </w:rPr>
        <w:t xml:space="preserve"> </w:t>
      </w:r>
      <w:r w:rsidRPr="008C7A56">
        <w:rPr>
          <w:rFonts w:ascii="Calibri" w:eastAsia="Arial Unicode MS" w:hAnsi="Calibri" w:cs="Arial Unicode MS"/>
          <w:kern w:val="1"/>
          <w:lang w:val="fr-FR" w:eastAsia="hi-IN" w:bidi="hi-IN"/>
        </w:rPr>
        <w:t>et</w:t>
      </w:r>
      <w:r w:rsidR="00B47A61" w:rsidRPr="008C7A56">
        <w:rPr>
          <w:rFonts w:ascii="Calibri" w:eastAsia="Arial Unicode MS" w:hAnsi="Calibri" w:cs="Arial Unicode MS"/>
          <w:kern w:val="1"/>
          <w:lang w:val="fr-FR" w:eastAsia="hi-IN" w:bidi="hi-IN"/>
        </w:rPr>
        <w:t xml:space="preserve"> SC52-08</w:t>
      </w:r>
      <w:r w:rsidR="00521719" w:rsidRPr="008C7A56">
        <w:rPr>
          <w:rFonts w:ascii="Calibri" w:eastAsia="Arial Unicode MS" w:hAnsi="Calibri" w:cs="Arial Unicode MS"/>
          <w:kern w:val="1"/>
          <w:lang w:val="fr-FR" w:eastAsia="hi-IN" w:bidi="hi-IN"/>
        </w:rPr>
        <w:t>)</w:t>
      </w:r>
      <w:r w:rsidR="0006301F" w:rsidRPr="008C7A56">
        <w:rPr>
          <w:rFonts w:ascii="Calibri" w:hAnsi="Calibri"/>
          <w:lang w:val="fr-FR"/>
        </w:rPr>
        <w:t xml:space="preserve">. </w:t>
      </w:r>
      <w:r w:rsidR="00E26F78" w:rsidRPr="008C7A56">
        <w:rPr>
          <w:rFonts w:ascii="Calibri" w:hAnsi="Calibri"/>
          <w:lang w:val="fr-FR"/>
        </w:rPr>
        <w:t xml:space="preserve">À partir de ces </w:t>
      </w:r>
      <w:r w:rsidR="00E26F78" w:rsidRPr="008C7A56">
        <w:rPr>
          <w:rFonts w:ascii="Calibri" w:hAnsi="Calibri"/>
          <w:lang w:val="fr-FR"/>
        </w:rPr>
        <w:lastRenderedPageBreak/>
        <w:t>activités et tâches, t</w:t>
      </w:r>
      <w:r w:rsidRPr="008C7A56">
        <w:rPr>
          <w:rFonts w:ascii="Calibri" w:hAnsi="Calibri"/>
          <w:lang w:val="fr-FR"/>
        </w:rPr>
        <w:t>ous les membres du personnel ont élaboré leurs propres plans de travail</w:t>
      </w:r>
      <w:r w:rsidR="00081EBB" w:rsidRPr="008C7A56">
        <w:rPr>
          <w:rFonts w:ascii="Calibri" w:hAnsi="Calibri"/>
          <w:lang w:val="fr-FR"/>
        </w:rPr>
        <w:t xml:space="preserve"> pour 2016 qui sont regroupés sous les quatre buts stratégiques de Ramsar. En outre, le Secrétariat se concentre sur les priorités du Comité exécutif également intégrées dans le plan de travail pour 2016.</w:t>
      </w:r>
    </w:p>
    <w:p w:rsidR="009050AD" w:rsidRPr="008C7A56" w:rsidRDefault="009050AD" w:rsidP="008D5216">
      <w:pPr>
        <w:spacing w:after="0" w:line="240" w:lineRule="auto"/>
        <w:ind w:right="-46"/>
        <w:rPr>
          <w:rFonts w:ascii="Calibri" w:hAnsi="Calibri"/>
          <w:lang w:val="fr-FR"/>
        </w:rPr>
      </w:pPr>
    </w:p>
    <w:p w:rsidR="00417846" w:rsidRPr="008C7A56" w:rsidRDefault="00081EBB" w:rsidP="00417846">
      <w:pPr>
        <w:pStyle w:val="ListParagraph"/>
        <w:numPr>
          <w:ilvl w:val="0"/>
          <w:numId w:val="4"/>
        </w:numPr>
        <w:spacing w:after="0" w:line="240" w:lineRule="auto"/>
        <w:ind w:left="426" w:right="-46" w:hanging="426"/>
        <w:rPr>
          <w:rFonts w:ascii="Calibri" w:hAnsi="Calibri"/>
          <w:lang w:val="fr-FR"/>
        </w:rPr>
      </w:pPr>
      <w:r w:rsidRPr="008C7A56">
        <w:rPr>
          <w:rFonts w:cs="Arial"/>
          <w:color w:val="000000" w:themeColor="text1"/>
          <w:lang w:val="fr-FR"/>
        </w:rPr>
        <w:t xml:space="preserve">Comme demandé spécifiquement dans la </w:t>
      </w:r>
      <w:r w:rsidR="00417846" w:rsidRPr="008C7A56">
        <w:rPr>
          <w:rFonts w:cs="Arial"/>
          <w:color w:val="000000" w:themeColor="text1"/>
          <w:lang w:val="fr-FR"/>
        </w:rPr>
        <w:t>R</w:t>
      </w:r>
      <w:r w:rsidRPr="008C7A56">
        <w:rPr>
          <w:rFonts w:cs="Arial"/>
          <w:color w:val="000000" w:themeColor="text1"/>
          <w:lang w:val="fr-FR"/>
        </w:rPr>
        <w:t>é</w:t>
      </w:r>
      <w:r w:rsidR="00417846" w:rsidRPr="008C7A56">
        <w:rPr>
          <w:rFonts w:cs="Arial"/>
          <w:color w:val="000000" w:themeColor="text1"/>
          <w:lang w:val="fr-FR"/>
        </w:rPr>
        <w:t>solution</w:t>
      </w:r>
      <w:r w:rsidR="00402A02" w:rsidRPr="008C7A56">
        <w:rPr>
          <w:rFonts w:cs="Arial"/>
          <w:color w:val="000000" w:themeColor="text1"/>
          <w:lang w:val="fr-FR"/>
        </w:rPr>
        <w:t xml:space="preserve"> XII.3</w:t>
      </w:r>
      <w:r w:rsidRPr="008C7A56">
        <w:rPr>
          <w:rFonts w:cs="Arial"/>
          <w:color w:val="000000" w:themeColor="text1"/>
          <w:lang w:val="fr-FR"/>
        </w:rPr>
        <w:t xml:space="preserve"> (par. 44 et 46) et discuté à la 51</w:t>
      </w:r>
      <w:r w:rsidRPr="008C7A56">
        <w:rPr>
          <w:rFonts w:cs="Arial"/>
          <w:color w:val="000000" w:themeColor="text1"/>
          <w:vertAlign w:val="superscript"/>
          <w:lang w:val="fr-FR"/>
        </w:rPr>
        <w:t>e</w:t>
      </w:r>
      <w:r w:rsidRPr="008C7A56">
        <w:rPr>
          <w:rFonts w:cs="Arial"/>
          <w:color w:val="000000" w:themeColor="text1"/>
          <w:lang w:val="fr-FR"/>
        </w:rPr>
        <w:t xml:space="preserve"> Réunion du Comité permanent, le Secrétariat a facilité le choix de représentants régionaux et également participé à l’atelier de coopération dirigé par la CDB en février 2016 avec toutes les autres conventions relatives à la biodiversité </w:t>
      </w:r>
      <w:r w:rsidR="00402A02" w:rsidRPr="008C7A56">
        <w:rPr>
          <w:rFonts w:cs="Arial"/>
          <w:color w:val="000000" w:themeColor="text1"/>
          <w:lang w:val="fr-FR"/>
        </w:rPr>
        <w:t xml:space="preserve">(CITES, CMS, </w:t>
      </w:r>
      <w:r w:rsidRPr="008C7A56">
        <w:rPr>
          <w:rFonts w:cs="Arial"/>
          <w:color w:val="000000" w:themeColor="text1"/>
          <w:lang w:val="fr-FR"/>
        </w:rPr>
        <w:t>GIEC</w:t>
      </w:r>
      <w:r w:rsidR="00402A02" w:rsidRPr="008C7A56">
        <w:rPr>
          <w:rFonts w:cs="Arial"/>
          <w:color w:val="000000" w:themeColor="text1"/>
          <w:lang w:val="fr-FR"/>
        </w:rPr>
        <w:t xml:space="preserve">, </w:t>
      </w:r>
      <w:r w:rsidRPr="008C7A56">
        <w:rPr>
          <w:rFonts w:cs="Arial"/>
          <w:color w:val="000000" w:themeColor="text1"/>
          <w:lang w:val="fr-FR"/>
        </w:rPr>
        <w:t xml:space="preserve">Convention du patrimoine mondial, </w:t>
      </w:r>
      <w:r w:rsidR="00402A02" w:rsidRPr="008C7A56">
        <w:rPr>
          <w:rFonts w:cs="Arial"/>
          <w:color w:val="000000" w:themeColor="text1"/>
          <w:lang w:val="fr-FR"/>
        </w:rPr>
        <w:t>I</w:t>
      </w:r>
      <w:r w:rsidR="00E26F78" w:rsidRPr="008C7A56">
        <w:rPr>
          <w:rFonts w:cs="Arial"/>
          <w:color w:val="000000" w:themeColor="text1"/>
          <w:lang w:val="fr-FR"/>
        </w:rPr>
        <w:t>T</w:t>
      </w:r>
      <w:r w:rsidR="00402A02" w:rsidRPr="008C7A56">
        <w:rPr>
          <w:rFonts w:cs="Arial"/>
          <w:color w:val="000000" w:themeColor="text1"/>
          <w:lang w:val="fr-FR"/>
        </w:rPr>
        <w:t>PGRFA)</w:t>
      </w:r>
      <w:r w:rsidR="00417846" w:rsidRPr="008C7A56">
        <w:rPr>
          <w:rFonts w:cs="Arial"/>
          <w:color w:val="000000" w:themeColor="text1"/>
          <w:lang w:val="fr-FR"/>
        </w:rPr>
        <w:t>.</w:t>
      </w:r>
      <w:r w:rsidR="00402A02" w:rsidRPr="008C7A56">
        <w:rPr>
          <w:rFonts w:cs="Arial"/>
          <w:color w:val="000000" w:themeColor="text1"/>
          <w:lang w:val="fr-FR"/>
        </w:rPr>
        <w:t xml:space="preserve"> </w:t>
      </w:r>
      <w:r w:rsidRPr="008C7A56">
        <w:rPr>
          <w:rFonts w:cs="Arial"/>
          <w:color w:val="000000" w:themeColor="text1"/>
          <w:lang w:val="fr-FR"/>
        </w:rPr>
        <w:t xml:space="preserve">Les représentants de la Convention de Ramsar, selon les régions de la CDB, étaient les suivants : </w:t>
      </w:r>
      <w:r w:rsidR="001A5666" w:rsidRPr="008C7A56">
        <w:rPr>
          <w:lang w:val="fr-FR"/>
        </w:rPr>
        <w:t>pour le groupe des États d’Afrique, le Kenya; pour le groupe des États d’Asie-Pacifique, le Népal; pour le groupe des États d’Amérique latine et des Caraïbes, la Colombie; pour le groupe des États d’Europe orientale, l’Arménie; pour le groupe des États d’Europe occidentale et d’autres États, les États-Unis d’Amérique</w:t>
      </w:r>
      <w:r w:rsidRPr="008C7A56">
        <w:rPr>
          <w:lang w:val="fr-FR"/>
        </w:rPr>
        <w:t>. L’atelier a conclu qu’il n’était pas nécessaire d’établir de nouveaux outils de coopération, mais qu’il suffisait de renforcer les outils existants (tels qu’</w:t>
      </w:r>
      <w:r w:rsidR="008D5216" w:rsidRPr="008C7A56">
        <w:rPr>
          <w:lang w:val="fr-FR"/>
        </w:rPr>
        <w:t>InforMEA)</w:t>
      </w:r>
      <w:r w:rsidRPr="008C7A56">
        <w:rPr>
          <w:lang w:val="fr-FR"/>
        </w:rPr>
        <w:t xml:space="preserve"> et en particulier de se concentrer sur les </w:t>
      </w:r>
      <w:r w:rsidR="001A5666" w:rsidRPr="008C7A56">
        <w:rPr>
          <w:lang w:val="fr-FR"/>
        </w:rPr>
        <w:t>activités</w:t>
      </w:r>
      <w:r w:rsidRPr="008C7A56">
        <w:rPr>
          <w:lang w:val="fr-FR"/>
        </w:rPr>
        <w:t xml:space="preserve"> de renforcement des capacités conjoint</w:t>
      </w:r>
      <w:r w:rsidR="001A5666" w:rsidRPr="008C7A56">
        <w:rPr>
          <w:lang w:val="fr-FR"/>
        </w:rPr>
        <w:t>e</w:t>
      </w:r>
      <w:r w:rsidRPr="008C7A56">
        <w:rPr>
          <w:lang w:val="fr-FR"/>
        </w:rPr>
        <w:t>s</w:t>
      </w:r>
      <w:r w:rsidR="00402A02" w:rsidRPr="008C7A56">
        <w:rPr>
          <w:lang w:val="fr-FR"/>
        </w:rPr>
        <w:t xml:space="preserve">, </w:t>
      </w:r>
      <w:r w:rsidRPr="008C7A56">
        <w:rPr>
          <w:lang w:val="fr-FR"/>
        </w:rPr>
        <w:t xml:space="preserve">à différents niveaux. Du point de vue des indicateurs, il a été estimé que les efforts étaient de plus en plus cohérents dans le cadre des </w:t>
      </w:r>
      <w:r w:rsidR="001A5666" w:rsidRPr="008C7A56">
        <w:rPr>
          <w:lang w:val="fr-FR"/>
        </w:rPr>
        <w:t>O</w:t>
      </w:r>
      <w:r w:rsidRPr="008C7A56">
        <w:rPr>
          <w:lang w:val="fr-FR"/>
        </w:rPr>
        <w:t xml:space="preserve">bjectifs de développement durable et des Objectifs d’Aichi pour la biodiversité, les indicateurs des ODD devant être bientôt finalisés </w:t>
      </w:r>
      <w:r w:rsidR="00D53878" w:rsidRPr="008C7A56">
        <w:rPr>
          <w:lang w:val="fr-FR"/>
        </w:rPr>
        <w:t>(</w:t>
      </w:r>
      <w:r w:rsidRPr="008C7A56">
        <w:rPr>
          <w:lang w:val="fr-FR"/>
        </w:rPr>
        <w:t xml:space="preserve">à la réunion </w:t>
      </w:r>
      <w:r w:rsidR="00D53878" w:rsidRPr="008C7A56">
        <w:rPr>
          <w:lang w:val="fr-FR"/>
        </w:rPr>
        <w:t>d</w:t>
      </w:r>
      <w:r w:rsidR="001A5666" w:rsidRPr="008C7A56">
        <w:rPr>
          <w:lang w:val="fr-FR"/>
        </w:rPr>
        <w:t>u Conseil de sécurité des Nations Unies</w:t>
      </w:r>
      <w:r w:rsidR="00D53878" w:rsidRPr="008C7A56">
        <w:rPr>
          <w:lang w:val="fr-FR"/>
        </w:rPr>
        <w:t xml:space="preserve"> au Mexique, en mars 2016).</w:t>
      </w:r>
      <w:r w:rsidRPr="008C7A56">
        <w:rPr>
          <w:lang w:val="fr-FR"/>
        </w:rPr>
        <w:t xml:space="preserve"> </w:t>
      </w:r>
    </w:p>
    <w:p w:rsidR="00417846" w:rsidRPr="008C7A56" w:rsidRDefault="00417846" w:rsidP="003B529A">
      <w:pPr>
        <w:pStyle w:val="ListParagraph"/>
        <w:spacing w:after="0" w:line="240" w:lineRule="auto"/>
        <w:ind w:left="426" w:right="-46" w:hanging="426"/>
        <w:rPr>
          <w:rFonts w:ascii="Calibri" w:hAnsi="Calibri"/>
          <w:lang w:val="fr-FR"/>
        </w:rPr>
      </w:pPr>
    </w:p>
    <w:p w:rsidR="006208A6" w:rsidRPr="008C7A56" w:rsidRDefault="00D53878" w:rsidP="006208A6">
      <w:pPr>
        <w:pStyle w:val="BodyText"/>
        <w:widowControl w:val="0"/>
        <w:numPr>
          <w:ilvl w:val="0"/>
          <w:numId w:val="4"/>
        </w:numPr>
        <w:spacing w:after="0"/>
        <w:ind w:left="426" w:right="-46" w:hanging="426"/>
        <w:rPr>
          <w:rFonts w:ascii="Calibri" w:hAnsi="Calibri"/>
          <w:sz w:val="22"/>
          <w:szCs w:val="22"/>
          <w:lang w:val="fr-FR"/>
        </w:rPr>
      </w:pPr>
      <w:r w:rsidRPr="008C7A56">
        <w:rPr>
          <w:rFonts w:ascii="Calibri" w:hAnsi="Calibri"/>
          <w:sz w:val="22"/>
          <w:szCs w:val="22"/>
          <w:lang w:val="fr-FR"/>
        </w:rPr>
        <w:t>Au Secrétariat, un Comité de gestion interne a été établi et approuvé par le Comité exécutif; il se compose de la Secrétaire générale par intérim, des quatre Conseillers régionaux principaux, de la Chef de la communication et de son Assistante exécutive. Le Comité de gestion se réunit une fois par mois et se concentre sur l’application du Plan d’action d’après les priorités du Comité exécutif. Les points du Plan d’action (donnés au paragraphe 3 ci</w:t>
      </w:r>
      <w:r w:rsidRPr="008C7A56">
        <w:rPr>
          <w:rFonts w:ascii="Calibri" w:hAnsi="Calibri"/>
          <w:sz w:val="22"/>
          <w:szCs w:val="22"/>
          <w:lang w:val="fr-FR"/>
        </w:rPr>
        <w:noBreakHyphen/>
        <w:t>dessus) sont examinés chacun à son tour.</w:t>
      </w:r>
      <w:r w:rsidR="00BB4F06" w:rsidRPr="008C7A56">
        <w:rPr>
          <w:rFonts w:ascii="Calibri" w:hAnsi="Calibri"/>
          <w:sz w:val="22"/>
          <w:szCs w:val="22"/>
          <w:lang w:val="fr-FR"/>
        </w:rPr>
        <w:t xml:space="preserve">  </w:t>
      </w:r>
    </w:p>
    <w:p w:rsidR="006208A6" w:rsidRPr="008C7A56" w:rsidRDefault="006208A6" w:rsidP="006208A6">
      <w:pPr>
        <w:pStyle w:val="BodyText"/>
        <w:widowControl w:val="0"/>
        <w:spacing w:after="0"/>
        <w:ind w:right="-46"/>
        <w:rPr>
          <w:rFonts w:ascii="Calibri" w:hAnsi="Calibri"/>
          <w:sz w:val="22"/>
          <w:szCs w:val="22"/>
          <w:lang w:val="fr-FR"/>
        </w:rPr>
      </w:pPr>
    </w:p>
    <w:p w:rsidR="00E25902" w:rsidRDefault="00D53878" w:rsidP="0019027C">
      <w:pPr>
        <w:pStyle w:val="BodyText"/>
        <w:widowControl w:val="0"/>
        <w:numPr>
          <w:ilvl w:val="0"/>
          <w:numId w:val="4"/>
        </w:numPr>
        <w:spacing w:after="0"/>
        <w:ind w:left="426" w:right="-46" w:hanging="426"/>
        <w:rPr>
          <w:rFonts w:ascii="Calibri" w:hAnsi="Calibri"/>
          <w:sz w:val="22"/>
          <w:szCs w:val="22"/>
          <w:lang w:val="fr-FR"/>
        </w:rPr>
      </w:pPr>
      <w:r w:rsidRPr="008C7A56">
        <w:rPr>
          <w:rFonts w:ascii="Calibri" w:hAnsi="Calibri"/>
          <w:b/>
          <w:sz w:val="22"/>
          <w:szCs w:val="22"/>
          <w:lang w:val="fr-FR"/>
        </w:rPr>
        <w:t xml:space="preserve">Mémorandum d’accord sur la </w:t>
      </w:r>
      <w:r w:rsidR="00AC3CE5" w:rsidRPr="008C7A56">
        <w:rPr>
          <w:rFonts w:ascii="Calibri" w:hAnsi="Calibri"/>
          <w:b/>
          <w:sz w:val="22"/>
          <w:szCs w:val="22"/>
          <w:lang w:val="fr-FR"/>
        </w:rPr>
        <w:t xml:space="preserve">COP13. </w:t>
      </w:r>
      <w:r w:rsidRPr="008C7A56">
        <w:rPr>
          <w:rFonts w:ascii="Calibri" w:hAnsi="Calibri"/>
          <w:sz w:val="22"/>
          <w:szCs w:val="22"/>
          <w:lang w:val="fr-FR"/>
        </w:rPr>
        <w:t xml:space="preserve">Aux fins de planification de la </w:t>
      </w:r>
      <w:r w:rsidR="00AC3CE5" w:rsidRPr="008C7A56">
        <w:rPr>
          <w:rFonts w:ascii="Calibri" w:hAnsi="Calibri"/>
          <w:sz w:val="22"/>
          <w:szCs w:val="22"/>
          <w:lang w:val="fr-FR"/>
        </w:rPr>
        <w:t>COP13</w:t>
      </w:r>
      <w:r w:rsidRPr="008C7A56">
        <w:rPr>
          <w:rFonts w:ascii="Calibri" w:hAnsi="Calibri"/>
          <w:sz w:val="22"/>
          <w:szCs w:val="22"/>
          <w:lang w:val="fr-FR"/>
        </w:rPr>
        <w:t>, la Secrétaire générale adjointe et le Conseiller régional pour l’Asie</w:t>
      </w:r>
      <w:r w:rsidR="004954A1" w:rsidRPr="008C7A56">
        <w:rPr>
          <w:rFonts w:ascii="Calibri" w:hAnsi="Calibri"/>
          <w:sz w:val="22"/>
          <w:szCs w:val="22"/>
          <w:lang w:val="fr-FR"/>
        </w:rPr>
        <w:t>-Océanie</w:t>
      </w:r>
      <w:r w:rsidRPr="008C7A56">
        <w:rPr>
          <w:rFonts w:ascii="Calibri" w:hAnsi="Calibri"/>
          <w:sz w:val="22"/>
          <w:szCs w:val="22"/>
          <w:lang w:val="fr-FR"/>
        </w:rPr>
        <w:t xml:space="preserve"> se sont rendus à Dubaï</w:t>
      </w:r>
      <w:r w:rsidR="006208A6" w:rsidRPr="008C7A56">
        <w:rPr>
          <w:rFonts w:ascii="Calibri" w:hAnsi="Calibri"/>
          <w:sz w:val="22"/>
          <w:szCs w:val="22"/>
          <w:lang w:val="fr-FR"/>
        </w:rPr>
        <w:t xml:space="preserve"> </w:t>
      </w:r>
      <w:r w:rsidRPr="008C7A56">
        <w:rPr>
          <w:rFonts w:ascii="Calibri" w:hAnsi="Calibri"/>
          <w:sz w:val="22"/>
          <w:szCs w:val="22"/>
          <w:lang w:val="fr-FR"/>
        </w:rPr>
        <w:t xml:space="preserve">pour rencontrer le Sous-secrétaire et le Comité d’organisation national de la COP13 </w:t>
      </w:r>
      <w:r w:rsidR="00E25902">
        <w:rPr>
          <w:rFonts w:ascii="Calibri" w:hAnsi="Calibri"/>
          <w:sz w:val="22"/>
          <w:szCs w:val="22"/>
          <w:lang w:val="fr-FR"/>
        </w:rPr>
        <w:t>et</w:t>
      </w:r>
      <w:r w:rsidRPr="008C7A56">
        <w:rPr>
          <w:rFonts w:ascii="Calibri" w:hAnsi="Calibri"/>
          <w:sz w:val="22"/>
          <w:szCs w:val="22"/>
          <w:lang w:val="fr-FR"/>
        </w:rPr>
        <w:t xml:space="preserve"> pour </w:t>
      </w:r>
      <w:r w:rsidR="005B0CBD" w:rsidRPr="008C7A56">
        <w:rPr>
          <w:rFonts w:ascii="Calibri" w:hAnsi="Calibri"/>
          <w:sz w:val="22"/>
          <w:szCs w:val="22"/>
          <w:lang w:val="fr-FR"/>
        </w:rPr>
        <w:t xml:space="preserve">visiter le lieu de réunion proposé et les locaux disponibles. Le mémorandum d’accord pour la COP13 est en discussion </w:t>
      </w:r>
      <w:r w:rsidR="00E25902">
        <w:rPr>
          <w:rFonts w:ascii="Calibri" w:hAnsi="Calibri"/>
          <w:sz w:val="22"/>
          <w:szCs w:val="22"/>
          <w:lang w:val="fr-FR"/>
        </w:rPr>
        <w:t xml:space="preserve">active </w:t>
      </w:r>
      <w:r w:rsidR="005B0CBD" w:rsidRPr="008C7A56">
        <w:rPr>
          <w:rFonts w:ascii="Calibri" w:hAnsi="Calibri"/>
          <w:sz w:val="22"/>
          <w:szCs w:val="22"/>
          <w:lang w:val="fr-FR"/>
        </w:rPr>
        <w:t xml:space="preserve">entre le Secrétariat et les Émirats arabes unis et a été révisé avec l’ajout d’une annexe qui contient les frais réels de la COP12. Un groupe de travail sur la COP13 a été formé au sein du Secrétariat pour aider le Coordonnateur de la COP13 </w:t>
      </w:r>
      <w:r w:rsidR="009B6476" w:rsidRPr="008C7A56">
        <w:rPr>
          <w:rFonts w:ascii="Calibri" w:hAnsi="Calibri"/>
          <w:sz w:val="22"/>
          <w:szCs w:val="22"/>
          <w:lang w:val="fr-FR"/>
        </w:rPr>
        <w:t>(</w:t>
      </w:r>
      <w:r w:rsidR="005B0CBD" w:rsidRPr="008C7A56">
        <w:rPr>
          <w:rFonts w:ascii="Calibri" w:hAnsi="Calibri"/>
          <w:sz w:val="22"/>
          <w:szCs w:val="22"/>
          <w:lang w:val="fr-FR"/>
        </w:rPr>
        <w:t xml:space="preserve">le Conseiller régional pour </w:t>
      </w:r>
      <w:r w:rsidR="004954A1" w:rsidRPr="008C7A56">
        <w:rPr>
          <w:rFonts w:ascii="Calibri" w:hAnsi="Calibri"/>
          <w:sz w:val="22"/>
          <w:szCs w:val="22"/>
          <w:lang w:val="fr-FR"/>
        </w:rPr>
        <w:t>l’Asie-Océanie</w:t>
      </w:r>
      <w:r w:rsidR="005B0CBD" w:rsidRPr="008C7A56">
        <w:rPr>
          <w:rFonts w:ascii="Calibri" w:hAnsi="Calibri"/>
          <w:sz w:val="22"/>
          <w:szCs w:val="22"/>
          <w:lang w:val="fr-FR"/>
        </w:rPr>
        <w:t>) à gérer les préparatifs.</w:t>
      </w:r>
    </w:p>
    <w:p w:rsidR="00E25902" w:rsidRDefault="00E25902" w:rsidP="00E25902">
      <w:pPr>
        <w:pStyle w:val="BodyText"/>
        <w:widowControl w:val="0"/>
        <w:spacing w:after="0"/>
        <w:ind w:left="426" w:right="-46"/>
        <w:rPr>
          <w:rFonts w:ascii="Calibri" w:hAnsi="Calibri"/>
          <w:sz w:val="22"/>
          <w:szCs w:val="22"/>
          <w:lang w:val="fr-FR"/>
        </w:rPr>
      </w:pPr>
    </w:p>
    <w:p w:rsidR="007B26C2" w:rsidRDefault="005B0CBD" w:rsidP="00A1054E">
      <w:pPr>
        <w:pStyle w:val="BodyText"/>
        <w:widowControl w:val="0"/>
        <w:numPr>
          <w:ilvl w:val="0"/>
          <w:numId w:val="4"/>
        </w:numPr>
        <w:spacing w:after="0"/>
        <w:ind w:left="450" w:right="-46" w:hanging="450"/>
        <w:rPr>
          <w:rFonts w:ascii="Calibri" w:hAnsi="Calibri"/>
          <w:sz w:val="22"/>
          <w:szCs w:val="22"/>
          <w:lang w:val="fr-FR"/>
        </w:rPr>
      </w:pPr>
      <w:r w:rsidRPr="008C7A56">
        <w:rPr>
          <w:rFonts w:ascii="Calibri" w:hAnsi="Calibri"/>
          <w:b/>
          <w:sz w:val="22"/>
          <w:szCs w:val="22"/>
          <w:lang w:val="fr-FR"/>
        </w:rPr>
        <w:t>Autres mémorandums d’accord</w:t>
      </w:r>
      <w:r w:rsidR="00E25902">
        <w:rPr>
          <w:rFonts w:ascii="Calibri" w:hAnsi="Calibri"/>
          <w:b/>
          <w:sz w:val="22"/>
          <w:szCs w:val="22"/>
          <w:lang w:val="fr-FR"/>
        </w:rPr>
        <w:t>.</w:t>
      </w:r>
      <w:r w:rsidR="009B6476" w:rsidRPr="008C7A56">
        <w:rPr>
          <w:rFonts w:ascii="Calibri" w:hAnsi="Calibri"/>
          <w:b/>
          <w:sz w:val="22"/>
          <w:szCs w:val="22"/>
          <w:lang w:val="fr-FR"/>
        </w:rPr>
        <w:t xml:space="preserve"> </w:t>
      </w:r>
      <w:r w:rsidRPr="008C7A56">
        <w:rPr>
          <w:rFonts w:ascii="Calibri" w:hAnsi="Calibri"/>
          <w:sz w:val="22"/>
          <w:szCs w:val="22"/>
          <w:lang w:val="fr-FR"/>
        </w:rPr>
        <w:t xml:space="preserve">Les mémorandums d’accord avec la Fondation </w:t>
      </w:r>
      <w:r w:rsidR="004661E6" w:rsidRPr="008C7A56">
        <w:rPr>
          <w:rFonts w:ascii="Calibri" w:hAnsi="Calibri"/>
          <w:sz w:val="22"/>
          <w:szCs w:val="22"/>
          <w:lang w:val="fr-FR"/>
        </w:rPr>
        <w:t xml:space="preserve">Nagao </w:t>
      </w:r>
      <w:r w:rsidRPr="008C7A56">
        <w:rPr>
          <w:rFonts w:ascii="Calibri" w:hAnsi="Calibri"/>
          <w:sz w:val="22"/>
          <w:szCs w:val="22"/>
          <w:lang w:val="fr-FR"/>
        </w:rPr>
        <w:t>et avec le PNUE</w:t>
      </w:r>
      <w:r w:rsidR="004661E6" w:rsidRPr="008C7A56">
        <w:rPr>
          <w:rFonts w:ascii="Calibri" w:hAnsi="Calibri"/>
          <w:sz w:val="22"/>
          <w:szCs w:val="22"/>
          <w:lang w:val="fr-FR"/>
        </w:rPr>
        <w:t xml:space="preserve"> (</w:t>
      </w:r>
      <w:r w:rsidRPr="008C7A56">
        <w:rPr>
          <w:rFonts w:ascii="Calibri" w:hAnsi="Calibri"/>
          <w:sz w:val="22"/>
          <w:szCs w:val="22"/>
          <w:lang w:val="fr-FR"/>
        </w:rPr>
        <w:t>tous deux présentés à la 51</w:t>
      </w:r>
      <w:r w:rsidRPr="008C7A56">
        <w:rPr>
          <w:rFonts w:ascii="Calibri" w:hAnsi="Calibri"/>
          <w:sz w:val="22"/>
          <w:szCs w:val="22"/>
          <w:vertAlign w:val="superscript"/>
          <w:lang w:val="fr-FR"/>
        </w:rPr>
        <w:t>e</w:t>
      </w:r>
      <w:r w:rsidRPr="008C7A56">
        <w:rPr>
          <w:rFonts w:ascii="Calibri" w:hAnsi="Calibri"/>
          <w:sz w:val="22"/>
          <w:szCs w:val="22"/>
          <w:lang w:val="fr-FR"/>
        </w:rPr>
        <w:t> Réunion du Comité permanent) ont été révisés et son</w:t>
      </w:r>
      <w:r w:rsidR="0060529C" w:rsidRPr="008C7A56">
        <w:rPr>
          <w:rFonts w:ascii="Calibri" w:hAnsi="Calibri"/>
          <w:sz w:val="22"/>
          <w:szCs w:val="22"/>
          <w:lang w:val="fr-FR"/>
        </w:rPr>
        <w:t>t</w:t>
      </w:r>
      <w:r w:rsidRPr="008C7A56">
        <w:rPr>
          <w:rFonts w:ascii="Calibri" w:hAnsi="Calibri"/>
          <w:sz w:val="22"/>
          <w:szCs w:val="22"/>
          <w:lang w:val="fr-FR"/>
        </w:rPr>
        <w:t xml:space="preserve"> examinés par les partenaires respectifs pour commentaires.</w:t>
      </w:r>
      <w:r w:rsidR="00E25902">
        <w:rPr>
          <w:rFonts w:ascii="Calibri" w:hAnsi="Calibri"/>
          <w:sz w:val="22"/>
          <w:szCs w:val="22"/>
          <w:lang w:val="fr-FR"/>
        </w:rPr>
        <w:t xml:space="preserve"> Comme indiqué dans la Décision SC51-20 « </w:t>
      </w:r>
      <w:r w:rsidR="007B26C2" w:rsidRPr="007B26C2">
        <w:rPr>
          <w:rFonts w:ascii="Calibri" w:hAnsi="Calibri"/>
          <w:sz w:val="22"/>
          <w:szCs w:val="22"/>
          <w:lang w:val="fr-FR"/>
        </w:rPr>
        <w:t>Le Comité permanent donne instruction au Secrétariat de procéder au renouvellement de l’accord avec le Stetson University College of Law et à d’autres renouvellements nécessaires</w:t>
      </w:r>
      <w:r w:rsidR="007B26C2">
        <w:rPr>
          <w:rFonts w:ascii="Calibri" w:hAnsi="Calibri"/>
          <w:sz w:val="22"/>
          <w:szCs w:val="22"/>
          <w:lang w:val="fr-FR"/>
        </w:rPr>
        <w:t>. » En conséquence, d’</w:t>
      </w:r>
      <w:r w:rsidRPr="008C7A56">
        <w:rPr>
          <w:rFonts w:ascii="Calibri" w:hAnsi="Calibri"/>
          <w:sz w:val="22"/>
          <w:szCs w:val="22"/>
          <w:lang w:val="fr-FR"/>
        </w:rPr>
        <w:t xml:space="preserve">autres mémorandums d’accord ont été renouvelés et signés, notamment le mémorandum d’accord avec l’Université </w:t>
      </w:r>
      <w:r w:rsidR="004661E6" w:rsidRPr="008C7A56">
        <w:rPr>
          <w:rFonts w:ascii="Calibri" w:hAnsi="Calibri"/>
          <w:sz w:val="22"/>
          <w:szCs w:val="22"/>
          <w:lang w:val="fr-FR"/>
        </w:rPr>
        <w:t xml:space="preserve">Stetson; </w:t>
      </w:r>
      <w:r w:rsidRPr="008C7A56">
        <w:rPr>
          <w:rFonts w:ascii="Calibri" w:hAnsi="Calibri"/>
          <w:sz w:val="22"/>
          <w:szCs w:val="22"/>
          <w:lang w:val="fr-FR"/>
        </w:rPr>
        <w:t xml:space="preserve">les « dispositions interface » avec </w:t>
      </w:r>
      <w:r w:rsidR="004661E6" w:rsidRPr="008C7A56">
        <w:rPr>
          <w:rFonts w:ascii="Calibri" w:hAnsi="Calibri"/>
          <w:sz w:val="22"/>
          <w:szCs w:val="22"/>
          <w:lang w:val="fr-FR"/>
        </w:rPr>
        <w:t xml:space="preserve">OCHA; </w:t>
      </w:r>
      <w:r w:rsidRPr="008C7A56">
        <w:rPr>
          <w:rFonts w:ascii="Calibri" w:hAnsi="Calibri"/>
          <w:sz w:val="22"/>
          <w:szCs w:val="22"/>
          <w:lang w:val="fr-FR"/>
        </w:rPr>
        <w:t xml:space="preserve">le mémorandum d’accord avec </w:t>
      </w:r>
      <w:r w:rsidR="004661E6" w:rsidRPr="008C7A56">
        <w:rPr>
          <w:rFonts w:ascii="Calibri" w:hAnsi="Calibri"/>
          <w:sz w:val="22"/>
          <w:szCs w:val="22"/>
          <w:lang w:val="fr-FR"/>
        </w:rPr>
        <w:t xml:space="preserve">Danone-Evian; </w:t>
      </w:r>
      <w:r w:rsidR="007B26C2">
        <w:rPr>
          <w:rFonts w:ascii="Calibri" w:hAnsi="Calibri"/>
          <w:sz w:val="22"/>
          <w:szCs w:val="22"/>
          <w:lang w:val="fr-FR"/>
        </w:rPr>
        <w:t xml:space="preserve">et </w:t>
      </w:r>
      <w:r w:rsidRPr="008C7A56">
        <w:rPr>
          <w:rFonts w:ascii="Calibri" w:hAnsi="Calibri"/>
          <w:sz w:val="22"/>
          <w:szCs w:val="22"/>
          <w:lang w:val="fr-FR"/>
        </w:rPr>
        <w:t xml:space="preserve">le mémorandum d’accord avec </w:t>
      </w:r>
      <w:r w:rsidR="004661E6" w:rsidRPr="008C7A56">
        <w:rPr>
          <w:rFonts w:ascii="Calibri" w:hAnsi="Calibri"/>
          <w:sz w:val="22"/>
          <w:szCs w:val="22"/>
          <w:lang w:val="fr-FR"/>
        </w:rPr>
        <w:t>Star Alliance (</w:t>
      </w:r>
      <w:r w:rsidRPr="008C7A56">
        <w:rPr>
          <w:rFonts w:ascii="Calibri" w:hAnsi="Calibri"/>
          <w:sz w:val="22"/>
          <w:szCs w:val="22"/>
          <w:lang w:val="fr-FR"/>
        </w:rPr>
        <w:t>comme indiqué dans le document</w:t>
      </w:r>
      <w:r w:rsidR="004661E6" w:rsidRPr="008C7A56">
        <w:rPr>
          <w:rFonts w:ascii="Calibri" w:hAnsi="Calibri"/>
          <w:sz w:val="22"/>
          <w:szCs w:val="22"/>
          <w:lang w:val="fr-FR"/>
        </w:rPr>
        <w:t xml:space="preserve"> SC 52-16</w:t>
      </w:r>
      <w:r w:rsidR="001E2235">
        <w:rPr>
          <w:rFonts w:ascii="Calibri" w:hAnsi="Calibri"/>
          <w:sz w:val="22"/>
          <w:szCs w:val="22"/>
          <w:lang w:val="fr-FR"/>
        </w:rPr>
        <w:t xml:space="preserve"> Rev.1</w:t>
      </w:r>
      <w:r w:rsidR="004661E6" w:rsidRPr="008C7A56">
        <w:rPr>
          <w:rFonts w:ascii="Calibri" w:hAnsi="Calibri"/>
          <w:sz w:val="22"/>
          <w:szCs w:val="22"/>
          <w:lang w:val="fr-FR"/>
        </w:rPr>
        <w:t>).</w:t>
      </w:r>
    </w:p>
    <w:p w:rsidR="007B26C2" w:rsidRDefault="007B26C2" w:rsidP="007B26C2">
      <w:pPr>
        <w:pStyle w:val="BodyText"/>
        <w:widowControl w:val="0"/>
        <w:spacing w:after="0"/>
        <w:ind w:left="450" w:right="-46"/>
        <w:rPr>
          <w:rFonts w:ascii="Calibri" w:hAnsi="Calibri"/>
          <w:sz w:val="22"/>
          <w:szCs w:val="22"/>
          <w:lang w:val="fr-FR"/>
        </w:rPr>
      </w:pPr>
    </w:p>
    <w:p w:rsidR="007B26C2" w:rsidRDefault="007B26C2" w:rsidP="00507719">
      <w:pPr>
        <w:pStyle w:val="BodyText"/>
        <w:widowControl w:val="0"/>
        <w:numPr>
          <w:ilvl w:val="0"/>
          <w:numId w:val="4"/>
        </w:numPr>
        <w:spacing w:after="0"/>
        <w:ind w:left="450" w:right="-46" w:hanging="450"/>
        <w:rPr>
          <w:rFonts w:ascii="Calibri" w:hAnsi="Calibri"/>
          <w:sz w:val="22"/>
          <w:szCs w:val="22"/>
          <w:lang w:val="fr-FR"/>
        </w:rPr>
      </w:pPr>
      <w:r w:rsidRPr="00060C89">
        <w:rPr>
          <w:rFonts w:ascii="Calibri" w:hAnsi="Calibri"/>
          <w:b/>
          <w:sz w:val="22"/>
          <w:szCs w:val="22"/>
          <w:lang w:val="fr-FR"/>
        </w:rPr>
        <w:t>Dispositions écrites pour le Centre régional Ramsar-Asie de l’Est (RRC-EA).</w:t>
      </w:r>
      <w:r>
        <w:rPr>
          <w:rFonts w:ascii="Calibri" w:hAnsi="Calibri"/>
          <w:sz w:val="22"/>
          <w:szCs w:val="22"/>
          <w:lang w:val="fr-FR"/>
        </w:rPr>
        <w:t xml:space="preserve"> Un accord bilatéral entre le RRC-EA et le Secrétariat de la Convention de Ramsar a été signé le 15 décembre 2015. </w:t>
      </w:r>
      <w:r w:rsidR="00A1054E">
        <w:rPr>
          <w:rFonts w:ascii="Calibri" w:hAnsi="Calibri"/>
          <w:sz w:val="22"/>
          <w:szCs w:val="22"/>
          <w:lang w:val="fr-FR"/>
        </w:rPr>
        <w:t xml:space="preserve">Le texte intégral est joint en annexe au </w:t>
      </w:r>
      <w:r w:rsidR="00060C89">
        <w:rPr>
          <w:rFonts w:ascii="Calibri" w:hAnsi="Calibri"/>
          <w:sz w:val="22"/>
          <w:szCs w:val="22"/>
          <w:lang w:val="fr-FR"/>
        </w:rPr>
        <w:t>document SC52-16</w:t>
      </w:r>
      <w:r w:rsidR="007F438F">
        <w:rPr>
          <w:rFonts w:ascii="Calibri" w:hAnsi="Calibri"/>
          <w:sz w:val="22"/>
          <w:szCs w:val="22"/>
          <w:lang w:val="fr-FR"/>
        </w:rPr>
        <w:t xml:space="preserve"> </w:t>
      </w:r>
      <w:r w:rsidR="001E2235">
        <w:rPr>
          <w:rFonts w:ascii="Calibri" w:hAnsi="Calibri"/>
          <w:sz w:val="22"/>
          <w:szCs w:val="22"/>
          <w:lang w:val="fr-FR"/>
        </w:rPr>
        <w:t>Rev.1</w:t>
      </w:r>
      <w:r w:rsidR="00060C89">
        <w:rPr>
          <w:rFonts w:ascii="Calibri" w:hAnsi="Calibri"/>
          <w:sz w:val="22"/>
          <w:szCs w:val="22"/>
          <w:lang w:val="fr-FR"/>
        </w:rPr>
        <w:t xml:space="preserve">. Cet accord bilatéral a été </w:t>
      </w:r>
      <w:r w:rsidR="00060C89">
        <w:rPr>
          <w:rFonts w:ascii="Calibri" w:hAnsi="Calibri"/>
          <w:sz w:val="22"/>
          <w:szCs w:val="22"/>
          <w:lang w:val="fr-FR"/>
        </w:rPr>
        <w:lastRenderedPageBreak/>
        <w:t xml:space="preserve">accepté par toutes les Parties contractantes participantes d’Asie de l’Est et du Sud-Est. Il ne s’agit pas d’un mémorandum d’accord mais du renouvellement des dispositions selon lesquelles le RRC-EA a été créé en 2010, conformément aux Directives opérationnelles 2009-2012. L’accord a été défini </w:t>
      </w:r>
      <w:r w:rsidR="00507719">
        <w:rPr>
          <w:rFonts w:ascii="Calibri" w:hAnsi="Calibri"/>
          <w:sz w:val="22"/>
          <w:szCs w:val="22"/>
          <w:lang w:val="fr-FR"/>
        </w:rPr>
        <w:t xml:space="preserve">selon </w:t>
      </w:r>
      <w:r w:rsidR="00060C89">
        <w:rPr>
          <w:rFonts w:ascii="Calibri" w:hAnsi="Calibri"/>
          <w:sz w:val="22"/>
          <w:szCs w:val="22"/>
          <w:lang w:val="fr-FR"/>
        </w:rPr>
        <w:t xml:space="preserve">les </w:t>
      </w:r>
      <w:r w:rsidR="00507719">
        <w:rPr>
          <w:rFonts w:ascii="Calibri" w:hAnsi="Calibri"/>
          <w:sz w:val="22"/>
          <w:szCs w:val="22"/>
          <w:lang w:val="fr-FR"/>
        </w:rPr>
        <w:t>« </w:t>
      </w:r>
      <w:r w:rsidR="00507719" w:rsidRPr="00507719">
        <w:rPr>
          <w:rFonts w:ascii="Calibri" w:hAnsi="Calibri"/>
          <w:sz w:val="22"/>
          <w:szCs w:val="22"/>
          <w:lang w:val="fr-FR"/>
        </w:rPr>
        <w:t>Directives opérationnelles 2013-2015 pour les initiatives régionales dans le cadre de la Convention sur les zones humides</w:t>
      </w:r>
      <w:r w:rsidR="00507719">
        <w:rPr>
          <w:rFonts w:ascii="Calibri" w:hAnsi="Calibri"/>
          <w:sz w:val="22"/>
          <w:szCs w:val="22"/>
          <w:lang w:val="fr-FR"/>
        </w:rPr>
        <w:t xml:space="preserve"> », approuvées dans la </w:t>
      </w:r>
      <w:r w:rsidR="00507719" w:rsidRPr="00507719">
        <w:rPr>
          <w:rFonts w:asciiTheme="minorHAnsi" w:hAnsiTheme="minorHAnsi"/>
          <w:sz w:val="22"/>
          <w:szCs w:val="22"/>
          <w:lang w:val="fr-FR"/>
        </w:rPr>
        <w:t>Décision SC46-28</w:t>
      </w:r>
      <w:r w:rsidR="00507719">
        <w:rPr>
          <w:rFonts w:asciiTheme="minorHAnsi" w:hAnsiTheme="minorHAnsi"/>
          <w:sz w:val="22"/>
          <w:szCs w:val="22"/>
          <w:lang w:val="fr-FR"/>
        </w:rPr>
        <w:t>, qui stipulent « </w:t>
      </w:r>
      <w:r w:rsidR="00507719" w:rsidRPr="00507719">
        <w:rPr>
          <w:rFonts w:asciiTheme="minorHAnsi" w:hAnsiTheme="minorHAnsi"/>
          <w:sz w:val="22"/>
          <w:szCs w:val="22"/>
          <w:lang w:val="fr-FR"/>
        </w:rPr>
        <w:t>Les rôles complémentaires des mécanismes de coordination des initiatives régionales et du Secrétariat Ramsar ainsi que leurs responsabilités respectives peuvent être définis dans des arrangements écrits si toutes les Parties contractantes participantes le décident</w:t>
      </w:r>
      <w:r w:rsidR="00507719">
        <w:rPr>
          <w:rFonts w:asciiTheme="minorHAnsi" w:hAnsiTheme="minorHAnsi"/>
          <w:sz w:val="22"/>
          <w:szCs w:val="22"/>
          <w:lang w:val="fr-FR"/>
        </w:rPr>
        <w:t xml:space="preserve">. » Entre-temps, les dispositions d’hébergement du Centre ont fait l’objet d’un accord tripartite signé par le Comité directeur du RRC-EA, le Ministère de l’environnement de la République de Corée et le maire de la ville de Suncheon, le 31 décembre 2015, sans participation du Secrétariat de la Convention de Ramsar.  </w:t>
      </w:r>
    </w:p>
    <w:p w:rsidR="007B26C2" w:rsidRDefault="007B26C2" w:rsidP="007B26C2">
      <w:pPr>
        <w:pStyle w:val="BodyText"/>
        <w:widowControl w:val="0"/>
        <w:spacing w:after="0"/>
        <w:ind w:left="450" w:right="-46"/>
        <w:rPr>
          <w:rFonts w:ascii="Calibri" w:hAnsi="Calibri"/>
          <w:sz w:val="22"/>
          <w:szCs w:val="22"/>
          <w:lang w:val="fr-FR"/>
        </w:rPr>
      </w:pPr>
    </w:p>
    <w:p w:rsidR="00F03B73" w:rsidRPr="008C7A56" w:rsidRDefault="005B0CBD" w:rsidP="00636075">
      <w:pPr>
        <w:pStyle w:val="ListParagraph"/>
        <w:widowControl w:val="0"/>
        <w:numPr>
          <w:ilvl w:val="0"/>
          <w:numId w:val="4"/>
        </w:numPr>
        <w:spacing w:after="0" w:line="240" w:lineRule="auto"/>
        <w:ind w:left="426" w:right="-46" w:hanging="426"/>
        <w:rPr>
          <w:rFonts w:ascii="Calibri" w:eastAsia="Arial Unicode MS" w:hAnsi="Calibri" w:cs="Arial Unicode MS"/>
          <w:kern w:val="1"/>
          <w:lang w:val="fr-FR" w:eastAsia="hi-IN" w:bidi="hi-IN"/>
        </w:rPr>
      </w:pPr>
      <w:r w:rsidRPr="008C7A56">
        <w:rPr>
          <w:rFonts w:ascii="Calibri" w:hAnsi="Calibri"/>
          <w:b/>
          <w:lang w:val="fr-FR"/>
        </w:rPr>
        <w:t xml:space="preserve">Audit </w:t>
      </w:r>
      <w:r w:rsidR="001A5666" w:rsidRPr="008C7A56">
        <w:rPr>
          <w:rFonts w:ascii="Calibri" w:hAnsi="Calibri"/>
          <w:b/>
          <w:lang w:val="fr-FR"/>
        </w:rPr>
        <w:t xml:space="preserve">du </w:t>
      </w:r>
      <w:r w:rsidRPr="008C7A56">
        <w:rPr>
          <w:rFonts w:ascii="Calibri" w:hAnsi="Calibri"/>
          <w:b/>
          <w:lang w:val="fr-FR"/>
        </w:rPr>
        <w:t>budg</w:t>
      </w:r>
      <w:r w:rsidR="001A5666" w:rsidRPr="008C7A56">
        <w:rPr>
          <w:rFonts w:ascii="Calibri" w:hAnsi="Calibri"/>
          <w:b/>
          <w:lang w:val="fr-FR"/>
        </w:rPr>
        <w:t>et</w:t>
      </w:r>
      <w:r w:rsidR="00AC3CE5" w:rsidRPr="008C7A56">
        <w:rPr>
          <w:rFonts w:ascii="Calibri" w:hAnsi="Calibri"/>
          <w:b/>
          <w:lang w:val="fr-FR"/>
        </w:rPr>
        <w:t xml:space="preserve">. </w:t>
      </w:r>
      <w:r w:rsidRPr="008C7A56">
        <w:rPr>
          <w:rFonts w:ascii="Calibri" w:hAnsi="Calibri"/>
          <w:lang w:val="fr-FR"/>
        </w:rPr>
        <w:t xml:space="preserve">Le Secrétariat </w:t>
      </w:r>
      <w:r w:rsidR="00507719">
        <w:rPr>
          <w:rFonts w:ascii="Calibri" w:hAnsi="Calibri"/>
          <w:lang w:val="fr-FR"/>
        </w:rPr>
        <w:t xml:space="preserve">de la Convention de </w:t>
      </w:r>
      <w:r w:rsidRPr="008C7A56">
        <w:rPr>
          <w:rFonts w:ascii="Calibri" w:hAnsi="Calibri"/>
          <w:lang w:val="fr-FR"/>
        </w:rPr>
        <w:t xml:space="preserve">Ramsar participera à l’audit habituel de ses finances, mené par les vérificateurs aux comptes externes </w:t>
      </w:r>
      <w:r w:rsidR="0019027C" w:rsidRPr="008C7A56">
        <w:rPr>
          <w:rFonts w:ascii="Calibri" w:hAnsi="Calibri"/>
          <w:lang w:val="fr-FR"/>
        </w:rPr>
        <w:t xml:space="preserve">PriceWaterhouseCoopers, </w:t>
      </w:r>
      <w:r w:rsidRPr="008C7A56">
        <w:rPr>
          <w:rFonts w:ascii="Calibri" w:hAnsi="Calibri"/>
          <w:lang w:val="fr-FR"/>
        </w:rPr>
        <w:t>e</w:t>
      </w:r>
      <w:r w:rsidR="0019027C" w:rsidRPr="008C7A56">
        <w:rPr>
          <w:rFonts w:ascii="Calibri" w:hAnsi="Calibri"/>
          <w:lang w:val="fr-FR"/>
        </w:rPr>
        <w:t xml:space="preserve">n </w:t>
      </w:r>
      <w:r w:rsidRPr="008C7A56">
        <w:rPr>
          <w:rFonts w:ascii="Calibri" w:hAnsi="Calibri"/>
          <w:lang w:val="fr-FR"/>
        </w:rPr>
        <w:t xml:space="preserve">avril 2016. Actuellement, le Secrétariat est </w:t>
      </w:r>
      <w:r w:rsidR="001A5666" w:rsidRPr="008C7A56">
        <w:rPr>
          <w:rFonts w:ascii="Calibri" w:hAnsi="Calibri"/>
          <w:lang w:val="fr-FR"/>
        </w:rPr>
        <w:t>soumis à</w:t>
      </w:r>
      <w:r w:rsidRPr="008C7A56">
        <w:rPr>
          <w:rFonts w:ascii="Calibri" w:hAnsi="Calibri"/>
          <w:lang w:val="fr-FR"/>
        </w:rPr>
        <w:t xml:space="preserve"> un audit interne, réalisé par l’Unité de surveillance de l’UICN. Il s’agit d’une procédure standard menée chaque fois que le chef d’une unité </w:t>
      </w:r>
      <w:r w:rsidR="001A5666" w:rsidRPr="008C7A56">
        <w:rPr>
          <w:rFonts w:ascii="Calibri" w:hAnsi="Calibri"/>
          <w:lang w:val="fr-FR"/>
        </w:rPr>
        <w:t>quitte</w:t>
      </w:r>
      <w:r w:rsidRPr="008C7A56">
        <w:rPr>
          <w:rFonts w:ascii="Calibri" w:hAnsi="Calibri"/>
          <w:lang w:val="fr-FR"/>
        </w:rPr>
        <w:t xml:space="preserve"> l’UICN. En outre, le budget est en examen constant pour garantir que toute activité ou dépense est étroitement liée avec un point du plan de travail et, en conséquence, que le budget est aligné sur les priorités indiquées dans le Plan stratégique, les Résolutions de la COP12 et les priorités du Comité exécutif. Un rapport intégral sur l’état du budget administratif et non administratif pour 2015 est couvert dans le document </w:t>
      </w:r>
      <w:r w:rsidR="00636075" w:rsidRPr="008C7A56">
        <w:rPr>
          <w:rFonts w:ascii="Calibri" w:eastAsia="Arial Unicode MS" w:hAnsi="Calibri" w:cs="Arial Unicode MS"/>
          <w:kern w:val="1"/>
          <w:lang w:val="fr-FR" w:eastAsia="hi-IN" w:bidi="hi-IN"/>
        </w:rPr>
        <w:t>SC52-18.</w:t>
      </w:r>
    </w:p>
    <w:p w:rsidR="00AC3CE5" w:rsidRPr="008C7A56" w:rsidRDefault="00AC3CE5" w:rsidP="00AC3CE5">
      <w:pPr>
        <w:pStyle w:val="BodyText"/>
        <w:widowControl w:val="0"/>
        <w:spacing w:after="0"/>
        <w:ind w:right="-46"/>
        <w:rPr>
          <w:rFonts w:ascii="Calibri" w:hAnsi="Calibri"/>
          <w:sz w:val="22"/>
          <w:szCs w:val="22"/>
          <w:lang w:val="fr-FR"/>
        </w:rPr>
      </w:pPr>
    </w:p>
    <w:p w:rsidR="00F03B73" w:rsidRPr="008C7A56" w:rsidRDefault="005B0CBD" w:rsidP="001E2235">
      <w:pPr>
        <w:pStyle w:val="ListParagraph"/>
        <w:numPr>
          <w:ilvl w:val="0"/>
          <w:numId w:val="4"/>
        </w:numPr>
        <w:spacing w:after="0" w:line="240" w:lineRule="auto"/>
        <w:ind w:left="425" w:hanging="425"/>
        <w:rPr>
          <w:rFonts w:cs="Arial"/>
          <w:color w:val="000000" w:themeColor="text1"/>
          <w:lang w:val="fr-FR"/>
        </w:rPr>
      </w:pPr>
      <w:r w:rsidRPr="008C7A56">
        <w:rPr>
          <w:rFonts w:ascii="Calibri" w:hAnsi="Calibri"/>
          <w:b/>
          <w:lang w:val="fr-FR"/>
        </w:rPr>
        <w:t>Préparatifs de la 52</w:t>
      </w:r>
      <w:r w:rsidRPr="008C7A56">
        <w:rPr>
          <w:rFonts w:ascii="Calibri" w:hAnsi="Calibri"/>
          <w:b/>
          <w:vertAlign w:val="superscript"/>
          <w:lang w:val="fr-FR"/>
        </w:rPr>
        <w:t>e</w:t>
      </w:r>
      <w:r w:rsidRPr="008C7A56">
        <w:rPr>
          <w:rFonts w:ascii="Calibri" w:hAnsi="Calibri"/>
          <w:b/>
          <w:lang w:val="fr-FR"/>
        </w:rPr>
        <w:t> Réunion du Comité permanent</w:t>
      </w:r>
      <w:r w:rsidR="009B6476" w:rsidRPr="008C7A56">
        <w:rPr>
          <w:rFonts w:ascii="Calibri" w:hAnsi="Calibri"/>
          <w:b/>
          <w:lang w:val="fr-FR"/>
        </w:rPr>
        <w:t xml:space="preserve">. </w:t>
      </w:r>
      <w:r w:rsidRPr="008C7A56">
        <w:rPr>
          <w:rFonts w:ascii="Calibri" w:hAnsi="Calibri"/>
          <w:lang w:val="fr-FR"/>
        </w:rPr>
        <w:t>Les préparatifs de la 52</w:t>
      </w:r>
      <w:r w:rsidRPr="008C7A56">
        <w:rPr>
          <w:rFonts w:ascii="Calibri" w:hAnsi="Calibri"/>
          <w:vertAlign w:val="superscript"/>
          <w:lang w:val="fr-FR"/>
        </w:rPr>
        <w:t>e</w:t>
      </w:r>
      <w:r w:rsidRPr="008C7A56">
        <w:rPr>
          <w:rFonts w:ascii="Calibri" w:hAnsi="Calibri"/>
          <w:lang w:val="fr-FR"/>
        </w:rPr>
        <w:t xml:space="preserve"> Réunion du Comité permanent sont en cours, les salles sont réservées, les contrats préparés pour les interprètes et le </w:t>
      </w:r>
      <w:r w:rsidR="004954A1" w:rsidRPr="008C7A56">
        <w:rPr>
          <w:rFonts w:ascii="Calibri" w:hAnsi="Calibri"/>
          <w:lang w:val="fr-FR"/>
        </w:rPr>
        <w:t>rapporteur</w:t>
      </w:r>
      <w:r w:rsidRPr="008C7A56">
        <w:rPr>
          <w:rFonts w:ascii="Calibri" w:hAnsi="Calibri"/>
          <w:lang w:val="fr-FR"/>
        </w:rPr>
        <w:t>, et tous les documents préparés, garantissant que la présentation et la qualité soient conformes à celles d’autres conventions internationales. La version anglaise de tous les documents sera mise en ligne le 11 mars 2016, c.</w:t>
      </w:r>
      <w:r w:rsidRPr="008C7A56">
        <w:rPr>
          <w:rFonts w:ascii="Calibri" w:hAnsi="Calibri"/>
          <w:lang w:val="fr-FR"/>
        </w:rPr>
        <w:noBreakHyphen/>
        <w:t>à</w:t>
      </w:r>
      <w:r w:rsidRPr="008C7A56">
        <w:rPr>
          <w:rFonts w:ascii="Calibri" w:hAnsi="Calibri"/>
          <w:lang w:val="fr-FR"/>
        </w:rPr>
        <w:noBreakHyphen/>
        <w:t>d. trois mois avant la réunion elle</w:t>
      </w:r>
      <w:r w:rsidRPr="008C7A56">
        <w:rPr>
          <w:rFonts w:ascii="Calibri" w:hAnsi="Calibri"/>
          <w:lang w:val="fr-FR"/>
        </w:rPr>
        <w:noBreakHyphen/>
        <w:t xml:space="preserve">même qui aura lieu du 13 au 17 juin 2016. La version française et la version espagnole seront mises en ligne la semaine suivante pour que l’équipe de traduction ait le temps de faire son travail. </w:t>
      </w:r>
      <w:r w:rsidR="00D44C20" w:rsidRPr="008C7A56">
        <w:rPr>
          <w:rFonts w:ascii="Calibri" w:hAnsi="Calibri"/>
          <w:lang w:val="fr-FR"/>
        </w:rPr>
        <w:t>Le projet d’ordre du jour et de programme pour la 52</w:t>
      </w:r>
      <w:r w:rsidR="00D44C20" w:rsidRPr="008C7A56">
        <w:rPr>
          <w:rFonts w:ascii="Calibri" w:hAnsi="Calibri"/>
          <w:vertAlign w:val="superscript"/>
          <w:lang w:val="fr-FR"/>
        </w:rPr>
        <w:t>e</w:t>
      </w:r>
      <w:r w:rsidR="00D44C20" w:rsidRPr="008C7A56">
        <w:rPr>
          <w:rFonts w:ascii="Calibri" w:hAnsi="Calibri"/>
          <w:lang w:val="fr-FR"/>
        </w:rPr>
        <w:t> Réunion du Comité permanent et la liste des documents ont été approuvés par le Comité exécutif avant d’être mis en ligne</w:t>
      </w:r>
      <w:r w:rsidR="001A5666" w:rsidRPr="008C7A56">
        <w:rPr>
          <w:rFonts w:ascii="Calibri" w:hAnsi="Calibri"/>
          <w:lang w:val="fr-FR"/>
        </w:rPr>
        <w:t>; cela a supposé un travail</w:t>
      </w:r>
      <w:r w:rsidR="00D44C20" w:rsidRPr="008C7A56">
        <w:rPr>
          <w:rFonts w:ascii="Calibri" w:hAnsi="Calibri"/>
          <w:lang w:val="fr-FR"/>
        </w:rPr>
        <w:t xml:space="preserve"> d’identification des </w:t>
      </w:r>
      <w:r w:rsidR="007F3BB8" w:rsidRPr="008C7A56">
        <w:rPr>
          <w:rFonts w:ascii="Calibri" w:hAnsi="Calibri"/>
          <w:lang w:val="fr-FR"/>
        </w:rPr>
        <w:t>conflits éventuels entre les</w:t>
      </w:r>
      <w:r w:rsidR="00D44C20" w:rsidRPr="008C7A56">
        <w:rPr>
          <w:rFonts w:ascii="Calibri" w:hAnsi="Calibri"/>
          <w:lang w:val="fr-FR"/>
        </w:rPr>
        <w:t xml:space="preserve"> </w:t>
      </w:r>
      <w:r w:rsidR="007F3BB8" w:rsidRPr="008C7A56">
        <w:rPr>
          <w:rFonts w:ascii="Calibri" w:hAnsi="Calibri"/>
          <w:lang w:val="fr-FR"/>
        </w:rPr>
        <w:t xml:space="preserve">réunions des </w:t>
      </w:r>
      <w:r w:rsidR="00D44C20" w:rsidRPr="008C7A56">
        <w:rPr>
          <w:rFonts w:ascii="Calibri" w:hAnsi="Calibri"/>
          <w:lang w:val="fr-FR"/>
        </w:rPr>
        <w:t>groupes de travail et sous</w:t>
      </w:r>
      <w:r w:rsidR="00D44C20" w:rsidRPr="008C7A56">
        <w:rPr>
          <w:rFonts w:ascii="Calibri" w:hAnsi="Calibri"/>
          <w:lang w:val="fr-FR"/>
        </w:rPr>
        <w:noBreakHyphen/>
        <w:t xml:space="preserve">groupes de travail du Comité permanent et la révision du programme de ces groupes pour éviter </w:t>
      </w:r>
      <w:r w:rsidR="007F3BB8" w:rsidRPr="008C7A56">
        <w:rPr>
          <w:rFonts w:ascii="Calibri" w:hAnsi="Calibri"/>
          <w:lang w:val="fr-FR"/>
        </w:rPr>
        <w:t>ces conflits</w:t>
      </w:r>
      <w:r w:rsidR="00D44C20" w:rsidRPr="008C7A56">
        <w:rPr>
          <w:rFonts w:ascii="Calibri" w:hAnsi="Calibri"/>
          <w:lang w:val="fr-FR"/>
        </w:rPr>
        <w:t xml:space="preserve">. Un processus permettant aux Parties d’examiner les documents du Comité permanent a été soumis pour examen au Comité exécutif et, après révision approfondie, </w:t>
      </w:r>
      <w:r w:rsidR="004954A1" w:rsidRPr="008C7A56">
        <w:rPr>
          <w:rFonts w:ascii="Calibri" w:hAnsi="Calibri"/>
          <w:lang w:val="fr-FR"/>
        </w:rPr>
        <w:t>a été communiqué au Groupe de travail sur l’amélioration des instruments de gestion</w:t>
      </w:r>
      <w:r w:rsidR="00AA6047" w:rsidRPr="008C7A56">
        <w:rPr>
          <w:rFonts w:cs="Arial"/>
          <w:color w:val="000000" w:themeColor="text1"/>
          <w:lang w:val="fr-FR"/>
        </w:rPr>
        <w:t>.</w:t>
      </w:r>
    </w:p>
    <w:p w:rsidR="006208A6" w:rsidRPr="008C7A56" w:rsidRDefault="006208A6" w:rsidP="00AC3CE5">
      <w:pPr>
        <w:pStyle w:val="BodyText"/>
        <w:widowControl w:val="0"/>
        <w:spacing w:after="0"/>
        <w:ind w:left="426" w:right="-46"/>
        <w:rPr>
          <w:rFonts w:ascii="Calibri" w:hAnsi="Calibri"/>
          <w:sz w:val="22"/>
          <w:szCs w:val="22"/>
          <w:lang w:val="fr-FR"/>
        </w:rPr>
      </w:pPr>
    </w:p>
    <w:p w:rsidR="009B6476" w:rsidRPr="008C7A56" w:rsidRDefault="00D44C20" w:rsidP="009B6476">
      <w:pPr>
        <w:pStyle w:val="ListParagraph"/>
        <w:numPr>
          <w:ilvl w:val="0"/>
          <w:numId w:val="4"/>
        </w:numPr>
        <w:spacing w:after="0" w:line="240" w:lineRule="auto"/>
        <w:ind w:left="426" w:hanging="426"/>
        <w:contextualSpacing w:val="0"/>
        <w:rPr>
          <w:rFonts w:cs="Arial"/>
          <w:lang w:val="fr-FR"/>
        </w:rPr>
      </w:pPr>
      <w:r w:rsidRPr="008C7A56">
        <w:rPr>
          <w:rFonts w:cs="Arial"/>
          <w:b/>
          <w:lang w:val="fr-FR"/>
        </w:rPr>
        <w:t>Mise en œuvre de la page web fonctionnelle et du SISR</w:t>
      </w:r>
      <w:r w:rsidR="009B6476" w:rsidRPr="008C7A56">
        <w:rPr>
          <w:rFonts w:cs="Arial"/>
          <w:b/>
          <w:lang w:val="fr-FR"/>
        </w:rPr>
        <w:t xml:space="preserve">. </w:t>
      </w:r>
      <w:r w:rsidRPr="008C7A56">
        <w:rPr>
          <w:rFonts w:cs="Arial"/>
          <w:lang w:val="fr-FR"/>
        </w:rPr>
        <w:t>La</w:t>
      </w:r>
      <w:r w:rsidR="009B6476" w:rsidRPr="008C7A56">
        <w:rPr>
          <w:rFonts w:cs="Arial"/>
          <w:lang w:val="fr-FR"/>
        </w:rPr>
        <w:t xml:space="preserve"> structure </w:t>
      </w:r>
      <w:r w:rsidRPr="008C7A56">
        <w:rPr>
          <w:rFonts w:cs="Arial"/>
          <w:lang w:val="fr-FR"/>
        </w:rPr>
        <w:t xml:space="preserve">du nouveau site web contient maintenant tous les articles de l’ancien site web. Le menu de la bibliothèque et la fonction de recherche ont été restructurés et optimisés en </w:t>
      </w:r>
      <w:r w:rsidR="007F3BB8" w:rsidRPr="008C7A56">
        <w:rPr>
          <w:rFonts w:cs="Arial"/>
          <w:lang w:val="fr-FR"/>
        </w:rPr>
        <w:t>tenant compte des</w:t>
      </w:r>
      <w:r w:rsidRPr="008C7A56">
        <w:rPr>
          <w:rFonts w:cs="Arial"/>
          <w:lang w:val="fr-FR"/>
        </w:rPr>
        <w:t xml:space="preserve"> commentaires des Parties et des Conseillers régionaux principaux. L’expert du moteur de recherche a donné son avis sur « l’optimisation » du fonctionnement de recherche sans coût supplémentaire. La présentation des hyperliens a été modifiée pour qu’ils soient plus visibles sur les pages web. Des titres de </w:t>
      </w:r>
      <w:r w:rsidR="0019412B" w:rsidRPr="008C7A56">
        <w:rPr>
          <w:rFonts w:cs="Arial"/>
          <w:lang w:val="fr-FR"/>
        </w:rPr>
        <w:t>sélection</w:t>
      </w:r>
      <w:r w:rsidRPr="008C7A56">
        <w:rPr>
          <w:rFonts w:cs="Arial"/>
          <w:lang w:val="fr-FR"/>
        </w:rPr>
        <w:t xml:space="preserve"> ont été ajoutés aux documents de la bibliothèque pour 549 notes diplomatiques, plus de 500 résolutions, plus de 600 documents de la COP et du Comité permanent afin de faciliter la recherche </w:t>
      </w:r>
      <w:r w:rsidR="007F3BB8" w:rsidRPr="008C7A56">
        <w:rPr>
          <w:rFonts w:cs="Arial"/>
          <w:lang w:val="fr-FR"/>
        </w:rPr>
        <w:t>des</w:t>
      </w:r>
      <w:r w:rsidRPr="008C7A56">
        <w:rPr>
          <w:rFonts w:cs="Arial"/>
          <w:lang w:val="fr-FR"/>
        </w:rPr>
        <w:t xml:space="preserve"> documents.</w:t>
      </w:r>
    </w:p>
    <w:p w:rsidR="009B6476" w:rsidRPr="008C7A56" w:rsidRDefault="009B6476" w:rsidP="009B6476">
      <w:pPr>
        <w:pStyle w:val="ListParagraph"/>
        <w:rPr>
          <w:rFonts w:cs="Arial"/>
          <w:lang w:val="fr-FR"/>
        </w:rPr>
      </w:pPr>
    </w:p>
    <w:p w:rsidR="008A5191" w:rsidRPr="008C7A56" w:rsidRDefault="00D44C20" w:rsidP="008A5191">
      <w:pPr>
        <w:pStyle w:val="ListParagraph"/>
        <w:numPr>
          <w:ilvl w:val="0"/>
          <w:numId w:val="4"/>
        </w:numPr>
        <w:spacing w:after="0" w:line="240" w:lineRule="auto"/>
        <w:ind w:left="426" w:hanging="426"/>
        <w:contextualSpacing w:val="0"/>
        <w:rPr>
          <w:rFonts w:cs="Arial"/>
          <w:lang w:val="fr-FR"/>
        </w:rPr>
      </w:pPr>
      <w:r w:rsidRPr="008C7A56">
        <w:rPr>
          <w:rFonts w:cs="Arial"/>
          <w:b/>
          <w:lang w:val="fr-FR"/>
        </w:rPr>
        <w:t xml:space="preserve">Mise en œuvre de la page web fonctionnelle et du SISR (suite). </w:t>
      </w:r>
      <w:r w:rsidRPr="008C7A56">
        <w:rPr>
          <w:rFonts w:cs="Arial"/>
          <w:lang w:val="fr-FR"/>
        </w:rPr>
        <w:t xml:space="preserve">Le matériel pour la Journée mondiale </w:t>
      </w:r>
      <w:r w:rsidR="004954A1" w:rsidRPr="008C7A56">
        <w:rPr>
          <w:rFonts w:cs="Arial"/>
          <w:lang w:val="fr-FR"/>
        </w:rPr>
        <w:t>des zones humides</w:t>
      </w:r>
      <w:r w:rsidRPr="008C7A56">
        <w:rPr>
          <w:rFonts w:cs="Arial"/>
          <w:lang w:val="fr-FR"/>
        </w:rPr>
        <w:t xml:space="preserve"> pour</w:t>
      </w:r>
      <w:r w:rsidR="009B6476" w:rsidRPr="008C7A56">
        <w:rPr>
          <w:rFonts w:cs="Arial"/>
          <w:color w:val="000000" w:themeColor="text1"/>
          <w:lang w:val="fr-FR"/>
        </w:rPr>
        <w:t xml:space="preserve"> 2001-2014</w:t>
      </w:r>
      <w:r w:rsidRPr="008C7A56">
        <w:rPr>
          <w:rFonts w:cs="Arial"/>
          <w:color w:val="000000" w:themeColor="text1"/>
          <w:lang w:val="fr-FR"/>
        </w:rPr>
        <w:t xml:space="preserve"> a été ajouté </w:t>
      </w:r>
      <w:r w:rsidR="009B6476" w:rsidRPr="008C7A56">
        <w:rPr>
          <w:rFonts w:cs="Arial"/>
          <w:color w:val="000000" w:themeColor="text1"/>
          <w:lang w:val="fr-FR"/>
        </w:rPr>
        <w:t>(</w:t>
      </w:r>
      <w:r w:rsidRPr="008C7A56">
        <w:rPr>
          <w:rFonts w:cs="Arial"/>
          <w:color w:val="000000" w:themeColor="text1"/>
          <w:lang w:val="fr-FR"/>
        </w:rPr>
        <w:t>plus de</w:t>
      </w:r>
      <w:r w:rsidR="009B6476" w:rsidRPr="008C7A56">
        <w:rPr>
          <w:rFonts w:cs="Arial"/>
          <w:color w:val="000000" w:themeColor="text1"/>
          <w:lang w:val="fr-FR"/>
        </w:rPr>
        <w:t xml:space="preserve"> 800</w:t>
      </w:r>
      <w:r w:rsidRPr="008C7A56">
        <w:rPr>
          <w:rFonts w:cs="Arial"/>
          <w:color w:val="000000" w:themeColor="text1"/>
          <w:lang w:val="fr-FR"/>
        </w:rPr>
        <w:t> articles</w:t>
      </w:r>
      <w:r w:rsidR="009B6476" w:rsidRPr="008C7A56">
        <w:rPr>
          <w:rFonts w:cs="Arial"/>
          <w:color w:val="000000" w:themeColor="text1"/>
          <w:lang w:val="fr-FR"/>
        </w:rPr>
        <w:t xml:space="preserve">). </w:t>
      </w:r>
      <w:r w:rsidRPr="008C7A56">
        <w:rPr>
          <w:rFonts w:cs="Arial"/>
          <w:color w:val="000000" w:themeColor="text1"/>
          <w:lang w:val="fr-FR"/>
        </w:rPr>
        <w:t xml:space="preserve">Les liens </w:t>
      </w:r>
      <w:r w:rsidRPr="008C7A56">
        <w:rPr>
          <w:rFonts w:cs="Arial"/>
          <w:color w:val="000000" w:themeColor="text1"/>
          <w:lang w:val="fr-FR"/>
        </w:rPr>
        <w:lastRenderedPageBreak/>
        <w:t xml:space="preserve">rompus ont été </w:t>
      </w:r>
      <w:r w:rsidR="007F3BB8" w:rsidRPr="008C7A56">
        <w:rPr>
          <w:rFonts w:cs="Arial"/>
          <w:color w:val="000000" w:themeColor="text1"/>
          <w:lang w:val="fr-FR"/>
        </w:rPr>
        <w:t>réparés</w:t>
      </w:r>
      <w:r w:rsidRPr="008C7A56">
        <w:rPr>
          <w:rFonts w:cs="Arial"/>
          <w:color w:val="000000" w:themeColor="text1"/>
          <w:lang w:val="fr-FR"/>
        </w:rPr>
        <w:t>. Des ressources de la bibliothèque sur l’utilisation rationnelle ont été téléchargées. Plus de</w:t>
      </w:r>
      <w:r w:rsidR="009C09EE" w:rsidRPr="008C7A56">
        <w:rPr>
          <w:rFonts w:cs="Arial"/>
          <w:color w:val="000000" w:themeColor="text1"/>
          <w:lang w:val="fr-FR"/>
        </w:rPr>
        <w:t xml:space="preserve"> </w:t>
      </w:r>
      <w:r w:rsidR="00636075" w:rsidRPr="008C7A56">
        <w:rPr>
          <w:rFonts w:cs="Arial"/>
          <w:color w:val="000000" w:themeColor="text1"/>
          <w:lang w:val="fr-FR"/>
        </w:rPr>
        <w:t>1300</w:t>
      </w:r>
      <w:r w:rsidRPr="008C7A56">
        <w:rPr>
          <w:rFonts w:cs="Arial"/>
          <w:color w:val="000000" w:themeColor="text1"/>
          <w:lang w:val="fr-FR"/>
        </w:rPr>
        <w:t> nouveaux articles ont été importés de l’ancien site web. Environ 100 documents du GEST ont été ajoutés à la bibliothèque</w:t>
      </w:r>
      <w:r w:rsidR="004954A1" w:rsidRPr="008C7A56">
        <w:rPr>
          <w:rFonts w:cs="Arial"/>
          <w:color w:val="000000" w:themeColor="text1"/>
          <w:lang w:val="fr-FR"/>
        </w:rPr>
        <w:t xml:space="preserve"> et le GEST poursuit l’intégration d’autre matériel. Le Réseau culturel Ramsar a été ajouté</w:t>
      </w:r>
      <w:r w:rsidRPr="008C7A56">
        <w:rPr>
          <w:rFonts w:cs="Arial"/>
          <w:color w:val="000000" w:themeColor="text1"/>
          <w:lang w:val="fr-FR"/>
        </w:rPr>
        <w:t xml:space="preserve">. </w:t>
      </w:r>
      <w:r w:rsidR="004954A1" w:rsidRPr="008C7A56">
        <w:rPr>
          <w:rFonts w:cs="Arial"/>
          <w:color w:val="000000" w:themeColor="text1"/>
          <w:lang w:val="fr-FR"/>
        </w:rPr>
        <w:t>En tout, o</w:t>
      </w:r>
      <w:r w:rsidRPr="008C7A56">
        <w:rPr>
          <w:rFonts w:cs="Arial"/>
          <w:color w:val="000000" w:themeColor="text1"/>
          <w:lang w:val="fr-FR"/>
        </w:rPr>
        <w:t xml:space="preserve">nze pages web supplémentaires ont été </w:t>
      </w:r>
      <w:r w:rsidR="004954A1" w:rsidRPr="008C7A56">
        <w:rPr>
          <w:rFonts w:cs="Arial"/>
          <w:color w:val="000000" w:themeColor="text1"/>
          <w:lang w:val="fr-FR"/>
        </w:rPr>
        <w:t>intégrées</w:t>
      </w:r>
      <w:r w:rsidRPr="008C7A56">
        <w:rPr>
          <w:rFonts w:cs="Arial"/>
          <w:color w:val="000000" w:themeColor="text1"/>
          <w:lang w:val="fr-FR"/>
        </w:rPr>
        <w:t xml:space="preserve"> dans les trois langues. D’autres mesures sont en cours sur le site web de Ramsar et une enquête de satisfaction des usage</w:t>
      </w:r>
      <w:r w:rsidR="0090354D" w:rsidRPr="008C7A56">
        <w:rPr>
          <w:rFonts w:cs="Arial"/>
          <w:color w:val="000000" w:themeColor="text1"/>
          <w:lang w:val="fr-FR"/>
        </w:rPr>
        <w:t>r</w:t>
      </w:r>
      <w:r w:rsidRPr="008C7A56">
        <w:rPr>
          <w:rFonts w:cs="Arial"/>
          <w:color w:val="000000" w:themeColor="text1"/>
          <w:lang w:val="fr-FR"/>
        </w:rPr>
        <w:t xml:space="preserve">s aura lieu pour vérifier l’amélioration du site web. </w:t>
      </w:r>
      <w:r w:rsidR="00636075" w:rsidRPr="008C7A56">
        <w:rPr>
          <w:rFonts w:cs="Arial"/>
          <w:color w:val="000000" w:themeColor="text1"/>
          <w:lang w:val="fr-FR"/>
        </w:rPr>
        <w:t xml:space="preserve"> </w:t>
      </w:r>
      <w:r w:rsidR="009B6476" w:rsidRPr="008C7A56">
        <w:rPr>
          <w:rFonts w:cs="Arial"/>
          <w:color w:val="000000" w:themeColor="text1"/>
          <w:lang w:val="fr-FR"/>
        </w:rPr>
        <w:t xml:space="preserve">  </w:t>
      </w:r>
    </w:p>
    <w:p w:rsidR="008A5191" w:rsidRPr="008C7A56" w:rsidRDefault="008A5191" w:rsidP="008A5191">
      <w:pPr>
        <w:pStyle w:val="ListParagraph"/>
        <w:rPr>
          <w:rFonts w:cs="Arial"/>
          <w:b/>
          <w:lang w:val="fr-FR"/>
        </w:rPr>
      </w:pPr>
    </w:p>
    <w:p w:rsidR="008A5191" w:rsidRPr="008C7A56" w:rsidRDefault="00194FEA" w:rsidP="008A5191">
      <w:pPr>
        <w:pStyle w:val="ListParagraph"/>
        <w:numPr>
          <w:ilvl w:val="0"/>
          <w:numId w:val="4"/>
        </w:numPr>
        <w:spacing w:after="0" w:line="240" w:lineRule="auto"/>
        <w:ind w:left="426" w:hanging="426"/>
        <w:contextualSpacing w:val="0"/>
        <w:rPr>
          <w:rFonts w:cs="Arial"/>
          <w:lang w:val="fr-FR"/>
        </w:rPr>
      </w:pPr>
      <w:r w:rsidRPr="008C7A56">
        <w:rPr>
          <w:rFonts w:cs="Arial"/>
          <w:b/>
          <w:lang w:val="fr-FR"/>
        </w:rPr>
        <w:t xml:space="preserve">Mise en œuvre de la page web fonctionnelle et du SISR (suite). </w:t>
      </w:r>
      <w:r w:rsidR="007F3BB8" w:rsidRPr="008C7A56">
        <w:rPr>
          <w:rFonts w:cs="Arial"/>
          <w:lang w:val="fr-FR"/>
        </w:rPr>
        <w:t>Po</w:t>
      </w:r>
      <w:r w:rsidRPr="008C7A56">
        <w:rPr>
          <w:rFonts w:cs="Arial"/>
          <w:lang w:val="fr-FR"/>
        </w:rPr>
        <w:t xml:space="preserve">ur le SISR, les mesures prioritaires ont été de télécharger des informations non transférées lors de la migration de la précédente plateforme afin d’ajouter des cartes manquantes et de mettre en évidence les sites transfrontières. Sur les 479 cartes manquantes, toutes les cartes imprimées existantes de bonne qualité (391) ont été scannées dans le système grâce à un </w:t>
      </w:r>
      <w:r w:rsidR="007F3BB8" w:rsidRPr="008C7A56">
        <w:rPr>
          <w:rFonts w:cs="Arial"/>
          <w:lang w:val="fr-FR"/>
        </w:rPr>
        <w:t>scanneur</w:t>
      </w:r>
      <w:r w:rsidRPr="008C7A56">
        <w:rPr>
          <w:rFonts w:cs="Arial"/>
          <w:lang w:val="fr-FR"/>
        </w:rPr>
        <w:t xml:space="preserve"> surdimensionné pour les très grandes cartes imprimées. Des travaux sont en cours avec les Conseillers régionaux</w:t>
      </w:r>
      <w:r w:rsidR="009C09EE" w:rsidRPr="008C7A56">
        <w:rPr>
          <w:rFonts w:cs="Arial"/>
          <w:lang w:val="fr-FR"/>
        </w:rPr>
        <w:t xml:space="preserve"> </w:t>
      </w:r>
      <w:r w:rsidRPr="008C7A56">
        <w:rPr>
          <w:rFonts w:cs="Arial"/>
          <w:lang w:val="fr-FR"/>
        </w:rPr>
        <w:t xml:space="preserve">principaux et leurs assistants pour obtenir les cartes manquantes (27) ou pour améliorer les cartes de mauvaise qualité (61). Afin de faciliter le processus de mise à jour du site par les Parties, trois vidéos de formation ont été préparées, présentant des exemples en temps réel d’utilisation du SISR. Les Sites Ramsar transfrontières ont été mis en valeur sur le SISR </w:t>
      </w:r>
      <w:r w:rsidR="007F3BB8" w:rsidRPr="008C7A56">
        <w:rPr>
          <w:rFonts w:cs="Arial"/>
          <w:lang w:val="fr-FR"/>
        </w:rPr>
        <w:t>mais aussi</w:t>
      </w:r>
      <w:r w:rsidRPr="008C7A56">
        <w:rPr>
          <w:rFonts w:cs="Arial"/>
          <w:lang w:val="fr-FR"/>
        </w:rPr>
        <w:t xml:space="preserve"> sur la page d’accueil de Ramsar et les fonctions de recherche. Pour les informations qui manquent sur les sites, </w:t>
      </w:r>
      <w:r w:rsidRPr="008C7A56">
        <w:rPr>
          <w:rFonts w:cs="Arial"/>
          <w:color w:val="000000" w:themeColor="text1"/>
          <w:lang w:val="fr-FR"/>
        </w:rPr>
        <w:t xml:space="preserve">qui n’ont pas été transférées lors de la migration de la précédente plateforme (y compris les listes d’espèces), les Parties sont actuellement contactées pour indiquer si le Secrétariat peut intégrer les données des Fiches descriptives Ramsar existantes lorsque les données sont localisées. Ces données devront être transférées manuellement dans le SISR et il est prévu de former des étudiants pour faire ce travail en été. Il ne s’agit pas d’une mise à jour et toutes les données devront être doublement vérifiées avant d’être téléchargées. </w:t>
      </w:r>
    </w:p>
    <w:p w:rsidR="008A5191" w:rsidRPr="008C7A56" w:rsidRDefault="008A5191" w:rsidP="008A5191">
      <w:pPr>
        <w:spacing w:after="0" w:line="240" w:lineRule="auto"/>
        <w:rPr>
          <w:rFonts w:cs="Arial"/>
          <w:lang w:val="fr-FR"/>
        </w:rPr>
      </w:pPr>
    </w:p>
    <w:p w:rsidR="0080541F" w:rsidRPr="008C7A56" w:rsidRDefault="00194FEA" w:rsidP="00C12BE1">
      <w:pPr>
        <w:pStyle w:val="ListParagraph"/>
        <w:numPr>
          <w:ilvl w:val="0"/>
          <w:numId w:val="4"/>
        </w:numPr>
        <w:spacing w:line="240" w:lineRule="auto"/>
        <w:ind w:left="426" w:hanging="426"/>
        <w:rPr>
          <w:rFonts w:ascii="Calibri" w:eastAsia="Arial Unicode MS" w:hAnsi="Calibri" w:cs="Arial Unicode MS"/>
          <w:kern w:val="1"/>
          <w:lang w:val="fr-FR" w:eastAsia="hi-IN" w:bidi="hi-IN"/>
        </w:rPr>
      </w:pPr>
      <w:r w:rsidRPr="008C7A56">
        <w:rPr>
          <w:rFonts w:ascii="Calibri" w:hAnsi="Calibri"/>
          <w:b/>
          <w:lang w:val="fr-FR"/>
        </w:rPr>
        <w:t>Examen des contrats de consulta</w:t>
      </w:r>
      <w:r w:rsidR="004A2F4D" w:rsidRPr="008C7A56">
        <w:rPr>
          <w:rFonts w:ascii="Calibri" w:hAnsi="Calibri"/>
          <w:b/>
          <w:lang w:val="fr-FR"/>
        </w:rPr>
        <w:t>nts</w:t>
      </w:r>
      <w:r w:rsidR="0080541F" w:rsidRPr="008C7A56">
        <w:rPr>
          <w:rFonts w:ascii="Calibri" w:hAnsi="Calibri"/>
          <w:b/>
          <w:lang w:val="fr-FR"/>
        </w:rPr>
        <w:t>.</w:t>
      </w:r>
      <w:r w:rsidRPr="008C7A56">
        <w:rPr>
          <w:rFonts w:ascii="Calibri" w:hAnsi="Calibri"/>
          <w:lang w:val="fr-FR"/>
        </w:rPr>
        <w:t xml:space="preserve"> </w:t>
      </w:r>
      <w:r w:rsidRPr="008C7A56">
        <w:rPr>
          <w:rFonts w:cs="Arial"/>
          <w:lang w:val="fr-FR"/>
        </w:rPr>
        <w:t>Tous les contrats, actuels et futurs, ont été examinés et la présentation des contrats elle-même a été révisée avec l’avis de l’UICN. L</w:t>
      </w:r>
      <w:r w:rsidR="00163752" w:rsidRPr="008C7A56">
        <w:rPr>
          <w:rFonts w:cs="Arial"/>
          <w:lang w:val="fr-FR"/>
        </w:rPr>
        <w:t xml:space="preserve">a majorité du personnel de Ramsar a assisté aux </w:t>
      </w:r>
      <w:r w:rsidRPr="008C7A56">
        <w:rPr>
          <w:rFonts w:cs="Arial"/>
          <w:lang w:val="fr-FR"/>
        </w:rPr>
        <w:t xml:space="preserve">séances de formation </w:t>
      </w:r>
      <w:r w:rsidR="00163752" w:rsidRPr="008C7A56">
        <w:rPr>
          <w:rFonts w:cs="Arial"/>
          <w:lang w:val="fr-FR"/>
        </w:rPr>
        <w:t>de l’UICN et le reste du personnel assistera à une séance de formation plus tard en mars 2016. L’annexe 2 contient un tableau des contrats de consulta</w:t>
      </w:r>
      <w:r w:rsidR="004A2F4D" w:rsidRPr="008C7A56">
        <w:rPr>
          <w:rFonts w:cs="Arial"/>
          <w:lang w:val="fr-FR"/>
        </w:rPr>
        <w:t>nts</w:t>
      </w:r>
      <w:r w:rsidR="00163752" w:rsidRPr="008C7A56">
        <w:rPr>
          <w:rFonts w:cs="Arial"/>
          <w:lang w:val="fr-FR"/>
        </w:rPr>
        <w:t xml:space="preserve"> au 31 décembre 2015</w:t>
      </w:r>
      <w:r w:rsidR="004954A1" w:rsidRPr="008C7A56">
        <w:rPr>
          <w:rFonts w:cs="Arial"/>
          <w:lang w:val="fr-FR"/>
        </w:rPr>
        <w:t xml:space="preserve"> qui met à jour le tableau précédent contenu dans le document SC51-18 Annexe 4 </w:t>
      </w:r>
      <w:r w:rsidR="00163752" w:rsidRPr="008C7A56">
        <w:rPr>
          <w:rFonts w:cs="Arial"/>
          <w:lang w:val="fr-FR"/>
        </w:rPr>
        <w:t>. Tous les contrats de consulta</w:t>
      </w:r>
      <w:r w:rsidR="004A2F4D" w:rsidRPr="008C7A56">
        <w:rPr>
          <w:rFonts w:cs="Arial"/>
          <w:lang w:val="fr-FR"/>
        </w:rPr>
        <w:t>nts</w:t>
      </w:r>
      <w:r w:rsidR="00163752" w:rsidRPr="008C7A56">
        <w:rPr>
          <w:rFonts w:cs="Arial"/>
          <w:lang w:val="fr-FR"/>
        </w:rPr>
        <w:t xml:space="preserve"> précédents sont maintenant clôturés, à l’exception de deux projets ouverts, tous deux payés avec des fonds non administratifs. Le premier contrat ouvert consiste à soutenir trois projets de restauration de zones humides en cours, selon un accord avec </w:t>
      </w:r>
      <w:r w:rsidR="0080541F" w:rsidRPr="008C7A56">
        <w:rPr>
          <w:rFonts w:ascii="Calibri" w:hAnsi="Calibri"/>
          <w:lang w:val="fr-FR"/>
        </w:rPr>
        <w:t xml:space="preserve">NORAD, </w:t>
      </w:r>
      <w:r w:rsidR="00163752" w:rsidRPr="008C7A56">
        <w:rPr>
          <w:rFonts w:ascii="Calibri" w:hAnsi="Calibri"/>
          <w:lang w:val="fr-FR"/>
        </w:rPr>
        <w:t xml:space="preserve">et le deuxième consiste à soutenir le Réseau culturel Ramsar, dans le cadre d’un accord avec la Fondation </w:t>
      </w:r>
      <w:r w:rsidR="0080541F" w:rsidRPr="008C7A56">
        <w:rPr>
          <w:rFonts w:ascii="Calibri" w:hAnsi="Calibri"/>
          <w:lang w:val="fr-FR"/>
        </w:rPr>
        <w:t>MAVA.</w:t>
      </w:r>
      <w:r w:rsidR="003507B8" w:rsidRPr="008C7A56">
        <w:rPr>
          <w:rFonts w:ascii="Calibri" w:hAnsi="Calibri"/>
          <w:lang w:val="fr-FR"/>
        </w:rPr>
        <w:t xml:space="preserve"> </w:t>
      </w:r>
      <w:r w:rsidR="00163752" w:rsidRPr="008C7A56">
        <w:rPr>
          <w:rFonts w:ascii="Calibri" w:hAnsi="Calibri"/>
          <w:lang w:val="fr-FR"/>
        </w:rPr>
        <w:t xml:space="preserve">À ce jour, en 2016, </w:t>
      </w:r>
      <w:r w:rsidR="00960F63" w:rsidRPr="008C7A56">
        <w:rPr>
          <w:rFonts w:ascii="Calibri" w:hAnsi="Calibri"/>
          <w:lang w:val="fr-FR"/>
        </w:rPr>
        <w:t>de nouveaux contrats de consulta</w:t>
      </w:r>
      <w:r w:rsidR="004A2F4D" w:rsidRPr="008C7A56">
        <w:rPr>
          <w:rFonts w:ascii="Calibri" w:hAnsi="Calibri"/>
          <w:lang w:val="fr-FR"/>
        </w:rPr>
        <w:t>nts</w:t>
      </w:r>
      <w:r w:rsidR="00960F63" w:rsidRPr="008C7A56">
        <w:rPr>
          <w:rFonts w:ascii="Calibri" w:hAnsi="Calibri"/>
          <w:lang w:val="fr-FR"/>
        </w:rPr>
        <w:t xml:space="preserve"> ont été rédigés pour les interprètes qui travailleront à la 52</w:t>
      </w:r>
      <w:r w:rsidR="00960F63" w:rsidRPr="008C7A56">
        <w:rPr>
          <w:rFonts w:ascii="Calibri" w:hAnsi="Calibri"/>
          <w:vertAlign w:val="superscript"/>
          <w:lang w:val="fr-FR"/>
        </w:rPr>
        <w:t>e</w:t>
      </w:r>
      <w:r w:rsidR="00960F63" w:rsidRPr="008C7A56">
        <w:rPr>
          <w:rFonts w:ascii="Calibri" w:hAnsi="Calibri"/>
          <w:lang w:val="fr-FR"/>
        </w:rPr>
        <w:t> Réunion du Comité permanent, le rapporteur de la 52</w:t>
      </w:r>
      <w:r w:rsidR="00960F63" w:rsidRPr="008C7A56">
        <w:rPr>
          <w:rFonts w:ascii="Calibri" w:hAnsi="Calibri"/>
          <w:vertAlign w:val="superscript"/>
          <w:lang w:val="fr-FR"/>
        </w:rPr>
        <w:t>e</w:t>
      </w:r>
      <w:r w:rsidR="00960F63" w:rsidRPr="008C7A56">
        <w:rPr>
          <w:rFonts w:ascii="Calibri" w:hAnsi="Calibri"/>
          <w:lang w:val="fr-FR"/>
        </w:rPr>
        <w:t> Réunion du Comité permanent, un designer pour la publication du Manuel de la Convention de Ramsar mis à jour et du 4</w:t>
      </w:r>
      <w:r w:rsidR="00960F63" w:rsidRPr="008C7A56">
        <w:rPr>
          <w:rFonts w:ascii="Calibri" w:hAnsi="Calibri"/>
          <w:vertAlign w:val="superscript"/>
          <w:lang w:val="fr-FR"/>
        </w:rPr>
        <w:t>e</w:t>
      </w:r>
      <w:r w:rsidR="00960F63" w:rsidRPr="008C7A56">
        <w:rPr>
          <w:rFonts w:ascii="Calibri" w:hAnsi="Calibri"/>
          <w:lang w:val="fr-FR"/>
        </w:rPr>
        <w:t xml:space="preserve"> Plan stratégique (tous avec un financement administratif) et deux traducteurs pour traduire des documents essentiels en russe (financement non administratif). </w:t>
      </w:r>
      <w:r w:rsidR="003507B8" w:rsidRPr="008C7A56">
        <w:rPr>
          <w:rFonts w:ascii="Calibri" w:hAnsi="Calibri"/>
          <w:lang w:val="fr-FR"/>
        </w:rPr>
        <w:t xml:space="preserve"> </w:t>
      </w:r>
    </w:p>
    <w:p w:rsidR="0080541F" w:rsidRPr="008C7A56" w:rsidRDefault="0080541F" w:rsidP="0080541F">
      <w:pPr>
        <w:pStyle w:val="ListParagraph"/>
        <w:rPr>
          <w:rFonts w:ascii="Calibri" w:hAnsi="Calibri"/>
          <w:lang w:val="fr-FR"/>
        </w:rPr>
      </w:pPr>
    </w:p>
    <w:p w:rsidR="0029353C" w:rsidRPr="008C7A56" w:rsidRDefault="00960F63" w:rsidP="003B529A">
      <w:pPr>
        <w:pStyle w:val="ListParagraph"/>
        <w:numPr>
          <w:ilvl w:val="0"/>
          <w:numId w:val="4"/>
        </w:numPr>
        <w:spacing w:after="0" w:line="240" w:lineRule="auto"/>
        <w:ind w:left="426" w:right="-46" w:hanging="426"/>
        <w:rPr>
          <w:rFonts w:ascii="Calibri" w:eastAsia="Arial Unicode MS" w:hAnsi="Calibri" w:cs="Arial Unicode MS"/>
          <w:kern w:val="1"/>
          <w:lang w:val="fr-FR" w:eastAsia="hi-IN" w:bidi="hi-IN"/>
        </w:rPr>
      </w:pPr>
      <w:r w:rsidRPr="008C7A56">
        <w:rPr>
          <w:rFonts w:ascii="Calibri" w:hAnsi="Calibri"/>
          <w:b/>
          <w:lang w:val="fr-FR"/>
        </w:rPr>
        <w:t>Examen de la mobilisation des ressources</w:t>
      </w:r>
      <w:r w:rsidR="00102E4B" w:rsidRPr="008C7A56">
        <w:rPr>
          <w:rFonts w:ascii="Calibri" w:hAnsi="Calibri"/>
          <w:b/>
          <w:lang w:val="fr-FR"/>
        </w:rPr>
        <w:t>.</w:t>
      </w:r>
      <w:r w:rsidRPr="008C7A56">
        <w:rPr>
          <w:rFonts w:ascii="Calibri" w:hAnsi="Calibri"/>
          <w:lang w:val="fr-FR"/>
        </w:rPr>
        <w:t xml:space="preserve"> Les responsabilités de l’ancien Coordonnateur des partenariats ont été redistribuées entre </w:t>
      </w:r>
      <w:r w:rsidRPr="008C7A56">
        <w:rPr>
          <w:rFonts w:cs="Arial"/>
          <w:lang w:val="fr-FR"/>
        </w:rPr>
        <w:t xml:space="preserve">différents membres du personnel en attendant le recrutement d’un nouveau membre du personnel pour ce poste. Les accords expirés avec </w:t>
      </w:r>
      <w:r w:rsidR="00110964" w:rsidRPr="008C7A56">
        <w:rPr>
          <w:rFonts w:cs="Arial"/>
          <w:lang w:val="fr-FR"/>
        </w:rPr>
        <w:t xml:space="preserve">Danone </w:t>
      </w:r>
      <w:r w:rsidRPr="008C7A56">
        <w:rPr>
          <w:rFonts w:cs="Arial"/>
          <w:lang w:val="fr-FR"/>
        </w:rPr>
        <w:t>et</w:t>
      </w:r>
      <w:r w:rsidR="00110964" w:rsidRPr="008C7A56">
        <w:rPr>
          <w:rFonts w:cs="Arial"/>
          <w:lang w:val="fr-FR"/>
        </w:rPr>
        <w:t xml:space="preserve"> Star Alliance </w:t>
      </w:r>
      <w:r w:rsidRPr="008C7A56">
        <w:rPr>
          <w:rFonts w:cs="Arial"/>
          <w:lang w:val="fr-FR"/>
        </w:rPr>
        <w:t xml:space="preserve">ont été </w:t>
      </w:r>
      <w:r w:rsidR="007F3BB8" w:rsidRPr="008C7A56">
        <w:rPr>
          <w:rFonts w:cs="Arial"/>
          <w:lang w:val="fr-FR"/>
        </w:rPr>
        <w:t>réactivés</w:t>
      </w:r>
      <w:r w:rsidRPr="008C7A56">
        <w:rPr>
          <w:rFonts w:cs="Arial"/>
          <w:lang w:val="fr-FR"/>
        </w:rPr>
        <w:t xml:space="preserve"> avec des visites à Paris (pour Danone) et à </w:t>
      </w:r>
      <w:r w:rsidR="0074721D" w:rsidRPr="008C7A56">
        <w:rPr>
          <w:rFonts w:cs="Arial"/>
          <w:lang w:val="fr-FR"/>
        </w:rPr>
        <w:t>Frankf</w:t>
      </w:r>
      <w:r w:rsidRPr="008C7A56">
        <w:rPr>
          <w:rFonts w:cs="Arial"/>
          <w:lang w:val="fr-FR"/>
        </w:rPr>
        <w:t>o</w:t>
      </w:r>
      <w:r w:rsidR="0074721D" w:rsidRPr="008C7A56">
        <w:rPr>
          <w:rFonts w:cs="Arial"/>
          <w:lang w:val="fr-FR"/>
        </w:rPr>
        <w:t>rt (</w:t>
      </w:r>
      <w:r w:rsidRPr="008C7A56">
        <w:rPr>
          <w:rFonts w:cs="Arial"/>
          <w:lang w:val="fr-FR"/>
        </w:rPr>
        <w:t>pour</w:t>
      </w:r>
      <w:r w:rsidR="0074721D" w:rsidRPr="008C7A56">
        <w:rPr>
          <w:rFonts w:cs="Arial"/>
          <w:lang w:val="fr-FR"/>
        </w:rPr>
        <w:t xml:space="preserve"> Star</w:t>
      </w:r>
      <w:r w:rsidRPr="008C7A56">
        <w:rPr>
          <w:rFonts w:cs="Arial"/>
          <w:lang w:val="fr-FR"/>
        </w:rPr>
        <w:t> </w:t>
      </w:r>
      <w:r w:rsidR="0074721D" w:rsidRPr="008C7A56">
        <w:rPr>
          <w:rFonts w:cs="Arial"/>
          <w:lang w:val="fr-FR"/>
        </w:rPr>
        <w:t xml:space="preserve">Alliance), </w:t>
      </w:r>
      <w:r w:rsidRPr="008C7A56">
        <w:rPr>
          <w:rFonts w:cs="Arial"/>
          <w:lang w:val="fr-FR"/>
        </w:rPr>
        <w:t xml:space="preserve">et les deux accords ont maintenant été renouvelés pour 12 mois. Un examen de la mobilisation des ressources de toutes les sources a également été entrepris, en particulier du point de vue des appels de fonds. Cette information se trouve dans le document </w:t>
      </w:r>
      <w:r w:rsidR="00102E4B" w:rsidRPr="008C7A56">
        <w:rPr>
          <w:rFonts w:ascii="Calibri" w:hAnsi="Calibri"/>
          <w:lang w:val="fr-FR"/>
        </w:rPr>
        <w:t xml:space="preserve">SC52-20. </w:t>
      </w:r>
      <w:r w:rsidRPr="008C7A56">
        <w:rPr>
          <w:rFonts w:ascii="Calibri" w:hAnsi="Calibri"/>
          <w:lang w:val="fr-FR"/>
        </w:rPr>
        <w:t>Le</w:t>
      </w:r>
      <w:r w:rsidR="008E7FD0" w:rsidRPr="008C7A56">
        <w:rPr>
          <w:rFonts w:ascii="Calibri" w:hAnsi="Calibri"/>
          <w:lang w:val="fr-FR"/>
        </w:rPr>
        <w:t xml:space="preserve"> document </w:t>
      </w:r>
      <w:r w:rsidRPr="008C7A56">
        <w:rPr>
          <w:rFonts w:ascii="Calibri" w:hAnsi="Calibri"/>
          <w:lang w:val="fr-FR"/>
        </w:rPr>
        <w:t xml:space="preserve">montre qu’un montant total de </w:t>
      </w:r>
      <w:r w:rsidR="008E7FD0" w:rsidRPr="008C7A56">
        <w:rPr>
          <w:rFonts w:ascii="Calibri" w:hAnsi="Calibri"/>
          <w:lang w:val="fr-FR"/>
        </w:rPr>
        <w:t>560</w:t>
      </w:r>
      <w:r w:rsidRPr="008C7A56">
        <w:rPr>
          <w:rFonts w:ascii="Calibri" w:hAnsi="Calibri"/>
          <w:lang w:val="fr-FR"/>
        </w:rPr>
        <w:t> </w:t>
      </w:r>
      <w:r w:rsidR="008E7FD0" w:rsidRPr="008C7A56">
        <w:rPr>
          <w:rFonts w:ascii="Calibri" w:hAnsi="Calibri"/>
          <w:lang w:val="fr-FR"/>
        </w:rPr>
        <w:t>500</w:t>
      </w:r>
      <w:r w:rsidRPr="008C7A56">
        <w:rPr>
          <w:rFonts w:ascii="Calibri" w:hAnsi="Calibri"/>
          <w:lang w:val="fr-FR"/>
        </w:rPr>
        <w:t> CHF en fonds non administratifs a été obtenu à ce jour pour les activités en </w:t>
      </w:r>
      <w:r w:rsidR="008E7FD0" w:rsidRPr="008C7A56">
        <w:rPr>
          <w:rFonts w:ascii="Calibri" w:hAnsi="Calibri"/>
          <w:lang w:val="fr-FR"/>
        </w:rPr>
        <w:t xml:space="preserve">2016, </w:t>
      </w:r>
      <w:r w:rsidRPr="008C7A56">
        <w:rPr>
          <w:rFonts w:ascii="Calibri" w:hAnsi="Calibri"/>
          <w:lang w:val="fr-FR"/>
        </w:rPr>
        <w:t xml:space="preserve">afin de soutenir des MCR, des tâches du GEST, </w:t>
      </w:r>
      <w:r w:rsidRPr="008C7A56">
        <w:rPr>
          <w:rFonts w:ascii="Calibri" w:hAnsi="Calibri"/>
          <w:lang w:val="fr-FR"/>
        </w:rPr>
        <w:lastRenderedPageBreak/>
        <w:t xml:space="preserve">la traduction en russe, de petites subventions (financées de manière bilatérale) et l’intégration à </w:t>
      </w:r>
      <w:r w:rsidR="008E7FD0" w:rsidRPr="008C7A56">
        <w:rPr>
          <w:rFonts w:ascii="Calibri" w:hAnsi="Calibri"/>
          <w:lang w:val="fr-FR"/>
        </w:rPr>
        <w:t xml:space="preserve">InforMEA. </w:t>
      </w:r>
      <w:r w:rsidRPr="008C7A56">
        <w:rPr>
          <w:rFonts w:ascii="Calibri" w:hAnsi="Calibri"/>
          <w:lang w:val="fr-FR"/>
        </w:rPr>
        <w:t xml:space="preserve">Le Secrétariat a également </w:t>
      </w:r>
      <w:r w:rsidR="000D3807" w:rsidRPr="008C7A56">
        <w:rPr>
          <w:rFonts w:ascii="Calibri" w:hAnsi="Calibri"/>
          <w:lang w:val="fr-FR"/>
        </w:rPr>
        <w:t>aidé les</w:t>
      </w:r>
      <w:r w:rsidRPr="008C7A56">
        <w:rPr>
          <w:rFonts w:ascii="Calibri" w:hAnsi="Calibri"/>
          <w:lang w:val="fr-FR"/>
        </w:rPr>
        <w:t xml:space="preserve"> Parties et </w:t>
      </w:r>
      <w:r w:rsidR="007F3BB8" w:rsidRPr="008C7A56">
        <w:rPr>
          <w:rFonts w:ascii="Calibri" w:hAnsi="Calibri"/>
          <w:lang w:val="fr-FR"/>
        </w:rPr>
        <w:t>i</w:t>
      </w:r>
      <w:r w:rsidRPr="008C7A56">
        <w:rPr>
          <w:rFonts w:ascii="Calibri" w:hAnsi="Calibri"/>
          <w:lang w:val="fr-FR"/>
        </w:rPr>
        <w:t>nitiatives régionales Ramsar à préparer de</w:t>
      </w:r>
      <w:r w:rsidR="007F3BB8" w:rsidRPr="008C7A56">
        <w:rPr>
          <w:rFonts w:ascii="Calibri" w:hAnsi="Calibri"/>
          <w:lang w:val="fr-FR"/>
        </w:rPr>
        <w:t>s</w:t>
      </w:r>
      <w:r w:rsidRPr="008C7A56">
        <w:rPr>
          <w:rFonts w:ascii="Calibri" w:hAnsi="Calibri"/>
          <w:lang w:val="fr-FR"/>
        </w:rPr>
        <w:t xml:space="preserve"> propositions de </w:t>
      </w:r>
      <w:r w:rsidR="007F3BB8" w:rsidRPr="008C7A56">
        <w:rPr>
          <w:rFonts w:ascii="Calibri" w:hAnsi="Calibri"/>
          <w:lang w:val="fr-FR"/>
        </w:rPr>
        <w:t xml:space="preserve">grands </w:t>
      </w:r>
      <w:r w:rsidRPr="008C7A56">
        <w:rPr>
          <w:rFonts w:ascii="Calibri" w:hAnsi="Calibri"/>
          <w:lang w:val="fr-FR"/>
        </w:rPr>
        <w:t xml:space="preserve">projets pour financement, pour un montant total de </w:t>
      </w:r>
      <w:r w:rsidR="008E7FD0" w:rsidRPr="008C7A56">
        <w:rPr>
          <w:rFonts w:ascii="Calibri" w:hAnsi="Calibri"/>
          <w:lang w:val="fr-FR"/>
        </w:rPr>
        <w:t>28</w:t>
      </w:r>
      <w:r w:rsidRPr="008C7A56">
        <w:rPr>
          <w:rFonts w:ascii="Calibri" w:hAnsi="Calibri"/>
          <w:lang w:val="fr-FR"/>
        </w:rPr>
        <w:t> </w:t>
      </w:r>
      <w:r w:rsidR="008E7FD0" w:rsidRPr="008C7A56">
        <w:rPr>
          <w:rFonts w:ascii="Calibri" w:hAnsi="Calibri"/>
          <w:lang w:val="fr-FR"/>
        </w:rPr>
        <w:t>467</w:t>
      </w:r>
      <w:r w:rsidRPr="008C7A56">
        <w:rPr>
          <w:rFonts w:ascii="Calibri" w:hAnsi="Calibri"/>
          <w:lang w:val="fr-FR"/>
        </w:rPr>
        <w:t> </w:t>
      </w:r>
      <w:r w:rsidR="008E7FD0" w:rsidRPr="008C7A56">
        <w:rPr>
          <w:rFonts w:ascii="Calibri" w:hAnsi="Calibri"/>
          <w:lang w:val="fr-FR"/>
        </w:rPr>
        <w:t>000</w:t>
      </w:r>
      <w:r w:rsidRPr="008C7A56">
        <w:rPr>
          <w:rFonts w:ascii="Calibri" w:hAnsi="Calibri"/>
          <w:lang w:val="fr-FR"/>
        </w:rPr>
        <w:t> USD</w:t>
      </w:r>
      <w:r w:rsidR="00636075" w:rsidRPr="008C7A56">
        <w:rPr>
          <w:rFonts w:ascii="Calibri" w:hAnsi="Calibri"/>
          <w:lang w:val="fr-FR"/>
        </w:rPr>
        <w:t xml:space="preserve"> </w:t>
      </w:r>
      <w:r w:rsidRPr="008C7A56">
        <w:rPr>
          <w:rFonts w:ascii="Calibri" w:hAnsi="Calibri"/>
          <w:lang w:val="fr-FR"/>
        </w:rPr>
        <w:t>e</w:t>
      </w:r>
      <w:r w:rsidR="00636075" w:rsidRPr="008C7A56">
        <w:rPr>
          <w:rFonts w:ascii="Calibri" w:hAnsi="Calibri"/>
          <w:lang w:val="fr-FR"/>
        </w:rPr>
        <w:t>n Afri</w:t>
      </w:r>
      <w:r w:rsidRPr="008C7A56">
        <w:rPr>
          <w:rFonts w:ascii="Calibri" w:hAnsi="Calibri"/>
          <w:lang w:val="fr-FR"/>
        </w:rPr>
        <w:t>que</w:t>
      </w:r>
      <w:r w:rsidR="00636075" w:rsidRPr="008C7A56">
        <w:rPr>
          <w:rFonts w:ascii="Calibri" w:hAnsi="Calibri"/>
          <w:lang w:val="fr-FR"/>
        </w:rPr>
        <w:t xml:space="preserve">, </w:t>
      </w:r>
      <w:r w:rsidRPr="008C7A56">
        <w:rPr>
          <w:rFonts w:ascii="Calibri" w:hAnsi="Calibri"/>
          <w:lang w:val="fr-FR"/>
        </w:rPr>
        <w:t xml:space="preserve">Amérique latine et </w:t>
      </w:r>
      <w:r w:rsidR="007F3BB8" w:rsidRPr="008C7A56">
        <w:rPr>
          <w:rFonts w:ascii="Calibri" w:hAnsi="Calibri"/>
          <w:lang w:val="fr-FR"/>
        </w:rPr>
        <w:t xml:space="preserve">dans les </w:t>
      </w:r>
      <w:r w:rsidRPr="008C7A56">
        <w:rPr>
          <w:rFonts w:ascii="Calibri" w:hAnsi="Calibri"/>
          <w:lang w:val="fr-FR"/>
        </w:rPr>
        <w:t xml:space="preserve">Caraïbes. Les propositions de projets </w:t>
      </w:r>
      <w:r w:rsidR="001D5972" w:rsidRPr="008C7A56">
        <w:rPr>
          <w:rFonts w:ascii="Calibri" w:hAnsi="Calibri"/>
          <w:lang w:val="fr-FR"/>
        </w:rPr>
        <w:t xml:space="preserve">ont été soumises </w:t>
      </w:r>
      <w:r w:rsidRPr="008C7A56">
        <w:rPr>
          <w:rFonts w:ascii="Calibri" w:hAnsi="Calibri"/>
          <w:lang w:val="fr-FR"/>
        </w:rPr>
        <w:t>à</w:t>
      </w:r>
      <w:r w:rsidR="008E7FD0" w:rsidRPr="008C7A56">
        <w:rPr>
          <w:rFonts w:ascii="Calibri" w:hAnsi="Calibri"/>
          <w:lang w:val="fr-FR"/>
        </w:rPr>
        <w:t xml:space="preserve"> IKI, </w:t>
      </w:r>
      <w:r w:rsidRPr="008C7A56">
        <w:rPr>
          <w:rFonts w:ascii="Calibri" w:hAnsi="Calibri"/>
          <w:lang w:val="fr-FR"/>
        </w:rPr>
        <w:t xml:space="preserve">le FEM et la Fondation </w:t>
      </w:r>
      <w:r w:rsidR="007F3BB8" w:rsidRPr="008C7A56">
        <w:rPr>
          <w:rFonts w:ascii="Calibri" w:hAnsi="Calibri"/>
          <w:lang w:val="fr-FR"/>
        </w:rPr>
        <w:t xml:space="preserve">JRS </w:t>
      </w:r>
      <w:r w:rsidRPr="008C7A56">
        <w:rPr>
          <w:rFonts w:ascii="Calibri" w:hAnsi="Calibri"/>
          <w:lang w:val="fr-FR"/>
        </w:rPr>
        <w:t>pour la biodiversité.</w:t>
      </w:r>
      <w:r w:rsidR="008E7FD0" w:rsidRPr="008C7A56">
        <w:rPr>
          <w:rFonts w:ascii="Calibri" w:hAnsi="Calibri"/>
          <w:lang w:val="fr-FR"/>
        </w:rPr>
        <w:t xml:space="preserve"> </w:t>
      </w:r>
      <w:r w:rsidRPr="008C7A56">
        <w:rPr>
          <w:rFonts w:ascii="Calibri" w:hAnsi="Calibri"/>
          <w:lang w:val="fr-FR"/>
        </w:rPr>
        <w:t xml:space="preserve">Il y a d’autres propositions de projets </w:t>
      </w:r>
      <w:r w:rsidR="001D5972" w:rsidRPr="008C7A56">
        <w:rPr>
          <w:rFonts w:ascii="Calibri" w:hAnsi="Calibri"/>
          <w:lang w:val="fr-FR"/>
        </w:rPr>
        <w:t>pour le</w:t>
      </w:r>
      <w:r w:rsidRPr="008C7A56">
        <w:rPr>
          <w:rFonts w:ascii="Calibri" w:hAnsi="Calibri"/>
          <w:lang w:val="fr-FR"/>
        </w:rPr>
        <w:t xml:space="preserve"> FEM et d’autres sources</w:t>
      </w:r>
      <w:r w:rsidR="001D5972" w:rsidRPr="008C7A56">
        <w:rPr>
          <w:rFonts w:ascii="Calibri" w:hAnsi="Calibri"/>
          <w:lang w:val="fr-FR"/>
        </w:rPr>
        <w:t>,</w:t>
      </w:r>
      <w:r w:rsidRPr="008C7A56">
        <w:rPr>
          <w:rFonts w:ascii="Calibri" w:hAnsi="Calibri"/>
          <w:lang w:val="fr-FR"/>
        </w:rPr>
        <w:t xml:space="preserve"> actuellement en rédaction.</w:t>
      </w:r>
      <w:r w:rsidR="00636075" w:rsidRPr="008C7A56">
        <w:rPr>
          <w:rFonts w:ascii="Calibri" w:hAnsi="Calibri"/>
          <w:lang w:val="fr-FR"/>
        </w:rPr>
        <w:t xml:space="preserve">  </w:t>
      </w:r>
    </w:p>
    <w:p w:rsidR="00AA6047" w:rsidRPr="008C7A56" w:rsidRDefault="00AA6047" w:rsidP="00AA6047">
      <w:pPr>
        <w:pStyle w:val="ListParagraph"/>
        <w:rPr>
          <w:rFonts w:ascii="Calibri" w:eastAsia="Arial Unicode MS" w:hAnsi="Calibri" w:cs="Arial Unicode MS"/>
          <w:kern w:val="1"/>
          <w:lang w:val="fr-FR" w:eastAsia="hi-IN" w:bidi="hi-IN"/>
        </w:rPr>
      </w:pPr>
    </w:p>
    <w:p w:rsidR="00AA6047" w:rsidRPr="008C7A56" w:rsidRDefault="00960F63" w:rsidP="003B529A">
      <w:pPr>
        <w:pStyle w:val="ListParagraph"/>
        <w:numPr>
          <w:ilvl w:val="0"/>
          <w:numId w:val="4"/>
        </w:numPr>
        <w:spacing w:after="0" w:line="240" w:lineRule="auto"/>
        <w:ind w:left="426" w:right="-46" w:hanging="426"/>
        <w:rPr>
          <w:rFonts w:ascii="Calibri" w:eastAsia="Arial Unicode MS" w:hAnsi="Calibri" w:cs="Arial Unicode MS"/>
          <w:kern w:val="1"/>
          <w:lang w:val="fr-FR" w:eastAsia="hi-IN" w:bidi="hi-IN"/>
        </w:rPr>
      </w:pPr>
      <w:r w:rsidRPr="008C7A56">
        <w:rPr>
          <w:rFonts w:ascii="Calibri" w:eastAsia="Arial Unicode MS" w:hAnsi="Calibri" w:cs="Arial Unicode MS"/>
          <w:b/>
          <w:kern w:val="1"/>
          <w:lang w:val="fr-FR" w:eastAsia="hi-IN" w:bidi="hi-IN"/>
        </w:rPr>
        <w:t>Évaluation</w:t>
      </w:r>
      <w:r w:rsidR="00AA6047" w:rsidRPr="008C7A56">
        <w:rPr>
          <w:rFonts w:ascii="Calibri" w:eastAsia="Arial Unicode MS" w:hAnsi="Calibri" w:cs="Arial Unicode MS"/>
          <w:b/>
          <w:kern w:val="1"/>
          <w:lang w:val="fr-FR" w:eastAsia="hi-IN" w:bidi="hi-IN"/>
        </w:rPr>
        <w:t xml:space="preserve"> </w:t>
      </w:r>
      <w:r w:rsidRPr="008C7A56">
        <w:rPr>
          <w:rFonts w:ascii="Calibri" w:eastAsia="Arial Unicode MS" w:hAnsi="Calibri" w:cs="Arial Unicode MS"/>
          <w:b/>
          <w:kern w:val="1"/>
          <w:lang w:val="fr-FR" w:eastAsia="hi-IN" w:bidi="hi-IN"/>
        </w:rPr>
        <w:t>de la</w:t>
      </w:r>
      <w:r w:rsidR="00AA6047" w:rsidRPr="008C7A56">
        <w:rPr>
          <w:rFonts w:ascii="Calibri" w:eastAsia="Arial Unicode MS" w:hAnsi="Calibri" w:cs="Arial Unicode MS"/>
          <w:b/>
          <w:kern w:val="1"/>
          <w:lang w:val="fr-FR" w:eastAsia="hi-IN" w:bidi="hi-IN"/>
        </w:rPr>
        <w:t xml:space="preserve"> COP12.</w:t>
      </w:r>
      <w:r w:rsidR="00AA6047" w:rsidRPr="008C7A56">
        <w:rPr>
          <w:rFonts w:ascii="Calibri" w:eastAsia="Arial Unicode MS" w:hAnsi="Calibri" w:cs="Arial Unicode MS"/>
          <w:kern w:val="1"/>
          <w:lang w:val="fr-FR" w:eastAsia="hi-IN" w:bidi="hi-IN"/>
        </w:rPr>
        <w:t xml:space="preserve"> </w:t>
      </w:r>
      <w:r w:rsidRPr="008C7A56">
        <w:rPr>
          <w:rFonts w:ascii="Calibri" w:eastAsia="Arial Unicode MS" w:hAnsi="Calibri" w:cs="Arial Unicode MS"/>
          <w:kern w:val="1"/>
          <w:lang w:val="fr-FR" w:eastAsia="hi-IN" w:bidi="hi-IN"/>
        </w:rPr>
        <w:t xml:space="preserve">Le rapport sur la </w:t>
      </w:r>
      <w:r w:rsidR="00AA6047" w:rsidRPr="008C7A56">
        <w:rPr>
          <w:rFonts w:cs="Arial"/>
          <w:lang w:val="fr-FR"/>
        </w:rPr>
        <w:t xml:space="preserve">COP12 </w:t>
      </w:r>
      <w:r w:rsidRPr="008C7A56">
        <w:rPr>
          <w:rFonts w:cs="Arial"/>
          <w:lang w:val="fr-FR"/>
        </w:rPr>
        <w:t xml:space="preserve">a été finalisé. L’intégralité des procès-verbaux de la COP12, y compris toutes les présentations et tous les documents, </w:t>
      </w:r>
      <w:r w:rsidR="00785FA9" w:rsidRPr="008C7A56">
        <w:rPr>
          <w:rFonts w:cs="Arial"/>
          <w:lang w:val="fr-FR"/>
        </w:rPr>
        <w:t xml:space="preserve">sera bientôt publiée en </w:t>
      </w:r>
      <w:r w:rsidR="004954A1" w:rsidRPr="008C7A56">
        <w:rPr>
          <w:rFonts w:cs="Arial"/>
          <w:lang w:val="fr-FR"/>
        </w:rPr>
        <w:t>une page web séparée,</w:t>
      </w:r>
      <w:r w:rsidR="00785FA9" w:rsidRPr="008C7A56">
        <w:rPr>
          <w:rFonts w:cs="Arial"/>
          <w:lang w:val="fr-FR"/>
        </w:rPr>
        <w:t xml:space="preserve"> dans les trois langues</w:t>
      </w:r>
      <w:r w:rsidR="004954A1" w:rsidRPr="008C7A56">
        <w:rPr>
          <w:rFonts w:cs="Arial"/>
          <w:lang w:val="fr-FR"/>
        </w:rPr>
        <w:t xml:space="preserve"> et une clé USB contenant les procès-verbaux de la COP12 sera disponible sur demande au Secrétariat</w:t>
      </w:r>
      <w:r w:rsidR="00785FA9" w:rsidRPr="008C7A56">
        <w:rPr>
          <w:rFonts w:cs="Arial"/>
          <w:lang w:val="fr-FR"/>
        </w:rPr>
        <w:t>. Un atelier du Secrétariat a eu lieu le 15 décembre 2016 sur le sujet d</w:t>
      </w:r>
      <w:r w:rsidR="001D5972" w:rsidRPr="008C7A56">
        <w:rPr>
          <w:rFonts w:cs="Arial"/>
          <w:lang w:val="fr-FR"/>
        </w:rPr>
        <w:t>u</w:t>
      </w:r>
      <w:r w:rsidR="00785FA9" w:rsidRPr="008C7A56">
        <w:rPr>
          <w:rFonts w:cs="Arial"/>
          <w:lang w:val="fr-FR"/>
        </w:rPr>
        <w:t xml:space="preserve"> processus de </w:t>
      </w:r>
      <w:r w:rsidR="001D5972" w:rsidRPr="008C7A56">
        <w:rPr>
          <w:rFonts w:cs="Arial"/>
          <w:lang w:val="fr-FR"/>
        </w:rPr>
        <w:t xml:space="preserve">la </w:t>
      </w:r>
      <w:r w:rsidR="00785FA9" w:rsidRPr="008C7A56">
        <w:rPr>
          <w:rFonts w:cs="Arial"/>
          <w:lang w:val="fr-FR"/>
        </w:rPr>
        <w:t xml:space="preserve">COP, avec une participation très utile d’un cadre supérieur de la CITES </w:t>
      </w:r>
      <w:r w:rsidR="001D5972" w:rsidRPr="008C7A56">
        <w:rPr>
          <w:rFonts w:cs="Arial"/>
          <w:lang w:val="fr-FR"/>
        </w:rPr>
        <w:t>qui a décrit</w:t>
      </w:r>
      <w:r w:rsidR="00785FA9" w:rsidRPr="008C7A56">
        <w:rPr>
          <w:rFonts w:cs="Arial"/>
          <w:lang w:val="fr-FR"/>
        </w:rPr>
        <w:t xml:space="preserve"> la manière dont les COP de la CITES sont organisées. Le Manuel sur la COP de Ramsar a été révisé avec la participation de tout le personnel et publié </w:t>
      </w:r>
      <w:r w:rsidR="001D5972" w:rsidRPr="008C7A56">
        <w:rPr>
          <w:rFonts w:cs="Arial"/>
          <w:lang w:val="fr-FR"/>
        </w:rPr>
        <w:t>sous forme</w:t>
      </w:r>
      <w:r w:rsidR="00785FA9" w:rsidRPr="008C7A56">
        <w:rPr>
          <w:rFonts w:cs="Arial"/>
          <w:lang w:val="fr-FR"/>
        </w:rPr>
        <w:t xml:space="preserve"> électronique le 19 février 2016. </w:t>
      </w:r>
      <w:r w:rsidR="00AA6047" w:rsidRPr="008C7A56">
        <w:rPr>
          <w:rFonts w:cs="Arial"/>
          <w:lang w:val="fr-FR"/>
        </w:rPr>
        <w:t xml:space="preserve"> </w:t>
      </w:r>
      <w:r w:rsidR="0074721D" w:rsidRPr="008C7A56">
        <w:rPr>
          <w:rFonts w:cs="Arial"/>
          <w:lang w:val="fr-FR"/>
        </w:rPr>
        <w:t xml:space="preserve">  </w:t>
      </w:r>
    </w:p>
    <w:p w:rsidR="0029353C" w:rsidRPr="008C7A56" w:rsidRDefault="0029353C" w:rsidP="003B529A">
      <w:pPr>
        <w:pStyle w:val="ListParagraph"/>
        <w:spacing w:after="0" w:line="240" w:lineRule="auto"/>
        <w:ind w:left="426" w:right="-46" w:hanging="426"/>
        <w:rPr>
          <w:rFonts w:ascii="Calibri" w:eastAsia="Arial Unicode MS" w:hAnsi="Calibri" w:cs="Arial Unicode MS"/>
          <w:kern w:val="1"/>
          <w:lang w:val="fr-FR" w:eastAsia="hi-IN" w:bidi="hi-IN"/>
        </w:rPr>
      </w:pPr>
    </w:p>
    <w:p w:rsidR="0074721D" w:rsidRPr="008C7A56" w:rsidRDefault="001D5972" w:rsidP="00BE6581">
      <w:pPr>
        <w:pStyle w:val="ListParagraph"/>
        <w:numPr>
          <w:ilvl w:val="0"/>
          <w:numId w:val="4"/>
        </w:numPr>
        <w:spacing w:after="0" w:line="240" w:lineRule="auto"/>
        <w:ind w:left="426" w:right="-46" w:hanging="426"/>
        <w:rPr>
          <w:rFonts w:ascii="Calibri" w:eastAsia="Arial Unicode MS" w:hAnsi="Calibri" w:cs="Arial Unicode MS"/>
          <w:kern w:val="1"/>
          <w:lang w:val="fr-FR" w:eastAsia="hi-IN" w:bidi="hi-IN"/>
        </w:rPr>
      </w:pPr>
      <w:r w:rsidRPr="008C7A56">
        <w:rPr>
          <w:rFonts w:ascii="Calibri" w:hAnsi="Calibri"/>
          <w:lang w:val="fr-FR"/>
        </w:rPr>
        <w:t>Depuis le début de 2016, le Secrétariat a envoyé l</w:t>
      </w:r>
      <w:r w:rsidR="002807CF" w:rsidRPr="008C7A56">
        <w:rPr>
          <w:rFonts w:ascii="Calibri" w:hAnsi="Calibri"/>
          <w:lang w:val="fr-FR"/>
        </w:rPr>
        <w:t>es Notes diplomatiques suivantes à toutes les Parties</w:t>
      </w:r>
      <w:r w:rsidRPr="008C7A56">
        <w:rPr>
          <w:rFonts w:ascii="Calibri" w:hAnsi="Calibri"/>
          <w:lang w:val="fr-FR"/>
        </w:rPr>
        <w:t xml:space="preserve"> </w:t>
      </w:r>
      <w:r w:rsidR="002807CF" w:rsidRPr="008C7A56">
        <w:rPr>
          <w:rFonts w:ascii="Calibri" w:hAnsi="Calibri"/>
          <w:lang w:val="fr-FR"/>
        </w:rPr>
        <w:t xml:space="preserve">: </w:t>
      </w:r>
    </w:p>
    <w:p w:rsidR="00D60A2F" w:rsidRPr="008C7A56" w:rsidRDefault="002807CF" w:rsidP="00FB4C67">
      <w:pPr>
        <w:pStyle w:val="ListParagraph"/>
        <w:numPr>
          <w:ilvl w:val="0"/>
          <w:numId w:val="30"/>
        </w:numPr>
        <w:spacing w:after="0" w:line="240" w:lineRule="auto"/>
        <w:ind w:left="851" w:right="-46" w:hanging="425"/>
        <w:rPr>
          <w:rFonts w:ascii="Calibri" w:eastAsia="Arial Unicode MS" w:hAnsi="Calibri" w:cs="Arial Unicode MS"/>
          <w:kern w:val="1"/>
          <w:lang w:val="fr-FR" w:eastAsia="hi-IN" w:bidi="hi-IN"/>
        </w:rPr>
      </w:pPr>
      <w:r w:rsidRPr="008C7A56">
        <w:rPr>
          <w:rFonts w:ascii="Calibri" w:hAnsi="Calibri"/>
          <w:lang w:val="fr-FR"/>
        </w:rPr>
        <w:t>Note diplomatique</w:t>
      </w:r>
      <w:r w:rsidR="00D60A2F" w:rsidRPr="008C7A56">
        <w:rPr>
          <w:rFonts w:ascii="Calibri" w:hAnsi="Calibri"/>
          <w:lang w:val="fr-FR"/>
        </w:rPr>
        <w:t xml:space="preserve"> 2016/1</w:t>
      </w:r>
      <w:r w:rsidR="00BE6581" w:rsidRPr="008C7A56">
        <w:rPr>
          <w:rFonts w:ascii="Calibri" w:hAnsi="Calibri"/>
          <w:lang w:val="fr-FR"/>
        </w:rPr>
        <w:t xml:space="preserve"> </w:t>
      </w:r>
      <w:r w:rsidR="00D60A2F" w:rsidRPr="008C7A56">
        <w:rPr>
          <w:rFonts w:ascii="Calibri" w:hAnsi="Calibri"/>
          <w:lang w:val="fr-FR"/>
        </w:rPr>
        <w:t xml:space="preserve">: </w:t>
      </w:r>
      <w:r w:rsidRPr="008C7A56">
        <w:rPr>
          <w:rFonts w:ascii="Calibri" w:hAnsi="Calibri"/>
          <w:i/>
          <w:lang w:val="fr-FR"/>
        </w:rPr>
        <w:t>Contributions annuelles</w:t>
      </w:r>
      <w:r w:rsidR="00D60A2F" w:rsidRPr="008C7A56">
        <w:rPr>
          <w:rFonts w:ascii="Calibri" w:hAnsi="Calibri"/>
          <w:i/>
          <w:lang w:val="fr-FR"/>
        </w:rPr>
        <w:t xml:space="preserve"> 2016</w:t>
      </w:r>
      <w:r w:rsidR="00D60A2F" w:rsidRPr="008C7A56">
        <w:rPr>
          <w:rFonts w:ascii="Calibri" w:hAnsi="Calibri"/>
          <w:lang w:val="fr-FR"/>
        </w:rPr>
        <w:t xml:space="preserve"> (20 </w:t>
      </w:r>
      <w:r w:rsidRPr="008C7A56">
        <w:rPr>
          <w:rFonts w:ascii="Calibri" w:hAnsi="Calibri"/>
          <w:lang w:val="fr-FR"/>
        </w:rPr>
        <w:t>janvier</w:t>
      </w:r>
      <w:r w:rsidR="00D60A2F" w:rsidRPr="008C7A56">
        <w:rPr>
          <w:rFonts w:ascii="Calibri" w:hAnsi="Calibri"/>
          <w:lang w:val="fr-FR"/>
        </w:rPr>
        <w:t xml:space="preserve"> 2016)</w:t>
      </w:r>
    </w:p>
    <w:p w:rsidR="00D60A2F" w:rsidRPr="008C7A56" w:rsidRDefault="002807CF" w:rsidP="00FB4C67">
      <w:pPr>
        <w:pStyle w:val="ListParagraph"/>
        <w:numPr>
          <w:ilvl w:val="0"/>
          <w:numId w:val="30"/>
        </w:numPr>
        <w:spacing w:after="0" w:line="240" w:lineRule="auto"/>
        <w:ind w:left="851" w:right="-46" w:hanging="425"/>
        <w:rPr>
          <w:rFonts w:ascii="Calibri" w:eastAsia="Arial Unicode MS" w:hAnsi="Calibri" w:cs="Arial Unicode MS"/>
          <w:kern w:val="1"/>
          <w:lang w:val="fr-FR" w:eastAsia="hi-IN" w:bidi="hi-IN"/>
        </w:rPr>
      </w:pPr>
      <w:r w:rsidRPr="008C7A56">
        <w:rPr>
          <w:rFonts w:ascii="Calibri" w:hAnsi="Calibri"/>
          <w:lang w:val="fr-FR"/>
        </w:rPr>
        <w:t xml:space="preserve">Note diplomatique </w:t>
      </w:r>
      <w:r w:rsidR="00D60A2F" w:rsidRPr="008C7A56">
        <w:rPr>
          <w:rFonts w:ascii="Calibri" w:hAnsi="Calibri"/>
          <w:lang w:val="fr-FR"/>
        </w:rPr>
        <w:t>2016/2</w:t>
      </w:r>
      <w:r w:rsidR="00D60A2F" w:rsidRPr="008C7A56">
        <w:rPr>
          <w:color w:val="000000" w:themeColor="text1"/>
          <w:lang w:val="fr-FR"/>
        </w:rPr>
        <w:t xml:space="preserve"> : </w:t>
      </w:r>
      <w:r w:rsidR="00D60A2F" w:rsidRPr="008C7A56">
        <w:rPr>
          <w:i/>
          <w:color w:val="000000" w:themeColor="text1"/>
          <w:lang w:val="fr-FR"/>
        </w:rPr>
        <w:t>R</w:t>
      </w:r>
      <w:r w:rsidRPr="008C7A56">
        <w:rPr>
          <w:i/>
          <w:color w:val="000000" w:themeColor="text1"/>
          <w:lang w:val="fr-FR"/>
        </w:rPr>
        <w:t>apport et décisions de la 51</w:t>
      </w:r>
      <w:r w:rsidRPr="008C7A56">
        <w:rPr>
          <w:i/>
          <w:color w:val="000000" w:themeColor="text1"/>
          <w:vertAlign w:val="superscript"/>
          <w:lang w:val="fr-FR"/>
        </w:rPr>
        <w:t>e</w:t>
      </w:r>
      <w:r w:rsidRPr="008C7A56">
        <w:rPr>
          <w:i/>
          <w:color w:val="000000" w:themeColor="text1"/>
          <w:lang w:val="fr-FR"/>
        </w:rPr>
        <w:t xml:space="preserve"> Réunion du Comité permanent </w:t>
      </w:r>
      <w:r w:rsidRPr="008C7A56">
        <w:rPr>
          <w:color w:val="000000" w:themeColor="text1"/>
          <w:lang w:val="fr-FR"/>
        </w:rPr>
        <w:t>(16 février</w:t>
      </w:r>
      <w:r w:rsidR="00D60A2F" w:rsidRPr="008C7A56">
        <w:rPr>
          <w:rFonts w:ascii="Calibri" w:hAnsi="Calibri"/>
          <w:color w:val="000000" w:themeColor="text1"/>
          <w:lang w:val="fr-FR"/>
        </w:rPr>
        <w:t xml:space="preserve"> </w:t>
      </w:r>
      <w:r w:rsidR="00D60A2F" w:rsidRPr="008C7A56">
        <w:rPr>
          <w:rFonts w:ascii="Calibri" w:hAnsi="Calibri"/>
          <w:lang w:val="fr-FR"/>
        </w:rPr>
        <w:t>2016)</w:t>
      </w:r>
    </w:p>
    <w:p w:rsidR="00D60A2F" w:rsidRPr="008C7A56" w:rsidRDefault="002807CF" w:rsidP="00FB4C67">
      <w:pPr>
        <w:pStyle w:val="ListParagraph"/>
        <w:numPr>
          <w:ilvl w:val="0"/>
          <w:numId w:val="30"/>
        </w:numPr>
        <w:spacing w:after="0" w:line="240" w:lineRule="auto"/>
        <w:ind w:left="851" w:right="-46" w:hanging="425"/>
        <w:rPr>
          <w:rFonts w:ascii="Calibri" w:eastAsia="Arial Unicode MS" w:hAnsi="Calibri" w:cs="Arial Unicode MS"/>
          <w:kern w:val="1"/>
          <w:lang w:val="fr-FR" w:eastAsia="hi-IN" w:bidi="hi-IN"/>
        </w:rPr>
      </w:pPr>
      <w:r w:rsidRPr="008C7A56">
        <w:rPr>
          <w:rFonts w:ascii="Calibri" w:hAnsi="Calibri"/>
          <w:lang w:val="fr-FR"/>
        </w:rPr>
        <w:t xml:space="preserve">Note diplomatique </w:t>
      </w:r>
      <w:r w:rsidR="00D60A2F" w:rsidRPr="008C7A56">
        <w:rPr>
          <w:rFonts w:ascii="Calibri" w:hAnsi="Calibri"/>
          <w:lang w:val="fr-FR"/>
        </w:rPr>
        <w:t xml:space="preserve">2016/3 : </w:t>
      </w:r>
      <w:r w:rsidRPr="008C7A56">
        <w:rPr>
          <w:rFonts w:ascii="Calibri" w:hAnsi="Calibri"/>
          <w:i/>
          <w:lang w:val="fr-FR"/>
        </w:rPr>
        <w:t>Secrétaire général de la Convention : annonce de vacance de poste</w:t>
      </w:r>
      <w:r w:rsidR="00D60A2F" w:rsidRPr="008C7A56">
        <w:rPr>
          <w:rFonts w:ascii="Calibri" w:hAnsi="Calibri"/>
          <w:lang w:val="fr-FR"/>
        </w:rPr>
        <w:t xml:space="preserve"> (22</w:t>
      </w:r>
      <w:r w:rsidRPr="008C7A56">
        <w:rPr>
          <w:rFonts w:ascii="Calibri" w:hAnsi="Calibri"/>
          <w:lang w:val="fr-FR"/>
        </w:rPr>
        <w:t> février </w:t>
      </w:r>
      <w:r w:rsidR="00D60A2F" w:rsidRPr="008C7A56">
        <w:rPr>
          <w:rFonts w:ascii="Calibri" w:hAnsi="Calibri"/>
          <w:lang w:val="fr-FR"/>
        </w:rPr>
        <w:t>2016</w:t>
      </w:r>
      <w:r w:rsidRPr="008C7A56">
        <w:rPr>
          <w:rFonts w:ascii="Calibri" w:hAnsi="Calibri"/>
          <w:lang w:val="fr-FR"/>
        </w:rPr>
        <w:t>)</w:t>
      </w:r>
    </w:p>
    <w:p w:rsidR="00D60A2F" w:rsidRPr="008C7A56" w:rsidRDefault="002807CF" w:rsidP="00FB4C67">
      <w:pPr>
        <w:pStyle w:val="ListParagraph"/>
        <w:numPr>
          <w:ilvl w:val="0"/>
          <w:numId w:val="30"/>
        </w:numPr>
        <w:spacing w:after="0" w:line="240" w:lineRule="auto"/>
        <w:ind w:left="851" w:right="-46" w:hanging="425"/>
        <w:rPr>
          <w:rFonts w:ascii="Calibri" w:eastAsia="Arial Unicode MS" w:hAnsi="Calibri" w:cs="Arial Unicode MS"/>
          <w:kern w:val="1"/>
          <w:lang w:val="fr-FR" w:eastAsia="hi-IN" w:bidi="hi-IN"/>
        </w:rPr>
      </w:pPr>
      <w:r w:rsidRPr="008C7A56">
        <w:rPr>
          <w:rFonts w:ascii="Calibri" w:hAnsi="Calibri"/>
          <w:lang w:val="fr-FR"/>
        </w:rPr>
        <w:t xml:space="preserve">Note diplomatique </w:t>
      </w:r>
      <w:r w:rsidR="00D60A2F" w:rsidRPr="008C7A56">
        <w:rPr>
          <w:rFonts w:ascii="Calibri" w:hAnsi="Calibri"/>
          <w:lang w:val="fr-FR"/>
        </w:rPr>
        <w:t>2</w:t>
      </w:r>
      <w:r w:rsidRPr="008C7A56">
        <w:rPr>
          <w:color w:val="000000" w:themeColor="text1"/>
          <w:lang w:val="fr-FR"/>
        </w:rPr>
        <w:t>016/4</w:t>
      </w:r>
      <w:r w:rsidR="00D60A2F" w:rsidRPr="008C7A56">
        <w:rPr>
          <w:color w:val="000000" w:themeColor="text1"/>
          <w:lang w:val="fr-FR"/>
        </w:rPr>
        <w:t xml:space="preserve"> : </w:t>
      </w:r>
      <w:r w:rsidR="00D60A2F" w:rsidRPr="008C7A56">
        <w:rPr>
          <w:i/>
          <w:color w:val="000000" w:themeColor="text1"/>
          <w:lang w:val="fr-FR"/>
        </w:rPr>
        <w:t xml:space="preserve">Invitation </w:t>
      </w:r>
      <w:r w:rsidRPr="008C7A56">
        <w:rPr>
          <w:i/>
          <w:color w:val="000000" w:themeColor="text1"/>
          <w:lang w:val="fr-FR"/>
        </w:rPr>
        <w:t xml:space="preserve">à rejoindre le Groupe de travail sur les </w:t>
      </w:r>
      <w:r w:rsidR="001D5972" w:rsidRPr="008C7A56">
        <w:rPr>
          <w:i/>
          <w:color w:val="000000" w:themeColor="text1"/>
          <w:lang w:val="fr-FR"/>
        </w:rPr>
        <w:t>i</w:t>
      </w:r>
      <w:r w:rsidRPr="008C7A56">
        <w:rPr>
          <w:i/>
          <w:color w:val="000000" w:themeColor="text1"/>
          <w:lang w:val="fr-FR"/>
        </w:rPr>
        <w:t xml:space="preserve">nitiatives régionales Ramsar </w:t>
      </w:r>
      <w:r w:rsidR="00D60A2F" w:rsidRPr="008C7A56">
        <w:rPr>
          <w:rFonts w:ascii="Calibri" w:hAnsi="Calibri"/>
          <w:lang w:val="fr-FR"/>
        </w:rPr>
        <w:t>(23</w:t>
      </w:r>
      <w:r w:rsidRPr="008C7A56">
        <w:rPr>
          <w:rFonts w:ascii="Calibri" w:hAnsi="Calibri"/>
          <w:lang w:val="fr-FR"/>
        </w:rPr>
        <w:t> février </w:t>
      </w:r>
      <w:r w:rsidR="00D60A2F" w:rsidRPr="008C7A56">
        <w:rPr>
          <w:rFonts w:ascii="Calibri" w:hAnsi="Calibri"/>
          <w:lang w:val="fr-FR"/>
        </w:rPr>
        <w:t>2016)</w:t>
      </w:r>
    </w:p>
    <w:p w:rsidR="00B46D79" w:rsidRPr="008C7A56" w:rsidRDefault="00B46D79" w:rsidP="003B529A">
      <w:pPr>
        <w:pStyle w:val="ListParagraph"/>
        <w:spacing w:after="0" w:line="240" w:lineRule="auto"/>
        <w:ind w:left="426" w:right="-46" w:hanging="426"/>
        <w:rPr>
          <w:rFonts w:ascii="Calibri" w:eastAsia="Arial Unicode MS" w:hAnsi="Calibri" w:cs="Arial Unicode MS"/>
          <w:kern w:val="1"/>
          <w:lang w:val="fr-FR" w:eastAsia="hi-IN" w:bidi="hi-IN"/>
        </w:rPr>
      </w:pPr>
    </w:p>
    <w:p w:rsidR="00383692" w:rsidRPr="008C7A56" w:rsidRDefault="002807CF" w:rsidP="003B529A">
      <w:pPr>
        <w:pStyle w:val="ListParagraph"/>
        <w:widowControl w:val="0"/>
        <w:numPr>
          <w:ilvl w:val="0"/>
          <w:numId w:val="4"/>
        </w:numPr>
        <w:spacing w:after="0" w:line="240" w:lineRule="auto"/>
        <w:ind w:left="426" w:right="-46" w:hanging="426"/>
        <w:rPr>
          <w:rFonts w:ascii="Calibri" w:hAnsi="Calibri" w:cs="Calibri"/>
          <w:lang w:val="fr-FR"/>
        </w:rPr>
      </w:pPr>
      <w:r w:rsidRPr="008C7A56">
        <w:rPr>
          <w:rFonts w:ascii="Calibri" w:eastAsia="Arial Unicode MS" w:hAnsi="Calibri" w:cs="Arial Unicode MS"/>
          <w:kern w:val="1"/>
          <w:lang w:val="fr-FR" w:eastAsia="hi-IN" w:bidi="hi-IN"/>
        </w:rPr>
        <w:t>Rapports sur les voyages</w:t>
      </w:r>
      <w:r w:rsidR="00D60A2F" w:rsidRPr="008C7A56">
        <w:rPr>
          <w:rFonts w:ascii="Calibri" w:eastAsia="Arial Unicode MS" w:hAnsi="Calibri" w:cs="Arial Unicode MS"/>
          <w:kern w:val="1"/>
          <w:lang w:val="fr-FR" w:eastAsia="hi-IN" w:bidi="hi-IN"/>
        </w:rPr>
        <w:t xml:space="preserve"> :</w:t>
      </w:r>
      <w:r w:rsidR="009050AD" w:rsidRPr="008C7A56">
        <w:rPr>
          <w:rFonts w:ascii="Calibri" w:eastAsia="Arial Unicode MS" w:hAnsi="Calibri" w:cs="Arial Unicode MS"/>
          <w:kern w:val="1"/>
          <w:lang w:val="fr-FR" w:eastAsia="hi-IN" w:bidi="hi-IN"/>
        </w:rPr>
        <w:t xml:space="preserve"> </w:t>
      </w:r>
      <w:r w:rsidR="00716C24" w:rsidRPr="008C7A56">
        <w:rPr>
          <w:rFonts w:ascii="Calibri" w:hAnsi="Calibri" w:cs="Calibri"/>
          <w:lang w:val="fr-FR"/>
        </w:rPr>
        <w:t>D</w:t>
      </w:r>
      <w:r w:rsidRPr="008C7A56">
        <w:rPr>
          <w:rFonts w:ascii="Calibri" w:hAnsi="Calibri" w:cs="Calibri"/>
          <w:lang w:val="fr-FR"/>
        </w:rPr>
        <w:t xml:space="preserve">es détails de toutes les missions des cadres supérieurs du Secrétariat avec les dates et les résultats des missions se trouvent dans l’annexe 3, pour </w:t>
      </w:r>
      <w:r w:rsidR="001D5972" w:rsidRPr="008C7A56">
        <w:rPr>
          <w:rFonts w:ascii="Calibri" w:hAnsi="Calibri" w:cs="Calibri"/>
          <w:lang w:val="fr-FR"/>
        </w:rPr>
        <w:t xml:space="preserve">la période de </w:t>
      </w:r>
      <w:r w:rsidRPr="008C7A56">
        <w:rPr>
          <w:rFonts w:ascii="Calibri" w:hAnsi="Calibri" w:cs="Calibri"/>
          <w:lang w:val="fr-FR"/>
        </w:rPr>
        <w:t>décembre </w:t>
      </w:r>
      <w:r w:rsidR="00716C24" w:rsidRPr="008C7A56">
        <w:rPr>
          <w:rFonts w:ascii="Calibri" w:hAnsi="Calibri" w:cs="Calibri"/>
          <w:lang w:val="fr-FR"/>
        </w:rPr>
        <w:t xml:space="preserve">2015 </w:t>
      </w:r>
      <w:r w:rsidRPr="008C7A56">
        <w:rPr>
          <w:rFonts w:ascii="Calibri" w:hAnsi="Calibri" w:cs="Calibri"/>
          <w:lang w:val="fr-FR"/>
        </w:rPr>
        <w:softHyphen/>
        <w:t>–</w:t>
      </w:r>
      <w:r w:rsidR="00716C24" w:rsidRPr="008C7A56">
        <w:rPr>
          <w:rFonts w:ascii="Calibri" w:hAnsi="Calibri" w:cs="Calibri"/>
          <w:lang w:val="fr-FR"/>
        </w:rPr>
        <w:t xml:space="preserve"> </w:t>
      </w:r>
      <w:r w:rsidRPr="008C7A56">
        <w:rPr>
          <w:rFonts w:ascii="Calibri" w:hAnsi="Calibri" w:cs="Calibri"/>
          <w:lang w:val="fr-FR"/>
        </w:rPr>
        <w:t>février </w:t>
      </w:r>
      <w:r w:rsidR="00716C24" w:rsidRPr="008C7A56">
        <w:rPr>
          <w:rFonts w:ascii="Calibri" w:hAnsi="Calibri" w:cs="Calibri"/>
          <w:lang w:val="fr-FR"/>
        </w:rPr>
        <w:t>2016</w:t>
      </w:r>
      <w:r w:rsidR="00A74DAC" w:rsidRPr="008C7A56">
        <w:rPr>
          <w:rFonts w:ascii="Calibri" w:hAnsi="Calibri" w:cs="Calibri"/>
          <w:lang w:val="fr-FR"/>
        </w:rPr>
        <w:t>.</w:t>
      </w:r>
      <w:r w:rsidR="00716C24" w:rsidRPr="008C7A56">
        <w:rPr>
          <w:rFonts w:ascii="Calibri" w:hAnsi="Calibri" w:cs="Calibri"/>
          <w:lang w:val="fr-FR"/>
        </w:rPr>
        <w:t xml:space="preserve"> </w:t>
      </w:r>
      <w:r w:rsidRPr="008C7A56">
        <w:rPr>
          <w:rFonts w:ascii="Calibri" w:hAnsi="Calibri" w:cs="Calibri"/>
          <w:lang w:val="fr-FR"/>
        </w:rPr>
        <w:t xml:space="preserve">Tous les rapports détaillés sur les voyages de ces missions sont disponibles sur demande et sont archivés au Secrétariat. </w:t>
      </w:r>
      <w:r w:rsidR="00716C24" w:rsidRPr="008C7A56">
        <w:rPr>
          <w:rFonts w:ascii="Calibri" w:hAnsi="Calibri" w:cs="Calibri"/>
          <w:lang w:val="fr-FR"/>
        </w:rPr>
        <w:t xml:space="preserve"> </w:t>
      </w:r>
    </w:p>
    <w:p w:rsidR="00521719" w:rsidRPr="008C7A56" w:rsidRDefault="00521719" w:rsidP="003B529A">
      <w:pPr>
        <w:pStyle w:val="ListParagraph"/>
        <w:spacing w:after="0" w:line="240" w:lineRule="auto"/>
        <w:rPr>
          <w:rFonts w:ascii="Calibri" w:hAnsi="Calibri" w:cs="Calibri"/>
          <w:lang w:val="fr-FR"/>
        </w:rPr>
      </w:pPr>
    </w:p>
    <w:p w:rsidR="00102E4B" w:rsidRPr="008C7A56" w:rsidRDefault="00102E4B">
      <w:pPr>
        <w:rPr>
          <w:rFonts w:eastAsia="Garamond" w:cs="Garamond"/>
          <w:b/>
          <w:bCs/>
          <w:sz w:val="24"/>
          <w:szCs w:val="24"/>
          <w:lang w:val="fr-FR"/>
        </w:rPr>
      </w:pPr>
      <w:r w:rsidRPr="008C7A56">
        <w:rPr>
          <w:rFonts w:eastAsia="Garamond" w:cs="Garamond"/>
          <w:b/>
          <w:bCs/>
          <w:sz w:val="24"/>
          <w:szCs w:val="24"/>
          <w:lang w:val="fr-FR"/>
        </w:rPr>
        <w:br w:type="page"/>
      </w:r>
    </w:p>
    <w:p w:rsidR="00505ADE" w:rsidRPr="008C7A56" w:rsidRDefault="00505ADE">
      <w:pPr>
        <w:rPr>
          <w:rFonts w:eastAsia="Garamond" w:cs="Garamond"/>
          <w:b/>
          <w:bCs/>
          <w:sz w:val="24"/>
          <w:szCs w:val="24"/>
          <w:lang w:val="fr-FR"/>
        </w:rPr>
      </w:pPr>
    </w:p>
    <w:p w:rsidR="00B57F72" w:rsidRPr="008C7A56" w:rsidRDefault="00BE6581" w:rsidP="00B57F72">
      <w:pPr>
        <w:tabs>
          <w:tab w:val="left" w:pos="851"/>
        </w:tabs>
        <w:spacing w:after="0" w:line="240" w:lineRule="auto"/>
        <w:rPr>
          <w:rFonts w:eastAsia="Garamond" w:cs="Garamond"/>
          <w:b/>
          <w:bCs/>
          <w:sz w:val="24"/>
          <w:szCs w:val="24"/>
          <w:lang w:val="fr-FR"/>
        </w:rPr>
      </w:pPr>
      <w:r w:rsidRPr="008C7A56">
        <w:rPr>
          <w:rFonts w:eastAsia="Garamond" w:cs="Garamond"/>
          <w:b/>
          <w:bCs/>
          <w:sz w:val="24"/>
          <w:szCs w:val="24"/>
          <w:lang w:val="fr-FR"/>
        </w:rPr>
        <w:t>Annex</w:t>
      </w:r>
      <w:r w:rsidR="002807CF" w:rsidRPr="008C7A56">
        <w:rPr>
          <w:rFonts w:eastAsia="Garamond" w:cs="Garamond"/>
          <w:b/>
          <w:bCs/>
          <w:sz w:val="24"/>
          <w:szCs w:val="24"/>
          <w:lang w:val="fr-FR"/>
        </w:rPr>
        <w:t>e</w:t>
      </w:r>
      <w:r w:rsidRPr="008C7A56">
        <w:rPr>
          <w:rFonts w:eastAsia="Garamond" w:cs="Garamond"/>
          <w:b/>
          <w:bCs/>
          <w:sz w:val="24"/>
          <w:szCs w:val="24"/>
          <w:lang w:val="fr-FR"/>
        </w:rPr>
        <w:t xml:space="preserve"> 1</w:t>
      </w:r>
    </w:p>
    <w:p w:rsidR="003F21D2" w:rsidRPr="008C7A56" w:rsidRDefault="003F21D2" w:rsidP="003F21D2">
      <w:pPr>
        <w:spacing w:after="0" w:line="240" w:lineRule="auto"/>
        <w:rPr>
          <w:rFonts w:cs="Arial"/>
          <w:b/>
          <w:sz w:val="24"/>
          <w:szCs w:val="24"/>
          <w:lang w:val="fr-FR"/>
        </w:rPr>
      </w:pPr>
    </w:p>
    <w:p w:rsidR="003F21D2" w:rsidRPr="008C7A56" w:rsidRDefault="009C09EE" w:rsidP="003F21D2">
      <w:pPr>
        <w:spacing w:after="0" w:line="240" w:lineRule="auto"/>
        <w:rPr>
          <w:rFonts w:cs="Arial"/>
          <w:b/>
          <w:sz w:val="24"/>
          <w:szCs w:val="24"/>
          <w:lang w:val="fr-FR"/>
        </w:rPr>
      </w:pPr>
      <w:r w:rsidRPr="008C7A56">
        <w:rPr>
          <w:rFonts w:cs="Arial"/>
          <w:b/>
          <w:sz w:val="24"/>
          <w:szCs w:val="24"/>
          <w:lang w:val="fr-FR"/>
        </w:rPr>
        <w:t>Dispositions intérimaires pour l’administration du Secrétariat</w:t>
      </w:r>
    </w:p>
    <w:p w:rsidR="003F21D2" w:rsidRPr="008C7A56" w:rsidRDefault="003F21D2" w:rsidP="003F21D2">
      <w:pPr>
        <w:spacing w:after="0" w:line="240" w:lineRule="auto"/>
        <w:rPr>
          <w:rFonts w:ascii="Calibri" w:hAnsi="Calibri" w:cs="Arial"/>
          <w:lang w:val="fr-FR"/>
        </w:rPr>
      </w:pPr>
    </w:p>
    <w:p w:rsidR="003F21D2" w:rsidRPr="008C7A56" w:rsidRDefault="009C09EE" w:rsidP="003F21D2">
      <w:pPr>
        <w:spacing w:after="0" w:line="240" w:lineRule="auto"/>
        <w:rPr>
          <w:rFonts w:ascii="Calibri" w:hAnsi="Calibri" w:cs="Arial"/>
          <w:lang w:val="fr-FR"/>
        </w:rPr>
      </w:pPr>
      <w:r w:rsidRPr="008C7A56">
        <w:rPr>
          <w:rFonts w:ascii="Calibri" w:hAnsi="Calibri" w:cs="Arial"/>
          <w:lang w:val="fr-FR"/>
        </w:rPr>
        <w:t>La Secrétaire générale adjointe</w:t>
      </w:r>
      <w:r w:rsidR="003F21D2" w:rsidRPr="008C7A56">
        <w:rPr>
          <w:rFonts w:ascii="Calibri" w:hAnsi="Calibri" w:cs="Arial"/>
          <w:lang w:val="fr-FR"/>
        </w:rPr>
        <w:t xml:space="preserve"> (</w:t>
      </w:r>
      <w:r w:rsidRPr="008C7A56">
        <w:rPr>
          <w:rFonts w:ascii="Calibri" w:hAnsi="Calibri" w:cs="Arial"/>
          <w:lang w:val="fr-FR"/>
        </w:rPr>
        <w:t>SGA</w:t>
      </w:r>
      <w:r w:rsidR="003F21D2" w:rsidRPr="008C7A56">
        <w:rPr>
          <w:rFonts w:ascii="Calibri" w:hAnsi="Calibri" w:cs="Arial"/>
          <w:lang w:val="fr-FR"/>
        </w:rPr>
        <w:t xml:space="preserve">) </w:t>
      </w:r>
      <w:r w:rsidRPr="008C7A56">
        <w:rPr>
          <w:rFonts w:ascii="Calibri" w:hAnsi="Calibri" w:cs="Arial"/>
          <w:lang w:val="fr-FR"/>
        </w:rPr>
        <w:t xml:space="preserve">est nommée Secrétaire générale par intérim et il lui est conféré l’appui </w:t>
      </w:r>
      <w:r w:rsidR="0019412B" w:rsidRPr="008C7A56">
        <w:rPr>
          <w:rFonts w:ascii="Calibri" w:hAnsi="Calibri" w:cs="Arial"/>
          <w:lang w:val="fr-FR"/>
        </w:rPr>
        <w:t>supplémentaire</w:t>
      </w:r>
      <w:r w:rsidR="000D3807" w:rsidRPr="008C7A56">
        <w:rPr>
          <w:rFonts w:ascii="Calibri" w:hAnsi="Calibri" w:cs="Arial"/>
          <w:lang w:val="fr-FR"/>
        </w:rPr>
        <w:t xml:space="preserve"> </w:t>
      </w:r>
      <w:r w:rsidRPr="008C7A56">
        <w:rPr>
          <w:rFonts w:ascii="Calibri" w:hAnsi="Calibri" w:cs="Arial"/>
          <w:lang w:val="fr-FR"/>
        </w:rPr>
        <w:t xml:space="preserve">et le rôle de supervision </w:t>
      </w:r>
      <w:r w:rsidR="001D5972" w:rsidRPr="008C7A56">
        <w:rPr>
          <w:rFonts w:ascii="Calibri" w:hAnsi="Calibri" w:cs="Arial"/>
          <w:lang w:val="fr-FR"/>
        </w:rPr>
        <w:t>renforcé</w:t>
      </w:r>
      <w:r w:rsidRPr="008C7A56">
        <w:rPr>
          <w:rFonts w:ascii="Calibri" w:hAnsi="Calibri" w:cs="Arial"/>
          <w:lang w:val="fr-FR"/>
        </w:rPr>
        <w:t xml:space="preserve"> de ce </w:t>
      </w:r>
      <w:r w:rsidR="0019412B" w:rsidRPr="008C7A56">
        <w:rPr>
          <w:rFonts w:ascii="Calibri" w:hAnsi="Calibri" w:cs="Arial"/>
          <w:lang w:val="fr-FR"/>
        </w:rPr>
        <w:t>poste</w:t>
      </w:r>
      <w:r w:rsidR="00014433" w:rsidRPr="008C7A56">
        <w:rPr>
          <w:rFonts w:ascii="Calibri" w:hAnsi="Calibri" w:cs="Arial"/>
          <w:lang w:val="fr-FR"/>
        </w:rPr>
        <w:t xml:space="preserve"> intérimaire</w:t>
      </w:r>
      <w:r w:rsidRPr="008C7A56">
        <w:rPr>
          <w:rFonts w:ascii="Calibri" w:hAnsi="Calibri" w:cs="Arial"/>
          <w:lang w:val="fr-FR"/>
        </w:rPr>
        <w:t>.</w:t>
      </w:r>
    </w:p>
    <w:p w:rsidR="003F21D2" w:rsidRPr="008C7A56" w:rsidRDefault="003F21D2" w:rsidP="003F21D2">
      <w:pPr>
        <w:spacing w:after="0" w:line="240" w:lineRule="auto"/>
        <w:rPr>
          <w:rFonts w:ascii="Calibri" w:hAnsi="Calibri" w:cs="Arial"/>
          <w:lang w:val="fr-FR"/>
        </w:rPr>
      </w:pPr>
    </w:p>
    <w:p w:rsidR="003F21D2" w:rsidRPr="008C7A56" w:rsidRDefault="009C09EE" w:rsidP="003F21D2">
      <w:pPr>
        <w:spacing w:after="0" w:line="240" w:lineRule="auto"/>
        <w:rPr>
          <w:rFonts w:ascii="Calibri" w:hAnsi="Calibri" w:cs="Arial"/>
          <w:lang w:val="fr-FR"/>
        </w:rPr>
      </w:pPr>
      <w:r w:rsidRPr="008C7A56">
        <w:rPr>
          <w:rFonts w:ascii="Calibri" w:hAnsi="Calibri" w:cs="Arial"/>
          <w:lang w:val="fr-FR"/>
        </w:rPr>
        <w:t xml:space="preserve">Les éléments clés de cet appui et de la supervision sont : </w:t>
      </w:r>
    </w:p>
    <w:p w:rsidR="003F21D2" w:rsidRPr="008C7A56" w:rsidRDefault="003F21D2" w:rsidP="003F21D2">
      <w:pPr>
        <w:spacing w:after="0" w:line="240" w:lineRule="auto"/>
        <w:rPr>
          <w:rFonts w:ascii="Calibri" w:hAnsi="Calibri" w:cs="Arial"/>
          <w:lang w:val="fr-FR"/>
        </w:rPr>
      </w:pPr>
    </w:p>
    <w:p w:rsidR="003F21D2" w:rsidRPr="008C7A56" w:rsidRDefault="003F21D2" w:rsidP="001E2235">
      <w:pPr>
        <w:spacing w:after="0" w:line="240" w:lineRule="auto"/>
        <w:ind w:left="426" w:hanging="426"/>
        <w:rPr>
          <w:rFonts w:ascii="Calibri" w:hAnsi="Calibri" w:cs="Arial"/>
          <w:lang w:val="fr-FR"/>
        </w:rPr>
      </w:pPr>
      <w:r w:rsidRPr="008C7A56">
        <w:rPr>
          <w:rFonts w:ascii="Calibri" w:hAnsi="Calibri" w:cs="Arial"/>
          <w:lang w:val="fr-FR"/>
        </w:rPr>
        <w:t xml:space="preserve">1) </w:t>
      </w:r>
      <w:r w:rsidR="001E2235">
        <w:rPr>
          <w:rFonts w:ascii="Calibri" w:hAnsi="Calibri" w:cs="Arial"/>
          <w:lang w:val="fr-FR"/>
        </w:rPr>
        <w:tab/>
      </w:r>
      <w:r w:rsidRPr="008C7A56">
        <w:rPr>
          <w:rFonts w:ascii="Calibri" w:hAnsi="Calibri" w:cs="Arial"/>
          <w:lang w:val="fr-FR"/>
        </w:rPr>
        <w:t>Organi</w:t>
      </w:r>
      <w:r w:rsidR="009C09EE" w:rsidRPr="008C7A56">
        <w:rPr>
          <w:rFonts w:ascii="Calibri" w:hAnsi="Calibri" w:cs="Arial"/>
          <w:lang w:val="fr-FR"/>
        </w:rPr>
        <w:t>s</w:t>
      </w:r>
      <w:r w:rsidRPr="008C7A56">
        <w:rPr>
          <w:rFonts w:ascii="Calibri" w:hAnsi="Calibri" w:cs="Arial"/>
          <w:lang w:val="fr-FR"/>
        </w:rPr>
        <w:t>ation/Administration</w:t>
      </w:r>
    </w:p>
    <w:p w:rsidR="003F21D2" w:rsidRPr="008C7A56" w:rsidRDefault="00A6249C" w:rsidP="001E2235">
      <w:pPr>
        <w:pStyle w:val="ListParagraph"/>
        <w:numPr>
          <w:ilvl w:val="0"/>
          <w:numId w:val="21"/>
        </w:numPr>
        <w:spacing w:after="0" w:line="240" w:lineRule="auto"/>
        <w:ind w:left="851" w:hanging="425"/>
        <w:rPr>
          <w:rFonts w:ascii="Calibri" w:hAnsi="Calibri" w:cs="Arial"/>
          <w:lang w:val="fr-FR"/>
        </w:rPr>
      </w:pPr>
      <w:r w:rsidRPr="008C7A56">
        <w:rPr>
          <w:rFonts w:ascii="Calibri" w:hAnsi="Calibri" w:cs="Arial"/>
          <w:lang w:val="fr-FR"/>
        </w:rPr>
        <w:t>L</w:t>
      </w:r>
      <w:r w:rsidR="009C09EE" w:rsidRPr="008C7A56">
        <w:rPr>
          <w:rFonts w:ascii="Calibri" w:hAnsi="Calibri" w:cs="Arial"/>
          <w:lang w:val="fr-FR"/>
        </w:rPr>
        <w:t>a structure du Secrétariat reste telle qu’elle est et la S</w:t>
      </w:r>
      <w:r w:rsidR="001D5972" w:rsidRPr="008C7A56">
        <w:rPr>
          <w:rFonts w:ascii="Calibri" w:hAnsi="Calibri" w:cs="Arial"/>
          <w:lang w:val="fr-FR"/>
        </w:rPr>
        <w:t xml:space="preserve">GA </w:t>
      </w:r>
      <w:r w:rsidR="009C09EE" w:rsidRPr="008C7A56">
        <w:rPr>
          <w:rFonts w:ascii="Calibri" w:hAnsi="Calibri" w:cs="Arial"/>
          <w:lang w:val="fr-FR"/>
        </w:rPr>
        <w:t xml:space="preserve">continue de remplir les fonctions de </w:t>
      </w:r>
      <w:r w:rsidR="0019412B" w:rsidRPr="008C7A56">
        <w:rPr>
          <w:rFonts w:ascii="Calibri" w:hAnsi="Calibri" w:cs="Arial"/>
          <w:lang w:val="fr-FR"/>
        </w:rPr>
        <w:t xml:space="preserve">la </w:t>
      </w:r>
      <w:r w:rsidR="009C09EE" w:rsidRPr="008C7A56">
        <w:rPr>
          <w:rFonts w:ascii="Calibri" w:hAnsi="Calibri" w:cs="Arial"/>
          <w:lang w:val="fr-FR"/>
        </w:rPr>
        <w:t>S</w:t>
      </w:r>
      <w:r w:rsidR="001D5972" w:rsidRPr="008C7A56">
        <w:rPr>
          <w:rFonts w:ascii="Calibri" w:hAnsi="Calibri" w:cs="Arial"/>
          <w:lang w:val="fr-FR"/>
        </w:rPr>
        <w:t>GA</w:t>
      </w:r>
      <w:r w:rsidRPr="008C7A56">
        <w:rPr>
          <w:rFonts w:ascii="Calibri" w:hAnsi="Calibri" w:cs="Arial"/>
          <w:lang w:val="fr-FR"/>
        </w:rPr>
        <w:t>.</w:t>
      </w:r>
      <w:r w:rsidR="009C09EE" w:rsidRPr="008C7A56">
        <w:rPr>
          <w:rFonts w:ascii="Calibri" w:hAnsi="Calibri" w:cs="Arial"/>
          <w:lang w:val="fr-FR"/>
        </w:rPr>
        <w:t xml:space="preserve">  </w:t>
      </w:r>
    </w:p>
    <w:p w:rsidR="003F21D2" w:rsidRPr="008C7A56" w:rsidRDefault="0019412B" w:rsidP="001E2235">
      <w:pPr>
        <w:pStyle w:val="ListParagraph"/>
        <w:numPr>
          <w:ilvl w:val="0"/>
          <w:numId w:val="21"/>
        </w:numPr>
        <w:spacing w:after="0" w:line="240" w:lineRule="auto"/>
        <w:ind w:left="851" w:hanging="425"/>
        <w:rPr>
          <w:rFonts w:ascii="Calibri" w:hAnsi="Calibri" w:cs="Arial"/>
          <w:lang w:val="fr-FR"/>
        </w:rPr>
      </w:pPr>
      <w:r w:rsidRPr="008C7A56">
        <w:rPr>
          <w:rFonts w:ascii="Calibri" w:hAnsi="Calibri" w:cs="Arial"/>
          <w:lang w:val="fr-FR"/>
        </w:rPr>
        <w:t xml:space="preserve">La </w:t>
      </w:r>
      <w:r w:rsidR="001D5972" w:rsidRPr="008C7A56">
        <w:rPr>
          <w:rFonts w:ascii="Calibri" w:hAnsi="Calibri" w:cs="Arial"/>
          <w:lang w:val="fr-FR"/>
        </w:rPr>
        <w:t>SGA</w:t>
      </w:r>
      <w:r w:rsidR="00A6249C" w:rsidRPr="008C7A56">
        <w:rPr>
          <w:rFonts w:ascii="Calibri" w:hAnsi="Calibri" w:cs="Arial"/>
          <w:lang w:val="fr-FR"/>
        </w:rPr>
        <w:t xml:space="preserve"> peut être nommé</w:t>
      </w:r>
      <w:r w:rsidRPr="008C7A56">
        <w:rPr>
          <w:rFonts w:ascii="Calibri" w:hAnsi="Calibri" w:cs="Arial"/>
          <w:lang w:val="fr-FR"/>
        </w:rPr>
        <w:t>e</w:t>
      </w:r>
      <w:r w:rsidR="00A6249C" w:rsidRPr="008C7A56">
        <w:rPr>
          <w:rFonts w:ascii="Calibri" w:hAnsi="Calibri" w:cs="Arial"/>
          <w:lang w:val="fr-FR"/>
        </w:rPr>
        <w:t xml:space="preserve"> </w:t>
      </w:r>
      <w:r w:rsidR="001D5972" w:rsidRPr="008C7A56">
        <w:rPr>
          <w:rFonts w:ascii="Calibri" w:hAnsi="Calibri" w:cs="Arial"/>
          <w:lang w:val="fr-FR"/>
        </w:rPr>
        <w:t xml:space="preserve">pour </w:t>
      </w:r>
      <w:r w:rsidR="00A6249C" w:rsidRPr="008C7A56">
        <w:rPr>
          <w:rFonts w:ascii="Calibri" w:hAnsi="Calibri" w:cs="Arial"/>
          <w:lang w:val="fr-FR"/>
        </w:rPr>
        <w:t>une année</w:t>
      </w:r>
      <w:r w:rsidR="001D5972" w:rsidRPr="008C7A56">
        <w:rPr>
          <w:rFonts w:ascii="Calibri" w:hAnsi="Calibri" w:cs="Arial"/>
          <w:lang w:val="fr-FR"/>
        </w:rPr>
        <w:t xml:space="preserve"> maximum</w:t>
      </w:r>
      <w:r w:rsidR="00A6249C" w:rsidRPr="008C7A56">
        <w:rPr>
          <w:rFonts w:ascii="Calibri" w:hAnsi="Calibri" w:cs="Arial"/>
          <w:lang w:val="fr-FR"/>
        </w:rPr>
        <w:t xml:space="preserve"> (la période devrait être plus courte).</w:t>
      </w:r>
    </w:p>
    <w:p w:rsidR="003F21D2" w:rsidRPr="008C7A56" w:rsidRDefault="0019412B" w:rsidP="001E2235">
      <w:pPr>
        <w:pStyle w:val="ListParagraph"/>
        <w:numPr>
          <w:ilvl w:val="0"/>
          <w:numId w:val="21"/>
        </w:numPr>
        <w:spacing w:after="0" w:line="240" w:lineRule="auto"/>
        <w:ind w:left="851" w:hanging="425"/>
        <w:rPr>
          <w:rFonts w:ascii="Calibri" w:hAnsi="Calibri" w:cs="Arial"/>
          <w:lang w:val="fr-FR"/>
        </w:rPr>
      </w:pPr>
      <w:r w:rsidRPr="008C7A56">
        <w:rPr>
          <w:rFonts w:ascii="Calibri" w:hAnsi="Calibri" w:cs="Arial"/>
          <w:lang w:val="fr-FR"/>
        </w:rPr>
        <w:t xml:space="preserve">La SGA </w:t>
      </w:r>
      <w:r w:rsidR="00A6249C" w:rsidRPr="008C7A56">
        <w:rPr>
          <w:rFonts w:ascii="Calibri" w:hAnsi="Calibri" w:cs="Arial"/>
          <w:lang w:val="fr-FR"/>
        </w:rPr>
        <w:t>reçoit un</w:t>
      </w:r>
      <w:r w:rsidR="00014433" w:rsidRPr="008C7A56">
        <w:rPr>
          <w:rFonts w:ascii="Calibri" w:hAnsi="Calibri" w:cs="Arial"/>
          <w:lang w:val="fr-FR"/>
        </w:rPr>
        <w:t>e indemnité</w:t>
      </w:r>
      <w:r w:rsidR="00A6249C" w:rsidRPr="008C7A56">
        <w:rPr>
          <w:rFonts w:ascii="Calibri" w:hAnsi="Calibri" w:cs="Arial"/>
          <w:lang w:val="fr-FR"/>
        </w:rPr>
        <w:t xml:space="preserve"> approprié</w:t>
      </w:r>
      <w:r w:rsidR="00014433" w:rsidRPr="008C7A56">
        <w:rPr>
          <w:rFonts w:ascii="Calibri" w:hAnsi="Calibri" w:cs="Arial"/>
          <w:lang w:val="fr-FR"/>
        </w:rPr>
        <w:t>e</w:t>
      </w:r>
      <w:r w:rsidR="00A6249C" w:rsidRPr="008C7A56">
        <w:rPr>
          <w:rFonts w:ascii="Calibri" w:hAnsi="Calibri" w:cs="Arial"/>
          <w:lang w:val="fr-FR"/>
        </w:rPr>
        <w:t xml:space="preserve"> et </w:t>
      </w:r>
      <w:r w:rsidR="00014433" w:rsidRPr="008C7A56">
        <w:rPr>
          <w:rFonts w:ascii="Calibri" w:hAnsi="Calibri" w:cs="Arial"/>
          <w:lang w:val="fr-FR"/>
        </w:rPr>
        <w:t>conforme à</w:t>
      </w:r>
      <w:r w:rsidR="00A6249C" w:rsidRPr="008C7A56">
        <w:rPr>
          <w:rFonts w:ascii="Calibri" w:hAnsi="Calibri" w:cs="Arial"/>
          <w:lang w:val="fr-FR"/>
        </w:rPr>
        <w:t xml:space="preserve"> la politique de l’UICN.</w:t>
      </w:r>
    </w:p>
    <w:p w:rsidR="003F21D2" w:rsidRPr="008C7A56" w:rsidRDefault="0019412B" w:rsidP="001E2235">
      <w:pPr>
        <w:pStyle w:val="ListParagraph"/>
        <w:numPr>
          <w:ilvl w:val="0"/>
          <w:numId w:val="21"/>
        </w:numPr>
        <w:spacing w:after="0" w:line="240" w:lineRule="auto"/>
        <w:ind w:left="851" w:hanging="425"/>
        <w:rPr>
          <w:rFonts w:ascii="Calibri" w:hAnsi="Calibri" w:cs="Arial"/>
          <w:lang w:val="fr-FR"/>
        </w:rPr>
      </w:pPr>
      <w:r w:rsidRPr="008C7A56">
        <w:rPr>
          <w:rFonts w:ascii="Calibri" w:hAnsi="Calibri" w:cs="Arial"/>
          <w:lang w:val="fr-FR"/>
        </w:rPr>
        <w:t xml:space="preserve">La SGA </w:t>
      </w:r>
      <w:r w:rsidR="00A6249C" w:rsidRPr="008C7A56">
        <w:rPr>
          <w:rFonts w:ascii="Calibri" w:hAnsi="Calibri" w:cs="Arial"/>
          <w:lang w:val="fr-FR"/>
        </w:rPr>
        <w:t xml:space="preserve">a les devoirs et les responsabilités </w:t>
      </w:r>
      <w:r w:rsidR="00014433" w:rsidRPr="008C7A56">
        <w:rPr>
          <w:rFonts w:ascii="Calibri" w:hAnsi="Calibri" w:cs="Arial"/>
          <w:lang w:val="fr-FR"/>
        </w:rPr>
        <w:t>attachés a</w:t>
      </w:r>
      <w:r w:rsidR="00A6249C" w:rsidRPr="008C7A56">
        <w:rPr>
          <w:rFonts w:ascii="Calibri" w:hAnsi="Calibri" w:cs="Arial"/>
          <w:lang w:val="fr-FR"/>
        </w:rPr>
        <w:t xml:space="preserve">u poste de Secrétaire général qui </w:t>
      </w:r>
      <w:r w:rsidR="00014433" w:rsidRPr="008C7A56">
        <w:rPr>
          <w:rFonts w:ascii="Calibri" w:hAnsi="Calibri" w:cs="Arial"/>
          <w:lang w:val="fr-FR"/>
        </w:rPr>
        <w:t xml:space="preserve">correspondent à </w:t>
      </w:r>
      <w:r w:rsidR="00A6249C" w:rsidRPr="008C7A56">
        <w:rPr>
          <w:rFonts w:ascii="Calibri" w:hAnsi="Calibri" w:cs="Arial"/>
          <w:lang w:val="fr-FR"/>
        </w:rPr>
        <w:t>un régime intérimaire (par exemple, cela signifie : aucun changement important à la structure et à la politique et pas de voyages internationaux importants). La</w:t>
      </w:r>
      <w:r w:rsidR="00F552FD" w:rsidRPr="008C7A56">
        <w:rPr>
          <w:rFonts w:ascii="Calibri" w:hAnsi="Calibri" w:cs="Arial"/>
          <w:lang w:val="fr-FR"/>
        </w:rPr>
        <w:t xml:space="preserve"> </w:t>
      </w:r>
      <w:r w:rsidR="00A6249C" w:rsidRPr="008C7A56">
        <w:rPr>
          <w:rFonts w:ascii="Calibri" w:hAnsi="Calibri" w:cs="Arial"/>
          <w:lang w:val="fr-FR"/>
        </w:rPr>
        <w:t>nature exacte de cette disposition sera déterminée par le Comité exécutif, en consultation avec l’UICN.</w:t>
      </w:r>
    </w:p>
    <w:p w:rsidR="003F21D2" w:rsidRPr="008C7A56" w:rsidRDefault="0019412B" w:rsidP="001E2235">
      <w:pPr>
        <w:pStyle w:val="ListParagraph"/>
        <w:numPr>
          <w:ilvl w:val="0"/>
          <w:numId w:val="21"/>
        </w:numPr>
        <w:spacing w:after="0" w:line="240" w:lineRule="auto"/>
        <w:ind w:left="851" w:hanging="425"/>
        <w:rPr>
          <w:rFonts w:ascii="Calibri" w:hAnsi="Calibri" w:cs="Arial"/>
          <w:lang w:val="fr-FR"/>
        </w:rPr>
      </w:pPr>
      <w:r w:rsidRPr="008C7A56">
        <w:rPr>
          <w:rFonts w:ascii="Calibri" w:hAnsi="Calibri" w:cs="Arial"/>
          <w:lang w:val="fr-FR"/>
        </w:rPr>
        <w:t xml:space="preserve">La SGA </w:t>
      </w:r>
      <w:r w:rsidR="00A6249C" w:rsidRPr="008C7A56">
        <w:rPr>
          <w:rFonts w:ascii="Calibri" w:hAnsi="Calibri" w:cs="Arial"/>
          <w:lang w:val="fr-FR"/>
        </w:rPr>
        <w:t>sera officiellement évalué</w:t>
      </w:r>
      <w:r w:rsidR="00076AAB" w:rsidRPr="008C7A56">
        <w:rPr>
          <w:rFonts w:ascii="Calibri" w:hAnsi="Calibri" w:cs="Arial"/>
          <w:lang w:val="fr-FR"/>
        </w:rPr>
        <w:t>e</w:t>
      </w:r>
      <w:r w:rsidR="00A6249C" w:rsidRPr="008C7A56">
        <w:rPr>
          <w:rFonts w:ascii="Calibri" w:hAnsi="Calibri" w:cs="Arial"/>
          <w:lang w:val="fr-FR"/>
        </w:rPr>
        <w:t xml:space="preserve"> en temps </w:t>
      </w:r>
      <w:r w:rsidR="00177DFD" w:rsidRPr="008C7A56">
        <w:rPr>
          <w:rFonts w:ascii="Calibri" w:hAnsi="Calibri" w:cs="Arial"/>
          <w:lang w:val="fr-FR"/>
        </w:rPr>
        <w:t>voulu</w:t>
      </w:r>
      <w:r w:rsidR="00A6249C" w:rsidRPr="008C7A56">
        <w:rPr>
          <w:rFonts w:ascii="Calibri" w:hAnsi="Calibri" w:cs="Arial"/>
          <w:lang w:val="fr-FR"/>
        </w:rPr>
        <w:t xml:space="preserve">. </w:t>
      </w:r>
    </w:p>
    <w:p w:rsidR="003F21D2" w:rsidRPr="008C7A56" w:rsidRDefault="0019412B" w:rsidP="001E2235">
      <w:pPr>
        <w:pStyle w:val="ListParagraph"/>
        <w:numPr>
          <w:ilvl w:val="0"/>
          <w:numId w:val="21"/>
        </w:numPr>
        <w:spacing w:after="0" w:line="240" w:lineRule="auto"/>
        <w:ind w:left="851" w:hanging="425"/>
        <w:rPr>
          <w:rFonts w:ascii="Calibri" w:hAnsi="Calibri" w:cs="Arial"/>
          <w:lang w:val="fr-FR"/>
        </w:rPr>
      </w:pPr>
      <w:r w:rsidRPr="008C7A56">
        <w:rPr>
          <w:rFonts w:ascii="Calibri" w:hAnsi="Calibri" w:cs="Arial"/>
          <w:lang w:val="fr-FR"/>
        </w:rPr>
        <w:t xml:space="preserve">La SGA </w:t>
      </w:r>
      <w:r w:rsidR="00A6249C" w:rsidRPr="008C7A56">
        <w:rPr>
          <w:rFonts w:ascii="Calibri" w:hAnsi="Calibri" w:cs="Arial"/>
          <w:lang w:val="fr-FR"/>
        </w:rPr>
        <w:t xml:space="preserve">peut poser sa candidature pour le poste vacant de Secrétaire général mais elle </w:t>
      </w:r>
      <w:r w:rsidR="00177DFD" w:rsidRPr="008C7A56">
        <w:rPr>
          <w:rFonts w:ascii="Calibri" w:hAnsi="Calibri" w:cs="Arial"/>
          <w:lang w:val="fr-FR"/>
        </w:rPr>
        <w:t>est avertie, de manière</w:t>
      </w:r>
      <w:r w:rsidR="00A6249C" w:rsidRPr="008C7A56">
        <w:rPr>
          <w:rFonts w:ascii="Calibri" w:hAnsi="Calibri" w:cs="Arial"/>
          <w:lang w:val="fr-FR"/>
        </w:rPr>
        <w:t xml:space="preserve"> non équivoque que </w:t>
      </w:r>
      <w:r w:rsidR="00177DFD" w:rsidRPr="008C7A56">
        <w:rPr>
          <w:rFonts w:ascii="Calibri" w:hAnsi="Calibri" w:cs="Arial"/>
          <w:lang w:val="fr-FR"/>
        </w:rPr>
        <w:t>son rôle de Secrétaire général</w:t>
      </w:r>
      <w:r w:rsidR="00A6249C" w:rsidRPr="008C7A56">
        <w:rPr>
          <w:rFonts w:ascii="Calibri" w:hAnsi="Calibri" w:cs="Arial"/>
          <w:lang w:val="fr-FR"/>
        </w:rPr>
        <w:t xml:space="preserve"> par intérim ne lui </w:t>
      </w:r>
      <w:r w:rsidR="00177DFD" w:rsidRPr="008C7A56">
        <w:rPr>
          <w:rFonts w:ascii="Calibri" w:hAnsi="Calibri" w:cs="Arial"/>
          <w:lang w:val="fr-FR"/>
        </w:rPr>
        <w:t>vaudra</w:t>
      </w:r>
      <w:r w:rsidR="00A6249C" w:rsidRPr="008C7A56">
        <w:rPr>
          <w:rFonts w:ascii="Calibri" w:hAnsi="Calibri" w:cs="Arial"/>
          <w:lang w:val="fr-FR"/>
        </w:rPr>
        <w:t xml:space="preserve"> aucun traitement préférentiel dans le processus de recrutement. </w:t>
      </w:r>
    </w:p>
    <w:p w:rsidR="003F21D2" w:rsidRPr="008C7A56" w:rsidRDefault="00A6249C" w:rsidP="001E2235">
      <w:pPr>
        <w:pStyle w:val="ListParagraph"/>
        <w:numPr>
          <w:ilvl w:val="0"/>
          <w:numId w:val="21"/>
        </w:numPr>
        <w:spacing w:after="0" w:line="240" w:lineRule="auto"/>
        <w:ind w:left="851" w:hanging="425"/>
        <w:rPr>
          <w:rFonts w:ascii="Calibri" w:hAnsi="Calibri" w:cs="Arial"/>
          <w:lang w:val="fr-FR"/>
        </w:rPr>
      </w:pPr>
      <w:r w:rsidRPr="008C7A56">
        <w:rPr>
          <w:rFonts w:ascii="Calibri" w:hAnsi="Calibri" w:cs="Arial"/>
          <w:lang w:val="fr-FR"/>
        </w:rPr>
        <w:t>Conformément à la pratique établie de l’UICN, les responsabilités du poste d</w:t>
      </w:r>
      <w:r w:rsidR="00177DFD" w:rsidRPr="008C7A56">
        <w:rPr>
          <w:rFonts w:ascii="Calibri" w:hAnsi="Calibri" w:cs="Arial"/>
          <w:lang w:val="fr-FR"/>
        </w:rPr>
        <w:t>e SGA</w:t>
      </w:r>
      <w:r w:rsidRPr="008C7A56">
        <w:rPr>
          <w:rFonts w:ascii="Calibri" w:hAnsi="Calibri" w:cs="Arial"/>
          <w:lang w:val="fr-FR"/>
        </w:rPr>
        <w:t xml:space="preserve"> peuvent être assignées (en consultation avec le Comité exécutif) à un autre membre du Secrétariat, si nécessaire et s’il y a lieu. Dans ces circonstances, un</w:t>
      </w:r>
      <w:r w:rsidR="00177DFD" w:rsidRPr="008C7A56">
        <w:rPr>
          <w:rFonts w:ascii="Calibri" w:hAnsi="Calibri" w:cs="Arial"/>
          <w:lang w:val="fr-FR"/>
        </w:rPr>
        <w:t>e indemnité</w:t>
      </w:r>
      <w:r w:rsidRPr="008C7A56">
        <w:rPr>
          <w:rFonts w:ascii="Calibri" w:hAnsi="Calibri" w:cs="Arial"/>
          <w:lang w:val="fr-FR"/>
        </w:rPr>
        <w:t xml:space="preserve"> sera </w:t>
      </w:r>
      <w:r w:rsidR="00177DFD" w:rsidRPr="008C7A56">
        <w:rPr>
          <w:rFonts w:ascii="Calibri" w:hAnsi="Calibri" w:cs="Arial"/>
          <w:lang w:val="fr-FR"/>
        </w:rPr>
        <w:t>versée</w:t>
      </w:r>
      <w:r w:rsidRPr="008C7A56">
        <w:rPr>
          <w:rFonts w:ascii="Calibri" w:hAnsi="Calibri" w:cs="Arial"/>
          <w:lang w:val="fr-FR"/>
        </w:rPr>
        <w:t xml:space="preserve"> conformément à la politique de l’UICN. </w:t>
      </w:r>
      <w:r w:rsidR="003F21D2" w:rsidRPr="008C7A56">
        <w:rPr>
          <w:rFonts w:ascii="Calibri" w:hAnsi="Calibri" w:cs="Arial"/>
          <w:lang w:val="fr-FR"/>
        </w:rPr>
        <w:t xml:space="preserve"> </w:t>
      </w:r>
    </w:p>
    <w:p w:rsidR="003F21D2" w:rsidRPr="008C7A56" w:rsidRDefault="0019412B" w:rsidP="001E2235">
      <w:pPr>
        <w:pStyle w:val="ListParagraph"/>
        <w:numPr>
          <w:ilvl w:val="0"/>
          <w:numId w:val="21"/>
        </w:numPr>
        <w:spacing w:after="0" w:line="240" w:lineRule="auto"/>
        <w:ind w:left="851" w:hanging="425"/>
        <w:rPr>
          <w:rFonts w:ascii="Calibri" w:hAnsi="Calibri" w:cs="Arial"/>
          <w:lang w:val="fr-FR"/>
        </w:rPr>
      </w:pPr>
      <w:r w:rsidRPr="008C7A56">
        <w:rPr>
          <w:rFonts w:ascii="Calibri" w:hAnsi="Calibri" w:cs="Arial"/>
          <w:lang w:val="fr-FR"/>
        </w:rPr>
        <w:t xml:space="preserve">La SGA </w:t>
      </w:r>
      <w:r w:rsidR="00A6249C" w:rsidRPr="008C7A56">
        <w:rPr>
          <w:rFonts w:ascii="Calibri" w:hAnsi="Calibri" w:cs="Arial"/>
          <w:lang w:val="fr-FR"/>
        </w:rPr>
        <w:t>sera priée d’élaborer une stratégie (pour examen et approbation par le Comité exécutif) pour encourager et renforcer une culture de collaboration et une performance améliorées du personnel du Secrétariat. Cette stratégie doit intégrer un accent non équivoque sur le service des Parties contractantes</w:t>
      </w:r>
      <w:r w:rsidR="00177DFD" w:rsidRPr="008C7A56">
        <w:rPr>
          <w:rFonts w:ascii="Calibri" w:hAnsi="Calibri" w:cs="Arial"/>
          <w:lang w:val="fr-FR"/>
        </w:rPr>
        <w:t xml:space="preserve"> et de leurs besoins</w:t>
      </w:r>
      <w:r w:rsidR="00A6249C" w:rsidRPr="008C7A56">
        <w:rPr>
          <w:rFonts w:ascii="Calibri" w:hAnsi="Calibri" w:cs="Arial"/>
          <w:lang w:val="fr-FR"/>
        </w:rPr>
        <w:t xml:space="preserve"> et traiter aussi les besoins de formation critiques du personnel (sous réserve du budget disponible). </w:t>
      </w:r>
    </w:p>
    <w:p w:rsidR="003F21D2" w:rsidRPr="008C7A56" w:rsidRDefault="0019412B" w:rsidP="001E2235">
      <w:pPr>
        <w:pStyle w:val="ListParagraph"/>
        <w:numPr>
          <w:ilvl w:val="0"/>
          <w:numId w:val="21"/>
        </w:numPr>
        <w:spacing w:after="0" w:line="240" w:lineRule="auto"/>
        <w:ind w:left="851" w:hanging="425"/>
        <w:rPr>
          <w:rFonts w:ascii="Calibri" w:hAnsi="Calibri" w:cs="Arial"/>
          <w:lang w:val="fr-FR"/>
        </w:rPr>
      </w:pPr>
      <w:r w:rsidRPr="008C7A56">
        <w:rPr>
          <w:rFonts w:ascii="Calibri" w:hAnsi="Calibri" w:cs="Arial"/>
          <w:lang w:val="fr-FR"/>
        </w:rPr>
        <w:t xml:space="preserve">La SGA </w:t>
      </w:r>
      <w:r w:rsidR="00A6249C" w:rsidRPr="008C7A56">
        <w:rPr>
          <w:rFonts w:ascii="Calibri" w:hAnsi="Calibri" w:cs="Arial"/>
          <w:lang w:val="fr-FR"/>
        </w:rPr>
        <w:t xml:space="preserve">examinera le programme de travail du Secrétariat et, en consultation avec le Comité exécutif, déterminera les priorités d’importance critique </w:t>
      </w:r>
      <w:r w:rsidR="00177DFD" w:rsidRPr="008C7A56">
        <w:rPr>
          <w:rFonts w:ascii="Calibri" w:hAnsi="Calibri" w:cs="Arial"/>
          <w:lang w:val="fr-FR"/>
        </w:rPr>
        <w:t>pour</w:t>
      </w:r>
      <w:r w:rsidR="00A6249C" w:rsidRPr="008C7A56">
        <w:rPr>
          <w:rFonts w:ascii="Calibri" w:hAnsi="Calibri" w:cs="Arial"/>
          <w:lang w:val="fr-FR"/>
        </w:rPr>
        <w:t xml:space="preserve"> le Secrétariat pour la période </w:t>
      </w:r>
      <w:r w:rsidR="00177DFD" w:rsidRPr="008C7A56">
        <w:rPr>
          <w:rFonts w:ascii="Calibri" w:hAnsi="Calibri" w:cs="Arial"/>
          <w:lang w:val="fr-FR"/>
        </w:rPr>
        <w:t>de son rôle</w:t>
      </w:r>
      <w:r w:rsidR="00A6249C" w:rsidRPr="008C7A56">
        <w:rPr>
          <w:rFonts w:ascii="Calibri" w:hAnsi="Calibri" w:cs="Arial"/>
          <w:lang w:val="fr-FR"/>
        </w:rPr>
        <w:t xml:space="preserve"> intérimaire. Ces priorités comprendront (sans s’y limiter) : </w:t>
      </w:r>
    </w:p>
    <w:p w:rsidR="00177DFD" w:rsidRPr="008C7A56" w:rsidRDefault="00177DFD" w:rsidP="001E2235">
      <w:pPr>
        <w:pStyle w:val="ListParagraph"/>
        <w:numPr>
          <w:ilvl w:val="0"/>
          <w:numId w:val="35"/>
        </w:numPr>
        <w:spacing w:after="0" w:line="240" w:lineRule="auto"/>
        <w:ind w:left="1276" w:hanging="425"/>
        <w:rPr>
          <w:rFonts w:ascii="Calibri" w:hAnsi="Calibri" w:cs="Arial"/>
          <w:lang w:val="fr-FR"/>
        </w:rPr>
      </w:pPr>
      <w:r w:rsidRPr="008C7A56">
        <w:rPr>
          <w:rFonts w:ascii="Calibri" w:hAnsi="Calibri" w:cs="Arial"/>
          <w:lang w:val="fr-FR"/>
        </w:rPr>
        <w:t xml:space="preserve">mémorandum d’accord pour la COP13 (et autres mémorandums d’accord jugés appropriés par le Comité exécutif); </w:t>
      </w:r>
    </w:p>
    <w:p w:rsidR="00177DFD" w:rsidRPr="008C7A56" w:rsidRDefault="00177DFD" w:rsidP="001E2235">
      <w:pPr>
        <w:pStyle w:val="ListParagraph"/>
        <w:numPr>
          <w:ilvl w:val="0"/>
          <w:numId w:val="35"/>
        </w:numPr>
        <w:spacing w:after="0" w:line="240" w:lineRule="auto"/>
        <w:ind w:left="1276" w:hanging="425"/>
        <w:rPr>
          <w:rFonts w:ascii="Calibri" w:hAnsi="Calibri" w:cs="Arial"/>
          <w:lang w:val="fr-FR"/>
        </w:rPr>
      </w:pPr>
      <w:r w:rsidRPr="008C7A56">
        <w:rPr>
          <w:rFonts w:ascii="Calibri" w:hAnsi="Calibri" w:cs="Arial"/>
          <w:lang w:val="fr-FR"/>
        </w:rPr>
        <w:t xml:space="preserve">audit du budget pour </w:t>
      </w:r>
      <w:r w:rsidR="0019412B" w:rsidRPr="008C7A56">
        <w:rPr>
          <w:rFonts w:ascii="Calibri" w:hAnsi="Calibri" w:cs="Arial"/>
          <w:lang w:val="fr-FR"/>
        </w:rPr>
        <w:t>veiller</w:t>
      </w:r>
      <w:r w:rsidRPr="008C7A56">
        <w:rPr>
          <w:rFonts w:ascii="Calibri" w:hAnsi="Calibri" w:cs="Arial"/>
          <w:lang w:val="fr-FR"/>
        </w:rPr>
        <w:t xml:space="preserve"> à ce qu’il soit dûment aligné sur les priorités; </w:t>
      </w:r>
    </w:p>
    <w:p w:rsidR="00177DFD" w:rsidRPr="008C7A56" w:rsidRDefault="00177DFD" w:rsidP="001E2235">
      <w:pPr>
        <w:pStyle w:val="ListParagraph"/>
        <w:numPr>
          <w:ilvl w:val="0"/>
          <w:numId w:val="35"/>
        </w:numPr>
        <w:spacing w:after="0" w:line="240" w:lineRule="auto"/>
        <w:ind w:left="1276" w:hanging="425"/>
        <w:rPr>
          <w:rFonts w:ascii="Calibri" w:hAnsi="Calibri" w:cs="Arial"/>
          <w:lang w:val="fr-FR"/>
        </w:rPr>
      </w:pPr>
      <w:r w:rsidRPr="008C7A56">
        <w:rPr>
          <w:rFonts w:ascii="Calibri" w:hAnsi="Calibri" w:cs="Arial"/>
          <w:lang w:val="fr-FR"/>
        </w:rPr>
        <w:t>préparatifs pour la 52</w:t>
      </w:r>
      <w:r w:rsidRPr="008C7A56">
        <w:rPr>
          <w:rFonts w:ascii="Calibri" w:hAnsi="Calibri" w:cs="Arial"/>
          <w:vertAlign w:val="superscript"/>
          <w:lang w:val="fr-FR"/>
        </w:rPr>
        <w:t>e</w:t>
      </w:r>
      <w:r w:rsidRPr="008C7A56">
        <w:rPr>
          <w:rFonts w:ascii="Calibri" w:hAnsi="Calibri" w:cs="Arial"/>
          <w:lang w:val="fr-FR"/>
        </w:rPr>
        <w:t xml:space="preserve"> Réunion du Comité permanent en 2016; </w:t>
      </w:r>
    </w:p>
    <w:p w:rsidR="00177DFD" w:rsidRPr="008C7A56" w:rsidRDefault="00177DFD" w:rsidP="001E2235">
      <w:pPr>
        <w:pStyle w:val="ListParagraph"/>
        <w:numPr>
          <w:ilvl w:val="0"/>
          <w:numId w:val="35"/>
        </w:numPr>
        <w:spacing w:after="0" w:line="240" w:lineRule="auto"/>
        <w:ind w:left="1276" w:hanging="425"/>
        <w:rPr>
          <w:rFonts w:ascii="Calibri" w:hAnsi="Calibri" w:cs="Arial"/>
          <w:lang w:val="fr-FR"/>
        </w:rPr>
      </w:pPr>
      <w:r w:rsidRPr="008C7A56">
        <w:rPr>
          <w:rFonts w:ascii="Calibri" w:hAnsi="Calibri" w:cs="Arial"/>
          <w:lang w:val="fr-FR"/>
        </w:rPr>
        <w:t xml:space="preserve">mise en œuvre complète de la page web fonctionnelle et du SISR; </w:t>
      </w:r>
    </w:p>
    <w:p w:rsidR="00177DFD" w:rsidRPr="008C7A56" w:rsidRDefault="00177DFD" w:rsidP="001E2235">
      <w:pPr>
        <w:pStyle w:val="ListParagraph"/>
        <w:numPr>
          <w:ilvl w:val="0"/>
          <w:numId w:val="35"/>
        </w:numPr>
        <w:spacing w:after="0" w:line="240" w:lineRule="auto"/>
        <w:ind w:left="1276" w:hanging="425"/>
        <w:rPr>
          <w:rFonts w:ascii="Calibri" w:hAnsi="Calibri" w:cs="Arial"/>
          <w:lang w:val="fr-FR"/>
        </w:rPr>
      </w:pPr>
      <w:r w:rsidRPr="008C7A56">
        <w:rPr>
          <w:rFonts w:ascii="Calibri" w:hAnsi="Calibri" w:cs="Arial"/>
          <w:lang w:val="fr-FR"/>
        </w:rPr>
        <w:t xml:space="preserve">examen des contrats de consultants et rationalisation dans la mesure du possible; </w:t>
      </w:r>
    </w:p>
    <w:p w:rsidR="00177DFD" w:rsidRPr="008C7A56" w:rsidRDefault="00177DFD" w:rsidP="001E2235">
      <w:pPr>
        <w:pStyle w:val="ListParagraph"/>
        <w:numPr>
          <w:ilvl w:val="0"/>
          <w:numId w:val="35"/>
        </w:numPr>
        <w:spacing w:after="0" w:line="240" w:lineRule="auto"/>
        <w:ind w:left="1276" w:hanging="425"/>
        <w:rPr>
          <w:rFonts w:ascii="Calibri" w:hAnsi="Calibri" w:cs="Arial"/>
          <w:lang w:val="fr-FR"/>
        </w:rPr>
      </w:pPr>
      <w:r w:rsidRPr="008C7A56">
        <w:rPr>
          <w:rFonts w:ascii="Calibri" w:hAnsi="Calibri" w:cs="Arial"/>
          <w:lang w:val="fr-FR"/>
        </w:rPr>
        <w:t>examen de la mobilisation des ressources, en particulier du point de vue des appels de fonds pour faire en sorte que les travaux entrepris soient déjà pris en compte afin que le prochain Secrétaire général soit en mesure de relancer ce programme. Cet examen devrait être entrepris conjointement avec le Groupe de travail sur la mobilisation des ressources;</w:t>
      </w:r>
    </w:p>
    <w:p w:rsidR="00177DFD" w:rsidRPr="008C7A56" w:rsidRDefault="00177DFD" w:rsidP="001E2235">
      <w:pPr>
        <w:pStyle w:val="ListParagraph"/>
        <w:numPr>
          <w:ilvl w:val="0"/>
          <w:numId w:val="35"/>
        </w:numPr>
        <w:spacing w:after="0" w:line="240" w:lineRule="auto"/>
        <w:ind w:left="1276" w:hanging="425"/>
        <w:rPr>
          <w:rFonts w:ascii="Calibri" w:hAnsi="Calibri" w:cs="Arial"/>
          <w:lang w:val="fr-FR"/>
        </w:rPr>
      </w:pPr>
      <w:r w:rsidRPr="008C7A56">
        <w:rPr>
          <w:rFonts w:ascii="Calibri" w:hAnsi="Calibri" w:cs="Arial"/>
          <w:lang w:val="fr-FR"/>
        </w:rPr>
        <w:t>évaluation de la COP12.</w:t>
      </w:r>
    </w:p>
    <w:p w:rsidR="003F21D2" w:rsidRPr="008C7A56" w:rsidRDefault="003F21D2" w:rsidP="003F21D2">
      <w:pPr>
        <w:spacing w:after="0" w:line="240" w:lineRule="auto"/>
        <w:rPr>
          <w:rFonts w:ascii="Calibri" w:hAnsi="Calibri" w:cs="Arial"/>
          <w:lang w:val="fr-FR"/>
        </w:rPr>
      </w:pPr>
    </w:p>
    <w:p w:rsidR="003F21D2" w:rsidRPr="008C7A56" w:rsidRDefault="003F21D2" w:rsidP="001E2235">
      <w:pPr>
        <w:spacing w:after="0" w:line="240" w:lineRule="auto"/>
        <w:ind w:left="426" w:hanging="426"/>
        <w:rPr>
          <w:rFonts w:ascii="Calibri" w:hAnsi="Calibri" w:cs="Arial"/>
          <w:lang w:val="fr-FR"/>
        </w:rPr>
      </w:pPr>
      <w:r w:rsidRPr="008C7A56">
        <w:rPr>
          <w:rFonts w:ascii="Calibri" w:hAnsi="Calibri" w:cs="Arial"/>
          <w:lang w:val="fr-FR"/>
        </w:rPr>
        <w:t xml:space="preserve">2) </w:t>
      </w:r>
      <w:r w:rsidR="001E2235">
        <w:rPr>
          <w:rFonts w:ascii="Calibri" w:hAnsi="Calibri" w:cs="Arial"/>
          <w:lang w:val="fr-FR"/>
        </w:rPr>
        <w:tab/>
      </w:r>
      <w:r w:rsidR="00BF7DE7" w:rsidRPr="008C7A56">
        <w:rPr>
          <w:rFonts w:ascii="Calibri" w:hAnsi="Calibri" w:cs="Arial"/>
          <w:lang w:val="fr-FR"/>
        </w:rPr>
        <w:t>Supervision et appui du Comité exécutif</w:t>
      </w:r>
      <w:r w:rsidRPr="008C7A56">
        <w:rPr>
          <w:rFonts w:ascii="Calibri" w:hAnsi="Calibri" w:cs="Arial"/>
          <w:lang w:val="fr-FR"/>
        </w:rPr>
        <w:t>*</w:t>
      </w:r>
    </w:p>
    <w:p w:rsidR="003F21D2" w:rsidRPr="008C7A56" w:rsidRDefault="00BF7DE7" w:rsidP="001E2235">
      <w:pPr>
        <w:pStyle w:val="ListParagraph"/>
        <w:numPr>
          <w:ilvl w:val="0"/>
          <w:numId w:val="20"/>
        </w:numPr>
        <w:spacing w:after="0" w:line="240" w:lineRule="auto"/>
        <w:ind w:left="851" w:hanging="425"/>
        <w:rPr>
          <w:rFonts w:ascii="Calibri" w:hAnsi="Calibri" w:cs="Arial"/>
          <w:lang w:val="fr-FR"/>
        </w:rPr>
      </w:pPr>
      <w:r w:rsidRPr="008C7A56">
        <w:rPr>
          <w:rFonts w:ascii="Calibri" w:hAnsi="Calibri" w:cs="Arial"/>
          <w:lang w:val="fr-FR"/>
        </w:rPr>
        <w:lastRenderedPageBreak/>
        <w:t>Le Comité exécutif</w:t>
      </w:r>
      <w:r w:rsidR="003F21D2" w:rsidRPr="008C7A56">
        <w:rPr>
          <w:rFonts w:ascii="Calibri" w:hAnsi="Calibri" w:cs="Arial"/>
          <w:lang w:val="fr-FR"/>
        </w:rPr>
        <w:t xml:space="preserve"> (</w:t>
      </w:r>
      <w:r w:rsidRPr="008C7A56">
        <w:rPr>
          <w:rFonts w:ascii="Calibri" w:hAnsi="Calibri" w:cs="Arial"/>
          <w:lang w:val="fr-FR"/>
        </w:rPr>
        <w:t>C</w:t>
      </w:r>
      <w:r w:rsidR="003F21D2" w:rsidRPr="008C7A56">
        <w:rPr>
          <w:rFonts w:ascii="Calibri" w:hAnsi="Calibri" w:cs="Arial"/>
          <w:lang w:val="fr-FR"/>
        </w:rPr>
        <w:t xml:space="preserve">E) </w:t>
      </w:r>
      <w:r w:rsidRPr="008C7A56">
        <w:rPr>
          <w:rFonts w:ascii="Calibri" w:hAnsi="Calibri" w:cs="Arial"/>
          <w:lang w:val="fr-FR"/>
        </w:rPr>
        <w:t xml:space="preserve">envisagera d’assigner des responsabilités spécifiques </w:t>
      </w:r>
      <w:r w:rsidR="00177DFD" w:rsidRPr="008C7A56">
        <w:rPr>
          <w:rFonts w:ascii="Calibri" w:hAnsi="Calibri" w:cs="Arial"/>
          <w:lang w:val="fr-FR"/>
        </w:rPr>
        <w:t>de</w:t>
      </w:r>
      <w:r w:rsidRPr="008C7A56">
        <w:rPr>
          <w:rFonts w:ascii="Calibri" w:hAnsi="Calibri" w:cs="Arial"/>
          <w:lang w:val="fr-FR"/>
        </w:rPr>
        <w:t xml:space="preserve"> supervision </w:t>
      </w:r>
      <w:r w:rsidR="00177DFD" w:rsidRPr="008C7A56">
        <w:rPr>
          <w:rFonts w:ascii="Calibri" w:hAnsi="Calibri" w:cs="Arial"/>
          <w:lang w:val="fr-FR"/>
        </w:rPr>
        <w:t xml:space="preserve">à </w:t>
      </w:r>
      <w:r w:rsidRPr="008C7A56">
        <w:rPr>
          <w:rFonts w:ascii="Calibri" w:hAnsi="Calibri" w:cs="Arial"/>
          <w:lang w:val="fr-FR"/>
        </w:rPr>
        <w:t xml:space="preserve">ses membres, pour compléter le rôle de supervision </w:t>
      </w:r>
      <w:r w:rsidR="00177DFD" w:rsidRPr="008C7A56">
        <w:rPr>
          <w:rFonts w:ascii="Calibri" w:hAnsi="Calibri" w:cs="Arial"/>
          <w:lang w:val="fr-FR"/>
        </w:rPr>
        <w:t>actuel</w:t>
      </w:r>
      <w:r w:rsidRPr="008C7A56">
        <w:rPr>
          <w:rFonts w:ascii="Calibri" w:hAnsi="Calibri" w:cs="Arial"/>
          <w:lang w:val="fr-FR"/>
        </w:rPr>
        <w:t xml:space="preserve"> du Comité.</w:t>
      </w:r>
    </w:p>
    <w:p w:rsidR="003F21D2" w:rsidRPr="008C7A56" w:rsidRDefault="00177DFD" w:rsidP="001E2235">
      <w:pPr>
        <w:pStyle w:val="ListParagraph"/>
        <w:numPr>
          <w:ilvl w:val="0"/>
          <w:numId w:val="20"/>
        </w:numPr>
        <w:spacing w:after="0" w:line="240" w:lineRule="auto"/>
        <w:ind w:left="851" w:hanging="425"/>
        <w:rPr>
          <w:rFonts w:ascii="Calibri" w:hAnsi="Calibri" w:cs="Arial"/>
          <w:lang w:val="fr-FR"/>
        </w:rPr>
      </w:pPr>
      <w:r w:rsidRPr="008C7A56">
        <w:rPr>
          <w:rFonts w:ascii="Calibri" w:hAnsi="Calibri" w:cs="Arial"/>
          <w:lang w:val="fr-FR"/>
        </w:rPr>
        <w:t>Au début, l</w:t>
      </w:r>
      <w:r w:rsidR="00BF7DE7" w:rsidRPr="008C7A56">
        <w:rPr>
          <w:rFonts w:ascii="Calibri" w:hAnsi="Calibri" w:cs="Arial"/>
          <w:lang w:val="fr-FR"/>
        </w:rPr>
        <w:t xml:space="preserve">e CE collaborera activement avec </w:t>
      </w:r>
      <w:r w:rsidRPr="008C7A56">
        <w:rPr>
          <w:rFonts w:ascii="Calibri" w:hAnsi="Calibri" w:cs="Arial"/>
          <w:lang w:val="fr-FR"/>
        </w:rPr>
        <w:t>la SGA</w:t>
      </w:r>
      <w:r w:rsidR="00BF7DE7" w:rsidRPr="008C7A56">
        <w:rPr>
          <w:rFonts w:ascii="Calibri" w:hAnsi="Calibri" w:cs="Arial"/>
          <w:lang w:val="fr-FR"/>
        </w:rPr>
        <w:t xml:space="preserve"> pour faciliter et superviser la fixation de priorités et l’attribution de ressources en personnel. </w:t>
      </w:r>
    </w:p>
    <w:p w:rsidR="003F21D2" w:rsidRPr="008C7A56" w:rsidRDefault="00BF7DE7" w:rsidP="001E2235">
      <w:pPr>
        <w:pStyle w:val="ListParagraph"/>
        <w:numPr>
          <w:ilvl w:val="0"/>
          <w:numId w:val="20"/>
        </w:numPr>
        <w:spacing w:after="0" w:line="240" w:lineRule="auto"/>
        <w:ind w:left="851" w:hanging="425"/>
        <w:rPr>
          <w:rFonts w:ascii="Calibri" w:hAnsi="Calibri" w:cs="Arial"/>
          <w:lang w:val="fr-FR"/>
        </w:rPr>
      </w:pPr>
      <w:r w:rsidRPr="008C7A56">
        <w:rPr>
          <w:rFonts w:ascii="Calibri" w:hAnsi="Calibri" w:cs="Arial"/>
          <w:lang w:val="fr-FR"/>
        </w:rPr>
        <w:t xml:space="preserve">Le CE déterminera les dispositions optimales de gestion et de coordination pour améliorer la communication et la supervision de </w:t>
      </w:r>
      <w:r w:rsidR="00177DFD" w:rsidRPr="008C7A56">
        <w:rPr>
          <w:rFonts w:ascii="Calibri" w:hAnsi="Calibri" w:cs="Arial"/>
          <w:lang w:val="fr-FR"/>
        </w:rPr>
        <w:t>la SGA</w:t>
      </w:r>
      <w:r w:rsidRPr="008C7A56">
        <w:rPr>
          <w:rFonts w:ascii="Calibri" w:hAnsi="Calibri" w:cs="Arial"/>
          <w:lang w:val="fr-FR"/>
        </w:rPr>
        <w:t xml:space="preserve"> (c.</w:t>
      </w:r>
      <w:r w:rsidRPr="008C7A56">
        <w:rPr>
          <w:rFonts w:ascii="Calibri" w:hAnsi="Calibri" w:cs="Arial"/>
          <w:lang w:val="fr-FR"/>
        </w:rPr>
        <w:noBreakHyphen/>
        <w:t>à</w:t>
      </w:r>
      <w:r w:rsidRPr="008C7A56">
        <w:rPr>
          <w:rFonts w:ascii="Calibri" w:hAnsi="Calibri" w:cs="Arial"/>
          <w:lang w:val="fr-FR"/>
        </w:rPr>
        <w:noBreakHyphen/>
        <w:t xml:space="preserve">d. plutôt que des réponses individuelles à des demandes de </w:t>
      </w:r>
      <w:r w:rsidR="00177DFD" w:rsidRPr="008C7A56">
        <w:rPr>
          <w:rFonts w:ascii="Calibri" w:hAnsi="Calibri" w:cs="Arial"/>
          <w:lang w:val="fr-FR"/>
        </w:rPr>
        <w:t>la SGA</w:t>
      </w:r>
      <w:r w:rsidRPr="008C7A56">
        <w:rPr>
          <w:rFonts w:ascii="Calibri" w:hAnsi="Calibri" w:cs="Arial"/>
          <w:lang w:val="fr-FR"/>
        </w:rPr>
        <w:t>, le CE examinera, en tant que groupe, les décisions convenues</w:t>
      </w:r>
      <w:r w:rsidR="00177DFD" w:rsidRPr="008C7A56">
        <w:rPr>
          <w:rFonts w:ascii="Calibri" w:hAnsi="Calibri" w:cs="Arial"/>
          <w:lang w:val="fr-FR"/>
        </w:rPr>
        <w:t>,</w:t>
      </w:r>
      <w:r w:rsidRPr="008C7A56">
        <w:rPr>
          <w:rFonts w:ascii="Calibri" w:hAnsi="Calibri" w:cs="Arial"/>
          <w:lang w:val="fr-FR"/>
        </w:rPr>
        <w:t xml:space="preserve"> communiquées via le Président). </w:t>
      </w:r>
    </w:p>
    <w:p w:rsidR="003F21D2" w:rsidRPr="008C7A56" w:rsidRDefault="00BF7DE7" w:rsidP="001E2235">
      <w:pPr>
        <w:pStyle w:val="ListParagraph"/>
        <w:numPr>
          <w:ilvl w:val="0"/>
          <w:numId w:val="20"/>
        </w:numPr>
        <w:spacing w:after="0" w:line="240" w:lineRule="auto"/>
        <w:ind w:left="851" w:hanging="425"/>
        <w:rPr>
          <w:rFonts w:ascii="Calibri" w:hAnsi="Calibri" w:cs="Arial"/>
          <w:lang w:val="fr-FR"/>
        </w:rPr>
      </w:pPr>
      <w:r w:rsidRPr="008C7A56">
        <w:rPr>
          <w:rFonts w:ascii="Calibri" w:hAnsi="Calibri" w:cs="Arial"/>
          <w:lang w:val="fr-FR"/>
        </w:rPr>
        <w:t xml:space="preserve">Le CE utilisera la vidéoconférence, la téléconférence et d’autres moyens pour ses propres discussions et pour des contacts réguliers et officiels avec </w:t>
      </w:r>
      <w:r w:rsidR="00177DFD" w:rsidRPr="008C7A56">
        <w:rPr>
          <w:rFonts w:ascii="Calibri" w:hAnsi="Calibri" w:cs="Arial"/>
          <w:lang w:val="fr-FR"/>
        </w:rPr>
        <w:t xml:space="preserve">la SGA </w:t>
      </w:r>
      <w:r w:rsidRPr="008C7A56">
        <w:rPr>
          <w:rFonts w:ascii="Calibri" w:hAnsi="Calibri" w:cs="Arial"/>
          <w:lang w:val="fr-FR"/>
        </w:rPr>
        <w:t>et le Secrétariat. L’Observateur permanent de la Suisse contribuera par un engagement local, si possible.</w:t>
      </w:r>
    </w:p>
    <w:p w:rsidR="003F21D2" w:rsidRPr="008C7A56" w:rsidRDefault="00BF7DE7" w:rsidP="001E2235">
      <w:pPr>
        <w:pStyle w:val="ListParagraph"/>
        <w:numPr>
          <w:ilvl w:val="0"/>
          <w:numId w:val="20"/>
        </w:numPr>
        <w:spacing w:after="0" w:line="240" w:lineRule="auto"/>
        <w:ind w:left="851" w:hanging="425"/>
        <w:rPr>
          <w:rFonts w:ascii="Calibri" w:hAnsi="Calibri" w:cs="Arial"/>
          <w:lang w:val="fr-FR"/>
        </w:rPr>
      </w:pPr>
      <w:r w:rsidRPr="008C7A56">
        <w:rPr>
          <w:rFonts w:ascii="Calibri" w:hAnsi="Calibri" w:cs="Arial"/>
          <w:lang w:val="fr-FR"/>
        </w:rPr>
        <w:t xml:space="preserve">Le CE aura un rôle concurrent pour toutes les nominations de personnel et les ruptures de contrat ainsi que pour les voyages du Secrétariat. </w:t>
      </w:r>
    </w:p>
    <w:p w:rsidR="003F21D2" w:rsidRPr="008C7A56" w:rsidRDefault="00177DFD" w:rsidP="001E2235">
      <w:pPr>
        <w:pStyle w:val="ListParagraph"/>
        <w:numPr>
          <w:ilvl w:val="0"/>
          <w:numId w:val="20"/>
        </w:numPr>
        <w:spacing w:after="0" w:line="240" w:lineRule="auto"/>
        <w:ind w:left="851" w:hanging="425"/>
        <w:rPr>
          <w:rFonts w:ascii="Calibri" w:hAnsi="Calibri" w:cs="Arial"/>
          <w:lang w:val="fr-FR"/>
        </w:rPr>
      </w:pPr>
      <w:r w:rsidRPr="008C7A56">
        <w:rPr>
          <w:rFonts w:ascii="Calibri" w:hAnsi="Calibri" w:cs="Arial"/>
          <w:lang w:val="fr-FR"/>
        </w:rPr>
        <w:t>Pour la période intérimaire, l</w:t>
      </w:r>
      <w:r w:rsidR="00BF7DE7" w:rsidRPr="008C7A56">
        <w:rPr>
          <w:rFonts w:ascii="Calibri" w:hAnsi="Calibri" w:cs="Arial"/>
          <w:lang w:val="fr-FR"/>
        </w:rPr>
        <w:t xml:space="preserve">es membres du CE envisageront des augmentations de soutien et des dispositions en matière de ressources dans leurs propres organismes. </w:t>
      </w:r>
    </w:p>
    <w:p w:rsidR="003F21D2" w:rsidRPr="008C7A56" w:rsidRDefault="00BF7DE7" w:rsidP="001E2235">
      <w:pPr>
        <w:pStyle w:val="ListParagraph"/>
        <w:numPr>
          <w:ilvl w:val="0"/>
          <w:numId w:val="20"/>
        </w:numPr>
        <w:spacing w:after="0" w:line="240" w:lineRule="auto"/>
        <w:ind w:left="851" w:hanging="425"/>
        <w:rPr>
          <w:rFonts w:ascii="Calibri" w:hAnsi="Calibri" w:cs="Arial"/>
          <w:lang w:val="fr-FR"/>
        </w:rPr>
      </w:pPr>
      <w:r w:rsidRPr="008C7A56">
        <w:rPr>
          <w:rFonts w:ascii="Calibri" w:hAnsi="Calibri" w:cs="Arial"/>
          <w:lang w:val="fr-FR"/>
        </w:rPr>
        <w:t xml:space="preserve">Le CE communiquera activement avec l’ancien CE pour </w:t>
      </w:r>
      <w:r w:rsidR="00177DFD" w:rsidRPr="008C7A56">
        <w:rPr>
          <w:rFonts w:ascii="Calibri" w:hAnsi="Calibri" w:cs="Arial"/>
          <w:lang w:val="fr-FR"/>
        </w:rPr>
        <w:t xml:space="preserve">obtenir </w:t>
      </w:r>
      <w:r w:rsidRPr="008C7A56">
        <w:rPr>
          <w:rFonts w:ascii="Calibri" w:hAnsi="Calibri" w:cs="Arial"/>
          <w:lang w:val="fr-FR"/>
        </w:rPr>
        <w:t xml:space="preserve">des avis et une assistance. </w:t>
      </w:r>
    </w:p>
    <w:p w:rsidR="003F21D2" w:rsidRPr="008C7A56" w:rsidRDefault="003F21D2" w:rsidP="003F21D2">
      <w:pPr>
        <w:spacing w:after="0" w:line="240" w:lineRule="auto"/>
        <w:rPr>
          <w:rFonts w:ascii="Calibri" w:hAnsi="Calibri" w:cs="Arial"/>
          <w:lang w:val="fr-FR"/>
        </w:rPr>
      </w:pPr>
    </w:p>
    <w:p w:rsidR="003F21D2" w:rsidRPr="008C7A56" w:rsidRDefault="003F21D2" w:rsidP="003F21D2">
      <w:pPr>
        <w:spacing w:after="0" w:line="240" w:lineRule="auto"/>
        <w:rPr>
          <w:rFonts w:ascii="Calibri" w:hAnsi="Calibri" w:cs="Arial"/>
          <w:lang w:val="fr-FR"/>
        </w:rPr>
      </w:pPr>
    </w:p>
    <w:p w:rsidR="003F21D2" w:rsidRPr="008C7A56" w:rsidRDefault="003F21D2" w:rsidP="003F21D2">
      <w:pPr>
        <w:spacing w:after="0" w:line="240" w:lineRule="auto"/>
        <w:rPr>
          <w:rFonts w:ascii="Calibri" w:hAnsi="Calibri" w:cs="Arial"/>
          <w:lang w:val="fr-FR"/>
        </w:rPr>
      </w:pPr>
      <w:r w:rsidRPr="008C7A56">
        <w:rPr>
          <w:rFonts w:ascii="Calibri" w:hAnsi="Calibri" w:cs="Arial"/>
          <w:lang w:val="fr-FR"/>
        </w:rPr>
        <w:t xml:space="preserve">* </w:t>
      </w:r>
      <w:r w:rsidR="00BF7DE7" w:rsidRPr="008C7A56">
        <w:rPr>
          <w:rFonts w:ascii="Calibri" w:hAnsi="Calibri" w:cs="Arial"/>
          <w:lang w:val="fr-FR"/>
        </w:rPr>
        <w:t>Notant que ces propositions reflètent une importante expansion des responsabilités du Comité exécutif (avec des incidences importantes sur les ressources) et notant aussi que ce rôle élargi cessera dès que le nouveau Secrétaire général sera nommé. L’attente à long terme est que le Secrétariat Ramsar puisse fonctionner de manière plus indépendante, de façon cohérente avec les meilleures pratiques des autres conventions.</w:t>
      </w:r>
    </w:p>
    <w:p w:rsidR="003F21D2" w:rsidRPr="008C7A56" w:rsidRDefault="003F21D2" w:rsidP="003F21D2">
      <w:pPr>
        <w:spacing w:after="0" w:line="240" w:lineRule="auto"/>
        <w:rPr>
          <w:rFonts w:ascii="Calibri" w:hAnsi="Calibri" w:cs="Arial"/>
          <w:lang w:val="fr-FR"/>
        </w:rPr>
      </w:pPr>
    </w:p>
    <w:p w:rsidR="00CE1816" w:rsidRPr="008C7A56" w:rsidRDefault="00337B8E">
      <w:pPr>
        <w:rPr>
          <w:rFonts w:eastAsia="Garamond" w:cs="Garamond"/>
          <w:b/>
          <w:bCs/>
          <w:sz w:val="24"/>
          <w:szCs w:val="24"/>
          <w:lang w:val="fr-FR"/>
        </w:rPr>
        <w:sectPr w:rsidR="00CE1816" w:rsidRPr="008C7A56" w:rsidSect="000A63DC">
          <w:footerReference w:type="default" r:id="rId9"/>
          <w:pgSz w:w="11907" w:h="16839" w:code="9"/>
          <w:pgMar w:top="1440" w:right="1440" w:bottom="1440" w:left="1440" w:header="708" w:footer="708" w:gutter="0"/>
          <w:cols w:space="708"/>
          <w:titlePg/>
          <w:docGrid w:linePitch="360"/>
        </w:sectPr>
      </w:pPr>
      <w:r w:rsidRPr="008C7A56">
        <w:rPr>
          <w:rFonts w:eastAsia="Garamond" w:cs="Garamond"/>
          <w:b/>
          <w:bCs/>
          <w:sz w:val="24"/>
          <w:szCs w:val="24"/>
          <w:lang w:val="fr-FR"/>
        </w:rPr>
        <w:br w:type="page"/>
      </w:r>
    </w:p>
    <w:p w:rsidR="0080541F" w:rsidRPr="008C7A56" w:rsidRDefault="0080541F" w:rsidP="0080541F">
      <w:pPr>
        <w:rPr>
          <w:rFonts w:eastAsia="Garamond" w:cs="Garamond"/>
          <w:b/>
          <w:bCs/>
          <w:sz w:val="24"/>
          <w:szCs w:val="24"/>
          <w:lang w:val="fr-FR"/>
        </w:rPr>
      </w:pPr>
    </w:p>
    <w:p w:rsidR="00B57F72" w:rsidRPr="008C7A56" w:rsidRDefault="003F21D2" w:rsidP="00FB4C67">
      <w:pPr>
        <w:rPr>
          <w:rFonts w:eastAsia="Garamond" w:cs="Garamond"/>
          <w:b/>
          <w:bCs/>
          <w:sz w:val="24"/>
          <w:szCs w:val="24"/>
          <w:lang w:val="fr-FR"/>
        </w:rPr>
      </w:pPr>
      <w:r w:rsidRPr="008C7A56">
        <w:rPr>
          <w:rFonts w:eastAsia="Garamond" w:cs="Garamond"/>
          <w:b/>
          <w:bCs/>
          <w:sz w:val="24"/>
          <w:szCs w:val="24"/>
          <w:lang w:val="fr-FR"/>
        </w:rPr>
        <w:t>Annex</w:t>
      </w:r>
      <w:r w:rsidR="00DD4B1C" w:rsidRPr="008C7A56">
        <w:rPr>
          <w:rFonts w:eastAsia="Garamond" w:cs="Garamond"/>
          <w:b/>
          <w:bCs/>
          <w:sz w:val="24"/>
          <w:szCs w:val="24"/>
          <w:lang w:val="fr-FR"/>
        </w:rPr>
        <w:t>e</w:t>
      </w:r>
      <w:r w:rsidRPr="008C7A56">
        <w:rPr>
          <w:rFonts w:eastAsia="Garamond" w:cs="Garamond"/>
          <w:b/>
          <w:bCs/>
          <w:sz w:val="24"/>
          <w:szCs w:val="24"/>
          <w:lang w:val="fr-FR"/>
        </w:rPr>
        <w:t xml:space="preserve"> 2</w:t>
      </w:r>
    </w:p>
    <w:p w:rsidR="00B57F72" w:rsidRPr="008C7A56" w:rsidRDefault="00CE1816" w:rsidP="00B57F72">
      <w:pPr>
        <w:tabs>
          <w:tab w:val="left" w:pos="851"/>
        </w:tabs>
        <w:spacing w:after="0" w:line="240" w:lineRule="auto"/>
        <w:rPr>
          <w:rFonts w:eastAsia="Garamond" w:cs="Garamond"/>
          <w:b/>
          <w:bCs/>
          <w:sz w:val="24"/>
          <w:szCs w:val="24"/>
          <w:lang w:val="fr-FR"/>
        </w:rPr>
      </w:pPr>
      <w:r w:rsidRPr="008C7A56">
        <w:rPr>
          <w:rFonts w:eastAsia="Garamond" w:cs="Garamond"/>
          <w:b/>
          <w:bCs/>
          <w:sz w:val="24"/>
          <w:szCs w:val="24"/>
          <w:lang w:val="fr-FR"/>
        </w:rPr>
        <w:t>Table</w:t>
      </w:r>
      <w:r w:rsidR="00DD4B1C" w:rsidRPr="008C7A56">
        <w:rPr>
          <w:rFonts w:eastAsia="Garamond" w:cs="Garamond"/>
          <w:b/>
          <w:bCs/>
          <w:sz w:val="24"/>
          <w:szCs w:val="24"/>
          <w:lang w:val="fr-FR"/>
        </w:rPr>
        <w:t>au</w:t>
      </w:r>
      <w:r w:rsidRPr="008C7A56">
        <w:rPr>
          <w:rFonts w:eastAsia="Garamond" w:cs="Garamond"/>
          <w:b/>
          <w:bCs/>
          <w:sz w:val="24"/>
          <w:szCs w:val="24"/>
          <w:lang w:val="fr-FR"/>
        </w:rPr>
        <w:t xml:space="preserve"> </w:t>
      </w:r>
      <w:r w:rsidR="004A2F4D" w:rsidRPr="008C7A56">
        <w:rPr>
          <w:rFonts w:eastAsia="Garamond" w:cs="Garamond"/>
          <w:b/>
          <w:bCs/>
          <w:sz w:val="24"/>
          <w:szCs w:val="24"/>
          <w:lang w:val="fr-FR"/>
        </w:rPr>
        <w:t xml:space="preserve">des contrats de consultants au 31 décembre 2015 </w:t>
      </w:r>
    </w:p>
    <w:p w:rsidR="00CE1816" w:rsidRPr="008C7A56" w:rsidRDefault="00CE1816" w:rsidP="00B57F72">
      <w:pPr>
        <w:tabs>
          <w:tab w:val="left" w:pos="851"/>
        </w:tabs>
        <w:spacing w:after="0" w:line="240" w:lineRule="auto"/>
        <w:rPr>
          <w:rFonts w:eastAsia="Garamond" w:cs="Garamond"/>
          <w:bCs/>
          <w:sz w:val="24"/>
          <w:szCs w:val="24"/>
          <w:lang w:val="fr-FR"/>
        </w:rPr>
      </w:pPr>
    </w:p>
    <w:tbl>
      <w:tblPr>
        <w:tblW w:w="13623" w:type="dxa"/>
        <w:tblInd w:w="93" w:type="dxa"/>
        <w:tblLook w:val="04A0" w:firstRow="1" w:lastRow="0" w:firstColumn="1" w:lastColumn="0" w:noHBand="0" w:noVBand="1"/>
      </w:tblPr>
      <w:tblGrid>
        <w:gridCol w:w="2255"/>
        <w:gridCol w:w="1267"/>
        <w:gridCol w:w="4155"/>
        <w:gridCol w:w="1487"/>
        <w:gridCol w:w="2927"/>
        <w:gridCol w:w="1532"/>
      </w:tblGrid>
      <w:tr w:rsidR="00460143" w:rsidRPr="008C7A56" w:rsidTr="0019412B">
        <w:trPr>
          <w:trHeight w:val="170"/>
          <w:tblHeader/>
        </w:trPr>
        <w:tc>
          <w:tcPr>
            <w:tcW w:w="2255" w:type="dxa"/>
            <w:tcBorders>
              <w:top w:val="single" w:sz="4" w:space="0" w:color="auto"/>
              <w:left w:val="single" w:sz="4" w:space="0" w:color="auto"/>
              <w:bottom w:val="single" w:sz="4" w:space="0" w:color="auto"/>
              <w:right w:val="single" w:sz="4" w:space="0" w:color="auto"/>
            </w:tcBorders>
            <w:shd w:val="clear" w:color="000000" w:fill="8DB4E2"/>
            <w:vAlign w:val="center"/>
            <w:hideMark/>
          </w:tcPr>
          <w:p w:rsidR="00CE1816" w:rsidRPr="008C7A56" w:rsidRDefault="00CE1816" w:rsidP="001E2235">
            <w:pPr>
              <w:spacing w:before="20" w:after="20" w:line="240" w:lineRule="auto"/>
              <w:rPr>
                <w:rFonts w:eastAsia="Times New Roman" w:cs="Arial"/>
                <w:b/>
                <w:bCs/>
                <w:color w:val="000000"/>
                <w:lang w:val="fr-FR" w:eastAsia="en-GB"/>
              </w:rPr>
            </w:pPr>
            <w:r w:rsidRPr="008C7A56">
              <w:rPr>
                <w:rFonts w:eastAsia="Times New Roman" w:cs="Arial"/>
                <w:b/>
                <w:bCs/>
                <w:color w:val="000000"/>
                <w:lang w:val="fr-FR" w:eastAsia="en-GB"/>
              </w:rPr>
              <w:t>Consultant</w:t>
            </w:r>
          </w:p>
          <w:p w:rsidR="00CE1816" w:rsidRPr="008C7A56" w:rsidRDefault="00CE1816" w:rsidP="001E2235">
            <w:pPr>
              <w:spacing w:before="20" w:after="20" w:line="240" w:lineRule="auto"/>
              <w:rPr>
                <w:rFonts w:eastAsia="Times New Roman" w:cs="Arial"/>
                <w:b/>
                <w:bCs/>
                <w:color w:val="000000"/>
                <w:lang w:val="fr-FR" w:eastAsia="en-GB"/>
              </w:rPr>
            </w:pPr>
          </w:p>
        </w:tc>
        <w:tc>
          <w:tcPr>
            <w:tcW w:w="1267" w:type="dxa"/>
            <w:tcBorders>
              <w:top w:val="single" w:sz="4" w:space="0" w:color="auto"/>
              <w:left w:val="nil"/>
              <w:bottom w:val="single" w:sz="4" w:space="0" w:color="auto"/>
              <w:right w:val="single" w:sz="4" w:space="0" w:color="auto"/>
            </w:tcBorders>
            <w:shd w:val="clear" w:color="000000" w:fill="8DB4E2"/>
            <w:vAlign w:val="center"/>
            <w:hideMark/>
          </w:tcPr>
          <w:p w:rsidR="00CE1816" w:rsidRPr="008C7A56" w:rsidRDefault="008554D4" w:rsidP="001E2235">
            <w:pPr>
              <w:spacing w:before="20" w:after="20" w:line="240" w:lineRule="auto"/>
              <w:rPr>
                <w:rFonts w:eastAsia="Times New Roman" w:cs="Arial"/>
                <w:b/>
                <w:bCs/>
                <w:color w:val="000000"/>
                <w:lang w:val="fr-FR" w:eastAsia="en-GB"/>
              </w:rPr>
            </w:pPr>
            <w:r w:rsidRPr="008C7A56">
              <w:rPr>
                <w:rFonts w:eastAsia="Times New Roman" w:cs="Arial"/>
                <w:b/>
                <w:bCs/>
                <w:color w:val="000000"/>
                <w:lang w:val="fr-FR" w:eastAsia="en-GB"/>
              </w:rPr>
              <w:t xml:space="preserve">Montant du contrat </w:t>
            </w:r>
            <w:r w:rsidR="00CE1816" w:rsidRPr="008C7A56">
              <w:rPr>
                <w:rFonts w:eastAsia="Times New Roman" w:cs="Arial"/>
                <w:b/>
                <w:bCs/>
                <w:color w:val="000000"/>
                <w:lang w:val="fr-FR" w:eastAsia="en-GB"/>
              </w:rPr>
              <w:t>CHF</w:t>
            </w:r>
          </w:p>
        </w:tc>
        <w:tc>
          <w:tcPr>
            <w:tcW w:w="4155" w:type="dxa"/>
            <w:tcBorders>
              <w:top w:val="single" w:sz="4" w:space="0" w:color="auto"/>
              <w:left w:val="nil"/>
              <w:bottom w:val="single" w:sz="4" w:space="0" w:color="auto"/>
              <w:right w:val="single" w:sz="4" w:space="0" w:color="auto"/>
            </w:tcBorders>
            <w:shd w:val="clear" w:color="000000" w:fill="8DB4E2"/>
            <w:vAlign w:val="center"/>
            <w:hideMark/>
          </w:tcPr>
          <w:p w:rsidR="00CE1816" w:rsidRPr="008C7A56" w:rsidRDefault="00CE1816" w:rsidP="001E2235">
            <w:pPr>
              <w:spacing w:before="20" w:after="20" w:line="240" w:lineRule="auto"/>
              <w:rPr>
                <w:rFonts w:eastAsia="Times New Roman" w:cs="Arial"/>
                <w:b/>
                <w:bCs/>
                <w:color w:val="000000"/>
                <w:lang w:val="fr-FR" w:eastAsia="en-GB"/>
              </w:rPr>
            </w:pPr>
            <w:r w:rsidRPr="008C7A56">
              <w:rPr>
                <w:rFonts w:eastAsia="Times New Roman" w:cs="Arial"/>
                <w:b/>
                <w:bCs/>
                <w:color w:val="000000"/>
                <w:lang w:val="fr-FR" w:eastAsia="en-GB"/>
              </w:rPr>
              <w:t>Description</w:t>
            </w:r>
          </w:p>
        </w:tc>
        <w:tc>
          <w:tcPr>
            <w:tcW w:w="1487" w:type="dxa"/>
            <w:tcBorders>
              <w:top w:val="single" w:sz="4" w:space="0" w:color="auto"/>
              <w:left w:val="nil"/>
              <w:bottom w:val="single" w:sz="4" w:space="0" w:color="auto"/>
              <w:right w:val="single" w:sz="4" w:space="0" w:color="auto"/>
            </w:tcBorders>
            <w:shd w:val="clear" w:color="000000" w:fill="8DB4E2"/>
            <w:vAlign w:val="center"/>
            <w:hideMark/>
          </w:tcPr>
          <w:p w:rsidR="00CE1816" w:rsidRPr="008C7A56" w:rsidRDefault="002A1739" w:rsidP="001E2235">
            <w:pPr>
              <w:spacing w:before="20" w:after="20" w:line="240" w:lineRule="auto"/>
              <w:rPr>
                <w:rFonts w:eastAsia="Times New Roman" w:cs="Arial"/>
                <w:b/>
                <w:bCs/>
                <w:color w:val="000000"/>
                <w:lang w:val="fr-FR" w:eastAsia="en-GB"/>
              </w:rPr>
            </w:pPr>
            <w:r w:rsidRPr="008C7A56">
              <w:rPr>
                <w:rFonts w:eastAsia="Times New Roman" w:cs="Arial"/>
                <w:b/>
                <w:bCs/>
                <w:color w:val="000000"/>
                <w:lang w:val="fr-FR" w:eastAsia="en-GB"/>
              </w:rPr>
              <w:t xml:space="preserve">Fonds administratifs / non administratifs </w:t>
            </w:r>
          </w:p>
        </w:tc>
        <w:tc>
          <w:tcPr>
            <w:tcW w:w="2927" w:type="dxa"/>
            <w:tcBorders>
              <w:top w:val="single" w:sz="4" w:space="0" w:color="auto"/>
              <w:left w:val="nil"/>
              <w:bottom w:val="single" w:sz="4" w:space="0" w:color="auto"/>
              <w:right w:val="single" w:sz="4" w:space="0" w:color="auto"/>
            </w:tcBorders>
            <w:shd w:val="clear" w:color="000000" w:fill="8DB4E2"/>
            <w:vAlign w:val="center"/>
            <w:hideMark/>
          </w:tcPr>
          <w:p w:rsidR="00CE1816" w:rsidRPr="008C7A56" w:rsidRDefault="00CE1816" w:rsidP="001E2235">
            <w:pPr>
              <w:spacing w:before="20" w:after="20" w:line="240" w:lineRule="auto"/>
              <w:rPr>
                <w:rFonts w:eastAsia="Times New Roman" w:cs="Arial"/>
                <w:b/>
                <w:bCs/>
                <w:color w:val="000000"/>
                <w:lang w:val="fr-FR" w:eastAsia="en-GB"/>
              </w:rPr>
            </w:pPr>
            <w:r w:rsidRPr="008C7A56">
              <w:rPr>
                <w:rFonts w:eastAsia="Times New Roman" w:cs="Arial"/>
                <w:b/>
                <w:bCs/>
                <w:color w:val="000000"/>
                <w:lang w:val="fr-FR" w:eastAsia="en-GB"/>
              </w:rPr>
              <w:t xml:space="preserve">Source </w:t>
            </w:r>
            <w:r w:rsidR="002A1739" w:rsidRPr="008C7A56">
              <w:rPr>
                <w:rFonts w:eastAsia="Times New Roman" w:cs="Arial"/>
                <w:b/>
                <w:bCs/>
                <w:color w:val="000000"/>
                <w:lang w:val="fr-FR" w:eastAsia="en-GB"/>
              </w:rPr>
              <w:t>des fonds</w:t>
            </w:r>
          </w:p>
        </w:tc>
        <w:tc>
          <w:tcPr>
            <w:tcW w:w="1532" w:type="dxa"/>
            <w:tcBorders>
              <w:top w:val="single" w:sz="4" w:space="0" w:color="auto"/>
              <w:left w:val="nil"/>
              <w:bottom w:val="single" w:sz="4" w:space="0" w:color="auto"/>
              <w:right w:val="single" w:sz="4" w:space="0" w:color="auto"/>
            </w:tcBorders>
            <w:shd w:val="clear" w:color="000000" w:fill="8DB4E2"/>
            <w:vAlign w:val="center"/>
            <w:hideMark/>
          </w:tcPr>
          <w:p w:rsidR="00CE1816" w:rsidRPr="008C7A56" w:rsidRDefault="002A1739" w:rsidP="001E2235">
            <w:pPr>
              <w:spacing w:before="20" w:after="20" w:line="240" w:lineRule="auto"/>
              <w:rPr>
                <w:rFonts w:eastAsia="Times New Roman" w:cs="Arial"/>
                <w:b/>
                <w:bCs/>
                <w:color w:val="000000"/>
                <w:lang w:val="fr-FR" w:eastAsia="en-GB"/>
              </w:rPr>
            </w:pPr>
            <w:r w:rsidRPr="008C7A56">
              <w:rPr>
                <w:rFonts w:eastAsia="Times New Roman" w:cs="Arial"/>
                <w:b/>
                <w:bCs/>
                <w:color w:val="000000"/>
                <w:lang w:val="fr-FR" w:eastAsia="en-GB"/>
              </w:rPr>
              <w:t>Ouvert</w:t>
            </w:r>
            <w:r w:rsidR="00CE1816" w:rsidRPr="008C7A56">
              <w:rPr>
                <w:rFonts w:eastAsia="Times New Roman" w:cs="Arial"/>
                <w:b/>
                <w:bCs/>
                <w:color w:val="000000"/>
                <w:lang w:val="fr-FR" w:eastAsia="en-GB"/>
              </w:rPr>
              <w:t xml:space="preserve"> / </w:t>
            </w:r>
            <w:r w:rsidR="00413374" w:rsidRPr="008C7A56">
              <w:rPr>
                <w:rFonts w:eastAsia="Times New Roman" w:cs="Arial"/>
                <w:b/>
                <w:bCs/>
                <w:color w:val="000000"/>
                <w:lang w:val="fr-FR" w:eastAsia="en-GB"/>
              </w:rPr>
              <w:t>Clos</w:t>
            </w:r>
          </w:p>
        </w:tc>
      </w:tr>
      <w:tr w:rsidR="00460143" w:rsidRPr="008C7A56" w:rsidTr="0019412B">
        <w:trPr>
          <w:trHeight w:val="385"/>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rPr>
                <w:rFonts w:eastAsia="Times New Roman" w:cs="Arial"/>
                <w:b/>
                <w:color w:val="000000"/>
                <w:lang w:val="fr-FR" w:eastAsia="en-GB"/>
              </w:rPr>
            </w:pPr>
            <w:r w:rsidRPr="008C7A56">
              <w:rPr>
                <w:rFonts w:eastAsia="Times New Roman" w:cs="Arial"/>
                <w:b/>
                <w:color w:val="000000"/>
                <w:lang w:val="fr-FR" w:eastAsia="en-GB"/>
              </w:rPr>
              <w:t>Cadmus, Rob</w:t>
            </w:r>
          </w:p>
        </w:tc>
        <w:tc>
          <w:tcPr>
            <w:tcW w:w="1267" w:type="dxa"/>
            <w:tcBorders>
              <w:top w:val="nil"/>
              <w:left w:val="nil"/>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jc w:val="right"/>
              <w:rPr>
                <w:rFonts w:eastAsia="Times New Roman" w:cs="Arial"/>
                <w:b/>
                <w:color w:val="000000"/>
                <w:lang w:val="fr-FR" w:eastAsia="en-GB"/>
              </w:rPr>
            </w:pPr>
            <w:r w:rsidRPr="008C7A56">
              <w:rPr>
                <w:rFonts w:eastAsia="Times New Roman" w:cs="Arial"/>
                <w:b/>
                <w:color w:val="000000"/>
                <w:lang w:val="fr-FR" w:eastAsia="en-GB"/>
              </w:rPr>
              <w:t xml:space="preserve">        43</w:t>
            </w:r>
            <w:r w:rsidR="002A1739" w:rsidRPr="008C7A56">
              <w:rPr>
                <w:rFonts w:eastAsia="Times New Roman" w:cs="Arial"/>
                <w:b/>
                <w:color w:val="000000"/>
                <w:lang w:val="fr-FR" w:eastAsia="en-GB"/>
              </w:rPr>
              <w:t xml:space="preserve"> </w:t>
            </w:r>
            <w:r w:rsidRPr="008C7A56">
              <w:rPr>
                <w:rFonts w:eastAsia="Times New Roman" w:cs="Arial"/>
                <w:b/>
                <w:color w:val="000000"/>
                <w:lang w:val="fr-FR" w:eastAsia="en-GB"/>
              </w:rPr>
              <w:t xml:space="preserve">600 </w:t>
            </w:r>
          </w:p>
        </w:tc>
        <w:tc>
          <w:tcPr>
            <w:tcW w:w="4155" w:type="dxa"/>
            <w:tcBorders>
              <w:top w:val="nil"/>
              <w:left w:val="nil"/>
              <w:bottom w:val="single" w:sz="4" w:space="0" w:color="auto"/>
              <w:right w:val="single" w:sz="4" w:space="0" w:color="auto"/>
            </w:tcBorders>
            <w:shd w:val="clear" w:color="auto" w:fill="auto"/>
            <w:vAlign w:val="center"/>
            <w:hideMark/>
          </w:tcPr>
          <w:p w:rsidR="00CE1816" w:rsidRPr="008C7A56" w:rsidRDefault="002A1739" w:rsidP="001E2235">
            <w:pPr>
              <w:spacing w:before="20" w:after="20" w:line="240" w:lineRule="auto"/>
              <w:rPr>
                <w:rFonts w:eastAsia="Times New Roman" w:cs="Arial"/>
                <w:b/>
                <w:color w:val="000000"/>
                <w:lang w:val="fr-FR" w:eastAsia="en-GB"/>
              </w:rPr>
            </w:pPr>
            <w:r w:rsidRPr="008C7A56">
              <w:rPr>
                <w:rFonts w:eastAsia="Times New Roman" w:cs="Arial"/>
                <w:b/>
                <w:color w:val="000000"/>
                <w:lang w:val="fr-FR" w:eastAsia="en-GB"/>
              </w:rPr>
              <w:t xml:space="preserve">Projet </w:t>
            </w:r>
            <w:r w:rsidR="00CE1816" w:rsidRPr="008C7A56">
              <w:rPr>
                <w:rFonts w:eastAsia="Times New Roman" w:cs="Arial"/>
                <w:b/>
                <w:color w:val="000000"/>
                <w:lang w:val="fr-FR" w:eastAsia="en-GB"/>
              </w:rPr>
              <w:t xml:space="preserve">NORAD, </w:t>
            </w:r>
            <w:r w:rsidRPr="008C7A56">
              <w:rPr>
                <w:rFonts w:eastAsia="Times New Roman" w:cs="Arial"/>
                <w:b/>
                <w:color w:val="000000"/>
                <w:lang w:val="fr-FR" w:eastAsia="en-GB"/>
              </w:rPr>
              <w:t>Gestion de projet</w:t>
            </w:r>
          </w:p>
        </w:tc>
        <w:tc>
          <w:tcPr>
            <w:tcW w:w="1487" w:type="dxa"/>
            <w:tcBorders>
              <w:top w:val="nil"/>
              <w:left w:val="nil"/>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rPr>
                <w:rFonts w:eastAsia="Times New Roman" w:cs="Arial"/>
                <w:b/>
                <w:color w:val="000000"/>
                <w:lang w:val="fr-FR" w:eastAsia="en-GB"/>
              </w:rPr>
            </w:pPr>
            <w:r w:rsidRPr="008C7A56">
              <w:rPr>
                <w:rFonts w:eastAsia="Times New Roman" w:cs="Arial"/>
                <w:b/>
                <w:color w:val="000000"/>
                <w:lang w:val="fr-FR" w:eastAsia="en-GB"/>
              </w:rPr>
              <w:t>Non</w:t>
            </w:r>
            <w:r w:rsidR="002A1739" w:rsidRPr="008C7A56">
              <w:rPr>
                <w:rFonts w:eastAsia="Times New Roman" w:cs="Arial"/>
                <w:b/>
                <w:color w:val="000000"/>
                <w:lang w:val="fr-FR" w:eastAsia="en-GB"/>
              </w:rPr>
              <w:t xml:space="preserve"> administratifs</w:t>
            </w:r>
          </w:p>
        </w:tc>
        <w:tc>
          <w:tcPr>
            <w:tcW w:w="2927" w:type="dxa"/>
            <w:tcBorders>
              <w:top w:val="nil"/>
              <w:left w:val="nil"/>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rPr>
                <w:rFonts w:eastAsia="Times New Roman" w:cs="Arial"/>
                <w:b/>
                <w:color w:val="000000"/>
                <w:lang w:val="fr-FR" w:eastAsia="en-GB"/>
              </w:rPr>
            </w:pPr>
            <w:r w:rsidRPr="008C7A56">
              <w:rPr>
                <w:rFonts w:eastAsia="Times New Roman" w:cs="Arial"/>
                <w:b/>
                <w:color w:val="000000"/>
                <w:lang w:val="fr-FR" w:eastAsia="en-GB"/>
              </w:rPr>
              <w:t>NORAD</w:t>
            </w:r>
          </w:p>
        </w:tc>
        <w:tc>
          <w:tcPr>
            <w:tcW w:w="1532" w:type="dxa"/>
            <w:tcBorders>
              <w:top w:val="nil"/>
              <w:left w:val="nil"/>
              <w:bottom w:val="single" w:sz="4" w:space="0" w:color="auto"/>
              <w:right w:val="single" w:sz="4" w:space="0" w:color="auto"/>
            </w:tcBorders>
            <w:shd w:val="clear" w:color="auto" w:fill="auto"/>
            <w:vAlign w:val="center"/>
            <w:hideMark/>
          </w:tcPr>
          <w:p w:rsidR="00CE1816" w:rsidRPr="008C7A56" w:rsidRDefault="002A1739" w:rsidP="001E2235">
            <w:pPr>
              <w:spacing w:before="20" w:after="20" w:line="240" w:lineRule="auto"/>
              <w:rPr>
                <w:rFonts w:eastAsia="Times New Roman" w:cs="Arial"/>
                <w:b/>
                <w:color w:val="000000"/>
                <w:lang w:val="fr-FR" w:eastAsia="en-GB"/>
              </w:rPr>
            </w:pPr>
            <w:r w:rsidRPr="008C7A56">
              <w:rPr>
                <w:rFonts w:eastAsia="Times New Roman" w:cs="Arial"/>
                <w:b/>
                <w:color w:val="000000"/>
                <w:lang w:val="fr-FR" w:eastAsia="en-GB"/>
              </w:rPr>
              <w:t>Ouvert</w:t>
            </w:r>
          </w:p>
        </w:tc>
      </w:tr>
      <w:tr w:rsidR="00460143"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DJ Environmental (T</w:t>
            </w:r>
            <w:r w:rsidR="002A1739" w:rsidRPr="008C7A56">
              <w:rPr>
                <w:rFonts w:eastAsia="Times New Roman" w:cs="Arial"/>
                <w:color w:val="000000"/>
                <w:lang w:val="fr-FR" w:eastAsia="en-GB"/>
              </w:rPr>
              <w:t>im </w:t>
            </w:r>
            <w:r w:rsidRPr="008C7A56">
              <w:rPr>
                <w:rFonts w:eastAsia="Times New Roman" w:cs="Arial"/>
                <w:color w:val="000000"/>
                <w:lang w:val="fr-FR" w:eastAsia="en-GB"/>
              </w:rPr>
              <w:t>Jones)</w:t>
            </w:r>
          </w:p>
        </w:tc>
        <w:tc>
          <w:tcPr>
            <w:tcW w:w="1267" w:type="dxa"/>
            <w:tcBorders>
              <w:top w:val="nil"/>
              <w:left w:val="nil"/>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3</w:t>
            </w:r>
            <w:r w:rsidR="002A1739" w:rsidRPr="008C7A56">
              <w:rPr>
                <w:rFonts w:eastAsia="Times New Roman" w:cs="Arial"/>
                <w:color w:val="000000"/>
                <w:lang w:val="fr-FR" w:eastAsia="en-GB"/>
              </w:rPr>
              <w:t xml:space="preserve"> </w:t>
            </w:r>
            <w:r w:rsidRPr="008C7A56">
              <w:rPr>
                <w:rFonts w:eastAsia="Times New Roman" w:cs="Arial"/>
                <w:color w:val="000000"/>
                <w:lang w:val="fr-FR" w:eastAsia="en-GB"/>
              </w:rPr>
              <w:t xml:space="preserve">600 </w:t>
            </w:r>
          </w:p>
        </w:tc>
        <w:tc>
          <w:tcPr>
            <w:tcW w:w="4155" w:type="dxa"/>
            <w:tcBorders>
              <w:top w:val="nil"/>
              <w:left w:val="nil"/>
              <w:bottom w:val="single" w:sz="4" w:space="0" w:color="auto"/>
              <w:right w:val="single" w:sz="4" w:space="0" w:color="auto"/>
            </w:tcBorders>
            <w:shd w:val="clear" w:color="auto" w:fill="auto"/>
            <w:vAlign w:val="center"/>
            <w:hideMark/>
          </w:tcPr>
          <w:p w:rsidR="00CE1816" w:rsidRPr="008C7A56" w:rsidRDefault="002A1739"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Préparation du Manuel de la Convention, 7</w:t>
            </w:r>
            <w:r w:rsidRPr="008C7A56">
              <w:rPr>
                <w:rFonts w:eastAsia="Times New Roman" w:cs="Arial"/>
                <w:color w:val="000000"/>
                <w:vertAlign w:val="superscript"/>
                <w:lang w:val="fr-FR" w:eastAsia="en-GB"/>
              </w:rPr>
              <w:t>e</w:t>
            </w:r>
            <w:r w:rsidRPr="008C7A56">
              <w:rPr>
                <w:rFonts w:eastAsia="Times New Roman" w:cs="Arial"/>
                <w:color w:val="000000"/>
                <w:lang w:val="fr-FR" w:eastAsia="en-GB"/>
              </w:rPr>
              <w:t> édition</w:t>
            </w:r>
          </w:p>
        </w:tc>
        <w:tc>
          <w:tcPr>
            <w:tcW w:w="1487" w:type="dxa"/>
            <w:tcBorders>
              <w:top w:val="nil"/>
              <w:left w:val="nil"/>
              <w:bottom w:val="single" w:sz="4" w:space="0" w:color="auto"/>
              <w:right w:val="single" w:sz="4" w:space="0" w:color="auto"/>
            </w:tcBorders>
            <w:shd w:val="clear" w:color="auto" w:fill="auto"/>
            <w:vAlign w:val="center"/>
            <w:hideMark/>
          </w:tcPr>
          <w:p w:rsidR="00CE1816" w:rsidRPr="008C7A56" w:rsidRDefault="002A1739"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Administratifs</w:t>
            </w:r>
          </w:p>
        </w:tc>
        <w:tc>
          <w:tcPr>
            <w:tcW w:w="2927" w:type="dxa"/>
            <w:tcBorders>
              <w:top w:val="nil"/>
              <w:left w:val="nil"/>
              <w:bottom w:val="single" w:sz="4" w:space="0" w:color="auto"/>
              <w:right w:val="single" w:sz="4" w:space="0" w:color="auto"/>
            </w:tcBorders>
            <w:shd w:val="clear" w:color="auto" w:fill="auto"/>
            <w:vAlign w:val="center"/>
            <w:hideMark/>
          </w:tcPr>
          <w:p w:rsidR="00CE1816" w:rsidRPr="008C7A56" w:rsidRDefault="002A1739"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Administratifs</w:t>
            </w:r>
          </w:p>
        </w:tc>
        <w:tc>
          <w:tcPr>
            <w:tcW w:w="1532" w:type="dxa"/>
            <w:tcBorders>
              <w:top w:val="nil"/>
              <w:left w:val="nil"/>
              <w:bottom w:val="single" w:sz="4" w:space="0" w:color="auto"/>
              <w:right w:val="single" w:sz="4" w:space="0" w:color="auto"/>
            </w:tcBorders>
            <w:shd w:val="clear" w:color="auto" w:fill="auto"/>
            <w:vAlign w:val="center"/>
            <w:hideMark/>
          </w:tcPr>
          <w:p w:rsidR="00CE1816" w:rsidRPr="008C7A56" w:rsidRDefault="00413374"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460143"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Persse, Emily</w:t>
            </w:r>
          </w:p>
        </w:tc>
        <w:tc>
          <w:tcPr>
            <w:tcW w:w="1267" w:type="dxa"/>
            <w:tcBorders>
              <w:top w:val="nil"/>
              <w:left w:val="nil"/>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7</w:t>
            </w:r>
            <w:r w:rsidR="002A1739" w:rsidRPr="008C7A56">
              <w:rPr>
                <w:rFonts w:eastAsia="Times New Roman" w:cs="Arial"/>
                <w:color w:val="000000"/>
                <w:lang w:val="fr-FR" w:eastAsia="en-GB"/>
              </w:rPr>
              <w:t xml:space="preserve"> </w:t>
            </w:r>
            <w:r w:rsidRPr="008C7A56">
              <w:rPr>
                <w:rFonts w:eastAsia="Times New Roman" w:cs="Arial"/>
                <w:color w:val="000000"/>
                <w:lang w:val="fr-FR" w:eastAsia="en-GB"/>
              </w:rPr>
              <w:t xml:space="preserve">000 </w:t>
            </w:r>
          </w:p>
        </w:tc>
        <w:tc>
          <w:tcPr>
            <w:tcW w:w="4155" w:type="dxa"/>
            <w:tcBorders>
              <w:top w:val="nil"/>
              <w:left w:val="nil"/>
              <w:bottom w:val="single" w:sz="4" w:space="0" w:color="auto"/>
              <w:right w:val="single" w:sz="4" w:space="0" w:color="auto"/>
            </w:tcBorders>
            <w:shd w:val="clear" w:color="auto" w:fill="auto"/>
            <w:vAlign w:val="center"/>
            <w:hideMark/>
          </w:tcPr>
          <w:p w:rsidR="00CE1816" w:rsidRPr="008C7A56" w:rsidRDefault="002A1739"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 xml:space="preserve">Collection </w:t>
            </w:r>
            <w:r w:rsidR="00CE1816" w:rsidRPr="008C7A56">
              <w:rPr>
                <w:rFonts w:eastAsia="Times New Roman" w:cs="Arial"/>
                <w:color w:val="000000"/>
                <w:lang w:val="fr-FR" w:eastAsia="en-GB"/>
              </w:rPr>
              <w:t>Ramsar, Uruguay</w:t>
            </w:r>
          </w:p>
        </w:tc>
        <w:tc>
          <w:tcPr>
            <w:tcW w:w="1487" w:type="dxa"/>
            <w:tcBorders>
              <w:top w:val="nil"/>
              <w:left w:val="nil"/>
              <w:bottom w:val="single" w:sz="4" w:space="0" w:color="auto"/>
              <w:right w:val="single" w:sz="4" w:space="0" w:color="auto"/>
            </w:tcBorders>
            <w:shd w:val="clear" w:color="auto" w:fill="auto"/>
            <w:vAlign w:val="center"/>
            <w:hideMark/>
          </w:tcPr>
          <w:p w:rsidR="00CE1816" w:rsidRPr="008C7A56" w:rsidRDefault="002A1739"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hideMark/>
          </w:tcPr>
          <w:p w:rsidR="00CE1816" w:rsidRPr="008C7A56" w:rsidRDefault="002A1739"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Budget Développement</w:t>
            </w:r>
          </w:p>
        </w:tc>
        <w:tc>
          <w:tcPr>
            <w:tcW w:w="1532" w:type="dxa"/>
            <w:tcBorders>
              <w:top w:val="nil"/>
              <w:left w:val="nil"/>
              <w:bottom w:val="single" w:sz="4" w:space="0" w:color="auto"/>
              <w:right w:val="single" w:sz="4" w:space="0" w:color="auto"/>
            </w:tcBorders>
            <w:shd w:val="clear" w:color="auto" w:fill="auto"/>
            <w:vAlign w:val="center"/>
            <w:hideMark/>
          </w:tcPr>
          <w:p w:rsidR="00CE1816" w:rsidRPr="008C7A56" w:rsidRDefault="00413374"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460143"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Reardon, Vince</w:t>
            </w:r>
          </w:p>
        </w:tc>
        <w:tc>
          <w:tcPr>
            <w:tcW w:w="1267" w:type="dxa"/>
            <w:tcBorders>
              <w:top w:val="nil"/>
              <w:left w:val="nil"/>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6</w:t>
            </w:r>
            <w:r w:rsidR="002A1739" w:rsidRPr="008C7A56">
              <w:rPr>
                <w:rFonts w:eastAsia="Times New Roman" w:cs="Arial"/>
                <w:color w:val="000000"/>
                <w:lang w:val="fr-FR" w:eastAsia="en-GB"/>
              </w:rPr>
              <w:t xml:space="preserve"> </w:t>
            </w:r>
            <w:r w:rsidRPr="008C7A56">
              <w:rPr>
                <w:rFonts w:eastAsia="Times New Roman" w:cs="Arial"/>
                <w:color w:val="000000"/>
                <w:lang w:val="fr-FR" w:eastAsia="en-GB"/>
              </w:rPr>
              <w:t xml:space="preserve">475 </w:t>
            </w:r>
          </w:p>
        </w:tc>
        <w:tc>
          <w:tcPr>
            <w:tcW w:w="4155" w:type="dxa"/>
            <w:tcBorders>
              <w:top w:val="nil"/>
              <w:left w:val="nil"/>
              <w:bottom w:val="single" w:sz="4" w:space="0" w:color="auto"/>
              <w:right w:val="single" w:sz="4" w:space="0" w:color="auto"/>
            </w:tcBorders>
            <w:shd w:val="clear" w:color="auto" w:fill="auto"/>
            <w:vAlign w:val="center"/>
            <w:hideMark/>
          </w:tcPr>
          <w:p w:rsidR="00CE1816" w:rsidRPr="008C7A56" w:rsidRDefault="002A1739"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 xml:space="preserve">Les zones humides et les moyens d’existence durables </w:t>
            </w:r>
          </w:p>
        </w:tc>
        <w:tc>
          <w:tcPr>
            <w:tcW w:w="1487" w:type="dxa"/>
            <w:tcBorders>
              <w:top w:val="nil"/>
              <w:left w:val="nil"/>
              <w:bottom w:val="single" w:sz="4" w:space="0" w:color="auto"/>
              <w:right w:val="single" w:sz="4" w:space="0" w:color="auto"/>
            </w:tcBorders>
            <w:shd w:val="clear" w:color="auto" w:fill="auto"/>
            <w:vAlign w:val="center"/>
            <w:hideMark/>
          </w:tcPr>
          <w:p w:rsidR="00CE1816" w:rsidRPr="008C7A56" w:rsidRDefault="002A1739"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Danone</w:t>
            </w:r>
          </w:p>
        </w:tc>
        <w:tc>
          <w:tcPr>
            <w:tcW w:w="1532" w:type="dxa"/>
            <w:tcBorders>
              <w:top w:val="nil"/>
              <w:left w:val="nil"/>
              <w:bottom w:val="single" w:sz="4" w:space="0" w:color="auto"/>
              <w:right w:val="single" w:sz="4" w:space="0" w:color="auto"/>
            </w:tcBorders>
            <w:shd w:val="clear" w:color="auto" w:fill="auto"/>
            <w:vAlign w:val="center"/>
            <w:hideMark/>
          </w:tcPr>
          <w:p w:rsidR="00CE1816" w:rsidRPr="008C7A56" w:rsidRDefault="00413374"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460143"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Lyratzaki, Irini</w:t>
            </w:r>
          </w:p>
        </w:tc>
        <w:tc>
          <w:tcPr>
            <w:tcW w:w="1267" w:type="dxa"/>
            <w:tcBorders>
              <w:top w:val="nil"/>
              <w:left w:val="nil"/>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1</w:t>
            </w:r>
            <w:r w:rsidR="002A1739" w:rsidRPr="008C7A56">
              <w:rPr>
                <w:rFonts w:eastAsia="Times New Roman" w:cs="Arial"/>
                <w:color w:val="000000"/>
                <w:lang w:val="fr-FR" w:eastAsia="en-GB"/>
              </w:rPr>
              <w:t xml:space="preserve"> </w:t>
            </w:r>
            <w:r w:rsidRPr="008C7A56">
              <w:rPr>
                <w:rFonts w:eastAsia="Times New Roman" w:cs="Arial"/>
                <w:color w:val="000000"/>
                <w:lang w:val="fr-FR" w:eastAsia="en-GB"/>
              </w:rPr>
              <w:t xml:space="preserve">000 </w:t>
            </w:r>
          </w:p>
        </w:tc>
        <w:tc>
          <w:tcPr>
            <w:tcW w:w="4155" w:type="dxa"/>
            <w:tcBorders>
              <w:top w:val="nil"/>
              <w:left w:val="nil"/>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Analys</w:t>
            </w:r>
            <w:r w:rsidR="002A1739" w:rsidRPr="008C7A56">
              <w:rPr>
                <w:rFonts w:eastAsia="Times New Roman" w:cs="Arial"/>
                <w:color w:val="000000"/>
                <w:lang w:val="fr-FR" w:eastAsia="en-GB"/>
              </w:rPr>
              <w:t>e</w:t>
            </w:r>
            <w:r w:rsidRPr="008C7A56">
              <w:rPr>
                <w:rFonts w:eastAsia="Times New Roman" w:cs="Arial"/>
                <w:color w:val="000000"/>
                <w:lang w:val="fr-FR" w:eastAsia="en-GB"/>
              </w:rPr>
              <w:t xml:space="preserve">, </w:t>
            </w:r>
            <w:r w:rsidR="002A1739" w:rsidRPr="008C7A56">
              <w:rPr>
                <w:rFonts w:eastAsia="Times New Roman" w:cs="Arial"/>
                <w:color w:val="000000"/>
                <w:lang w:val="fr-FR" w:eastAsia="en-GB"/>
              </w:rPr>
              <w:t>perspectives des membres du Réseau culturel</w:t>
            </w:r>
          </w:p>
        </w:tc>
        <w:tc>
          <w:tcPr>
            <w:tcW w:w="1487" w:type="dxa"/>
            <w:tcBorders>
              <w:top w:val="nil"/>
              <w:left w:val="nil"/>
              <w:bottom w:val="single" w:sz="4" w:space="0" w:color="auto"/>
              <w:right w:val="single" w:sz="4" w:space="0" w:color="auto"/>
            </w:tcBorders>
            <w:shd w:val="clear" w:color="auto" w:fill="auto"/>
            <w:vAlign w:val="center"/>
            <w:hideMark/>
          </w:tcPr>
          <w:p w:rsidR="00CE1816" w:rsidRPr="008C7A56" w:rsidRDefault="002A1739"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MAVA</w:t>
            </w:r>
          </w:p>
        </w:tc>
        <w:tc>
          <w:tcPr>
            <w:tcW w:w="1532" w:type="dxa"/>
            <w:tcBorders>
              <w:top w:val="nil"/>
              <w:left w:val="nil"/>
              <w:bottom w:val="single" w:sz="4" w:space="0" w:color="auto"/>
              <w:right w:val="single" w:sz="4" w:space="0" w:color="auto"/>
            </w:tcBorders>
            <w:shd w:val="clear" w:color="auto" w:fill="auto"/>
            <w:vAlign w:val="center"/>
            <w:hideMark/>
          </w:tcPr>
          <w:p w:rsidR="00CE1816" w:rsidRPr="008C7A56" w:rsidRDefault="00413374"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460143"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Papayannis, Thymio</w:t>
            </w:r>
          </w:p>
        </w:tc>
        <w:tc>
          <w:tcPr>
            <w:tcW w:w="1267" w:type="dxa"/>
            <w:tcBorders>
              <w:top w:val="nil"/>
              <w:left w:val="nil"/>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2</w:t>
            </w:r>
            <w:r w:rsidR="002A1739" w:rsidRPr="008C7A56">
              <w:rPr>
                <w:rFonts w:eastAsia="Times New Roman" w:cs="Arial"/>
                <w:color w:val="000000"/>
                <w:lang w:val="fr-FR" w:eastAsia="en-GB"/>
              </w:rPr>
              <w:t xml:space="preserve"> </w:t>
            </w:r>
            <w:r w:rsidRPr="008C7A56">
              <w:rPr>
                <w:rFonts w:eastAsia="Times New Roman" w:cs="Arial"/>
                <w:color w:val="000000"/>
                <w:lang w:val="fr-FR" w:eastAsia="en-GB"/>
              </w:rPr>
              <w:t xml:space="preserve">700 </w:t>
            </w:r>
          </w:p>
        </w:tc>
        <w:tc>
          <w:tcPr>
            <w:tcW w:w="4155" w:type="dxa"/>
            <w:tcBorders>
              <w:top w:val="nil"/>
              <w:left w:val="nil"/>
              <w:bottom w:val="single" w:sz="4" w:space="0" w:color="auto"/>
              <w:right w:val="single" w:sz="4" w:space="0" w:color="auto"/>
            </w:tcBorders>
            <w:shd w:val="clear" w:color="auto" w:fill="auto"/>
            <w:vAlign w:val="center"/>
            <w:hideMark/>
          </w:tcPr>
          <w:p w:rsidR="00CE1816" w:rsidRPr="008C7A56" w:rsidRDefault="002A1739"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Concept de projet</w:t>
            </w:r>
            <w:r w:rsidR="00CE1816" w:rsidRPr="008C7A56">
              <w:rPr>
                <w:rFonts w:eastAsia="Times New Roman" w:cs="Arial"/>
                <w:color w:val="000000"/>
                <w:lang w:val="fr-FR" w:eastAsia="en-GB"/>
              </w:rPr>
              <w:t xml:space="preserve">, </w:t>
            </w:r>
            <w:r w:rsidRPr="008C7A56">
              <w:rPr>
                <w:rFonts w:eastAsia="Times New Roman" w:cs="Arial"/>
                <w:color w:val="000000"/>
                <w:lang w:val="fr-FR" w:eastAsia="en-GB"/>
              </w:rPr>
              <w:t>pratiques culturelles</w:t>
            </w:r>
          </w:p>
        </w:tc>
        <w:tc>
          <w:tcPr>
            <w:tcW w:w="1487" w:type="dxa"/>
            <w:tcBorders>
              <w:top w:val="nil"/>
              <w:left w:val="nil"/>
              <w:bottom w:val="single" w:sz="4" w:space="0" w:color="auto"/>
              <w:right w:val="single" w:sz="4" w:space="0" w:color="auto"/>
            </w:tcBorders>
            <w:shd w:val="clear" w:color="auto" w:fill="auto"/>
            <w:vAlign w:val="center"/>
            <w:hideMark/>
          </w:tcPr>
          <w:p w:rsidR="00CE1816" w:rsidRPr="008C7A56" w:rsidRDefault="002A1739"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MAVA</w:t>
            </w:r>
          </w:p>
        </w:tc>
        <w:tc>
          <w:tcPr>
            <w:tcW w:w="1532" w:type="dxa"/>
            <w:tcBorders>
              <w:top w:val="nil"/>
              <w:left w:val="nil"/>
              <w:bottom w:val="single" w:sz="4" w:space="0" w:color="auto"/>
              <w:right w:val="single" w:sz="4" w:space="0" w:color="auto"/>
            </w:tcBorders>
            <w:shd w:val="clear" w:color="auto" w:fill="auto"/>
            <w:vAlign w:val="center"/>
            <w:hideMark/>
          </w:tcPr>
          <w:p w:rsidR="00CE1816" w:rsidRPr="008C7A56" w:rsidRDefault="00413374"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460143"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Yacot, Analia</w:t>
            </w:r>
          </w:p>
        </w:tc>
        <w:tc>
          <w:tcPr>
            <w:tcW w:w="1267" w:type="dxa"/>
            <w:tcBorders>
              <w:top w:val="nil"/>
              <w:left w:val="nil"/>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6</w:t>
            </w:r>
            <w:r w:rsidR="002A1739" w:rsidRPr="008C7A56">
              <w:rPr>
                <w:rFonts w:eastAsia="Times New Roman" w:cs="Arial"/>
                <w:color w:val="000000"/>
                <w:lang w:val="fr-FR" w:eastAsia="en-GB"/>
              </w:rPr>
              <w:t xml:space="preserve"> </w:t>
            </w:r>
            <w:r w:rsidRPr="008C7A56">
              <w:rPr>
                <w:rFonts w:eastAsia="Times New Roman" w:cs="Arial"/>
                <w:color w:val="000000"/>
                <w:lang w:val="fr-FR" w:eastAsia="en-GB"/>
              </w:rPr>
              <w:t xml:space="preserve">133 </w:t>
            </w:r>
          </w:p>
        </w:tc>
        <w:tc>
          <w:tcPr>
            <w:tcW w:w="4155" w:type="dxa"/>
            <w:tcBorders>
              <w:top w:val="nil"/>
              <w:left w:val="nil"/>
              <w:bottom w:val="single" w:sz="4" w:space="0" w:color="auto"/>
              <w:right w:val="single" w:sz="4" w:space="0" w:color="auto"/>
            </w:tcBorders>
            <w:shd w:val="clear" w:color="auto" w:fill="auto"/>
            <w:vAlign w:val="center"/>
            <w:hideMark/>
          </w:tcPr>
          <w:p w:rsidR="00CE1816" w:rsidRPr="008C7A56" w:rsidRDefault="002A1739"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 xml:space="preserve">Commentaires </w:t>
            </w:r>
            <w:r w:rsidR="00CE1816" w:rsidRPr="008C7A56">
              <w:rPr>
                <w:rFonts w:eastAsia="Times New Roman" w:cs="Arial"/>
                <w:color w:val="000000"/>
                <w:lang w:val="fr-FR" w:eastAsia="en-GB"/>
              </w:rPr>
              <w:t>360</w:t>
            </w:r>
            <w:r w:rsidRPr="008C7A56">
              <w:rPr>
                <w:rFonts w:eastAsia="Times New Roman" w:cs="Arial"/>
                <w:color w:val="000000"/>
                <w:lang w:val="fr-FR" w:eastAsia="en-GB"/>
              </w:rPr>
              <w:t xml:space="preserve"> degrés</w:t>
            </w:r>
          </w:p>
        </w:tc>
        <w:tc>
          <w:tcPr>
            <w:tcW w:w="1487" w:type="dxa"/>
            <w:tcBorders>
              <w:top w:val="nil"/>
              <w:left w:val="nil"/>
              <w:bottom w:val="single" w:sz="4" w:space="0" w:color="auto"/>
              <w:right w:val="single" w:sz="4" w:space="0" w:color="auto"/>
            </w:tcBorders>
            <w:shd w:val="clear" w:color="auto" w:fill="auto"/>
            <w:vAlign w:val="center"/>
            <w:hideMark/>
          </w:tcPr>
          <w:p w:rsidR="00CE1816" w:rsidRPr="008C7A56" w:rsidRDefault="002A1739"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Administratifs</w:t>
            </w:r>
          </w:p>
        </w:tc>
        <w:tc>
          <w:tcPr>
            <w:tcW w:w="2927" w:type="dxa"/>
            <w:tcBorders>
              <w:top w:val="nil"/>
              <w:left w:val="nil"/>
              <w:bottom w:val="single" w:sz="4" w:space="0" w:color="auto"/>
              <w:right w:val="single" w:sz="4" w:space="0" w:color="auto"/>
            </w:tcBorders>
            <w:shd w:val="clear" w:color="auto" w:fill="auto"/>
            <w:vAlign w:val="center"/>
            <w:hideMark/>
          </w:tcPr>
          <w:p w:rsidR="00CE1816" w:rsidRPr="008C7A56" w:rsidRDefault="002A1739"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Administratifs</w:t>
            </w:r>
          </w:p>
        </w:tc>
        <w:tc>
          <w:tcPr>
            <w:tcW w:w="1532" w:type="dxa"/>
            <w:tcBorders>
              <w:top w:val="nil"/>
              <w:left w:val="nil"/>
              <w:bottom w:val="single" w:sz="4" w:space="0" w:color="auto"/>
              <w:right w:val="single" w:sz="4" w:space="0" w:color="auto"/>
            </w:tcBorders>
            <w:shd w:val="clear" w:color="auto" w:fill="auto"/>
            <w:vAlign w:val="center"/>
            <w:hideMark/>
          </w:tcPr>
          <w:p w:rsidR="00CE1816" w:rsidRPr="008C7A56" w:rsidRDefault="00413374"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460143" w:rsidRPr="008C7A56" w:rsidTr="0019412B">
        <w:trPr>
          <w:trHeight w:val="382"/>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Casallas, Sara</w:t>
            </w:r>
          </w:p>
        </w:tc>
        <w:tc>
          <w:tcPr>
            <w:tcW w:w="1267" w:type="dxa"/>
            <w:tcBorders>
              <w:top w:val="nil"/>
              <w:left w:val="nil"/>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19</w:t>
            </w:r>
            <w:r w:rsidR="002A1739" w:rsidRPr="008C7A56">
              <w:rPr>
                <w:rFonts w:eastAsia="Times New Roman" w:cs="Arial"/>
                <w:color w:val="000000"/>
                <w:lang w:val="fr-FR" w:eastAsia="en-GB"/>
              </w:rPr>
              <w:t xml:space="preserve"> </w:t>
            </w:r>
            <w:r w:rsidRPr="008C7A56">
              <w:rPr>
                <w:rFonts w:eastAsia="Times New Roman" w:cs="Arial"/>
                <w:color w:val="000000"/>
                <w:lang w:val="fr-FR" w:eastAsia="en-GB"/>
              </w:rPr>
              <w:t xml:space="preserve">621 </w:t>
            </w:r>
          </w:p>
        </w:tc>
        <w:tc>
          <w:tcPr>
            <w:tcW w:w="4155" w:type="dxa"/>
            <w:tcBorders>
              <w:top w:val="nil"/>
              <w:left w:val="nil"/>
              <w:bottom w:val="single" w:sz="4" w:space="0" w:color="auto"/>
              <w:right w:val="single" w:sz="4" w:space="0" w:color="auto"/>
            </w:tcBorders>
            <w:shd w:val="clear" w:color="auto" w:fill="auto"/>
            <w:vAlign w:val="center"/>
            <w:hideMark/>
          </w:tcPr>
          <w:p w:rsidR="00CE1816" w:rsidRPr="008C7A56" w:rsidRDefault="00F11363"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 xml:space="preserve">Appui </w:t>
            </w:r>
            <w:r w:rsidR="00CE1816" w:rsidRPr="008C7A56">
              <w:rPr>
                <w:rFonts w:eastAsia="Times New Roman" w:cs="Arial"/>
                <w:color w:val="000000"/>
                <w:lang w:val="fr-FR" w:eastAsia="en-GB"/>
              </w:rPr>
              <w:t xml:space="preserve">COP12 </w:t>
            </w:r>
          </w:p>
        </w:tc>
        <w:tc>
          <w:tcPr>
            <w:tcW w:w="1487" w:type="dxa"/>
            <w:tcBorders>
              <w:top w:val="nil"/>
              <w:left w:val="nil"/>
              <w:bottom w:val="single" w:sz="4" w:space="0" w:color="auto"/>
              <w:right w:val="single" w:sz="4" w:space="0" w:color="auto"/>
            </w:tcBorders>
            <w:shd w:val="clear" w:color="auto" w:fill="auto"/>
            <w:vAlign w:val="center"/>
            <w:hideMark/>
          </w:tcPr>
          <w:p w:rsidR="00CE1816" w:rsidRPr="008C7A56" w:rsidRDefault="002A1739"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Administratifs</w:t>
            </w:r>
          </w:p>
        </w:tc>
        <w:tc>
          <w:tcPr>
            <w:tcW w:w="2927" w:type="dxa"/>
            <w:tcBorders>
              <w:top w:val="nil"/>
              <w:left w:val="nil"/>
              <w:bottom w:val="single" w:sz="4" w:space="0" w:color="auto"/>
              <w:right w:val="single" w:sz="4" w:space="0" w:color="auto"/>
            </w:tcBorders>
            <w:shd w:val="clear" w:color="auto" w:fill="auto"/>
            <w:vAlign w:val="center"/>
            <w:hideMark/>
          </w:tcPr>
          <w:p w:rsidR="00CE1816" w:rsidRPr="008C7A56" w:rsidRDefault="00F11363"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 xml:space="preserve">Décision </w:t>
            </w:r>
            <w:r w:rsidR="00CE1816" w:rsidRPr="008C7A56">
              <w:rPr>
                <w:rFonts w:eastAsia="Times New Roman" w:cs="Arial"/>
                <w:color w:val="000000"/>
                <w:lang w:val="fr-FR" w:eastAsia="en-GB"/>
              </w:rPr>
              <w:t>SC47</w:t>
            </w:r>
            <w:r w:rsidRPr="008C7A56">
              <w:rPr>
                <w:rFonts w:eastAsia="Times New Roman" w:cs="Arial"/>
                <w:color w:val="000000"/>
                <w:lang w:val="fr-FR" w:eastAsia="en-GB"/>
              </w:rPr>
              <w:t> </w:t>
            </w:r>
            <w:r w:rsidR="00CE1816" w:rsidRPr="008C7A56">
              <w:rPr>
                <w:rFonts w:eastAsia="Times New Roman" w:cs="Arial"/>
                <w:color w:val="000000"/>
                <w:lang w:val="fr-FR" w:eastAsia="en-GB"/>
              </w:rPr>
              <w:t xml:space="preserve">: </w:t>
            </w:r>
            <w:r w:rsidRPr="008C7A56">
              <w:rPr>
                <w:rFonts w:eastAsia="Times New Roman" w:cs="Arial"/>
                <w:color w:val="000000"/>
                <w:lang w:val="fr-FR" w:eastAsia="en-GB"/>
              </w:rPr>
              <w:t xml:space="preserve">Excédent 2013 </w:t>
            </w:r>
          </w:p>
        </w:tc>
        <w:tc>
          <w:tcPr>
            <w:tcW w:w="1532" w:type="dxa"/>
            <w:tcBorders>
              <w:top w:val="nil"/>
              <w:left w:val="nil"/>
              <w:bottom w:val="single" w:sz="4" w:space="0" w:color="auto"/>
              <w:right w:val="single" w:sz="4" w:space="0" w:color="auto"/>
            </w:tcBorders>
            <w:shd w:val="clear" w:color="auto" w:fill="auto"/>
            <w:vAlign w:val="center"/>
            <w:hideMark/>
          </w:tcPr>
          <w:p w:rsidR="00CE1816" w:rsidRPr="008C7A56" w:rsidRDefault="00413374"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460143"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Pritchard, David</w:t>
            </w:r>
          </w:p>
        </w:tc>
        <w:tc>
          <w:tcPr>
            <w:tcW w:w="1267" w:type="dxa"/>
            <w:tcBorders>
              <w:top w:val="nil"/>
              <w:left w:val="nil"/>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4</w:t>
            </w:r>
            <w:r w:rsidR="002A1739" w:rsidRPr="008C7A56">
              <w:rPr>
                <w:rFonts w:eastAsia="Times New Roman" w:cs="Arial"/>
                <w:color w:val="000000"/>
                <w:lang w:val="fr-FR" w:eastAsia="en-GB"/>
              </w:rPr>
              <w:t xml:space="preserve"> </w:t>
            </w:r>
            <w:r w:rsidRPr="008C7A56">
              <w:rPr>
                <w:rFonts w:eastAsia="Times New Roman" w:cs="Arial"/>
                <w:color w:val="000000"/>
                <w:lang w:val="fr-FR" w:eastAsia="en-GB"/>
              </w:rPr>
              <w:t xml:space="preserve">800 </w:t>
            </w:r>
          </w:p>
        </w:tc>
        <w:tc>
          <w:tcPr>
            <w:tcW w:w="4155" w:type="dxa"/>
            <w:tcBorders>
              <w:top w:val="nil"/>
              <w:left w:val="nil"/>
              <w:bottom w:val="single" w:sz="4" w:space="0" w:color="auto"/>
              <w:right w:val="single" w:sz="4" w:space="0" w:color="auto"/>
            </w:tcBorders>
            <w:shd w:val="clear" w:color="auto" w:fill="auto"/>
            <w:vAlign w:val="center"/>
            <w:hideMark/>
          </w:tcPr>
          <w:p w:rsidR="00CE1816" w:rsidRPr="008C7A56" w:rsidRDefault="00F11363"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 xml:space="preserve">MCR Site </w:t>
            </w:r>
            <w:r w:rsidR="00CE1816" w:rsidRPr="008C7A56">
              <w:rPr>
                <w:rFonts w:eastAsia="Times New Roman" w:cs="Arial"/>
                <w:color w:val="000000"/>
                <w:lang w:val="fr-FR" w:eastAsia="en-GB"/>
              </w:rPr>
              <w:t xml:space="preserve">802 </w:t>
            </w:r>
            <w:r w:rsidRPr="008C7A56">
              <w:rPr>
                <w:rFonts w:eastAsia="Times New Roman" w:cs="Arial"/>
                <w:color w:val="000000"/>
                <w:lang w:val="fr-FR" w:eastAsia="en-GB"/>
              </w:rPr>
              <w:t>Norvège</w:t>
            </w:r>
          </w:p>
        </w:tc>
        <w:tc>
          <w:tcPr>
            <w:tcW w:w="1487" w:type="dxa"/>
            <w:tcBorders>
              <w:top w:val="nil"/>
              <w:left w:val="nil"/>
              <w:bottom w:val="single" w:sz="4" w:space="0" w:color="auto"/>
              <w:right w:val="single" w:sz="4" w:space="0" w:color="auto"/>
            </w:tcBorders>
            <w:shd w:val="clear" w:color="auto" w:fill="auto"/>
            <w:vAlign w:val="center"/>
            <w:hideMark/>
          </w:tcPr>
          <w:p w:rsidR="00CE1816" w:rsidRPr="008C7A56" w:rsidRDefault="002A1739"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hideMark/>
          </w:tcPr>
          <w:p w:rsidR="00CE1816" w:rsidRPr="008C7A56" w:rsidRDefault="00F11363"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Mission consultati</w:t>
            </w:r>
            <w:r w:rsidR="00413374" w:rsidRPr="008C7A56">
              <w:rPr>
                <w:rFonts w:eastAsia="Times New Roman" w:cs="Arial"/>
                <w:color w:val="000000"/>
                <w:lang w:val="fr-FR" w:eastAsia="en-GB"/>
              </w:rPr>
              <w:t>ve</w:t>
            </w:r>
            <w:r w:rsidRPr="008C7A56">
              <w:rPr>
                <w:rFonts w:eastAsia="Times New Roman" w:cs="Arial"/>
                <w:color w:val="000000"/>
                <w:lang w:val="fr-FR" w:eastAsia="en-GB"/>
              </w:rPr>
              <w:t xml:space="preserve"> Ramsar financée par la Norvège </w:t>
            </w:r>
          </w:p>
        </w:tc>
        <w:tc>
          <w:tcPr>
            <w:tcW w:w="1532" w:type="dxa"/>
            <w:tcBorders>
              <w:top w:val="nil"/>
              <w:left w:val="nil"/>
              <w:bottom w:val="single" w:sz="4" w:space="0" w:color="auto"/>
              <w:right w:val="single" w:sz="4" w:space="0" w:color="auto"/>
            </w:tcBorders>
            <w:shd w:val="clear" w:color="auto" w:fill="auto"/>
            <w:vAlign w:val="center"/>
            <w:hideMark/>
          </w:tcPr>
          <w:p w:rsidR="00CE1816" w:rsidRPr="008C7A56" w:rsidRDefault="00413374"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460143"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Persse, Emily</w:t>
            </w:r>
          </w:p>
        </w:tc>
        <w:tc>
          <w:tcPr>
            <w:tcW w:w="1267" w:type="dxa"/>
            <w:tcBorders>
              <w:top w:val="nil"/>
              <w:left w:val="nil"/>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7</w:t>
            </w:r>
            <w:r w:rsidR="002A1739" w:rsidRPr="008C7A56">
              <w:rPr>
                <w:rFonts w:eastAsia="Times New Roman" w:cs="Arial"/>
                <w:color w:val="000000"/>
                <w:lang w:val="fr-FR" w:eastAsia="en-GB"/>
              </w:rPr>
              <w:t xml:space="preserve"> </w:t>
            </w:r>
            <w:r w:rsidRPr="008C7A56">
              <w:rPr>
                <w:rFonts w:eastAsia="Times New Roman" w:cs="Arial"/>
                <w:color w:val="000000"/>
                <w:lang w:val="fr-FR" w:eastAsia="en-GB"/>
              </w:rPr>
              <w:t xml:space="preserve">000 </w:t>
            </w:r>
          </w:p>
        </w:tc>
        <w:tc>
          <w:tcPr>
            <w:tcW w:w="4155" w:type="dxa"/>
            <w:tcBorders>
              <w:top w:val="nil"/>
              <w:left w:val="nil"/>
              <w:bottom w:val="single" w:sz="4" w:space="0" w:color="auto"/>
              <w:right w:val="single" w:sz="4" w:space="0" w:color="auto"/>
            </w:tcBorders>
            <w:shd w:val="clear" w:color="auto" w:fill="auto"/>
            <w:vAlign w:val="center"/>
            <w:hideMark/>
          </w:tcPr>
          <w:p w:rsidR="00CE1816" w:rsidRPr="008C7A56" w:rsidRDefault="00F11363"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 xml:space="preserve">Appui à la communication </w:t>
            </w:r>
            <w:r w:rsidR="00CE1816" w:rsidRPr="008C7A56">
              <w:rPr>
                <w:rFonts w:eastAsia="Times New Roman" w:cs="Arial"/>
                <w:color w:val="000000"/>
                <w:lang w:val="fr-FR" w:eastAsia="en-GB"/>
              </w:rPr>
              <w:t xml:space="preserve">COP12 </w:t>
            </w:r>
          </w:p>
        </w:tc>
        <w:tc>
          <w:tcPr>
            <w:tcW w:w="1487" w:type="dxa"/>
            <w:tcBorders>
              <w:top w:val="nil"/>
              <w:left w:val="nil"/>
              <w:bottom w:val="single" w:sz="4" w:space="0" w:color="auto"/>
              <w:right w:val="single" w:sz="4" w:space="0" w:color="auto"/>
            </w:tcBorders>
            <w:shd w:val="clear" w:color="auto" w:fill="auto"/>
            <w:vAlign w:val="center"/>
            <w:hideMark/>
          </w:tcPr>
          <w:p w:rsidR="00CE1816" w:rsidRPr="008C7A56" w:rsidRDefault="002A1739"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hideMark/>
          </w:tcPr>
          <w:p w:rsidR="00CE1816" w:rsidRPr="008C7A56" w:rsidRDefault="00F11363"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 xml:space="preserve">Mémorandum d’accord budget </w:t>
            </w:r>
            <w:r w:rsidR="00CE1816" w:rsidRPr="008C7A56">
              <w:rPr>
                <w:rFonts w:eastAsia="Times New Roman" w:cs="Arial"/>
                <w:color w:val="000000"/>
                <w:lang w:val="fr-FR" w:eastAsia="en-GB"/>
              </w:rPr>
              <w:t xml:space="preserve">COP12 </w:t>
            </w:r>
          </w:p>
        </w:tc>
        <w:tc>
          <w:tcPr>
            <w:tcW w:w="1532" w:type="dxa"/>
            <w:tcBorders>
              <w:top w:val="nil"/>
              <w:left w:val="nil"/>
              <w:bottom w:val="single" w:sz="4" w:space="0" w:color="auto"/>
              <w:right w:val="single" w:sz="4" w:space="0" w:color="auto"/>
            </w:tcBorders>
            <w:shd w:val="clear" w:color="auto" w:fill="auto"/>
            <w:vAlign w:val="center"/>
            <w:hideMark/>
          </w:tcPr>
          <w:p w:rsidR="00CE1816" w:rsidRPr="008C7A56" w:rsidRDefault="00413374"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460143"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Yacot, Analia</w:t>
            </w:r>
          </w:p>
        </w:tc>
        <w:tc>
          <w:tcPr>
            <w:tcW w:w="1267" w:type="dxa"/>
            <w:tcBorders>
              <w:top w:val="nil"/>
              <w:left w:val="nil"/>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7</w:t>
            </w:r>
            <w:r w:rsidR="002A1739" w:rsidRPr="008C7A56">
              <w:rPr>
                <w:rFonts w:eastAsia="Times New Roman" w:cs="Arial"/>
                <w:color w:val="000000"/>
                <w:lang w:val="fr-FR" w:eastAsia="en-GB"/>
              </w:rPr>
              <w:t xml:space="preserve"> </w:t>
            </w:r>
            <w:r w:rsidRPr="008C7A56">
              <w:rPr>
                <w:rFonts w:eastAsia="Times New Roman" w:cs="Arial"/>
                <w:color w:val="000000"/>
                <w:lang w:val="fr-FR" w:eastAsia="en-GB"/>
              </w:rPr>
              <w:t xml:space="preserve">239 </w:t>
            </w:r>
          </w:p>
        </w:tc>
        <w:tc>
          <w:tcPr>
            <w:tcW w:w="4155" w:type="dxa"/>
            <w:tcBorders>
              <w:top w:val="nil"/>
              <w:left w:val="nil"/>
              <w:bottom w:val="single" w:sz="4" w:space="0" w:color="auto"/>
              <w:right w:val="single" w:sz="4" w:space="0" w:color="auto"/>
            </w:tcBorders>
            <w:shd w:val="clear" w:color="auto" w:fill="auto"/>
            <w:vAlign w:val="center"/>
            <w:hideMark/>
          </w:tcPr>
          <w:p w:rsidR="00CE1816" w:rsidRPr="008C7A56" w:rsidRDefault="00F11363"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Commentaires 360 degrés</w:t>
            </w:r>
          </w:p>
        </w:tc>
        <w:tc>
          <w:tcPr>
            <w:tcW w:w="1487" w:type="dxa"/>
            <w:tcBorders>
              <w:top w:val="nil"/>
              <w:left w:val="nil"/>
              <w:bottom w:val="single" w:sz="4" w:space="0" w:color="auto"/>
              <w:right w:val="single" w:sz="4" w:space="0" w:color="auto"/>
            </w:tcBorders>
            <w:shd w:val="clear" w:color="auto" w:fill="auto"/>
            <w:vAlign w:val="center"/>
            <w:hideMark/>
          </w:tcPr>
          <w:p w:rsidR="00CE1816" w:rsidRPr="008C7A56" w:rsidRDefault="002A1739"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Administratifs</w:t>
            </w:r>
          </w:p>
        </w:tc>
        <w:tc>
          <w:tcPr>
            <w:tcW w:w="2927" w:type="dxa"/>
            <w:tcBorders>
              <w:top w:val="nil"/>
              <w:left w:val="nil"/>
              <w:bottom w:val="single" w:sz="4" w:space="0" w:color="auto"/>
              <w:right w:val="single" w:sz="4" w:space="0" w:color="auto"/>
            </w:tcBorders>
            <w:shd w:val="clear" w:color="auto" w:fill="auto"/>
            <w:vAlign w:val="center"/>
            <w:hideMark/>
          </w:tcPr>
          <w:p w:rsidR="00CE1816" w:rsidRPr="008C7A56" w:rsidRDefault="00F11363"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Administratifs</w:t>
            </w:r>
          </w:p>
        </w:tc>
        <w:tc>
          <w:tcPr>
            <w:tcW w:w="1532" w:type="dxa"/>
            <w:tcBorders>
              <w:top w:val="nil"/>
              <w:left w:val="nil"/>
              <w:bottom w:val="single" w:sz="4" w:space="0" w:color="auto"/>
              <w:right w:val="single" w:sz="4" w:space="0" w:color="auto"/>
            </w:tcBorders>
            <w:shd w:val="clear" w:color="auto" w:fill="auto"/>
            <w:vAlign w:val="center"/>
            <w:hideMark/>
          </w:tcPr>
          <w:p w:rsidR="00CE1816" w:rsidRPr="008C7A56" w:rsidRDefault="00413374"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460143"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lastRenderedPageBreak/>
              <w:t>Byrnes, Wendy</w:t>
            </w:r>
          </w:p>
        </w:tc>
        <w:tc>
          <w:tcPr>
            <w:tcW w:w="1267" w:type="dxa"/>
            <w:tcBorders>
              <w:top w:val="nil"/>
              <w:left w:val="nil"/>
              <w:bottom w:val="single" w:sz="4" w:space="0" w:color="auto"/>
              <w:right w:val="single" w:sz="4" w:space="0" w:color="auto"/>
            </w:tcBorders>
            <w:shd w:val="clear" w:color="auto" w:fill="auto"/>
            <w:vAlign w:val="center"/>
            <w:hideMark/>
          </w:tcPr>
          <w:p w:rsidR="00CE1816" w:rsidRPr="008C7A56" w:rsidRDefault="00CE1816"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7</w:t>
            </w:r>
            <w:r w:rsidR="002A1739" w:rsidRPr="008C7A56">
              <w:rPr>
                <w:rFonts w:eastAsia="Times New Roman" w:cs="Arial"/>
                <w:color w:val="000000"/>
                <w:lang w:val="fr-FR" w:eastAsia="en-GB"/>
              </w:rPr>
              <w:t xml:space="preserve"> </w:t>
            </w:r>
            <w:r w:rsidRPr="008C7A56">
              <w:rPr>
                <w:rFonts w:eastAsia="Times New Roman" w:cs="Arial"/>
                <w:color w:val="000000"/>
                <w:lang w:val="fr-FR" w:eastAsia="en-GB"/>
              </w:rPr>
              <w:t xml:space="preserve">750 </w:t>
            </w:r>
          </w:p>
        </w:tc>
        <w:tc>
          <w:tcPr>
            <w:tcW w:w="4155" w:type="dxa"/>
            <w:tcBorders>
              <w:top w:val="nil"/>
              <w:left w:val="nil"/>
              <w:bottom w:val="single" w:sz="4" w:space="0" w:color="auto"/>
              <w:right w:val="single" w:sz="4" w:space="0" w:color="auto"/>
            </w:tcBorders>
            <w:shd w:val="clear" w:color="auto" w:fill="auto"/>
            <w:vAlign w:val="center"/>
            <w:hideMark/>
          </w:tcPr>
          <w:p w:rsidR="00CE1816" w:rsidRPr="008C7A56" w:rsidRDefault="00F11363"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 xml:space="preserve">Traduction </w:t>
            </w:r>
            <w:r w:rsidR="00CE1816" w:rsidRPr="008C7A56">
              <w:rPr>
                <w:rFonts w:eastAsia="Times New Roman" w:cs="Arial"/>
                <w:color w:val="000000"/>
                <w:lang w:val="fr-FR" w:eastAsia="en-GB"/>
              </w:rPr>
              <w:t xml:space="preserve">COP12 </w:t>
            </w:r>
          </w:p>
        </w:tc>
        <w:tc>
          <w:tcPr>
            <w:tcW w:w="1487" w:type="dxa"/>
            <w:tcBorders>
              <w:top w:val="nil"/>
              <w:left w:val="nil"/>
              <w:bottom w:val="single" w:sz="4" w:space="0" w:color="auto"/>
              <w:right w:val="single" w:sz="4" w:space="0" w:color="auto"/>
            </w:tcBorders>
            <w:shd w:val="clear" w:color="auto" w:fill="auto"/>
            <w:vAlign w:val="center"/>
            <w:hideMark/>
          </w:tcPr>
          <w:p w:rsidR="00CE1816" w:rsidRPr="008C7A56" w:rsidRDefault="002A1739"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hideMark/>
          </w:tcPr>
          <w:p w:rsidR="00CE1816" w:rsidRPr="008C7A56" w:rsidRDefault="00F11363"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Mémorandum d’accord budget COP12</w:t>
            </w:r>
          </w:p>
        </w:tc>
        <w:tc>
          <w:tcPr>
            <w:tcW w:w="1532" w:type="dxa"/>
            <w:tcBorders>
              <w:top w:val="nil"/>
              <w:left w:val="nil"/>
              <w:bottom w:val="single" w:sz="4" w:space="0" w:color="auto"/>
              <w:right w:val="single" w:sz="4" w:space="0" w:color="auto"/>
            </w:tcBorders>
            <w:shd w:val="clear" w:color="auto" w:fill="auto"/>
            <w:vAlign w:val="center"/>
            <w:hideMark/>
          </w:tcPr>
          <w:p w:rsidR="00CE1816" w:rsidRPr="008C7A56" w:rsidRDefault="00413374"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Valdovinos, Juan Carlos</w:t>
            </w:r>
          </w:p>
        </w:tc>
        <w:tc>
          <w:tcPr>
            <w:tcW w:w="1267" w:type="dxa"/>
            <w:tcBorders>
              <w:top w:val="nil"/>
              <w:left w:val="nil"/>
              <w:bottom w:val="single" w:sz="4" w:space="0" w:color="auto"/>
              <w:right w:val="single" w:sz="4" w:space="0" w:color="auto"/>
            </w:tcBorders>
            <w:shd w:val="clear" w:color="auto" w:fill="auto"/>
            <w:vAlign w:val="center"/>
          </w:tcPr>
          <w:p w:rsidR="0019412B" w:rsidRPr="008C7A56" w:rsidRDefault="0087453A"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6975</w:t>
            </w:r>
          </w:p>
        </w:tc>
        <w:tc>
          <w:tcPr>
            <w:tcW w:w="4155" w:type="dxa"/>
            <w:tcBorders>
              <w:top w:val="nil"/>
              <w:left w:val="nil"/>
              <w:bottom w:val="single" w:sz="4" w:space="0" w:color="auto"/>
              <w:right w:val="single" w:sz="4" w:space="0" w:color="auto"/>
            </w:tcBorders>
            <w:shd w:val="clear" w:color="auto" w:fill="auto"/>
            <w:vAlign w:val="center"/>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Traduction COP12</w:t>
            </w:r>
          </w:p>
        </w:tc>
        <w:tc>
          <w:tcPr>
            <w:tcW w:w="1487" w:type="dxa"/>
            <w:tcBorders>
              <w:top w:val="nil"/>
              <w:left w:val="nil"/>
              <w:bottom w:val="single" w:sz="4" w:space="0" w:color="auto"/>
              <w:right w:val="single" w:sz="4" w:space="0" w:color="auto"/>
            </w:tcBorders>
            <w:shd w:val="clear" w:color="auto" w:fill="auto"/>
            <w:vAlign w:val="center"/>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Mémorandum d’accord budget COP12</w:t>
            </w:r>
          </w:p>
        </w:tc>
        <w:tc>
          <w:tcPr>
            <w:tcW w:w="1532" w:type="dxa"/>
            <w:tcBorders>
              <w:top w:val="nil"/>
              <w:left w:val="nil"/>
              <w:bottom w:val="single" w:sz="4" w:space="0" w:color="auto"/>
              <w:right w:val="single" w:sz="4" w:space="0" w:color="auto"/>
            </w:tcBorders>
            <w:shd w:val="clear" w:color="auto" w:fill="auto"/>
            <w:vAlign w:val="center"/>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87453A"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tcPr>
          <w:p w:rsidR="0087453A" w:rsidRPr="008C7A56" w:rsidRDefault="0087453A"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Bennett Baxter, Ana</w:t>
            </w:r>
          </w:p>
        </w:tc>
        <w:tc>
          <w:tcPr>
            <w:tcW w:w="1267" w:type="dxa"/>
            <w:tcBorders>
              <w:top w:val="nil"/>
              <w:left w:val="nil"/>
              <w:bottom w:val="single" w:sz="4" w:space="0" w:color="auto"/>
              <w:right w:val="single" w:sz="4" w:space="0" w:color="auto"/>
            </w:tcBorders>
            <w:shd w:val="clear" w:color="auto" w:fill="auto"/>
            <w:vAlign w:val="center"/>
          </w:tcPr>
          <w:p w:rsidR="0087453A" w:rsidRPr="008C7A56" w:rsidRDefault="0087453A"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5425</w:t>
            </w:r>
          </w:p>
        </w:tc>
        <w:tc>
          <w:tcPr>
            <w:tcW w:w="4155" w:type="dxa"/>
            <w:tcBorders>
              <w:top w:val="nil"/>
              <w:left w:val="nil"/>
              <w:bottom w:val="single" w:sz="4" w:space="0" w:color="auto"/>
              <w:right w:val="single" w:sz="4" w:space="0" w:color="auto"/>
            </w:tcBorders>
            <w:shd w:val="clear" w:color="auto" w:fill="auto"/>
            <w:vAlign w:val="center"/>
          </w:tcPr>
          <w:p w:rsidR="0087453A" w:rsidRPr="008C7A56" w:rsidRDefault="0087453A"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Traduction COP12</w:t>
            </w:r>
          </w:p>
        </w:tc>
        <w:tc>
          <w:tcPr>
            <w:tcW w:w="1487" w:type="dxa"/>
            <w:tcBorders>
              <w:top w:val="nil"/>
              <w:left w:val="nil"/>
              <w:bottom w:val="single" w:sz="4" w:space="0" w:color="auto"/>
              <w:right w:val="single" w:sz="4" w:space="0" w:color="auto"/>
            </w:tcBorders>
            <w:shd w:val="clear" w:color="auto" w:fill="auto"/>
            <w:vAlign w:val="center"/>
          </w:tcPr>
          <w:p w:rsidR="0087453A" w:rsidRPr="008C7A56" w:rsidRDefault="0087453A"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tcPr>
          <w:p w:rsidR="0087453A" w:rsidRPr="008C7A56" w:rsidRDefault="0087453A"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Mémorandum d’accord budget COP12</w:t>
            </w:r>
          </w:p>
        </w:tc>
        <w:tc>
          <w:tcPr>
            <w:tcW w:w="1532" w:type="dxa"/>
            <w:tcBorders>
              <w:top w:val="nil"/>
              <w:left w:val="nil"/>
              <w:bottom w:val="single" w:sz="4" w:space="0" w:color="auto"/>
              <w:right w:val="single" w:sz="4" w:space="0" w:color="auto"/>
            </w:tcBorders>
            <w:shd w:val="clear" w:color="auto" w:fill="auto"/>
            <w:vAlign w:val="center"/>
          </w:tcPr>
          <w:p w:rsidR="0087453A" w:rsidRPr="008C7A56" w:rsidRDefault="0087453A"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Fabre, Hélène</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4 550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Traduction COP12</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Mémorandum d’accord budget COP12</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Desruisseaux, Ginette</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3 250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Traduction COP12</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Mémorandum d’accord budget COP12</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Milev, Christiane</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5 850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Traduction COP12</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Mémorandum d’accord budget COP12</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Devitre, Danièle</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7 750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Traduction COP12</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Mémorandum d’accord budget COP12</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Huntington, Veronica</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4 000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 xml:space="preserve">Appui communication temporaire </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Administratifs</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Huntington, Veronica</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6 000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Appui communication temporaire</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Administratifs</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Jenkins, Martin</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8 250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 xml:space="preserve">Rapporteur COP12 </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Mémorandum d’accord budget COP12</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Rutherford, Catherine</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7 500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Rapporteur COP12</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Mémorandum d’accord budget COP12</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Peck, Dwight</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5 500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 xml:space="preserve">Documentation COP12 </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Mémorandum d’accord budget COP12</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b/>
                <w:color w:val="000000"/>
                <w:lang w:val="fr-FR" w:eastAsia="en-GB"/>
              </w:rPr>
            </w:pPr>
            <w:r w:rsidRPr="008C7A56">
              <w:rPr>
                <w:rFonts w:eastAsia="Times New Roman" w:cs="Arial"/>
                <w:b/>
                <w:color w:val="000000"/>
                <w:lang w:val="fr-FR" w:eastAsia="en-GB"/>
              </w:rPr>
              <w:t>Pritchard, David</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b/>
                <w:color w:val="000000"/>
                <w:lang w:val="fr-FR" w:eastAsia="en-GB"/>
              </w:rPr>
            </w:pPr>
            <w:r w:rsidRPr="008C7A56">
              <w:rPr>
                <w:rFonts w:eastAsia="Times New Roman" w:cs="Arial"/>
                <w:b/>
                <w:color w:val="000000"/>
                <w:lang w:val="fr-FR" w:eastAsia="en-GB"/>
              </w:rPr>
              <w:t xml:space="preserve">       32 500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b/>
                <w:color w:val="000000"/>
                <w:lang w:val="fr-FR" w:eastAsia="en-GB"/>
              </w:rPr>
            </w:pPr>
            <w:r w:rsidRPr="008C7A56">
              <w:rPr>
                <w:rFonts w:eastAsia="Times New Roman" w:cs="Arial"/>
                <w:b/>
                <w:color w:val="000000"/>
                <w:lang w:val="fr-FR" w:eastAsia="en-GB"/>
              </w:rPr>
              <w:t>Célébrer la culture et les zones humides</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b/>
                <w:color w:val="000000"/>
                <w:lang w:val="fr-FR" w:eastAsia="en-GB"/>
              </w:rPr>
            </w:pPr>
            <w:r w:rsidRPr="008C7A56">
              <w:rPr>
                <w:rFonts w:eastAsia="Times New Roman" w:cs="Arial"/>
                <w:b/>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b/>
                <w:color w:val="000000"/>
                <w:lang w:val="fr-FR" w:eastAsia="en-GB"/>
              </w:rPr>
            </w:pPr>
            <w:r w:rsidRPr="008C7A56">
              <w:rPr>
                <w:rFonts w:eastAsia="Times New Roman" w:cs="Arial"/>
                <w:b/>
                <w:color w:val="000000"/>
                <w:lang w:val="fr-FR" w:eastAsia="en-GB"/>
              </w:rPr>
              <w:t xml:space="preserve">MAVA [Contrat d’origine clos, une extension jusqu’à la fin de mars 2018 (selon accord MAVA) a été signée </w:t>
            </w:r>
            <w:r w:rsidRPr="008C7A56">
              <w:rPr>
                <w:rFonts w:eastAsia="Times New Roman" w:cs="Arial"/>
                <w:b/>
                <w:color w:val="000000"/>
                <w:lang w:val="fr-FR" w:eastAsia="en-GB"/>
              </w:rPr>
              <w:lastRenderedPageBreak/>
              <w:t xml:space="preserve">en février 2016] </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b/>
                <w:color w:val="000000"/>
                <w:lang w:val="fr-FR" w:eastAsia="en-GB"/>
              </w:rPr>
            </w:pPr>
          </w:p>
          <w:p w:rsidR="0019412B" w:rsidRPr="008C7A56" w:rsidRDefault="0019412B" w:rsidP="001E2235">
            <w:pPr>
              <w:spacing w:before="20" w:after="20" w:line="240" w:lineRule="auto"/>
              <w:rPr>
                <w:rFonts w:eastAsia="Times New Roman" w:cs="Arial"/>
                <w:b/>
                <w:color w:val="000000"/>
                <w:lang w:val="fr-FR" w:eastAsia="en-GB"/>
              </w:rPr>
            </w:pPr>
            <w:r w:rsidRPr="008C7A56">
              <w:rPr>
                <w:rFonts w:eastAsia="Times New Roman" w:cs="Arial"/>
                <w:b/>
                <w:color w:val="000000"/>
                <w:lang w:val="fr-FR" w:eastAsia="en-GB"/>
              </w:rPr>
              <w:t>Ouvert</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lastRenderedPageBreak/>
              <w:t>Cadmus, Rob</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26 738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 xml:space="preserve">Administrateur projet infrastructure naturelle </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NORAD</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Huntington, Veronica</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9 000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 xml:space="preserve">Appui communication COP12 </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Mémorandum d’accord budget COP12</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Waite, Charlie</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7 000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Photographe paysager JMZ 2015, prix, photos, etc.</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Budget Développement</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WCMC</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4 000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Indice de l’étendue des zones humides</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Mise en œuvre GEST</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Fry, Eve</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15 000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 xml:space="preserve">Préparation des activités eau / zones humides   </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Budget Développement</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Persse, Emily</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15 000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Coordonnatrice activités (JMZ)</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Budget Développement</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Persse, Emily</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5 000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Appui communication temporaire</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Administratifs</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Tim Jones</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5 600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Rapporteur SC48</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Administratifs</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RM Wetlands</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4 000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Note d’information – services écosystémiques</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Mise en œuvre GEST</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RM Wetlands</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3 200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 xml:space="preserve">Préparation GEST de documents sur REDD+ </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Mise en œuvre GEST</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Interprètes (12)</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135 000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 xml:space="preserve">Interprétation COP12 </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Non 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Mémorandum d’accord budget COP12</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bookmarkStart w:id="0" w:name="_GoBack" w:colFirst="4" w:colLast="4"/>
            <w:r w:rsidRPr="008C7A56">
              <w:rPr>
                <w:rFonts w:eastAsia="Times New Roman" w:cs="Arial"/>
                <w:color w:val="000000"/>
                <w:lang w:val="fr-FR" w:eastAsia="en-GB"/>
              </w:rPr>
              <w:t>Interprètes (6)</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27 000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 xml:space="preserve">Interprétation SC48 </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Administratifs</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bookmarkEnd w:id="0"/>
      <w:tr w:rsidR="0019412B" w:rsidRPr="008C7A56" w:rsidTr="0019412B">
        <w:trPr>
          <w:trHeight w:val="170"/>
        </w:trPr>
        <w:tc>
          <w:tcPr>
            <w:tcW w:w="2255" w:type="dxa"/>
            <w:tcBorders>
              <w:top w:val="nil"/>
              <w:left w:val="single" w:sz="4" w:space="0" w:color="auto"/>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CISDL</w:t>
            </w:r>
          </w:p>
        </w:tc>
        <w:tc>
          <w:tcPr>
            <w:tcW w:w="126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jc w:val="right"/>
              <w:rPr>
                <w:rFonts w:eastAsia="Times New Roman" w:cs="Arial"/>
                <w:color w:val="000000"/>
                <w:lang w:val="fr-FR" w:eastAsia="en-GB"/>
              </w:rPr>
            </w:pPr>
            <w:r w:rsidRPr="008C7A56">
              <w:rPr>
                <w:rFonts w:eastAsia="Times New Roman" w:cs="Arial"/>
                <w:color w:val="000000"/>
                <w:lang w:val="fr-FR" w:eastAsia="en-GB"/>
              </w:rPr>
              <w:t xml:space="preserve">        90 000 </w:t>
            </w:r>
          </w:p>
        </w:tc>
        <w:tc>
          <w:tcPr>
            <w:tcW w:w="4155"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Services juridiques : RoP, ICJ, COP12, UICN, contrats, mémorandums d’accord, etc.</w:t>
            </w:r>
          </w:p>
        </w:tc>
        <w:tc>
          <w:tcPr>
            <w:tcW w:w="148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Administratifs</w:t>
            </w:r>
          </w:p>
        </w:tc>
        <w:tc>
          <w:tcPr>
            <w:tcW w:w="2927"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Administratifs</w:t>
            </w:r>
          </w:p>
        </w:tc>
        <w:tc>
          <w:tcPr>
            <w:tcW w:w="1532" w:type="dxa"/>
            <w:tcBorders>
              <w:top w:val="nil"/>
              <w:left w:val="nil"/>
              <w:bottom w:val="single" w:sz="4" w:space="0" w:color="auto"/>
              <w:right w:val="single" w:sz="4" w:space="0" w:color="auto"/>
            </w:tcBorders>
            <w:shd w:val="clear" w:color="auto" w:fill="auto"/>
            <w:vAlign w:val="center"/>
            <w:hideMark/>
          </w:tcPr>
          <w:p w:rsidR="0019412B" w:rsidRPr="008C7A56" w:rsidRDefault="0019412B" w:rsidP="001E2235">
            <w:pPr>
              <w:spacing w:before="20" w:after="20" w:line="240" w:lineRule="auto"/>
              <w:rPr>
                <w:rFonts w:eastAsia="Times New Roman" w:cs="Arial"/>
                <w:color w:val="000000"/>
                <w:lang w:val="fr-FR" w:eastAsia="en-GB"/>
              </w:rPr>
            </w:pPr>
            <w:r w:rsidRPr="008C7A56">
              <w:rPr>
                <w:rFonts w:eastAsia="Times New Roman" w:cs="Arial"/>
                <w:color w:val="000000"/>
                <w:lang w:val="fr-FR" w:eastAsia="en-GB"/>
              </w:rPr>
              <w:t>Clos</w:t>
            </w:r>
          </w:p>
        </w:tc>
      </w:tr>
      <w:tr w:rsidR="0019412B" w:rsidRPr="008C7A56" w:rsidTr="0019412B">
        <w:trPr>
          <w:trHeight w:val="170"/>
        </w:trPr>
        <w:tc>
          <w:tcPr>
            <w:tcW w:w="2255"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19412B" w:rsidRPr="008C7A56" w:rsidRDefault="0019412B" w:rsidP="001E2235">
            <w:pPr>
              <w:spacing w:before="120" w:after="120" w:line="240" w:lineRule="auto"/>
              <w:rPr>
                <w:rFonts w:eastAsia="Times New Roman" w:cs="Arial"/>
                <w:b/>
                <w:bCs/>
                <w:color w:val="000000"/>
                <w:lang w:val="fr-FR" w:eastAsia="en-GB"/>
              </w:rPr>
            </w:pPr>
            <w:r w:rsidRPr="008C7A56">
              <w:rPr>
                <w:rFonts w:eastAsia="Times New Roman" w:cs="Arial"/>
                <w:b/>
                <w:bCs/>
                <w:color w:val="000000"/>
                <w:lang w:val="fr-FR" w:eastAsia="en-GB"/>
              </w:rPr>
              <w:t>Total</w:t>
            </w:r>
          </w:p>
        </w:tc>
        <w:tc>
          <w:tcPr>
            <w:tcW w:w="1267" w:type="dxa"/>
            <w:tcBorders>
              <w:top w:val="single" w:sz="8" w:space="0" w:color="auto"/>
              <w:left w:val="nil"/>
              <w:bottom w:val="single" w:sz="8" w:space="0" w:color="auto"/>
              <w:right w:val="single" w:sz="8" w:space="0" w:color="auto"/>
            </w:tcBorders>
            <w:shd w:val="clear" w:color="000000" w:fill="D9D9D9"/>
            <w:vAlign w:val="center"/>
            <w:hideMark/>
          </w:tcPr>
          <w:p w:rsidR="0019412B" w:rsidRPr="008C7A56" w:rsidRDefault="0019412B" w:rsidP="001E2235">
            <w:pPr>
              <w:spacing w:before="120" w:after="120" w:line="240" w:lineRule="auto"/>
              <w:jc w:val="right"/>
              <w:rPr>
                <w:rFonts w:eastAsia="Times New Roman" w:cs="Arial"/>
                <w:b/>
                <w:bCs/>
                <w:color w:val="000000"/>
                <w:lang w:val="fr-FR" w:eastAsia="en-GB"/>
              </w:rPr>
            </w:pPr>
            <w:r w:rsidRPr="008C7A56">
              <w:rPr>
                <w:rFonts w:eastAsia="Times New Roman" w:cs="Arial"/>
                <w:b/>
                <w:bCs/>
                <w:color w:val="000000"/>
                <w:lang w:val="fr-FR" w:eastAsia="en-GB"/>
              </w:rPr>
              <w:t xml:space="preserve">      5</w:t>
            </w:r>
            <w:r w:rsidR="0087453A" w:rsidRPr="008C7A56">
              <w:rPr>
                <w:rFonts w:eastAsia="Times New Roman" w:cs="Arial"/>
                <w:b/>
                <w:bCs/>
                <w:color w:val="000000"/>
                <w:lang w:val="fr-FR" w:eastAsia="en-GB"/>
              </w:rPr>
              <w:t>61</w:t>
            </w:r>
            <w:r w:rsidRPr="008C7A56">
              <w:rPr>
                <w:rFonts w:eastAsia="Times New Roman" w:cs="Arial"/>
                <w:b/>
                <w:bCs/>
                <w:color w:val="000000"/>
                <w:lang w:val="fr-FR" w:eastAsia="en-GB"/>
              </w:rPr>
              <w:t xml:space="preserve"> </w:t>
            </w:r>
            <w:r w:rsidR="0087453A" w:rsidRPr="008C7A56">
              <w:rPr>
                <w:rFonts w:eastAsia="Times New Roman" w:cs="Arial"/>
                <w:b/>
                <w:bCs/>
                <w:color w:val="000000"/>
                <w:lang w:val="fr-FR" w:eastAsia="en-GB"/>
              </w:rPr>
              <w:t>0</w:t>
            </w:r>
            <w:r w:rsidRPr="008C7A56">
              <w:rPr>
                <w:rFonts w:eastAsia="Times New Roman" w:cs="Arial"/>
                <w:b/>
                <w:bCs/>
                <w:color w:val="000000"/>
                <w:lang w:val="fr-FR" w:eastAsia="en-GB"/>
              </w:rPr>
              <w:t xml:space="preserve">07 </w:t>
            </w:r>
          </w:p>
        </w:tc>
        <w:tc>
          <w:tcPr>
            <w:tcW w:w="4155" w:type="dxa"/>
            <w:tcBorders>
              <w:top w:val="single" w:sz="8" w:space="0" w:color="auto"/>
              <w:left w:val="nil"/>
              <w:bottom w:val="single" w:sz="8" w:space="0" w:color="auto"/>
              <w:right w:val="single" w:sz="8" w:space="0" w:color="auto"/>
            </w:tcBorders>
            <w:shd w:val="clear" w:color="000000" w:fill="D9D9D9"/>
            <w:vAlign w:val="center"/>
            <w:hideMark/>
          </w:tcPr>
          <w:p w:rsidR="0019412B" w:rsidRPr="008C7A56" w:rsidRDefault="0019412B" w:rsidP="001E2235">
            <w:pPr>
              <w:spacing w:before="120" w:after="120" w:line="240" w:lineRule="auto"/>
              <w:rPr>
                <w:rFonts w:eastAsia="Times New Roman" w:cs="Arial"/>
                <w:b/>
                <w:bCs/>
                <w:color w:val="000000"/>
                <w:lang w:val="fr-FR" w:eastAsia="en-GB"/>
              </w:rPr>
            </w:pPr>
            <w:r w:rsidRPr="008C7A56">
              <w:rPr>
                <w:rFonts w:eastAsia="Times New Roman" w:cs="Arial"/>
                <w:b/>
                <w:bCs/>
                <w:color w:val="000000"/>
                <w:lang w:val="fr-FR" w:eastAsia="en-GB"/>
              </w:rPr>
              <w:t> </w:t>
            </w:r>
          </w:p>
        </w:tc>
        <w:tc>
          <w:tcPr>
            <w:tcW w:w="1487" w:type="dxa"/>
            <w:tcBorders>
              <w:top w:val="single" w:sz="8" w:space="0" w:color="auto"/>
              <w:left w:val="nil"/>
              <w:bottom w:val="single" w:sz="8" w:space="0" w:color="auto"/>
              <w:right w:val="single" w:sz="8" w:space="0" w:color="auto"/>
            </w:tcBorders>
            <w:shd w:val="clear" w:color="000000" w:fill="D9D9D9"/>
            <w:vAlign w:val="center"/>
            <w:hideMark/>
          </w:tcPr>
          <w:p w:rsidR="0019412B" w:rsidRPr="008C7A56" w:rsidRDefault="0019412B" w:rsidP="001E2235">
            <w:pPr>
              <w:spacing w:before="120" w:after="120" w:line="240" w:lineRule="auto"/>
              <w:rPr>
                <w:rFonts w:eastAsia="Times New Roman" w:cs="Arial"/>
                <w:b/>
                <w:bCs/>
                <w:color w:val="000000"/>
                <w:lang w:val="fr-FR" w:eastAsia="en-GB"/>
              </w:rPr>
            </w:pPr>
            <w:r w:rsidRPr="008C7A56">
              <w:rPr>
                <w:rFonts w:eastAsia="Times New Roman" w:cs="Arial"/>
                <w:b/>
                <w:bCs/>
                <w:color w:val="000000"/>
                <w:lang w:val="fr-FR" w:eastAsia="en-GB"/>
              </w:rPr>
              <w:t> </w:t>
            </w:r>
          </w:p>
        </w:tc>
        <w:tc>
          <w:tcPr>
            <w:tcW w:w="2927" w:type="dxa"/>
            <w:tcBorders>
              <w:top w:val="single" w:sz="8" w:space="0" w:color="auto"/>
              <w:left w:val="nil"/>
              <w:bottom w:val="single" w:sz="8" w:space="0" w:color="auto"/>
              <w:right w:val="single" w:sz="8" w:space="0" w:color="auto"/>
            </w:tcBorders>
            <w:shd w:val="clear" w:color="000000" w:fill="D9D9D9"/>
            <w:vAlign w:val="center"/>
            <w:hideMark/>
          </w:tcPr>
          <w:p w:rsidR="0019412B" w:rsidRPr="008C7A56" w:rsidRDefault="0019412B" w:rsidP="001E2235">
            <w:pPr>
              <w:spacing w:before="120" w:after="120" w:line="240" w:lineRule="auto"/>
              <w:rPr>
                <w:rFonts w:eastAsia="Times New Roman" w:cs="Arial"/>
                <w:b/>
                <w:bCs/>
                <w:color w:val="000000"/>
                <w:lang w:val="fr-FR" w:eastAsia="en-GB"/>
              </w:rPr>
            </w:pPr>
            <w:r w:rsidRPr="008C7A56">
              <w:rPr>
                <w:rFonts w:eastAsia="Times New Roman" w:cs="Arial"/>
                <w:b/>
                <w:bCs/>
                <w:color w:val="000000"/>
                <w:lang w:val="fr-FR" w:eastAsia="en-GB"/>
              </w:rPr>
              <w:t> </w:t>
            </w:r>
          </w:p>
        </w:tc>
        <w:tc>
          <w:tcPr>
            <w:tcW w:w="1532" w:type="dxa"/>
            <w:tcBorders>
              <w:top w:val="single" w:sz="8" w:space="0" w:color="auto"/>
              <w:left w:val="nil"/>
              <w:bottom w:val="single" w:sz="8" w:space="0" w:color="auto"/>
              <w:right w:val="single" w:sz="8" w:space="0" w:color="auto"/>
            </w:tcBorders>
            <w:shd w:val="clear" w:color="000000" w:fill="D9D9D9"/>
            <w:vAlign w:val="center"/>
            <w:hideMark/>
          </w:tcPr>
          <w:p w:rsidR="0019412B" w:rsidRPr="008C7A56" w:rsidRDefault="0019412B" w:rsidP="001E2235">
            <w:pPr>
              <w:spacing w:before="120" w:after="120" w:line="240" w:lineRule="auto"/>
              <w:rPr>
                <w:rFonts w:eastAsia="Times New Roman" w:cs="Arial"/>
                <w:b/>
                <w:bCs/>
                <w:color w:val="000000"/>
                <w:lang w:val="fr-FR" w:eastAsia="en-GB"/>
              </w:rPr>
            </w:pPr>
            <w:r w:rsidRPr="008C7A56">
              <w:rPr>
                <w:rFonts w:eastAsia="Times New Roman" w:cs="Arial"/>
                <w:b/>
                <w:bCs/>
                <w:color w:val="000000"/>
                <w:lang w:val="fr-FR" w:eastAsia="en-GB"/>
              </w:rPr>
              <w:t> </w:t>
            </w:r>
          </w:p>
        </w:tc>
      </w:tr>
    </w:tbl>
    <w:p w:rsidR="00CE1816" w:rsidRPr="008C7A56" w:rsidRDefault="00CE1816" w:rsidP="00CE1816">
      <w:pPr>
        <w:rPr>
          <w:rFonts w:eastAsia="Garamond" w:cs="Garamond"/>
          <w:b/>
          <w:bCs/>
          <w:sz w:val="24"/>
          <w:szCs w:val="24"/>
          <w:lang w:val="fr-FR"/>
        </w:rPr>
      </w:pPr>
      <w:r w:rsidRPr="008C7A56">
        <w:rPr>
          <w:rFonts w:eastAsia="Garamond" w:cs="Garamond"/>
          <w:b/>
          <w:bCs/>
          <w:sz w:val="24"/>
          <w:szCs w:val="24"/>
          <w:lang w:val="fr-FR"/>
        </w:rPr>
        <w:br w:type="page"/>
      </w:r>
    </w:p>
    <w:p w:rsidR="00D60A2F" w:rsidRPr="008C7A56" w:rsidRDefault="00D60A2F" w:rsidP="00FB4C67">
      <w:pPr>
        <w:spacing w:after="0" w:line="240" w:lineRule="auto"/>
        <w:rPr>
          <w:rFonts w:eastAsia="Garamond" w:cs="Garamond"/>
          <w:b/>
          <w:bCs/>
          <w:sz w:val="24"/>
          <w:szCs w:val="24"/>
          <w:lang w:val="fr-FR"/>
        </w:rPr>
      </w:pPr>
      <w:r w:rsidRPr="008C7A56">
        <w:rPr>
          <w:rFonts w:eastAsia="Garamond" w:cs="Garamond"/>
          <w:b/>
          <w:bCs/>
          <w:sz w:val="24"/>
          <w:szCs w:val="24"/>
          <w:lang w:val="fr-FR"/>
        </w:rPr>
        <w:lastRenderedPageBreak/>
        <w:t>Annex</w:t>
      </w:r>
      <w:r w:rsidR="00460143" w:rsidRPr="008C7A56">
        <w:rPr>
          <w:rFonts w:eastAsia="Garamond" w:cs="Garamond"/>
          <w:b/>
          <w:bCs/>
          <w:sz w:val="24"/>
          <w:szCs w:val="24"/>
          <w:lang w:val="fr-FR"/>
        </w:rPr>
        <w:t>e</w:t>
      </w:r>
      <w:r w:rsidRPr="008C7A56">
        <w:rPr>
          <w:rFonts w:eastAsia="Garamond" w:cs="Garamond"/>
          <w:b/>
          <w:bCs/>
          <w:sz w:val="24"/>
          <w:szCs w:val="24"/>
          <w:lang w:val="fr-FR"/>
        </w:rPr>
        <w:t xml:space="preserve"> 3</w:t>
      </w:r>
    </w:p>
    <w:p w:rsidR="00D60A2F" w:rsidRPr="008C7A56" w:rsidRDefault="00D60A2F" w:rsidP="00FB4C67">
      <w:pPr>
        <w:tabs>
          <w:tab w:val="left" w:pos="2295"/>
        </w:tabs>
        <w:spacing w:after="0" w:line="240" w:lineRule="auto"/>
        <w:rPr>
          <w:rFonts w:eastAsia="Garamond" w:cs="Garamond"/>
          <w:b/>
          <w:bCs/>
          <w:sz w:val="24"/>
          <w:szCs w:val="24"/>
          <w:lang w:val="fr-FR"/>
        </w:rPr>
      </w:pPr>
    </w:p>
    <w:p w:rsidR="00D60A2F" w:rsidRPr="008C7A56" w:rsidRDefault="00D60A2F" w:rsidP="00FB4C67">
      <w:pPr>
        <w:spacing w:after="0" w:line="240" w:lineRule="auto"/>
        <w:rPr>
          <w:rFonts w:eastAsia="Garamond" w:cs="Garamond"/>
          <w:b/>
          <w:bCs/>
          <w:sz w:val="24"/>
          <w:szCs w:val="24"/>
          <w:lang w:val="fr-FR"/>
        </w:rPr>
      </w:pPr>
      <w:r w:rsidRPr="008C7A56">
        <w:rPr>
          <w:rFonts w:eastAsia="Garamond" w:cs="Garamond"/>
          <w:b/>
          <w:bCs/>
          <w:sz w:val="24"/>
          <w:szCs w:val="24"/>
          <w:lang w:val="fr-FR"/>
        </w:rPr>
        <w:t>Table</w:t>
      </w:r>
      <w:r w:rsidR="00460143" w:rsidRPr="008C7A56">
        <w:rPr>
          <w:rFonts w:eastAsia="Garamond" w:cs="Garamond"/>
          <w:b/>
          <w:bCs/>
          <w:sz w:val="24"/>
          <w:szCs w:val="24"/>
          <w:lang w:val="fr-FR"/>
        </w:rPr>
        <w:t>au</w:t>
      </w:r>
      <w:r w:rsidRPr="008C7A56">
        <w:rPr>
          <w:rFonts w:eastAsia="Garamond" w:cs="Garamond"/>
          <w:b/>
          <w:bCs/>
          <w:sz w:val="24"/>
          <w:szCs w:val="24"/>
          <w:lang w:val="fr-FR"/>
        </w:rPr>
        <w:t xml:space="preserve"> </w:t>
      </w:r>
      <w:r w:rsidR="00460143" w:rsidRPr="008C7A56">
        <w:rPr>
          <w:rFonts w:eastAsia="Garamond" w:cs="Garamond"/>
          <w:b/>
          <w:bCs/>
          <w:sz w:val="24"/>
          <w:szCs w:val="24"/>
          <w:lang w:val="fr-FR"/>
        </w:rPr>
        <w:t>des voyages des cadres supérieurs</w:t>
      </w:r>
    </w:p>
    <w:p w:rsidR="00FB4C67" w:rsidRPr="008C7A56" w:rsidRDefault="00FB4C67" w:rsidP="00FB4C67">
      <w:pPr>
        <w:spacing w:after="0" w:line="240" w:lineRule="auto"/>
        <w:rPr>
          <w:sz w:val="20"/>
          <w:szCs w:val="20"/>
          <w:lang w:val="fr-FR"/>
        </w:rPr>
      </w:pPr>
    </w:p>
    <w:tbl>
      <w:tblPr>
        <w:tblW w:w="0" w:type="auto"/>
        <w:tblCellMar>
          <w:left w:w="0" w:type="dxa"/>
          <w:right w:w="0" w:type="dxa"/>
        </w:tblCellMar>
        <w:tblLook w:val="04A0" w:firstRow="1" w:lastRow="0" w:firstColumn="1" w:lastColumn="0" w:noHBand="0" w:noVBand="1"/>
      </w:tblPr>
      <w:tblGrid>
        <w:gridCol w:w="2142"/>
        <w:gridCol w:w="66"/>
        <w:gridCol w:w="2456"/>
        <w:gridCol w:w="5987"/>
        <w:gridCol w:w="3523"/>
      </w:tblGrid>
      <w:tr w:rsidR="00D60A2F" w:rsidRPr="008C7A56" w:rsidTr="0027200B">
        <w:tc>
          <w:tcPr>
            <w:tcW w:w="2142" w:type="dxa"/>
            <w:tcBorders>
              <w:top w:val="single" w:sz="8" w:space="0" w:color="auto"/>
              <w:left w:val="single" w:sz="8" w:space="0" w:color="auto"/>
              <w:bottom w:val="single" w:sz="4" w:space="0" w:color="auto"/>
              <w:right w:val="single" w:sz="8" w:space="0" w:color="auto"/>
            </w:tcBorders>
            <w:shd w:val="clear" w:color="auto" w:fill="B6DDE8"/>
            <w:tcMar>
              <w:top w:w="0" w:type="dxa"/>
              <w:left w:w="108" w:type="dxa"/>
              <w:bottom w:w="0" w:type="dxa"/>
              <w:right w:w="108" w:type="dxa"/>
            </w:tcMar>
            <w:hideMark/>
          </w:tcPr>
          <w:p w:rsidR="00D60A2F" w:rsidRPr="008C7A56" w:rsidRDefault="00D60A2F" w:rsidP="00081953">
            <w:pPr>
              <w:spacing w:before="120" w:after="120" w:line="240" w:lineRule="auto"/>
              <w:rPr>
                <w:b/>
                <w:bCs/>
                <w:lang w:val="fr-FR"/>
              </w:rPr>
            </w:pPr>
            <w:r w:rsidRPr="008C7A56">
              <w:rPr>
                <w:b/>
                <w:bCs/>
                <w:lang w:val="fr-FR"/>
              </w:rPr>
              <w:t xml:space="preserve">Dates </w:t>
            </w:r>
            <w:r w:rsidR="00460143" w:rsidRPr="008C7A56">
              <w:rPr>
                <w:b/>
                <w:bCs/>
                <w:lang w:val="fr-FR"/>
              </w:rPr>
              <w:t>de voyage</w:t>
            </w:r>
          </w:p>
        </w:tc>
        <w:tc>
          <w:tcPr>
            <w:tcW w:w="2522" w:type="dxa"/>
            <w:gridSpan w:val="2"/>
            <w:tcBorders>
              <w:top w:val="single" w:sz="8" w:space="0" w:color="auto"/>
              <w:left w:val="nil"/>
              <w:bottom w:val="single" w:sz="4" w:space="0" w:color="auto"/>
              <w:right w:val="single" w:sz="8" w:space="0" w:color="auto"/>
            </w:tcBorders>
            <w:shd w:val="clear" w:color="auto" w:fill="B6DDE8"/>
            <w:tcMar>
              <w:top w:w="0" w:type="dxa"/>
              <w:left w:w="108" w:type="dxa"/>
              <w:bottom w:w="0" w:type="dxa"/>
              <w:right w:w="108" w:type="dxa"/>
            </w:tcMar>
            <w:hideMark/>
          </w:tcPr>
          <w:p w:rsidR="00D60A2F" w:rsidRPr="008C7A56" w:rsidRDefault="00D60A2F" w:rsidP="0019412B">
            <w:pPr>
              <w:spacing w:before="120" w:after="120" w:line="240" w:lineRule="auto"/>
              <w:rPr>
                <w:b/>
                <w:bCs/>
                <w:lang w:val="fr-FR"/>
              </w:rPr>
            </w:pPr>
            <w:r w:rsidRPr="008C7A56">
              <w:rPr>
                <w:b/>
                <w:bCs/>
                <w:lang w:val="fr-FR"/>
              </w:rPr>
              <w:t>L</w:t>
            </w:r>
            <w:r w:rsidR="00460143" w:rsidRPr="008C7A56">
              <w:rPr>
                <w:b/>
                <w:bCs/>
                <w:lang w:val="fr-FR"/>
              </w:rPr>
              <w:t xml:space="preserve">ieu et </w:t>
            </w:r>
            <w:r w:rsidR="0019412B" w:rsidRPr="008C7A56">
              <w:rPr>
                <w:b/>
                <w:bCs/>
                <w:lang w:val="fr-FR"/>
              </w:rPr>
              <w:t>titre</w:t>
            </w:r>
            <w:r w:rsidR="00460143" w:rsidRPr="008C7A56">
              <w:rPr>
                <w:b/>
                <w:bCs/>
                <w:lang w:val="fr-FR"/>
              </w:rPr>
              <w:t xml:space="preserve"> de la conférence/réunion </w:t>
            </w:r>
          </w:p>
        </w:tc>
        <w:tc>
          <w:tcPr>
            <w:tcW w:w="5987" w:type="dxa"/>
            <w:tcBorders>
              <w:top w:val="single" w:sz="8" w:space="0" w:color="auto"/>
              <w:left w:val="nil"/>
              <w:bottom w:val="single" w:sz="4" w:space="0" w:color="auto"/>
              <w:right w:val="single" w:sz="8" w:space="0" w:color="auto"/>
            </w:tcBorders>
            <w:shd w:val="clear" w:color="auto" w:fill="B6DDE8"/>
            <w:tcMar>
              <w:top w:w="0" w:type="dxa"/>
              <w:left w:w="108" w:type="dxa"/>
              <w:bottom w:w="0" w:type="dxa"/>
              <w:right w:w="108" w:type="dxa"/>
            </w:tcMar>
            <w:hideMark/>
          </w:tcPr>
          <w:p w:rsidR="00D60A2F" w:rsidRPr="008C7A56" w:rsidRDefault="00D60A2F" w:rsidP="00081953">
            <w:pPr>
              <w:spacing w:before="120" w:after="120" w:line="240" w:lineRule="auto"/>
              <w:rPr>
                <w:b/>
                <w:bCs/>
                <w:lang w:val="fr-FR"/>
              </w:rPr>
            </w:pPr>
            <w:r w:rsidRPr="008C7A56">
              <w:rPr>
                <w:b/>
                <w:bCs/>
                <w:lang w:val="fr-FR"/>
              </w:rPr>
              <w:t>Motivation</w:t>
            </w:r>
          </w:p>
        </w:tc>
        <w:tc>
          <w:tcPr>
            <w:tcW w:w="3523" w:type="dxa"/>
            <w:tcBorders>
              <w:top w:val="single" w:sz="8" w:space="0" w:color="auto"/>
              <w:left w:val="nil"/>
              <w:bottom w:val="single" w:sz="4" w:space="0" w:color="auto"/>
              <w:right w:val="single" w:sz="8" w:space="0" w:color="auto"/>
            </w:tcBorders>
            <w:shd w:val="clear" w:color="auto" w:fill="B6DDE8"/>
            <w:tcMar>
              <w:top w:w="0" w:type="dxa"/>
              <w:left w:w="108" w:type="dxa"/>
              <w:bottom w:w="0" w:type="dxa"/>
              <w:right w:w="108" w:type="dxa"/>
            </w:tcMar>
            <w:hideMark/>
          </w:tcPr>
          <w:p w:rsidR="00D60A2F" w:rsidRPr="008C7A56" w:rsidRDefault="00460143" w:rsidP="00081953">
            <w:pPr>
              <w:spacing w:before="120" w:after="120" w:line="240" w:lineRule="auto"/>
              <w:rPr>
                <w:b/>
                <w:bCs/>
                <w:lang w:val="fr-FR"/>
              </w:rPr>
            </w:pPr>
            <w:r w:rsidRPr="008C7A56">
              <w:rPr>
                <w:b/>
                <w:bCs/>
                <w:lang w:val="fr-FR"/>
              </w:rPr>
              <w:t>Coût pour</w:t>
            </w:r>
            <w:r w:rsidR="00D60A2F" w:rsidRPr="008C7A56">
              <w:rPr>
                <w:b/>
                <w:bCs/>
                <w:lang w:val="fr-FR"/>
              </w:rPr>
              <w:t xml:space="preserve"> Ramsar</w:t>
            </w:r>
          </w:p>
        </w:tc>
      </w:tr>
      <w:tr w:rsidR="00D60A2F" w:rsidRPr="001E2235" w:rsidTr="0027200B">
        <w:tc>
          <w:tcPr>
            <w:tcW w:w="1417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rsidR="00D60A2F" w:rsidRPr="008C7A56" w:rsidRDefault="00D60A2F" w:rsidP="00081953">
            <w:pPr>
              <w:spacing w:before="120" w:after="120" w:line="240" w:lineRule="auto"/>
              <w:rPr>
                <w:b/>
                <w:lang w:val="fr-FR"/>
              </w:rPr>
            </w:pPr>
            <w:r w:rsidRPr="008C7A56">
              <w:rPr>
                <w:b/>
                <w:lang w:val="fr-FR"/>
              </w:rPr>
              <w:t xml:space="preserve">Ania Grobicki, </w:t>
            </w:r>
            <w:r w:rsidR="00460143" w:rsidRPr="008C7A56">
              <w:rPr>
                <w:b/>
                <w:lang w:val="fr-FR"/>
              </w:rPr>
              <w:t>Secrétaire générale par intérim</w:t>
            </w:r>
          </w:p>
        </w:tc>
      </w:tr>
      <w:tr w:rsidR="00D60A2F" w:rsidRPr="008C7A56" w:rsidTr="00460143">
        <w:tc>
          <w:tcPr>
            <w:tcW w:w="22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Pr="008C7A56" w:rsidRDefault="00D60A2F" w:rsidP="00081953">
            <w:pPr>
              <w:spacing w:before="120" w:after="120" w:line="240" w:lineRule="auto"/>
              <w:rPr>
                <w:b/>
                <w:lang w:val="fr-FR"/>
              </w:rPr>
            </w:pPr>
            <w:r w:rsidRPr="008C7A56">
              <w:rPr>
                <w:b/>
                <w:lang w:val="fr-FR"/>
              </w:rPr>
              <w:t>3</w:t>
            </w:r>
            <w:r w:rsidR="006123A7" w:rsidRPr="008C7A56">
              <w:rPr>
                <w:b/>
                <w:lang w:val="fr-FR"/>
              </w:rPr>
              <w:t xml:space="preserve"> et </w:t>
            </w:r>
            <w:r w:rsidRPr="008C7A56">
              <w:rPr>
                <w:b/>
                <w:lang w:val="fr-FR"/>
              </w:rPr>
              <w:t xml:space="preserve">4 </w:t>
            </w:r>
            <w:r w:rsidR="00460143" w:rsidRPr="008C7A56">
              <w:rPr>
                <w:b/>
                <w:lang w:val="fr-FR"/>
              </w:rPr>
              <w:t>décembre</w:t>
            </w:r>
            <w:r w:rsidRPr="008C7A56">
              <w:rPr>
                <w:b/>
                <w:lang w:val="fr-FR"/>
              </w:rPr>
              <w:t xml:space="preserve"> 2015</w:t>
            </w:r>
          </w:p>
        </w:tc>
        <w:tc>
          <w:tcPr>
            <w:tcW w:w="2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Pr="008C7A56" w:rsidRDefault="00D60A2F" w:rsidP="00081953">
            <w:pPr>
              <w:spacing w:before="120" w:after="120" w:line="240" w:lineRule="auto"/>
              <w:rPr>
                <w:lang w:val="fr-FR"/>
              </w:rPr>
            </w:pPr>
            <w:r w:rsidRPr="008C7A56">
              <w:rPr>
                <w:lang w:val="fr-FR"/>
              </w:rPr>
              <w:t>Paris, COP21</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Pr="008C7A56" w:rsidRDefault="00460143" w:rsidP="00081953">
            <w:pPr>
              <w:spacing w:before="120" w:after="120" w:line="240" w:lineRule="auto"/>
              <w:rPr>
                <w:lang w:val="fr-FR"/>
              </w:rPr>
            </w:pPr>
            <w:r w:rsidRPr="008C7A56">
              <w:rPr>
                <w:lang w:val="fr-FR"/>
              </w:rPr>
              <w:t xml:space="preserve">Réunion avec </w:t>
            </w:r>
            <w:r w:rsidR="00D60A2F" w:rsidRPr="008C7A56">
              <w:rPr>
                <w:lang w:val="fr-FR"/>
              </w:rPr>
              <w:t xml:space="preserve">Bernard Giraud </w:t>
            </w:r>
            <w:r w:rsidRPr="008C7A56">
              <w:rPr>
                <w:lang w:val="fr-FR"/>
              </w:rPr>
              <w:t xml:space="preserve">pour discuter du renouvellement de l’Accord Danone : réunion extrêmement urgente car l’accord de 5 ans avec Danone expirait en décembre 2015 </w:t>
            </w:r>
          </w:p>
          <w:p w:rsidR="00D60A2F" w:rsidRPr="008C7A56" w:rsidRDefault="0008473C" w:rsidP="0019412B">
            <w:pPr>
              <w:spacing w:before="120" w:after="120" w:line="240" w:lineRule="auto"/>
              <w:rPr>
                <w:lang w:val="fr-FR"/>
              </w:rPr>
            </w:pPr>
            <w:r w:rsidRPr="008C7A56">
              <w:rPr>
                <w:lang w:val="fr-FR"/>
              </w:rPr>
              <w:t xml:space="preserve">COP21 : </w:t>
            </w:r>
            <w:r w:rsidR="0019412B" w:rsidRPr="008C7A56">
              <w:rPr>
                <w:lang w:val="fr-FR"/>
              </w:rPr>
              <w:t>Oratrice,</w:t>
            </w:r>
            <w:r w:rsidR="00460143" w:rsidRPr="008C7A56">
              <w:rPr>
                <w:lang w:val="fr-FR"/>
              </w:rPr>
              <w:t xml:space="preserve"> groupe sur</w:t>
            </w:r>
            <w:r w:rsidR="0019412B" w:rsidRPr="008C7A56">
              <w:rPr>
                <w:lang w:val="fr-FR"/>
              </w:rPr>
              <w:t xml:space="preserve"> l’</w:t>
            </w:r>
            <w:r w:rsidR="00460143" w:rsidRPr="008C7A56">
              <w:rPr>
                <w:lang w:val="fr-FR"/>
              </w:rPr>
              <w:t xml:space="preserve">« Adaptation dans les deltas »; réunion des signataires du « Pacte de Paris » sur l’eau et le climat; réunions avec des représentants des Parties contractantes, OIP et autres représentants de haut niveau </w:t>
            </w:r>
            <w:r w:rsidR="00D60A2F" w:rsidRPr="008C7A56">
              <w:rPr>
                <w:lang w:val="fr-FR"/>
              </w:rPr>
              <w:t xml:space="preserve"> </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Pr="008C7A56" w:rsidRDefault="00D60A2F" w:rsidP="00081953">
            <w:pPr>
              <w:spacing w:before="120" w:after="120" w:line="240" w:lineRule="auto"/>
              <w:rPr>
                <w:lang w:val="fr-FR"/>
              </w:rPr>
            </w:pPr>
            <w:r w:rsidRPr="008C7A56">
              <w:rPr>
                <w:lang w:val="fr-FR"/>
              </w:rPr>
              <w:t>1</w:t>
            </w:r>
            <w:r w:rsidR="00460143" w:rsidRPr="008C7A56">
              <w:rPr>
                <w:lang w:val="fr-FR"/>
              </w:rPr>
              <w:t> </w:t>
            </w:r>
            <w:r w:rsidRPr="008C7A56">
              <w:rPr>
                <w:lang w:val="fr-FR"/>
              </w:rPr>
              <w:t>568</w:t>
            </w:r>
            <w:r w:rsidR="00460143" w:rsidRPr="008C7A56">
              <w:rPr>
                <w:lang w:val="fr-FR"/>
              </w:rPr>
              <w:t>,</w:t>
            </w:r>
            <w:r w:rsidRPr="008C7A56">
              <w:rPr>
                <w:lang w:val="fr-FR"/>
              </w:rPr>
              <w:t>64</w:t>
            </w:r>
            <w:r w:rsidR="000C6528" w:rsidRPr="008C7A56">
              <w:rPr>
                <w:lang w:val="fr-FR"/>
              </w:rPr>
              <w:t xml:space="preserve"> CHF</w:t>
            </w:r>
          </w:p>
        </w:tc>
      </w:tr>
      <w:tr w:rsidR="00D60A2F" w:rsidRPr="008C7A56" w:rsidTr="00460143">
        <w:tc>
          <w:tcPr>
            <w:tcW w:w="22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Pr="008C7A56" w:rsidRDefault="00D60A2F" w:rsidP="00081953">
            <w:pPr>
              <w:spacing w:before="120" w:after="120" w:line="240" w:lineRule="auto"/>
              <w:rPr>
                <w:b/>
                <w:lang w:val="fr-FR"/>
              </w:rPr>
            </w:pPr>
            <w:r w:rsidRPr="008C7A56">
              <w:rPr>
                <w:b/>
                <w:lang w:val="fr-FR"/>
              </w:rPr>
              <w:t>10</w:t>
            </w:r>
            <w:r w:rsidR="006123A7" w:rsidRPr="008C7A56">
              <w:rPr>
                <w:b/>
                <w:lang w:val="fr-FR"/>
              </w:rPr>
              <w:t xml:space="preserve"> et </w:t>
            </w:r>
            <w:r w:rsidRPr="008C7A56">
              <w:rPr>
                <w:b/>
                <w:lang w:val="fr-FR"/>
              </w:rPr>
              <w:t xml:space="preserve">11 </w:t>
            </w:r>
            <w:r w:rsidR="00460143" w:rsidRPr="008C7A56">
              <w:rPr>
                <w:b/>
                <w:lang w:val="fr-FR"/>
              </w:rPr>
              <w:t>décembre</w:t>
            </w:r>
            <w:r w:rsidRPr="008C7A56">
              <w:rPr>
                <w:b/>
                <w:lang w:val="fr-FR"/>
              </w:rPr>
              <w:t xml:space="preserve"> 2015</w:t>
            </w:r>
          </w:p>
        </w:tc>
        <w:tc>
          <w:tcPr>
            <w:tcW w:w="2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Pr="008C7A56" w:rsidRDefault="00D60A2F" w:rsidP="00081953">
            <w:pPr>
              <w:spacing w:before="120" w:after="120" w:line="240" w:lineRule="auto"/>
              <w:rPr>
                <w:lang w:val="fr-FR"/>
              </w:rPr>
            </w:pPr>
            <w:r w:rsidRPr="008C7A56">
              <w:rPr>
                <w:lang w:val="fr-FR"/>
              </w:rPr>
              <w:t>Paris, COP21</w:t>
            </w:r>
          </w:p>
          <w:p w:rsidR="00D60A2F" w:rsidRPr="008C7A56" w:rsidRDefault="00D60A2F" w:rsidP="00081953">
            <w:pPr>
              <w:spacing w:before="120" w:after="120" w:line="240" w:lineRule="auto"/>
              <w:rPr>
                <w:lang w:val="fr-FR"/>
              </w:rPr>
            </w:pP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Pr="008C7A56" w:rsidRDefault="00460143" w:rsidP="00081953">
            <w:pPr>
              <w:spacing w:before="120" w:after="120" w:line="240" w:lineRule="auto"/>
              <w:rPr>
                <w:lang w:val="fr-FR"/>
              </w:rPr>
            </w:pPr>
            <w:r w:rsidRPr="008C7A56">
              <w:rPr>
                <w:lang w:val="fr-FR"/>
              </w:rPr>
              <w:t>Discours d’ouverture de la séance Afrique au Pavillon génération climat</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Pr="008C7A56" w:rsidRDefault="00D60A2F" w:rsidP="00081953">
            <w:pPr>
              <w:spacing w:before="120" w:after="120" w:line="240" w:lineRule="auto"/>
              <w:rPr>
                <w:lang w:val="fr-FR"/>
              </w:rPr>
            </w:pPr>
            <w:r w:rsidRPr="008C7A56">
              <w:rPr>
                <w:lang w:val="fr-FR"/>
              </w:rPr>
              <w:t>588</w:t>
            </w:r>
            <w:r w:rsidR="00460143" w:rsidRPr="008C7A56">
              <w:rPr>
                <w:lang w:val="fr-FR"/>
              </w:rPr>
              <w:t>,</w:t>
            </w:r>
            <w:r w:rsidRPr="008C7A56">
              <w:rPr>
                <w:lang w:val="fr-FR"/>
              </w:rPr>
              <w:t>90</w:t>
            </w:r>
            <w:r w:rsidR="000C6528" w:rsidRPr="008C7A56">
              <w:rPr>
                <w:lang w:val="fr-FR"/>
              </w:rPr>
              <w:t xml:space="preserve"> CHF</w:t>
            </w:r>
          </w:p>
        </w:tc>
      </w:tr>
      <w:tr w:rsidR="00D60A2F" w:rsidRPr="001E2235" w:rsidTr="00460143">
        <w:tc>
          <w:tcPr>
            <w:tcW w:w="22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Pr="008C7A56" w:rsidRDefault="00D60A2F" w:rsidP="00081953">
            <w:pPr>
              <w:spacing w:before="120" w:after="120" w:line="240" w:lineRule="auto"/>
              <w:rPr>
                <w:b/>
                <w:lang w:val="fr-FR"/>
              </w:rPr>
            </w:pPr>
            <w:r w:rsidRPr="008C7A56">
              <w:rPr>
                <w:b/>
                <w:lang w:val="fr-FR"/>
              </w:rPr>
              <w:t xml:space="preserve">13 </w:t>
            </w:r>
            <w:r w:rsidR="00460143" w:rsidRPr="008C7A56">
              <w:rPr>
                <w:b/>
                <w:lang w:val="fr-FR"/>
              </w:rPr>
              <w:t>janvier</w:t>
            </w:r>
            <w:r w:rsidRPr="008C7A56">
              <w:rPr>
                <w:b/>
                <w:lang w:val="fr-FR"/>
              </w:rPr>
              <w:t xml:space="preserve"> 2016</w:t>
            </w:r>
          </w:p>
        </w:tc>
        <w:tc>
          <w:tcPr>
            <w:tcW w:w="2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Pr="008C7A56" w:rsidRDefault="00D60A2F" w:rsidP="00081953">
            <w:pPr>
              <w:spacing w:before="120" w:after="120" w:line="240" w:lineRule="auto"/>
              <w:rPr>
                <w:lang w:val="fr-FR"/>
              </w:rPr>
            </w:pPr>
            <w:r w:rsidRPr="008C7A56">
              <w:rPr>
                <w:lang w:val="fr-FR"/>
              </w:rPr>
              <w:t>Frankf</w:t>
            </w:r>
            <w:r w:rsidR="00460143" w:rsidRPr="008C7A56">
              <w:rPr>
                <w:lang w:val="fr-FR"/>
              </w:rPr>
              <w:t>o</w:t>
            </w:r>
            <w:r w:rsidRPr="008C7A56">
              <w:rPr>
                <w:lang w:val="fr-FR"/>
              </w:rPr>
              <w:t xml:space="preserve">rt, </w:t>
            </w:r>
            <w:r w:rsidR="00460143" w:rsidRPr="008C7A56">
              <w:rPr>
                <w:lang w:val="fr-FR"/>
              </w:rPr>
              <w:t>Allemagne</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Pr="008C7A56" w:rsidRDefault="00460143" w:rsidP="00081953">
            <w:pPr>
              <w:spacing w:before="120" w:after="120" w:line="240" w:lineRule="auto"/>
              <w:rPr>
                <w:lang w:val="fr-FR"/>
              </w:rPr>
            </w:pPr>
            <w:r w:rsidRPr="008C7A56">
              <w:rPr>
                <w:lang w:val="fr-FR"/>
              </w:rPr>
              <w:t xml:space="preserve">Voyage d’un jour pour rencontrer le PDG de </w:t>
            </w:r>
            <w:r w:rsidR="0008473C" w:rsidRPr="008C7A56">
              <w:rPr>
                <w:lang w:val="fr-FR"/>
              </w:rPr>
              <w:t>Star Alliance</w:t>
            </w:r>
            <w:r w:rsidRPr="008C7A56">
              <w:rPr>
                <w:lang w:val="fr-FR"/>
              </w:rPr>
              <w:t>,</w:t>
            </w:r>
            <w:r w:rsidR="0008473C" w:rsidRPr="008C7A56">
              <w:rPr>
                <w:lang w:val="fr-FR"/>
              </w:rPr>
              <w:t xml:space="preserve"> Mark</w:t>
            </w:r>
            <w:r w:rsidRPr="008C7A56">
              <w:rPr>
                <w:lang w:val="fr-FR"/>
              </w:rPr>
              <w:t> </w:t>
            </w:r>
            <w:r w:rsidR="0008473C" w:rsidRPr="008C7A56">
              <w:rPr>
                <w:lang w:val="fr-FR"/>
              </w:rPr>
              <w:t>Schwa</w:t>
            </w:r>
            <w:r w:rsidR="00D60A2F" w:rsidRPr="008C7A56">
              <w:rPr>
                <w:lang w:val="fr-FR"/>
              </w:rPr>
              <w:t xml:space="preserve">b, </w:t>
            </w:r>
            <w:r w:rsidRPr="008C7A56">
              <w:rPr>
                <w:lang w:val="fr-FR"/>
              </w:rPr>
              <w:t>afin de discuter du renouvellement et de l’expansion de l’accord</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Pr="008C7A56" w:rsidRDefault="00D60A2F" w:rsidP="00081953">
            <w:pPr>
              <w:spacing w:before="120" w:after="120" w:line="240" w:lineRule="auto"/>
              <w:rPr>
                <w:lang w:val="fr-FR"/>
              </w:rPr>
            </w:pPr>
            <w:r w:rsidRPr="008C7A56">
              <w:rPr>
                <w:lang w:val="fr-FR"/>
              </w:rPr>
              <w:t>54</w:t>
            </w:r>
            <w:r w:rsidR="00E62DB0" w:rsidRPr="008C7A56">
              <w:rPr>
                <w:lang w:val="fr-FR"/>
              </w:rPr>
              <w:t>.-</w:t>
            </w:r>
            <w:r w:rsidR="000C6528" w:rsidRPr="008C7A56">
              <w:rPr>
                <w:lang w:val="fr-FR"/>
              </w:rPr>
              <w:t xml:space="preserve"> CHF</w:t>
            </w:r>
          </w:p>
          <w:p w:rsidR="00D60A2F" w:rsidRPr="008C7A56" w:rsidRDefault="00D60A2F" w:rsidP="00081953">
            <w:pPr>
              <w:spacing w:before="120" w:after="120" w:line="240" w:lineRule="auto"/>
              <w:rPr>
                <w:lang w:val="fr-FR"/>
              </w:rPr>
            </w:pPr>
            <w:r w:rsidRPr="008C7A56">
              <w:rPr>
                <w:lang w:val="fr-FR"/>
              </w:rPr>
              <w:t>(</w:t>
            </w:r>
            <w:r w:rsidR="000C6528" w:rsidRPr="008C7A56">
              <w:rPr>
                <w:lang w:val="fr-FR"/>
              </w:rPr>
              <w:t>billets d’avion couverts par Star </w:t>
            </w:r>
            <w:r w:rsidRPr="008C7A56">
              <w:rPr>
                <w:lang w:val="fr-FR"/>
              </w:rPr>
              <w:t>Alliance)</w:t>
            </w:r>
          </w:p>
        </w:tc>
      </w:tr>
      <w:tr w:rsidR="00D60A2F" w:rsidRPr="008C7A56" w:rsidTr="00460143">
        <w:tc>
          <w:tcPr>
            <w:tcW w:w="22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Pr="008C7A56" w:rsidRDefault="00D60A2F" w:rsidP="00081953">
            <w:pPr>
              <w:spacing w:before="120" w:after="120" w:line="240" w:lineRule="auto"/>
              <w:rPr>
                <w:b/>
                <w:lang w:val="fr-FR"/>
              </w:rPr>
            </w:pPr>
            <w:r w:rsidRPr="008C7A56">
              <w:rPr>
                <w:b/>
                <w:lang w:val="fr-FR"/>
              </w:rPr>
              <w:t>17</w:t>
            </w:r>
            <w:r w:rsidR="006123A7" w:rsidRPr="008C7A56">
              <w:rPr>
                <w:b/>
                <w:lang w:val="fr-FR"/>
              </w:rPr>
              <w:t xml:space="preserve"> au </w:t>
            </w:r>
            <w:r w:rsidRPr="008C7A56">
              <w:rPr>
                <w:b/>
                <w:lang w:val="fr-FR"/>
              </w:rPr>
              <w:t xml:space="preserve">21 </w:t>
            </w:r>
            <w:r w:rsidR="00460143" w:rsidRPr="008C7A56">
              <w:rPr>
                <w:b/>
                <w:lang w:val="fr-FR"/>
              </w:rPr>
              <w:t>janvier</w:t>
            </w:r>
            <w:r w:rsidRPr="008C7A56">
              <w:rPr>
                <w:b/>
                <w:lang w:val="fr-FR"/>
              </w:rPr>
              <w:t xml:space="preserve"> 2016</w:t>
            </w:r>
          </w:p>
        </w:tc>
        <w:tc>
          <w:tcPr>
            <w:tcW w:w="2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Pr="008C7A56" w:rsidRDefault="000C6528" w:rsidP="00081953">
            <w:pPr>
              <w:spacing w:before="120" w:after="120" w:line="240" w:lineRule="auto"/>
              <w:rPr>
                <w:lang w:val="fr-FR"/>
              </w:rPr>
            </w:pPr>
            <w:r w:rsidRPr="008C7A56">
              <w:rPr>
                <w:lang w:val="fr-FR"/>
              </w:rPr>
              <w:t>Dubaï</w:t>
            </w:r>
            <w:r w:rsidR="00D60A2F" w:rsidRPr="008C7A56">
              <w:rPr>
                <w:lang w:val="fr-FR"/>
              </w:rPr>
              <w:t xml:space="preserve"> </w:t>
            </w:r>
            <w:r w:rsidRPr="008C7A56">
              <w:rPr>
                <w:lang w:val="fr-FR"/>
              </w:rPr>
              <w:t>et</w:t>
            </w:r>
            <w:r w:rsidR="00D60A2F" w:rsidRPr="008C7A56">
              <w:rPr>
                <w:lang w:val="fr-FR"/>
              </w:rPr>
              <w:t xml:space="preserve"> </w:t>
            </w:r>
            <w:r w:rsidR="00DA72D1" w:rsidRPr="008C7A56">
              <w:rPr>
                <w:lang w:val="fr-FR"/>
              </w:rPr>
              <w:t>Abou Dhabi</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Pr="008C7A56" w:rsidRDefault="000C6528" w:rsidP="0019412B">
            <w:pPr>
              <w:spacing w:before="120" w:after="120" w:line="240" w:lineRule="auto"/>
              <w:rPr>
                <w:lang w:val="fr-FR"/>
              </w:rPr>
            </w:pPr>
            <w:r w:rsidRPr="008C7A56">
              <w:rPr>
                <w:lang w:val="fr-FR"/>
              </w:rPr>
              <w:t xml:space="preserve">Réunion avec des responsables de haut niveau des Émirats arabes unis à Dubaï pour les préparatifs de la COP13; participation au Sommet international sur l’eau, </w:t>
            </w:r>
            <w:r w:rsidR="00D669B9" w:rsidRPr="008C7A56">
              <w:rPr>
                <w:lang w:val="fr-FR"/>
              </w:rPr>
              <w:t xml:space="preserve">Abou Dhabi </w:t>
            </w:r>
            <w:r w:rsidR="00D60A2F" w:rsidRPr="008C7A56">
              <w:rPr>
                <w:lang w:val="fr-FR"/>
              </w:rPr>
              <w:t>(</w:t>
            </w:r>
            <w:r w:rsidRPr="008C7A56">
              <w:rPr>
                <w:lang w:val="fr-FR"/>
              </w:rPr>
              <w:t>oratrice</w:t>
            </w:r>
            <w:r w:rsidR="0019412B" w:rsidRPr="008C7A56">
              <w:rPr>
                <w:lang w:val="fr-FR"/>
              </w:rPr>
              <w:t>,</w:t>
            </w:r>
            <w:r w:rsidRPr="008C7A56">
              <w:rPr>
                <w:lang w:val="fr-FR"/>
              </w:rPr>
              <w:t xml:space="preserve"> groupe sur </w:t>
            </w:r>
            <w:r w:rsidRPr="008C7A56">
              <w:rPr>
                <w:i/>
                <w:lang w:val="fr-FR"/>
              </w:rPr>
              <w:t>Les stratégies d’adaptation à l’eau pour lutter contre les changements climatiques et les catastrophes naturelles</w:t>
            </w:r>
            <w:r w:rsidR="00D60A2F" w:rsidRPr="008C7A56">
              <w:rPr>
                <w:lang w:val="fr-FR"/>
              </w:rPr>
              <w:t>)</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Pr="008C7A56" w:rsidRDefault="00D60A2F" w:rsidP="00081953">
            <w:pPr>
              <w:spacing w:before="120" w:after="120" w:line="240" w:lineRule="auto"/>
              <w:rPr>
                <w:lang w:val="fr-FR"/>
              </w:rPr>
            </w:pPr>
            <w:r w:rsidRPr="008C7A56">
              <w:rPr>
                <w:lang w:val="fr-FR"/>
              </w:rPr>
              <w:t>1</w:t>
            </w:r>
            <w:r w:rsidR="000C6528" w:rsidRPr="008C7A56">
              <w:rPr>
                <w:lang w:val="fr-FR"/>
              </w:rPr>
              <w:t> </w:t>
            </w:r>
            <w:r w:rsidRPr="008C7A56">
              <w:rPr>
                <w:lang w:val="fr-FR"/>
              </w:rPr>
              <w:t>318</w:t>
            </w:r>
            <w:r w:rsidR="000C6528" w:rsidRPr="008C7A56">
              <w:rPr>
                <w:lang w:val="fr-FR"/>
              </w:rPr>
              <w:t>,</w:t>
            </w:r>
            <w:r w:rsidRPr="008C7A56">
              <w:rPr>
                <w:lang w:val="fr-FR"/>
              </w:rPr>
              <w:t>78</w:t>
            </w:r>
            <w:r w:rsidR="000C6528" w:rsidRPr="008C7A56">
              <w:rPr>
                <w:lang w:val="fr-FR"/>
              </w:rPr>
              <w:t xml:space="preserve"> CHF</w:t>
            </w:r>
          </w:p>
        </w:tc>
      </w:tr>
      <w:tr w:rsidR="0008473C" w:rsidRPr="001E2235" w:rsidTr="00460143">
        <w:tc>
          <w:tcPr>
            <w:tcW w:w="22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6123A7" w:rsidP="00081953">
            <w:pPr>
              <w:spacing w:before="120" w:after="120" w:line="240" w:lineRule="auto"/>
              <w:rPr>
                <w:lang w:val="fr-FR"/>
              </w:rPr>
            </w:pPr>
            <w:r w:rsidRPr="008C7A56">
              <w:rPr>
                <w:b/>
                <w:lang w:val="fr-FR"/>
              </w:rPr>
              <w:lastRenderedPageBreak/>
              <w:t>1</w:t>
            </w:r>
            <w:r w:rsidRPr="008C7A56">
              <w:rPr>
                <w:b/>
                <w:vertAlign w:val="superscript"/>
                <w:lang w:val="fr-FR"/>
              </w:rPr>
              <w:t>er</w:t>
            </w:r>
            <w:r w:rsidRPr="008C7A56">
              <w:rPr>
                <w:b/>
                <w:lang w:val="fr-FR"/>
              </w:rPr>
              <w:t xml:space="preserve"> et </w:t>
            </w:r>
            <w:r w:rsidR="0008473C" w:rsidRPr="008C7A56">
              <w:rPr>
                <w:b/>
                <w:lang w:val="fr-FR"/>
              </w:rPr>
              <w:t xml:space="preserve">2 </w:t>
            </w:r>
            <w:r w:rsidR="00460143" w:rsidRPr="008C7A56">
              <w:rPr>
                <w:b/>
                <w:lang w:val="fr-FR"/>
              </w:rPr>
              <w:t>février</w:t>
            </w:r>
            <w:r w:rsidR="0008473C" w:rsidRPr="008C7A56">
              <w:rPr>
                <w:b/>
                <w:lang w:val="fr-FR"/>
              </w:rPr>
              <w:t xml:space="preserve"> 2016</w:t>
            </w:r>
          </w:p>
        </w:tc>
        <w:tc>
          <w:tcPr>
            <w:tcW w:w="2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C6528" w:rsidP="00081953">
            <w:pPr>
              <w:spacing w:before="120" w:after="120" w:line="240" w:lineRule="auto"/>
              <w:rPr>
                <w:lang w:val="fr-FR"/>
              </w:rPr>
            </w:pPr>
            <w:r w:rsidRPr="008C7A56">
              <w:rPr>
                <w:lang w:val="fr-FR"/>
              </w:rPr>
              <w:t>Téhéran</w:t>
            </w:r>
            <w:r w:rsidR="0008473C" w:rsidRPr="008C7A56">
              <w:rPr>
                <w:lang w:val="fr-FR"/>
              </w:rPr>
              <w:t xml:space="preserve"> </w:t>
            </w:r>
            <w:r w:rsidRPr="008C7A56">
              <w:rPr>
                <w:lang w:val="fr-FR"/>
              </w:rPr>
              <w:t>et</w:t>
            </w:r>
            <w:r w:rsidR="0008473C" w:rsidRPr="008C7A56">
              <w:rPr>
                <w:lang w:val="fr-FR"/>
              </w:rPr>
              <w:t xml:space="preserve"> </w:t>
            </w:r>
            <w:r w:rsidRPr="008C7A56">
              <w:rPr>
                <w:lang w:val="fr-FR"/>
              </w:rPr>
              <w:t>Ispahan</w:t>
            </w:r>
            <w:r w:rsidR="0008473C" w:rsidRPr="008C7A56">
              <w:rPr>
                <w:lang w:val="fr-FR"/>
              </w:rPr>
              <w:t xml:space="preserve">, Iran </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C6528" w:rsidP="0019412B">
            <w:pPr>
              <w:spacing w:before="120" w:after="120" w:line="240" w:lineRule="auto"/>
              <w:rPr>
                <w:lang w:val="fr-FR"/>
              </w:rPr>
            </w:pPr>
            <w:r w:rsidRPr="008C7A56">
              <w:rPr>
                <w:lang w:val="fr-FR"/>
              </w:rPr>
              <w:t>Invitation de l’Iran à rencontrer le Vice-</w:t>
            </w:r>
            <w:r w:rsidR="0019412B" w:rsidRPr="008C7A56">
              <w:rPr>
                <w:lang w:val="fr-FR"/>
              </w:rPr>
              <w:t>p</w:t>
            </w:r>
            <w:r w:rsidRPr="008C7A56">
              <w:rPr>
                <w:lang w:val="fr-FR"/>
              </w:rPr>
              <w:t>résident, M. </w:t>
            </w:r>
            <w:r w:rsidR="0008473C" w:rsidRPr="008C7A56">
              <w:rPr>
                <w:lang w:val="fr-FR"/>
              </w:rPr>
              <w:t xml:space="preserve">Ebtekar, </w:t>
            </w:r>
            <w:r w:rsidRPr="008C7A56">
              <w:rPr>
                <w:lang w:val="fr-FR"/>
              </w:rPr>
              <w:t xml:space="preserve">le représentant résident du PNUD et le nouveau directeur du </w:t>
            </w:r>
            <w:r w:rsidR="0008473C" w:rsidRPr="008C7A56">
              <w:rPr>
                <w:lang w:val="fr-FR"/>
              </w:rPr>
              <w:t>RRC</w:t>
            </w:r>
            <w:r w:rsidRPr="008C7A56">
              <w:rPr>
                <w:lang w:val="fr-FR"/>
              </w:rPr>
              <w:noBreakHyphen/>
            </w:r>
            <w:r w:rsidR="0008473C" w:rsidRPr="008C7A56">
              <w:rPr>
                <w:lang w:val="fr-FR"/>
              </w:rPr>
              <w:t xml:space="preserve">CWA; </w:t>
            </w:r>
            <w:r w:rsidRPr="008C7A56">
              <w:rPr>
                <w:lang w:val="fr-FR"/>
              </w:rPr>
              <w:t>assistance aux célébrations de la JMZ 2016 à Ispahan</w:t>
            </w:r>
            <w:r w:rsidR="0008473C" w:rsidRPr="008C7A56">
              <w:rPr>
                <w:lang w:val="fr-FR"/>
              </w:rPr>
              <w:t xml:space="preserve"> </w:t>
            </w:r>
            <w:r w:rsidRPr="008C7A56">
              <w:rPr>
                <w:lang w:val="fr-FR"/>
              </w:rPr>
              <w:t>avec le Gouverneur général de la province d’Ispahan</w:t>
            </w:r>
            <w:r w:rsidR="0008473C" w:rsidRPr="008C7A56">
              <w:rPr>
                <w:lang w:val="fr-FR"/>
              </w:rPr>
              <w:t xml:space="preserve">; </w:t>
            </w:r>
            <w:r w:rsidRPr="008C7A56">
              <w:rPr>
                <w:lang w:val="fr-FR"/>
              </w:rPr>
              <w:t xml:space="preserve">visite de la zone humide de </w:t>
            </w:r>
            <w:r w:rsidR="0008473C" w:rsidRPr="008C7A56">
              <w:rPr>
                <w:lang w:val="fr-FR"/>
              </w:rPr>
              <w:t xml:space="preserve">Gavkhouni </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295</w:t>
            </w:r>
            <w:r w:rsidR="000C6528" w:rsidRPr="008C7A56">
              <w:rPr>
                <w:lang w:val="fr-FR"/>
              </w:rPr>
              <w:t>,</w:t>
            </w:r>
            <w:r w:rsidRPr="008C7A56">
              <w:rPr>
                <w:lang w:val="fr-FR"/>
              </w:rPr>
              <w:t>70</w:t>
            </w:r>
            <w:r w:rsidR="000C6528" w:rsidRPr="008C7A56">
              <w:rPr>
                <w:lang w:val="fr-FR"/>
              </w:rPr>
              <w:t xml:space="preserve"> CHF</w:t>
            </w:r>
            <w:r w:rsidRPr="008C7A56">
              <w:rPr>
                <w:lang w:val="fr-FR"/>
              </w:rPr>
              <w:t xml:space="preserve"> </w:t>
            </w:r>
          </w:p>
          <w:p w:rsidR="0008473C" w:rsidRPr="008C7A56" w:rsidRDefault="0008473C" w:rsidP="00081953">
            <w:pPr>
              <w:spacing w:before="120" w:after="120" w:line="240" w:lineRule="auto"/>
              <w:rPr>
                <w:lang w:val="fr-FR"/>
              </w:rPr>
            </w:pPr>
            <w:r w:rsidRPr="008C7A56">
              <w:rPr>
                <w:lang w:val="fr-FR"/>
              </w:rPr>
              <w:t>(</w:t>
            </w:r>
            <w:r w:rsidR="000C6528" w:rsidRPr="008C7A56">
              <w:rPr>
                <w:lang w:val="fr-FR"/>
              </w:rPr>
              <w:t>billets d’avion couverts par l’</w:t>
            </w:r>
            <w:r w:rsidRPr="008C7A56">
              <w:rPr>
                <w:lang w:val="fr-FR"/>
              </w:rPr>
              <w:t>Iran)</w:t>
            </w:r>
          </w:p>
        </w:tc>
      </w:tr>
      <w:tr w:rsidR="0008473C" w:rsidRPr="008C7A56" w:rsidTr="00460143">
        <w:tc>
          <w:tcPr>
            <w:tcW w:w="22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b/>
                <w:lang w:val="fr-FR"/>
              </w:rPr>
            </w:pPr>
            <w:r w:rsidRPr="008C7A56">
              <w:rPr>
                <w:b/>
                <w:lang w:val="fr-FR"/>
              </w:rPr>
              <w:t>10</w:t>
            </w:r>
            <w:r w:rsidR="006123A7" w:rsidRPr="008C7A56">
              <w:rPr>
                <w:b/>
                <w:lang w:val="fr-FR"/>
              </w:rPr>
              <w:t xml:space="preserve"> et </w:t>
            </w:r>
            <w:r w:rsidRPr="008C7A56">
              <w:rPr>
                <w:b/>
                <w:lang w:val="fr-FR"/>
              </w:rPr>
              <w:t xml:space="preserve">11 </w:t>
            </w:r>
            <w:r w:rsidR="00460143" w:rsidRPr="008C7A56">
              <w:rPr>
                <w:b/>
                <w:lang w:val="fr-FR"/>
              </w:rPr>
              <w:t>février</w:t>
            </w:r>
            <w:r w:rsidRPr="008C7A56">
              <w:rPr>
                <w:b/>
                <w:lang w:val="fr-FR"/>
              </w:rPr>
              <w:t xml:space="preserve"> 2016</w:t>
            </w:r>
          </w:p>
        </w:tc>
        <w:tc>
          <w:tcPr>
            <w:tcW w:w="2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Paris</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Participa</w:t>
            </w:r>
            <w:r w:rsidR="000C6528" w:rsidRPr="008C7A56">
              <w:rPr>
                <w:lang w:val="fr-FR"/>
              </w:rPr>
              <w:t xml:space="preserve">tion à la réunion de gouvernance de </w:t>
            </w:r>
            <w:r w:rsidRPr="008C7A56">
              <w:rPr>
                <w:lang w:val="fr-FR"/>
              </w:rPr>
              <w:t xml:space="preserve">MedWet/Com12 </w:t>
            </w:r>
            <w:r w:rsidR="000C6528" w:rsidRPr="008C7A56">
              <w:rPr>
                <w:lang w:val="fr-FR"/>
              </w:rPr>
              <w:t xml:space="preserve">de l’Initiative pour les zones humides méditerranéennes et discours de clôture </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481</w:t>
            </w:r>
            <w:r w:rsidR="000C6528" w:rsidRPr="008C7A56">
              <w:rPr>
                <w:lang w:val="fr-FR"/>
              </w:rPr>
              <w:t xml:space="preserve"> CHF</w:t>
            </w:r>
          </w:p>
        </w:tc>
      </w:tr>
      <w:tr w:rsidR="0008473C" w:rsidRPr="001E2235" w:rsidTr="0027200B">
        <w:tc>
          <w:tcPr>
            <w:tcW w:w="1417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rsidR="0008473C" w:rsidRPr="008C7A56" w:rsidRDefault="0008473C" w:rsidP="00081953">
            <w:pPr>
              <w:spacing w:before="120" w:after="120" w:line="240" w:lineRule="auto"/>
              <w:rPr>
                <w:b/>
                <w:lang w:val="fr-FR"/>
              </w:rPr>
            </w:pPr>
            <w:r w:rsidRPr="008C7A56">
              <w:rPr>
                <w:b/>
                <w:lang w:val="fr-FR"/>
              </w:rPr>
              <w:t xml:space="preserve">Camilla Chalmers, </w:t>
            </w:r>
            <w:r w:rsidR="000C6528" w:rsidRPr="008C7A56">
              <w:rPr>
                <w:b/>
                <w:lang w:val="fr-FR"/>
              </w:rPr>
              <w:t>Chef de la communication</w:t>
            </w:r>
          </w:p>
        </w:tc>
      </w:tr>
      <w:tr w:rsidR="0008473C" w:rsidRPr="001E2235" w:rsidTr="0027200B">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rFonts w:eastAsia="Times New Roman"/>
                <w:b/>
                <w:lang w:val="fr-FR" w:eastAsia="en-GB"/>
              </w:rPr>
            </w:pPr>
            <w:r w:rsidRPr="008C7A56">
              <w:rPr>
                <w:rFonts w:eastAsia="Times New Roman"/>
                <w:b/>
                <w:lang w:val="fr-FR" w:eastAsia="en-GB"/>
              </w:rPr>
              <w:t>13</w:t>
            </w:r>
            <w:r w:rsidR="00F750A6" w:rsidRPr="008C7A56">
              <w:rPr>
                <w:rFonts w:eastAsia="Times New Roman"/>
                <w:b/>
                <w:lang w:val="fr-FR" w:eastAsia="en-GB"/>
              </w:rPr>
              <w:t xml:space="preserve"> janvier 20</w:t>
            </w:r>
            <w:r w:rsidRPr="008C7A56">
              <w:rPr>
                <w:rFonts w:eastAsia="Times New Roman"/>
                <w:b/>
                <w:lang w:val="fr-FR" w:eastAsia="en-GB"/>
              </w:rPr>
              <w:t>16</w:t>
            </w:r>
          </w:p>
        </w:tc>
        <w:tc>
          <w:tcPr>
            <w:tcW w:w="25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Frankf</w:t>
            </w:r>
            <w:r w:rsidR="00F750A6" w:rsidRPr="008C7A56">
              <w:rPr>
                <w:lang w:val="fr-FR"/>
              </w:rPr>
              <w:t>o</w:t>
            </w:r>
            <w:r w:rsidRPr="008C7A56">
              <w:rPr>
                <w:lang w:val="fr-FR"/>
              </w:rPr>
              <w:t>rt</w:t>
            </w:r>
            <w:r w:rsidR="00F750A6" w:rsidRPr="008C7A56">
              <w:rPr>
                <w:lang w:val="fr-FR"/>
              </w:rPr>
              <w:t>,</w:t>
            </w:r>
            <w:r w:rsidRPr="008C7A56">
              <w:rPr>
                <w:lang w:val="fr-FR"/>
              </w:rPr>
              <w:t xml:space="preserve"> Star Alliance</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F750A6" w:rsidP="00081953">
            <w:pPr>
              <w:spacing w:before="120" w:after="120" w:line="240" w:lineRule="auto"/>
              <w:rPr>
                <w:lang w:val="fr-FR"/>
              </w:rPr>
            </w:pPr>
            <w:r w:rsidRPr="008C7A56">
              <w:rPr>
                <w:lang w:val="fr-FR"/>
              </w:rPr>
              <w:t xml:space="preserve">Mémorandum d’accord </w:t>
            </w:r>
            <w:r w:rsidR="0008473C" w:rsidRPr="008C7A56">
              <w:rPr>
                <w:lang w:val="fr-FR"/>
              </w:rPr>
              <w:t xml:space="preserve">2016 </w:t>
            </w:r>
            <w:r w:rsidRPr="008C7A56">
              <w:rPr>
                <w:lang w:val="fr-FR"/>
              </w:rPr>
              <w:t xml:space="preserve">et réunion avec le PDG </w:t>
            </w:r>
            <w:r w:rsidR="0008473C" w:rsidRPr="008C7A56">
              <w:rPr>
                <w:lang w:val="fr-FR"/>
              </w:rPr>
              <w:t>Mark</w:t>
            </w:r>
            <w:r w:rsidRPr="008C7A56">
              <w:rPr>
                <w:lang w:val="fr-FR"/>
              </w:rPr>
              <w:t> </w:t>
            </w:r>
            <w:r w:rsidR="0008473C" w:rsidRPr="008C7A56">
              <w:rPr>
                <w:lang w:val="fr-FR"/>
              </w:rPr>
              <w:t>Schwab</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50A6" w:rsidRPr="008C7A56" w:rsidRDefault="0008473C" w:rsidP="00081953">
            <w:pPr>
              <w:spacing w:before="120" w:after="120" w:line="240" w:lineRule="auto"/>
              <w:rPr>
                <w:lang w:val="fr-FR"/>
              </w:rPr>
            </w:pPr>
            <w:r w:rsidRPr="008C7A56">
              <w:rPr>
                <w:lang w:val="fr-FR"/>
              </w:rPr>
              <w:t>42</w:t>
            </w:r>
            <w:r w:rsidR="00F750A6" w:rsidRPr="008C7A56">
              <w:rPr>
                <w:lang w:val="fr-FR"/>
              </w:rPr>
              <w:t>,</w:t>
            </w:r>
            <w:r w:rsidRPr="008C7A56">
              <w:rPr>
                <w:lang w:val="fr-FR"/>
              </w:rPr>
              <w:t>60</w:t>
            </w:r>
            <w:r w:rsidR="00F750A6" w:rsidRPr="008C7A56">
              <w:rPr>
                <w:lang w:val="fr-FR"/>
              </w:rPr>
              <w:t xml:space="preserve"> CHF</w:t>
            </w:r>
          </w:p>
          <w:p w:rsidR="0008473C" w:rsidRPr="008C7A56" w:rsidRDefault="0008473C" w:rsidP="00081953">
            <w:pPr>
              <w:spacing w:before="120" w:after="120" w:line="240" w:lineRule="auto"/>
              <w:rPr>
                <w:lang w:val="fr-FR"/>
              </w:rPr>
            </w:pPr>
            <w:r w:rsidRPr="008C7A56">
              <w:rPr>
                <w:lang w:val="fr-FR"/>
              </w:rPr>
              <w:t>(</w:t>
            </w:r>
            <w:r w:rsidR="00F750A6" w:rsidRPr="008C7A56">
              <w:rPr>
                <w:lang w:val="fr-FR"/>
              </w:rPr>
              <w:t xml:space="preserve">billets d’avion couverts par </w:t>
            </w:r>
            <w:r w:rsidRPr="008C7A56">
              <w:rPr>
                <w:lang w:val="fr-FR"/>
              </w:rPr>
              <w:t>Star</w:t>
            </w:r>
            <w:r w:rsidR="00F750A6" w:rsidRPr="008C7A56">
              <w:rPr>
                <w:lang w:val="fr-FR"/>
              </w:rPr>
              <w:t> </w:t>
            </w:r>
            <w:r w:rsidRPr="008C7A56">
              <w:rPr>
                <w:lang w:val="fr-FR"/>
              </w:rPr>
              <w:t>Alliance)</w:t>
            </w:r>
          </w:p>
        </w:tc>
      </w:tr>
      <w:tr w:rsidR="0008473C" w:rsidRPr="008C7A56" w:rsidTr="0027200B">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b/>
                <w:lang w:val="fr-FR"/>
              </w:rPr>
            </w:pPr>
            <w:r w:rsidRPr="008C7A56">
              <w:rPr>
                <w:b/>
                <w:lang w:val="fr-FR"/>
              </w:rPr>
              <w:t>15</w:t>
            </w:r>
            <w:r w:rsidR="00F750A6" w:rsidRPr="008C7A56">
              <w:rPr>
                <w:b/>
                <w:lang w:val="fr-FR"/>
              </w:rPr>
              <w:t xml:space="preserve"> janvier 2016</w:t>
            </w:r>
          </w:p>
        </w:tc>
        <w:tc>
          <w:tcPr>
            <w:tcW w:w="25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F750A6" w:rsidP="0019412B">
            <w:pPr>
              <w:spacing w:before="120" w:after="120" w:line="240" w:lineRule="auto"/>
              <w:rPr>
                <w:lang w:val="fr-FR"/>
              </w:rPr>
            </w:pPr>
            <w:r w:rsidRPr="008C7A56">
              <w:rPr>
                <w:lang w:val="fr-FR"/>
              </w:rPr>
              <w:t xml:space="preserve">Réunion </w:t>
            </w:r>
            <w:r w:rsidR="0008473C" w:rsidRPr="008C7A56">
              <w:rPr>
                <w:lang w:val="fr-FR"/>
              </w:rPr>
              <w:t>Evian Pr</w:t>
            </w:r>
            <w:r w:rsidR="0019412B" w:rsidRPr="008C7A56">
              <w:rPr>
                <w:lang w:val="fr-FR"/>
              </w:rPr>
              <w:t>é-</w:t>
            </w:r>
            <w:r w:rsidR="0008473C" w:rsidRPr="008C7A56">
              <w:rPr>
                <w:lang w:val="fr-FR"/>
              </w:rPr>
              <w:t xml:space="preserve">Curieux </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F750A6" w:rsidP="00081953">
            <w:pPr>
              <w:spacing w:before="120" w:after="120" w:line="240" w:lineRule="auto"/>
              <w:rPr>
                <w:lang w:val="fr-FR"/>
              </w:rPr>
            </w:pPr>
            <w:r w:rsidRPr="008C7A56">
              <w:rPr>
                <w:lang w:val="fr-FR"/>
              </w:rPr>
              <w:t>Lancement d’une réunion avec tous les acteurs d’un projet pour convenir d’une stratégie et d’un financement dirigé</w:t>
            </w:r>
            <w:r w:rsidR="006123A7" w:rsidRPr="008C7A56">
              <w:rPr>
                <w:lang w:val="fr-FR"/>
              </w:rPr>
              <w:t>e</w:t>
            </w:r>
            <w:r w:rsidRPr="008C7A56">
              <w:rPr>
                <w:lang w:val="fr-FR"/>
              </w:rPr>
              <w:t xml:space="preserve"> par le maire d’Evian </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114</w:t>
            </w:r>
            <w:r w:rsidR="00F750A6" w:rsidRPr="008C7A56">
              <w:rPr>
                <w:lang w:val="fr-FR"/>
              </w:rPr>
              <w:t>,</w:t>
            </w:r>
            <w:r w:rsidRPr="008C7A56">
              <w:rPr>
                <w:lang w:val="fr-FR"/>
              </w:rPr>
              <w:t>16</w:t>
            </w:r>
            <w:r w:rsidR="00F750A6" w:rsidRPr="008C7A56">
              <w:rPr>
                <w:lang w:val="fr-FR"/>
              </w:rPr>
              <w:t xml:space="preserve"> CHF</w:t>
            </w:r>
          </w:p>
        </w:tc>
      </w:tr>
      <w:tr w:rsidR="0008473C" w:rsidRPr="001E2235" w:rsidTr="0027200B">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F750A6" w:rsidP="00081953">
            <w:pPr>
              <w:spacing w:before="120" w:after="120" w:line="240" w:lineRule="auto"/>
              <w:rPr>
                <w:b/>
                <w:lang w:val="fr-FR"/>
              </w:rPr>
            </w:pPr>
            <w:r w:rsidRPr="008C7A56">
              <w:rPr>
                <w:b/>
                <w:lang w:val="fr-FR"/>
              </w:rPr>
              <w:t>1</w:t>
            </w:r>
            <w:r w:rsidRPr="008C7A56">
              <w:rPr>
                <w:b/>
                <w:vertAlign w:val="superscript"/>
                <w:lang w:val="fr-FR"/>
              </w:rPr>
              <w:t>er</w:t>
            </w:r>
            <w:r w:rsidRPr="008C7A56">
              <w:rPr>
                <w:b/>
                <w:lang w:val="fr-FR"/>
              </w:rPr>
              <w:t xml:space="preserve"> février 20</w:t>
            </w:r>
            <w:r w:rsidR="0008473C" w:rsidRPr="008C7A56">
              <w:rPr>
                <w:b/>
                <w:lang w:val="fr-FR"/>
              </w:rPr>
              <w:t>16</w:t>
            </w:r>
          </w:p>
        </w:tc>
        <w:tc>
          <w:tcPr>
            <w:tcW w:w="25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19412B">
            <w:pPr>
              <w:spacing w:before="120" w:after="120" w:line="240" w:lineRule="auto"/>
              <w:rPr>
                <w:lang w:val="fr-FR"/>
              </w:rPr>
            </w:pPr>
            <w:r w:rsidRPr="008C7A56">
              <w:rPr>
                <w:lang w:val="fr-FR"/>
              </w:rPr>
              <w:t xml:space="preserve">Iran </w:t>
            </w:r>
            <w:r w:rsidR="0019412B" w:rsidRPr="008C7A56">
              <w:rPr>
                <w:lang w:val="fr-FR"/>
              </w:rPr>
              <w:t>JMZ</w:t>
            </w:r>
            <w:r w:rsidRPr="008C7A56">
              <w:rPr>
                <w:lang w:val="fr-FR"/>
              </w:rPr>
              <w:t xml:space="preserve"> 2016</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 xml:space="preserve">Invitation </w:t>
            </w:r>
            <w:r w:rsidR="006123A7" w:rsidRPr="008C7A56">
              <w:rPr>
                <w:lang w:val="fr-FR"/>
              </w:rPr>
              <w:t xml:space="preserve">de l’Iran à assister à la JMZ et à faciliter un atelier de CESP au lac </w:t>
            </w:r>
            <w:r w:rsidRPr="008C7A56">
              <w:rPr>
                <w:lang w:val="fr-FR"/>
              </w:rPr>
              <w:t>Urmia</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50A6" w:rsidRPr="008C7A56" w:rsidRDefault="0008473C" w:rsidP="00081953">
            <w:pPr>
              <w:spacing w:before="120" w:after="120" w:line="240" w:lineRule="auto"/>
              <w:rPr>
                <w:lang w:val="fr-FR"/>
              </w:rPr>
            </w:pPr>
            <w:r w:rsidRPr="008C7A56">
              <w:rPr>
                <w:lang w:val="fr-FR"/>
              </w:rPr>
              <w:t>295</w:t>
            </w:r>
            <w:r w:rsidR="00F750A6" w:rsidRPr="008C7A56">
              <w:rPr>
                <w:lang w:val="fr-FR"/>
              </w:rPr>
              <w:t>,70 CHF</w:t>
            </w:r>
          </w:p>
          <w:p w:rsidR="0008473C" w:rsidRPr="008C7A56" w:rsidRDefault="00F750A6" w:rsidP="00081953">
            <w:pPr>
              <w:spacing w:before="120" w:after="120" w:line="240" w:lineRule="auto"/>
              <w:rPr>
                <w:lang w:val="fr-FR"/>
              </w:rPr>
            </w:pPr>
            <w:r w:rsidRPr="008C7A56">
              <w:rPr>
                <w:lang w:val="fr-FR"/>
              </w:rPr>
              <w:t>(billets d’avion couverts par l’Iran)</w:t>
            </w:r>
          </w:p>
        </w:tc>
      </w:tr>
      <w:tr w:rsidR="0008473C" w:rsidRPr="008C7A56" w:rsidTr="0027200B">
        <w:tc>
          <w:tcPr>
            <w:tcW w:w="1417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rsidR="0008473C" w:rsidRPr="008C7A56" w:rsidRDefault="0008473C" w:rsidP="00081953">
            <w:pPr>
              <w:spacing w:before="120" w:after="120" w:line="240" w:lineRule="auto"/>
              <w:rPr>
                <w:b/>
                <w:lang w:val="fr-FR"/>
              </w:rPr>
            </w:pPr>
            <w:r w:rsidRPr="008C7A56">
              <w:rPr>
                <w:b/>
                <w:lang w:val="fr-FR"/>
              </w:rPr>
              <w:t xml:space="preserve">Paul Ouedraogo, </w:t>
            </w:r>
            <w:r w:rsidR="006123A7" w:rsidRPr="008C7A56">
              <w:rPr>
                <w:b/>
                <w:lang w:val="fr-FR"/>
              </w:rPr>
              <w:t>Conseiller principal</w:t>
            </w:r>
            <w:r w:rsidRPr="008C7A56">
              <w:rPr>
                <w:b/>
                <w:lang w:val="fr-FR"/>
              </w:rPr>
              <w:t>, Afri</w:t>
            </w:r>
            <w:r w:rsidR="006123A7" w:rsidRPr="008C7A56">
              <w:rPr>
                <w:b/>
                <w:lang w:val="fr-FR"/>
              </w:rPr>
              <w:t>que</w:t>
            </w:r>
          </w:p>
        </w:tc>
      </w:tr>
      <w:tr w:rsidR="0008473C" w:rsidRPr="008C7A56" w:rsidTr="0027200B">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b/>
                <w:lang w:val="fr-FR" w:eastAsia="en-GB"/>
              </w:rPr>
            </w:pPr>
            <w:r w:rsidRPr="008C7A56">
              <w:rPr>
                <w:b/>
                <w:lang w:val="fr-FR" w:eastAsia="en-GB"/>
              </w:rPr>
              <w:t xml:space="preserve">3 </w:t>
            </w:r>
            <w:r w:rsidR="006123A7" w:rsidRPr="008C7A56">
              <w:rPr>
                <w:b/>
                <w:lang w:val="fr-FR" w:eastAsia="en-GB"/>
              </w:rPr>
              <w:t>au</w:t>
            </w:r>
            <w:r w:rsidRPr="008C7A56">
              <w:rPr>
                <w:b/>
                <w:lang w:val="fr-FR" w:eastAsia="en-GB"/>
              </w:rPr>
              <w:t xml:space="preserve"> 11 </w:t>
            </w:r>
            <w:r w:rsidR="00460143" w:rsidRPr="008C7A56">
              <w:rPr>
                <w:b/>
                <w:lang w:val="fr-FR" w:eastAsia="en-GB"/>
              </w:rPr>
              <w:t>décembre</w:t>
            </w:r>
            <w:r w:rsidRPr="008C7A56">
              <w:rPr>
                <w:b/>
                <w:lang w:val="fr-FR" w:eastAsia="en-GB"/>
              </w:rPr>
              <w:t xml:space="preserve"> 2015</w:t>
            </w:r>
          </w:p>
        </w:tc>
        <w:tc>
          <w:tcPr>
            <w:tcW w:w="25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COP21</w:t>
            </w:r>
            <w:r w:rsidR="006123A7" w:rsidRPr="008C7A56">
              <w:rPr>
                <w:lang w:val="fr-FR"/>
              </w:rPr>
              <w:t xml:space="preserve"> CCNUCC</w:t>
            </w:r>
            <w:r w:rsidRPr="008C7A56">
              <w:rPr>
                <w:lang w:val="fr-FR"/>
              </w:rPr>
              <w:t xml:space="preserve"> Paris</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6123A7" w:rsidP="00081953">
            <w:pPr>
              <w:spacing w:before="120" w:after="120" w:line="240" w:lineRule="auto"/>
              <w:rPr>
                <w:lang w:val="fr-FR"/>
              </w:rPr>
            </w:pPr>
            <w:r w:rsidRPr="008C7A56">
              <w:rPr>
                <w:lang w:val="fr-FR"/>
              </w:rPr>
              <w:t xml:space="preserve">Tenue de trois activités parallèles au nom de la Convention de Ramsar </w:t>
            </w:r>
          </w:p>
          <w:p w:rsidR="0008473C" w:rsidRPr="008C7A56" w:rsidRDefault="006123A7" w:rsidP="00081953">
            <w:pPr>
              <w:spacing w:before="120" w:after="120" w:line="240" w:lineRule="auto"/>
              <w:rPr>
                <w:lang w:val="fr-FR"/>
              </w:rPr>
            </w:pPr>
            <w:r w:rsidRPr="008C7A56">
              <w:rPr>
                <w:lang w:val="fr-FR"/>
              </w:rPr>
              <w:t>Réunion bilatérale avec des Parties contractantes et donateurs potentiels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2</w:t>
            </w:r>
            <w:r w:rsidR="006123A7" w:rsidRPr="008C7A56">
              <w:rPr>
                <w:lang w:val="fr-FR"/>
              </w:rPr>
              <w:t> </w:t>
            </w:r>
            <w:r w:rsidRPr="008C7A56">
              <w:rPr>
                <w:lang w:val="fr-FR"/>
              </w:rPr>
              <w:t>407</w:t>
            </w:r>
            <w:r w:rsidR="006123A7" w:rsidRPr="008C7A56">
              <w:rPr>
                <w:lang w:val="fr-FR"/>
              </w:rPr>
              <w:t>,</w:t>
            </w:r>
            <w:r w:rsidRPr="008C7A56">
              <w:rPr>
                <w:lang w:val="fr-FR"/>
              </w:rPr>
              <w:t>5</w:t>
            </w:r>
            <w:r w:rsidR="006123A7" w:rsidRPr="008C7A56">
              <w:rPr>
                <w:lang w:val="fr-FR"/>
              </w:rPr>
              <w:t xml:space="preserve"> CHF</w:t>
            </w:r>
          </w:p>
        </w:tc>
      </w:tr>
      <w:tr w:rsidR="0008473C" w:rsidRPr="008C7A56" w:rsidTr="0027200B">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keepNext/>
              <w:keepLines/>
              <w:spacing w:before="120" w:after="120" w:line="240" w:lineRule="auto"/>
              <w:rPr>
                <w:b/>
                <w:lang w:val="fr-FR" w:eastAsia="en-GB"/>
              </w:rPr>
            </w:pPr>
            <w:r w:rsidRPr="008C7A56">
              <w:rPr>
                <w:b/>
                <w:lang w:val="fr-FR" w:eastAsia="en-GB"/>
              </w:rPr>
              <w:lastRenderedPageBreak/>
              <w:t>25</w:t>
            </w:r>
            <w:r w:rsidR="006123A7" w:rsidRPr="008C7A56">
              <w:rPr>
                <w:b/>
                <w:lang w:val="fr-FR" w:eastAsia="en-GB"/>
              </w:rPr>
              <w:t xml:space="preserve"> janvier au 3 février </w:t>
            </w:r>
            <w:r w:rsidRPr="008C7A56">
              <w:rPr>
                <w:b/>
                <w:lang w:val="fr-FR" w:eastAsia="en-GB"/>
              </w:rPr>
              <w:t>2016</w:t>
            </w:r>
          </w:p>
        </w:tc>
        <w:tc>
          <w:tcPr>
            <w:tcW w:w="25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6123A7" w:rsidP="00081953">
            <w:pPr>
              <w:keepNext/>
              <w:keepLines/>
              <w:spacing w:before="120" w:after="120" w:line="240" w:lineRule="auto"/>
              <w:rPr>
                <w:lang w:val="fr-FR"/>
              </w:rPr>
            </w:pPr>
            <w:r w:rsidRPr="008C7A56">
              <w:rPr>
                <w:lang w:val="fr-FR"/>
              </w:rPr>
              <w:t xml:space="preserve">JMZ </w:t>
            </w:r>
            <w:r w:rsidR="0008473C" w:rsidRPr="008C7A56">
              <w:rPr>
                <w:lang w:val="fr-FR"/>
              </w:rPr>
              <w:t xml:space="preserve">2016 </w:t>
            </w:r>
            <w:r w:rsidRPr="008C7A56">
              <w:rPr>
                <w:lang w:val="fr-FR"/>
              </w:rPr>
              <w:t>au</w:t>
            </w:r>
            <w:r w:rsidR="0008473C" w:rsidRPr="008C7A56">
              <w:rPr>
                <w:lang w:val="fr-FR"/>
              </w:rPr>
              <w:t xml:space="preserve"> Burkina</w:t>
            </w:r>
            <w:r w:rsidRPr="008C7A56">
              <w:rPr>
                <w:lang w:val="fr-FR"/>
              </w:rPr>
              <w:t> </w:t>
            </w:r>
            <w:r w:rsidR="0008473C" w:rsidRPr="008C7A56">
              <w:rPr>
                <w:lang w:val="fr-FR"/>
              </w:rPr>
              <w:t>Faso</w:t>
            </w:r>
            <w:r w:rsidR="00A13987" w:rsidRPr="008C7A56">
              <w:rPr>
                <w:lang w:val="fr-FR"/>
              </w:rPr>
              <w:t xml:space="preserve">; </w:t>
            </w:r>
            <w:r w:rsidRPr="008C7A56">
              <w:rPr>
                <w:lang w:val="fr-FR"/>
              </w:rPr>
              <w:t xml:space="preserve">certificat de gouvernance des zones humides locales </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keepNext/>
              <w:keepLines/>
              <w:spacing w:before="120" w:after="120" w:line="240" w:lineRule="auto"/>
              <w:rPr>
                <w:lang w:val="fr-FR"/>
              </w:rPr>
            </w:pPr>
            <w:r w:rsidRPr="008C7A56">
              <w:rPr>
                <w:lang w:val="fr-FR"/>
              </w:rPr>
              <w:t xml:space="preserve">Ramsar </w:t>
            </w:r>
            <w:r w:rsidR="006123A7" w:rsidRPr="008C7A56">
              <w:rPr>
                <w:lang w:val="fr-FR"/>
              </w:rPr>
              <w:t xml:space="preserve">aide l’Université de </w:t>
            </w:r>
            <w:r w:rsidRPr="008C7A56">
              <w:rPr>
                <w:lang w:val="fr-FR"/>
              </w:rPr>
              <w:t xml:space="preserve">Ouagadougou </w:t>
            </w:r>
            <w:r w:rsidR="006123A7" w:rsidRPr="008C7A56">
              <w:rPr>
                <w:lang w:val="fr-FR"/>
              </w:rPr>
              <w:t xml:space="preserve">à appliquer un certificat de gouvernance des zones humides locales </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400</w:t>
            </w:r>
            <w:r w:rsidR="006123A7" w:rsidRPr="008C7A56">
              <w:rPr>
                <w:lang w:val="fr-FR"/>
              </w:rPr>
              <w:t xml:space="preserve"> CHF</w:t>
            </w:r>
            <w:r w:rsidRPr="008C7A56">
              <w:rPr>
                <w:lang w:val="fr-FR"/>
              </w:rPr>
              <w:t xml:space="preserve"> </w:t>
            </w:r>
          </w:p>
        </w:tc>
      </w:tr>
      <w:tr w:rsidR="0008473C" w:rsidRPr="001E2235" w:rsidTr="0027200B">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b/>
                <w:lang w:val="fr-FR"/>
              </w:rPr>
            </w:pPr>
            <w:r w:rsidRPr="008C7A56">
              <w:rPr>
                <w:b/>
                <w:lang w:val="fr-FR"/>
              </w:rPr>
              <w:t xml:space="preserve">7 </w:t>
            </w:r>
            <w:r w:rsidR="006123A7" w:rsidRPr="008C7A56">
              <w:rPr>
                <w:b/>
                <w:lang w:val="fr-FR"/>
              </w:rPr>
              <w:t>au</w:t>
            </w:r>
            <w:r w:rsidRPr="008C7A56">
              <w:rPr>
                <w:b/>
                <w:lang w:val="fr-FR"/>
              </w:rPr>
              <w:t xml:space="preserve"> 10</w:t>
            </w:r>
            <w:r w:rsidR="006123A7" w:rsidRPr="008C7A56">
              <w:rPr>
                <w:b/>
                <w:lang w:val="fr-FR"/>
              </w:rPr>
              <w:t xml:space="preserve"> février 2016 </w:t>
            </w:r>
          </w:p>
        </w:tc>
        <w:tc>
          <w:tcPr>
            <w:tcW w:w="25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MedWet/Com 12</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6123A7" w:rsidP="00081953">
            <w:pPr>
              <w:spacing w:before="120" w:after="120" w:line="240" w:lineRule="auto"/>
              <w:rPr>
                <w:lang w:val="fr-FR"/>
              </w:rPr>
            </w:pPr>
            <w:r w:rsidRPr="008C7A56">
              <w:rPr>
                <w:lang w:val="fr-FR"/>
              </w:rPr>
              <w:t>A</w:t>
            </w:r>
            <w:r w:rsidR="0019412B" w:rsidRPr="008C7A56">
              <w:rPr>
                <w:lang w:val="fr-FR"/>
              </w:rPr>
              <w:t>ide aux</w:t>
            </w:r>
            <w:r w:rsidRPr="008C7A56">
              <w:rPr>
                <w:lang w:val="fr-FR"/>
              </w:rPr>
              <w:t xml:space="preserve"> Parties contractantes d’Afrique du Nord pour leur </w:t>
            </w:r>
            <w:r w:rsidR="0019412B" w:rsidRPr="008C7A56">
              <w:rPr>
                <w:lang w:val="fr-FR"/>
              </w:rPr>
              <w:t>contribution</w:t>
            </w:r>
            <w:r w:rsidRPr="008C7A56">
              <w:rPr>
                <w:lang w:val="fr-FR"/>
              </w:rPr>
              <w:t xml:space="preserve"> aux documents de la session </w:t>
            </w:r>
          </w:p>
          <w:p w:rsidR="0008473C" w:rsidRPr="008C7A56" w:rsidRDefault="006123A7" w:rsidP="00081953">
            <w:pPr>
              <w:spacing w:before="120" w:after="120" w:line="240" w:lineRule="auto"/>
              <w:rPr>
                <w:lang w:val="fr-FR"/>
              </w:rPr>
            </w:pPr>
            <w:r w:rsidRPr="008C7A56">
              <w:rPr>
                <w:lang w:val="fr-FR"/>
              </w:rPr>
              <w:t>Conseil aux Parties contractantes d’Afrique du Nord pour mener les actions de mise à jour de leur</w:t>
            </w:r>
            <w:r w:rsidR="001F0D5D" w:rsidRPr="008C7A56">
              <w:rPr>
                <w:lang w:val="fr-FR"/>
              </w:rPr>
              <w:t>s FDR de Sites Ramsar (107 FDR à mettre à jour)</w:t>
            </w:r>
            <w:r w:rsidR="0008473C" w:rsidRPr="008C7A56">
              <w:rPr>
                <w:lang w:val="fr-FR"/>
              </w:rPr>
              <w:t xml:space="preserve">  </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432,1</w:t>
            </w:r>
            <w:r w:rsidR="001F0D5D" w:rsidRPr="008C7A56">
              <w:rPr>
                <w:lang w:val="fr-FR"/>
              </w:rPr>
              <w:t xml:space="preserve"> CHF</w:t>
            </w:r>
          </w:p>
          <w:p w:rsidR="001F0D5D" w:rsidRPr="008C7A56" w:rsidRDefault="001F0D5D" w:rsidP="00081953">
            <w:pPr>
              <w:spacing w:before="120" w:after="120" w:line="240" w:lineRule="auto"/>
              <w:rPr>
                <w:lang w:val="fr-FR"/>
              </w:rPr>
            </w:pPr>
          </w:p>
          <w:p w:rsidR="0008473C" w:rsidRPr="008C7A56" w:rsidRDefault="001F0D5D" w:rsidP="00081953">
            <w:pPr>
              <w:spacing w:before="120" w:after="120" w:line="240" w:lineRule="auto"/>
              <w:rPr>
                <w:lang w:val="fr-FR"/>
              </w:rPr>
            </w:pPr>
            <w:r w:rsidRPr="008C7A56">
              <w:rPr>
                <w:lang w:val="fr-FR"/>
              </w:rPr>
              <w:t>330 e</w:t>
            </w:r>
            <w:r w:rsidR="0008473C" w:rsidRPr="008C7A56">
              <w:rPr>
                <w:lang w:val="fr-FR"/>
              </w:rPr>
              <w:t xml:space="preserve">uros </w:t>
            </w:r>
            <w:r w:rsidRPr="008C7A56">
              <w:rPr>
                <w:lang w:val="fr-FR"/>
              </w:rPr>
              <w:t xml:space="preserve">à rembourser à </w:t>
            </w:r>
            <w:r w:rsidR="0008473C" w:rsidRPr="008C7A56">
              <w:rPr>
                <w:lang w:val="fr-FR"/>
              </w:rPr>
              <w:t>MedWet</w:t>
            </w:r>
          </w:p>
        </w:tc>
      </w:tr>
      <w:tr w:rsidR="0008473C" w:rsidRPr="001E2235" w:rsidTr="0027200B">
        <w:tc>
          <w:tcPr>
            <w:tcW w:w="1417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rsidR="0008473C" w:rsidRPr="008C7A56" w:rsidRDefault="0008473C" w:rsidP="00081953">
            <w:pPr>
              <w:spacing w:before="120" w:after="120" w:line="240" w:lineRule="auto"/>
              <w:rPr>
                <w:b/>
                <w:lang w:val="fr-FR"/>
              </w:rPr>
            </w:pPr>
            <w:r w:rsidRPr="008C7A56">
              <w:rPr>
                <w:b/>
                <w:lang w:val="fr-FR"/>
              </w:rPr>
              <w:t xml:space="preserve">Maria Rivera, </w:t>
            </w:r>
            <w:r w:rsidR="001F0D5D" w:rsidRPr="008C7A56">
              <w:rPr>
                <w:b/>
                <w:lang w:val="fr-FR"/>
              </w:rPr>
              <w:t>Conseillère principale</w:t>
            </w:r>
            <w:r w:rsidRPr="008C7A56">
              <w:rPr>
                <w:b/>
                <w:lang w:val="fr-FR"/>
              </w:rPr>
              <w:t xml:space="preserve"> – </w:t>
            </w:r>
            <w:r w:rsidR="006123A7" w:rsidRPr="008C7A56">
              <w:rPr>
                <w:b/>
                <w:lang w:val="fr-FR"/>
              </w:rPr>
              <w:t>Amériques</w:t>
            </w:r>
          </w:p>
        </w:tc>
      </w:tr>
      <w:tr w:rsidR="0008473C" w:rsidRPr="008C7A56" w:rsidTr="0027200B">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6123A7" w:rsidP="00081953">
            <w:pPr>
              <w:spacing w:before="120" w:after="120" w:line="240" w:lineRule="auto"/>
              <w:rPr>
                <w:b/>
                <w:lang w:val="fr-FR" w:eastAsia="en-GB"/>
              </w:rPr>
            </w:pPr>
            <w:r w:rsidRPr="008C7A56">
              <w:rPr>
                <w:b/>
                <w:lang w:val="fr-FR" w:eastAsia="en-GB"/>
              </w:rPr>
              <w:t xml:space="preserve">7 au </w:t>
            </w:r>
            <w:r w:rsidR="0008473C" w:rsidRPr="008C7A56">
              <w:rPr>
                <w:b/>
                <w:lang w:val="fr-FR" w:eastAsia="en-GB"/>
              </w:rPr>
              <w:t>10</w:t>
            </w:r>
            <w:r w:rsidRPr="008C7A56">
              <w:rPr>
                <w:b/>
                <w:lang w:val="fr-FR" w:eastAsia="en-GB"/>
              </w:rPr>
              <w:t> décembre</w:t>
            </w:r>
            <w:r w:rsidR="0008473C" w:rsidRPr="008C7A56">
              <w:rPr>
                <w:b/>
                <w:lang w:val="fr-FR" w:eastAsia="en-GB"/>
              </w:rPr>
              <w:t xml:space="preserve"> 2015</w:t>
            </w:r>
          </w:p>
        </w:tc>
        <w:tc>
          <w:tcPr>
            <w:tcW w:w="25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Trini</w:t>
            </w:r>
            <w:r w:rsidR="001F0D5D" w:rsidRPr="008C7A56">
              <w:rPr>
                <w:lang w:val="fr-FR"/>
              </w:rPr>
              <w:t>té-et-</w:t>
            </w:r>
            <w:r w:rsidRPr="008C7A56">
              <w:rPr>
                <w:lang w:val="fr-FR"/>
              </w:rPr>
              <w:t>Tobago</w:t>
            </w:r>
          </w:p>
          <w:p w:rsidR="0008473C" w:rsidRPr="008C7A56" w:rsidRDefault="001F0D5D" w:rsidP="00081953">
            <w:pPr>
              <w:spacing w:before="120" w:after="120" w:line="240" w:lineRule="auto"/>
              <w:rPr>
                <w:lang w:val="fr-FR"/>
              </w:rPr>
            </w:pPr>
            <w:r w:rsidRPr="008C7A56">
              <w:rPr>
                <w:lang w:val="fr-FR"/>
              </w:rPr>
              <w:t>Visite de pays</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1F0D5D" w:rsidP="00081953">
            <w:pPr>
              <w:spacing w:before="120" w:after="120" w:line="240" w:lineRule="auto"/>
              <w:rPr>
                <w:lang w:val="fr-FR"/>
              </w:rPr>
            </w:pPr>
            <w:r w:rsidRPr="008C7A56">
              <w:rPr>
                <w:lang w:val="fr-FR"/>
              </w:rPr>
              <w:t xml:space="preserve">Visite de pays pour discuter avec AA de l’application </w:t>
            </w:r>
            <w:r w:rsidR="0019412B" w:rsidRPr="008C7A56">
              <w:rPr>
                <w:lang w:val="fr-FR"/>
              </w:rPr>
              <w:t xml:space="preserve">de la Convention </w:t>
            </w:r>
            <w:r w:rsidRPr="008C7A56">
              <w:rPr>
                <w:lang w:val="fr-FR"/>
              </w:rPr>
              <w:t>et de la participation au 50</w:t>
            </w:r>
            <w:r w:rsidRPr="008C7A56">
              <w:rPr>
                <w:vertAlign w:val="superscript"/>
                <w:lang w:val="fr-FR"/>
              </w:rPr>
              <w:t>e</w:t>
            </w:r>
            <w:r w:rsidRPr="008C7A56">
              <w:rPr>
                <w:lang w:val="fr-FR"/>
              </w:rPr>
              <w:t xml:space="preserve"> Anniversaire du </w:t>
            </w:r>
            <w:r w:rsidR="0008473C" w:rsidRPr="008C7A56">
              <w:rPr>
                <w:lang w:val="fr-FR"/>
              </w:rPr>
              <w:t>Pointe-</w:t>
            </w:r>
            <w:r w:rsidRPr="008C7A56">
              <w:rPr>
                <w:lang w:val="fr-FR"/>
              </w:rPr>
              <w:t>à</w:t>
            </w:r>
            <w:r w:rsidR="0008473C" w:rsidRPr="008C7A56">
              <w:rPr>
                <w:lang w:val="fr-FR"/>
              </w:rPr>
              <w:t>-</w:t>
            </w:r>
            <w:r w:rsidRPr="008C7A56">
              <w:rPr>
                <w:lang w:val="fr-FR"/>
              </w:rPr>
              <w:t>Pierre Wildfowl Trust</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2</w:t>
            </w:r>
            <w:r w:rsidR="001F0D5D" w:rsidRPr="008C7A56">
              <w:rPr>
                <w:lang w:val="fr-FR"/>
              </w:rPr>
              <w:t> </w:t>
            </w:r>
            <w:r w:rsidRPr="008C7A56">
              <w:rPr>
                <w:lang w:val="fr-FR"/>
              </w:rPr>
              <w:t>644</w:t>
            </w:r>
            <w:r w:rsidR="001F0D5D" w:rsidRPr="008C7A56">
              <w:rPr>
                <w:lang w:val="fr-FR"/>
              </w:rPr>
              <w:t xml:space="preserve"> CHF</w:t>
            </w:r>
          </w:p>
        </w:tc>
      </w:tr>
      <w:tr w:rsidR="0008473C" w:rsidRPr="008C7A56" w:rsidTr="0027200B">
        <w:tc>
          <w:tcPr>
            <w:tcW w:w="1417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rsidR="0008473C" w:rsidRPr="008C7A56" w:rsidRDefault="0008473C" w:rsidP="00081953">
            <w:pPr>
              <w:spacing w:before="120" w:after="120" w:line="240" w:lineRule="auto"/>
              <w:rPr>
                <w:b/>
                <w:lang w:val="fr-FR"/>
              </w:rPr>
            </w:pPr>
            <w:r w:rsidRPr="008C7A56">
              <w:rPr>
                <w:b/>
                <w:lang w:val="fr-FR"/>
              </w:rPr>
              <w:t xml:space="preserve">Lew Young, </w:t>
            </w:r>
            <w:r w:rsidR="001F0D5D" w:rsidRPr="008C7A56">
              <w:rPr>
                <w:b/>
                <w:lang w:val="fr-FR"/>
              </w:rPr>
              <w:t>Conseiller principal</w:t>
            </w:r>
            <w:r w:rsidRPr="008C7A56">
              <w:rPr>
                <w:b/>
                <w:lang w:val="fr-FR"/>
              </w:rPr>
              <w:t>, Asi</w:t>
            </w:r>
            <w:r w:rsidR="006123A7" w:rsidRPr="008C7A56">
              <w:rPr>
                <w:b/>
                <w:lang w:val="fr-FR"/>
              </w:rPr>
              <w:t>e</w:t>
            </w:r>
            <w:r w:rsidRPr="008C7A56">
              <w:rPr>
                <w:b/>
                <w:lang w:val="fr-FR"/>
              </w:rPr>
              <w:t>-</w:t>
            </w:r>
            <w:r w:rsidR="006123A7" w:rsidRPr="008C7A56">
              <w:rPr>
                <w:b/>
                <w:lang w:val="fr-FR"/>
              </w:rPr>
              <w:t>Océanie</w:t>
            </w:r>
          </w:p>
        </w:tc>
      </w:tr>
      <w:tr w:rsidR="0008473C" w:rsidRPr="008C7A56" w:rsidTr="0027200B">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6123A7" w:rsidP="00081953">
            <w:pPr>
              <w:spacing w:before="120" w:after="120" w:line="240" w:lineRule="auto"/>
              <w:rPr>
                <w:b/>
                <w:lang w:val="fr-FR"/>
              </w:rPr>
            </w:pPr>
            <w:r w:rsidRPr="008C7A56">
              <w:rPr>
                <w:b/>
                <w:lang w:val="fr-FR"/>
              </w:rPr>
              <w:t>15 au 18 janvier 2016</w:t>
            </w:r>
          </w:p>
        </w:tc>
        <w:tc>
          <w:tcPr>
            <w:tcW w:w="25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19412B" w:rsidP="00081953">
            <w:pPr>
              <w:spacing w:before="120" w:after="120" w:line="240" w:lineRule="auto"/>
              <w:rPr>
                <w:lang w:val="fr-FR"/>
              </w:rPr>
            </w:pPr>
            <w:r w:rsidRPr="008C7A56">
              <w:rPr>
                <w:lang w:val="fr-FR"/>
              </w:rPr>
              <w:t>Dubaï</w:t>
            </w:r>
            <w:r w:rsidR="0008473C" w:rsidRPr="008C7A56">
              <w:rPr>
                <w:lang w:val="fr-FR"/>
              </w:rPr>
              <w:t xml:space="preserve"> (</w:t>
            </w:r>
            <w:r w:rsidR="001F0D5D" w:rsidRPr="008C7A56">
              <w:rPr>
                <w:lang w:val="fr-FR"/>
              </w:rPr>
              <w:t>EAU</w:t>
            </w:r>
            <w:r w:rsidR="0008473C" w:rsidRPr="008C7A56">
              <w:rPr>
                <w:lang w:val="fr-FR"/>
              </w:rPr>
              <w:t>)</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1F0D5D" w:rsidP="00081953">
            <w:pPr>
              <w:spacing w:before="120" w:after="120" w:line="240" w:lineRule="auto"/>
              <w:rPr>
                <w:lang w:val="fr-FR"/>
              </w:rPr>
            </w:pPr>
            <w:r w:rsidRPr="008C7A56">
              <w:rPr>
                <w:lang w:val="fr-FR"/>
              </w:rPr>
              <w:t xml:space="preserve">Préparatifs de la </w:t>
            </w:r>
            <w:r w:rsidR="0008473C" w:rsidRPr="008C7A56">
              <w:rPr>
                <w:lang w:val="fr-FR"/>
              </w:rPr>
              <w:t>COP13</w:t>
            </w:r>
            <w:r w:rsidRPr="008C7A56">
              <w:rPr>
                <w:lang w:val="fr-FR"/>
              </w:rPr>
              <w:t> </w:t>
            </w:r>
            <w:r w:rsidR="0008473C" w:rsidRPr="008C7A56">
              <w:rPr>
                <w:lang w:val="fr-FR"/>
              </w:rPr>
              <w:t xml:space="preserve">: </w:t>
            </w:r>
            <w:r w:rsidRPr="008C7A56">
              <w:rPr>
                <w:lang w:val="fr-FR"/>
              </w:rPr>
              <w:t>première réunion à Dubaï pour discuter des préparatifs de la COP13, c.</w:t>
            </w:r>
            <w:r w:rsidRPr="008C7A56">
              <w:rPr>
                <w:lang w:val="fr-FR"/>
              </w:rPr>
              <w:noBreakHyphen/>
              <w:t>à</w:t>
            </w:r>
            <w:r w:rsidRPr="008C7A56">
              <w:rPr>
                <w:lang w:val="fr-FR"/>
              </w:rPr>
              <w:noBreakHyphen/>
              <w:t xml:space="preserve">d. visite du lieu de réunion proposé et des hôtels, progrès avec le mémorandum d’accord, etc. </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1</w:t>
            </w:r>
            <w:r w:rsidR="001F0D5D" w:rsidRPr="008C7A56">
              <w:rPr>
                <w:lang w:val="fr-FR"/>
              </w:rPr>
              <w:t> </w:t>
            </w:r>
            <w:r w:rsidRPr="008C7A56">
              <w:rPr>
                <w:lang w:val="fr-FR"/>
              </w:rPr>
              <w:t>300</w:t>
            </w:r>
            <w:r w:rsidR="001F0D5D" w:rsidRPr="008C7A56">
              <w:rPr>
                <w:lang w:val="fr-FR"/>
              </w:rPr>
              <w:t xml:space="preserve"> CHF</w:t>
            </w:r>
          </w:p>
        </w:tc>
      </w:tr>
      <w:tr w:rsidR="0008473C" w:rsidRPr="008C7A56" w:rsidTr="0027200B">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6123A7" w:rsidP="00081953">
            <w:pPr>
              <w:spacing w:before="120" w:after="120" w:line="240" w:lineRule="auto"/>
              <w:rPr>
                <w:b/>
                <w:lang w:val="fr-FR"/>
              </w:rPr>
            </w:pPr>
            <w:r w:rsidRPr="008C7A56">
              <w:rPr>
                <w:b/>
                <w:lang w:val="fr-FR"/>
              </w:rPr>
              <w:t>19 au 22 janvier 2016</w:t>
            </w:r>
          </w:p>
        </w:tc>
        <w:tc>
          <w:tcPr>
            <w:tcW w:w="25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Cambridge (</w:t>
            </w:r>
            <w:r w:rsidR="006123A7" w:rsidRPr="008C7A56">
              <w:rPr>
                <w:lang w:val="fr-FR"/>
              </w:rPr>
              <w:t>Royaume</w:t>
            </w:r>
            <w:r w:rsidR="006123A7" w:rsidRPr="008C7A56">
              <w:rPr>
                <w:lang w:val="fr-FR"/>
              </w:rPr>
              <w:noBreakHyphen/>
              <w:t>Uni</w:t>
            </w:r>
            <w:r w:rsidRPr="008C7A56">
              <w:rPr>
                <w:lang w:val="fr-FR"/>
              </w:rPr>
              <w:t xml:space="preserve">) </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1F0D5D" w:rsidP="0019412B">
            <w:pPr>
              <w:spacing w:before="120" w:after="120" w:line="240" w:lineRule="auto"/>
              <w:rPr>
                <w:lang w:val="fr-FR"/>
              </w:rPr>
            </w:pPr>
            <w:r w:rsidRPr="008C7A56">
              <w:rPr>
                <w:lang w:val="fr-FR"/>
              </w:rPr>
              <w:t xml:space="preserve">Première réunion du Groupe d’étude de l’UICN sur « d’autres mesures de conservation efficaces basées sur les sites » </w:t>
            </w:r>
            <w:r w:rsidR="0008473C" w:rsidRPr="008C7A56">
              <w:rPr>
                <w:lang w:val="fr-FR"/>
              </w:rPr>
              <w:t>(OECM)</w:t>
            </w:r>
            <w:r w:rsidRPr="008C7A56">
              <w:rPr>
                <w:lang w:val="fr-FR"/>
              </w:rPr>
              <w:t> </w:t>
            </w:r>
            <w:r w:rsidR="0008473C" w:rsidRPr="008C7A56">
              <w:rPr>
                <w:lang w:val="fr-FR"/>
              </w:rPr>
              <w:t xml:space="preserve">: </w:t>
            </w:r>
            <w:r w:rsidRPr="008C7A56">
              <w:rPr>
                <w:lang w:val="fr-FR"/>
              </w:rPr>
              <w:t xml:space="preserve">Le but est d’aider à préparer les questions centrales et les domaines à examiner avant de fournir des orientations à la CDB sur l’interprétation et l’application des OECM. L’importance des OECM a été </w:t>
            </w:r>
            <w:r w:rsidR="0019412B" w:rsidRPr="008C7A56">
              <w:rPr>
                <w:lang w:val="fr-FR"/>
              </w:rPr>
              <w:t>rappelée à la Convention de Ramsar</w:t>
            </w:r>
            <w:r w:rsidRPr="008C7A56">
              <w:rPr>
                <w:lang w:val="fr-FR"/>
              </w:rPr>
              <w:t xml:space="preserve"> car les Sites Ramsar ne remplissent pas toujours la définition d’une aire protégée selon l’UICN.</w:t>
            </w:r>
            <w:r w:rsidR="0008473C" w:rsidRPr="008C7A56">
              <w:rPr>
                <w:lang w:val="fr-FR"/>
              </w:rPr>
              <w:t xml:space="preserve"> </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400</w:t>
            </w:r>
            <w:r w:rsidR="001F0D5D" w:rsidRPr="008C7A56">
              <w:rPr>
                <w:lang w:val="fr-FR"/>
              </w:rPr>
              <w:t xml:space="preserve"> CHF</w:t>
            </w:r>
          </w:p>
        </w:tc>
      </w:tr>
      <w:tr w:rsidR="0008473C" w:rsidRPr="008C7A56" w:rsidTr="0027200B">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6123A7" w:rsidP="00081953">
            <w:pPr>
              <w:spacing w:before="120" w:after="120" w:line="240" w:lineRule="auto"/>
              <w:rPr>
                <w:b/>
                <w:lang w:val="fr-FR"/>
              </w:rPr>
            </w:pPr>
            <w:r w:rsidRPr="008C7A56">
              <w:rPr>
                <w:b/>
                <w:lang w:val="fr-FR"/>
              </w:rPr>
              <w:lastRenderedPageBreak/>
              <w:t xml:space="preserve">30 janvier au 5 février 2016 </w:t>
            </w:r>
          </w:p>
        </w:tc>
        <w:tc>
          <w:tcPr>
            <w:tcW w:w="25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Pokhara (</w:t>
            </w:r>
            <w:r w:rsidR="006123A7" w:rsidRPr="008C7A56">
              <w:rPr>
                <w:lang w:val="fr-FR"/>
              </w:rPr>
              <w:t>Népal</w:t>
            </w:r>
            <w:r w:rsidRPr="008C7A56">
              <w:rPr>
                <w:lang w:val="fr-FR"/>
              </w:rPr>
              <w:t>)</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1F0D5D" w:rsidP="0019412B">
            <w:pPr>
              <w:spacing w:before="120" w:after="120" w:line="240" w:lineRule="auto"/>
              <w:rPr>
                <w:lang w:val="fr-FR"/>
              </w:rPr>
            </w:pPr>
            <w:r w:rsidRPr="008C7A56">
              <w:rPr>
                <w:lang w:val="fr-FR"/>
              </w:rPr>
              <w:t>Célébrations de la JMZ</w:t>
            </w:r>
            <w:r w:rsidR="0008473C" w:rsidRPr="008C7A56">
              <w:rPr>
                <w:lang w:val="fr-FR"/>
              </w:rPr>
              <w:t xml:space="preserve"> 2016</w:t>
            </w:r>
            <w:r w:rsidRPr="008C7A56">
              <w:rPr>
                <w:lang w:val="fr-FR"/>
              </w:rPr>
              <w:t> </w:t>
            </w:r>
            <w:r w:rsidR="0008473C" w:rsidRPr="008C7A56">
              <w:rPr>
                <w:lang w:val="fr-FR"/>
              </w:rPr>
              <w:t>: C</w:t>
            </w:r>
            <w:r w:rsidRPr="008C7A56">
              <w:rPr>
                <w:lang w:val="fr-FR"/>
              </w:rPr>
              <w:t xml:space="preserve">élébration de l’inscription du Site Ramsar du groupe de lacs de la vallée de </w:t>
            </w:r>
            <w:r w:rsidR="0008473C" w:rsidRPr="008C7A56">
              <w:rPr>
                <w:lang w:val="fr-FR"/>
              </w:rPr>
              <w:t xml:space="preserve">Pokhara </w:t>
            </w:r>
            <w:r w:rsidRPr="008C7A56">
              <w:rPr>
                <w:lang w:val="fr-FR"/>
              </w:rPr>
              <w:t xml:space="preserve">et réunion avec le </w:t>
            </w:r>
            <w:r w:rsidR="0019412B" w:rsidRPr="008C7A56">
              <w:rPr>
                <w:spacing w:val="-2"/>
                <w:lang w:val="fr-FR"/>
              </w:rPr>
              <w:t>Centre international de mise en valeur intégrée des montagnes</w:t>
            </w:r>
            <w:r w:rsidRPr="008C7A56">
              <w:rPr>
                <w:lang w:val="fr-FR"/>
              </w:rPr>
              <w:t xml:space="preserve"> (ICIMOD) concernant la coopération aux zones humides dans la région </w:t>
            </w:r>
            <w:r w:rsidR="0008473C" w:rsidRPr="008C7A56">
              <w:rPr>
                <w:lang w:val="fr-FR"/>
              </w:rPr>
              <w:t>Hindu Kush-Himalaya.</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1</w:t>
            </w:r>
            <w:r w:rsidR="001F0D5D" w:rsidRPr="008C7A56">
              <w:rPr>
                <w:lang w:val="fr-FR"/>
              </w:rPr>
              <w:t> </w:t>
            </w:r>
            <w:r w:rsidRPr="008C7A56">
              <w:rPr>
                <w:lang w:val="fr-FR"/>
              </w:rPr>
              <w:t>300</w:t>
            </w:r>
            <w:r w:rsidR="001F0D5D" w:rsidRPr="008C7A56">
              <w:rPr>
                <w:lang w:val="fr-FR"/>
              </w:rPr>
              <w:t xml:space="preserve"> CHF</w:t>
            </w:r>
          </w:p>
        </w:tc>
      </w:tr>
      <w:tr w:rsidR="0008473C" w:rsidRPr="001E2235" w:rsidTr="0027200B">
        <w:tc>
          <w:tcPr>
            <w:tcW w:w="1417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rsidR="0008473C" w:rsidRPr="008C7A56" w:rsidRDefault="0008473C" w:rsidP="00081953">
            <w:pPr>
              <w:spacing w:before="120" w:after="120" w:line="240" w:lineRule="auto"/>
              <w:rPr>
                <w:b/>
                <w:lang w:val="fr-FR"/>
              </w:rPr>
            </w:pPr>
            <w:r w:rsidRPr="008C7A56">
              <w:rPr>
                <w:b/>
                <w:lang w:val="fr-FR"/>
              </w:rPr>
              <w:t xml:space="preserve">Tobias Salathe, </w:t>
            </w:r>
            <w:r w:rsidR="001F0D5D" w:rsidRPr="008C7A56">
              <w:rPr>
                <w:b/>
                <w:lang w:val="fr-FR"/>
              </w:rPr>
              <w:t>Conseiller principal</w:t>
            </w:r>
            <w:r w:rsidRPr="008C7A56">
              <w:rPr>
                <w:b/>
                <w:lang w:val="fr-FR"/>
              </w:rPr>
              <w:t>, Europe</w:t>
            </w:r>
          </w:p>
        </w:tc>
      </w:tr>
      <w:tr w:rsidR="0008473C" w:rsidRPr="008C7A56" w:rsidTr="0027200B">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6123A7" w:rsidP="00081953">
            <w:pPr>
              <w:spacing w:before="120" w:after="120" w:line="240" w:lineRule="auto"/>
              <w:rPr>
                <w:b/>
                <w:lang w:val="fr-FR"/>
              </w:rPr>
            </w:pPr>
            <w:r w:rsidRPr="008C7A56">
              <w:rPr>
                <w:b/>
                <w:lang w:val="fr-FR"/>
              </w:rPr>
              <w:t>1</w:t>
            </w:r>
            <w:r w:rsidRPr="008C7A56">
              <w:rPr>
                <w:b/>
                <w:vertAlign w:val="superscript"/>
                <w:lang w:val="fr-FR"/>
              </w:rPr>
              <w:t>er</w:t>
            </w:r>
            <w:r w:rsidRPr="008C7A56">
              <w:rPr>
                <w:b/>
                <w:lang w:val="fr-FR"/>
              </w:rPr>
              <w:t xml:space="preserve"> et </w:t>
            </w:r>
            <w:r w:rsidR="0008473C" w:rsidRPr="008C7A56">
              <w:rPr>
                <w:b/>
                <w:lang w:val="fr-FR"/>
              </w:rPr>
              <w:t>2</w:t>
            </w:r>
            <w:r w:rsidRPr="008C7A56">
              <w:rPr>
                <w:b/>
                <w:lang w:val="fr-FR"/>
              </w:rPr>
              <w:t> décembre</w:t>
            </w:r>
            <w:r w:rsidR="0008473C" w:rsidRPr="008C7A56">
              <w:rPr>
                <w:b/>
                <w:lang w:val="fr-FR"/>
              </w:rPr>
              <w:t xml:space="preserve"> 2015</w:t>
            </w:r>
          </w:p>
        </w:tc>
        <w:tc>
          <w:tcPr>
            <w:tcW w:w="25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Paris, COP21</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Participat</w:t>
            </w:r>
            <w:r w:rsidR="001F0D5D" w:rsidRPr="008C7A56">
              <w:rPr>
                <w:lang w:val="fr-FR"/>
              </w:rPr>
              <w:t xml:space="preserve">ion à deux activités parallèles sur les tourbières </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795</w:t>
            </w:r>
            <w:r w:rsidR="001F0D5D" w:rsidRPr="008C7A56">
              <w:rPr>
                <w:lang w:val="fr-FR"/>
              </w:rPr>
              <w:t xml:space="preserve"> CHF</w:t>
            </w:r>
            <w:r w:rsidRPr="008C7A56">
              <w:rPr>
                <w:lang w:val="fr-FR"/>
              </w:rPr>
              <w:t xml:space="preserve"> </w:t>
            </w:r>
          </w:p>
        </w:tc>
      </w:tr>
      <w:tr w:rsidR="0008473C" w:rsidRPr="008C7A56" w:rsidTr="0027200B">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b/>
                <w:lang w:val="fr-FR"/>
              </w:rPr>
            </w:pPr>
            <w:r w:rsidRPr="008C7A56">
              <w:rPr>
                <w:b/>
                <w:lang w:val="fr-FR"/>
              </w:rPr>
              <w:t>1</w:t>
            </w:r>
            <w:r w:rsidR="006123A7" w:rsidRPr="008C7A56">
              <w:rPr>
                <w:b/>
                <w:lang w:val="fr-FR"/>
              </w:rPr>
              <w:t xml:space="preserve"> au </w:t>
            </w:r>
            <w:r w:rsidRPr="008C7A56">
              <w:rPr>
                <w:b/>
                <w:lang w:val="fr-FR"/>
              </w:rPr>
              <w:t>3</w:t>
            </w:r>
            <w:r w:rsidR="006123A7" w:rsidRPr="008C7A56">
              <w:rPr>
                <w:b/>
                <w:lang w:val="fr-FR"/>
              </w:rPr>
              <w:t xml:space="preserve"> février</w:t>
            </w:r>
            <w:r w:rsidRPr="008C7A56">
              <w:rPr>
                <w:b/>
                <w:lang w:val="fr-FR"/>
              </w:rPr>
              <w:t xml:space="preserve"> 2016</w:t>
            </w:r>
          </w:p>
        </w:tc>
        <w:tc>
          <w:tcPr>
            <w:tcW w:w="25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Brest, France</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Participat</w:t>
            </w:r>
            <w:r w:rsidR="001F0D5D" w:rsidRPr="008C7A56">
              <w:rPr>
                <w:lang w:val="fr-FR"/>
              </w:rPr>
              <w:t>ion au lancement national de la JMZ en France</w:t>
            </w:r>
            <w:r w:rsidRPr="008C7A56">
              <w:rPr>
                <w:lang w:val="fr-FR"/>
              </w:rPr>
              <w:t xml:space="preserve"> </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691</w:t>
            </w:r>
            <w:r w:rsidR="001F0D5D" w:rsidRPr="008C7A56">
              <w:rPr>
                <w:lang w:val="fr-FR"/>
              </w:rPr>
              <w:t xml:space="preserve"> CHF</w:t>
            </w:r>
          </w:p>
        </w:tc>
      </w:tr>
      <w:tr w:rsidR="0008473C" w:rsidRPr="008C7A56" w:rsidTr="0027200B">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b/>
                <w:lang w:val="fr-FR"/>
              </w:rPr>
            </w:pPr>
            <w:r w:rsidRPr="008C7A56">
              <w:rPr>
                <w:b/>
                <w:lang w:val="fr-FR"/>
              </w:rPr>
              <w:t>7</w:t>
            </w:r>
            <w:r w:rsidR="006123A7" w:rsidRPr="008C7A56">
              <w:rPr>
                <w:b/>
                <w:lang w:val="fr-FR"/>
              </w:rPr>
              <w:t xml:space="preserve"> au </w:t>
            </w:r>
            <w:r w:rsidRPr="008C7A56">
              <w:rPr>
                <w:b/>
                <w:lang w:val="fr-FR"/>
              </w:rPr>
              <w:t>12</w:t>
            </w:r>
            <w:r w:rsidR="006123A7" w:rsidRPr="008C7A56">
              <w:rPr>
                <w:b/>
                <w:lang w:val="fr-FR"/>
              </w:rPr>
              <w:t> février</w:t>
            </w:r>
            <w:r w:rsidRPr="008C7A56">
              <w:rPr>
                <w:b/>
                <w:lang w:val="fr-FR"/>
              </w:rPr>
              <w:t xml:space="preserve"> 2016</w:t>
            </w:r>
          </w:p>
        </w:tc>
        <w:tc>
          <w:tcPr>
            <w:tcW w:w="25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Paris</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Participat</w:t>
            </w:r>
            <w:r w:rsidR="001F0D5D" w:rsidRPr="008C7A56">
              <w:rPr>
                <w:lang w:val="fr-FR"/>
              </w:rPr>
              <w:t xml:space="preserve">ion à la réunion de gouvernance de </w:t>
            </w:r>
            <w:r w:rsidRPr="008C7A56">
              <w:rPr>
                <w:lang w:val="fr-FR"/>
              </w:rPr>
              <w:t xml:space="preserve">MedWet/Com12 </w:t>
            </w:r>
            <w:r w:rsidR="001F0D5D" w:rsidRPr="008C7A56">
              <w:rPr>
                <w:lang w:val="fr-FR"/>
              </w:rPr>
              <w:t xml:space="preserve">de l’Initiative pour les zones humides méditerranéennes </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8C7A56" w:rsidRDefault="0008473C" w:rsidP="00081953">
            <w:pPr>
              <w:spacing w:before="120" w:after="120" w:line="240" w:lineRule="auto"/>
              <w:rPr>
                <w:lang w:val="fr-FR"/>
              </w:rPr>
            </w:pPr>
            <w:r w:rsidRPr="008C7A56">
              <w:rPr>
                <w:lang w:val="fr-FR"/>
              </w:rPr>
              <w:t>931</w:t>
            </w:r>
            <w:r w:rsidR="001F0D5D" w:rsidRPr="008C7A56">
              <w:rPr>
                <w:lang w:val="fr-FR"/>
              </w:rPr>
              <w:t xml:space="preserve"> CHF</w:t>
            </w:r>
          </w:p>
        </w:tc>
      </w:tr>
    </w:tbl>
    <w:p w:rsidR="00B57F72" w:rsidRPr="008C7A56" w:rsidRDefault="00B57F72" w:rsidP="00081953">
      <w:pPr>
        <w:spacing w:after="0" w:line="240" w:lineRule="auto"/>
        <w:rPr>
          <w:rFonts w:ascii="Calibri" w:hAnsi="Calibri" w:cs="Calibri"/>
          <w:b/>
          <w:lang w:val="fr-FR"/>
        </w:rPr>
      </w:pPr>
    </w:p>
    <w:sectPr w:rsidR="00B57F72" w:rsidRPr="008C7A56" w:rsidSect="00337B8E">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0D9" w:rsidRDefault="006200D9" w:rsidP="00383692">
      <w:pPr>
        <w:spacing w:after="0" w:line="240" w:lineRule="auto"/>
      </w:pPr>
      <w:r>
        <w:separator/>
      </w:r>
    </w:p>
  </w:endnote>
  <w:endnote w:type="continuationSeparator" w:id="0">
    <w:p w:rsidR="006200D9" w:rsidRDefault="006200D9" w:rsidP="0038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423876270"/>
      <w:docPartObj>
        <w:docPartGallery w:val="Page Numbers (Bottom of Page)"/>
        <w:docPartUnique/>
      </w:docPartObj>
    </w:sdtPr>
    <w:sdtEndPr/>
    <w:sdtContent>
      <w:p w:rsidR="007B26C2" w:rsidRPr="00EE7940" w:rsidRDefault="007B26C2" w:rsidP="00FB4C67">
        <w:pPr>
          <w:pStyle w:val="Footer"/>
          <w:tabs>
            <w:tab w:val="clear" w:pos="9026"/>
            <w:tab w:val="right" w:pos="9072"/>
          </w:tabs>
          <w:rPr>
            <w:rFonts w:asciiTheme="minorHAnsi" w:hAnsiTheme="minorHAnsi"/>
            <w:sz w:val="20"/>
            <w:szCs w:val="20"/>
          </w:rPr>
        </w:pPr>
        <w:r w:rsidRPr="00FB4C67">
          <w:rPr>
            <w:rFonts w:asciiTheme="minorHAnsi" w:hAnsiTheme="minorHAnsi"/>
            <w:sz w:val="20"/>
            <w:szCs w:val="20"/>
          </w:rPr>
          <w:t>SC52-04</w:t>
        </w:r>
        <w:r w:rsidR="0066215D">
          <w:rPr>
            <w:rFonts w:asciiTheme="minorHAnsi" w:hAnsiTheme="minorHAnsi"/>
            <w:sz w:val="20"/>
            <w:szCs w:val="20"/>
          </w:rPr>
          <w:t xml:space="preserve"> Rev.2</w:t>
        </w:r>
        <w:r w:rsidRPr="00FB4C67">
          <w:rPr>
            <w:rFonts w:asciiTheme="minorHAnsi" w:hAnsiTheme="minorHAnsi"/>
            <w:sz w:val="20"/>
            <w:szCs w:val="20"/>
          </w:rPr>
          <w:tab/>
        </w:r>
        <w:r w:rsidRPr="00FB4C67">
          <w:rPr>
            <w:rFonts w:asciiTheme="minorHAnsi" w:hAnsiTheme="minorHAnsi"/>
            <w:sz w:val="20"/>
            <w:szCs w:val="20"/>
          </w:rPr>
          <w:tab/>
        </w:r>
        <w:r w:rsidRPr="00FB4C67">
          <w:rPr>
            <w:rFonts w:asciiTheme="minorHAnsi" w:hAnsiTheme="minorHAnsi"/>
            <w:sz w:val="20"/>
            <w:szCs w:val="20"/>
          </w:rPr>
          <w:fldChar w:fldCharType="begin"/>
        </w:r>
        <w:r w:rsidRPr="00FB4C67">
          <w:rPr>
            <w:rFonts w:asciiTheme="minorHAnsi" w:hAnsiTheme="minorHAnsi"/>
            <w:sz w:val="20"/>
            <w:szCs w:val="20"/>
          </w:rPr>
          <w:instrText xml:space="preserve"> PAGE   \* MERGEFORMAT </w:instrText>
        </w:r>
        <w:r w:rsidRPr="00FB4C67">
          <w:rPr>
            <w:rFonts w:asciiTheme="minorHAnsi" w:hAnsiTheme="minorHAnsi"/>
            <w:sz w:val="20"/>
            <w:szCs w:val="20"/>
          </w:rPr>
          <w:fldChar w:fldCharType="separate"/>
        </w:r>
        <w:r w:rsidR="000A63DC">
          <w:rPr>
            <w:rFonts w:asciiTheme="minorHAnsi" w:hAnsiTheme="minorHAnsi"/>
            <w:noProof/>
            <w:sz w:val="20"/>
            <w:szCs w:val="20"/>
          </w:rPr>
          <w:t>7</w:t>
        </w:r>
        <w:r w:rsidRPr="00FB4C67">
          <w:rPr>
            <w:rFonts w:asciiTheme="minorHAnsi" w:hAnsiTheme="minorHAnsi"/>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81257298"/>
      <w:docPartObj>
        <w:docPartGallery w:val="Page Numbers (Bottom of Page)"/>
        <w:docPartUnique/>
      </w:docPartObj>
    </w:sdtPr>
    <w:sdtEndPr/>
    <w:sdtContent>
      <w:p w:rsidR="007B26C2" w:rsidRPr="00EE7940" w:rsidRDefault="007B26C2" w:rsidP="00FB4C67">
        <w:pPr>
          <w:pStyle w:val="Footer"/>
          <w:tabs>
            <w:tab w:val="clear" w:pos="9026"/>
            <w:tab w:val="right" w:pos="13892"/>
          </w:tabs>
          <w:rPr>
            <w:rFonts w:asciiTheme="minorHAnsi" w:hAnsiTheme="minorHAnsi"/>
            <w:sz w:val="20"/>
            <w:szCs w:val="20"/>
          </w:rPr>
        </w:pPr>
        <w:r w:rsidRPr="00FB4C67">
          <w:rPr>
            <w:rFonts w:asciiTheme="minorHAnsi" w:hAnsiTheme="minorHAnsi"/>
            <w:sz w:val="20"/>
            <w:szCs w:val="20"/>
          </w:rPr>
          <w:t>SC52-04</w:t>
        </w:r>
        <w:r w:rsidR="007F438F">
          <w:rPr>
            <w:rFonts w:asciiTheme="minorHAnsi" w:hAnsiTheme="minorHAnsi"/>
            <w:sz w:val="20"/>
            <w:szCs w:val="20"/>
          </w:rPr>
          <w:t xml:space="preserve"> Rev.2</w:t>
        </w:r>
        <w:r w:rsidRPr="00FB4C67">
          <w:rPr>
            <w:rFonts w:asciiTheme="minorHAnsi" w:hAnsiTheme="minorHAnsi"/>
            <w:sz w:val="20"/>
            <w:szCs w:val="20"/>
          </w:rPr>
          <w:tab/>
        </w:r>
        <w:r w:rsidRPr="00FB4C67">
          <w:rPr>
            <w:rFonts w:asciiTheme="minorHAnsi" w:hAnsiTheme="minorHAnsi"/>
            <w:sz w:val="20"/>
            <w:szCs w:val="20"/>
          </w:rPr>
          <w:tab/>
        </w:r>
        <w:r w:rsidRPr="00FB4C67">
          <w:rPr>
            <w:rFonts w:asciiTheme="minorHAnsi" w:hAnsiTheme="minorHAnsi"/>
            <w:sz w:val="20"/>
            <w:szCs w:val="20"/>
          </w:rPr>
          <w:fldChar w:fldCharType="begin"/>
        </w:r>
        <w:r w:rsidRPr="00FB4C67">
          <w:rPr>
            <w:rFonts w:asciiTheme="minorHAnsi" w:hAnsiTheme="minorHAnsi"/>
            <w:sz w:val="20"/>
            <w:szCs w:val="20"/>
          </w:rPr>
          <w:instrText xml:space="preserve"> PAGE   \* MERGEFORMAT </w:instrText>
        </w:r>
        <w:r w:rsidRPr="00FB4C67">
          <w:rPr>
            <w:rFonts w:asciiTheme="minorHAnsi" w:hAnsiTheme="minorHAnsi"/>
            <w:sz w:val="20"/>
            <w:szCs w:val="20"/>
          </w:rPr>
          <w:fldChar w:fldCharType="separate"/>
        </w:r>
        <w:r w:rsidR="000A63DC">
          <w:rPr>
            <w:rFonts w:asciiTheme="minorHAnsi" w:hAnsiTheme="minorHAnsi"/>
            <w:noProof/>
            <w:sz w:val="20"/>
            <w:szCs w:val="20"/>
          </w:rPr>
          <w:t>14</w:t>
        </w:r>
        <w:r w:rsidRPr="00FB4C67">
          <w:rPr>
            <w:rFonts w:asciiTheme="minorHAnsi" w:hAnsiTheme="minorHAnsi"/>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894731437"/>
      <w:docPartObj>
        <w:docPartGallery w:val="Page Numbers (Bottom of Page)"/>
        <w:docPartUnique/>
      </w:docPartObj>
    </w:sdtPr>
    <w:sdtEndPr/>
    <w:sdtContent>
      <w:p w:rsidR="007B26C2" w:rsidRPr="00FB4C67" w:rsidRDefault="007B26C2" w:rsidP="00FB4C67">
        <w:pPr>
          <w:pStyle w:val="Footer"/>
          <w:tabs>
            <w:tab w:val="clear" w:pos="9026"/>
            <w:tab w:val="right" w:pos="13892"/>
          </w:tabs>
          <w:rPr>
            <w:rFonts w:asciiTheme="minorHAnsi" w:hAnsiTheme="minorHAnsi"/>
            <w:sz w:val="20"/>
            <w:szCs w:val="20"/>
          </w:rPr>
        </w:pPr>
        <w:r w:rsidRPr="00FB4C67">
          <w:rPr>
            <w:rFonts w:asciiTheme="minorHAnsi" w:hAnsiTheme="minorHAnsi"/>
            <w:sz w:val="20"/>
            <w:szCs w:val="20"/>
          </w:rPr>
          <w:t>SC52-04</w:t>
        </w:r>
        <w:r w:rsidR="007F438F">
          <w:rPr>
            <w:rFonts w:asciiTheme="minorHAnsi" w:hAnsiTheme="minorHAnsi"/>
            <w:sz w:val="20"/>
            <w:szCs w:val="20"/>
          </w:rPr>
          <w:t xml:space="preserve"> Rev.2</w:t>
        </w:r>
        <w:r w:rsidRPr="00FB4C67">
          <w:rPr>
            <w:rFonts w:asciiTheme="minorHAnsi" w:hAnsiTheme="minorHAnsi"/>
            <w:sz w:val="20"/>
            <w:szCs w:val="20"/>
          </w:rPr>
          <w:tab/>
        </w:r>
        <w:r w:rsidRPr="00FB4C67">
          <w:rPr>
            <w:rFonts w:asciiTheme="minorHAnsi" w:hAnsiTheme="minorHAnsi"/>
            <w:sz w:val="20"/>
            <w:szCs w:val="20"/>
          </w:rPr>
          <w:tab/>
        </w:r>
        <w:r w:rsidRPr="00FB4C67">
          <w:rPr>
            <w:rFonts w:asciiTheme="minorHAnsi" w:hAnsiTheme="minorHAnsi"/>
            <w:sz w:val="20"/>
            <w:szCs w:val="20"/>
          </w:rPr>
          <w:fldChar w:fldCharType="begin"/>
        </w:r>
        <w:r w:rsidRPr="00FB4C67">
          <w:rPr>
            <w:rFonts w:asciiTheme="minorHAnsi" w:hAnsiTheme="minorHAnsi"/>
            <w:sz w:val="20"/>
            <w:szCs w:val="20"/>
          </w:rPr>
          <w:instrText xml:space="preserve"> PAGE   \* MERGEFORMAT </w:instrText>
        </w:r>
        <w:r w:rsidRPr="00FB4C67">
          <w:rPr>
            <w:rFonts w:asciiTheme="minorHAnsi" w:hAnsiTheme="minorHAnsi"/>
            <w:sz w:val="20"/>
            <w:szCs w:val="20"/>
          </w:rPr>
          <w:fldChar w:fldCharType="separate"/>
        </w:r>
        <w:r w:rsidR="000A63DC">
          <w:rPr>
            <w:rFonts w:asciiTheme="minorHAnsi" w:hAnsiTheme="minorHAnsi"/>
            <w:noProof/>
            <w:sz w:val="20"/>
            <w:szCs w:val="20"/>
          </w:rPr>
          <w:t>8</w:t>
        </w:r>
        <w:r w:rsidRPr="00FB4C67">
          <w:rPr>
            <w:rFonts w:asciiTheme="minorHAnsi" w:hAnsiTheme="minorHAns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0D9" w:rsidRDefault="006200D9" w:rsidP="00383692">
      <w:pPr>
        <w:spacing w:after="0" w:line="240" w:lineRule="auto"/>
      </w:pPr>
      <w:r>
        <w:separator/>
      </w:r>
    </w:p>
  </w:footnote>
  <w:footnote w:type="continuationSeparator" w:id="0">
    <w:p w:rsidR="006200D9" w:rsidRDefault="006200D9" w:rsidP="003836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BB4"/>
    <w:multiLevelType w:val="hybridMultilevel"/>
    <w:tmpl w:val="ECD8DC7A"/>
    <w:lvl w:ilvl="0" w:tplc="12A6D5D2">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6AB0D3A"/>
    <w:multiLevelType w:val="multilevel"/>
    <w:tmpl w:val="3EC6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76EFA"/>
    <w:multiLevelType w:val="hybridMultilevel"/>
    <w:tmpl w:val="87D0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E150F"/>
    <w:multiLevelType w:val="hybridMultilevel"/>
    <w:tmpl w:val="67CC6B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1B79D3"/>
    <w:multiLevelType w:val="hybridMultilevel"/>
    <w:tmpl w:val="B9EE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275C6F"/>
    <w:multiLevelType w:val="hybridMultilevel"/>
    <w:tmpl w:val="7A78E1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0C426F50"/>
    <w:multiLevelType w:val="hybridMultilevel"/>
    <w:tmpl w:val="C1FA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AA28F8"/>
    <w:multiLevelType w:val="hybridMultilevel"/>
    <w:tmpl w:val="B756F5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A14014"/>
    <w:multiLevelType w:val="hybridMultilevel"/>
    <w:tmpl w:val="06D4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481106"/>
    <w:multiLevelType w:val="hybridMultilevel"/>
    <w:tmpl w:val="974E06B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4517A3"/>
    <w:multiLevelType w:val="multilevel"/>
    <w:tmpl w:val="1C2E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BB3F8F"/>
    <w:multiLevelType w:val="hybridMultilevel"/>
    <w:tmpl w:val="1D2C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nsid w:val="28310CCA"/>
    <w:multiLevelType w:val="hybridMultilevel"/>
    <w:tmpl w:val="F59A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251868"/>
    <w:multiLevelType w:val="hybridMultilevel"/>
    <w:tmpl w:val="0D4C8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AD4236"/>
    <w:multiLevelType w:val="hybridMultilevel"/>
    <w:tmpl w:val="A3FC913C"/>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EC711D7"/>
    <w:multiLevelType w:val="hybridMultilevel"/>
    <w:tmpl w:val="3826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C2122A"/>
    <w:multiLevelType w:val="hybridMultilevel"/>
    <w:tmpl w:val="2E5C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8E1013"/>
    <w:multiLevelType w:val="hybridMultilevel"/>
    <w:tmpl w:val="C65C2B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nsid w:val="438C155A"/>
    <w:multiLevelType w:val="hybridMultilevel"/>
    <w:tmpl w:val="90DC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602D89"/>
    <w:multiLevelType w:val="hybridMultilevel"/>
    <w:tmpl w:val="582AA2F2"/>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nsid w:val="49E05D88"/>
    <w:multiLevelType w:val="hybridMultilevel"/>
    <w:tmpl w:val="0A5C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903D38"/>
    <w:multiLevelType w:val="multilevel"/>
    <w:tmpl w:val="9F52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5D1127"/>
    <w:multiLevelType w:val="hybridMultilevel"/>
    <w:tmpl w:val="83A84084"/>
    <w:lvl w:ilvl="0" w:tplc="0C0C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nsid w:val="57AE080F"/>
    <w:multiLevelType w:val="hybridMultilevel"/>
    <w:tmpl w:val="B05E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935269"/>
    <w:multiLevelType w:val="hybridMultilevel"/>
    <w:tmpl w:val="BB02CB1A"/>
    <w:lvl w:ilvl="0" w:tplc="BB681FD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BF2134"/>
    <w:multiLevelType w:val="hybridMultilevel"/>
    <w:tmpl w:val="F774E60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F48290D"/>
    <w:multiLevelType w:val="hybridMultilevel"/>
    <w:tmpl w:val="2D0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9C6C42"/>
    <w:multiLevelType w:val="hybridMultilevel"/>
    <w:tmpl w:val="54AEFF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B32848"/>
    <w:multiLevelType w:val="hybridMultilevel"/>
    <w:tmpl w:val="392489D4"/>
    <w:lvl w:ilvl="0" w:tplc="12A6D5D2">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9C20933"/>
    <w:multiLevelType w:val="hybridMultilevel"/>
    <w:tmpl w:val="54A817C4"/>
    <w:lvl w:ilvl="0" w:tplc="BB681F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935187"/>
    <w:multiLevelType w:val="hybridMultilevel"/>
    <w:tmpl w:val="8BD8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8D372D"/>
    <w:multiLevelType w:val="hybridMultilevel"/>
    <w:tmpl w:val="D5D27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8B34226"/>
    <w:multiLevelType w:val="hybridMultilevel"/>
    <w:tmpl w:val="B00AF3AA"/>
    <w:lvl w:ilvl="0" w:tplc="08090019">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3">
    <w:nsid w:val="7B9B3018"/>
    <w:multiLevelType w:val="multilevel"/>
    <w:tmpl w:val="8B78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D2756B"/>
    <w:multiLevelType w:val="hybridMultilevel"/>
    <w:tmpl w:val="C596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32"/>
  </w:num>
  <w:num w:numId="4">
    <w:abstractNumId w:val="3"/>
  </w:num>
  <w:num w:numId="5">
    <w:abstractNumId w:val="26"/>
  </w:num>
  <w:num w:numId="6">
    <w:abstractNumId w:val="31"/>
  </w:num>
  <w:num w:numId="7">
    <w:abstractNumId w:val="4"/>
  </w:num>
  <w:num w:numId="8">
    <w:abstractNumId w:val="1"/>
  </w:num>
  <w:num w:numId="9">
    <w:abstractNumId w:val="15"/>
  </w:num>
  <w:num w:numId="10">
    <w:abstractNumId w:val="16"/>
  </w:num>
  <w:num w:numId="11">
    <w:abstractNumId w:val="6"/>
  </w:num>
  <w:num w:numId="12">
    <w:abstractNumId w:val="20"/>
  </w:num>
  <w:num w:numId="13">
    <w:abstractNumId w:val="18"/>
  </w:num>
  <w:num w:numId="14">
    <w:abstractNumId w:val="11"/>
  </w:num>
  <w:num w:numId="15">
    <w:abstractNumId w:val="8"/>
  </w:num>
  <w:num w:numId="16">
    <w:abstractNumId w:val="23"/>
  </w:num>
  <w:num w:numId="17">
    <w:abstractNumId w:val="2"/>
  </w:num>
  <w:num w:numId="18">
    <w:abstractNumId w:val="34"/>
  </w:num>
  <w:num w:numId="19">
    <w:abstractNumId w:val="25"/>
  </w:num>
  <w:num w:numId="20">
    <w:abstractNumId w:val="29"/>
  </w:num>
  <w:num w:numId="21">
    <w:abstractNumId w:val="24"/>
  </w:num>
  <w:num w:numId="22">
    <w:abstractNumId w:val="19"/>
  </w:num>
  <w:num w:numId="23">
    <w:abstractNumId w:val="14"/>
  </w:num>
  <w:num w:numId="24">
    <w:abstractNumId w:val="12"/>
  </w:num>
  <w:num w:numId="25">
    <w:abstractNumId w:val="27"/>
  </w:num>
  <w:num w:numId="26">
    <w:abstractNumId w:val="5"/>
  </w:num>
  <w:num w:numId="27">
    <w:abstractNumId w:val="33"/>
  </w:num>
  <w:num w:numId="28">
    <w:abstractNumId w:val="21"/>
  </w:num>
  <w:num w:numId="29">
    <w:abstractNumId w:val="10"/>
  </w:num>
  <w:num w:numId="30">
    <w:abstractNumId w:val="17"/>
  </w:num>
  <w:num w:numId="31">
    <w:abstractNumId w:val="28"/>
  </w:num>
  <w:num w:numId="32">
    <w:abstractNumId w:val="0"/>
  </w:num>
  <w:num w:numId="33">
    <w:abstractNumId w:val="22"/>
  </w:num>
  <w:num w:numId="34">
    <w:abstractNumId w:val="9"/>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Formattin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3C"/>
    <w:rsid w:val="00004F1A"/>
    <w:rsid w:val="00014433"/>
    <w:rsid w:val="0002346C"/>
    <w:rsid w:val="00060C89"/>
    <w:rsid w:val="0006301F"/>
    <w:rsid w:val="00076AAB"/>
    <w:rsid w:val="00081953"/>
    <w:rsid w:val="00081EBB"/>
    <w:rsid w:val="0008473C"/>
    <w:rsid w:val="000A63DC"/>
    <w:rsid w:val="000A712D"/>
    <w:rsid w:val="000B612E"/>
    <w:rsid w:val="000C6528"/>
    <w:rsid w:val="000D1C4D"/>
    <w:rsid w:val="000D3807"/>
    <w:rsid w:val="000E7289"/>
    <w:rsid w:val="000F365F"/>
    <w:rsid w:val="001006BC"/>
    <w:rsid w:val="00102E4B"/>
    <w:rsid w:val="00105F57"/>
    <w:rsid w:val="00110964"/>
    <w:rsid w:val="0012096C"/>
    <w:rsid w:val="00135003"/>
    <w:rsid w:val="001527D9"/>
    <w:rsid w:val="00163752"/>
    <w:rsid w:val="001662E9"/>
    <w:rsid w:val="00177DFD"/>
    <w:rsid w:val="0019027C"/>
    <w:rsid w:val="00193687"/>
    <w:rsid w:val="0019412B"/>
    <w:rsid w:val="00194FEA"/>
    <w:rsid w:val="001A5666"/>
    <w:rsid w:val="001B2219"/>
    <w:rsid w:val="001D5972"/>
    <w:rsid w:val="001E2235"/>
    <w:rsid w:val="001F0D5D"/>
    <w:rsid w:val="002102D0"/>
    <w:rsid w:val="00211B51"/>
    <w:rsid w:val="0021237D"/>
    <w:rsid w:val="00221A66"/>
    <w:rsid w:val="00264AF5"/>
    <w:rsid w:val="0027200B"/>
    <w:rsid w:val="002734CE"/>
    <w:rsid w:val="002807CF"/>
    <w:rsid w:val="0029353C"/>
    <w:rsid w:val="00295556"/>
    <w:rsid w:val="002A0365"/>
    <w:rsid w:val="002A1739"/>
    <w:rsid w:val="002A2B75"/>
    <w:rsid w:val="002C20F7"/>
    <w:rsid w:val="002C23A0"/>
    <w:rsid w:val="00327D59"/>
    <w:rsid w:val="00337B8E"/>
    <w:rsid w:val="003507B8"/>
    <w:rsid w:val="00383692"/>
    <w:rsid w:val="003B529A"/>
    <w:rsid w:val="003C75F6"/>
    <w:rsid w:val="003D1B6E"/>
    <w:rsid w:val="003D1DE3"/>
    <w:rsid w:val="003D1F56"/>
    <w:rsid w:val="003D200B"/>
    <w:rsid w:val="003F21D2"/>
    <w:rsid w:val="00402A02"/>
    <w:rsid w:val="00413374"/>
    <w:rsid w:val="00417846"/>
    <w:rsid w:val="00457A5A"/>
    <w:rsid w:val="00460143"/>
    <w:rsid w:val="0046477B"/>
    <w:rsid w:val="004661E6"/>
    <w:rsid w:val="004954A1"/>
    <w:rsid w:val="00497C4C"/>
    <w:rsid w:val="004A2F4D"/>
    <w:rsid w:val="004D7CF4"/>
    <w:rsid w:val="00503792"/>
    <w:rsid w:val="00505ADE"/>
    <w:rsid w:val="00507719"/>
    <w:rsid w:val="00521719"/>
    <w:rsid w:val="00521725"/>
    <w:rsid w:val="00523BA4"/>
    <w:rsid w:val="0052719A"/>
    <w:rsid w:val="00527783"/>
    <w:rsid w:val="005506A4"/>
    <w:rsid w:val="00557643"/>
    <w:rsid w:val="00557D21"/>
    <w:rsid w:val="00577296"/>
    <w:rsid w:val="005B0CBD"/>
    <w:rsid w:val="005F5222"/>
    <w:rsid w:val="0060529C"/>
    <w:rsid w:val="006123A7"/>
    <w:rsid w:val="006200D9"/>
    <w:rsid w:val="006208A6"/>
    <w:rsid w:val="00623E8A"/>
    <w:rsid w:val="00636075"/>
    <w:rsid w:val="00644D66"/>
    <w:rsid w:val="0066215D"/>
    <w:rsid w:val="0066640D"/>
    <w:rsid w:val="00670A3E"/>
    <w:rsid w:val="00676698"/>
    <w:rsid w:val="00682FD4"/>
    <w:rsid w:val="006A2C12"/>
    <w:rsid w:val="00716C24"/>
    <w:rsid w:val="00727101"/>
    <w:rsid w:val="0074721D"/>
    <w:rsid w:val="00755CA4"/>
    <w:rsid w:val="00785FA9"/>
    <w:rsid w:val="00786C53"/>
    <w:rsid w:val="007B26C2"/>
    <w:rsid w:val="007E3774"/>
    <w:rsid w:val="007F3BB8"/>
    <w:rsid w:val="007F438F"/>
    <w:rsid w:val="00802282"/>
    <w:rsid w:val="0080541F"/>
    <w:rsid w:val="008554D4"/>
    <w:rsid w:val="00861F80"/>
    <w:rsid w:val="0087453A"/>
    <w:rsid w:val="00881951"/>
    <w:rsid w:val="0088674F"/>
    <w:rsid w:val="00887D2F"/>
    <w:rsid w:val="008918A9"/>
    <w:rsid w:val="008A5191"/>
    <w:rsid w:val="008B3F8C"/>
    <w:rsid w:val="008C7A56"/>
    <w:rsid w:val="008D5216"/>
    <w:rsid w:val="008E7FD0"/>
    <w:rsid w:val="0090354D"/>
    <w:rsid w:val="009050AD"/>
    <w:rsid w:val="00946F3A"/>
    <w:rsid w:val="00960F63"/>
    <w:rsid w:val="00996A7E"/>
    <w:rsid w:val="009B6476"/>
    <w:rsid w:val="009C09EE"/>
    <w:rsid w:val="009D7CB0"/>
    <w:rsid w:val="00A1054E"/>
    <w:rsid w:val="00A13987"/>
    <w:rsid w:val="00A57D93"/>
    <w:rsid w:val="00A6249C"/>
    <w:rsid w:val="00A74DAC"/>
    <w:rsid w:val="00AA015D"/>
    <w:rsid w:val="00AA6047"/>
    <w:rsid w:val="00AC3CE5"/>
    <w:rsid w:val="00B07D73"/>
    <w:rsid w:val="00B1087F"/>
    <w:rsid w:val="00B44B7B"/>
    <w:rsid w:val="00B46D79"/>
    <w:rsid w:val="00B47A61"/>
    <w:rsid w:val="00B57F72"/>
    <w:rsid w:val="00B82196"/>
    <w:rsid w:val="00B83432"/>
    <w:rsid w:val="00BB0CE9"/>
    <w:rsid w:val="00BB4F06"/>
    <w:rsid w:val="00BD61BC"/>
    <w:rsid w:val="00BE6581"/>
    <w:rsid w:val="00BF7DE7"/>
    <w:rsid w:val="00C12BE1"/>
    <w:rsid w:val="00C90DDD"/>
    <w:rsid w:val="00CC6456"/>
    <w:rsid w:val="00CE1816"/>
    <w:rsid w:val="00CE29F2"/>
    <w:rsid w:val="00D00300"/>
    <w:rsid w:val="00D44C20"/>
    <w:rsid w:val="00D52393"/>
    <w:rsid w:val="00D52E1E"/>
    <w:rsid w:val="00D53878"/>
    <w:rsid w:val="00D541EF"/>
    <w:rsid w:val="00D57670"/>
    <w:rsid w:val="00D60A2F"/>
    <w:rsid w:val="00D669B9"/>
    <w:rsid w:val="00D77A81"/>
    <w:rsid w:val="00D83D95"/>
    <w:rsid w:val="00D911D5"/>
    <w:rsid w:val="00DA6A6C"/>
    <w:rsid w:val="00DA72D1"/>
    <w:rsid w:val="00DB00A4"/>
    <w:rsid w:val="00DC0C1E"/>
    <w:rsid w:val="00DD025C"/>
    <w:rsid w:val="00DD4B1C"/>
    <w:rsid w:val="00DF650D"/>
    <w:rsid w:val="00E023A1"/>
    <w:rsid w:val="00E25902"/>
    <w:rsid w:val="00E26F78"/>
    <w:rsid w:val="00E30647"/>
    <w:rsid w:val="00E36EB6"/>
    <w:rsid w:val="00E435C9"/>
    <w:rsid w:val="00E62DB0"/>
    <w:rsid w:val="00E67057"/>
    <w:rsid w:val="00E67B17"/>
    <w:rsid w:val="00E85767"/>
    <w:rsid w:val="00EC04D2"/>
    <w:rsid w:val="00EC180F"/>
    <w:rsid w:val="00EE7940"/>
    <w:rsid w:val="00EF7348"/>
    <w:rsid w:val="00F03B73"/>
    <w:rsid w:val="00F07A1A"/>
    <w:rsid w:val="00F11363"/>
    <w:rsid w:val="00F2326A"/>
    <w:rsid w:val="00F32212"/>
    <w:rsid w:val="00F552FD"/>
    <w:rsid w:val="00F750A6"/>
    <w:rsid w:val="00FB4C67"/>
    <w:rsid w:val="00FC717B"/>
    <w:rsid w:val="00FE6016"/>
    <w:rsid w:val="00FF5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paragraph" w:styleId="Heading2">
    <w:name w:val="heading 2"/>
    <w:basedOn w:val="Normal"/>
    <w:link w:val="Heading2Char"/>
    <w:uiPriority w:val="9"/>
    <w:qFormat/>
    <w:rsid w:val="00D60A2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table" w:styleId="TableGrid">
    <w:name w:val="Table Grid"/>
    <w:basedOn w:val="TableNormal"/>
    <w:uiPriority w:val="59"/>
    <w:rsid w:val="008A5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60A2F"/>
    <w:rPr>
      <w:rFonts w:ascii="Times New Roman" w:eastAsia="Times New Roman" w:hAnsi="Times New Roman" w:cs="Times New Roman"/>
      <w:b/>
      <w:bCs/>
      <w:sz w:val="36"/>
      <w:szCs w:val="36"/>
      <w:lang w:eastAsia="en-GB"/>
    </w:rPr>
  </w:style>
  <w:style w:type="character" w:customStyle="1" w:styleId="field-content">
    <w:name w:val="field-content"/>
    <w:basedOn w:val="DefaultParagraphFont"/>
    <w:rsid w:val="00D60A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paragraph" w:styleId="Heading2">
    <w:name w:val="heading 2"/>
    <w:basedOn w:val="Normal"/>
    <w:link w:val="Heading2Char"/>
    <w:uiPriority w:val="9"/>
    <w:qFormat/>
    <w:rsid w:val="00D60A2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table" w:styleId="TableGrid">
    <w:name w:val="Table Grid"/>
    <w:basedOn w:val="TableNormal"/>
    <w:uiPriority w:val="59"/>
    <w:rsid w:val="008A5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60A2F"/>
    <w:rPr>
      <w:rFonts w:ascii="Times New Roman" w:eastAsia="Times New Roman" w:hAnsi="Times New Roman" w:cs="Times New Roman"/>
      <w:b/>
      <w:bCs/>
      <w:sz w:val="36"/>
      <w:szCs w:val="36"/>
      <w:lang w:eastAsia="en-GB"/>
    </w:rPr>
  </w:style>
  <w:style w:type="character" w:customStyle="1" w:styleId="field-content">
    <w:name w:val="field-content"/>
    <w:basedOn w:val="DefaultParagraphFont"/>
    <w:rsid w:val="00D60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77686">
      <w:bodyDiv w:val="1"/>
      <w:marLeft w:val="0"/>
      <w:marRight w:val="0"/>
      <w:marTop w:val="0"/>
      <w:marBottom w:val="0"/>
      <w:divBdr>
        <w:top w:val="none" w:sz="0" w:space="0" w:color="auto"/>
        <w:left w:val="none" w:sz="0" w:space="0" w:color="auto"/>
        <w:bottom w:val="none" w:sz="0" w:space="0" w:color="auto"/>
        <w:right w:val="none" w:sz="0" w:space="0" w:color="auto"/>
      </w:divBdr>
      <w:divsChild>
        <w:div w:id="719943864">
          <w:marLeft w:val="0"/>
          <w:marRight w:val="0"/>
          <w:marTop w:val="0"/>
          <w:marBottom w:val="0"/>
          <w:divBdr>
            <w:top w:val="none" w:sz="0" w:space="0" w:color="auto"/>
            <w:left w:val="none" w:sz="0" w:space="0" w:color="auto"/>
            <w:bottom w:val="none" w:sz="0" w:space="0" w:color="auto"/>
            <w:right w:val="none" w:sz="0" w:space="0" w:color="auto"/>
          </w:divBdr>
        </w:div>
        <w:div w:id="1592351615">
          <w:marLeft w:val="0"/>
          <w:marRight w:val="0"/>
          <w:marTop w:val="0"/>
          <w:marBottom w:val="0"/>
          <w:divBdr>
            <w:top w:val="none" w:sz="0" w:space="0" w:color="auto"/>
            <w:left w:val="none" w:sz="0" w:space="0" w:color="auto"/>
            <w:bottom w:val="none" w:sz="0" w:space="0" w:color="auto"/>
            <w:right w:val="none" w:sz="0" w:space="0" w:color="auto"/>
          </w:divBdr>
        </w:div>
        <w:div w:id="722212578">
          <w:marLeft w:val="0"/>
          <w:marRight w:val="0"/>
          <w:marTop w:val="0"/>
          <w:marBottom w:val="0"/>
          <w:divBdr>
            <w:top w:val="none" w:sz="0" w:space="0" w:color="auto"/>
            <w:left w:val="none" w:sz="0" w:space="0" w:color="auto"/>
            <w:bottom w:val="none" w:sz="0" w:space="0" w:color="auto"/>
            <w:right w:val="none" w:sz="0" w:space="0" w:color="auto"/>
          </w:divBdr>
        </w:div>
        <w:div w:id="1083188734">
          <w:marLeft w:val="0"/>
          <w:marRight w:val="0"/>
          <w:marTop w:val="0"/>
          <w:marBottom w:val="0"/>
          <w:divBdr>
            <w:top w:val="none" w:sz="0" w:space="0" w:color="auto"/>
            <w:left w:val="none" w:sz="0" w:space="0" w:color="auto"/>
            <w:bottom w:val="none" w:sz="0" w:space="0" w:color="auto"/>
            <w:right w:val="none" w:sz="0" w:space="0" w:color="auto"/>
          </w:divBdr>
          <w:divsChild>
            <w:div w:id="1935943077">
              <w:marLeft w:val="0"/>
              <w:marRight w:val="0"/>
              <w:marTop w:val="0"/>
              <w:marBottom w:val="0"/>
              <w:divBdr>
                <w:top w:val="none" w:sz="0" w:space="0" w:color="auto"/>
                <w:left w:val="none" w:sz="0" w:space="0" w:color="auto"/>
                <w:bottom w:val="none" w:sz="0" w:space="0" w:color="auto"/>
                <w:right w:val="none" w:sz="0" w:space="0" w:color="auto"/>
              </w:divBdr>
              <w:divsChild>
                <w:div w:id="1174955671">
                  <w:marLeft w:val="0"/>
                  <w:marRight w:val="0"/>
                  <w:marTop w:val="0"/>
                  <w:marBottom w:val="0"/>
                  <w:divBdr>
                    <w:top w:val="none" w:sz="0" w:space="0" w:color="auto"/>
                    <w:left w:val="none" w:sz="0" w:space="0" w:color="auto"/>
                    <w:bottom w:val="none" w:sz="0" w:space="0" w:color="auto"/>
                    <w:right w:val="none" w:sz="0" w:space="0" w:color="auto"/>
                  </w:divBdr>
                  <w:divsChild>
                    <w:div w:id="842472065">
                      <w:marLeft w:val="0"/>
                      <w:marRight w:val="0"/>
                      <w:marTop w:val="0"/>
                      <w:marBottom w:val="0"/>
                      <w:divBdr>
                        <w:top w:val="none" w:sz="0" w:space="0" w:color="auto"/>
                        <w:left w:val="none" w:sz="0" w:space="0" w:color="auto"/>
                        <w:bottom w:val="none" w:sz="0" w:space="0" w:color="auto"/>
                        <w:right w:val="none" w:sz="0" w:space="0" w:color="auto"/>
                      </w:divBdr>
                    </w:div>
                  </w:divsChild>
                </w:div>
                <w:div w:id="268392686">
                  <w:marLeft w:val="0"/>
                  <w:marRight w:val="0"/>
                  <w:marTop w:val="0"/>
                  <w:marBottom w:val="0"/>
                  <w:divBdr>
                    <w:top w:val="none" w:sz="0" w:space="0" w:color="auto"/>
                    <w:left w:val="none" w:sz="0" w:space="0" w:color="auto"/>
                    <w:bottom w:val="none" w:sz="0" w:space="0" w:color="auto"/>
                    <w:right w:val="none" w:sz="0" w:space="0" w:color="auto"/>
                  </w:divBdr>
                  <w:divsChild>
                    <w:div w:id="1384255182">
                      <w:marLeft w:val="0"/>
                      <w:marRight w:val="0"/>
                      <w:marTop w:val="0"/>
                      <w:marBottom w:val="0"/>
                      <w:divBdr>
                        <w:top w:val="none" w:sz="0" w:space="0" w:color="auto"/>
                        <w:left w:val="none" w:sz="0" w:space="0" w:color="auto"/>
                        <w:bottom w:val="none" w:sz="0" w:space="0" w:color="auto"/>
                        <w:right w:val="none" w:sz="0" w:space="0" w:color="auto"/>
                      </w:divBdr>
                    </w:div>
                  </w:divsChild>
                </w:div>
                <w:div w:id="2015836984">
                  <w:marLeft w:val="0"/>
                  <w:marRight w:val="0"/>
                  <w:marTop w:val="0"/>
                  <w:marBottom w:val="0"/>
                  <w:divBdr>
                    <w:top w:val="none" w:sz="0" w:space="0" w:color="auto"/>
                    <w:left w:val="none" w:sz="0" w:space="0" w:color="auto"/>
                    <w:bottom w:val="none" w:sz="0" w:space="0" w:color="auto"/>
                    <w:right w:val="none" w:sz="0" w:space="0" w:color="auto"/>
                  </w:divBdr>
                  <w:divsChild>
                    <w:div w:id="11923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91268">
          <w:marLeft w:val="0"/>
          <w:marRight w:val="0"/>
          <w:marTop w:val="0"/>
          <w:marBottom w:val="0"/>
          <w:divBdr>
            <w:top w:val="none" w:sz="0" w:space="0" w:color="auto"/>
            <w:left w:val="none" w:sz="0" w:space="0" w:color="auto"/>
            <w:bottom w:val="none" w:sz="0" w:space="0" w:color="auto"/>
            <w:right w:val="none" w:sz="0" w:space="0" w:color="auto"/>
          </w:divBdr>
        </w:div>
        <w:div w:id="201596317">
          <w:marLeft w:val="0"/>
          <w:marRight w:val="0"/>
          <w:marTop w:val="0"/>
          <w:marBottom w:val="0"/>
          <w:divBdr>
            <w:top w:val="none" w:sz="0" w:space="0" w:color="auto"/>
            <w:left w:val="none" w:sz="0" w:space="0" w:color="auto"/>
            <w:bottom w:val="none" w:sz="0" w:space="0" w:color="auto"/>
            <w:right w:val="none" w:sz="0" w:space="0" w:color="auto"/>
          </w:divBdr>
        </w:div>
        <w:div w:id="687949978">
          <w:marLeft w:val="0"/>
          <w:marRight w:val="0"/>
          <w:marTop w:val="0"/>
          <w:marBottom w:val="0"/>
          <w:divBdr>
            <w:top w:val="none" w:sz="0" w:space="0" w:color="auto"/>
            <w:left w:val="none" w:sz="0" w:space="0" w:color="auto"/>
            <w:bottom w:val="none" w:sz="0" w:space="0" w:color="auto"/>
            <w:right w:val="none" w:sz="0" w:space="0" w:color="auto"/>
          </w:divBdr>
        </w:div>
        <w:div w:id="1079868868">
          <w:marLeft w:val="0"/>
          <w:marRight w:val="0"/>
          <w:marTop w:val="0"/>
          <w:marBottom w:val="0"/>
          <w:divBdr>
            <w:top w:val="none" w:sz="0" w:space="0" w:color="auto"/>
            <w:left w:val="none" w:sz="0" w:space="0" w:color="auto"/>
            <w:bottom w:val="none" w:sz="0" w:space="0" w:color="auto"/>
            <w:right w:val="none" w:sz="0" w:space="0" w:color="auto"/>
          </w:divBdr>
          <w:divsChild>
            <w:div w:id="1695958042">
              <w:marLeft w:val="0"/>
              <w:marRight w:val="0"/>
              <w:marTop w:val="0"/>
              <w:marBottom w:val="0"/>
              <w:divBdr>
                <w:top w:val="none" w:sz="0" w:space="0" w:color="auto"/>
                <w:left w:val="none" w:sz="0" w:space="0" w:color="auto"/>
                <w:bottom w:val="none" w:sz="0" w:space="0" w:color="auto"/>
                <w:right w:val="none" w:sz="0" w:space="0" w:color="auto"/>
              </w:divBdr>
              <w:divsChild>
                <w:div w:id="1551838114">
                  <w:marLeft w:val="0"/>
                  <w:marRight w:val="0"/>
                  <w:marTop w:val="0"/>
                  <w:marBottom w:val="0"/>
                  <w:divBdr>
                    <w:top w:val="none" w:sz="0" w:space="0" w:color="auto"/>
                    <w:left w:val="none" w:sz="0" w:space="0" w:color="auto"/>
                    <w:bottom w:val="none" w:sz="0" w:space="0" w:color="auto"/>
                    <w:right w:val="none" w:sz="0" w:space="0" w:color="auto"/>
                  </w:divBdr>
                  <w:divsChild>
                    <w:div w:id="401952776">
                      <w:marLeft w:val="0"/>
                      <w:marRight w:val="0"/>
                      <w:marTop w:val="0"/>
                      <w:marBottom w:val="0"/>
                      <w:divBdr>
                        <w:top w:val="none" w:sz="0" w:space="0" w:color="auto"/>
                        <w:left w:val="none" w:sz="0" w:space="0" w:color="auto"/>
                        <w:bottom w:val="none" w:sz="0" w:space="0" w:color="auto"/>
                        <w:right w:val="none" w:sz="0" w:space="0" w:color="auto"/>
                      </w:divBdr>
                    </w:div>
                  </w:divsChild>
                </w:div>
                <w:div w:id="1027948587">
                  <w:marLeft w:val="0"/>
                  <w:marRight w:val="0"/>
                  <w:marTop w:val="0"/>
                  <w:marBottom w:val="0"/>
                  <w:divBdr>
                    <w:top w:val="none" w:sz="0" w:space="0" w:color="auto"/>
                    <w:left w:val="none" w:sz="0" w:space="0" w:color="auto"/>
                    <w:bottom w:val="none" w:sz="0" w:space="0" w:color="auto"/>
                    <w:right w:val="none" w:sz="0" w:space="0" w:color="auto"/>
                  </w:divBdr>
                  <w:divsChild>
                    <w:div w:id="1908606501">
                      <w:marLeft w:val="0"/>
                      <w:marRight w:val="0"/>
                      <w:marTop w:val="0"/>
                      <w:marBottom w:val="0"/>
                      <w:divBdr>
                        <w:top w:val="none" w:sz="0" w:space="0" w:color="auto"/>
                        <w:left w:val="none" w:sz="0" w:space="0" w:color="auto"/>
                        <w:bottom w:val="none" w:sz="0" w:space="0" w:color="auto"/>
                        <w:right w:val="none" w:sz="0" w:space="0" w:color="auto"/>
                      </w:divBdr>
                    </w:div>
                  </w:divsChild>
                </w:div>
                <w:div w:id="569003903">
                  <w:marLeft w:val="0"/>
                  <w:marRight w:val="0"/>
                  <w:marTop w:val="0"/>
                  <w:marBottom w:val="0"/>
                  <w:divBdr>
                    <w:top w:val="none" w:sz="0" w:space="0" w:color="auto"/>
                    <w:left w:val="none" w:sz="0" w:space="0" w:color="auto"/>
                    <w:bottom w:val="none" w:sz="0" w:space="0" w:color="auto"/>
                    <w:right w:val="none" w:sz="0" w:space="0" w:color="auto"/>
                  </w:divBdr>
                  <w:divsChild>
                    <w:div w:id="12786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8693">
          <w:marLeft w:val="0"/>
          <w:marRight w:val="0"/>
          <w:marTop w:val="0"/>
          <w:marBottom w:val="0"/>
          <w:divBdr>
            <w:top w:val="none" w:sz="0" w:space="0" w:color="auto"/>
            <w:left w:val="none" w:sz="0" w:space="0" w:color="auto"/>
            <w:bottom w:val="none" w:sz="0" w:space="0" w:color="auto"/>
            <w:right w:val="none" w:sz="0" w:space="0" w:color="auto"/>
          </w:divBdr>
        </w:div>
        <w:div w:id="938025224">
          <w:marLeft w:val="0"/>
          <w:marRight w:val="0"/>
          <w:marTop w:val="0"/>
          <w:marBottom w:val="0"/>
          <w:divBdr>
            <w:top w:val="none" w:sz="0" w:space="0" w:color="auto"/>
            <w:left w:val="none" w:sz="0" w:space="0" w:color="auto"/>
            <w:bottom w:val="none" w:sz="0" w:space="0" w:color="auto"/>
            <w:right w:val="none" w:sz="0" w:space="0" w:color="auto"/>
          </w:divBdr>
        </w:div>
        <w:div w:id="1119833861">
          <w:marLeft w:val="0"/>
          <w:marRight w:val="0"/>
          <w:marTop w:val="0"/>
          <w:marBottom w:val="0"/>
          <w:divBdr>
            <w:top w:val="none" w:sz="0" w:space="0" w:color="auto"/>
            <w:left w:val="none" w:sz="0" w:space="0" w:color="auto"/>
            <w:bottom w:val="none" w:sz="0" w:space="0" w:color="auto"/>
            <w:right w:val="none" w:sz="0" w:space="0" w:color="auto"/>
          </w:divBdr>
        </w:div>
        <w:div w:id="1701663049">
          <w:marLeft w:val="0"/>
          <w:marRight w:val="0"/>
          <w:marTop w:val="0"/>
          <w:marBottom w:val="0"/>
          <w:divBdr>
            <w:top w:val="none" w:sz="0" w:space="0" w:color="auto"/>
            <w:left w:val="none" w:sz="0" w:space="0" w:color="auto"/>
            <w:bottom w:val="none" w:sz="0" w:space="0" w:color="auto"/>
            <w:right w:val="none" w:sz="0" w:space="0" w:color="auto"/>
          </w:divBdr>
          <w:divsChild>
            <w:div w:id="1104109370">
              <w:marLeft w:val="0"/>
              <w:marRight w:val="0"/>
              <w:marTop w:val="0"/>
              <w:marBottom w:val="0"/>
              <w:divBdr>
                <w:top w:val="none" w:sz="0" w:space="0" w:color="auto"/>
                <w:left w:val="none" w:sz="0" w:space="0" w:color="auto"/>
                <w:bottom w:val="none" w:sz="0" w:space="0" w:color="auto"/>
                <w:right w:val="none" w:sz="0" w:space="0" w:color="auto"/>
              </w:divBdr>
              <w:divsChild>
                <w:div w:id="1395007143">
                  <w:marLeft w:val="0"/>
                  <w:marRight w:val="0"/>
                  <w:marTop w:val="0"/>
                  <w:marBottom w:val="0"/>
                  <w:divBdr>
                    <w:top w:val="none" w:sz="0" w:space="0" w:color="auto"/>
                    <w:left w:val="none" w:sz="0" w:space="0" w:color="auto"/>
                    <w:bottom w:val="none" w:sz="0" w:space="0" w:color="auto"/>
                    <w:right w:val="none" w:sz="0" w:space="0" w:color="auto"/>
                  </w:divBdr>
                  <w:divsChild>
                    <w:div w:id="784156399">
                      <w:marLeft w:val="0"/>
                      <w:marRight w:val="0"/>
                      <w:marTop w:val="0"/>
                      <w:marBottom w:val="0"/>
                      <w:divBdr>
                        <w:top w:val="none" w:sz="0" w:space="0" w:color="auto"/>
                        <w:left w:val="none" w:sz="0" w:space="0" w:color="auto"/>
                        <w:bottom w:val="none" w:sz="0" w:space="0" w:color="auto"/>
                        <w:right w:val="none" w:sz="0" w:space="0" w:color="auto"/>
                      </w:divBdr>
                    </w:div>
                  </w:divsChild>
                </w:div>
                <w:div w:id="558398141">
                  <w:marLeft w:val="0"/>
                  <w:marRight w:val="0"/>
                  <w:marTop w:val="0"/>
                  <w:marBottom w:val="0"/>
                  <w:divBdr>
                    <w:top w:val="none" w:sz="0" w:space="0" w:color="auto"/>
                    <w:left w:val="none" w:sz="0" w:space="0" w:color="auto"/>
                    <w:bottom w:val="none" w:sz="0" w:space="0" w:color="auto"/>
                    <w:right w:val="none" w:sz="0" w:space="0" w:color="auto"/>
                  </w:divBdr>
                  <w:divsChild>
                    <w:div w:id="114258109">
                      <w:marLeft w:val="0"/>
                      <w:marRight w:val="0"/>
                      <w:marTop w:val="0"/>
                      <w:marBottom w:val="0"/>
                      <w:divBdr>
                        <w:top w:val="none" w:sz="0" w:space="0" w:color="auto"/>
                        <w:left w:val="none" w:sz="0" w:space="0" w:color="auto"/>
                        <w:bottom w:val="none" w:sz="0" w:space="0" w:color="auto"/>
                        <w:right w:val="none" w:sz="0" w:space="0" w:color="auto"/>
                      </w:divBdr>
                    </w:div>
                  </w:divsChild>
                </w:div>
                <w:div w:id="728695223">
                  <w:marLeft w:val="0"/>
                  <w:marRight w:val="0"/>
                  <w:marTop w:val="0"/>
                  <w:marBottom w:val="0"/>
                  <w:divBdr>
                    <w:top w:val="none" w:sz="0" w:space="0" w:color="auto"/>
                    <w:left w:val="none" w:sz="0" w:space="0" w:color="auto"/>
                    <w:bottom w:val="none" w:sz="0" w:space="0" w:color="auto"/>
                    <w:right w:val="none" w:sz="0" w:space="0" w:color="auto"/>
                  </w:divBdr>
                  <w:divsChild>
                    <w:div w:id="14389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56025">
          <w:marLeft w:val="0"/>
          <w:marRight w:val="0"/>
          <w:marTop w:val="0"/>
          <w:marBottom w:val="0"/>
          <w:divBdr>
            <w:top w:val="none" w:sz="0" w:space="0" w:color="auto"/>
            <w:left w:val="none" w:sz="0" w:space="0" w:color="auto"/>
            <w:bottom w:val="none" w:sz="0" w:space="0" w:color="auto"/>
            <w:right w:val="none" w:sz="0" w:space="0" w:color="auto"/>
          </w:divBdr>
        </w:div>
        <w:div w:id="30157751">
          <w:marLeft w:val="0"/>
          <w:marRight w:val="0"/>
          <w:marTop w:val="0"/>
          <w:marBottom w:val="0"/>
          <w:divBdr>
            <w:top w:val="none" w:sz="0" w:space="0" w:color="auto"/>
            <w:left w:val="none" w:sz="0" w:space="0" w:color="auto"/>
            <w:bottom w:val="none" w:sz="0" w:space="0" w:color="auto"/>
            <w:right w:val="none" w:sz="0" w:space="0" w:color="auto"/>
          </w:divBdr>
        </w:div>
        <w:div w:id="829062482">
          <w:marLeft w:val="0"/>
          <w:marRight w:val="0"/>
          <w:marTop w:val="0"/>
          <w:marBottom w:val="0"/>
          <w:divBdr>
            <w:top w:val="none" w:sz="0" w:space="0" w:color="auto"/>
            <w:left w:val="none" w:sz="0" w:space="0" w:color="auto"/>
            <w:bottom w:val="none" w:sz="0" w:space="0" w:color="auto"/>
            <w:right w:val="none" w:sz="0" w:space="0" w:color="auto"/>
          </w:divBdr>
        </w:div>
      </w:divsChild>
    </w:div>
    <w:div w:id="901253019">
      <w:bodyDiv w:val="1"/>
      <w:marLeft w:val="0"/>
      <w:marRight w:val="0"/>
      <w:marTop w:val="0"/>
      <w:marBottom w:val="0"/>
      <w:divBdr>
        <w:top w:val="none" w:sz="0" w:space="0" w:color="auto"/>
        <w:left w:val="none" w:sz="0" w:space="0" w:color="auto"/>
        <w:bottom w:val="none" w:sz="0" w:space="0" w:color="auto"/>
        <w:right w:val="none" w:sz="0" w:space="0" w:color="auto"/>
      </w:divBdr>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 w:id="184420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7574E-0A5B-4411-AC91-70910874F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4684</Words>
  <Characters>26705</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31327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Ramsar\BriggsC</dc:creator>
  <cp:lastModifiedBy>Ramsar\JenningsE</cp:lastModifiedBy>
  <cp:revision>4</cp:revision>
  <cp:lastPrinted>2016-03-12T11:24:00Z</cp:lastPrinted>
  <dcterms:created xsi:type="dcterms:W3CDTF">2016-04-29T08:02:00Z</dcterms:created>
  <dcterms:modified xsi:type="dcterms:W3CDTF">2016-05-06T07:54:00Z</dcterms:modified>
</cp:coreProperties>
</file>