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3C" w:rsidRPr="00193687"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eastAsia="en-GB"/>
        </w:rPr>
      </w:pPr>
      <w:r w:rsidRPr="00193687">
        <w:rPr>
          <w:rFonts w:eastAsia="Times New Roman" w:cstheme="minorHAnsi"/>
          <w:bCs/>
          <w:sz w:val="24"/>
          <w:szCs w:val="20"/>
          <w:lang w:eastAsia="en-GB"/>
        </w:rPr>
        <w:t>CONVENTION ON WETLANDS (Ramsar, Iran, 1971)</w:t>
      </w:r>
    </w:p>
    <w:p w:rsidR="0029353C" w:rsidRPr="00193687"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eastAsia="en-GB"/>
        </w:rPr>
      </w:pPr>
      <w:r w:rsidRPr="00193687">
        <w:rPr>
          <w:rFonts w:eastAsia="Times New Roman" w:cstheme="minorHAnsi"/>
          <w:bCs/>
          <w:sz w:val="24"/>
          <w:szCs w:val="20"/>
          <w:lang w:eastAsia="en-GB"/>
        </w:rPr>
        <w:t>5</w:t>
      </w:r>
      <w:r w:rsidR="00FB4C67">
        <w:rPr>
          <w:rFonts w:eastAsia="Times New Roman" w:cstheme="minorHAnsi"/>
          <w:bCs/>
          <w:sz w:val="24"/>
          <w:szCs w:val="20"/>
          <w:lang w:eastAsia="en-GB"/>
        </w:rPr>
        <w:t>2</w:t>
      </w:r>
      <w:r w:rsidR="00FB4C67" w:rsidRPr="00FB4C67">
        <w:rPr>
          <w:rFonts w:eastAsia="Times New Roman" w:cstheme="minorHAnsi"/>
          <w:bCs/>
          <w:sz w:val="24"/>
          <w:szCs w:val="20"/>
          <w:vertAlign w:val="superscript"/>
          <w:lang w:eastAsia="en-GB"/>
        </w:rPr>
        <w:t>nd</w:t>
      </w:r>
      <w:r w:rsidR="00FB4C67">
        <w:rPr>
          <w:rFonts w:eastAsia="Times New Roman" w:cstheme="minorHAnsi"/>
          <w:bCs/>
          <w:sz w:val="24"/>
          <w:szCs w:val="20"/>
          <w:lang w:eastAsia="en-GB"/>
        </w:rPr>
        <w:t xml:space="preserve"> </w:t>
      </w:r>
      <w:r w:rsidRPr="00193687">
        <w:rPr>
          <w:rFonts w:eastAsia="Times New Roman" w:cstheme="minorHAnsi"/>
          <w:bCs/>
          <w:sz w:val="24"/>
          <w:szCs w:val="20"/>
          <w:lang w:eastAsia="en-GB"/>
        </w:rPr>
        <w:t>Meeting of the Standing Committee</w:t>
      </w:r>
    </w:p>
    <w:p w:rsidR="0029353C" w:rsidRPr="00193687"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eastAsia="en-GB"/>
        </w:rPr>
      </w:pPr>
      <w:r w:rsidRPr="00193687">
        <w:rPr>
          <w:rFonts w:eastAsia="Times New Roman" w:cstheme="minorHAnsi"/>
          <w:bCs/>
          <w:sz w:val="24"/>
          <w:szCs w:val="20"/>
          <w:lang w:eastAsia="en-GB"/>
        </w:rPr>
        <w:t xml:space="preserve">Gland, Switzerland, </w:t>
      </w:r>
      <w:r w:rsidR="00FB4C67">
        <w:rPr>
          <w:rFonts w:eastAsia="Times New Roman" w:cstheme="minorHAnsi"/>
          <w:bCs/>
          <w:sz w:val="24"/>
          <w:szCs w:val="20"/>
          <w:lang w:eastAsia="en-GB"/>
        </w:rPr>
        <w:t>1</w:t>
      </w:r>
      <w:r w:rsidR="00193687">
        <w:rPr>
          <w:rFonts w:eastAsia="Times New Roman" w:cstheme="minorHAnsi"/>
          <w:bCs/>
          <w:sz w:val="24"/>
          <w:szCs w:val="20"/>
          <w:lang w:eastAsia="en-GB"/>
        </w:rPr>
        <w:t>3-</w:t>
      </w:r>
      <w:r w:rsidR="00FB4C67">
        <w:rPr>
          <w:rFonts w:eastAsia="Times New Roman" w:cstheme="minorHAnsi"/>
          <w:bCs/>
          <w:sz w:val="24"/>
          <w:szCs w:val="20"/>
          <w:lang w:eastAsia="en-GB"/>
        </w:rPr>
        <w:t>1</w:t>
      </w:r>
      <w:r w:rsidR="00193687">
        <w:rPr>
          <w:rFonts w:eastAsia="Times New Roman" w:cstheme="minorHAnsi"/>
          <w:bCs/>
          <w:sz w:val="24"/>
          <w:szCs w:val="20"/>
          <w:lang w:eastAsia="en-GB"/>
        </w:rPr>
        <w:t xml:space="preserve">7 </w:t>
      </w:r>
      <w:r w:rsidR="003D1B6E">
        <w:rPr>
          <w:rFonts w:eastAsia="Times New Roman" w:cstheme="minorHAnsi"/>
          <w:bCs/>
          <w:sz w:val="24"/>
          <w:szCs w:val="20"/>
          <w:lang w:eastAsia="en-GB"/>
        </w:rPr>
        <w:t>June</w:t>
      </w:r>
      <w:r w:rsidR="00193687">
        <w:rPr>
          <w:rFonts w:eastAsia="Times New Roman" w:cstheme="minorHAnsi"/>
          <w:bCs/>
          <w:sz w:val="24"/>
          <w:szCs w:val="20"/>
          <w:lang w:eastAsia="en-GB"/>
        </w:rPr>
        <w:t xml:space="preserve"> </w:t>
      </w:r>
      <w:r w:rsidRPr="00193687">
        <w:rPr>
          <w:rFonts w:eastAsia="Times New Roman" w:cstheme="minorHAnsi"/>
          <w:bCs/>
          <w:sz w:val="24"/>
          <w:szCs w:val="20"/>
          <w:lang w:eastAsia="en-GB"/>
        </w:rPr>
        <w:t>201</w:t>
      </w:r>
      <w:r w:rsidR="00FB4C67">
        <w:rPr>
          <w:rFonts w:eastAsia="Times New Roman" w:cstheme="minorHAnsi"/>
          <w:bCs/>
          <w:sz w:val="24"/>
          <w:szCs w:val="20"/>
          <w:lang w:eastAsia="en-GB"/>
        </w:rPr>
        <w:t>6</w:t>
      </w:r>
    </w:p>
    <w:p w:rsidR="0029353C" w:rsidRPr="00FB4C67" w:rsidRDefault="0029353C" w:rsidP="00505A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b/>
          <w:sz w:val="28"/>
          <w:szCs w:val="28"/>
        </w:rPr>
      </w:pPr>
    </w:p>
    <w:p w:rsidR="0029353C" w:rsidRPr="00FB4C67" w:rsidRDefault="00861F80" w:rsidP="00505ADE">
      <w:pPr>
        <w:spacing w:after="0" w:line="240" w:lineRule="auto"/>
        <w:jc w:val="right"/>
        <w:rPr>
          <w:b/>
          <w:sz w:val="28"/>
          <w:szCs w:val="28"/>
        </w:rPr>
      </w:pPr>
      <w:r w:rsidRPr="00FB4C67">
        <w:rPr>
          <w:b/>
          <w:sz w:val="28"/>
          <w:szCs w:val="28"/>
        </w:rPr>
        <w:t>SC52</w:t>
      </w:r>
      <w:r w:rsidR="0029353C" w:rsidRPr="00FB4C67">
        <w:rPr>
          <w:b/>
          <w:sz w:val="28"/>
          <w:szCs w:val="28"/>
        </w:rPr>
        <w:t>-</w:t>
      </w:r>
      <w:r w:rsidRPr="00FB4C67">
        <w:rPr>
          <w:b/>
          <w:sz w:val="28"/>
          <w:szCs w:val="28"/>
        </w:rPr>
        <w:t>04</w:t>
      </w:r>
      <w:r w:rsidR="00F06A5D">
        <w:rPr>
          <w:b/>
          <w:sz w:val="28"/>
          <w:szCs w:val="28"/>
        </w:rPr>
        <w:t xml:space="preserve"> Rev.</w:t>
      </w:r>
      <w:r w:rsidR="00D1668F">
        <w:rPr>
          <w:b/>
          <w:sz w:val="28"/>
          <w:szCs w:val="28"/>
        </w:rPr>
        <w:t>2</w:t>
      </w:r>
    </w:p>
    <w:p w:rsidR="0029353C" w:rsidRPr="00FB4C67" w:rsidRDefault="0029353C" w:rsidP="00505A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cs="Calibri"/>
          <w:b/>
          <w:sz w:val="28"/>
          <w:szCs w:val="28"/>
        </w:rPr>
      </w:pPr>
    </w:p>
    <w:p w:rsidR="0029353C" w:rsidRPr="00FB4C67" w:rsidRDefault="0029353C" w:rsidP="00505ADE">
      <w:pPr>
        <w:spacing w:after="0" w:line="240" w:lineRule="auto"/>
        <w:ind w:right="-568"/>
        <w:jc w:val="center"/>
        <w:rPr>
          <w:rFonts w:cs="Arial"/>
          <w:b/>
          <w:sz w:val="28"/>
          <w:szCs w:val="28"/>
        </w:rPr>
      </w:pPr>
      <w:r w:rsidRPr="00FB4C67">
        <w:rPr>
          <w:rFonts w:cs="Arial"/>
          <w:b/>
          <w:sz w:val="28"/>
          <w:szCs w:val="28"/>
        </w:rPr>
        <w:t xml:space="preserve">Report of the </w:t>
      </w:r>
      <w:r w:rsidR="00861F80" w:rsidRPr="00FB4C67">
        <w:rPr>
          <w:rFonts w:cs="Arial"/>
          <w:b/>
          <w:sz w:val="28"/>
          <w:szCs w:val="28"/>
        </w:rPr>
        <w:t xml:space="preserve">Acting </w:t>
      </w:r>
      <w:r w:rsidRPr="00FB4C67">
        <w:rPr>
          <w:rFonts w:cs="Arial"/>
          <w:b/>
          <w:sz w:val="28"/>
          <w:szCs w:val="28"/>
        </w:rPr>
        <w:t xml:space="preserve">Secretary General </w:t>
      </w:r>
    </w:p>
    <w:p w:rsidR="0029353C" w:rsidRPr="00FB4C67" w:rsidRDefault="0029353C" w:rsidP="00505A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sz w:val="28"/>
          <w:szCs w:val="28"/>
        </w:rPr>
      </w:pPr>
    </w:p>
    <w:p w:rsidR="0029353C" w:rsidRPr="003305EC" w:rsidRDefault="0029353C" w:rsidP="002935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Calibri" w:hAnsi="Calibri" w:cs="Calibri"/>
          <w:b/>
        </w:rPr>
      </w:pPr>
      <w:r>
        <w:rPr>
          <w:noProof/>
          <w:szCs w:val="20"/>
          <w:lang w:eastAsia="en-GB"/>
        </w:rPr>
        <mc:AlternateContent>
          <mc:Choice Requires="wps">
            <w:drawing>
              <wp:inline distT="0" distB="0" distL="0" distR="0" wp14:anchorId="54C97E96" wp14:editId="510A1922">
                <wp:extent cx="5842635" cy="1169581"/>
                <wp:effectExtent l="0" t="0" r="2476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169581"/>
                        </a:xfrm>
                        <a:prstGeom prst="rect">
                          <a:avLst/>
                        </a:prstGeom>
                        <a:solidFill>
                          <a:srgbClr val="FFFFFF"/>
                        </a:solidFill>
                        <a:ln w="9525">
                          <a:solidFill>
                            <a:srgbClr val="000000"/>
                          </a:solidFill>
                          <a:miter lim="800000"/>
                          <a:headEnd/>
                          <a:tailEnd/>
                        </a:ln>
                      </wps:spPr>
                      <wps:txbx>
                        <w:txbxContent>
                          <w:p w:rsidR="00B600F1" w:rsidRPr="002A080C" w:rsidRDefault="00B600F1" w:rsidP="0029353C">
                            <w:pPr>
                              <w:spacing w:after="0" w:line="240" w:lineRule="auto"/>
                              <w:rPr>
                                <w:rFonts w:ascii="Calibri" w:hAnsi="Calibri"/>
                                <w:b/>
                                <w:bCs/>
                              </w:rPr>
                            </w:pPr>
                            <w:r w:rsidRPr="002A080C">
                              <w:rPr>
                                <w:rFonts w:ascii="Calibri" w:hAnsi="Calibri"/>
                              </w:rPr>
                              <w:t xml:space="preserve"> </w:t>
                            </w:r>
                            <w:r w:rsidRPr="002A080C">
                              <w:rPr>
                                <w:rFonts w:ascii="Calibri" w:hAnsi="Calibri"/>
                                <w:b/>
                                <w:bCs/>
                              </w:rPr>
                              <w:t xml:space="preserve">Actions requested: </w:t>
                            </w:r>
                          </w:p>
                          <w:p w:rsidR="00B600F1" w:rsidRPr="00861F80" w:rsidRDefault="00B600F1" w:rsidP="00861F80">
                            <w:pPr>
                              <w:pStyle w:val="ListParagraph"/>
                              <w:numPr>
                                <w:ilvl w:val="0"/>
                                <w:numId w:val="1"/>
                              </w:numPr>
                              <w:spacing w:after="0" w:line="240" w:lineRule="auto"/>
                              <w:ind w:left="0"/>
                              <w:rPr>
                                <w:rFonts w:ascii="Calibri" w:hAnsi="Calibri" w:cs="Arial"/>
                              </w:rPr>
                            </w:pPr>
                            <w:r w:rsidRPr="0029353C">
                              <w:rPr>
                                <w:rFonts w:ascii="Calibri" w:eastAsia="Calibri" w:hAnsi="Calibri"/>
                              </w:rPr>
                              <w:t>The Standing Committee is invited to</w:t>
                            </w:r>
                            <w:r>
                              <w:rPr>
                                <w:rFonts w:ascii="Calibri" w:eastAsia="Calibri" w:hAnsi="Calibri"/>
                              </w:rPr>
                              <w:t xml:space="preserve"> </w:t>
                            </w:r>
                            <w:r w:rsidRPr="00861F80">
                              <w:rPr>
                                <w:rFonts w:ascii="Calibri" w:eastAsia="Calibri" w:hAnsi="Calibri"/>
                              </w:rPr>
                              <w:t xml:space="preserve">take note of the Acting Secretary General’ s report, based upon </w:t>
                            </w:r>
                            <w:r>
                              <w:rPr>
                                <w:rFonts w:ascii="Calibri" w:eastAsia="Calibri" w:hAnsi="Calibri"/>
                              </w:rPr>
                              <w:t>:</w:t>
                            </w:r>
                          </w:p>
                          <w:p w:rsidR="00B600F1" w:rsidRPr="00861F80" w:rsidRDefault="00B600F1" w:rsidP="00FB4C67">
                            <w:pPr>
                              <w:pStyle w:val="ListParagraph"/>
                              <w:numPr>
                                <w:ilvl w:val="0"/>
                                <w:numId w:val="31"/>
                              </w:numPr>
                              <w:spacing w:after="0" w:line="240" w:lineRule="auto"/>
                              <w:rPr>
                                <w:rFonts w:ascii="Calibri" w:hAnsi="Calibri" w:cs="Arial"/>
                              </w:rPr>
                            </w:pPr>
                            <w:r>
                              <w:rPr>
                                <w:rFonts w:ascii="Calibri" w:eastAsia="Calibri" w:hAnsi="Calibri"/>
                              </w:rPr>
                              <w:t>Resolution XII.4 paragraph 7</w:t>
                            </w:r>
                            <w:r>
                              <w:rPr>
                                <w:rFonts w:ascii="Calibri" w:hAnsi="Calibri"/>
                              </w:rPr>
                              <w:t>.c; and</w:t>
                            </w:r>
                          </w:p>
                          <w:p w:rsidR="00B600F1" w:rsidRPr="00861F80" w:rsidRDefault="00B600F1" w:rsidP="00FB4C67">
                            <w:pPr>
                              <w:pStyle w:val="ListParagraph"/>
                              <w:numPr>
                                <w:ilvl w:val="0"/>
                                <w:numId w:val="31"/>
                              </w:numPr>
                              <w:spacing w:after="0" w:line="240" w:lineRule="auto"/>
                              <w:rPr>
                                <w:rFonts w:ascii="Calibri" w:hAnsi="Calibri" w:cs="Arial"/>
                              </w:rPr>
                            </w:pPr>
                            <w:r>
                              <w:rPr>
                                <w:rFonts w:ascii="Calibri" w:hAnsi="Calibri"/>
                              </w:rPr>
                              <w:t>Interim Arrangements for Secretariat Administration, a document prepared by the Executive Team and received by the Acting Secretary General on 26 November 2015.</w:t>
                            </w:r>
                          </w:p>
                          <w:p w:rsidR="00B600F1" w:rsidRDefault="00B600F1"/>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0.0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">
                <v:textbox>
                  <w:txbxContent>
                    <w:p w:rsidR="00B600F1" w:rsidRPr="002A080C" w:rsidRDefault="00B600F1" w:rsidP="0029353C">
                      <w:pPr>
                        <w:spacing w:after="0" w:line="240" w:lineRule="auto"/>
                        <w:rPr>
                          <w:rFonts w:ascii="Calibri" w:hAnsi="Calibri"/>
                          <w:b/>
                          <w:bCs/>
                        </w:rPr>
                      </w:pPr>
                      <w:r w:rsidRPr="002A080C">
                        <w:rPr>
                          <w:rFonts w:ascii="Calibri" w:hAnsi="Calibri"/>
                        </w:rPr>
                        <w:t xml:space="preserve"> </w:t>
                      </w:r>
                      <w:r w:rsidRPr="002A080C">
                        <w:rPr>
                          <w:rFonts w:ascii="Calibri" w:hAnsi="Calibri"/>
                          <w:b/>
                          <w:bCs/>
                        </w:rPr>
                        <w:t xml:space="preserve">Actions requested: </w:t>
                      </w:r>
                    </w:p>
                    <w:p w:rsidR="00B600F1" w:rsidRPr="00861F80" w:rsidRDefault="00B600F1" w:rsidP="00861F80">
                      <w:pPr>
                        <w:pStyle w:val="ListParagraph"/>
                        <w:numPr>
                          <w:ilvl w:val="0"/>
                          <w:numId w:val="1"/>
                        </w:numPr>
                        <w:spacing w:after="0" w:line="240" w:lineRule="auto"/>
                        <w:ind w:left="0"/>
                        <w:rPr>
                          <w:rFonts w:ascii="Calibri" w:hAnsi="Calibri" w:cs="Arial"/>
                        </w:rPr>
                      </w:pPr>
                      <w:r w:rsidRPr="0029353C">
                        <w:rPr>
                          <w:rFonts w:ascii="Calibri" w:eastAsia="Calibri" w:hAnsi="Calibri"/>
                        </w:rPr>
                        <w:t>The Standing Committee is invited to</w:t>
                      </w:r>
                      <w:r>
                        <w:rPr>
                          <w:rFonts w:ascii="Calibri" w:eastAsia="Calibri" w:hAnsi="Calibri"/>
                        </w:rPr>
                        <w:t xml:space="preserve"> </w:t>
                      </w:r>
                      <w:r w:rsidRPr="00861F80">
                        <w:rPr>
                          <w:rFonts w:ascii="Calibri" w:eastAsia="Calibri" w:hAnsi="Calibri"/>
                        </w:rPr>
                        <w:t xml:space="preserve">take note of the Acting Secretary General’ s report, based upon </w:t>
                      </w:r>
                      <w:r>
                        <w:rPr>
                          <w:rFonts w:ascii="Calibri" w:eastAsia="Calibri" w:hAnsi="Calibri"/>
                        </w:rPr>
                        <w:t>:</w:t>
                      </w:r>
                    </w:p>
                    <w:p w:rsidR="00B600F1" w:rsidRPr="00861F80" w:rsidRDefault="00B600F1" w:rsidP="00FB4C67">
                      <w:pPr>
                        <w:pStyle w:val="ListParagraph"/>
                        <w:numPr>
                          <w:ilvl w:val="0"/>
                          <w:numId w:val="31"/>
                        </w:numPr>
                        <w:spacing w:after="0" w:line="240" w:lineRule="auto"/>
                        <w:rPr>
                          <w:rFonts w:ascii="Calibri" w:hAnsi="Calibri" w:cs="Arial"/>
                        </w:rPr>
                      </w:pPr>
                      <w:r>
                        <w:rPr>
                          <w:rFonts w:ascii="Calibri" w:eastAsia="Calibri" w:hAnsi="Calibri"/>
                        </w:rPr>
                        <w:t>Resolution XII.4 paragraph 7</w:t>
                      </w:r>
                      <w:r>
                        <w:rPr>
                          <w:rFonts w:ascii="Calibri" w:hAnsi="Calibri"/>
                        </w:rPr>
                        <w:t>.c; and</w:t>
                      </w:r>
                    </w:p>
                    <w:p w:rsidR="00B600F1" w:rsidRPr="00861F80" w:rsidRDefault="00B600F1" w:rsidP="00FB4C67">
                      <w:pPr>
                        <w:pStyle w:val="ListParagraph"/>
                        <w:numPr>
                          <w:ilvl w:val="0"/>
                          <w:numId w:val="31"/>
                        </w:numPr>
                        <w:spacing w:after="0" w:line="240" w:lineRule="auto"/>
                        <w:rPr>
                          <w:rFonts w:ascii="Calibri" w:hAnsi="Calibri" w:cs="Arial"/>
                        </w:rPr>
                      </w:pPr>
                      <w:r>
                        <w:rPr>
                          <w:rFonts w:ascii="Calibri" w:hAnsi="Calibri"/>
                        </w:rPr>
                        <w:t>Interim Arrangements for Secretariat Administration, a document prepared by the Executive Team and received by the Acting Secretary General on 26 November 2015.</w:t>
                      </w:r>
                    </w:p>
                    <w:p w:rsidR="00B600F1" w:rsidRDefault="00B600F1"/>
                  </w:txbxContent>
                </v:textbox>
                <w10:anchorlock/>
              </v:shape>
            </w:pict>
          </mc:Fallback>
        </mc:AlternateContent>
      </w:r>
    </w:p>
    <w:p w:rsidR="00E67057" w:rsidRPr="003B529A" w:rsidRDefault="00E67057" w:rsidP="00B600F1">
      <w:pPr>
        <w:spacing w:after="0" w:line="240" w:lineRule="auto"/>
        <w:rPr>
          <w:rFonts w:ascii="Calibri" w:hAnsi="Calibri" w:cs="Calibri"/>
          <w:b/>
          <w:sz w:val="20"/>
        </w:rPr>
      </w:pPr>
    </w:p>
    <w:p w:rsidR="00861F80" w:rsidRPr="00861F80" w:rsidRDefault="0029353C" w:rsidP="00B600F1">
      <w:pPr>
        <w:pStyle w:val="BodyText"/>
        <w:widowControl w:val="0"/>
        <w:numPr>
          <w:ilvl w:val="0"/>
          <w:numId w:val="4"/>
        </w:numPr>
        <w:spacing w:after="0"/>
        <w:ind w:left="426" w:right="-46" w:hanging="426"/>
        <w:rPr>
          <w:rFonts w:ascii="Calibri" w:hAnsi="Calibri"/>
          <w:sz w:val="22"/>
          <w:szCs w:val="22"/>
        </w:rPr>
      </w:pPr>
      <w:r w:rsidRPr="003B529A">
        <w:rPr>
          <w:rFonts w:ascii="Calibri" w:eastAsiaTheme="minorHAnsi" w:hAnsi="Calibri" w:cstheme="minorBidi"/>
          <w:sz w:val="22"/>
          <w:szCs w:val="22"/>
        </w:rPr>
        <w:t xml:space="preserve">The </w:t>
      </w:r>
      <w:r w:rsidR="00861F80">
        <w:rPr>
          <w:rFonts w:ascii="Calibri" w:eastAsiaTheme="minorHAnsi" w:hAnsi="Calibri" w:cstheme="minorBidi"/>
          <w:sz w:val="22"/>
          <w:szCs w:val="22"/>
        </w:rPr>
        <w:t xml:space="preserve">Acting </w:t>
      </w:r>
      <w:r w:rsidRPr="003B529A">
        <w:rPr>
          <w:rFonts w:ascii="Calibri" w:eastAsiaTheme="minorHAnsi" w:hAnsi="Calibri" w:cstheme="minorBidi"/>
          <w:sz w:val="22"/>
          <w:szCs w:val="22"/>
        </w:rPr>
        <w:t xml:space="preserve">Secretary General has prepared this report </w:t>
      </w:r>
      <w:r w:rsidR="00861F80">
        <w:rPr>
          <w:rFonts w:ascii="Calibri" w:eastAsiaTheme="minorHAnsi" w:hAnsi="Calibri" w:cstheme="minorBidi"/>
          <w:sz w:val="22"/>
          <w:szCs w:val="22"/>
        </w:rPr>
        <w:t>responding</w:t>
      </w:r>
      <w:r w:rsidRPr="003B529A">
        <w:rPr>
          <w:rFonts w:ascii="Calibri" w:eastAsiaTheme="minorHAnsi" w:hAnsi="Calibri" w:cstheme="minorBidi"/>
          <w:sz w:val="22"/>
          <w:szCs w:val="22"/>
        </w:rPr>
        <w:t xml:space="preserve"> to </w:t>
      </w:r>
      <w:r w:rsidR="00861F80">
        <w:rPr>
          <w:rFonts w:ascii="Calibri" w:eastAsiaTheme="minorHAnsi" w:hAnsi="Calibri" w:cstheme="minorBidi"/>
          <w:sz w:val="22"/>
          <w:szCs w:val="22"/>
        </w:rPr>
        <w:t>the relevant COP12 Resolution for reporting by the Secretary General, as well as to the Interim Arrangements for Secretariat Administration as established by the Executiv</w:t>
      </w:r>
      <w:r w:rsidR="001508DF">
        <w:rPr>
          <w:rFonts w:ascii="Calibri" w:eastAsiaTheme="minorHAnsi" w:hAnsi="Calibri" w:cstheme="minorBidi"/>
          <w:sz w:val="22"/>
          <w:szCs w:val="22"/>
        </w:rPr>
        <w:t xml:space="preserve"> </w:t>
      </w:r>
      <w:r w:rsidR="00861F80">
        <w:rPr>
          <w:rFonts w:ascii="Calibri" w:eastAsiaTheme="minorHAnsi" w:hAnsi="Calibri" w:cstheme="minorBidi"/>
          <w:sz w:val="22"/>
          <w:szCs w:val="22"/>
        </w:rPr>
        <w:t xml:space="preserve">e Committee (Annex </w:t>
      </w:r>
      <w:r w:rsidR="00FB4C67">
        <w:rPr>
          <w:rFonts w:ascii="Calibri" w:eastAsiaTheme="minorHAnsi" w:hAnsi="Calibri" w:cstheme="minorBidi"/>
          <w:sz w:val="22"/>
          <w:szCs w:val="22"/>
        </w:rPr>
        <w:t>1</w:t>
      </w:r>
      <w:r w:rsidR="00861F80">
        <w:rPr>
          <w:rFonts w:ascii="Calibri" w:eastAsiaTheme="minorHAnsi" w:hAnsi="Calibri" w:cstheme="minorBidi"/>
          <w:sz w:val="22"/>
          <w:szCs w:val="22"/>
        </w:rPr>
        <w:t xml:space="preserve">). </w:t>
      </w:r>
    </w:p>
    <w:p w:rsidR="00861F80" w:rsidRPr="00861F80" w:rsidRDefault="00861F80" w:rsidP="00B600F1">
      <w:pPr>
        <w:pStyle w:val="BodyText"/>
        <w:widowControl w:val="0"/>
        <w:spacing w:after="0"/>
        <w:ind w:left="426" w:right="-46"/>
        <w:rPr>
          <w:rFonts w:ascii="Calibri" w:hAnsi="Calibri"/>
          <w:sz w:val="22"/>
          <w:szCs w:val="22"/>
        </w:rPr>
      </w:pPr>
    </w:p>
    <w:p w:rsidR="00F2326A" w:rsidRDefault="00861F80" w:rsidP="00B600F1">
      <w:pPr>
        <w:pStyle w:val="BodyText"/>
        <w:widowControl w:val="0"/>
        <w:numPr>
          <w:ilvl w:val="0"/>
          <w:numId w:val="4"/>
        </w:numPr>
        <w:spacing w:after="0"/>
        <w:ind w:left="426" w:right="-46" w:hanging="426"/>
        <w:rPr>
          <w:rFonts w:ascii="Calibri" w:hAnsi="Calibri"/>
          <w:sz w:val="22"/>
          <w:szCs w:val="22"/>
        </w:rPr>
      </w:pPr>
      <w:r>
        <w:rPr>
          <w:rFonts w:ascii="Calibri" w:eastAsiaTheme="minorHAnsi" w:hAnsi="Calibri" w:cstheme="minorBidi"/>
          <w:sz w:val="22"/>
          <w:szCs w:val="22"/>
        </w:rPr>
        <w:t>P</w:t>
      </w:r>
      <w:r w:rsidR="0029353C" w:rsidRPr="003B529A">
        <w:rPr>
          <w:rFonts w:ascii="Calibri" w:eastAsiaTheme="minorHAnsi" w:hAnsi="Calibri" w:cstheme="minorBidi"/>
          <w:sz w:val="22"/>
          <w:szCs w:val="22"/>
        </w:rPr>
        <w:t>ara</w:t>
      </w:r>
      <w:r>
        <w:rPr>
          <w:rFonts w:ascii="Calibri" w:eastAsiaTheme="minorHAnsi" w:hAnsi="Calibri" w:cstheme="minorBidi"/>
          <w:sz w:val="22"/>
          <w:szCs w:val="22"/>
        </w:rPr>
        <w:t>graph</w:t>
      </w:r>
      <w:r w:rsidR="0029353C" w:rsidRPr="003B529A">
        <w:rPr>
          <w:rFonts w:ascii="Calibri" w:eastAsiaTheme="minorHAnsi" w:hAnsi="Calibri" w:cstheme="minorBidi"/>
          <w:sz w:val="22"/>
          <w:szCs w:val="22"/>
        </w:rPr>
        <w:t xml:space="preserve"> 7.c of Resolution XII.4</w:t>
      </w:r>
      <w:r w:rsidR="003D1F56">
        <w:rPr>
          <w:rFonts w:ascii="Calibri" w:eastAsiaTheme="minorHAnsi" w:hAnsi="Calibri" w:cstheme="minorBidi"/>
          <w:sz w:val="22"/>
          <w:szCs w:val="22"/>
        </w:rPr>
        <w:t xml:space="preserve"> </w:t>
      </w:r>
      <w:r>
        <w:rPr>
          <w:rFonts w:ascii="Calibri" w:eastAsiaTheme="minorHAnsi" w:hAnsi="Calibri" w:cstheme="minorBidi"/>
          <w:sz w:val="22"/>
          <w:szCs w:val="22"/>
        </w:rPr>
        <w:t>instructs the Secretary General to prepare reports</w:t>
      </w:r>
      <w:r w:rsidR="0029353C" w:rsidRPr="003D1F56">
        <w:rPr>
          <w:rFonts w:ascii="Calibri" w:hAnsi="Calibri"/>
          <w:sz w:val="22"/>
          <w:szCs w:val="22"/>
        </w:rPr>
        <w:t xml:space="preserve"> </w:t>
      </w:r>
      <w:r>
        <w:rPr>
          <w:rFonts w:ascii="Calibri" w:hAnsi="Calibri"/>
          <w:sz w:val="22"/>
          <w:szCs w:val="22"/>
        </w:rPr>
        <w:t>“</w:t>
      </w:r>
      <w:r w:rsidR="0029353C" w:rsidRPr="003D1F56">
        <w:rPr>
          <w:rFonts w:ascii="Calibri" w:hAnsi="Calibri"/>
          <w:sz w:val="22"/>
          <w:szCs w:val="22"/>
        </w:rPr>
        <w:t>containing information on the progress of work of the Secretariat with focus on the main priorities adopted by the COP, the Secretariats’ travelling and meetings etc., as well as the status of the core and non-core budget, and including an overview of the staff and consultancy contracts</w:t>
      </w:r>
      <w:r w:rsidR="0029353C" w:rsidRPr="003B529A">
        <w:rPr>
          <w:rFonts w:ascii="Calibri" w:hAnsi="Calibri"/>
          <w:sz w:val="22"/>
          <w:szCs w:val="22"/>
        </w:rPr>
        <w:t>”</w:t>
      </w:r>
      <w:r w:rsidR="003D1F56">
        <w:rPr>
          <w:rFonts w:ascii="Calibri" w:hAnsi="Calibri"/>
          <w:sz w:val="22"/>
          <w:szCs w:val="22"/>
        </w:rPr>
        <w:t>.</w:t>
      </w:r>
    </w:p>
    <w:p w:rsidR="00F2326A" w:rsidRPr="00F2326A" w:rsidRDefault="00F2326A" w:rsidP="00B600F1">
      <w:pPr>
        <w:pStyle w:val="BodyText"/>
        <w:widowControl w:val="0"/>
        <w:spacing w:after="0"/>
        <w:ind w:right="-46"/>
        <w:rPr>
          <w:rFonts w:ascii="Calibri" w:hAnsi="Calibri"/>
          <w:sz w:val="22"/>
          <w:szCs w:val="22"/>
        </w:rPr>
      </w:pPr>
    </w:p>
    <w:p w:rsidR="00F2326A" w:rsidRPr="00F2326A" w:rsidRDefault="00F2326A" w:rsidP="00B600F1">
      <w:pPr>
        <w:pStyle w:val="BodyText"/>
        <w:widowControl w:val="0"/>
        <w:numPr>
          <w:ilvl w:val="0"/>
          <w:numId w:val="4"/>
        </w:numPr>
        <w:spacing w:after="0"/>
        <w:ind w:left="426" w:right="-46" w:hanging="426"/>
        <w:rPr>
          <w:rFonts w:ascii="Calibri" w:hAnsi="Calibri"/>
          <w:sz w:val="22"/>
          <w:szCs w:val="22"/>
        </w:rPr>
      </w:pPr>
      <w:r>
        <w:rPr>
          <w:rFonts w:ascii="Calibri" w:hAnsi="Calibri"/>
          <w:sz w:val="22"/>
          <w:szCs w:val="22"/>
        </w:rPr>
        <w:t xml:space="preserve">The </w:t>
      </w:r>
      <w:r>
        <w:rPr>
          <w:rFonts w:ascii="Calibri" w:eastAsiaTheme="minorHAnsi" w:hAnsi="Calibri" w:cstheme="minorBidi"/>
          <w:sz w:val="22"/>
          <w:szCs w:val="22"/>
        </w:rPr>
        <w:t>Interim Arrangements for Sec</w:t>
      </w:r>
      <w:r w:rsidR="008D5216">
        <w:rPr>
          <w:rFonts w:ascii="Calibri" w:eastAsiaTheme="minorHAnsi" w:hAnsi="Calibri" w:cstheme="minorBidi"/>
          <w:sz w:val="22"/>
          <w:szCs w:val="22"/>
        </w:rPr>
        <w:t>retariat Administration identified</w:t>
      </w:r>
      <w:r>
        <w:rPr>
          <w:rFonts w:ascii="Calibri" w:eastAsiaTheme="minorHAnsi" w:hAnsi="Calibri" w:cstheme="minorBidi"/>
          <w:sz w:val="22"/>
          <w:szCs w:val="22"/>
        </w:rPr>
        <w:t xml:space="preserve"> the following critical priorities for action by the Secretariat during this period (Annex 1):</w:t>
      </w:r>
    </w:p>
    <w:p w:rsidR="00F2326A" w:rsidRDefault="00F2326A" w:rsidP="00B600F1">
      <w:pPr>
        <w:pStyle w:val="ListParagraph"/>
        <w:spacing w:after="0" w:line="240" w:lineRule="auto"/>
        <w:rPr>
          <w:rFonts w:ascii="Calibri" w:hAnsi="Calibri"/>
        </w:rPr>
      </w:pPr>
    </w:p>
    <w:p w:rsidR="00F2326A" w:rsidRPr="00FB4C67" w:rsidRDefault="00F2326A" w:rsidP="00B600F1">
      <w:pPr>
        <w:pStyle w:val="ListParagraph"/>
        <w:numPr>
          <w:ilvl w:val="0"/>
          <w:numId w:val="32"/>
        </w:numPr>
        <w:spacing w:after="0" w:line="240" w:lineRule="auto"/>
        <w:ind w:left="851" w:hanging="425"/>
        <w:rPr>
          <w:rFonts w:ascii="Calibri" w:hAnsi="Calibri" w:cs="Arial"/>
        </w:rPr>
      </w:pPr>
      <w:r w:rsidRPr="00FB4C67">
        <w:rPr>
          <w:rFonts w:ascii="Calibri" w:hAnsi="Calibri" w:cs="Arial"/>
        </w:rPr>
        <w:t xml:space="preserve">MOU for the COP13 (and other MOUs deemed appropriate by the Executive Team); </w:t>
      </w:r>
    </w:p>
    <w:p w:rsidR="00F2326A" w:rsidRPr="00FB4C67" w:rsidRDefault="00F2326A" w:rsidP="00B600F1">
      <w:pPr>
        <w:pStyle w:val="ListParagraph"/>
        <w:numPr>
          <w:ilvl w:val="0"/>
          <w:numId w:val="32"/>
        </w:numPr>
        <w:spacing w:after="0" w:line="240" w:lineRule="auto"/>
        <w:ind w:left="851" w:hanging="425"/>
        <w:rPr>
          <w:rFonts w:ascii="Calibri" w:hAnsi="Calibri" w:cs="Arial"/>
        </w:rPr>
      </w:pPr>
      <w:r w:rsidRPr="00FB4C67">
        <w:rPr>
          <w:rFonts w:ascii="Calibri" w:hAnsi="Calibri" w:cs="Arial"/>
        </w:rPr>
        <w:t>An audit of the Budget to ensure it properly aligns to priorities;</w:t>
      </w:r>
    </w:p>
    <w:p w:rsidR="00F2326A" w:rsidRPr="00FB4C67" w:rsidRDefault="00F2326A" w:rsidP="00B600F1">
      <w:pPr>
        <w:pStyle w:val="ListParagraph"/>
        <w:numPr>
          <w:ilvl w:val="0"/>
          <w:numId w:val="32"/>
        </w:numPr>
        <w:spacing w:after="0" w:line="240" w:lineRule="auto"/>
        <w:ind w:left="851" w:hanging="425"/>
        <w:rPr>
          <w:rFonts w:ascii="Calibri" w:hAnsi="Calibri" w:cs="Arial"/>
        </w:rPr>
      </w:pPr>
      <w:r w:rsidRPr="00FB4C67">
        <w:rPr>
          <w:rFonts w:ascii="Calibri" w:hAnsi="Calibri" w:cs="Arial"/>
        </w:rPr>
        <w:t>Preparations for SC52 in 2016;</w:t>
      </w:r>
    </w:p>
    <w:p w:rsidR="00F2326A" w:rsidRPr="00FB4C67" w:rsidRDefault="00F2326A" w:rsidP="00B600F1">
      <w:pPr>
        <w:pStyle w:val="ListParagraph"/>
        <w:numPr>
          <w:ilvl w:val="0"/>
          <w:numId w:val="32"/>
        </w:numPr>
        <w:spacing w:after="0" w:line="240" w:lineRule="auto"/>
        <w:ind w:left="851" w:hanging="425"/>
        <w:rPr>
          <w:rFonts w:ascii="Calibri" w:hAnsi="Calibri" w:cs="Arial"/>
        </w:rPr>
      </w:pPr>
      <w:r w:rsidRPr="00FB4C67">
        <w:rPr>
          <w:rFonts w:ascii="Calibri" w:hAnsi="Calibri" w:cs="Arial"/>
        </w:rPr>
        <w:t>Complete implementation of working webpage and RSIS;</w:t>
      </w:r>
    </w:p>
    <w:p w:rsidR="00F2326A" w:rsidRPr="00FB4C67" w:rsidRDefault="00F2326A" w:rsidP="00B600F1">
      <w:pPr>
        <w:pStyle w:val="ListParagraph"/>
        <w:numPr>
          <w:ilvl w:val="0"/>
          <w:numId w:val="32"/>
        </w:numPr>
        <w:spacing w:after="0" w:line="240" w:lineRule="auto"/>
        <w:ind w:left="851" w:hanging="425"/>
        <w:rPr>
          <w:rFonts w:ascii="Calibri" w:hAnsi="Calibri" w:cs="Arial"/>
        </w:rPr>
      </w:pPr>
      <w:r w:rsidRPr="00FB4C67">
        <w:rPr>
          <w:rFonts w:ascii="Calibri" w:hAnsi="Calibri" w:cs="Arial"/>
        </w:rPr>
        <w:t>Review consultancies and rationalize where possible;</w:t>
      </w:r>
    </w:p>
    <w:p w:rsidR="00F2326A" w:rsidRPr="00FB4C67" w:rsidRDefault="00F2326A" w:rsidP="00B600F1">
      <w:pPr>
        <w:pStyle w:val="ListParagraph"/>
        <w:numPr>
          <w:ilvl w:val="0"/>
          <w:numId w:val="32"/>
        </w:numPr>
        <w:spacing w:after="0" w:line="240" w:lineRule="auto"/>
        <w:ind w:left="851" w:hanging="425"/>
        <w:rPr>
          <w:rFonts w:ascii="Calibri" w:hAnsi="Calibri" w:cs="Arial"/>
        </w:rPr>
      </w:pPr>
      <w:r w:rsidRPr="00FB4C67">
        <w:rPr>
          <w:rFonts w:ascii="Calibri" w:hAnsi="Calibri" w:cs="Arial"/>
        </w:rPr>
        <w:t>Review resource mobilization, especially as it relates to fund-raising, to ensure the capture of work undertaken already so that an incoming SG is in a position to reinvigorate this program</w:t>
      </w:r>
      <w:r w:rsidR="00B600F1">
        <w:rPr>
          <w:rFonts w:ascii="Calibri" w:hAnsi="Calibri" w:cs="Arial"/>
        </w:rPr>
        <w:t>me</w:t>
      </w:r>
      <w:r w:rsidRPr="00FB4C67">
        <w:rPr>
          <w:rFonts w:ascii="Calibri" w:hAnsi="Calibri" w:cs="Arial"/>
        </w:rPr>
        <w:t>. This review should be undertaken in conjunction</w:t>
      </w:r>
      <w:r w:rsidR="00AF71F1">
        <w:rPr>
          <w:rFonts w:ascii="Calibri" w:hAnsi="Calibri" w:cs="Arial"/>
        </w:rPr>
        <w:t xml:space="preserve"> </w:t>
      </w:r>
      <w:r w:rsidRPr="00FB4C67">
        <w:rPr>
          <w:rFonts w:ascii="Calibri" w:hAnsi="Calibri" w:cs="Arial"/>
        </w:rPr>
        <w:t xml:space="preserve">with the Resource </w:t>
      </w:r>
      <w:r w:rsidR="00B600F1" w:rsidRPr="00FB4C67">
        <w:rPr>
          <w:rFonts w:ascii="Calibri" w:hAnsi="Calibri" w:cs="Arial"/>
        </w:rPr>
        <w:t>Mobili</w:t>
      </w:r>
      <w:r w:rsidR="00B600F1">
        <w:rPr>
          <w:rFonts w:ascii="Calibri" w:hAnsi="Calibri" w:cs="Arial"/>
        </w:rPr>
        <w:t>z</w:t>
      </w:r>
      <w:r w:rsidR="00B600F1" w:rsidRPr="00FB4C67">
        <w:rPr>
          <w:rFonts w:ascii="Calibri" w:hAnsi="Calibri" w:cs="Arial"/>
        </w:rPr>
        <w:t xml:space="preserve">ation </w:t>
      </w:r>
      <w:r w:rsidRPr="00FB4C67">
        <w:rPr>
          <w:rFonts w:ascii="Calibri" w:hAnsi="Calibri" w:cs="Arial"/>
        </w:rPr>
        <w:t>Working Group;</w:t>
      </w:r>
    </w:p>
    <w:p w:rsidR="00F2326A" w:rsidRPr="00FB4C67" w:rsidRDefault="00F2326A" w:rsidP="00B600F1">
      <w:pPr>
        <w:pStyle w:val="ListParagraph"/>
        <w:numPr>
          <w:ilvl w:val="0"/>
          <w:numId w:val="32"/>
        </w:numPr>
        <w:spacing w:after="0" w:line="240" w:lineRule="auto"/>
        <w:ind w:left="851" w:hanging="425"/>
        <w:rPr>
          <w:rFonts w:ascii="Calibri" w:hAnsi="Calibri" w:cs="Arial"/>
        </w:rPr>
      </w:pPr>
      <w:r w:rsidRPr="00FB4C67">
        <w:rPr>
          <w:rFonts w:ascii="Calibri" w:hAnsi="Calibri" w:cs="Arial"/>
        </w:rPr>
        <w:t>Evaluation of COP12.</w:t>
      </w:r>
    </w:p>
    <w:p w:rsidR="009050AD" w:rsidRPr="003B529A" w:rsidRDefault="009050AD" w:rsidP="00B600F1">
      <w:pPr>
        <w:widowControl w:val="0"/>
        <w:spacing w:after="0" w:line="240" w:lineRule="auto"/>
        <w:ind w:right="-46"/>
        <w:rPr>
          <w:rFonts w:ascii="Calibri" w:hAnsi="Calibri"/>
        </w:rPr>
      </w:pPr>
    </w:p>
    <w:p w:rsidR="00EC04D2" w:rsidRPr="00505ADE" w:rsidRDefault="00004F1A" w:rsidP="00B600F1">
      <w:pPr>
        <w:pStyle w:val="ListParagraph"/>
        <w:widowControl w:val="0"/>
        <w:numPr>
          <w:ilvl w:val="0"/>
          <w:numId w:val="4"/>
        </w:numPr>
        <w:spacing w:after="0" w:line="240" w:lineRule="auto"/>
        <w:ind w:left="426" w:right="-46" w:hanging="426"/>
        <w:rPr>
          <w:rFonts w:ascii="Calibri" w:hAnsi="Calibri"/>
        </w:rPr>
      </w:pPr>
      <w:r>
        <w:rPr>
          <w:rFonts w:ascii="Calibri" w:hAnsi="Calibri"/>
        </w:rPr>
        <w:t>The triennium workplan for the Secretariat was planned in a collaborative way with the involvement of all Secretariat staff</w:t>
      </w:r>
      <w:r w:rsidR="00B47A61">
        <w:rPr>
          <w:rFonts w:ascii="Calibri" w:hAnsi="Calibri"/>
        </w:rPr>
        <w:t xml:space="preserve"> members</w:t>
      </w:r>
      <w:r>
        <w:rPr>
          <w:rFonts w:ascii="Calibri" w:hAnsi="Calibri"/>
        </w:rPr>
        <w:t>, guided by the goals and targets of the 4</w:t>
      </w:r>
      <w:r w:rsidRPr="00004F1A">
        <w:rPr>
          <w:rFonts w:ascii="Calibri" w:hAnsi="Calibri"/>
          <w:vertAlign w:val="superscript"/>
        </w:rPr>
        <w:t>th</w:t>
      </w:r>
      <w:r>
        <w:rPr>
          <w:rFonts w:ascii="Calibri" w:hAnsi="Calibri"/>
        </w:rPr>
        <w:t xml:space="preserve"> Strategic Plan 2016-2024, as well as </w:t>
      </w:r>
      <w:r w:rsidR="00B47A61">
        <w:rPr>
          <w:rFonts w:ascii="Calibri" w:hAnsi="Calibri"/>
        </w:rPr>
        <w:t xml:space="preserve">by </w:t>
      </w:r>
      <w:r>
        <w:rPr>
          <w:rFonts w:ascii="Calibri" w:hAnsi="Calibri"/>
        </w:rPr>
        <w:t>the</w:t>
      </w:r>
      <w:r w:rsidR="00B47A61">
        <w:rPr>
          <w:rFonts w:ascii="Calibri" w:hAnsi="Calibri"/>
        </w:rPr>
        <w:t xml:space="preserve"> specific actions of the Secretariat requested in the</w:t>
      </w:r>
      <w:r>
        <w:rPr>
          <w:rFonts w:ascii="Calibri" w:hAnsi="Calibri"/>
        </w:rPr>
        <w:t xml:space="preserve"> COP12 Resolutions.</w:t>
      </w:r>
      <w:r w:rsidR="00AF71F1">
        <w:rPr>
          <w:rFonts w:ascii="Calibri" w:hAnsi="Calibri"/>
        </w:rPr>
        <w:t xml:space="preserve"> </w:t>
      </w:r>
      <w:r w:rsidR="00B47A61">
        <w:rPr>
          <w:rFonts w:ascii="Calibri" w:hAnsi="Calibri"/>
        </w:rPr>
        <w:t>The annual workplan for 2016 wa</w:t>
      </w:r>
      <w:r>
        <w:rPr>
          <w:rFonts w:ascii="Calibri" w:hAnsi="Calibri"/>
        </w:rPr>
        <w:t xml:space="preserve">s extracted from the </w:t>
      </w:r>
      <w:r w:rsidR="008D5216">
        <w:rPr>
          <w:rFonts w:ascii="Calibri" w:hAnsi="Calibri"/>
        </w:rPr>
        <w:t>triennium workplan.</w:t>
      </w:r>
      <w:r w:rsidR="00AF71F1">
        <w:rPr>
          <w:rFonts w:ascii="Calibri" w:hAnsi="Calibri"/>
        </w:rPr>
        <w:t xml:space="preserve"> </w:t>
      </w:r>
      <w:r w:rsidR="008D5216">
        <w:rPr>
          <w:rFonts w:ascii="Calibri" w:hAnsi="Calibri"/>
        </w:rPr>
        <w:t>Both documents are</w:t>
      </w:r>
      <w:r w:rsidR="00B47A61">
        <w:rPr>
          <w:rFonts w:ascii="Calibri" w:hAnsi="Calibri"/>
        </w:rPr>
        <w:t xml:space="preserve"> presented </w:t>
      </w:r>
      <w:r w:rsidR="008D5216">
        <w:rPr>
          <w:rFonts w:ascii="Calibri" w:hAnsi="Calibri"/>
        </w:rPr>
        <w:t xml:space="preserve">to SC52 </w:t>
      </w:r>
      <w:r w:rsidR="00B47A61">
        <w:rPr>
          <w:rFonts w:ascii="Calibri" w:hAnsi="Calibri"/>
        </w:rPr>
        <w:t>under agenda item 12</w:t>
      </w:r>
      <w:r w:rsidR="00327D59" w:rsidRPr="00505ADE">
        <w:rPr>
          <w:rFonts w:ascii="Calibri" w:hAnsi="Calibri"/>
        </w:rPr>
        <w:t xml:space="preserve"> </w:t>
      </w:r>
      <w:r w:rsidR="00521719" w:rsidRPr="00505ADE">
        <w:rPr>
          <w:rFonts w:ascii="Calibri" w:hAnsi="Calibri"/>
        </w:rPr>
        <w:t>(</w:t>
      </w:r>
      <w:r w:rsidR="00BE6581" w:rsidRPr="00505ADE">
        <w:rPr>
          <w:rFonts w:ascii="Calibri" w:eastAsia="Arial Unicode MS" w:hAnsi="Calibri" w:cs="Arial Unicode MS"/>
          <w:kern w:val="1"/>
          <w:lang w:eastAsia="hi-IN" w:bidi="hi-IN"/>
        </w:rPr>
        <w:t>Document</w:t>
      </w:r>
      <w:r w:rsidR="00B47A61">
        <w:rPr>
          <w:rFonts w:ascii="Calibri" w:eastAsia="Arial Unicode MS" w:hAnsi="Calibri" w:cs="Arial Unicode MS"/>
          <w:kern w:val="1"/>
          <w:lang w:eastAsia="hi-IN" w:bidi="hi-IN"/>
        </w:rPr>
        <w:t>s SC52</w:t>
      </w:r>
      <w:r w:rsidR="00BE6581" w:rsidRPr="00505ADE">
        <w:rPr>
          <w:rFonts w:ascii="Calibri" w:eastAsia="Arial Unicode MS" w:hAnsi="Calibri" w:cs="Arial Unicode MS"/>
          <w:kern w:val="1"/>
          <w:lang w:eastAsia="hi-IN" w:bidi="hi-IN"/>
        </w:rPr>
        <w:t>-</w:t>
      </w:r>
      <w:r w:rsidR="00505ADE" w:rsidRPr="00505ADE">
        <w:rPr>
          <w:rFonts w:ascii="Calibri" w:eastAsia="Arial Unicode MS" w:hAnsi="Calibri" w:cs="Arial Unicode MS"/>
          <w:kern w:val="1"/>
          <w:lang w:eastAsia="hi-IN" w:bidi="hi-IN"/>
        </w:rPr>
        <w:t>07</w:t>
      </w:r>
      <w:r w:rsidR="00B47A61">
        <w:rPr>
          <w:rFonts w:ascii="Calibri" w:eastAsia="Arial Unicode MS" w:hAnsi="Calibri" w:cs="Arial Unicode MS"/>
          <w:kern w:val="1"/>
          <w:lang w:eastAsia="hi-IN" w:bidi="hi-IN"/>
        </w:rPr>
        <w:t xml:space="preserve"> and SC52-08</w:t>
      </w:r>
      <w:r w:rsidR="00521719" w:rsidRPr="00505ADE">
        <w:rPr>
          <w:rFonts w:ascii="Calibri" w:eastAsia="Arial Unicode MS" w:hAnsi="Calibri" w:cs="Arial Unicode MS"/>
          <w:kern w:val="1"/>
          <w:lang w:eastAsia="hi-IN" w:bidi="hi-IN"/>
        </w:rPr>
        <w:t>)</w:t>
      </w:r>
      <w:r w:rsidR="0006301F" w:rsidRPr="00505ADE">
        <w:rPr>
          <w:rFonts w:ascii="Calibri" w:hAnsi="Calibri"/>
        </w:rPr>
        <w:t>.</w:t>
      </w:r>
      <w:r w:rsidR="00AF71F1">
        <w:rPr>
          <w:rFonts w:ascii="Calibri" w:hAnsi="Calibri"/>
        </w:rPr>
        <w:t xml:space="preserve"> </w:t>
      </w:r>
      <w:r w:rsidR="00B47A61">
        <w:rPr>
          <w:rFonts w:ascii="Calibri" w:hAnsi="Calibri"/>
        </w:rPr>
        <w:t>All staff members have developed their individual workplans for 201</w:t>
      </w:r>
      <w:r w:rsidR="00BB4F06">
        <w:rPr>
          <w:rFonts w:ascii="Calibri" w:hAnsi="Calibri"/>
        </w:rPr>
        <w:t xml:space="preserve">6 </w:t>
      </w:r>
      <w:r w:rsidR="00B47A61">
        <w:rPr>
          <w:rFonts w:ascii="Calibri" w:hAnsi="Calibri"/>
        </w:rPr>
        <w:t>upon these act</w:t>
      </w:r>
      <w:r w:rsidR="008D5216">
        <w:rPr>
          <w:rFonts w:ascii="Calibri" w:hAnsi="Calibri"/>
        </w:rPr>
        <w:t>ivities and tasks</w:t>
      </w:r>
      <w:r w:rsidR="00B47A61">
        <w:rPr>
          <w:rFonts w:ascii="Calibri" w:hAnsi="Calibri"/>
        </w:rPr>
        <w:t xml:space="preserve">, grouped under Ramsar’s 4 Strategic goals. </w:t>
      </w:r>
      <w:r w:rsidR="008D5216">
        <w:rPr>
          <w:rFonts w:ascii="Calibri" w:hAnsi="Calibri"/>
        </w:rPr>
        <w:t>In addition, the Secretariat is focusing on the Executive Team’s priorities, also included in the 2016 workplan.</w:t>
      </w:r>
    </w:p>
    <w:p w:rsidR="009050AD" w:rsidRPr="008D5216" w:rsidRDefault="009050AD" w:rsidP="00B600F1">
      <w:pPr>
        <w:spacing w:after="0" w:line="240" w:lineRule="auto"/>
        <w:ind w:right="-46"/>
        <w:rPr>
          <w:rFonts w:ascii="Calibri" w:hAnsi="Calibri"/>
        </w:rPr>
      </w:pPr>
    </w:p>
    <w:p w:rsidR="00417846" w:rsidRPr="00417846" w:rsidRDefault="00417846" w:rsidP="00B600F1">
      <w:pPr>
        <w:pStyle w:val="ListParagraph"/>
        <w:numPr>
          <w:ilvl w:val="0"/>
          <w:numId w:val="4"/>
        </w:numPr>
        <w:spacing w:after="0" w:line="240" w:lineRule="auto"/>
        <w:ind w:left="426" w:right="-46" w:hanging="426"/>
        <w:rPr>
          <w:rFonts w:ascii="Calibri" w:hAnsi="Calibri"/>
        </w:rPr>
      </w:pPr>
      <w:r>
        <w:rPr>
          <w:rFonts w:cs="Arial"/>
          <w:color w:val="000000" w:themeColor="text1"/>
        </w:rPr>
        <w:lastRenderedPageBreak/>
        <w:t>As specifically requested in Resolution</w:t>
      </w:r>
      <w:r w:rsidR="00402A02">
        <w:rPr>
          <w:rFonts w:cs="Arial"/>
          <w:color w:val="000000" w:themeColor="text1"/>
        </w:rPr>
        <w:t xml:space="preserve"> XII.3 paras.</w:t>
      </w:r>
      <w:r w:rsidR="006C363E">
        <w:rPr>
          <w:rFonts w:cs="Arial"/>
          <w:color w:val="000000" w:themeColor="text1"/>
        </w:rPr>
        <w:t xml:space="preserve"> </w:t>
      </w:r>
      <w:r w:rsidR="00402A02">
        <w:rPr>
          <w:rFonts w:cs="Arial"/>
          <w:color w:val="000000" w:themeColor="text1"/>
        </w:rPr>
        <w:t>44 and 46), and as discussed in SC51, the Secretariat f</w:t>
      </w:r>
      <w:r w:rsidRPr="00417846">
        <w:rPr>
          <w:rFonts w:cs="Arial"/>
          <w:color w:val="000000" w:themeColor="text1"/>
        </w:rPr>
        <w:t>acilitate</w:t>
      </w:r>
      <w:r w:rsidR="00402A02">
        <w:rPr>
          <w:rFonts w:cs="Arial"/>
          <w:color w:val="000000" w:themeColor="text1"/>
        </w:rPr>
        <w:t>d the</w:t>
      </w:r>
      <w:r w:rsidRPr="00417846">
        <w:rPr>
          <w:rFonts w:cs="Arial"/>
          <w:color w:val="000000" w:themeColor="text1"/>
        </w:rPr>
        <w:t xml:space="preserve"> selection of </w:t>
      </w:r>
      <w:r w:rsidR="00402A02">
        <w:rPr>
          <w:rFonts w:cs="Arial"/>
          <w:color w:val="000000" w:themeColor="text1"/>
        </w:rPr>
        <w:t xml:space="preserve">regional </w:t>
      </w:r>
      <w:r w:rsidRPr="00417846">
        <w:rPr>
          <w:rFonts w:cs="Arial"/>
          <w:color w:val="000000" w:themeColor="text1"/>
        </w:rPr>
        <w:t xml:space="preserve">representatives and </w:t>
      </w:r>
      <w:r w:rsidR="00402A02">
        <w:rPr>
          <w:rFonts w:cs="Arial"/>
          <w:color w:val="000000" w:themeColor="text1"/>
        </w:rPr>
        <w:t xml:space="preserve">also </w:t>
      </w:r>
      <w:r w:rsidRPr="00417846">
        <w:rPr>
          <w:rFonts w:cs="Arial"/>
          <w:color w:val="000000" w:themeColor="text1"/>
        </w:rPr>
        <w:t>participate</w:t>
      </w:r>
      <w:r w:rsidR="00402A02">
        <w:rPr>
          <w:rFonts w:cs="Arial"/>
          <w:color w:val="000000" w:themeColor="text1"/>
        </w:rPr>
        <w:t>d</w:t>
      </w:r>
      <w:r w:rsidRPr="00417846">
        <w:rPr>
          <w:rFonts w:cs="Arial"/>
          <w:color w:val="000000" w:themeColor="text1"/>
        </w:rPr>
        <w:t xml:space="preserve"> in </w:t>
      </w:r>
      <w:r w:rsidR="00402A02">
        <w:rPr>
          <w:rFonts w:cs="Arial"/>
          <w:color w:val="000000" w:themeColor="text1"/>
        </w:rPr>
        <w:t>the cooperation</w:t>
      </w:r>
      <w:r w:rsidRPr="00417846">
        <w:rPr>
          <w:rFonts w:cs="Arial"/>
          <w:color w:val="000000" w:themeColor="text1"/>
        </w:rPr>
        <w:t xml:space="preserve"> workshop</w:t>
      </w:r>
      <w:r w:rsidR="00402A02">
        <w:rPr>
          <w:rFonts w:cs="Arial"/>
          <w:color w:val="000000" w:themeColor="text1"/>
        </w:rPr>
        <w:t xml:space="preserve"> led by CBD in February 2016, together with all the other biodiversity-related Conventions (CITES, CMS, IPPC, World Heritage Convention, IPGRFA)</w:t>
      </w:r>
      <w:r w:rsidRPr="00417846">
        <w:rPr>
          <w:rFonts w:cs="Arial"/>
          <w:color w:val="000000" w:themeColor="text1"/>
        </w:rPr>
        <w:t>.</w:t>
      </w:r>
      <w:r w:rsidR="00AF71F1">
        <w:rPr>
          <w:rFonts w:cs="Arial"/>
          <w:color w:val="000000" w:themeColor="text1"/>
        </w:rPr>
        <w:t xml:space="preserve"> </w:t>
      </w:r>
      <w:r w:rsidR="00402A02">
        <w:rPr>
          <w:rFonts w:cs="Arial"/>
          <w:color w:val="000000" w:themeColor="text1"/>
        </w:rPr>
        <w:t xml:space="preserve">The Ramsar representatives according to </w:t>
      </w:r>
      <w:r w:rsidR="00402A02">
        <w:t>the CBD regions were as follows</w:t>
      </w:r>
      <w:r w:rsidR="00402A02" w:rsidRPr="007C3D37">
        <w:t>: for Africa, Kenya; for Asia and the Pacific, Nepal; for GRU</w:t>
      </w:r>
      <w:r w:rsidR="00402A02">
        <w:t>LAC, Colombia; for CEE, Armenia; for</w:t>
      </w:r>
      <w:r w:rsidR="00402A02" w:rsidRPr="007C3D37">
        <w:t xml:space="preserve"> WEOG</w:t>
      </w:r>
      <w:r w:rsidR="00402A02">
        <w:t>, the USA.</w:t>
      </w:r>
      <w:r w:rsidR="00AF71F1">
        <w:t xml:space="preserve"> </w:t>
      </w:r>
      <w:r w:rsidR="00402A02">
        <w:t>The workshop concluded that there was no need for new tools for cooperation, but to strengthen existing tools</w:t>
      </w:r>
      <w:r w:rsidR="008D5216">
        <w:t xml:space="preserve"> (such as InforMEA)</w:t>
      </w:r>
      <w:r w:rsidR="00402A02">
        <w:t xml:space="preserve">, and in particular to focus upon strengthening capacity-building efforts jointly at </w:t>
      </w:r>
      <w:r w:rsidR="008D5216">
        <w:t>various</w:t>
      </w:r>
      <w:r w:rsidR="00402A02">
        <w:t xml:space="preserve"> level</w:t>
      </w:r>
      <w:r w:rsidR="008D5216">
        <w:t>s</w:t>
      </w:r>
      <w:r w:rsidR="00402A02">
        <w:t>.</w:t>
      </w:r>
      <w:r w:rsidR="00AF71F1">
        <w:t xml:space="preserve"> </w:t>
      </w:r>
      <w:r w:rsidR="008D5216">
        <w:t xml:space="preserve">In terms of indicators </w:t>
      </w:r>
      <w:r w:rsidR="00AA6047">
        <w:t xml:space="preserve">it was found that </w:t>
      </w:r>
      <w:r w:rsidR="008D5216">
        <w:t>there was a growing coherence of effort under the Sustainable Development Goals and the Aichi Biodiversity targets, with SDG indicators soon to be finalized</w:t>
      </w:r>
      <w:r w:rsidR="006208A6">
        <w:t xml:space="preserve"> (in the meeting of the UNSC in Mexico, March 2016)</w:t>
      </w:r>
      <w:r w:rsidR="008D5216">
        <w:t>.</w:t>
      </w:r>
    </w:p>
    <w:p w:rsidR="00417846" w:rsidRPr="003B529A" w:rsidRDefault="00417846" w:rsidP="00B600F1">
      <w:pPr>
        <w:pStyle w:val="ListParagraph"/>
        <w:spacing w:after="0" w:line="240" w:lineRule="auto"/>
        <w:ind w:left="426" w:right="-46" w:hanging="426"/>
        <w:rPr>
          <w:rFonts w:ascii="Calibri" w:hAnsi="Calibri"/>
        </w:rPr>
      </w:pPr>
    </w:p>
    <w:p w:rsidR="006208A6" w:rsidRDefault="00BB4F06" w:rsidP="00B600F1">
      <w:pPr>
        <w:pStyle w:val="BodyText"/>
        <w:widowControl w:val="0"/>
        <w:numPr>
          <w:ilvl w:val="0"/>
          <w:numId w:val="4"/>
        </w:numPr>
        <w:spacing w:after="0"/>
        <w:ind w:left="426" w:right="-46" w:hanging="426"/>
        <w:rPr>
          <w:rFonts w:ascii="Calibri" w:hAnsi="Calibri"/>
          <w:sz w:val="22"/>
          <w:szCs w:val="22"/>
        </w:rPr>
      </w:pPr>
      <w:r>
        <w:rPr>
          <w:rFonts w:ascii="Calibri" w:hAnsi="Calibri"/>
          <w:sz w:val="22"/>
          <w:szCs w:val="22"/>
        </w:rPr>
        <w:t>Within the Secretariat, an internal Management Team has been set up and approved by the Executive Team, consisting of the Acting Secretary General, the four Senior Regional Advisers, the Head of Communicati</w:t>
      </w:r>
      <w:r w:rsidR="006208A6">
        <w:rPr>
          <w:rFonts w:ascii="Calibri" w:hAnsi="Calibri"/>
          <w:sz w:val="22"/>
          <w:szCs w:val="22"/>
        </w:rPr>
        <w:t>ons and the Executive Assistant</w:t>
      </w:r>
      <w:r>
        <w:rPr>
          <w:rFonts w:ascii="Calibri" w:hAnsi="Calibri"/>
          <w:sz w:val="22"/>
          <w:szCs w:val="22"/>
        </w:rPr>
        <w:t>.</w:t>
      </w:r>
      <w:r w:rsidR="00AF71F1">
        <w:rPr>
          <w:rFonts w:ascii="Calibri" w:hAnsi="Calibri"/>
          <w:sz w:val="22"/>
          <w:szCs w:val="22"/>
        </w:rPr>
        <w:t xml:space="preserve"> </w:t>
      </w:r>
      <w:r>
        <w:rPr>
          <w:rFonts w:ascii="Calibri" w:hAnsi="Calibri"/>
          <w:sz w:val="22"/>
          <w:szCs w:val="22"/>
        </w:rPr>
        <w:t>The Management Team meets monthly and focuses upon implementing the Action Plan based upon the Executive Team’s priorities.</w:t>
      </w:r>
      <w:r w:rsidR="00AF71F1">
        <w:rPr>
          <w:rFonts w:ascii="Calibri" w:hAnsi="Calibri"/>
          <w:sz w:val="22"/>
          <w:szCs w:val="22"/>
        </w:rPr>
        <w:t xml:space="preserve"> </w:t>
      </w:r>
      <w:r w:rsidR="006208A6">
        <w:rPr>
          <w:rFonts w:ascii="Calibri" w:hAnsi="Calibri"/>
          <w:sz w:val="22"/>
          <w:szCs w:val="22"/>
        </w:rPr>
        <w:t>The points of the Action Plan (as given in 3 above)</w:t>
      </w:r>
      <w:r>
        <w:rPr>
          <w:rFonts w:ascii="Calibri" w:hAnsi="Calibri"/>
          <w:sz w:val="22"/>
          <w:szCs w:val="22"/>
        </w:rPr>
        <w:t xml:space="preserve"> will each be taken in turn.</w:t>
      </w:r>
      <w:r w:rsidR="00AF71F1">
        <w:rPr>
          <w:rFonts w:ascii="Calibri" w:hAnsi="Calibri"/>
          <w:sz w:val="22"/>
          <w:szCs w:val="22"/>
        </w:rPr>
        <w:t xml:space="preserve"> </w:t>
      </w:r>
    </w:p>
    <w:p w:rsidR="006208A6" w:rsidRPr="006208A6" w:rsidRDefault="006208A6" w:rsidP="00B600F1">
      <w:pPr>
        <w:pStyle w:val="BodyText"/>
        <w:widowControl w:val="0"/>
        <w:spacing w:after="0"/>
        <w:ind w:right="-46"/>
        <w:rPr>
          <w:rFonts w:ascii="Calibri" w:hAnsi="Calibri"/>
          <w:sz w:val="22"/>
          <w:szCs w:val="22"/>
        </w:rPr>
      </w:pPr>
    </w:p>
    <w:p w:rsidR="00CC5D48" w:rsidRDefault="00AC3CE5" w:rsidP="00B600F1">
      <w:pPr>
        <w:pStyle w:val="BodyText"/>
        <w:widowControl w:val="0"/>
        <w:numPr>
          <w:ilvl w:val="0"/>
          <w:numId w:val="4"/>
        </w:numPr>
        <w:spacing w:after="0"/>
        <w:ind w:left="426" w:right="-46" w:hanging="426"/>
        <w:rPr>
          <w:rFonts w:ascii="Calibri" w:hAnsi="Calibri"/>
          <w:sz w:val="22"/>
          <w:szCs w:val="22"/>
        </w:rPr>
      </w:pPr>
      <w:r>
        <w:rPr>
          <w:rFonts w:ascii="Calibri" w:hAnsi="Calibri"/>
          <w:b/>
          <w:sz w:val="22"/>
          <w:szCs w:val="22"/>
        </w:rPr>
        <w:t xml:space="preserve">COP13 </w:t>
      </w:r>
      <w:r w:rsidR="009B6476">
        <w:rPr>
          <w:rFonts w:ascii="Calibri" w:hAnsi="Calibri"/>
          <w:b/>
          <w:sz w:val="22"/>
          <w:szCs w:val="22"/>
        </w:rPr>
        <w:t>MOU</w:t>
      </w:r>
      <w:r>
        <w:rPr>
          <w:rFonts w:ascii="Calibri" w:hAnsi="Calibri"/>
          <w:b/>
          <w:sz w:val="22"/>
          <w:szCs w:val="22"/>
        </w:rPr>
        <w:t xml:space="preserve">. </w:t>
      </w:r>
      <w:r>
        <w:rPr>
          <w:rFonts w:ascii="Calibri" w:hAnsi="Calibri"/>
          <w:sz w:val="22"/>
          <w:szCs w:val="22"/>
        </w:rPr>
        <w:t>For COP13 planning purposes</w:t>
      </w:r>
      <w:r w:rsidR="006208A6">
        <w:rPr>
          <w:rFonts w:ascii="Calibri" w:hAnsi="Calibri"/>
          <w:sz w:val="22"/>
          <w:szCs w:val="22"/>
        </w:rPr>
        <w:t>, the ASG and the SRA for Asia</w:t>
      </w:r>
      <w:r w:rsidR="001917EA">
        <w:rPr>
          <w:rFonts w:ascii="Calibri" w:hAnsi="Calibri"/>
          <w:sz w:val="22"/>
          <w:szCs w:val="22"/>
        </w:rPr>
        <w:t>-Oceania</w:t>
      </w:r>
      <w:r w:rsidR="006208A6">
        <w:rPr>
          <w:rFonts w:ascii="Calibri" w:hAnsi="Calibri"/>
          <w:sz w:val="22"/>
          <w:szCs w:val="22"/>
        </w:rPr>
        <w:t xml:space="preserve"> visited Dubai to meet the </w:t>
      </w:r>
      <w:r w:rsidR="00F03B73">
        <w:rPr>
          <w:rFonts w:ascii="Calibri" w:hAnsi="Calibri"/>
          <w:sz w:val="22"/>
          <w:szCs w:val="22"/>
        </w:rPr>
        <w:t>Undersecretary</w:t>
      </w:r>
      <w:r w:rsidR="006208A6">
        <w:rPr>
          <w:rFonts w:ascii="Calibri" w:hAnsi="Calibri"/>
          <w:sz w:val="22"/>
          <w:szCs w:val="22"/>
        </w:rPr>
        <w:t xml:space="preserve"> </w:t>
      </w:r>
      <w:r w:rsidR="00F03B73">
        <w:rPr>
          <w:rFonts w:ascii="Calibri" w:hAnsi="Calibri"/>
          <w:sz w:val="22"/>
          <w:szCs w:val="22"/>
        </w:rPr>
        <w:t xml:space="preserve">and </w:t>
      </w:r>
      <w:r w:rsidR="006208A6">
        <w:rPr>
          <w:rFonts w:ascii="Calibri" w:hAnsi="Calibri"/>
          <w:sz w:val="22"/>
          <w:szCs w:val="22"/>
        </w:rPr>
        <w:t>the national</w:t>
      </w:r>
      <w:r w:rsidR="00F03B73">
        <w:rPr>
          <w:rFonts w:ascii="Calibri" w:hAnsi="Calibri"/>
          <w:sz w:val="22"/>
          <w:szCs w:val="22"/>
        </w:rPr>
        <w:t xml:space="preserve"> COP13 Organizing Committee, </w:t>
      </w:r>
      <w:r w:rsidR="00B600F1">
        <w:rPr>
          <w:rFonts w:ascii="Calibri" w:hAnsi="Calibri"/>
          <w:sz w:val="22"/>
          <w:szCs w:val="22"/>
        </w:rPr>
        <w:t>and</w:t>
      </w:r>
      <w:r w:rsidR="006208A6">
        <w:rPr>
          <w:rFonts w:ascii="Calibri" w:hAnsi="Calibri"/>
          <w:sz w:val="22"/>
          <w:szCs w:val="22"/>
        </w:rPr>
        <w:t xml:space="preserve"> to view the proposed venue and the accommodation available.</w:t>
      </w:r>
      <w:r w:rsidR="00AF71F1">
        <w:rPr>
          <w:rFonts w:ascii="Calibri" w:hAnsi="Calibri"/>
          <w:sz w:val="22"/>
          <w:szCs w:val="22"/>
        </w:rPr>
        <w:t xml:space="preserve"> </w:t>
      </w:r>
      <w:r w:rsidR="006208A6">
        <w:rPr>
          <w:rFonts w:ascii="Calibri" w:hAnsi="Calibri"/>
          <w:sz w:val="22"/>
          <w:szCs w:val="22"/>
        </w:rPr>
        <w:t xml:space="preserve">The MOU for COP13 is under </w:t>
      </w:r>
      <w:r w:rsidR="00794F0F">
        <w:rPr>
          <w:rFonts w:ascii="Calibri" w:hAnsi="Calibri"/>
          <w:sz w:val="22"/>
          <w:szCs w:val="22"/>
        </w:rPr>
        <w:t xml:space="preserve">active </w:t>
      </w:r>
      <w:r w:rsidR="006208A6" w:rsidRPr="006208A6">
        <w:rPr>
          <w:rFonts w:asciiTheme="minorHAnsi" w:hAnsiTheme="minorHAnsi"/>
          <w:sz w:val="22"/>
          <w:szCs w:val="22"/>
        </w:rPr>
        <w:t xml:space="preserve">discussion between the Secretariat and the United Arab Emirates, and has been revised with an annex </w:t>
      </w:r>
      <w:r w:rsidR="006208A6" w:rsidRPr="006208A6">
        <w:rPr>
          <w:rFonts w:asciiTheme="minorHAnsi" w:hAnsiTheme="minorHAnsi" w:cs="Arial"/>
          <w:sz w:val="22"/>
          <w:szCs w:val="22"/>
        </w:rPr>
        <w:t>including the actual costs of COP12</w:t>
      </w:r>
      <w:r w:rsidR="006208A6" w:rsidRPr="006208A6">
        <w:rPr>
          <w:rFonts w:asciiTheme="minorHAnsi" w:hAnsiTheme="minorHAnsi"/>
          <w:sz w:val="22"/>
          <w:szCs w:val="22"/>
        </w:rPr>
        <w:t>.</w:t>
      </w:r>
      <w:r w:rsidR="00AF71F1">
        <w:rPr>
          <w:rFonts w:ascii="Calibri" w:hAnsi="Calibri"/>
          <w:sz w:val="22"/>
          <w:szCs w:val="22"/>
        </w:rPr>
        <w:t xml:space="preserve"> </w:t>
      </w:r>
      <w:r w:rsidR="009B6476">
        <w:rPr>
          <w:rFonts w:ascii="Calibri" w:hAnsi="Calibri"/>
          <w:sz w:val="22"/>
          <w:szCs w:val="22"/>
        </w:rPr>
        <w:t xml:space="preserve">A COP13 task force has been formed within the Secretariat to </w:t>
      </w:r>
      <w:r w:rsidR="00B600F1">
        <w:rPr>
          <w:rFonts w:ascii="Calibri" w:hAnsi="Calibri"/>
          <w:sz w:val="22"/>
          <w:szCs w:val="22"/>
        </w:rPr>
        <w:t xml:space="preserve">help </w:t>
      </w:r>
      <w:r w:rsidR="009B6476">
        <w:rPr>
          <w:rFonts w:ascii="Calibri" w:hAnsi="Calibri"/>
          <w:sz w:val="22"/>
          <w:szCs w:val="22"/>
        </w:rPr>
        <w:t>the COP13 Coordinator (the SRA for Asia</w:t>
      </w:r>
      <w:r w:rsidR="001917EA">
        <w:rPr>
          <w:rFonts w:ascii="Calibri" w:hAnsi="Calibri"/>
          <w:sz w:val="22"/>
          <w:szCs w:val="22"/>
        </w:rPr>
        <w:t>-Oceania</w:t>
      </w:r>
      <w:r w:rsidR="009B6476">
        <w:rPr>
          <w:rFonts w:ascii="Calibri" w:hAnsi="Calibri"/>
          <w:sz w:val="22"/>
          <w:szCs w:val="22"/>
        </w:rPr>
        <w:t>) manage the preparations.</w:t>
      </w:r>
      <w:r w:rsidR="00AF71F1">
        <w:rPr>
          <w:rFonts w:ascii="Calibri" w:hAnsi="Calibri"/>
          <w:sz w:val="22"/>
          <w:szCs w:val="22"/>
        </w:rPr>
        <w:t xml:space="preserve"> </w:t>
      </w:r>
    </w:p>
    <w:p w:rsidR="00CC5D48" w:rsidRPr="00CC5D48" w:rsidRDefault="00CC5D48" w:rsidP="00B600F1">
      <w:pPr>
        <w:pStyle w:val="BodyText"/>
        <w:widowControl w:val="0"/>
        <w:spacing w:after="0"/>
        <w:ind w:right="-46"/>
        <w:rPr>
          <w:rFonts w:ascii="Calibri" w:hAnsi="Calibri"/>
          <w:sz w:val="22"/>
          <w:szCs w:val="22"/>
        </w:rPr>
      </w:pPr>
    </w:p>
    <w:p w:rsidR="00BD6F40" w:rsidRPr="00AB725D" w:rsidRDefault="009B6476" w:rsidP="00B600F1">
      <w:pPr>
        <w:pStyle w:val="ListParagraph"/>
        <w:numPr>
          <w:ilvl w:val="0"/>
          <w:numId w:val="4"/>
        </w:numPr>
        <w:spacing w:after="0" w:line="240" w:lineRule="auto"/>
        <w:ind w:left="425" w:hanging="425"/>
        <w:rPr>
          <w:b/>
        </w:rPr>
      </w:pPr>
      <w:r w:rsidRPr="00557983">
        <w:rPr>
          <w:rFonts w:ascii="Calibri" w:hAnsi="Calibri"/>
          <w:b/>
        </w:rPr>
        <w:t xml:space="preserve">Other MOUs. </w:t>
      </w:r>
      <w:r w:rsidR="004661E6" w:rsidRPr="00557983">
        <w:rPr>
          <w:rFonts w:ascii="Calibri" w:hAnsi="Calibri"/>
        </w:rPr>
        <w:t>The MOUs with the Nagao Foundation and with UNEP (both presented to SC51) have been revised and are with the respective partners for comment.</w:t>
      </w:r>
      <w:r w:rsidR="00B600F1">
        <w:rPr>
          <w:rFonts w:ascii="Calibri" w:hAnsi="Calibri"/>
        </w:rPr>
        <w:t xml:space="preserve"> </w:t>
      </w:r>
      <w:r w:rsidR="00557983">
        <w:rPr>
          <w:rFonts w:ascii="Calibri" w:hAnsi="Calibri"/>
        </w:rPr>
        <w:t xml:space="preserve">As set out in </w:t>
      </w:r>
      <w:r w:rsidR="00557983" w:rsidRPr="00557983">
        <w:t>Decision SC51-20</w:t>
      </w:r>
      <w:r w:rsidR="00557983">
        <w:t>,</w:t>
      </w:r>
      <w:r w:rsidR="00B600F1">
        <w:t xml:space="preserve"> </w:t>
      </w:r>
      <w:r w:rsidR="00557983">
        <w:t>“t</w:t>
      </w:r>
      <w:r w:rsidR="00557983" w:rsidRPr="00557983">
        <w:t>he Standing Committee instructed the Secretariat to pursue renewal of the agreement with Stetson University College of Law and other necessary renewal processes.</w:t>
      </w:r>
      <w:r w:rsidR="00557983">
        <w:t xml:space="preserve">” Accordingly, </w:t>
      </w:r>
      <w:r w:rsidR="00557983">
        <w:rPr>
          <w:rFonts w:ascii="Calibri" w:hAnsi="Calibri"/>
        </w:rPr>
        <w:t>o</w:t>
      </w:r>
      <w:r w:rsidR="004661E6" w:rsidRPr="00557983">
        <w:rPr>
          <w:rFonts w:ascii="Calibri" w:hAnsi="Calibri"/>
        </w:rPr>
        <w:t xml:space="preserve">ther MOUs that have been renewed and signed include the MOU with Stetson University; the “interface arrangements” with OCHA; the MOU with Danone-Evian; </w:t>
      </w:r>
      <w:r w:rsidR="00BD6F40" w:rsidRPr="00557983">
        <w:rPr>
          <w:rFonts w:ascii="Calibri" w:hAnsi="Calibri"/>
        </w:rPr>
        <w:t xml:space="preserve">and </w:t>
      </w:r>
      <w:r w:rsidR="004661E6" w:rsidRPr="00557983">
        <w:rPr>
          <w:rFonts w:ascii="Calibri" w:hAnsi="Calibri"/>
        </w:rPr>
        <w:t xml:space="preserve">the MOU with Star Alliance (as set out in </w:t>
      </w:r>
      <w:r w:rsidR="004661E6" w:rsidRPr="00557983">
        <w:t>Document SC 52-16</w:t>
      </w:r>
      <w:r w:rsidR="007C3A8E">
        <w:t xml:space="preserve"> Rev.1</w:t>
      </w:r>
      <w:r w:rsidR="004661E6" w:rsidRPr="00557983">
        <w:t>).</w:t>
      </w:r>
      <w:r w:rsidR="00B600F1">
        <w:t xml:space="preserve"> </w:t>
      </w:r>
    </w:p>
    <w:p w:rsidR="00AB725D" w:rsidRPr="00AB725D" w:rsidRDefault="00AB725D" w:rsidP="00B600F1">
      <w:pPr>
        <w:pStyle w:val="BodyText"/>
        <w:widowControl w:val="0"/>
        <w:spacing w:after="0"/>
        <w:ind w:right="-46"/>
        <w:rPr>
          <w:rFonts w:ascii="Calibri" w:hAnsi="Calibri"/>
          <w:sz w:val="22"/>
          <w:szCs w:val="22"/>
        </w:rPr>
      </w:pPr>
    </w:p>
    <w:p w:rsidR="0019027C" w:rsidRPr="00AB725D" w:rsidRDefault="00BD6F40" w:rsidP="007C3A8E">
      <w:pPr>
        <w:pStyle w:val="BodyText"/>
        <w:widowControl w:val="0"/>
        <w:numPr>
          <w:ilvl w:val="0"/>
          <w:numId w:val="4"/>
        </w:numPr>
        <w:spacing w:after="0"/>
        <w:ind w:left="426" w:right="-46" w:hanging="426"/>
        <w:rPr>
          <w:rFonts w:ascii="Calibri" w:hAnsi="Calibri"/>
          <w:sz w:val="22"/>
          <w:szCs w:val="22"/>
        </w:rPr>
      </w:pPr>
      <w:r w:rsidRPr="00AB725D">
        <w:rPr>
          <w:rFonts w:ascii="Calibri" w:hAnsi="Calibri"/>
          <w:b/>
          <w:sz w:val="22"/>
          <w:szCs w:val="22"/>
        </w:rPr>
        <w:t>Written arrangements for the Ramsar Regional Centre-East Asia (RRC-EA)</w:t>
      </w:r>
      <w:r w:rsidRPr="00AB725D">
        <w:rPr>
          <w:rFonts w:ascii="Calibri" w:hAnsi="Calibri"/>
          <w:sz w:val="22"/>
          <w:szCs w:val="22"/>
        </w:rPr>
        <w:t>.</w:t>
      </w:r>
      <w:r w:rsidR="00B600F1">
        <w:rPr>
          <w:rFonts w:ascii="Calibri" w:hAnsi="Calibri"/>
          <w:sz w:val="22"/>
          <w:szCs w:val="22"/>
        </w:rPr>
        <w:t xml:space="preserve"> </w:t>
      </w:r>
      <w:r w:rsidR="00557983" w:rsidRPr="00AB725D">
        <w:rPr>
          <w:rFonts w:ascii="Calibri" w:hAnsi="Calibri"/>
          <w:sz w:val="22"/>
          <w:szCs w:val="22"/>
        </w:rPr>
        <w:t>A</w:t>
      </w:r>
      <w:r w:rsidR="00CC5D48" w:rsidRPr="00AB725D">
        <w:rPr>
          <w:rFonts w:ascii="Calibri" w:hAnsi="Calibri"/>
          <w:sz w:val="22"/>
          <w:szCs w:val="22"/>
        </w:rPr>
        <w:t xml:space="preserve"> bilateral agreement between the RRC-EA and th</w:t>
      </w:r>
      <w:r w:rsidR="00557983" w:rsidRPr="00AB725D">
        <w:rPr>
          <w:rFonts w:ascii="Calibri" w:hAnsi="Calibri"/>
          <w:sz w:val="22"/>
          <w:szCs w:val="22"/>
        </w:rPr>
        <w:t>e Ramsar Convention Secretariat was</w:t>
      </w:r>
      <w:r w:rsidR="00CC5D48" w:rsidRPr="00AB725D">
        <w:rPr>
          <w:rFonts w:ascii="Calibri" w:hAnsi="Calibri"/>
          <w:sz w:val="22"/>
          <w:szCs w:val="22"/>
        </w:rPr>
        <w:t xml:space="preserve"> signed on 15 December 2015. The full text is appended to Document SC52-16</w:t>
      </w:r>
      <w:r w:rsidR="007C3A8E">
        <w:rPr>
          <w:rFonts w:ascii="Calibri" w:hAnsi="Calibri"/>
          <w:sz w:val="22"/>
          <w:szCs w:val="22"/>
        </w:rPr>
        <w:t xml:space="preserve"> </w:t>
      </w:r>
      <w:r w:rsidR="007C3A8E" w:rsidRPr="007C3A8E">
        <w:rPr>
          <w:rFonts w:ascii="Calibri" w:hAnsi="Calibri"/>
          <w:sz w:val="22"/>
          <w:szCs w:val="22"/>
        </w:rPr>
        <w:t>Rev.1</w:t>
      </w:r>
      <w:r w:rsidR="00CC5D48" w:rsidRPr="00AB725D">
        <w:rPr>
          <w:rFonts w:ascii="Calibri" w:hAnsi="Calibri"/>
          <w:sz w:val="22"/>
          <w:szCs w:val="22"/>
        </w:rPr>
        <w:t xml:space="preserve">. </w:t>
      </w:r>
      <w:r w:rsidR="00557983" w:rsidRPr="00AB725D">
        <w:rPr>
          <w:rFonts w:ascii="Calibri" w:hAnsi="Calibri"/>
          <w:sz w:val="22"/>
          <w:szCs w:val="22"/>
        </w:rPr>
        <w:t>This</w:t>
      </w:r>
      <w:r w:rsidR="00CC5D48" w:rsidRPr="00AB725D">
        <w:rPr>
          <w:rFonts w:ascii="Calibri" w:hAnsi="Calibri"/>
          <w:sz w:val="22"/>
          <w:szCs w:val="22"/>
        </w:rPr>
        <w:t xml:space="preserve"> bilateral agreement was agreed by all participating Contracting Parties in East </w:t>
      </w:r>
      <w:r w:rsidR="00794F0F" w:rsidRPr="00AB725D">
        <w:rPr>
          <w:rFonts w:ascii="Calibri" w:hAnsi="Calibri"/>
          <w:sz w:val="22"/>
          <w:szCs w:val="22"/>
        </w:rPr>
        <w:t xml:space="preserve">and South-east </w:t>
      </w:r>
      <w:r w:rsidR="00CC5D48" w:rsidRPr="00AB725D">
        <w:rPr>
          <w:rFonts w:ascii="Calibri" w:hAnsi="Calibri"/>
          <w:sz w:val="22"/>
          <w:szCs w:val="22"/>
        </w:rPr>
        <w:t xml:space="preserve">Asia. </w:t>
      </w:r>
      <w:r w:rsidR="00557983" w:rsidRPr="00AB725D">
        <w:rPr>
          <w:rFonts w:ascii="Calibri" w:hAnsi="Calibri"/>
          <w:sz w:val="22"/>
          <w:szCs w:val="22"/>
        </w:rPr>
        <w:t>It</w:t>
      </w:r>
      <w:r w:rsidRPr="00AB725D">
        <w:rPr>
          <w:rFonts w:ascii="Calibri" w:hAnsi="Calibri"/>
          <w:sz w:val="22"/>
          <w:szCs w:val="22"/>
        </w:rPr>
        <w:t xml:space="preserve"> is not an MOU, but a renewal of the existing arrangements under which the RRC-EA was set up in 2010 under the Operational Guidelines 2009-2012.</w:t>
      </w:r>
      <w:r w:rsidR="00557983" w:rsidRPr="00AB725D">
        <w:rPr>
          <w:rFonts w:ascii="Calibri" w:hAnsi="Calibri"/>
          <w:sz w:val="22"/>
          <w:szCs w:val="22"/>
        </w:rPr>
        <w:t xml:space="preserve"> The agreement</w:t>
      </w:r>
      <w:r w:rsidR="00CC5D48" w:rsidRPr="00AB725D">
        <w:rPr>
          <w:rFonts w:ascii="Calibri" w:hAnsi="Calibri"/>
          <w:sz w:val="22"/>
          <w:szCs w:val="22"/>
        </w:rPr>
        <w:t xml:space="preserve"> was </w:t>
      </w:r>
      <w:r w:rsidRPr="00AB725D">
        <w:rPr>
          <w:rFonts w:ascii="Calibri" w:hAnsi="Calibri"/>
          <w:sz w:val="22"/>
          <w:szCs w:val="22"/>
        </w:rPr>
        <w:t>defin</w:t>
      </w:r>
      <w:r w:rsidR="00CC5D48" w:rsidRPr="00AB725D">
        <w:rPr>
          <w:rFonts w:ascii="Calibri" w:hAnsi="Calibri"/>
          <w:sz w:val="22"/>
          <w:szCs w:val="22"/>
        </w:rPr>
        <w:t>ed in acco</w:t>
      </w:r>
      <w:r w:rsidR="00AB725D">
        <w:rPr>
          <w:rFonts w:ascii="Calibri" w:hAnsi="Calibri"/>
          <w:sz w:val="22"/>
          <w:szCs w:val="22"/>
        </w:rPr>
        <w:t>rdance with paragraph 6 of the “</w:t>
      </w:r>
      <w:r w:rsidR="00CC5D48" w:rsidRPr="00AB725D">
        <w:rPr>
          <w:rFonts w:ascii="Calibri" w:hAnsi="Calibri"/>
          <w:sz w:val="22"/>
          <w:szCs w:val="22"/>
        </w:rPr>
        <w:t>Operational Guidelines 2013-2015 for Regional Initiatives in the framework of the Convention on Wetlands</w:t>
      </w:r>
      <w:r w:rsidR="00AB725D">
        <w:rPr>
          <w:rFonts w:ascii="Calibri" w:hAnsi="Calibri"/>
          <w:sz w:val="22"/>
          <w:szCs w:val="22"/>
        </w:rPr>
        <w:t>”</w:t>
      </w:r>
      <w:r w:rsidR="00CC5D48" w:rsidRPr="00AB725D">
        <w:rPr>
          <w:rFonts w:ascii="Calibri" w:hAnsi="Calibri"/>
          <w:sz w:val="22"/>
          <w:szCs w:val="22"/>
        </w:rPr>
        <w:t xml:space="preserve"> approved by Decision SC46-28 (2013) which states that:</w:t>
      </w:r>
      <w:r w:rsidR="00AB725D">
        <w:rPr>
          <w:rFonts w:ascii="Calibri" w:hAnsi="Calibri"/>
          <w:sz w:val="22"/>
          <w:szCs w:val="22"/>
        </w:rPr>
        <w:t xml:space="preserve"> </w:t>
      </w:r>
      <w:r w:rsidR="00CC5D48" w:rsidRPr="00AB725D">
        <w:rPr>
          <w:rFonts w:ascii="Calibri" w:hAnsi="Calibri"/>
          <w:sz w:val="22"/>
          <w:szCs w:val="22"/>
        </w:rPr>
        <w:t>“The complementary roles of the coordinating mechanisms of Regional Initiatives and the Ramsar Secretariat, including their respective responsibilities, may be defined in written arrangements, if agreed by all participating Contracting Parties.”</w:t>
      </w:r>
      <w:r w:rsidR="00B600F1">
        <w:rPr>
          <w:rFonts w:ascii="Calibri" w:hAnsi="Calibri"/>
          <w:sz w:val="22"/>
          <w:szCs w:val="22"/>
        </w:rPr>
        <w:t xml:space="preserve"> Meanwhile, the arrangements for hosting of the Centre were addressed through </w:t>
      </w:r>
      <w:r w:rsidR="00B600F1" w:rsidRPr="00B600F1">
        <w:rPr>
          <w:rFonts w:ascii="Calibri" w:hAnsi="Calibri"/>
          <w:sz w:val="22"/>
          <w:szCs w:val="22"/>
        </w:rPr>
        <w:t>a tripartite agreement between the Steering Committee of the RRC-EA, the Ministry of Environment of the Republic of Korea, and the Mayor of Suncheon City on 31 December 2015, without the involvement of the Ramsar Convention Secretariat.</w:t>
      </w:r>
    </w:p>
    <w:p w:rsidR="00AB725D" w:rsidRPr="00CC5D48" w:rsidRDefault="00AB725D" w:rsidP="00B600F1">
      <w:pPr>
        <w:pStyle w:val="BodyText"/>
        <w:widowControl w:val="0"/>
        <w:spacing w:after="0"/>
        <w:ind w:right="-46"/>
        <w:rPr>
          <w:rFonts w:ascii="Calibri" w:hAnsi="Calibri"/>
          <w:sz w:val="22"/>
          <w:szCs w:val="22"/>
        </w:rPr>
      </w:pPr>
    </w:p>
    <w:p w:rsidR="00F03B73" w:rsidRPr="00636075" w:rsidRDefault="00AC3CE5" w:rsidP="00B600F1">
      <w:pPr>
        <w:pStyle w:val="ListParagraph"/>
        <w:widowControl w:val="0"/>
        <w:numPr>
          <w:ilvl w:val="0"/>
          <w:numId w:val="4"/>
        </w:numPr>
        <w:spacing w:after="0" w:line="240" w:lineRule="auto"/>
        <w:ind w:left="426" w:right="-46" w:hanging="426"/>
        <w:rPr>
          <w:rFonts w:ascii="Calibri" w:eastAsia="Arial Unicode MS" w:hAnsi="Calibri" w:cs="Arial Unicode MS"/>
          <w:kern w:val="1"/>
          <w:lang w:eastAsia="hi-IN" w:bidi="hi-IN"/>
        </w:rPr>
      </w:pPr>
      <w:r>
        <w:rPr>
          <w:rFonts w:ascii="Calibri" w:hAnsi="Calibri"/>
          <w:b/>
        </w:rPr>
        <w:t>Budget audit.</w:t>
      </w:r>
      <w:r w:rsidR="00AF71F1">
        <w:rPr>
          <w:rFonts w:ascii="Calibri" w:hAnsi="Calibri"/>
          <w:b/>
        </w:rPr>
        <w:t xml:space="preserve"> </w:t>
      </w:r>
      <w:r w:rsidR="004661E6">
        <w:rPr>
          <w:rFonts w:ascii="Calibri" w:hAnsi="Calibri"/>
        </w:rPr>
        <w:t xml:space="preserve">The Ramsar </w:t>
      </w:r>
      <w:r w:rsidR="00BD6F40">
        <w:rPr>
          <w:rFonts w:ascii="Calibri" w:hAnsi="Calibri"/>
        </w:rPr>
        <w:t xml:space="preserve">Convention </w:t>
      </w:r>
      <w:r w:rsidR="004661E6">
        <w:rPr>
          <w:rFonts w:ascii="Calibri" w:hAnsi="Calibri"/>
        </w:rPr>
        <w:t xml:space="preserve">Secretariat </w:t>
      </w:r>
      <w:r w:rsidR="0019027C">
        <w:rPr>
          <w:rFonts w:ascii="Calibri" w:hAnsi="Calibri"/>
        </w:rPr>
        <w:t>will have the usual</w:t>
      </w:r>
      <w:r w:rsidR="004661E6">
        <w:rPr>
          <w:rFonts w:ascii="Calibri" w:hAnsi="Calibri"/>
        </w:rPr>
        <w:t xml:space="preserve"> audit of its finances carried out by external auditors </w:t>
      </w:r>
      <w:r w:rsidR="0019027C">
        <w:rPr>
          <w:rFonts w:ascii="Calibri" w:hAnsi="Calibri"/>
        </w:rPr>
        <w:t>PriceWaterhouseCoopers, in April 2016.</w:t>
      </w:r>
      <w:r w:rsidR="00AF71F1">
        <w:rPr>
          <w:rFonts w:ascii="Calibri" w:hAnsi="Calibri"/>
        </w:rPr>
        <w:t xml:space="preserve"> </w:t>
      </w:r>
      <w:r w:rsidR="0019027C">
        <w:rPr>
          <w:rFonts w:ascii="Calibri" w:hAnsi="Calibri"/>
        </w:rPr>
        <w:t xml:space="preserve">Currently the Secretariat is </w:t>
      </w:r>
      <w:r w:rsidR="00F03B73">
        <w:rPr>
          <w:rFonts w:ascii="Calibri" w:hAnsi="Calibri"/>
        </w:rPr>
        <w:t xml:space="preserve">also </w:t>
      </w:r>
      <w:r w:rsidR="0019027C">
        <w:rPr>
          <w:rFonts w:ascii="Calibri" w:hAnsi="Calibri"/>
        </w:rPr>
        <w:t>undergoing an inhouse audit, carried out by the IUCN Oversight Unit.</w:t>
      </w:r>
      <w:r w:rsidR="00AF71F1">
        <w:rPr>
          <w:rFonts w:ascii="Calibri" w:hAnsi="Calibri"/>
        </w:rPr>
        <w:t xml:space="preserve"> </w:t>
      </w:r>
      <w:r w:rsidR="0019027C">
        <w:rPr>
          <w:rFonts w:ascii="Calibri" w:hAnsi="Calibri"/>
        </w:rPr>
        <w:t xml:space="preserve">This is a standard </w:t>
      </w:r>
      <w:r w:rsidR="0019027C">
        <w:rPr>
          <w:rFonts w:ascii="Calibri" w:hAnsi="Calibri"/>
        </w:rPr>
        <w:lastRenderedPageBreak/>
        <w:t>procedure carried out each time the head of a unit leaves within IUCN.</w:t>
      </w:r>
      <w:r w:rsidR="00AF71F1">
        <w:rPr>
          <w:rFonts w:ascii="Calibri" w:hAnsi="Calibri"/>
        </w:rPr>
        <w:t xml:space="preserve"> </w:t>
      </w:r>
      <w:r w:rsidR="0019027C">
        <w:rPr>
          <w:rFonts w:ascii="Calibri" w:hAnsi="Calibri"/>
        </w:rPr>
        <w:t>In addition, the budget is under continuous review to ensure that any act</w:t>
      </w:r>
      <w:r w:rsidR="00F03B73">
        <w:rPr>
          <w:rFonts w:ascii="Calibri" w:hAnsi="Calibri"/>
        </w:rPr>
        <w:t>ivity or expenditure is closely linked with an item in the workplan, and hence that the budget aligns with the priorities as set out in the Strategic Plan, the COP12 Resolutions and the Executive Team’s priorities.</w:t>
      </w:r>
      <w:r w:rsidR="00AF71F1">
        <w:rPr>
          <w:rFonts w:ascii="Calibri" w:hAnsi="Calibri"/>
        </w:rPr>
        <w:t xml:space="preserve"> </w:t>
      </w:r>
      <w:r w:rsidR="00636075">
        <w:rPr>
          <w:rFonts w:ascii="Calibri" w:eastAsia="Arial Unicode MS" w:hAnsi="Calibri" w:cs="Arial Unicode MS"/>
          <w:kern w:val="1"/>
          <w:lang w:eastAsia="hi-IN" w:bidi="hi-IN"/>
        </w:rPr>
        <w:t xml:space="preserve">A full </w:t>
      </w:r>
      <w:r w:rsidR="00636075" w:rsidRPr="003B529A">
        <w:rPr>
          <w:rFonts w:ascii="Calibri" w:eastAsia="Arial Unicode MS" w:hAnsi="Calibri" w:cs="Arial Unicode MS"/>
          <w:kern w:val="1"/>
          <w:lang w:eastAsia="hi-IN" w:bidi="hi-IN"/>
        </w:rPr>
        <w:t>report on</w:t>
      </w:r>
      <w:r w:rsidR="00636075">
        <w:rPr>
          <w:rFonts w:ascii="Calibri" w:eastAsia="Arial Unicode MS" w:hAnsi="Calibri" w:cs="Arial Unicode MS"/>
          <w:kern w:val="1"/>
          <w:lang w:eastAsia="hi-IN" w:bidi="hi-IN"/>
        </w:rPr>
        <w:t xml:space="preserve"> </w:t>
      </w:r>
      <w:r w:rsidR="00636075" w:rsidRPr="003B529A">
        <w:rPr>
          <w:rFonts w:ascii="Calibri" w:eastAsia="Arial Unicode MS" w:hAnsi="Calibri" w:cs="Arial Unicode MS"/>
          <w:kern w:val="1"/>
          <w:lang w:eastAsia="hi-IN" w:bidi="hi-IN"/>
        </w:rPr>
        <w:t>the status of the core and non-core budget</w:t>
      </w:r>
      <w:r w:rsidR="00636075">
        <w:rPr>
          <w:rFonts w:ascii="Calibri" w:eastAsia="Arial Unicode MS" w:hAnsi="Calibri" w:cs="Arial Unicode MS"/>
          <w:kern w:val="1"/>
          <w:lang w:eastAsia="hi-IN" w:bidi="hi-IN"/>
        </w:rPr>
        <w:t xml:space="preserve"> for 2015 is</w:t>
      </w:r>
      <w:r w:rsidR="00636075" w:rsidRPr="003B529A">
        <w:rPr>
          <w:rFonts w:ascii="Calibri" w:eastAsia="Arial Unicode MS" w:hAnsi="Calibri" w:cs="Arial Unicode MS"/>
          <w:kern w:val="1"/>
          <w:lang w:eastAsia="hi-IN" w:bidi="hi-IN"/>
        </w:rPr>
        <w:t xml:space="preserve"> covered </w:t>
      </w:r>
      <w:r w:rsidR="00636075">
        <w:rPr>
          <w:rFonts w:ascii="Calibri" w:eastAsia="Arial Unicode MS" w:hAnsi="Calibri" w:cs="Arial Unicode MS"/>
          <w:kern w:val="1"/>
          <w:lang w:eastAsia="hi-IN" w:bidi="hi-IN"/>
        </w:rPr>
        <w:t>in Document SC52-18.</w:t>
      </w:r>
    </w:p>
    <w:p w:rsidR="00AC3CE5" w:rsidRPr="00AC3CE5" w:rsidRDefault="00AC3CE5" w:rsidP="00B600F1">
      <w:pPr>
        <w:pStyle w:val="BodyText"/>
        <w:widowControl w:val="0"/>
        <w:spacing w:after="0"/>
        <w:ind w:right="-46"/>
        <w:rPr>
          <w:rFonts w:ascii="Calibri" w:hAnsi="Calibri"/>
          <w:sz w:val="22"/>
          <w:szCs w:val="22"/>
        </w:rPr>
      </w:pPr>
    </w:p>
    <w:p w:rsidR="00F03B73" w:rsidRPr="00AA6047" w:rsidRDefault="009B6476" w:rsidP="00B600F1">
      <w:pPr>
        <w:pStyle w:val="ListParagraph"/>
        <w:numPr>
          <w:ilvl w:val="0"/>
          <w:numId w:val="4"/>
        </w:numPr>
        <w:spacing w:after="0" w:line="240" w:lineRule="auto"/>
        <w:ind w:left="425" w:hanging="425"/>
        <w:rPr>
          <w:rFonts w:cs="Arial"/>
          <w:color w:val="000000" w:themeColor="text1"/>
        </w:rPr>
      </w:pPr>
      <w:r w:rsidRPr="00AA6047">
        <w:rPr>
          <w:rFonts w:ascii="Calibri" w:hAnsi="Calibri"/>
          <w:b/>
        </w:rPr>
        <w:t xml:space="preserve">SC52 preparations. </w:t>
      </w:r>
      <w:r w:rsidR="00AC3CE5" w:rsidRPr="00AA6047">
        <w:rPr>
          <w:rFonts w:ascii="Calibri" w:hAnsi="Calibri"/>
        </w:rPr>
        <w:t xml:space="preserve">Preparations for SC52 are under way with the rooms booked, contracts prepared for the </w:t>
      </w:r>
      <w:r w:rsidR="001917EA">
        <w:rPr>
          <w:rFonts w:ascii="Calibri" w:hAnsi="Calibri"/>
        </w:rPr>
        <w:t>interpreters and the rapporteur</w:t>
      </w:r>
      <w:r w:rsidR="00AC3CE5" w:rsidRPr="00AA6047">
        <w:rPr>
          <w:rFonts w:ascii="Calibri" w:hAnsi="Calibri"/>
        </w:rPr>
        <w:t>, and all documents prepared</w:t>
      </w:r>
      <w:r w:rsidR="00AA6047" w:rsidRPr="00AA6047">
        <w:rPr>
          <w:rFonts w:ascii="Calibri" w:hAnsi="Calibri"/>
        </w:rPr>
        <w:t>, ensuring that format and quality are in line with other international conventions</w:t>
      </w:r>
      <w:r w:rsidR="00AC3CE5" w:rsidRPr="00AA6047">
        <w:rPr>
          <w:rFonts w:ascii="Calibri" w:hAnsi="Calibri"/>
        </w:rPr>
        <w:t>.</w:t>
      </w:r>
      <w:r w:rsidR="00AF71F1">
        <w:rPr>
          <w:rFonts w:ascii="Calibri" w:hAnsi="Calibri"/>
        </w:rPr>
        <w:t xml:space="preserve"> </w:t>
      </w:r>
      <w:r w:rsidR="00AC3CE5" w:rsidRPr="00AA6047">
        <w:rPr>
          <w:rFonts w:ascii="Calibri" w:hAnsi="Calibri"/>
        </w:rPr>
        <w:t>The English version of the documents is being posted online on 11 March 2016, i.e. 3 months before the meetin</w:t>
      </w:r>
      <w:r w:rsidR="0074721D">
        <w:rPr>
          <w:rFonts w:ascii="Calibri" w:hAnsi="Calibri"/>
        </w:rPr>
        <w:t>g itself which is taking place 13</w:t>
      </w:r>
      <w:r w:rsidR="00AC3CE5" w:rsidRPr="00AA6047">
        <w:rPr>
          <w:rFonts w:ascii="Calibri" w:hAnsi="Calibri"/>
        </w:rPr>
        <w:t>-</w:t>
      </w:r>
      <w:r w:rsidR="0074721D">
        <w:rPr>
          <w:rFonts w:ascii="Calibri" w:hAnsi="Calibri"/>
        </w:rPr>
        <w:t>1</w:t>
      </w:r>
      <w:r w:rsidR="00AC3CE5" w:rsidRPr="00AA6047">
        <w:rPr>
          <w:rFonts w:ascii="Calibri" w:hAnsi="Calibri"/>
        </w:rPr>
        <w:t>7 June 2016.</w:t>
      </w:r>
      <w:r w:rsidR="00AF71F1">
        <w:rPr>
          <w:rFonts w:ascii="Calibri" w:hAnsi="Calibri"/>
        </w:rPr>
        <w:t xml:space="preserve"> </w:t>
      </w:r>
      <w:r w:rsidR="00AC3CE5" w:rsidRPr="00AA6047">
        <w:rPr>
          <w:rFonts w:ascii="Calibri" w:hAnsi="Calibri"/>
        </w:rPr>
        <w:t xml:space="preserve">The French </w:t>
      </w:r>
      <w:r w:rsidR="00AC3CE5" w:rsidRPr="00AA6047">
        <w:rPr>
          <w:rFonts w:ascii="Calibri" w:hAnsi="Calibri"/>
          <w:color w:val="000000" w:themeColor="text1"/>
        </w:rPr>
        <w:t>and Spanish versions are posted the following week to give the translation team time to do its work.</w:t>
      </w:r>
      <w:r w:rsidR="00AF71F1">
        <w:rPr>
          <w:rFonts w:ascii="Calibri" w:hAnsi="Calibri"/>
          <w:color w:val="000000" w:themeColor="text1"/>
        </w:rPr>
        <w:t xml:space="preserve"> </w:t>
      </w:r>
      <w:r w:rsidR="00AA6047" w:rsidRPr="00AA6047">
        <w:rPr>
          <w:rFonts w:cs="Arial"/>
          <w:color w:val="000000" w:themeColor="text1"/>
        </w:rPr>
        <w:t>The d</w:t>
      </w:r>
      <w:r w:rsidR="0074721D">
        <w:rPr>
          <w:rFonts w:cs="Arial"/>
          <w:color w:val="000000" w:themeColor="text1"/>
        </w:rPr>
        <w:t>raft SC52 agenda and programme,</w:t>
      </w:r>
      <w:r w:rsidR="00AA6047" w:rsidRPr="00AA6047">
        <w:rPr>
          <w:rFonts w:cs="Arial"/>
          <w:color w:val="000000" w:themeColor="text1"/>
        </w:rPr>
        <w:t xml:space="preserve"> and the list of documents</w:t>
      </w:r>
      <w:r w:rsidR="0074721D">
        <w:rPr>
          <w:rFonts w:cs="Arial"/>
          <w:color w:val="000000" w:themeColor="text1"/>
        </w:rPr>
        <w:t>,</w:t>
      </w:r>
      <w:r w:rsidR="00AA6047" w:rsidRPr="00AA6047">
        <w:rPr>
          <w:rFonts w:cs="Arial"/>
          <w:color w:val="000000" w:themeColor="text1"/>
        </w:rPr>
        <w:t xml:space="preserve"> were approved by the Executive Team prior to posting, and this i</w:t>
      </w:r>
      <w:r w:rsidR="0074721D">
        <w:rPr>
          <w:rFonts w:cs="Arial"/>
          <w:color w:val="000000" w:themeColor="text1"/>
        </w:rPr>
        <w:t>ncluded efforts to identify</w:t>
      </w:r>
      <w:r w:rsidR="00AA6047" w:rsidRPr="00AA6047">
        <w:rPr>
          <w:rFonts w:cs="Arial"/>
          <w:color w:val="000000" w:themeColor="text1"/>
        </w:rPr>
        <w:t xml:space="preserve"> potential overlap</w:t>
      </w:r>
      <w:r w:rsidR="0074721D">
        <w:rPr>
          <w:rFonts w:cs="Arial"/>
          <w:color w:val="000000" w:themeColor="text1"/>
        </w:rPr>
        <w:t>s</w:t>
      </w:r>
      <w:r w:rsidR="00AA6047" w:rsidRPr="00AA6047">
        <w:rPr>
          <w:rFonts w:cs="Arial"/>
          <w:color w:val="000000" w:themeColor="text1"/>
        </w:rPr>
        <w:t xml:space="preserve"> between members of SC Working Groups and Sub-Groups, and </w:t>
      </w:r>
      <w:r w:rsidR="0074721D">
        <w:rPr>
          <w:rFonts w:cs="Arial"/>
          <w:color w:val="000000" w:themeColor="text1"/>
        </w:rPr>
        <w:t>revising the scheduling</w:t>
      </w:r>
      <w:r w:rsidR="00AA6047" w:rsidRPr="00AA6047">
        <w:rPr>
          <w:rFonts w:cs="Arial"/>
          <w:color w:val="000000" w:themeColor="text1"/>
        </w:rPr>
        <w:t xml:space="preserve"> of these groups </w:t>
      </w:r>
      <w:r w:rsidR="0074721D">
        <w:rPr>
          <w:rFonts w:cs="Arial"/>
          <w:color w:val="000000" w:themeColor="text1"/>
        </w:rPr>
        <w:t xml:space="preserve">in order </w:t>
      </w:r>
      <w:r w:rsidR="00AA6047" w:rsidRPr="00AA6047">
        <w:rPr>
          <w:rFonts w:cs="Arial"/>
          <w:color w:val="000000" w:themeColor="text1"/>
        </w:rPr>
        <w:t>to avoid clashes.</w:t>
      </w:r>
      <w:r w:rsidR="00AF71F1">
        <w:rPr>
          <w:rFonts w:cs="Arial"/>
          <w:color w:val="000000" w:themeColor="text1"/>
        </w:rPr>
        <w:t xml:space="preserve"> </w:t>
      </w:r>
      <w:r w:rsidR="00AA6047" w:rsidRPr="00AA6047">
        <w:rPr>
          <w:rFonts w:cs="Arial"/>
          <w:color w:val="000000" w:themeColor="text1"/>
        </w:rPr>
        <w:t xml:space="preserve">A process for Parties’ review of SC documents was submitted for the consideration of the Executive Team, and following substantial revision has now been </w:t>
      </w:r>
      <w:r w:rsidR="001917EA">
        <w:rPr>
          <w:rFonts w:cs="Arial"/>
          <w:color w:val="000000" w:themeColor="text1"/>
        </w:rPr>
        <w:t>submitted to the Working Group on Improving Management Instruments</w:t>
      </w:r>
      <w:r w:rsidR="00AA6047" w:rsidRPr="00AA6047">
        <w:rPr>
          <w:rFonts w:cs="Arial"/>
          <w:color w:val="000000" w:themeColor="text1"/>
        </w:rPr>
        <w:t>.</w:t>
      </w:r>
    </w:p>
    <w:p w:rsidR="006208A6" w:rsidRPr="006208A6" w:rsidRDefault="006208A6" w:rsidP="00B600F1">
      <w:pPr>
        <w:pStyle w:val="BodyText"/>
        <w:widowControl w:val="0"/>
        <w:spacing w:after="0"/>
        <w:ind w:left="426" w:right="-46"/>
        <w:rPr>
          <w:rFonts w:ascii="Calibri" w:hAnsi="Calibri"/>
          <w:sz w:val="22"/>
          <w:szCs w:val="22"/>
        </w:rPr>
      </w:pPr>
    </w:p>
    <w:p w:rsidR="009B6476" w:rsidRPr="009B6476" w:rsidRDefault="009B6476" w:rsidP="00B600F1">
      <w:pPr>
        <w:pStyle w:val="ListParagraph"/>
        <w:numPr>
          <w:ilvl w:val="0"/>
          <w:numId w:val="4"/>
        </w:numPr>
        <w:spacing w:after="0" w:line="240" w:lineRule="auto"/>
        <w:ind w:left="426" w:hanging="426"/>
        <w:contextualSpacing w:val="0"/>
        <w:rPr>
          <w:rFonts w:cs="Arial"/>
        </w:rPr>
      </w:pPr>
      <w:r>
        <w:rPr>
          <w:rFonts w:cs="Arial"/>
          <w:b/>
        </w:rPr>
        <w:t>Implementation of working webpage and RSIS.</w:t>
      </w:r>
      <w:r w:rsidR="00AF71F1">
        <w:rPr>
          <w:rFonts w:cs="Arial"/>
          <w:b/>
        </w:rPr>
        <w:t xml:space="preserve"> </w:t>
      </w:r>
      <w:r>
        <w:rPr>
          <w:rFonts w:cs="Arial"/>
        </w:rPr>
        <w:t>The s</w:t>
      </w:r>
      <w:r w:rsidRPr="00827F2F">
        <w:rPr>
          <w:rFonts w:cs="Arial"/>
        </w:rPr>
        <w:t xml:space="preserve">tructure of </w:t>
      </w:r>
      <w:r>
        <w:rPr>
          <w:rFonts w:cs="Arial"/>
        </w:rPr>
        <w:t xml:space="preserve">the </w:t>
      </w:r>
      <w:r w:rsidRPr="009B6476">
        <w:rPr>
          <w:rFonts w:cs="Arial"/>
        </w:rPr>
        <w:t>new website</w:t>
      </w:r>
      <w:r w:rsidRPr="00827F2F">
        <w:rPr>
          <w:rFonts w:cs="Arial"/>
        </w:rPr>
        <w:t xml:space="preserve"> </w:t>
      </w:r>
      <w:r>
        <w:rPr>
          <w:rFonts w:cs="Arial"/>
        </w:rPr>
        <w:t>now</w:t>
      </w:r>
      <w:r w:rsidRPr="00827F2F">
        <w:rPr>
          <w:rFonts w:cs="Arial"/>
        </w:rPr>
        <w:t xml:space="preserve"> contain</w:t>
      </w:r>
      <w:r>
        <w:rPr>
          <w:rFonts w:cs="Arial"/>
        </w:rPr>
        <w:t>s</w:t>
      </w:r>
      <w:r w:rsidRPr="00827F2F">
        <w:rPr>
          <w:rFonts w:cs="Arial"/>
        </w:rPr>
        <w:t xml:space="preserve"> all items from </w:t>
      </w:r>
      <w:r>
        <w:rPr>
          <w:rFonts w:cs="Arial"/>
        </w:rPr>
        <w:t>the old website.</w:t>
      </w:r>
      <w:r w:rsidR="00AF71F1">
        <w:rPr>
          <w:rFonts w:cs="Arial"/>
        </w:rPr>
        <w:t xml:space="preserve"> </w:t>
      </w:r>
      <w:r>
        <w:rPr>
          <w:rFonts w:cs="Arial"/>
          <w:color w:val="000000" w:themeColor="text1"/>
        </w:rPr>
        <w:t xml:space="preserve">The </w:t>
      </w:r>
      <w:r w:rsidRPr="009B6476">
        <w:rPr>
          <w:rFonts w:cs="Arial"/>
          <w:color w:val="000000" w:themeColor="text1"/>
        </w:rPr>
        <w:t xml:space="preserve">library menu </w:t>
      </w:r>
      <w:r w:rsidR="00102E4B">
        <w:rPr>
          <w:rFonts w:cs="Arial"/>
          <w:color w:val="000000" w:themeColor="text1"/>
        </w:rPr>
        <w:t>and search function have</w:t>
      </w:r>
      <w:r>
        <w:rPr>
          <w:rFonts w:cs="Arial"/>
          <w:color w:val="000000" w:themeColor="text1"/>
        </w:rPr>
        <w:t xml:space="preserve"> been </w:t>
      </w:r>
      <w:r w:rsidRPr="009B6476">
        <w:rPr>
          <w:rFonts w:cs="Arial"/>
          <w:color w:val="000000" w:themeColor="text1"/>
        </w:rPr>
        <w:t xml:space="preserve">restructured </w:t>
      </w:r>
      <w:r>
        <w:rPr>
          <w:rFonts w:cs="Arial"/>
          <w:color w:val="000000" w:themeColor="text1"/>
        </w:rPr>
        <w:t xml:space="preserve">and optimized, </w:t>
      </w:r>
      <w:r w:rsidR="00102E4B">
        <w:rPr>
          <w:rFonts w:cs="Arial"/>
          <w:color w:val="000000" w:themeColor="text1"/>
        </w:rPr>
        <w:t xml:space="preserve">based on </w:t>
      </w:r>
      <w:r w:rsidRPr="009B6476">
        <w:rPr>
          <w:rFonts w:cs="Arial"/>
          <w:color w:val="000000" w:themeColor="text1"/>
        </w:rPr>
        <w:t>feedback from Parties and SRAs.</w:t>
      </w:r>
      <w:r w:rsidR="00AF71F1">
        <w:rPr>
          <w:rFonts w:cs="Arial"/>
          <w:color w:val="000000" w:themeColor="text1"/>
        </w:rPr>
        <w:t xml:space="preserve"> </w:t>
      </w:r>
      <w:r w:rsidRPr="009B6476">
        <w:rPr>
          <w:rFonts w:cs="Arial"/>
          <w:color w:val="000000" w:themeColor="text1"/>
        </w:rPr>
        <w:t xml:space="preserve">A search engine expert </w:t>
      </w:r>
      <w:r>
        <w:rPr>
          <w:rFonts w:cs="Arial"/>
          <w:color w:val="000000" w:themeColor="text1"/>
        </w:rPr>
        <w:t>has advised on ‘optimising</w:t>
      </w:r>
      <w:r w:rsidRPr="009B6476">
        <w:rPr>
          <w:rFonts w:cs="Arial"/>
          <w:color w:val="000000" w:themeColor="text1"/>
        </w:rPr>
        <w:t>’ sear</w:t>
      </w:r>
      <w:r>
        <w:rPr>
          <w:rFonts w:cs="Arial"/>
          <w:color w:val="000000" w:themeColor="text1"/>
        </w:rPr>
        <w:t>ch performance at no extra cost.</w:t>
      </w:r>
      <w:r w:rsidR="00AF71F1">
        <w:rPr>
          <w:rFonts w:cs="Arial"/>
          <w:color w:val="000000" w:themeColor="text1"/>
        </w:rPr>
        <w:t xml:space="preserve"> </w:t>
      </w:r>
      <w:r w:rsidRPr="009B6476">
        <w:rPr>
          <w:rFonts w:cs="Arial"/>
          <w:color w:val="000000" w:themeColor="text1"/>
        </w:rPr>
        <w:t xml:space="preserve">The format of hyperlinks </w:t>
      </w:r>
      <w:r>
        <w:rPr>
          <w:rFonts w:cs="Arial"/>
          <w:color w:val="000000" w:themeColor="text1"/>
        </w:rPr>
        <w:t xml:space="preserve">has been </w:t>
      </w:r>
      <w:r w:rsidRPr="009B6476">
        <w:rPr>
          <w:rFonts w:cs="Arial"/>
          <w:color w:val="000000" w:themeColor="text1"/>
        </w:rPr>
        <w:t>altered</w:t>
      </w:r>
      <w:r>
        <w:rPr>
          <w:rFonts w:cs="Arial"/>
          <w:color w:val="000000" w:themeColor="text1"/>
        </w:rPr>
        <w:t>,</w:t>
      </w:r>
      <w:r w:rsidRPr="009B6476">
        <w:rPr>
          <w:rFonts w:cs="Arial"/>
          <w:color w:val="000000" w:themeColor="text1"/>
        </w:rPr>
        <w:t xml:space="preserve"> making them more visible within web pages.</w:t>
      </w:r>
      <w:r w:rsidR="00AF71F1">
        <w:rPr>
          <w:rFonts w:cs="Arial"/>
          <w:color w:val="000000" w:themeColor="text1"/>
        </w:rPr>
        <w:t xml:space="preserve"> </w:t>
      </w:r>
      <w:r>
        <w:rPr>
          <w:rFonts w:cs="Arial"/>
          <w:color w:val="000000" w:themeColor="text1"/>
        </w:rPr>
        <w:t>S</w:t>
      </w:r>
      <w:r w:rsidRPr="009B6476">
        <w:rPr>
          <w:rFonts w:cs="Arial"/>
          <w:color w:val="000000" w:themeColor="text1"/>
        </w:rPr>
        <w:t>ort titles</w:t>
      </w:r>
      <w:r>
        <w:rPr>
          <w:rFonts w:cs="Arial"/>
          <w:color w:val="000000" w:themeColor="text1"/>
        </w:rPr>
        <w:t xml:space="preserve"> have been added</w:t>
      </w:r>
      <w:r w:rsidRPr="009B6476">
        <w:rPr>
          <w:rFonts w:cs="Arial"/>
          <w:color w:val="000000" w:themeColor="text1"/>
        </w:rPr>
        <w:t xml:space="preserve"> to library documents for 549 diplomatic notes, over 500 resolutions, over 600 COP and SC documents</w:t>
      </w:r>
      <w:r>
        <w:rPr>
          <w:rFonts w:cs="Arial"/>
          <w:color w:val="000000" w:themeColor="text1"/>
        </w:rPr>
        <w:t xml:space="preserve"> </w:t>
      </w:r>
      <w:r w:rsidR="00102E4B">
        <w:rPr>
          <w:rFonts w:cs="Arial"/>
          <w:color w:val="000000" w:themeColor="text1"/>
        </w:rPr>
        <w:t xml:space="preserve">in order </w:t>
      </w:r>
      <w:r>
        <w:rPr>
          <w:rFonts w:cs="Arial"/>
          <w:color w:val="000000" w:themeColor="text1"/>
        </w:rPr>
        <w:t>to facilitate the search</w:t>
      </w:r>
      <w:r w:rsidR="00636075">
        <w:rPr>
          <w:rFonts w:cs="Arial"/>
          <w:color w:val="000000" w:themeColor="text1"/>
        </w:rPr>
        <w:t xml:space="preserve"> for documents</w:t>
      </w:r>
      <w:r>
        <w:rPr>
          <w:rFonts w:cs="Arial"/>
          <w:color w:val="000000" w:themeColor="text1"/>
        </w:rPr>
        <w:t>.</w:t>
      </w:r>
    </w:p>
    <w:p w:rsidR="009B6476" w:rsidRPr="009B6476" w:rsidRDefault="009B6476" w:rsidP="00B600F1">
      <w:pPr>
        <w:pStyle w:val="ListParagraph"/>
        <w:spacing w:after="0" w:line="240" w:lineRule="auto"/>
        <w:rPr>
          <w:rFonts w:cs="Arial"/>
        </w:rPr>
      </w:pPr>
    </w:p>
    <w:p w:rsidR="008A5191" w:rsidRPr="008A5191" w:rsidRDefault="009B6476" w:rsidP="00B600F1">
      <w:pPr>
        <w:pStyle w:val="ListParagraph"/>
        <w:numPr>
          <w:ilvl w:val="0"/>
          <w:numId w:val="4"/>
        </w:numPr>
        <w:spacing w:after="0" w:line="240" w:lineRule="auto"/>
        <w:ind w:left="426" w:hanging="426"/>
        <w:contextualSpacing w:val="0"/>
        <w:rPr>
          <w:rFonts w:cs="Arial"/>
        </w:rPr>
      </w:pPr>
      <w:r>
        <w:rPr>
          <w:rFonts w:cs="Arial"/>
          <w:b/>
        </w:rPr>
        <w:t>Implementation of working webpage and RSIS (continued).</w:t>
      </w:r>
      <w:r w:rsidR="00AF71F1">
        <w:rPr>
          <w:rFonts w:cs="Arial"/>
          <w:b/>
        </w:rPr>
        <w:t xml:space="preserve"> </w:t>
      </w:r>
      <w:r>
        <w:rPr>
          <w:rFonts w:cs="Arial"/>
        </w:rPr>
        <w:t xml:space="preserve">World </w:t>
      </w:r>
      <w:r w:rsidR="001917EA">
        <w:rPr>
          <w:rFonts w:cs="Arial"/>
        </w:rPr>
        <w:t>Wetlands</w:t>
      </w:r>
      <w:r>
        <w:rPr>
          <w:rFonts w:cs="Arial"/>
        </w:rPr>
        <w:t xml:space="preserve"> Day</w:t>
      </w:r>
      <w:r w:rsidRPr="009B6476">
        <w:rPr>
          <w:rFonts w:cs="Arial"/>
          <w:color w:val="000000" w:themeColor="text1"/>
        </w:rPr>
        <w:t xml:space="preserve"> materials from 2001-2014</w:t>
      </w:r>
      <w:r>
        <w:rPr>
          <w:rFonts w:cs="Arial"/>
          <w:color w:val="000000" w:themeColor="text1"/>
        </w:rPr>
        <w:t xml:space="preserve"> have been added (over 800 items).</w:t>
      </w:r>
      <w:r w:rsidR="00AF71F1">
        <w:rPr>
          <w:rFonts w:cs="Arial"/>
          <w:color w:val="000000" w:themeColor="text1"/>
        </w:rPr>
        <w:t xml:space="preserve"> </w:t>
      </w:r>
      <w:r>
        <w:rPr>
          <w:rFonts w:cs="Arial"/>
          <w:color w:val="000000" w:themeColor="text1"/>
        </w:rPr>
        <w:t>B</w:t>
      </w:r>
      <w:r w:rsidRPr="009B6476">
        <w:rPr>
          <w:rFonts w:cs="Arial"/>
          <w:color w:val="000000" w:themeColor="text1"/>
        </w:rPr>
        <w:t>roken links</w:t>
      </w:r>
      <w:r>
        <w:rPr>
          <w:rFonts w:cs="Arial"/>
          <w:color w:val="000000" w:themeColor="text1"/>
        </w:rPr>
        <w:t xml:space="preserve"> have been fixed.</w:t>
      </w:r>
      <w:r w:rsidR="00AF71F1">
        <w:rPr>
          <w:rFonts w:cs="Arial"/>
          <w:color w:val="000000" w:themeColor="text1"/>
        </w:rPr>
        <w:t xml:space="preserve"> </w:t>
      </w:r>
      <w:r>
        <w:rPr>
          <w:rFonts w:cs="Arial"/>
          <w:color w:val="000000" w:themeColor="text1"/>
        </w:rPr>
        <w:t>Resources from the Wise Use library have been uploaded.</w:t>
      </w:r>
      <w:r w:rsidR="00AF71F1">
        <w:rPr>
          <w:rFonts w:cs="Arial"/>
          <w:color w:val="000000" w:themeColor="text1"/>
        </w:rPr>
        <w:t xml:space="preserve"> </w:t>
      </w:r>
      <w:r w:rsidR="00636075">
        <w:rPr>
          <w:rFonts w:cs="Arial"/>
          <w:color w:val="000000" w:themeColor="text1"/>
        </w:rPr>
        <w:t xml:space="preserve">Over </w:t>
      </w:r>
      <w:r w:rsidR="00636075" w:rsidRPr="009B6476">
        <w:rPr>
          <w:rFonts w:cs="Arial"/>
          <w:color w:val="000000" w:themeColor="text1"/>
        </w:rPr>
        <w:t>1</w:t>
      </w:r>
      <w:r w:rsidR="00AF71F1">
        <w:rPr>
          <w:rFonts w:cs="Arial"/>
          <w:color w:val="000000" w:themeColor="text1"/>
        </w:rPr>
        <w:t>,</w:t>
      </w:r>
      <w:r w:rsidR="00636075" w:rsidRPr="009B6476">
        <w:rPr>
          <w:rFonts w:cs="Arial"/>
          <w:color w:val="000000" w:themeColor="text1"/>
        </w:rPr>
        <w:t xml:space="preserve">300 news items </w:t>
      </w:r>
      <w:r w:rsidR="00636075">
        <w:rPr>
          <w:rFonts w:cs="Arial"/>
          <w:color w:val="000000" w:themeColor="text1"/>
        </w:rPr>
        <w:t>have been imported from the old website.</w:t>
      </w:r>
      <w:r w:rsidR="00AF71F1">
        <w:rPr>
          <w:rFonts w:cs="Arial"/>
          <w:color w:val="000000" w:themeColor="text1"/>
        </w:rPr>
        <w:t xml:space="preserve"> </w:t>
      </w:r>
      <w:r>
        <w:rPr>
          <w:rFonts w:cs="Arial"/>
          <w:color w:val="000000" w:themeColor="text1"/>
        </w:rPr>
        <w:t>About 100 STRP documents have been added to the library</w:t>
      </w:r>
      <w:r w:rsidR="001917EA">
        <w:rPr>
          <w:rFonts w:cs="Arial"/>
          <w:color w:val="000000" w:themeColor="text1"/>
        </w:rPr>
        <w:t>, and STRP integration is ongoing</w:t>
      </w:r>
      <w:r>
        <w:rPr>
          <w:rFonts w:cs="Arial"/>
          <w:color w:val="000000" w:themeColor="text1"/>
        </w:rPr>
        <w:t>.</w:t>
      </w:r>
      <w:r w:rsidR="00AF71F1">
        <w:rPr>
          <w:rFonts w:cs="Arial"/>
          <w:color w:val="000000" w:themeColor="text1"/>
        </w:rPr>
        <w:t xml:space="preserve"> </w:t>
      </w:r>
      <w:r w:rsidR="001917EA">
        <w:rPr>
          <w:rFonts w:cs="Arial"/>
          <w:color w:val="000000" w:themeColor="text1"/>
        </w:rPr>
        <w:t>The Ramsar Culture Network has been integrated.</w:t>
      </w:r>
      <w:r w:rsidR="00AF71F1">
        <w:rPr>
          <w:rFonts w:cs="Arial"/>
          <w:color w:val="000000" w:themeColor="text1"/>
        </w:rPr>
        <w:t xml:space="preserve"> </w:t>
      </w:r>
      <w:r w:rsidR="001917EA">
        <w:rPr>
          <w:rFonts w:cs="Arial"/>
          <w:color w:val="000000" w:themeColor="text1"/>
        </w:rPr>
        <w:t>Altogether</w:t>
      </w:r>
      <w:r>
        <w:rPr>
          <w:rFonts w:cs="Arial"/>
          <w:color w:val="000000" w:themeColor="text1"/>
        </w:rPr>
        <w:t xml:space="preserve"> 11 additional webpages have been added, in all 3 languages. Further actions on the Ramsar website are ongoing</w:t>
      </w:r>
      <w:r w:rsidR="00636075">
        <w:rPr>
          <w:rFonts w:cs="Arial"/>
          <w:color w:val="000000" w:themeColor="text1"/>
        </w:rPr>
        <w:t>, and a user satisfaction survey will be conducted to test the improvement in the website</w:t>
      </w:r>
      <w:r>
        <w:rPr>
          <w:rFonts w:cs="Arial"/>
          <w:color w:val="000000" w:themeColor="text1"/>
        </w:rPr>
        <w:t>.</w:t>
      </w:r>
      <w:r w:rsidR="00AF71F1">
        <w:rPr>
          <w:rFonts w:cs="Arial"/>
          <w:color w:val="000000" w:themeColor="text1"/>
        </w:rPr>
        <w:t xml:space="preserve"> </w:t>
      </w:r>
    </w:p>
    <w:p w:rsidR="008A5191" w:rsidRPr="008A5191" w:rsidRDefault="008A5191" w:rsidP="00B600F1">
      <w:pPr>
        <w:pStyle w:val="ListParagraph"/>
        <w:spacing w:after="0" w:line="240" w:lineRule="auto"/>
        <w:rPr>
          <w:rFonts w:cs="Arial"/>
          <w:b/>
        </w:rPr>
      </w:pPr>
    </w:p>
    <w:p w:rsidR="008A5191" w:rsidRPr="0080541F" w:rsidRDefault="008A5191" w:rsidP="00B600F1">
      <w:pPr>
        <w:pStyle w:val="ListParagraph"/>
        <w:numPr>
          <w:ilvl w:val="0"/>
          <w:numId w:val="4"/>
        </w:numPr>
        <w:spacing w:after="0" w:line="240" w:lineRule="auto"/>
        <w:ind w:left="426" w:hanging="426"/>
        <w:contextualSpacing w:val="0"/>
        <w:rPr>
          <w:rFonts w:cs="Arial"/>
        </w:rPr>
      </w:pPr>
      <w:r w:rsidRPr="008A5191">
        <w:rPr>
          <w:rFonts w:cs="Arial"/>
          <w:b/>
        </w:rPr>
        <w:t>Implementation of working webpage and RSIS (continued).</w:t>
      </w:r>
      <w:r w:rsidR="00AF71F1">
        <w:rPr>
          <w:rFonts w:cs="Arial"/>
          <w:b/>
        </w:rPr>
        <w:t xml:space="preserve"> </w:t>
      </w:r>
      <w:r w:rsidRPr="008A5191">
        <w:rPr>
          <w:rFonts w:cs="Arial"/>
        </w:rPr>
        <w:t xml:space="preserve">On the RSIS, the priority actions have been to input information not transferred in the </w:t>
      </w:r>
      <w:r w:rsidRPr="008A5191">
        <w:rPr>
          <w:rFonts w:cs="Arial"/>
          <w:color w:val="000000" w:themeColor="text1"/>
        </w:rPr>
        <w:t>migration from the previous platform, to add missing maps, and to highlight transboundary sites.</w:t>
      </w:r>
      <w:r w:rsidR="00AF71F1">
        <w:rPr>
          <w:rFonts w:cs="Arial"/>
          <w:color w:val="000000" w:themeColor="text1"/>
        </w:rPr>
        <w:t xml:space="preserve"> </w:t>
      </w:r>
      <w:r w:rsidRPr="008A5191">
        <w:rPr>
          <w:rFonts w:cs="Arial"/>
          <w:color w:val="000000" w:themeColor="text1"/>
        </w:rPr>
        <w:t>Of the 479 missing maps, all the existing paper maps of sufficient quality (391) have been scanned</w:t>
      </w:r>
      <w:r>
        <w:rPr>
          <w:rFonts w:cs="Arial"/>
          <w:color w:val="000000" w:themeColor="text1"/>
        </w:rPr>
        <w:t xml:space="preserve"> into the system</w:t>
      </w:r>
      <w:r w:rsidRPr="008A5191">
        <w:rPr>
          <w:rFonts w:cs="Arial"/>
          <w:color w:val="000000" w:themeColor="text1"/>
        </w:rPr>
        <w:t>, having found an oversized scanning unit for the very large paper maps.</w:t>
      </w:r>
      <w:r w:rsidR="00AF71F1">
        <w:rPr>
          <w:rFonts w:cs="Arial"/>
          <w:color w:val="000000" w:themeColor="text1"/>
        </w:rPr>
        <w:t xml:space="preserve"> </w:t>
      </w:r>
      <w:r w:rsidRPr="008A5191">
        <w:rPr>
          <w:rFonts w:cs="Arial"/>
          <w:color w:val="000000" w:themeColor="text1"/>
        </w:rPr>
        <w:t>Work is ongoing with the SRAs and Assistants to obtain missing maps (27) or to revise poor quality maps (61).</w:t>
      </w:r>
      <w:r w:rsidR="00AF71F1">
        <w:rPr>
          <w:rFonts w:cs="Arial"/>
          <w:color w:val="000000" w:themeColor="text1"/>
        </w:rPr>
        <w:t xml:space="preserve"> </w:t>
      </w:r>
      <w:r w:rsidRPr="008A5191">
        <w:rPr>
          <w:rFonts w:cs="Arial"/>
          <w:color w:val="000000" w:themeColor="text1"/>
        </w:rPr>
        <w:t xml:space="preserve">In order to facilitate the site update process by the Parties, </w:t>
      </w:r>
      <w:r w:rsidR="00AB725D">
        <w:rPr>
          <w:rFonts w:cs="Arial"/>
          <w:color w:val="000000" w:themeColor="text1"/>
        </w:rPr>
        <w:t>three</w:t>
      </w:r>
      <w:r w:rsidRPr="008A5191">
        <w:rPr>
          <w:rFonts w:cs="Arial"/>
          <w:color w:val="000000" w:themeColor="text1"/>
        </w:rPr>
        <w:t xml:space="preserve"> training videos are being developed, featuring real time examples of RSIS usage.</w:t>
      </w:r>
      <w:r w:rsidR="00AF71F1">
        <w:rPr>
          <w:rFonts w:cs="Arial"/>
          <w:color w:val="000000" w:themeColor="text1"/>
        </w:rPr>
        <w:t xml:space="preserve"> </w:t>
      </w:r>
      <w:r>
        <w:rPr>
          <w:rFonts w:cs="Arial"/>
          <w:color w:val="000000" w:themeColor="text1"/>
        </w:rPr>
        <w:t>Transboundary Ramsar sites have been highlighted both on the RSIS and the Ramsar home website and search function.</w:t>
      </w:r>
      <w:r w:rsidR="00AF71F1">
        <w:rPr>
          <w:rFonts w:cs="Arial"/>
          <w:color w:val="000000" w:themeColor="text1"/>
        </w:rPr>
        <w:t xml:space="preserve"> </w:t>
      </w:r>
      <w:r>
        <w:rPr>
          <w:rFonts w:cs="Arial"/>
          <w:color w:val="000000" w:themeColor="text1"/>
        </w:rPr>
        <w:t>For the missing site information</w:t>
      </w:r>
      <w:r w:rsidR="00102E4B">
        <w:rPr>
          <w:rFonts w:cs="Arial"/>
          <w:color w:val="000000" w:themeColor="text1"/>
        </w:rPr>
        <w:t xml:space="preserve"> </w:t>
      </w:r>
      <w:r>
        <w:rPr>
          <w:rFonts w:cs="Arial"/>
          <w:color w:val="000000" w:themeColor="text1"/>
        </w:rPr>
        <w:t>that was not transferred in the migration from the previous platform</w:t>
      </w:r>
      <w:r w:rsidR="00102E4B">
        <w:rPr>
          <w:rFonts w:cs="Arial"/>
          <w:color w:val="000000" w:themeColor="text1"/>
        </w:rPr>
        <w:t xml:space="preserve"> (including species lists)</w:t>
      </w:r>
      <w:r>
        <w:rPr>
          <w:rFonts w:cs="Arial"/>
          <w:color w:val="000000" w:themeColor="text1"/>
        </w:rPr>
        <w:t>, Parties are currently being contacted to ask whether the Secretariat may input the data from the existing Ramsar Information Sheets where the data is located.</w:t>
      </w:r>
      <w:r w:rsidR="00AF71F1">
        <w:rPr>
          <w:rFonts w:cs="Arial"/>
          <w:color w:val="000000" w:themeColor="text1"/>
        </w:rPr>
        <w:t xml:space="preserve"> </w:t>
      </w:r>
      <w:r>
        <w:rPr>
          <w:rFonts w:cs="Arial"/>
          <w:color w:val="000000" w:themeColor="text1"/>
        </w:rPr>
        <w:t>This data will have to be transferred into the RSIS manually, and the proposal is to train students to do this work</w:t>
      </w:r>
      <w:r w:rsidR="00102E4B">
        <w:rPr>
          <w:rFonts w:cs="Arial"/>
          <w:color w:val="000000" w:themeColor="text1"/>
        </w:rPr>
        <w:t xml:space="preserve"> over the summer</w:t>
      </w:r>
      <w:r>
        <w:rPr>
          <w:rFonts w:cs="Arial"/>
          <w:color w:val="000000" w:themeColor="text1"/>
        </w:rPr>
        <w:t>.</w:t>
      </w:r>
      <w:r w:rsidR="00AF71F1">
        <w:rPr>
          <w:rFonts w:cs="Arial"/>
          <w:color w:val="000000" w:themeColor="text1"/>
        </w:rPr>
        <w:t xml:space="preserve"> </w:t>
      </w:r>
      <w:r w:rsidR="00102E4B">
        <w:rPr>
          <w:rFonts w:cs="Arial"/>
          <w:color w:val="000000" w:themeColor="text1"/>
        </w:rPr>
        <w:t>This is not an update, and all data will need to be double-checked before uploading.</w:t>
      </w:r>
    </w:p>
    <w:p w:rsidR="008A5191" w:rsidRPr="008A5191" w:rsidRDefault="008A5191" w:rsidP="00B600F1">
      <w:pPr>
        <w:spacing w:after="0" w:line="240" w:lineRule="auto"/>
        <w:rPr>
          <w:rFonts w:cs="Arial"/>
        </w:rPr>
      </w:pPr>
    </w:p>
    <w:p w:rsidR="0080541F" w:rsidRPr="00C12BE1" w:rsidRDefault="0080541F" w:rsidP="00B600F1">
      <w:pPr>
        <w:pStyle w:val="ListParagraph"/>
        <w:numPr>
          <w:ilvl w:val="0"/>
          <w:numId w:val="4"/>
        </w:numPr>
        <w:spacing w:after="0" w:line="240" w:lineRule="auto"/>
        <w:ind w:left="425" w:hanging="425"/>
        <w:rPr>
          <w:rFonts w:ascii="Calibri" w:eastAsia="Arial Unicode MS" w:hAnsi="Calibri" w:cs="Arial Unicode MS"/>
          <w:kern w:val="1"/>
          <w:lang w:eastAsia="hi-IN" w:bidi="hi-IN"/>
        </w:rPr>
      </w:pPr>
      <w:r w:rsidRPr="00C12BE1">
        <w:rPr>
          <w:rFonts w:ascii="Calibri" w:hAnsi="Calibri"/>
          <w:b/>
        </w:rPr>
        <w:t>Review of consultancies.</w:t>
      </w:r>
      <w:r w:rsidR="00AF71F1">
        <w:rPr>
          <w:rFonts w:ascii="Calibri" w:hAnsi="Calibri"/>
        </w:rPr>
        <w:t xml:space="preserve"> </w:t>
      </w:r>
      <w:r w:rsidR="00C12BE1">
        <w:rPr>
          <w:rFonts w:cs="Arial"/>
        </w:rPr>
        <w:t>All</w:t>
      </w:r>
      <w:r w:rsidR="00110964" w:rsidRPr="00C12BE1">
        <w:rPr>
          <w:rFonts w:cs="Arial"/>
        </w:rPr>
        <w:t xml:space="preserve"> contracts (current and future)</w:t>
      </w:r>
      <w:r w:rsidR="00C12BE1">
        <w:rPr>
          <w:rFonts w:cs="Arial"/>
        </w:rPr>
        <w:t xml:space="preserve"> have been reviewed and the contract format itself has been revised with advice from IUCN</w:t>
      </w:r>
      <w:r w:rsidR="00110964" w:rsidRPr="00C12BE1">
        <w:rPr>
          <w:rFonts w:cs="Arial"/>
        </w:rPr>
        <w:t>.</w:t>
      </w:r>
      <w:r w:rsidR="00AF71F1">
        <w:rPr>
          <w:rFonts w:cs="Arial"/>
        </w:rPr>
        <w:t xml:space="preserve"> </w:t>
      </w:r>
      <w:r w:rsidR="00110964" w:rsidRPr="00C12BE1">
        <w:rPr>
          <w:rFonts w:cs="Arial"/>
        </w:rPr>
        <w:t xml:space="preserve">IUCN procurement training </w:t>
      </w:r>
      <w:r w:rsidR="00C12BE1">
        <w:rPr>
          <w:rFonts w:cs="Arial"/>
        </w:rPr>
        <w:t xml:space="preserve">sessions have </w:t>
      </w:r>
      <w:r w:rsidR="00C12BE1" w:rsidRPr="00C12BE1">
        <w:rPr>
          <w:rFonts w:cs="Arial"/>
        </w:rPr>
        <w:t xml:space="preserve">been </w:t>
      </w:r>
      <w:r w:rsidR="00110964" w:rsidRPr="00C12BE1">
        <w:rPr>
          <w:rFonts w:cs="Arial"/>
        </w:rPr>
        <w:t>attended by the majority of Ramsar staff</w:t>
      </w:r>
      <w:r w:rsidR="00C12BE1">
        <w:rPr>
          <w:rFonts w:cs="Arial"/>
        </w:rPr>
        <w:t>, and the remaining staff will attend a training session later in March 2016</w:t>
      </w:r>
      <w:r w:rsidR="00110964" w:rsidRPr="00C12BE1">
        <w:rPr>
          <w:rFonts w:cs="Arial"/>
        </w:rPr>
        <w:t>.</w:t>
      </w:r>
      <w:r w:rsidR="00AF71F1">
        <w:rPr>
          <w:rFonts w:cs="Arial"/>
        </w:rPr>
        <w:t xml:space="preserve"> </w:t>
      </w:r>
      <w:r w:rsidRPr="00C12BE1">
        <w:rPr>
          <w:rFonts w:ascii="Calibri" w:hAnsi="Calibri"/>
        </w:rPr>
        <w:t>Annex 2 shows a table with consultancies as at 31 December 2015</w:t>
      </w:r>
      <w:r w:rsidR="001917EA">
        <w:rPr>
          <w:rFonts w:ascii="Calibri" w:hAnsi="Calibri"/>
        </w:rPr>
        <w:t>, updating the previous table in document SC51-18 Annex 4</w:t>
      </w:r>
      <w:r w:rsidRPr="00C12BE1">
        <w:rPr>
          <w:rFonts w:ascii="Calibri" w:hAnsi="Calibri"/>
        </w:rPr>
        <w:t>.</w:t>
      </w:r>
      <w:r w:rsidR="00AF71F1">
        <w:rPr>
          <w:rFonts w:ascii="Calibri" w:hAnsi="Calibri"/>
        </w:rPr>
        <w:t xml:space="preserve"> </w:t>
      </w:r>
      <w:r w:rsidRPr="00C12BE1">
        <w:rPr>
          <w:rFonts w:ascii="Calibri" w:hAnsi="Calibri"/>
        </w:rPr>
        <w:t xml:space="preserve">All </w:t>
      </w:r>
      <w:r w:rsidR="00102E4B" w:rsidRPr="00C12BE1">
        <w:rPr>
          <w:rFonts w:ascii="Calibri" w:hAnsi="Calibri"/>
        </w:rPr>
        <w:t xml:space="preserve">previous </w:t>
      </w:r>
      <w:r w:rsidRPr="00C12BE1">
        <w:rPr>
          <w:rFonts w:ascii="Calibri" w:hAnsi="Calibri"/>
        </w:rPr>
        <w:t>consultancy contracts are now closed with the exception of two open projects, both paid for with non-core funds.</w:t>
      </w:r>
      <w:r w:rsidR="00AF71F1">
        <w:rPr>
          <w:rFonts w:ascii="Calibri" w:hAnsi="Calibri"/>
        </w:rPr>
        <w:t xml:space="preserve"> </w:t>
      </w:r>
      <w:r w:rsidRPr="00C12BE1">
        <w:rPr>
          <w:rFonts w:ascii="Calibri" w:hAnsi="Calibri"/>
        </w:rPr>
        <w:t>The first open contract is for supporting three ongoing wetland restoration projects, under an agreement with NORAD, and the second is for supporting the Ramsar Culture Network, under an agreement with the MAVA Foundation.</w:t>
      </w:r>
      <w:r w:rsidR="00AF71F1">
        <w:rPr>
          <w:rFonts w:ascii="Calibri" w:hAnsi="Calibri"/>
        </w:rPr>
        <w:t xml:space="preserve"> </w:t>
      </w:r>
      <w:r w:rsidR="003507B8" w:rsidRPr="00C12BE1">
        <w:rPr>
          <w:rFonts w:ascii="Calibri" w:hAnsi="Calibri"/>
        </w:rPr>
        <w:t>So far in 2016, new consultancy contracts have been drawn up with interpreters for SC52, with the rapporteur for SC52, with a layout designer for publishing the updated Ramsar Convention Manual and the 4</w:t>
      </w:r>
      <w:r w:rsidR="003507B8" w:rsidRPr="00C12BE1">
        <w:rPr>
          <w:rFonts w:ascii="Calibri" w:hAnsi="Calibri"/>
          <w:vertAlign w:val="superscript"/>
        </w:rPr>
        <w:t>th</w:t>
      </w:r>
      <w:r w:rsidR="003507B8" w:rsidRPr="00C12BE1">
        <w:rPr>
          <w:rFonts w:ascii="Calibri" w:hAnsi="Calibri"/>
        </w:rPr>
        <w:t xml:space="preserve"> Strategic Plan (all with core funding) and with two translators for translating </w:t>
      </w:r>
      <w:r w:rsidR="00102E4B" w:rsidRPr="00C12BE1">
        <w:rPr>
          <w:rFonts w:ascii="Calibri" w:hAnsi="Calibri"/>
        </w:rPr>
        <w:t xml:space="preserve">essential </w:t>
      </w:r>
      <w:r w:rsidR="003507B8" w:rsidRPr="00C12BE1">
        <w:rPr>
          <w:rFonts w:ascii="Calibri" w:hAnsi="Calibri"/>
        </w:rPr>
        <w:t>documents into Russian (non-core funding).</w:t>
      </w:r>
      <w:r w:rsidR="00AF71F1">
        <w:rPr>
          <w:rFonts w:ascii="Calibri" w:hAnsi="Calibri"/>
        </w:rPr>
        <w:t xml:space="preserve"> </w:t>
      </w:r>
    </w:p>
    <w:p w:rsidR="0080541F" w:rsidRPr="00B600F1" w:rsidRDefault="0080541F" w:rsidP="00B600F1">
      <w:pPr>
        <w:spacing w:after="0" w:line="240" w:lineRule="auto"/>
        <w:rPr>
          <w:rFonts w:cs="Arial"/>
        </w:rPr>
      </w:pPr>
    </w:p>
    <w:p w:rsidR="0029353C" w:rsidRPr="00AA6047" w:rsidRDefault="00102E4B" w:rsidP="00B600F1">
      <w:pPr>
        <w:pStyle w:val="ListParagraph"/>
        <w:numPr>
          <w:ilvl w:val="0"/>
          <w:numId w:val="4"/>
        </w:numPr>
        <w:spacing w:after="0" w:line="240" w:lineRule="auto"/>
        <w:ind w:left="426" w:right="-46" w:hanging="426"/>
        <w:rPr>
          <w:rFonts w:ascii="Calibri" w:eastAsia="Arial Unicode MS" w:hAnsi="Calibri" w:cs="Arial Unicode MS"/>
          <w:kern w:val="1"/>
          <w:lang w:eastAsia="hi-IN" w:bidi="hi-IN"/>
        </w:rPr>
      </w:pPr>
      <w:r>
        <w:rPr>
          <w:rFonts w:ascii="Calibri" w:hAnsi="Calibri"/>
          <w:b/>
        </w:rPr>
        <w:t>Review of Resource Mobilization</w:t>
      </w:r>
      <w:r w:rsidRPr="0080541F">
        <w:rPr>
          <w:rFonts w:ascii="Calibri" w:hAnsi="Calibri"/>
          <w:b/>
        </w:rPr>
        <w:t>.</w:t>
      </w:r>
      <w:r w:rsidR="00AF71F1">
        <w:rPr>
          <w:rFonts w:ascii="Calibri" w:hAnsi="Calibri"/>
        </w:rPr>
        <w:t xml:space="preserve"> </w:t>
      </w:r>
      <w:r w:rsidR="0074721D">
        <w:rPr>
          <w:rFonts w:cs="Arial"/>
        </w:rPr>
        <w:t>The r</w:t>
      </w:r>
      <w:r w:rsidR="00110964">
        <w:rPr>
          <w:rFonts w:cs="Arial"/>
        </w:rPr>
        <w:t xml:space="preserve">esponsibilities of </w:t>
      </w:r>
      <w:r w:rsidR="0074721D">
        <w:rPr>
          <w:rFonts w:cs="Arial"/>
        </w:rPr>
        <w:t xml:space="preserve">the former </w:t>
      </w:r>
      <w:r w:rsidR="00110964">
        <w:rPr>
          <w:rFonts w:cs="Arial"/>
        </w:rPr>
        <w:t>Partnership Coordinator</w:t>
      </w:r>
      <w:r w:rsidR="0074721D">
        <w:rPr>
          <w:rFonts w:cs="Arial"/>
        </w:rPr>
        <w:t xml:space="preserve"> were</w:t>
      </w:r>
      <w:r w:rsidR="00110964">
        <w:rPr>
          <w:rFonts w:cs="Arial"/>
        </w:rPr>
        <w:t xml:space="preserve"> reallocated</w:t>
      </w:r>
      <w:r w:rsidR="0074721D">
        <w:rPr>
          <w:rFonts w:cs="Arial"/>
        </w:rPr>
        <w:t xml:space="preserve"> among staff members, pending the recruitment of a new staff member in this position</w:t>
      </w:r>
      <w:r w:rsidR="00110964">
        <w:rPr>
          <w:rFonts w:cs="Arial"/>
        </w:rPr>
        <w:t xml:space="preserve">. </w:t>
      </w:r>
      <w:r w:rsidR="0074721D">
        <w:rPr>
          <w:rFonts w:cs="Arial"/>
        </w:rPr>
        <w:t xml:space="preserve">The expired </w:t>
      </w:r>
      <w:r w:rsidR="00110964">
        <w:rPr>
          <w:rFonts w:cs="Arial"/>
        </w:rPr>
        <w:t xml:space="preserve">Danone and Star Alliance agreements </w:t>
      </w:r>
      <w:r w:rsidR="0074721D">
        <w:rPr>
          <w:rFonts w:cs="Arial"/>
        </w:rPr>
        <w:t xml:space="preserve">were both </w:t>
      </w:r>
      <w:r w:rsidR="00110964">
        <w:rPr>
          <w:rFonts w:cs="Arial"/>
        </w:rPr>
        <w:t>revitalised</w:t>
      </w:r>
      <w:r w:rsidR="0074721D">
        <w:rPr>
          <w:rFonts w:cs="Arial"/>
        </w:rPr>
        <w:t>, with visits undertaken to Paris (for Danone) and to Frankfurt (for Star Alliance), and both agreements have now been renewed for a further 12 months.</w:t>
      </w:r>
      <w:r w:rsidR="00AF71F1">
        <w:rPr>
          <w:rFonts w:cs="Arial"/>
        </w:rPr>
        <w:t xml:space="preserve"> </w:t>
      </w:r>
      <w:r>
        <w:rPr>
          <w:rFonts w:ascii="Calibri" w:hAnsi="Calibri"/>
        </w:rPr>
        <w:t xml:space="preserve">A review of resource mobilization from all sources has </w:t>
      </w:r>
      <w:r w:rsidR="0074721D">
        <w:rPr>
          <w:rFonts w:ascii="Calibri" w:hAnsi="Calibri"/>
        </w:rPr>
        <w:t xml:space="preserve">also </w:t>
      </w:r>
      <w:r>
        <w:rPr>
          <w:rFonts w:ascii="Calibri" w:hAnsi="Calibri"/>
        </w:rPr>
        <w:t>been undertaken, especially as it relates to fund-raising.</w:t>
      </w:r>
      <w:r w:rsidR="00AF71F1">
        <w:rPr>
          <w:rFonts w:ascii="Calibri" w:hAnsi="Calibri"/>
        </w:rPr>
        <w:t xml:space="preserve"> </w:t>
      </w:r>
      <w:r>
        <w:rPr>
          <w:rFonts w:ascii="Calibri" w:hAnsi="Calibri"/>
        </w:rPr>
        <w:t>This information is provided in Document SC52-20.</w:t>
      </w:r>
      <w:r w:rsidR="00AF71F1">
        <w:rPr>
          <w:rFonts w:ascii="Calibri" w:hAnsi="Calibri"/>
        </w:rPr>
        <w:t xml:space="preserve"> </w:t>
      </w:r>
      <w:r w:rsidR="008E7FD0">
        <w:rPr>
          <w:rFonts w:ascii="Calibri" w:hAnsi="Calibri"/>
        </w:rPr>
        <w:t>The document shows that a total amount of CHF 560,500 in non-core funding has been raised so far for activities in 2016, in order to support RAMs, STRP tasks, Russian translation, small grants (funded bilaterally) and InforMEA integration.</w:t>
      </w:r>
      <w:r w:rsidR="00AF71F1">
        <w:rPr>
          <w:rFonts w:ascii="Calibri" w:hAnsi="Calibri"/>
        </w:rPr>
        <w:t xml:space="preserve"> </w:t>
      </w:r>
      <w:r w:rsidR="008E7FD0">
        <w:rPr>
          <w:rFonts w:ascii="Calibri" w:hAnsi="Calibri"/>
        </w:rPr>
        <w:t xml:space="preserve">The Secretariat has also been supporting Parties and Ramsar Regional Initiatives in putting together </w:t>
      </w:r>
      <w:r w:rsidR="0074721D">
        <w:rPr>
          <w:rFonts w:ascii="Calibri" w:hAnsi="Calibri"/>
        </w:rPr>
        <w:t xml:space="preserve">large </w:t>
      </w:r>
      <w:r w:rsidR="008E7FD0">
        <w:rPr>
          <w:rFonts w:ascii="Calibri" w:hAnsi="Calibri"/>
        </w:rPr>
        <w:t>project proposals for funding, to a total amount of USD 28,467,000</w:t>
      </w:r>
      <w:r w:rsidR="00636075">
        <w:rPr>
          <w:rFonts w:ascii="Calibri" w:hAnsi="Calibri"/>
        </w:rPr>
        <w:t xml:space="preserve"> in Africa, Latin America and the Caribbean</w:t>
      </w:r>
      <w:r w:rsidR="008E7FD0">
        <w:rPr>
          <w:rFonts w:ascii="Calibri" w:hAnsi="Calibri"/>
        </w:rPr>
        <w:t>.</w:t>
      </w:r>
      <w:r w:rsidR="00AF71F1">
        <w:rPr>
          <w:rFonts w:ascii="Calibri" w:hAnsi="Calibri"/>
        </w:rPr>
        <w:t xml:space="preserve"> </w:t>
      </w:r>
      <w:r w:rsidR="008E7FD0">
        <w:rPr>
          <w:rFonts w:ascii="Calibri" w:hAnsi="Calibri"/>
        </w:rPr>
        <w:t>The project proposals are to IKI, GEF and the JRS Biodiversity Foundation and have been submitted.</w:t>
      </w:r>
      <w:r w:rsidR="00AF71F1">
        <w:rPr>
          <w:rFonts w:ascii="Calibri" w:hAnsi="Calibri"/>
        </w:rPr>
        <w:t xml:space="preserve"> </w:t>
      </w:r>
      <w:r w:rsidR="008E7FD0">
        <w:rPr>
          <w:rFonts w:ascii="Calibri" w:hAnsi="Calibri"/>
        </w:rPr>
        <w:t>There are further project proposal</w:t>
      </w:r>
      <w:r w:rsidR="00AA6047">
        <w:rPr>
          <w:rFonts w:ascii="Calibri" w:hAnsi="Calibri"/>
        </w:rPr>
        <w:t>s</w:t>
      </w:r>
      <w:r w:rsidR="008E7FD0">
        <w:rPr>
          <w:rFonts w:ascii="Calibri" w:hAnsi="Calibri"/>
        </w:rPr>
        <w:t xml:space="preserve"> to GEF and other sources which are currently </w:t>
      </w:r>
      <w:r w:rsidR="00636075">
        <w:rPr>
          <w:rFonts w:ascii="Calibri" w:hAnsi="Calibri"/>
        </w:rPr>
        <w:t>being drafted.</w:t>
      </w:r>
      <w:r w:rsidR="00AF71F1">
        <w:rPr>
          <w:rFonts w:ascii="Calibri" w:hAnsi="Calibri"/>
        </w:rPr>
        <w:t xml:space="preserve"> </w:t>
      </w:r>
    </w:p>
    <w:p w:rsidR="00AA6047" w:rsidRPr="00AA6047" w:rsidRDefault="00AA6047" w:rsidP="00B600F1">
      <w:pPr>
        <w:pStyle w:val="ListParagraph"/>
        <w:spacing w:after="0" w:line="240" w:lineRule="auto"/>
        <w:rPr>
          <w:rFonts w:ascii="Calibri" w:eastAsia="Arial Unicode MS" w:hAnsi="Calibri" w:cs="Arial Unicode MS"/>
          <w:kern w:val="1"/>
          <w:lang w:eastAsia="hi-IN" w:bidi="hi-IN"/>
        </w:rPr>
      </w:pPr>
    </w:p>
    <w:p w:rsidR="00AA6047" w:rsidRPr="00636075" w:rsidRDefault="00AA6047" w:rsidP="00B600F1">
      <w:pPr>
        <w:pStyle w:val="ListParagraph"/>
        <w:numPr>
          <w:ilvl w:val="0"/>
          <w:numId w:val="4"/>
        </w:numPr>
        <w:spacing w:after="0" w:line="240" w:lineRule="auto"/>
        <w:ind w:left="426" w:right="-46" w:hanging="426"/>
        <w:rPr>
          <w:rFonts w:ascii="Calibri" w:eastAsia="Arial Unicode MS" w:hAnsi="Calibri" w:cs="Arial Unicode MS"/>
          <w:kern w:val="1"/>
          <w:lang w:eastAsia="hi-IN" w:bidi="hi-IN"/>
        </w:rPr>
      </w:pPr>
      <w:r>
        <w:rPr>
          <w:rFonts w:ascii="Calibri" w:eastAsia="Arial Unicode MS" w:hAnsi="Calibri" w:cs="Arial Unicode MS"/>
          <w:b/>
          <w:kern w:val="1"/>
          <w:lang w:eastAsia="hi-IN" w:bidi="hi-IN"/>
        </w:rPr>
        <w:t>Evaluation of COP12.</w:t>
      </w:r>
      <w:r w:rsidRPr="0074721D">
        <w:rPr>
          <w:rFonts w:ascii="Calibri" w:eastAsia="Arial Unicode MS" w:hAnsi="Calibri" w:cs="Arial Unicode MS"/>
          <w:kern w:val="1"/>
          <w:lang w:eastAsia="hi-IN" w:bidi="hi-IN"/>
        </w:rPr>
        <w:t xml:space="preserve"> </w:t>
      </w:r>
      <w:r w:rsidR="0074721D">
        <w:rPr>
          <w:rFonts w:ascii="Calibri" w:eastAsia="Arial Unicode MS" w:hAnsi="Calibri" w:cs="Arial Unicode MS"/>
          <w:kern w:val="1"/>
          <w:lang w:eastAsia="hi-IN" w:bidi="hi-IN"/>
        </w:rPr>
        <w:t xml:space="preserve">The </w:t>
      </w:r>
      <w:r w:rsidRPr="0074721D">
        <w:rPr>
          <w:rFonts w:cs="Arial"/>
        </w:rPr>
        <w:t>COP12</w:t>
      </w:r>
      <w:r>
        <w:rPr>
          <w:rFonts w:cs="Arial"/>
        </w:rPr>
        <w:t xml:space="preserve"> briefing report </w:t>
      </w:r>
      <w:r w:rsidR="0074721D">
        <w:rPr>
          <w:rFonts w:cs="Arial"/>
        </w:rPr>
        <w:t>was finalized.</w:t>
      </w:r>
      <w:r w:rsidR="00AF71F1">
        <w:rPr>
          <w:rFonts w:cs="Arial"/>
        </w:rPr>
        <w:t xml:space="preserve"> </w:t>
      </w:r>
      <w:r w:rsidR="0074721D">
        <w:rPr>
          <w:rFonts w:cs="Arial"/>
        </w:rPr>
        <w:t xml:space="preserve">The full COP12 proceedings including all presentations and documents </w:t>
      </w:r>
      <w:r w:rsidR="001917EA">
        <w:rPr>
          <w:rFonts w:cs="Arial"/>
        </w:rPr>
        <w:t>will shortly be published on a separate webpage in all 3 languages, and a flashdrive containing the COP12 proceedings can be requested from the Secretariat</w:t>
      </w:r>
      <w:r w:rsidR="0074721D">
        <w:rPr>
          <w:rFonts w:cs="Arial"/>
        </w:rPr>
        <w:t>.</w:t>
      </w:r>
      <w:r w:rsidR="00AF71F1">
        <w:rPr>
          <w:rFonts w:cs="Arial"/>
        </w:rPr>
        <w:t xml:space="preserve"> </w:t>
      </w:r>
      <w:r w:rsidR="0074721D">
        <w:rPr>
          <w:rFonts w:cs="Arial"/>
        </w:rPr>
        <w:t>A</w:t>
      </w:r>
      <w:r>
        <w:rPr>
          <w:rFonts w:cs="Arial"/>
        </w:rPr>
        <w:t xml:space="preserve"> Secretariat workshop </w:t>
      </w:r>
      <w:r w:rsidR="0074721D">
        <w:rPr>
          <w:rFonts w:cs="Arial"/>
        </w:rPr>
        <w:t>was held</w:t>
      </w:r>
      <w:r w:rsidR="0074721D" w:rsidRPr="0074721D">
        <w:rPr>
          <w:rFonts w:cs="Arial"/>
        </w:rPr>
        <w:t xml:space="preserve"> </w:t>
      </w:r>
      <w:r w:rsidR="0074721D">
        <w:rPr>
          <w:rFonts w:cs="Arial"/>
        </w:rPr>
        <w:t xml:space="preserve">on 15 December 2016 on the topic of COP processes, </w:t>
      </w:r>
      <w:r>
        <w:rPr>
          <w:rFonts w:cs="Arial"/>
        </w:rPr>
        <w:t xml:space="preserve">with </w:t>
      </w:r>
      <w:r w:rsidR="0074721D">
        <w:rPr>
          <w:rFonts w:cs="Arial"/>
        </w:rPr>
        <w:t xml:space="preserve">very useful </w:t>
      </w:r>
      <w:r>
        <w:rPr>
          <w:rFonts w:cs="Arial"/>
        </w:rPr>
        <w:t>i</w:t>
      </w:r>
      <w:r w:rsidR="0074721D">
        <w:rPr>
          <w:rFonts w:cs="Arial"/>
        </w:rPr>
        <w:t>nput from a senior CITES staff member on how CITES COPs are organized.</w:t>
      </w:r>
      <w:r w:rsidR="00AF71F1">
        <w:rPr>
          <w:rFonts w:cs="Arial"/>
        </w:rPr>
        <w:t xml:space="preserve"> </w:t>
      </w:r>
      <w:r w:rsidR="0074721D">
        <w:rPr>
          <w:rFonts w:cs="Arial"/>
        </w:rPr>
        <w:t>The</w:t>
      </w:r>
      <w:r>
        <w:rPr>
          <w:rFonts w:cs="Arial"/>
        </w:rPr>
        <w:t xml:space="preserve"> </w:t>
      </w:r>
      <w:r w:rsidR="0074721D">
        <w:rPr>
          <w:rFonts w:cs="Arial"/>
        </w:rPr>
        <w:t xml:space="preserve">Ramsar </w:t>
      </w:r>
      <w:r>
        <w:rPr>
          <w:rFonts w:cs="Arial"/>
        </w:rPr>
        <w:t xml:space="preserve">COP Manual </w:t>
      </w:r>
      <w:r w:rsidR="0074721D">
        <w:rPr>
          <w:rFonts w:cs="Arial"/>
        </w:rPr>
        <w:t xml:space="preserve">was revised with the input of all staff, and was published electronically on </w:t>
      </w:r>
      <w:r>
        <w:rPr>
          <w:rFonts w:cs="Arial"/>
        </w:rPr>
        <w:t>19 February</w:t>
      </w:r>
      <w:r w:rsidR="0074721D">
        <w:rPr>
          <w:rFonts w:cs="Arial"/>
        </w:rPr>
        <w:t xml:space="preserve"> 2016</w:t>
      </w:r>
      <w:r>
        <w:rPr>
          <w:rFonts w:cs="Arial"/>
        </w:rPr>
        <w:t>.</w:t>
      </w:r>
      <w:r w:rsidR="00AF71F1">
        <w:rPr>
          <w:rFonts w:cs="Arial"/>
        </w:rPr>
        <w:t xml:space="preserve"> </w:t>
      </w:r>
    </w:p>
    <w:p w:rsidR="0029353C" w:rsidRPr="003B529A" w:rsidRDefault="0029353C" w:rsidP="00B600F1">
      <w:pPr>
        <w:pStyle w:val="ListParagraph"/>
        <w:spacing w:after="0" w:line="240" w:lineRule="auto"/>
        <w:ind w:left="426" w:right="-46" w:hanging="426"/>
        <w:rPr>
          <w:rFonts w:ascii="Calibri" w:eastAsia="Arial Unicode MS" w:hAnsi="Calibri" w:cs="Arial Unicode MS"/>
          <w:kern w:val="1"/>
          <w:lang w:eastAsia="hi-IN" w:bidi="hi-IN"/>
        </w:rPr>
      </w:pPr>
    </w:p>
    <w:p w:rsidR="0074721D" w:rsidRPr="0074721D" w:rsidRDefault="0074721D" w:rsidP="00B600F1">
      <w:pPr>
        <w:pStyle w:val="ListParagraph"/>
        <w:numPr>
          <w:ilvl w:val="0"/>
          <w:numId w:val="4"/>
        </w:numPr>
        <w:spacing w:after="0" w:line="240" w:lineRule="auto"/>
        <w:ind w:left="426" w:right="-46" w:hanging="426"/>
        <w:rPr>
          <w:rFonts w:ascii="Calibri" w:eastAsia="Arial Unicode MS" w:hAnsi="Calibri" w:cs="Arial Unicode MS"/>
          <w:kern w:val="1"/>
          <w:lang w:eastAsia="hi-IN" w:bidi="hi-IN"/>
        </w:rPr>
      </w:pPr>
      <w:r>
        <w:rPr>
          <w:rFonts w:ascii="Calibri" w:hAnsi="Calibri"/>
        </w:rPr>
        <w:t>The following</w:t>
      </w:r>
      <w:r w:rsidR="00EF7348" w:rsidRPr="003B529A">
        <w:rPr>
          <w:rFonts w:ascii="Calibri" w:hAnsi="Calibri"/>
        </w:rPr>
        <w:t xml:space="preserve"> Diplomatic Note</w:t>
      </w:r>
      <w:r>
        <w:rPr>
          <w:rFonts w:ascii="Calibri" w:hAnsi="Calibri"/>
        </w:rPr>
        <w:t xml:space="preserve">s have been issued </w:t>
      </w:r>
      <w:r w:rsidR="00D60A2F">
        <w:rPr>
          <w:rFonts w:ascii="Calibri" w:hAnsi="Calibri"/>
        </w:rPr>
        <w:t xml:space="preserve">to all Parties by the Secretariat so far in 2016 </w:t>
      </w:r>
      <w:r>
        <w:rPr>
          <w:rFonts w:ascii="Calibri" w:hAnsi="Calibri"/>
        </w:rPr>
        <w:t>:</w:t>
      </w:r>
      <w:r w:rsidR="00EF7348" w:rsidRPr="003B529A">
        <w:rPr>
          <w:rFonts w:ascii="Calibri" w:hAnsi="Calibri"/>
        </w:rPr>
        <w:t xml:space="preserve"> </w:t>
      </w:r>
    </w:p>
    <w:p w:rsidR="00D60A2F" w:rsidRPr="00D60A2F" w:rsidRDefault="00D60A2F" w:rsidP="00B600F1">
      <w:pPr>
        <w:pStyle w:val="ListParagraph"/>
        <w:numPr>
          <w:ilvl w:val="0"/>
          <w:numId w:val="30"/>
        </w:numPr>
        <w:spacing w:after="0" w:line="240" w:lineRule="auto"/>
        <w:ind w:left="851" w:right="-46" w:hanging="425"/>
        <w:rPr>
          <w:rFonts w:ascii="Calibri" w:eastAsia="Arial Unicode MS" w:hAnsi="Calibri" w:cs="Arial Unicode MS"/>
          <w:kern w:val="1"/>
          <w:lang w:eastAsia="hi-IN" w:bidi="hi-IN"/>
        </w:rPr>
      </w:pPr>
      <w:r w:rsidRPr="00D60A2F">
        <w:rPr>
          <w:rFonts w:ascii="Calibri" w:hAnsi="Calibri"/>
        </w:rPr>
        <w:t>Diplomatic Note 2016/1</w:t>
      </w:r>
      <w:r w:rsidR="00BE6581" w:rsidRPr="00D60A2F">
        <w:rPr>
          <w:rFonts w:ascii="Calibri" w:hAnsi="Calibri"/>
        </w:rPr>
        <w:t xml:space="preserve"> </w:t>
      </w:r>
      <w:r>
        <w:rPr>
          <w:rFonts w:ascii="Calibri" w:hAnsi="Calibri"/>
        </w:rPr>
        <w:t>:</w:t>
      </w:r>
      <w:r w:rsidRPr="00D60A2F">
        <w:rPr>
          <w:rFonts w:ascii="Calibri" w:hAnsi="Calibri"/>
        </w:rPr>
        <w:t xml:space="preserve"> </w:t>
      </w:r>
      <w:r w:rsidRPr="00D60A2F">
        <w:rPr>
          <w:rFonts w:ascii="Calibri" w:hAnsi="Calibri"/>
          <w:i/>
        </w:rPr>
        <w:t>Annual Contributions 2016</w:t>
      </w:r>
      <w:r w:rsidRPr="00D60A2F">
        <w:rPr>
          <w:rFonts w:ascii="Calibri" w:hAnsi="Calibri"/>
        </w:rPr>
        <w:t xml:space="preserve"> (20 January 2016)</w:t>
      </w:r>
    </w:p>
    <w:p w:rsidR="00D60A2F" w:rsidRPr="00D60A2F" w:rsidRDefault="00D60A2F" w:rsidP="00B600F1">
      <w:pPr>
        <w:pStyle w:val="ListParagraph"/>
        <w:numPr>
          <w:ilvl w:val="0"/>
          <w:numId w:val="30"/>
        </w:numPr>
        <w:spacing w:after="0" w:line="240" w:lineRule="auto"/>
        <w:ind w:left="851" w:right="-46" w:hanging="425"/>
        <w:rPr>
          <w:rFonts w:ascii="Calibri" w:eastAsia="Arial Unicode MS" w:hAnsi="Calibri" w:cs="Arial Unicode MS"/>
          <w:kern w:val="1"/>
          <w:lang w:eastAsia="hi-IN" w:bidi="hi-IN"/>
        </w:rPr>
      </w:pPr>
      <w:r w:rsidRPr="00D60A2F">
        <w:rPr>
          <w:rFonts w:ascii="Calibri" w:hAnsi="Calibri"/>
        </w:rPr>
        <w:t>Diplomatic Note 2016/2</w:t>
      </w:r>
      <w:r w:rsidRPr="00D60A2F">
        <w:rPr>
          <w:color w:val="000000" w:themeColor="text1"/>
        </w:rPr>
        <w:t xml:space="preserve"> </w:t>
      </w:r>
      <w:r>
        <w:rPr>
          <w:color w:val="000000" w:themeColor="text1"/>
        </w:rPr>
        <w:t>:</w:t>
      </w:r>
      <w:r w:rsidRPr="00D60A2F">
        <w:rPr>
          <w:color w:val="000000" w:themeColor="text1"/>
        </w:rPr>
        <w:t xml:space="preserve"> </w:t>
      </w:r>
      <w:r w:rsidRPr="00D60A2F">
        <w:rPr>
          <w:i/>
          <w:color w:val="000000" w:themeColor="text1"/>
        </w:rPr>
        <w:t xml:space="preserve">Report and decisions of the 51st meeting of the Standing Committee </w:t>
      </w:r>
      <w:r w:rsidRPr="00D60A2F">
        <w:rPr>
          <w:color w:val="000000" w:themeColor="text1"/>
        </w:rPr>
        <w:t>(16 February</w:t>
      </w:r>
      <w:r w:rsidRPr="00D60A2F">
        <w:rPr>
          <w:rFonts w:ascii="Calibri" w:hAnsi="Calibri"/>
          <w:color w:val="000000" w:themeColor="text1"/>
        </w:rPr>
        <w:t xml:space="preserve"> </w:t>
      </w:r>
      <w:r w:rsidRPr="00D60A2F">
        <w:rPr>
          <w:rFonts w:ascii="Calibri" w:hAnsi="Calibri"/>
        </w:rPr>
        <w:t>2016)</w:t>
      </w:r>
    </w:p>
    <w:p w:rsidR="00D60A2F" w:rsidRPr="00D60A2F" w:rsidRDefault="00D60A2F" w:rsidP="00B600F1">
      <w:pPr>
        <w:pStyle w:val="ListParagraph"/>
        <w:numPr>
          <w:ilvl w:val="0"/>
          <w:numId w:val="30"/>
        </w:numPr>
        <w:spacing w:after="0" w:line="240" w:lineRule="auto"/>
        <w:ind w:left="851" w:right="-46" w:hanging="425"/>
        <w:rPr>
          <w:rFonts w:ascii="Calibri" w:eastAsia="Arial Unicode MS" w:hAnsi="Calibri" w:cs="Arial Unicode MS"/>
          <w:kern w:val="1"/>
          <w:lang w:eastAsia="hi-IN" w:bidi="hi-IN"/>
        </w:rPr>
      </w:pPr>
      <w:r w:rsidRPr="00D60A2F">
        <w:rPr>
          <w:rFonts w:ascii="Calibri" w:hAnsi="Calibri"/>
        </w:rPr>
        <w:t>Diplomatic Note 2016/</w:t>
      </w:r>
      <w:r>
        <w:rPr>
          <w:rFonts w:ascii="Calibri" w:hAnsi="Calibri"/>
        </w:rPr>
        <w:t>3</w:t>
      </w:r>
      <w:r w:rsidRPr="00D60A2F">
        <w:rPr>
          <w:rFonts w:ascii="Calibri" w:hAnsi="Calibri"/>
        </w:rPr>
        <w:t xml:space="preserve"> </w:t>
      </w:r>
      <w:r>
        <w:rPr>
          <w:rFonts w:ascii="Calibri" w:hAnsi="Calibri"/>
        </w:rPr>
        <w:t>:</w:t>
      </w:r>
      <w:r w:rsidRPr="00D60A2F">
        <w:rPr>
          <w:rFonts w:ascii="Calibri" w:hAnsi="Calibri"/>
        </w:rPr>
        <w:t xml:space="preserve"> </w:t>
      </w:r>
      <w:r>
        <w:rPr>
          <w:rFonts w:ascii="Calibri" w:hAnsi="Calibri"/>
          <w:i/>
        </w:rPr>
        <w:t>Secretary General of the Convention : Vacancy Announcement</w:t>
      </w:r>
      <w:r>
        <w:rPr>
          <w:rFonts w:ascii="Calibri" w:hAnsi="Calibri"/>
        </w:rPr>
        <w:t xml:space="preserve"> (22 February 2016</w:t>
      </w:r>
    </w:p>
    <w:p w:rsidR="00D60A2F" w:rsidRPr="00D60A2F" w:rsidRDefault="00D60A2F" w:rsidP="00B600F1">
      <w:pPr>
        <w:pStyle w:val="ListParagraph"/>
        <w:numPr>
          <w:ilvl w:val="0"/>
          <w:numId w:val="30"/>
        </w:numPr>
        <w:spacing w:after="0" w:line="240" w:lineRule="auto"/>
        <w:ind w:left="851" w:right="-46" w:hanging="425"/>
        <w:rPr>
          <w:rFonts w:ascii="Calibri" w:eastAsia="Arial Unicode MS" w:hAnsi="Calibri" w:cs="Arial Unicode MS"/>
          <w:kern w:val="1"/>
          <w:lang w:eastAsia="hi-IN" w:bidi="hi-IN"/>
        </w:rPr>
      </w:pPr>
      <w:r w:rsidRPr="00D60A2F">
        <w:rPr>
          <w:rFonts w:ascii="Calibri" w:hAnsi="Calibri"/>
        </w:rPr>
        <w:t>Diplomatic Note 2</w:t>
      </w:r>
      <w:r w:rsidRPr="00D60A2F">
        <w:rPr>
          <w:color w:val="000000" w:themeColor="text1"/>
        </w:rPr>
        <w:t>016/4</w:t>
      </w:r>
      <w:r w:rsidR="00AF71F1">
        <w:rPr>
          <w:color w:val="000000" w:themeColor="text1"/>
        </w:rPr>
        <w:t xml:space="preserve"> </w:t>
      </w:r>
      <w:r w:rsidRPr="00D60A2F">
        <w:rPr>
          <w:color w:val="000000" w:themeColor="text1"/>
        </w:rPr>
        <w:t xml:space="preserve">: </w:t>
      </w:r>
      <w:r w:rsidRPr="00D60A2F">
        <w:rPr>
          <w:i/>
          <w:color w:val="000000" w:themeColor="text1"/>
        </w:rPr>
        <w:t xml:space="preserve">Invitation to join the Working Group on the Ramsar Regional Initiatives </w:t>
      </w:r>
      <w:r w:rsidRPr="00D60A2F">
        <w:rPr>
          <w:rFonts w:ascii="Calibri" w:hAnsi="Calibri"/>
        </w:rPr>
        <w:t>(23 February 2016)</w:t>
      </w:r>
    </w:p>
    <w:p w:rsidR="00B46D79" w:rsidRPr="003B529A" w:rsidRDefault="00B46D79" w:rsidP="00B600F1">
      <w:pPr>
        <w:pStyle w:val="ListParagraph"/>
        <w:spacing w:after="0" w:line="240" w:lineRule="auto"/>
        <w:ind w:left="426" w:right="-46" w:hanging="426"/>
        <w:rPr>
          <w:rFonts w:ascii="Calibri" w:eastAsia="Arial Unicode MS" w:hAnsi="Calibri" w:cs="Arial Unicode MS"/>
          <w:kern w:val="1"/>
          <w:lang w:eastAsia="hi-IN" w:bidi="hi-IN"/>
        </w:rPr>
      </w:pPr>
    </w:p>
    <w:p w:rsidR="00383692" w:rsidRPr="00DF650D" w:rsidRDefault="00D60A2F" w:rsidP="00B600F1">
      <w:pPr>
        <w:pStyle w:val="ListParagraph"/>
        <w:widowControl w:val="0"/>
        <w:numPr>
          <w:ilvl w:val="0"/>
          <w:numId w:val="4"/>
        </w:numPr>
        <w:spacing w:after="0" w:line="240" w:lineRule="auto"/>
        <w:ind w:left="426" w:right="-46" w:hanging="426"/>
        <w:rPr>
          <w:rFonts w:ascii="Calibri" w:hAnsi="Calibri" w:cs="Calibri"/>
        </w:rPr>
      </w:pPr>
      <w:r>
        <w:rPr>
          <w:rFonts w:ascii="Calibri" w:eastAsia="Arial Unicode MS" w:hAnsi="Calibri" w:cs="Arial Unicode MS"/>
          <w:kern w:val="1"/>
          <w:lang w:eastAsia="hi-IN" w:bidi="hi-IN"/>
        </w:rPr>
        <w:t>Travel reports :</w:t>
      </w:r>
      <w:r w:rsidR="009050AD" w:rsidRPr="00505ADE">
        <w:rPr>
          <w:rFonts w:ascii="Calibri" w:eastAsia="Arial Unicode MS" w:hAnsi="Calibri" w:cs="Arial Unicode MS"/>
          <w:kern w:val="1"/>
          <w:lang w:eastAsia="hi-IN" w:bidi="hi-IN"/>
        </w:rPr>
        <w:t xml:space="preserve"> </w:t>
      </w:r>
      <w:r w:rsidR="00716C24">
        <w:rPr>
          <w:rFonts w:ascii="Calibri" w:hAnsi="Calibri" w:cs="Calibri"/>
        </w:rPr>
        <w:t>D</w:t>
      </w:r>
      <w:r w:rsidR="009050AD" w:rsidRPr="00505ADE">
        <w:rPr>
          <w:rFonts w:ascii="Calibri" w:hAnsi="Calibri" w:cs="Calibri"/>
        </w:rPr>
        <w:t xml:space="preserve">etails of all missions </w:t>
      </w:r>
      <w:r w:rsidR="00716C24">
        <w:rPr>
          <w:rFonts w:ascii="Calibri" w:hAnsi="Calibri" w:cs="Calibri"/>
        </w:rPr>
        <w:t xml:space="preserve">of senior staff members </w:t>
      </w:r>
      <w:r w:rsidR="009050AD" w:rsidRPr="00505ADE">
        <w:rPr>
          <w:rFonts w:ascii="Calibri" w:hAnsi="Calibri" w:cs="Calibri"/>
        </w:rPr>
        <w:t xml:space="preserve">with dates and the outcomes of the missions </w:t>
      </w:r>
      <w:r w:rsidR="00A74DAC" w:rsidRPr="00505ADE">
        <w:rPr>
          <w:rFonts w:ascii="Calibri" w:hAnsi="Calibri" w:cs="Calibri"/>
        </w:rPr>
        <w:t xml:space="preserve">are </w:t>
      </w:r>
      <w:r w:rsidR="009050AD" w:rsidRPr="00505ADE">
        <w:rPr>
          <w:rFonts w:ascii="Calibri" w:hAnsi="Calibri" w:cs="Calibri"/>
        </w:rPr>
        <w:t xml:space="preserve">provided in Annex </w:t>
      </w:r>
      <w:r w:rsidR="00716C24">
        <w:rPr>
          <w:rFonts w:ascii="Calibri" w:hAnsi="Calibri" w:cs="Calibri"/>
        </w:rPr>
        <w:t>3, for December 2015 - February 2016</w:t>
      </w:r>
      <w:r w:rsidR="00A74DAC" w:rsidRPr="00505ADE">
        <w:rPr>
          <w:rFonts w:ascii="Calibri" w:hAnsi="Calibri" w:cs="Calibri"/>
        </w:rPr>
        <w:t>.</w:t>
      </w:r>
      <w:r w:rsidR="00AF71F1">
        <w:rPr>
          <w:rFonts w:ascii="Calibri" w:hAnsi="Calibri" w:cs="Calibri"/>
        </w:rPr>
        <w:t xml:space="preserve"> </w:t>
      </w:r>
      <w:r w:rsidR="00716C24">
        <w:rPr>
          <w:rFonts w:ascii="Calibri" w:hAnsi="Calibri" w:cs="Calibri"/>
        </w:rPr>
        <w:t>All detailed travel reports</w:t>
      </w:r>
      <w:r w:rsidR="00A74DAC" w:rsidRPr="00DF650D">
        <w:rPr>
          <w:rFonts w:ascii="Calibri" w:hAnsi="Calibri" w:cs="Calibri"/>
        </w:rPr>
        <w:t xml:space="preserve"> </w:t>
      </w:r>
      <w:r w:rsidR="00716C24">
        <w:rPr>
          <w:rFonts w:ascii="Calibri" w:hAnsi="Calibri" w:cs="Calibri"/>
        </w:rPr>
        <w:t>on these missions are available on request, and are archived within the Secretariat.</w:t>
      </w:r>
    </w:p>
    <w:p w:rsidR="00B600F1" w:rsidRDefault="00B600F1">
      <w:pPr>
        <w:rPr>
          <w:rFonts w:eastAsia="Garamond" w:cs="Garamond"/>
          <w:b/>
          <w:bCs/>
          <w:sz w:val="24"/>
          <w:szCs w:val="24"/>
        </w:rPr>
      </w:pPr>
      <w:r>
        <w:rPr>
          <w:rFonts w:eastAsia="Garamond" w:cs="Garamond"/>
          <w:b/>
          <w:bCs/>
          <w:sz w:val="24"/>
          <w:szCs w:val="24"/>
        </w:rPr>
        <w:br w:type="page"/>
      </w:r>
    </w:p>
    <w:p w:rsidR="00B57F72" w:rsidRPr="00FB4C67" w:rsidRDefault="00BE6581" w:rsidP="00B57F72">
      <w:pPr>
        <w:tabs>
          <w:tab w:val="left" w:pos="851"/>
        </w:tabs>
        <w:spacing w:after="0" w:line="240" w:lineRule="auto"/>
        <w:rPr>
          <w:rFonts w:eastAsia="Garamond" w:cs="Garamond"/>
          <w:b/>
          <w:bCs/>
          <w:sz w:val="24"/>
          <w:szCs w:val="24"/>
        </w:rPr>
      </w:pPr>
      <w:r w:rsidRPr="00FB4C67">
        <w:rPr>
          <w:rFonts w:eastAsia="Garamond" w:cs="Garamond"/>
          <w:b/>
          <w:bCs/>
          <w:sz w:val="24"/>
          <w:szCs w:val="24"/>
        </w:rPr>
        <w:lastRenderedPageBreak/>
        <w:t>Annex 1</w:t>
      </w:r>
    </w:p>
    <w:p w:rsidR="003F21D2" w:rsidRPr="00FB4C67" w:rsidRDefault="003F21D2" w:rsidP="003F21D2">
      <w:pPr>
        <w:spacing w:after="0" w:line="240" w:lineRule="auto"/>
        <w:rPr>
          <w:rFonts w:cs="Arial"/>
          <w:b/>
          <w:sz w:val="24"/>
          <w:szCs w:val="24"/>
        </w:rPr>
      </w:pPr>
    </w:p>
    <w:p w:rsidR="003F21D2" w:rsidRPr="00FB4C67" w:rsidRDefault="003F21D2" w:rsidP="003F21D2">
      <w:pPr>
        <w:spacing w:after="0" w:line="240" w:lineRule="auto"/>
        <w:rPr>
          <w:rFonts w:cs="Arial"/>
          <w:b/>
          <w:sz w:val="24"/>
          <w:szCs w:val="24"/>
        </w:rPr>
      </w:pPr>
      <w:r w:rsidRPr="00FB4C67">
        <w:rPr>
          <w:rFonts w:cs="Arial"/>
          <w:b/>
          <w:sz w:val="24"/>
          <w:szCs w:val="24"/>
        </w:rPr>
        <w:t>Interim Arrangements for Secretariat Administration</w:t>
      </w:r>
    </w:p>
    <w:p w:rsidR="003F21D2" w:rsidRDefault="003F21D2" w:rsidP="003F21D2">
      <w:pPr>
        <w:spacing w:after="0" w:line="240" w:lineRule="auto"/>
        <w:rPr>
          <w:rFonts w:ascii="Calibri" w:hAnsi="Calibri" w:cs="Arial"/>
        </w:rPr>
      </w:pPr>
    </w:p>
    <w:p w:rsidR="003F21D2" w:rsidRDefault="003F21D2" w:rsidP="003F21D2">
      <w:pPr>
        <w:spacing w:after="0" w:line="240" w:lineRule="auto"/>
        <w:rPr>
          <w:rFonts w:ascii="Calibri" w:hAnsi="Calibri" w:cs="Arial"/>
        </w:rPr>
      </w:pPr>
      <w:r>
        <w:rPr>
          <w:rFonts w:ascii="Calibri" w:hAnsi="Calibri" w:cs="Arial"/>
        </w:rPr>
        <w:t>The Deputy Secretary General (DSG) is appointed Acting Secretary General and is provided with enhanced support and supervision in this caretaker role.</w:t>
      </w:r>
    </w:p>
    <w:p w:rsidR="003F21D2" w:rsidRDefault="003F21D2" w:rsidP="003F21D2">
      <w:pPr>
        <w:spacing w:after="0" w:line="240" w:lineRule="auto"/>
        <w:rPr>
          <w:rFonts w:ascii="Calibri" w:hAnsi="Calibri" w:cs="Arial"/>
        </w:rPr>
      </w:pPr>
    </w:p>
    <w:p w:rsidR="003F21D2" w:rsidRDefault="003F21D2" w:rsidP="003F21D2">
      <w:pPr>
        <w:spacing w:after="0" w:line="240" w:lineRule="auto"/>
        <w:rPr>
          <w:rFonts w:ascii="Calibri" w:hAnsi="Calibri" w:cs="Arial"/>
        </w:rPr>
      </w:pPr>
      <w:r>
        <w:rPr>
          <w:rFonts w:ascii="Calibri" w:hAnsi="Calibri" w:cs="Arial"/>
        </w:rPr>
        <w:t>The key elements of that support and supervision are:</w:t>
      </w:r>
    </w:p>
    <w:p w:rsidR="003F21D2" w:rsidRDefault="003F21D2" w:rsidP="003F21D2">
      <w:pPr>
        <w:spacing w:after="0" w:line="240" w:lineRule="auto"/>
        <w:rPr>
          <w:rFonts w:ascii="Calibri" w:hAnsi="Calibri" w:cs="Arial"/>
        </w:rPr>
      </w:pPr>
    </w:p>
    <w:p w:rsidR="003F21D2" w:rsidRDefault="003F21D2" w:rsidP="00774AA1">
      <w:pPr>
        <w:spacing w:after="0" w:line="240" w:lineRule="auto"/>
        <w:ind w:left="426" w:hanging="426"/>
        <w:rPr>
          <w:rFonts w:ascii="Calibri" w:hAnsi="Calibri" w:cs="Arial"/>
        </w:rPr>
      </w:pPr>
      <w:r>
        <w:rPr>
          <w:rFonts w:ascii="Calibri" w:hAnsi="Calibri" w:cs="Arial"/>
        </w:rPr>
        <w:t xml:space="preserve">1) </w:t>
      </w:r>
      <w:r w:rsidR="00774AA1">
        <w:rPr>
          <w:rFonts w:ascii="Calibri" w:hAnsi="Calibri" w:cs="Arial"/>
        </w:rPr>
        <w:tab/>
      </w:r>
      <w:r>
        <w:rPr>
          <w:rFonts w:ascii="Calibri" w:hAnsi="Calibri" w:cs="Arial"/>
        </w:rPr>
        <w:t>Organization/Administration</w:t>
      </w:r>
    </w:p>
    <w:p w:rsidR="003F21D2" w:rsidRDefault="003F21D2" w:rsidP="00774AA1">
      <w:pPr>
        <w:pStyle w:val="ListParagraph"/>
        <w:numPr>
          <w:ilvl w:val="0"/>
          <w:numId w:val="21"/>
        </w:numPr>
        <w:spacing w:after="0" w:line="240" w:lineRule="auto"/>
        <w:ind w:left="851" w:hanging="425"/>
        <w:rPr>
          <w:rFonts w:ascii="Calibri" w:hAnsi="Calibri" w:cs="Arial"/>
        </w:rPr>
      </w:pPr>
      <w:r>
        <w:rPr>
          <w:rFonts w:ascii="Calibri" w:hAnsi="Calibri" w:cs="Arial"/>
        </w:rPr>
        <w:t>Secretariat structure remains as is and the DSG will also continue to perform the duties of DSG;</w:t>
      </w:r>
    </w:p>
    <w:p w:rsidR="003F21D2" w:rsidRDefault="003F21D2" w:rsidP="00774AA1">
      <w:pPr>
        <w:pStyle w:val="ListParagraph"/>
        <w:numPr>
          <w:ilvl w:val="0"/>
          <w:numId w:val="21"/>
        </w:numPr>
        <w:spacing w:after="0" w:line="240" w:lineRule="auto"/>
        <w:ind w:left="851" w:hanging="425"/>
        <w:rPr>
          <w:rFonts w:ascii="Calibri" w:hAnsi="Calibri" w:cs="Arial"/>
        </w:rPr>
      </w:pPr>
      <w:r>
        <w:rPr>
          <w:rFonts w:ascii="Calibri" w:hAnsi="Calibri" w:cs="Arial"/>
        </w:rPr>
        <w:t>DSG can be appointed for up to a year (the period should be shorter than this)</w:t>
      </w:r>
    </w:p>
    <w:p w:rsidR="003F21D2" w:rsidRDefault="003F21D2" w:rsidP="00774AA1">
      <w:pPr>
        <w:pStyle w:val="ListParagraph"/>
        <w:numPr>
          <w:ilvl w:val="0"/>
          <w:numId w:val="21"/>
        </w:numPr>
        <w:spacing w:after="0" w:line="240" w:lineRule="auto"/>
        <w:ind w:left="851" w:hanging="425"/>
        <w:rPr>
          <w:rFonts w:ascii="Calibri" w:hAnsi="Calibri" w:cs="Arial"/>
        </w:rPr>
      </w:pPr>
      <w:r>
        <w:rPr>
          <w:rFonts w:ascii="Calibri" w:hAnsi="Calibri" w:cs="Arial"/>
        </w:rPr>
        <w:t>DSG receives an appropriate allowance consistent with IUCN policy;</w:t>
      </w:r>
    </w:p>
    <w:p w:rsidR="003F21D2" w:rsidRDefault="003F21D2" w:rsidP="00774AA1">
      <w:pPr>
        <w:pStyle w:val="ListParagraph"/>
        <w:numPr>
          <w:ilvl w:val="0"/>
          <w:numId w:val="21"/>
        </w:numPr>
        <w:spacing w:after="0" w:line="240" w:lineRule="auto"/>
        <w:ind w:left="851" w:hanging="425"/>
        <w:rPr>
          <w:rFonts w:ascii="Calibri" w:hAnsi="Calibri" w:cs="Arial"/>
        </w:rPr>
      </w:pPr>
      <w:r>
        <w:rPr>
          <w:rFonts w:ascii="Calibri" w:hAnsi="Calibri" w:cs="Arial"/>
        </w:rPr>
        <w:t>DSG will have those duties and responsibilities of the SG position which are consistent with a caretaker regime (for example this would mean no significant changes to structure and policy nor extensive international travel).</w:t>
      </w:r>
      <w:r w:rsidR="00AF71F1">
        <w:rPr>
          <w:rFonts w:ascii="Calibri" w:hAnsi="Calibri" w:cs="Arial"/>
        </w:rPr>
        <w:t xml:space="preserve"> </w:t>
      </w:r>
      <w:r>
        <w:rPr>
          <w:rFonts w:ascii="Calibri" w:hAnsi="Calibri" w:cs="Arial"/>
        </w:rPr>
        <w:t>The exact nature of this arrangement will be determined by the Executive Team in consultation with the IUCN.</w:t>
      </w:r>
    </w:p>
    <w:p w:rsidR="003F21D2" w:rsidRDefault="003F21D2" w:rsidP="00774AA1">
      <w:pPr>
        <w:pStyle w:val="ListParagraph"/>
        <w:numPr>
          <w:ilvl w:val="0"/>
          <w:numId w:val="21"/>
        </w:numPr>
        <w:spacing w:after="0" w:line="240" w:lineRule="auto"/>
        <w:ind w:left="851" w:hanging="425"/>
        <w:rPr>
          <w:rFonts w:ascii="Calibri" w:hAnsi="Calibri" w:cs="Arial"/>
        </w:rPr>
      </w:pPr>
      <w:r>
        <w:rPr>
          <w:rFonts w:ascii="Calibri" w:hAnsi="Calibri" w:cs="Arial"/>
        </w:rPr>
        <w:t>DSG will be formally evaluated at an appropriate time.</w:t>
      </w:r>
    </w:p>
    <w:p w:rsidR="003F21D2" w:rsidRDefault="003F21D2" w:rsidP="00774AA1">
      <w:pPr>
        <w:pStyle w:val="ListParagraph"/>
        <w:numPr>
          <w:ilvl w:val="0"/>
          <w:numId w:val="21"/>
        </w:numPr>
        <w:spacing w:after="0" w:line="240" w:lineRule="auto"/>
        <w:ind w:left="851" w:hanging="425"/>
        <w:rPr>
          <w:rFonts w:ascii="Calibri" w:hAnsi="Calibri" w:cs="Arial"/>
        </w:rPr>
      </w:pPr>
      <w:r>
        <w:rPr>
          <w:rFonts w:ascii="Calibri" w:hAnsi="Calibri" w:cs="Arial"/>
        </w:rPr>
        <w:t>DSG may apply for the vacant SG post but she will be provided with unequivocal advice that acting in the SG position will not result in preferential treatment in that recruitment process</w:t>
      </w:r>
    </w:p>
    <w:p w:rsidR="003F21D2" w:rsidRDefault="003F21D2" w:rsidP="00774AA1">
      <w:pPr>
        <w:pStyle w:val="ListParagraph"/>
        <w:numPr>
          <w:ilvl w:val="0"/>
          <w:numId w:val="21"/>
        </w:numPr>
        <w:spacing w:after="0" w:line="240" w:lineRule="auto"/>
        <w:ind w:left="851" w:hanging="425"/>
        <w:rPr>
          <w:rFonts w:ascii="Calibri" w:hAnsi="Calibri" w:cs="Arial"/>
        </w:rPr>
      </w:pPr>
      <w:r>
        <w:rPr>
          <w:rFonts w:ascii="Calibri" w:hAnsi="Calibri" w:cs="Arial"/>
        </w:rPr>
        <w:t>Consistent with established IUCN practice, responsibilities of the DSG position may be assigned (in consultation with the Executive Team) to other Secretariat staff as appropriate and necessary. Under these circumstances allowances will be paid consistent with IUCN policy;</w:t>
      </w:r>
    </w:p>
    <w:p w:rsidR="003F21D2" w:rsidRDefault="003F21D2" w:rsidP="00774AA1">
      <w:pPr>
        <w:pStyle w:val="ListParagraph"/>
        <w:numPr>
          <w:ilvl w:val="0"/>
          <w:numId w:val="21"/>
        </w:numPr>
        <w:spacing w:after="0" w:line="240" w:lineRule="auto"/>
        <w:ind w:left="851" w:hanging="425"/>
        <w:rPr>
          <w:rFonts w:ascii="Calibri" w:hAnsi="Calibri" w:cs="Arial"/>
        </w:rPr>
      </w:pPr>
      <w:r>
        <w:rPr>
          <w:rFonts w:ascii="Calibri" w:hAnsi="Calibri" w:cs="Arial"/>
        </w:rPr>
        <w:t>The DSG will be asked to develop a strategy (for review and endorsement by the Executive Team) to foster and enhance an improved culture of collaboration and performance by Secretariat staff.</w:t>
      </w:r>
      <w:r w:rsidR="00AF71F1">
        <w:rPr>
          <w:rFonts w:ascii="Calibri" w:hAnsi="Calibri" w:cs="Arial"/>
        </w:rPr>
        <w:t xml:space="preserve"> </w:t>
      </w:r>
      <w:r>
        <w:rPr>
          <w:rFonts w:ascii="Calibri" w:hAnsi="Calibri" w:cs="Arial"/>
        </w:rPr>
        <w:t>This strategy to incorporate an unequivocal focus on serving Contracting Parties’ needs and also address critical training needs of the staff (subject to budget availability).</w:t>
      </w:r>
    </w:p>
    <w:p w:rsidR="003F21D2" w:rsidRDefault="003F21D2" w:rsidP="00774AA1">
      <w:pPr>
        <w:pStyle w:val="ListParagraph"/>
        <w:numPr>
          <w:ilvl w:val="0"/>
          <w:numId w:val="21"/>
        </w:numPr>
        <w:spacing w:after="0" w:line="240" w:lineRule="auto"/>
        <w:ind w:left="851" w:hanging="425"/>
        <w:rPr>
          <w:rFonts w:ascii="Calibri" w:hAnsi="Calibri" w:cs="Arial"/>
        </w:rPr>
      </w:pPr>
      <w:r>
        <w:rPr>
          <w:rFonts w:ascii="Calibri" w:hAnsi="Calibri" w:cs="Arial"/>
        </w:rPr>
        <w:t>DSG will review the Secretariat’s work programme and, in consultation with the Executive Team, determine critical priorities to be undertaken by the Secretariat for the period of her acting role.</w:t>
      </w:r>
      <w:r w:rsidR="00AF71F1">
        <w:rPr>
          <w:rFonts w:ascii="Calibri" w:hAnsi="Calibri" w:cs="Arial"/>
        </w:rPr>
        <w:t xml:space="preserve"> </w:t>
      </w:r>
      <w:r>
        <w:rPr>
          <w:rFonts w:ascii="Calibri" w:hAnsi="Calibri" w:cs="Arial"/>
        </w:rPr>
        <w:t xml:space="preserve">Those priorities will include (but are not limited to): </w:t>
      </w:r>
    </w:p>
    <w:p w:rsidR="003F21D2" w:rsidRDefault="003F21D2" w:rsidP="00774AA1">
      <w:pPr>
        <w:pStyle w:val="ListParagraph"/>
        <w:numPr>
          <w:ilvl w:val="0"/>
          <w:numId w:val="22"/>
        </w:numPr>
        <w:spacing w:after="0" w:line="240" w:lineRule="auto"/>
        <w:ind w:left="1276" w:hanging="425"/>
        <w:rPr>
          <w:rFonts w:ascii="Calibri" w:hAnsi="Calibri" w:cs="Arial"/>
        </w:rPr>
      </w:pPr>
      <w:r>
        <w:rPr>
          <w:rFonts w:ascii="Calibri" w:hAnsi="Calibri" w:cs="Arial"/>
        </w:rPr>
        <w:t xml:space="preserve">MOU for the COP13 (and other MOUs deemed appropriate by the Executive Team); </w:t>
      </w:r>
    </w:p>
    <w:p w:rsidR="003F21D2" w:rsidRDefault="003F21D2" w:rsidP="00774AA1">
      <w:pPr>
        <w:pStyle w:val="ListParagraph"/>
        <w:numPr>
          <w:ilvl w:val="0"/>
          <w:numId w:val="22"/>
        </w:numPr>
        <w:spacing w:after="0" w:line="240" w:lineRule="auto"/>
        <w:ind w:left="1276" w:hanging="425"/>
        <w:rPr>
          <w:rFonts w:ascii="Calibri" w:hAnsi="Calibri" w:cs="Arial"/>
        </w:rPr>
      </w:pPr>
      <w:r>
        <w:rPr>
          <w:rFonts w:ascii="Calibri" w:hAnsi="Calibri" w:cs="Arial"/>
        </w:rPr>
        <w:t>An audit of the Budget to ensure it properly aligns to priorities;</w:t>
      </w:r>
    </w:p>
    <w:p w:rsidR="003F21D2" w:rsidRDefault="003F21D2" w:rsidP="00774AA1">
      <w:pPr>
        <w:pStyle w:val="ListParagraph"/>
        <w:numPr>
          <w:ilvl w:val="0"/>
          <w:numId w:val="22"/>
        </w:numPr>
        <w:spacing w:after="0" w:line="240" w:lineRule="auto"/>
        <w:ind w:left="1276" w:hanging="425"/>
        <w:rPr>
          <w:rFonts w:ascii="Calibri" w:hAnsi="Calibri" w:cs="Arial"/>
        </w:rPr>
      </w:pPr>
      <w:r>
        <w:rPr>
          <w:rFonts w:ascii="Calibri" w:hAnsi="Calibri" w:cs="Arial"/>
        </w:rPr>
        <w:t>Preparations for SC52 in 2016;</w:t>
      </w:r>
    </w:p>
    <w:p w:rsidR="003F21D2" w:rsidRDefault="003F21D2" w:rsidP="00774AA1">
      <w:pPr>
        <w:pStyle w:val="ListParagraph"/>
        <w:numPr>
          <w:ilvl w:val="0"/>
          <w:numId w:val="22"/>
        </w:numPr>
        <w:spacing w:after="0" w:line="240" w:lineRule="auto"/>
        <w:ind w:left="1276" w:hanging="425"/>
        <w:rPr>
          <w:rFonts w:ascii="Calibri" w:hAnsi="Calibri" w:cs="Arial"/>
        </w:rPr>
      </w:pPr>
      <w:r>
        <w:rPr>
          <w:rFonts w:ascii="Calibri" w:hAnsi="Calibri" w:cs="Arial"/>
        </w:rPr>
        <w:t>Complete implementation of working webpage and RSIS;</w:t>
      </w:r>
    </w:p>
    <w:p w:rsidR="003F21D2" w:rsidRDefault="003F21D2" w:rsidP="00774AA1">
      <w:pPr>
        <w:pStyle w:val="ListParagraph"/>
        <w:numPr>
          <w:ilvl w:val="0"/>
          <w:numId w:val="22"/>
        </w:numPr>
        <w:spacing w:after="0" w:line="240" w:lineRule="auto"/>
        <w:ind w:left="1276" w:hanging="425"/>
        <w:rPr>
          <w:rFonts w:ascii="Calibri" w:hAnsi="Calibri" w:cs="Arial"/>
        </w:rPr>
      </w:pPr>
      <w:r>
        <w:rPr>
          <w:rFonts w:ascii="Calibri" w:hAnsi="Calibri" w:cs="Arial"/>
        </w:rPr>
        <w:t>Review consultancies and rationalize where possible;</w:t>
      </w:r>
    </w:p>
    <w:p w:rsidR="003F21D2" w:rsidRDefault="003F21D2" w:rsidP="00774AA1">
      <w:pPr>
        <w:pStyle w:val="ListParagraph"/>
        <w:numPr>
          <w:ilvl w:val="0"/>
          <w:numId w:val="22"/>
        </w:numPr>
        <w:spacing w:after="0" w:line="240" w:lineRule="auto"/>
        <w:ind w:left="1276" w:hanging="425"/>
        <w:rPr>
          <w:rFonts w:ascii="Calibri" w:hAnsi="Calibri" w:cs="Arial"/>
        </w:rPr>
      </w:pPr>
      <w:r>
        <w:rPr>
          <w:rFonts w:ascii="Calibri" w:hAnsi="Calibri" w:cs="Arial"/>
        </w:rPr>
        <w:t>Review resource mobilization, especially as it relates to fund-raising, to ensure the capture of work undertaken already so that an incoming SG is in a position to reinvigorate this program. This review should be undertaken in conjunction</w:t>
      </w:r>
      <w:r w:rsidR="00AF71F1">
        <w:rPr>
          <w:rFonts w:ascii="Calibri" w:hAnsi="Calibri" w:cs="Arial"/>
        </w:rPr>
        <w:t xml:space="preserve"> </w:t>
      </w:r>
      <w:r>
        <w:rPr>
          <w:rFonts w:ascii="Calibri" w:hAnsi="Calibri" w:cs="Arial"/>
        </w:rPr>
        <w:t>with the Resource Mobili</w:t>
      </w:r>
      <w:r w:rsidR="00D20BF1">
        <w:rPr>
          <w:rFonts w:ascii="Calibri" w:hAnsi="Calibri" w:cs="Arial"/>
        </w:rPr>
        <w:t>z</w:t>
      </w:r>
      <w:r>
        <w:rPr>
          <w:rFonts w:ascii="Calibri" w:hAnsi="Calibri" w:cs="Arial"/>
        </w:rPr>
        <w:t>ation Working Group;</w:t>
      </w:r>
    </w:p>
    <w:p w:rsidR="003F21D2" w:rsidRPr="003A6823" w:rsidRDefault="003F21D2" w:rsidP="00774AA1">
      <w:pPr>
        <w:pStyle w:val="ListParagraph"/>
        <w:numPr>
          <w:ilvl w:val="0"/>
          <w:numId w:val="22"/>
        </w:numPr>
        <w:spacing w:after="0" w:line="240" w:lineRule="auto"/>
        <w:ind w:left="1276" w:hanging="425"/>
        <w:rPr>
          <w:rFonts w:ascii="Calibri" w:hAnsi="Calibri" w:cs="Arial"/>
        </w:rPr>
      </w:pPr>
      <w:r>
        <w:rPr>
          <w:rFonts w:ascii="Calibri" w:hAnsi="Calibri" w:cs="Arial"/>
        </w:rPr>
        <w:t>Evaluation of COP12.</w:t>
      </w:r>
    </w:p>
    <w:p w:rsidR="003F21D2" w:rsidRDefault="003F21D2" w:rsidP="003F21D2">
      <w:pPr>
        <w:spacing w:after="0" w:line="240" w:lineRule="auto"/>
        <w:rPr>
          <w:rFonts w:ascii="Calibri" w:hAnsi="Calibri" w:cs="Arial"/>
        </w:rPr>
      </w:pPr>
    </w:p>
    <w:p w:rsidR="003F21D2" w:rsidRDefault="003F21D2" w:rsidP="003F21D2">
      <w:pPr>
        <w:rPr>
          <w:rFonts w:ascii="Calibri" w:hAnsi="Calibri" w:cs="Arial"/>
        </w:rPr>
      </w:pPr>
      <w:r>
        <w:rPr>
          <w:rFonts w:ascii="Calibri" w:hAnsi="Calibri" w:cs="Arial"/>
        </w:rPr>
        <w:br w:type="page"/>
      </w:r>
    </w:p>
    <w:p w:rsidR="003F21D2" w:rsidRDefault="003F21D2" w:rsidP="003F21D2">
      <w:pPr>
        <w:spacing w:after="0" w:line="240" w:lineRule="auto"/>
        <w:rPr>
          <w:rFonts w:ascii="Calibri" w:hAnsi="Calibri" w:cs="Arial"/>
        </w:rPr>
      </w:pPr>
    </w:p>
    <w:p w:rsidR="003F21D2" w:rsidRDefault="003F21D2" w:rsidP="00774AA1">
      <w:pPr>
        <w:spacing w:after="0" w:line="240" w:lineRule="auto"/>
        <w:ind w:left="426" w:hanging="426"/>
        <w:rPr>
          <w:rFonts w:ascii="Calibri" w:hAnsi="Calibri" w:cs="Arial"/>
        </w:rPr>
      </w:pPr>
      <w:r>
        <w:rPr>
          <w:rFonts w:ascii="Calibri" w:hAnsi="Calibri" w:cs="Arial"/>
        </w:rPr>
        <w:t xml:space="preserve">2) </w:t>
      </w:r>
      <w:r w:rsidR="00774AA1">
        <w:rPr>
          <w:rFonts w:ascii="Calibri" w:hAnsi="Calibri" w:cs="Arial"/>
        </w:rPr>
        <w:tab/>
      </w:r>
      <w:r>
        <w:rPr>
          <w:rFonts w:ascii="Calibri" w:hAnsi="Calibri" w:cs="Arial"/>
        </w:rPr>
        <w:t>Executive Team Supervision and Support*</w:t>
      </w:r>
    </w:p>
    <w:p w:rsidR="003F21D2" w:rsidRDefault="003F21D2" w:rsidP="00774AA1">
      <w:pPr>
        <w:pStyle w:val="ListParagraph"/>
        <w:numPr>
          <w:ilvl w:val="0"/>
          <w:numId w:val="20"/>
        </w:numPr>
        <w:spacing w:after="0" w:line="240" w:lineRule="auto"/>
        <w:ind w:left="851" w:hanging="425"/>
        <w:rPr>
          <w:rFonts w:ascii="Calibri" w:hAnsi="Calibri" w:cs="Arial"/>
        </w:rPr>
      </w:pPr>
      <w:r w:rsidRPr="005D73CE">
        <w:rPr>
          <w:rFonts w:ascii="Calibri" w:hAnsi="Calibri" w:cs="Arial"/>
        </w:rPr>
        <w:t>Executive Team (ET) will consider assigning specific responsibilities for supervision amongst its members to complement the Team’s existing supervision role</w:t>
      </w:r>
    </w:p>
    <w:p w:rsidR="003F21D2" w:rsidRDefault="003F21D2" w:rsidP="00774AA1">
      <w:pPr>
        <w:pStyle w:val="ListParagraph"/>
        <w:numPr>
          <w:ilvl w:val="0"/>
          <w:numId w:val="20"/>
        </w:numPr>
        <w:spacing w:after="0" w:line="240" w:lineRule="auto"/>
        <w:ind w:left="851" w:hanging="425"/>
        <w:rPr>
          <w:rFonts w:ascii="Calibri" w:hAnsi="Calibri" w:cs="Arial"/>
        </w:rPr>
      </w:pPr>
      <w:r>
        <w:rPr>
          <w:rFonts w:ascii="Calibri" w:hAnsi="Calibri" w:cs="Arial"/>
        </w:rPr>
        <w:t>ET will work actively with DSG in initial period to facilitate and oversight priority setting and allocation of staff resources</w:t>
      </w:r>
    </w:p>
    <w:p w:rsidR="003F21D2" w:rsidRDefault="003F21D2" w:rsidP="00774AA1">
      <w:pPr>
        <w:pStyle w:val="ListParagraph"/>
        <w:numPr>
          <w:ilvl w:val="0"/>
          <w:numId w:val="20"/>
        </w:numPr>
        <w:spacing w:after="0" w:line="240" w:lineRule="auto"/>
        <w:ind w:left="851" w:hanging="425"/>
        <w:rPr>
          <w:rFonts w:ascii="Calibri" w:hAnsi="Calibri" w:cs="Arial"/>
        </w:rPr>
      </w:pPr>
      <w:r>
        <w:rPr>
          <w:rFonts w:ascii="Calibri" w:hAnsi="Calibri" w:cs="Arial"/>
        </w:rPr>
        <w:t>ET will determine optimal management and co-ordination arrangements to improve communication with and oversight of DSG (eg rather than individual responses to requests from DSG, ET will consider as a group with agreed decisions communicated via Chair)</w:t>
      </w:r>
    </w:p>
    <w:p w:rsidR="003F21D2" w:rsidRDefault="003F21D2" w:rsidP="00774AA1">
      <w:pPr>
        <w:pStyle w:val="ListParagraph"/>
        <w:numPr>
          <w:ilvl w:val="0"/>
          <w:numId w:val="20"/>
        </w:numPr>
        <w:spacing w:after="0" w:line="240" w:lineRule="auto"/>
        <w:ind w:left="851" w:hanging="425"/>
        <w:rPr>
          <w:rFonts w:ascii="Calibri" w:hAnsi="Calibri" w:cs="Arial"/>
        </w:rPr>
      </w:pPr>
      <w:r>
        <w:rPr>
          <w:rFonts w:ascii="Calibri" w:hAnsi="Calibri" w:cs="Arial"/>
        </w:rPr>
        <w:t>ET will utilise videoconferences, teleconferences and other means for its own discussions and for regular, formal contact with the DSG and the Secretariat.</w:t>
      </w:r>
      <w:r w:rsidR="00AF71F1">
        <w:rPr>
          <w:rFonts w:ascii="Calibri" w:hAnsi="Calibri" w:cs="Arial"/>
        </w:rPr>
        <w:t xml:space="preserve"> </w:t>
      </w:r>
      <w:r>
        <w:rPr>
          <w:rFonts w:ascii="Calibri" w:hAnsi="Calibri" w:cs="Arial"/>
        </w:rPr>
        <w:t>The Permanent Observer from Switzerland will assist through local engagement where possible;</w:t>
      </w:r>
    </w:p>
    <w:p w:rsidR="003F21D2" w:rsidRDefault="003F21D2" w:rsidP="00774AA1">
      <w:pPr>
        <w:pStyle w:val="ListParagraph"/>
        <w:numPr>
          <w:ilvl w:val="0"/>
          <w:numId w:val="20"/>
        </w:numPr>
        <w:spacing w:after="0" w:line="240" w:lineRule="auto"/>
        <w:ind w:left="851" w:hanging="425"/>
        <w:rPr>
          <w:rFonts w:ascii="Calibri" w:hAnsi="Calibri" w:cs="Arial"/>
        </w:rPr>
      </w:pPr>
      <w:r>
        <w:rPr>
          <w:rFonts w:ascii="Calibri" w:hAnsi="Calibri" w:cs="Arial"/>
        </w:rPr>
        <w:t>ET will have a concurrence role for all staff appointments and terminations as well as Secretariat travel</w:t>
      </w:r>
    </w:p>
    <w:p w:rsidR="003F21D2" w:rsidRDefault="003F21D2" w:rsidP="00774AA1">
      <w:pPr>
        <w:pStyle w:val="ListParagraph"/>
        <w:numPr>
          <w:ilvl w:val="0"/>
          <w:numId w:val="20"/>
        </w:numPr>
        <w:spacing w:after="0" w:line="240" w:lineRule="auto"/>
        <w:ind w:left="851" w:hanging="425"/>
        <w:rPr>
          <w:rFonts w:ascii="Calibri" w:hAnsi="Calibri" w:cs="Arial"/>
        </w:rPr>
      </w:pPr>
      <w:r>
        <w:rPr>
          <w:rFonts w:ascii="Calibri" w:hAnsi="Calibri" w:cs="Arial"/>
        </w:rPr>
        <w:t>ET members will consider augmentations of support and resourcing arrangements within their own agencies for the interim period</w:t>
      </w:r>
    </w:p>
    <w:p w:rsidR="003F21D2" w:rsidRDefault="003F21D2" w:rsidP="00774AA1">
      <w:pPr>
        <w:pStyle w:val="ListParagraph"/>
        <w:numPr>
          <w:ilvl w:val="0"/>
          <w:numId w:val="20"/>
        </w:numPr>
        <w:spacing w:after="0" w:line="240" w:lineRule="auto"/>
        <w:ind w:left="851" w:hanging="425"/>
        <w:rPr>
          <w:rFonts w:ascii="Calibri" w:hAnsi="Calibri" w:cs="Arial"/>
        </w:rPr>
      </w:pPr>
      <w:r>
        <w:rPr>
          <w:rFonts w:ascii="Calibri" w:hAnsi="Calibri" w:cs="Arial"/>
        </w:rPr>
        <w:t>ET will actively engage with former ET for advice and assistance</w:t>
      </w:r>
    </w:p>
    <w:p w:rsidR="003F21D2" w:rsidRDefault="003F21D2" w:rsidP="003F21D2">
      <w:pPr>
        <w:spacing w:after="0" w:line="240" w:lineRule="auto"/>
        <w:rPr>
          <w:rFonts w:ascii="Calibri" w:hAnsi="Calibri" w:cs="Arial"/>
        </w:rPr>
      </w:pPr>
    </w:p>
    <w:p w:rsidR="003F21D2" w:rsidRPr="005D73CE" w:rsidRDefault="003F21D2" w:rsidP="003F21D2">
      <w:pPr>
        <w:spacing w:after="0" w:line="240" w:lineRule="auto"/>
        <w:rPr>
          <w:rFonts w:ascii="Calibri" w:hAnsi="Calibri" w:cs="Arial"/>
        </w:rPr>
      </w:pPr>
      <w:r w:rsidRPr="005D73CE">
        <w:rPr>
          <w:rFonts w:ascii="Calibri" w:hAnsi="Calibri" w:cs="Arial"/>
        </w:rPr>
        <w:t>*</w:t>
      </w:r>
      <w:r>
        <w:rPr>
          <w:rFonts w:ascii="Calibri" w:hAnsi="Calibri" w:cs="Arial"/>
        </w:rPr>
        <w:t xml:space="preserve"> N</w:t>
      </w:r>
      <w:r w:rsidRPr="005D73CE">
        <w:rPr>
          <w:rFonts w:ascii="Calibri" w:hAnsi="Calibri" w:cs="Arial"/>
        </w:rPr>
        <w:t>o</w:t>
      </w:r>
      <w:r>
        <w:rPr>
          <w:rFonts w:ascii="Calibri" w:hAnsi="Calibri" w:cs="Arial"/>
        </w:rPr>
        <w:t>ting that these proposals reflect a major expansion of the duties of the Executive Team (with consequential resource implications) and further noting that this expanded role will not persist once a new SG is appointed.</w:t>
      </w:r>
      <w:r w:rsidR="00AF71F1">
        <w:rPr>
          <w:rFonts w:ascii="Calibri" w:hAnsi="Calibri" w:cs="Arial"/>
        </w:rPr>
        <w:t xml:space="preserve"> </w:t>
      </w:r>
      <w:r>
        <w:rPr>
          <w:rFonts w:ascii="Calibri" w:hAnsi="Calibri" w:cs="Arial"/>
        </w:rPr>
        <w:t>The long-term expectation is for the Ramsar Secretariat to function more independently in a way consistent with the best practice of other conventions.</w:t>
      </w:r>
    </w:p>
    <w:p w:rsidR="003F21D2" w:rsidRPr="005D73CE" w:rsidRDefault="003F21D2" w:rsidP="003F21D2">
      <w:pPr>
        <w:spacing w:after="0" w:line="240" w:lineRule="auto"/>
        <w:rPr>
          <w:rFonts w:ascii="Calibri" w:hAnsi="Calibri" w:cs="Arial"/>
        </w:rPr>
      </w:pPr>
    </w:p>
    <w:p w:rsidR="00CE1816" w:rsidRDefault="00337B8E">
      <w:pPr>
        <w:rPr>
          <w:rFonts w:eastAsia="Garamond" w:cs="Garamond"/>
          <w:b/>
          <w:bCs/>
          <w:sz w:val="24"/>
          <w:szCs w:val="24"/>
        </w:rPr>
        <w:sectPr w:rsidR="00CE1816" w:rsidSect="00FB4C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Pr>
          <w:rFonts w:eastAsia="Garamond" w:cs="Garamond"/>
          <w:b/>
          <w:bCs/>
          <w:sz w:val="24"/>
          <w:szCs w:val="24"/>
        </w:rPr>
        <w:br w:type="page"/>
      </w:r>
    </w:p>
    <w:p w:rsidR="00B57F72" w:rsidRPr="00FB4C67" w:rsidRDefault="003F21D2" w:rsidP="00FB4C67">
      <w:pPr>
        <w:rPr>
          <w:rFonts w:eastAsia="Garamond" w:cs="Garamond"/>
          <w:b/>
          <w:bCs/>
          <w:sz w:val="24"/>
          <w:szCs w:val="24"/>
        </w:rPr>
      </w:pPr>
      <w:r w:rsidRPr="00FB4C67">
        <w:rPr>
          <w:rFonts w:eastAsia="Garamond" w:cs="Garamond"/>
          <w:b/>
          <w:bCs/>
          <w:sz w:val="24"/>
          <w:szCs w:val="24"/>
        </w:rPr>
        <w:lastRenderedPageBreak/>
        <w:t>Annex 2</w:t>
      </w:r>
    </w:p>
    <w:p w:rsidR="00B57F72" w:rsidRPr="00FB4C67" w:rsidRDefault="00CE1816" w:rsidP="00B57F72">
      <w:pPr>
        <w:tabs>
          <w:tab w:val="left" w:pos="851"/>
        </w:tabs>
        <w:spacing w:after="0" w:line="240" w:lineRule="auto"/>
        <w:rPr>
          <w:rFonts w:eastAsia="Garamond" w:cs="Garamond"/>
          <w:b/>
          <w:bCs/>
          <w:sz w:val="24"/>
          <w:szCs w:val="24"/>
        </w:rPr>
      </w:pPr>
      <w:r w:rsidRPr="00FB4C67">
        <w:rPr>
          <w:rFonts w:eastAsia="Garamond" w:cs="Garamond"/>
          <w:b/>
          <w:bCs/>
          <w:sz w:val="24"/>
          <w:szCs w:val="24"/>
        </w:rPr>
        <w:t>Table of Consultancy Contracts as at 31 December 2015</w:t>
      </w:r>
    </w:p>
    <w:p w:rsidR="00CE1816" w:rsidRPr="00B57F72" w:rsidRDefault="00CE1816" w:rsidP="00B57F72">
      <w:pPr>
        <w:tabs>
          <w:tab w:val="left" w:pos="851"/>
        </w:tabs>
        <w:spacing w:after="0" w:line="240" w:lineRule="auto"/>
        <w:rPr>
          <w:rFonts w:eastAsia="Garamond" w:cs="Garamond"/>
          <w:bCs/>
          <w:sz w:val="24"/>
          <w:szCs w:val="24"/>
        </w:rPr>
      </w:pPr>
    </w:p>
    <w:tbl>
      <w:tblPr>
        <w:tblW w:w="13623" w:type="dxa"/>
        <w:tblInd w:w="93" w:type="dxa"/>
        <w:tblLook w:val="04A0" w:firstRow="1" w:lastRow="0" w:firstColumn="1" w:lastColumn="0" w:noHBand="0" w:noVBand="1"/>
      </w:tblPr>
      <w:tblGrid>
        <w:gridCol w:w="2283"/>
        <w:gridCol w:w="1134"/>
        <w:gridCol w:w="4253"/>
        <w:gridCol w:w="1276"/>
        <w:gridCol w:w="3260"/>
        <w:gridCol w:w="1417"/>
      </w:tblGrid>
      <w:tr w:rsidR="00CE1816" w:rsidRPr="00337B8E" w:rsidTr="002F01FA">
        <w:trPr>
          <w:trHeight w:val="170"/>
          <w:tblHeader/>
        </w:trPr>
        <w:tc>
          <w:tcPr>
            <w:tcW w:w="2283"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CE1816" w:rsidRDefault="00CE1816" w:rsidP="002F01FA">
            <w:pPr>
              <w:spacing w:before="20" w:after="20" w:line="240" w:lineRule="auto"/>
              <w:rPr>
                <w:rFonts w:eastAsia="Times New Roman" w:cs="Arial"/>
                <w:b/>
                <w:bCs/>
                <w:color w:val="000000"/>
                <w:lang w:eastAsia="en-GB"/>
              </w:rPr>
            </w:pPr>
            <w:r w:rsidRPr="00337B8E">
              <w:rPr>
                <w:rFonts w:eastAsia="Times New Roman" w:cs="Arial"/>
                <w:b/>
                <w:bCs/>
                <w:color w:val="000000"/>
                <w:lang w:eastAsia="en-GB"/>
              </w:rPr>
              <w:t>Consultant</w:t>
            </w:r>
          </w:p>
          <w:p w:rsidR="00CE1816" w:rsidRPr="00337B8E" w:rsidRDefault="00CE1816" w:rsidP="002F01FA">
            <w:pPr>
              <w:spacing w:before="20" w:after="20" w:line="240" w:lineRule="auto"/>
              <w:rPr>
                <w:rFonts w:eastAsia="Times New Roman" w:cs="Arial"/>
                <w:b/>
                <w:bCs/>
                <w:color w:val="000000"/>
                <w:lang w:eastAsia="en-GB"/>
              </w:rPr>
            </w:pP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rsidR="00CE1816" w:rsidRPr="00337B8E" w:rsidRDefault="00CE1816" w:rsidP="002F01FA">
            <w:pPr>
              <w:spacing w:before="20" w:after="20" w:line="240" w:lineRule="auto"/>
              <w:rPr>
                <w:rFonts w:eastAsia="Times New Roman" w:cs="Arial"/>
                <w:b/>
                <w:bCs/>
                <w:color w:val="000000"/>
                <w:lang w:eastAsia="en-GB"/>
              </w:rPr>
            </w:pPr>
            <w:r w:rsidRPr="00337B8E">
              <w:rPr>
                <w:rFonts w:eastAsia="Times New Roman" w:cs="Arial"/>
                <w:b/>
                <w:bCs/>
                <w:color w:val="000000"/>
                <w:lang w:eastAsia="en-GB"/>
              </w:rPr>
              <w:t>Contract Amount CHF</w:t>
            </w:r>
          </w:p>
        </w:tc>
        <w:tc>
          <w:tcPr>
            <w:tcW w:w="4253" w:type="dxa"/>
            <w:tcBorders>
              <w:top w:val="single" w:sz="4" w:space="0" w:color="auto"/>
              <w:left w:val="nil"/>
              <w:bottom w:val="single" w:sz="4" w:space="0" w:color="auto"/>
              <w:right w:val="single" w:sz="4" w:space="0" w:color="auto"/>
            </w:tcBorders>
            <w:shd w:val="clear" w:color="000000" w:fill="8DB4E2"/>
            <w:vAlign w:val="center"/>
            <w:hideMark/>
          </w:tcPr>
          <w:p w:rsidR="00CE1816" w:rsidRPr="00337B8E" w:rsidRDefault="00CE1816" w:rsidP="002F01FA">
            <w:pPr>
              <w:spacing w:before="20" w:after="20" w:line="240" w:lineRule="auto"/>
              <w:rPr>
                <w:rFonts w:eastAsia="Times New Roman" w:cs="Arial"/>
                <w:b/>
                <w:bCs/>
                <w:color w:val="000000"/>
                <w:lang w:eastAsia="en-GB"/>
              </w:rPr>
            </w:pPr>
            <w:r w:rsidRPr="00337B8E">
              <w:rPr>
                <w:rFonts w:eastAsia="Times New Roman" w:cs="Arial"/>
                <w:b/>
                <w:bCs/>
                <w:color w:val="000000"/>
                <w:lang w:eastAsia="en-GB"/>
              </w:rPr>
              <w:t>Description</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rsidR="00CE1816" w:rsidRPr="00337B8E" w:rsidRDefault="00CE1816" w:rsidP="002F01FA">
            <w:pPr>
              <w:spacing w:before="20" w:after="20" w:line="240" w:lineRule="auto"/>
              <w:rPr>
                <w:rFonts w:eastAsia="Times New Roman" w:cs="Arial"/>
                <w:b/>
                <w:bCs/>
                <w:color w:val="000000"/>
                <w:lang w:eastAsia="en-GB"/>
              </w:rPr>
            </w:pPr>
            <w:r w:rsidRPr="00337B8E">
              <w:rPr>
                <w:rFonts w:eastAsia="Times New Roman" w:cs="Arial"/>
                <w:b/>
                <w:bCs/>
                <w:color w:val="000000"/>
                <w:lang w:eastAsia="en-GB"/>
              </w:rPr>
              <w:t>Core/Non-core Funds</w:t>
            </w:r>
          </w:p>
        </w:tc>
        <w:tc>
          <w:tcPr>
            <w:tcW w:w="3260" w:type="dxa"/>
            <w:tcBorders>
              <w:top w:val="single" w:sz="4" w:space="0" w:color="auto"/>
              <w:left w:val="nil"/>
              <w:bottom w:val="single" w:sz="4" w:space="0" w:color="auto"/>
              <w:right w:val="single" w:sz="4" w:space="0" w:color="auto"/>
            </w:tcBorders>
            <w:shd w:val="clear" w:color="000000" w:fill="8DB4E2"/>
            <w:vAlign w:val="center"/>
            <w:hideMark/>
          </w:tcPr>
          <w:p w:rsidR="00CE1816" w:rsidRPr="00337B8E" w:rsidRDefault="00CE1816" w:rsidP="002F01FA">
            <w:pPr>
              <w:spacing w:before="20" w:after="20" w:line="240" w:lineRule="auto"/>
              <w:rPr>
                <w:rFonts w:eastAsia="Times New Roman" w:cs="Arial"/>
                <w:b/>
                <w:bCs/>
                <w:color w:val="000000"/>
                <w:lang w:eastAsia="en-GB"/>
              </w:rPr>
            </w:pPr>
            <w:r w:rsidRPr="00337B8E">
              <w:rPr>
                <w:rFonts w:eastAsia="Times New Roman" w:cs="Arial"/>
                <w:b/>
                <w:bCs/>
                <w:color w:val="000000"/>
                <w:lang w:eastAsia="en-GB"/>
              </w:rPr>
              <w:t>Source of funds</w:t>
            </w:r>
          </w:p>
        </w:tc>
        <w:tc>
          <w:tcPr>
            <w:tcW w:w="1417" w:type="dxa"/>
            <w:tcBorders>
              <w:top w:val="single" w:sz="4" w:space="0" w:color="auto"/>
              <w:left w:val="nil"/>
              <w:bottom w:val="single" w:sz="4" w:space="0" w:color="auto"/>
              <w:right w:val="single" w:sz="4" w:space="0" w:color="auto"/>
            </w:tcBorders>
            <w:shd w:val="clear" w:color="000000" w:fill="8DB4E2"/>
            <w:vAlign w:val="center"/>
            <w:hideMark/>
          </w:tcPr>
          <w:p w:rsidR="00CE1816" w:rsidRPr="00337B8E" w:rsidRDefault="00CE1816" w:rsidP="002F01FA">
            <w:pPr>
              <w:spacing w:before="20" w:after="20" w:line="240" w:lineRule="auto"/>
              <w:rPr>
                <w:rFonts w:eastAsia="Times New Roman" w:cs="Arial"/>
                <w:b/>
                <w:bCs/>
                <w:color w:val="000000"/>
                <w:lang w:eastAsia="en-GB"/>
              </w:rPr>
            </w:pPr>
            <w:r w:rsidRPr="00337B8E">
              <w:rPr>
                <w:rFonts w:eastAsia="Times New Roman" w:cs="Arial"/>
                <w:b/>
                <w:bCs/>
                <w:color w:val="000000"/>
                <w:lang w:eastAsia="en-GB"/>
              </w:rPr>
              <w:t>Open / Closed</w:t>
            </w:r>
          </w:p>
        </w:tc>
      </w:tr>
      <w:tr w:rsidR="00CE1816" w:rsidRPr="00337B8E" w:rsidTr="002F01FA">
        <w:trPr>
          <w:trHeight w:val="3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b/>
                <w:color w:val="000000"/>
                <w:lang w:eastAsia="en-GB"/>
              </w:rPr>
            </w:pPr>
            <w:r w:rsidRPr="00337B8E">
              <w:rPr>
                <w:rFonts w:eastAsia="Times New Roman" w:cs="Arial"/>
                <w:b/>
                <w:color w:val="000000"/>
                <w:lang w:eastAsia="en-GB"/>
              </w:rPr>
              <w:t>Cadmus, Rob</w:t>
            </w:r>
          </w:p>
        </w:tc>
        <w:tc>
          <w:tcPr>
            <w:tcW w:w="1134" w:type="dxa"/>
            <w:tcBorders>
              <w:top w:val="nil"/>
              <w:left w:val="nil"/>
              <w:bottom w:val="single" w:sz="4" w:space="0" w:color="auto"/>
              <w:right w:val="single" w:sz="4" w:space="0" w:color="auto"/>
            </w:tcBorders>
            <w:shd w:val="clear" w:color="auto" w:fill="auto"/>
            <w:vAlign w:val="center"/>
            <w:hideMark/>
          </w:tcPr>
          <w:p w:rsidR="00CE1816" w:rsidRPr="00337B8E" w:rsidRDefault="00AF71F1" w:rsidP="002F01FA">
            <w:pPr>
              <w:spacing w:before="20" w:after="20" w:line="240" w:lineRule="auto"/>
              <w:jc w:val="right"/>
              <w:rPr>
                <w:rFonts w:eastAsia="Times New Roman" w:cs="Arial"/>
                <w:b/>
                <w:color w:val="000000"/>
                <w:lang w:eastAsia="en-GB"/>
              </w:rPr>
            </w:pPr>
            <w:r>
              <w:rPr>
                <w:rFonts w:eastAsia="Times New Roman" w:cs="Arial"/>
                <w:b/>
                <w:color w:val="000000"/>
                <w:lang w:eastAsia="en-GB"/>
              </w:rPr>
              <w:t xml:space="preserve">    </w:t>
            </w:r>
            <w:r w:rsidR="00CE1816" w:rsidRPr="00337B8E">
              <w:rPr>
                <w:rFonts w:eastAsia="Times New Roman" w:cs="Arial"/>
                <w:b/>
                <w:color w:val="000000"/>
                <w:lang w:eastAsia="en-GB"/>
              </w:rPr>
              <w:t xml:space="preserve">43,600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b/>
                <w:color w:val="000000"/>
                <w:lang w:eastAsia="en-GB"/>
              </w:rPr>
            </w:pPr>
            <w:r w:rsidRPr="00337B8E">
              <w:rPr>
                <w:rFonts w:eastAsia="Times New Roman" w:cs="Arial"/>
                <w:b/>
                <w:color w:val="000000"/>
                <w:lang w:eastAsia="en-GB"/>
              </w:rPr>
              <w:t>NORAD Project, Project Management</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b/>
                <w:color w:val="000000"/>
                <w:lang w:eastAsia="en-GB"/>
              </w:rPr>
            </w:pPr>
            <w:r w:rsidRPr="00337B8E">
              <w:rPr>
                <w:rFonts w:eastAsia="Times New Roman" w:cs="Arial"/>
                <w:b/>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b/>
                <w:color w:val="000000"/>
                <w:lang w:eastAsia="en-GB"/>
              </w:rPr>
            </w:pPr>
            <w:r w:rsidRPr="00337B8E">
              <w:rPr>
                <w:rFonts w:eastAsia="Times New Roman" w:cs="Arial"/>
                <w:b/>
                <w:color w:val="000000"/>
                <w:lang w:eastAsia="en-GB"/>
              </w:rPr>
              <w:t>NORAD</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b/>
                <w:color w:val="000000"/>
                <w:lang w:eastAsia="en-GB"/>
              </w:rPr>
            </w:pPr>
            <w:r w:rsidRPr="00337B8E">
              <w:rPr>
                <w:rFonts w:eastAsia="Times New Roman" w:cs="Arial"/>
                <w:b/>
                <w:color w:val="000000"/>
                <w:lang w:eastAsia="en-GB"/>
              </w:rPr>
              <w:t>Open</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DJ Environmental (T.Jones)</w:t>
            </w:r>
          </w:p>
        </w:tc>
        <w:tc>
          <w:tcPr>
            <w:tcW w:w="1134" w:type="dxa"/>
            <w:tcBorders>
              <w:top w:val="nil"/>
              <w:left w:val="nil"/>
              <w:bottom w:val="single" w:sz="4" w:space="0" w:color="auto"/>
              <w:right w:val="single" w:sz="4" w:space="0" w:color="auto"/>
            </w:tcBorders>
            <w:shd w:val="clear" w:color="auto" w:fill="auto"/>
            <w:vAlign w:val="center"/>
            <w:hideMark/>
          </w:tcPr>
          <w:p w:rsidR="00CE1816" w:rsidRPr="00337B8E" w:rsidRDefault="00AF71F1" w:rsidP="002F01FA">
            <w:pPr>
              <w:spacing w:before="20" w:after="20" w:line="240" w:lineRule="auto"/>
              <w:jc w:val="right"/>
              <w:rPr>
                <w:rFonts w:eastAsia="Times New Roman" w:cs="Arial"/>
                <w:color w:val="000000"/>
                <w:lang w:eastAsia="en-GB"/>
              </w:rPr>
            </w:pPr>
            <w:r>
              <w:rPr>
                <w:rFonts w:eastAsia="Times New Roman" w:cs="Arial"/>
                <w:color w:val="000000"/>
                <w:lang w:eastAsia="en-GB"/>
              </w:rPr>
              <w:t xml:space="preserve">     </w:t>
            </w:r>
            <w:r w:rsidR="00CE1816" w:rsidRPr="00337B8E">
              <w:rPr>
                <w:rFonts w:eastAsia="Times New Roman" w:cs="Arial"/>
                <w:color w:val="000000"/>
                <w:lang w:eastAsia="en-GB"/>
              </w:rPr>
              <w:t xml:space="preserve"> 3,600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Convention Manual Prep., 7th edition</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Persse, Emily</w:t>
            </w:r>
          </w:p>
        </w:tc>
        <w:tc>
          <w:tcPr>
            <w:tcW w:w="1134" w:type="dxa"/>
            <w:tcBorders>
              <w:top w:val="nil"/>
              <w:left w:val="nil"/>
              <w:bottom w:val="single" w:sz="4" w:space="0" w:color="auto"/>
              <w:right w:val="single" w:sz="4" w:space="0" w:color="auto"/>
            </w:tcBorders>
            <w:shd w:val="clear" w:color="auto" w:fill="auto"/>
            <w:vAlign w:val="center"/>
            <w:hideMark/>
          </w:tcPr>
          <w:p w:rsidR="00CE1816" w:rsidRPr="00337B8E" w:rsidRDefault="00AF71F1" w:rsidP="002F01FA">
            <w:pPr>
              <w:spacing w:before="20" w:after="20" w:line="240" w:lineRule="auto"/>
              <w:jc w:val="right"/>
              <w:rPr>
                <w:rFonts w:eastAsia="Times New Roman" w:cs="Arial"/>
                <w:color w:val="000000"/>
                <w:lang w:eastAsia="en-GB"/>
              </w:rPr>
            </w:pPr>
            <w:r>
              <w:rPr>
                <w:rFonts w:eastAsia="Times New Roman" w:cs="Arial"/>
                <w:color w:val="000000"/>
                <w:lang w:eastAsia="en-GB"/>
              </w:rPr>
              <w:t xml:space="preserve">     </w:t>
            </w:r>
            <w:r w:rsidR="00CE1816" w:rsidRPr="00337B8E">
              <w:rPr>
                <w:rFonts w:eastAsia="Times New Roman" w:cs="Arial"/>
                <w:color w:val="000000"/>
                <w:lang w:eastAsia="en-GB"/>
              </w:rPr>
              <w:t xml:space="preserve"> 7,000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Ramsar Collection, Uruguay</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Development Budget</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Reardon, Vince</w:t>
            </w:r>
          </w:p>
        </w:tc>
        <w:tc>
          <w:tcPr>
            <w:tcW w:w="1134" w:type="dxa"/>
            <w:tcBorders>
              <w:top w:val="nil"/>
              <w:left w:val="nil"/>
              <w:bottom w:val="single" w:sz="4" w:space="0" w:color="auto"/>
              <w:right w:val="single" w:sz="4" w:space="0" w:color="auto"/>
            </w:tcBorders>
            <w:shd w:val="clear" w:color="auto" w:fill="auto"/>
            <w:vAlign w:val="center"/>
            <w:hideMark/>
          </w:tcPr>
          <w:p w:rsidR="00CE1816" w:rsidRPr="00337B8E" w:rsidRDefault="00AF71F1" w:rsidP="002F01FA">
            <w:pPr>
              <w:spacing w:before="20" w:after="20" w:line="240" w:lineRule="auto"/>
              <w:jc w:val="right"/>
              <w:rPr>
                <w:rFonts w:eastAsia="Times New Roman" w:cs="Arial"/>
                <w:color w:val="000000"/>
                <w:lang w:eastAsia="en-GB"/>
              </w:rPr>
            </w:pPr>
            <w:r>
              <w:rPr>
                <w:rFonts w:eastAsia="Times New Roman" w:cs="Arial"/>
                <w:color w:val="000000"/>
                <w:lang w:eastAsia="en-GB"/>
              </w:rPr>
              <w:t xml:space="preserve">     </w:t>
            </w:r>
            <w:r w:rsidR="00CE1816" w:rsidRPr="00337B8E">
              <w:rPr>
                <w:rFonts w:eastAsia="Times New Roman" w:cs="Arial"/>
                <w:color w:val="000000"/>
                <w:lang w:eastAsia="en-GB"/>
              </w:rPr>
              <w:t xml:space="preserve"> 6,475 </w:t>
            </w:r>
          </w:p>
        </w:tc>
        <w:tc>
          <w:tcPr>
            <w:tcW w:w="4253"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Wetland and sustainable livlihoods</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Danone</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Lyratzaki, Irini</w:t>
            </w:r>
          </w:p>
        </w:tc>
        <w:tc>
          <w:tcPr>
            <w:tcW w:w="1134" w:type="dxa"/>
            <w:tcBorders>
              <w:top w:val="nil"/>
              <w:left w:val="nil"/>
              <w:bottom w:val="single" w:sz="4" w:space="0" w:color="auto"/>
              <w:right w:val="single" w:sz="4" w:space="0" w:color="auto"/>
            </w:tcBorders>
            <w:shd w:val="clear" w:color="auto" w:fill="auto"/>
            <w:vAlign w:val="center"/>
            <w:hideMark/>
          </w:tcPr>
          <w:p w:rsidR="00CE1816" w:rsidRPr="00337B8E" w:rsidRDefault="00AF71F1" w:rsidP="002F01FA">
            <w:pPr>
              <w:spacing w:before="20" w:after="20" w:line="240" w:lineRule="auto"/>
              <w:jc w:val="right"/>
              <w:rPr>
                <w:rFonts w:eastAsia="Times New Roman" w:cs="Arial"/>
                <w:color w:val="000000"/>
                <w:lang w:eastAsia="en-GB"/>
              </w:rPr>
            </w:pPr>
            <w:r>
              <w:rPr>
                <w:rFonts w:eastAsia="Times New Roman" w:cs="Arial"/>
                <w:color w:val="000000"/>
                <w:lang w:eastAsia="en-GB"/>
              </w:rPr>
              <w:t xml:space="preserve">     </w:t>
            </w:r>
            <w:r w:rsidR="00CE1816" w:rsidRPr="00337B8E">
              <w:rPr>
                <w:rFonts w:eastAsia="Times New Roman" w:cs="Arial"/>
                <w:color w:val="000000"/>
                <w:lang w:eastAsia="en-GB"/>
              </w:rPr>
              <w:t xml:space="preserve"> 1,000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Analysis, Ramsar culture member prospects</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MAVA</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Papayannis, Thymio</w:t>
            </w:r>
          </w:p>
        </w:tc>
        <w:tc>
          <w:tcPr>
            <w:tcW w:w="1134" w:type="dxa"/>
            <w:tcBorders>
              <w:top w:val="nil"/>
              <w:left w:val="nil"/>
              <w:bottom w:val="single" w:sz="4" w:space="0" w:color="auto"/>
              <w:right w:val="single" w:sz="4" w:space="0" w:color="auto"/>
            </w:tcBorders>
            <w:shd w:val="clear" w:color="auto" w:fill="auto"/>
            <w:vAlign w:val="center"/>
            <w:hideMark/>
          </w:tcPr>
          <w:p w:rsidR="00CE1816" w:rsidRPr="00337B8E" w:rsidRDefault="00AF71F1" w:rsidP="002F01FA">
            <w:pPr>
              <w:spacing w:before="20" w:after="20" w:line="240" w:lineRule="auto"/>
              <w:jc w:val="right"/>
              <w:rPr>
                <w:rFonts w:eastAsia="Times New Roman" w:cs="Arial"/>
                <w:color w:val="000000"/>
                <w:lang w:eastAsia="en-GB"/>
              </w:rPr>
            </w:pPr>
            <w:r>
              <w:rPr>
                <w:rFonts w:eastAsia="Times New Roman" w:cs="Arial"/>
                <w:color w:val="000000"/>
                <w:lang w:eastAsia="en-GB"/>
              </w:rPr>
              <w:t xml:space="preserve">     </w:t>
            </w:r>
            <w:r w:rsidR="00CE1816" w:rsidRPr="00337B8E">
              <w:rPr>
                <w:rFonts w:eastAsia="Times New Roman" w:cs="Arial"/>
                <w:color w:val="000000"/>
                <w:lang w:eastAsia="en-GB"/>
              </w:rPr>
              <w:t xml:space="preserve"> 2,700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Project Concept, cultural practices</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MAVA</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Yacot, Analia</w:t>
            </w:r>
          </w:p>
        </w:tc>
        <w:tc>
          <w:tcPr>
            <w:tcW w:w="1134" w:type="dxa"/>
            <w:tcBorders>
              <w:top w:val="nil"/>
              <w:left w:val="nil"/>
              <w:bottom w:val="single" w:sz="4" w:space="0" w:color="auto"/>
              <w:right w:val="single" w:sz="4" w:space="0" w:color="auto"/>
            </w:tcBorders>
            <w:shd w:val="clear" w:color="auto" w:fill="auto"/>
            <w:vAlign w:val="center"/>
            <w:hideMark/>
          </w:tcPr>
          <w:p w:rsidR="00CE1816" w:rsidRPr="00337B8E" w:rsidRDefault="00AF71F1" w:rsidP="002F01FA">
            <w:pPr>
              <w:spacing w:before="20" w:after="20" w:line="240" w:lineRule="auto"/>
              <w:jc w:val="right"/>
              <w:rPr>
                <w:rFonts w:eastAsia="Times New Roman" w:cs="Arial"/>
                <w:color w:val="000000"/>
                <w:lang w:eastAsia="en-GB"/>
              </w:rPr>
            </w:pPr>
            <w:r>
              <w:rPr>
                <w:rFonts w:eastAsia="Times New Roman" w:cs="Arial"/>
                <w:color w:val="000000"/>
                <w:lang w:eastAsia="en-GB"/>
              </w:rPr>
              <w:t xml:space="preserve">     </w:t>
            </w:r>
            <w:r w:rsidR="00CE1816" w:rsidRPr="00337B8E">
              <w:rPr>
                <w:rFonts w:eastAsia="Times New Roman" w:cs="Arial"/>
                <w:color w:val="000000"/>
                <w:lang w:eastAsia="en-GB"/>
              </w:rPr>
              <w:t xml:space="preserve"> 6,133 </w:t>
            </w:r>
          </w:p>
        </w:tc>
        <w:tc>
          <w:tcPr>
            <w:tcW w:w="4253"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360 degree feedback</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382"/>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Casallas, Sara</w:t>
            </w:r>
          </w:p>
        </w:tc>
        <w:tc>
          <w:tcPr>
            <w:tcW w:w="1134" w:type="dxa"/>
            <w:tcBorders>
              <w:top w:val="nil"/>
              <w:left w:val="nil"/>
              <w:bottom w:val="single" w:sz="4" w:space="0" w:color="auto"/>
              <w:right w:val="single" w:sz="4" w:space="0" w:color="auto"/>
            </w:tcBorders>
            <w:shd w:val="clear" w:color="auto" w:fill="auto"/>
            <w:vAlign w:val="center"/>
            <w:hideMark/>
          </w:tcPr>
          <w:p w:rsidR="00CE1816" w:rsidRPr="00337B8E" w:rsidRDefault="00AF71F1" w:rsidP="002F01FA">
            <w:pPr>
              <w:spacing w:before="20" w:after="20" w:line="240" w:lineRule="auto"/>
              <w:jc w:val="right"/>
              <w:rPr>
                <w:rFonts w:eastAsia="Times New Roman" w:cs="Arial"/>
                <w:color w:val="000000"/>
                <w:lang w:eastAsia="en-GB"/>
              </w:rPr>
            </w:pPr>
            <w:r>
              <w:rPr>
                <w:rFonts w:eastAsia="Times New Roman" w:cs="Arial"/>
                <w:color w:val="000000"/>
                <w:lang w:eastAsia="en-GB"/>
              </w:rPr>
              <w:t xml:space="preserve">    </w:t>
            </w:r>
            <w:r w:rsidR="00CE1816" w:rsidRPr="00337B8E">
              <w:rPr>
                <w:rFonts w:eastAsia="Times New Roman" w:cs="Arial"/>
                <w:color w:val="000000"/>
                <w:lang w:eastAsia="en-GB"/>
              </w:rPr>
              <w:t xml:space="preserve">19,621 </w:t>
            </w:r>
          </w:p>
        </w:tc>
        <w:tc>
          <w:tcPr>
            <w:tcW w:w="4253"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 xml:space="preserve">COP12 Support </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SC47 Decision: 2013 surplus</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Pritchard, David</w:t>
            </w:r>
          </w:p>
        </w:tc>
        <w:tc>
          <w:tcPr>
            <w:tcW w:w="1134" w:type="dxa"/>
            <w:tcBorders>
              <w:top w:val="nil"/>
              <w:left w:val="nil"/>
              <w:bottom w:val="single" w:sz="4" w:space="0" w:color="auto"/>
              <w:right w:val="single" w:sz="4" w:space="0" w:color="auto"/>
            </w:tcBorders>
            <w:shd w:val="clear" w:color="auto" w:fill="auto"/>
            <w:vAlign w:val="center"/>
            <w:hideMark/>
          </w:tcPr>
          <w:p w:rsidR="00CE1816" w:rsidRPr="00337B8E" w:rsidRDefault="00AF71F1" w:rsidP="002F01FA">
            <w:pPr>
              <w:spacing w:before="20" w:after="20" w:line="240" w:lineRule="auto"/>
              <w:jc w:val="right"/>
              <w:rPr>
                <w:rFonts w:eastAsia="Times New Roman" w:cs="Arial"/>
                <w:color w:val="000000"/>
                <w:lang w:eastAsia="en-GB"/>
              </w:rPr>
            </w:pPr>
            <w:r>
              <w:rPr>
                <w:rFonts w:eastAsia="Times New Roman" w:cs="Arial"/>
                <w:color w:val="000000"/>
                <w:lang w:eastAsia="en-GB"/>
              </w:rPr>
              <w:t xml:space="preserve">     </w:t>
            </w:r>
            <w:r w:rsidR="00CE1816" w:rsidRPr="00337B8E">
              <w:rPr>
                <w:rFonts w:eastAsia="Times New Roman" w:cs="Arial"/>
                <w:color w:val="000000"/>
                <w:lang w:eastAsia="en-GB"/>
              </w:rPr>
              <w:t xml:space="preserve"> 4,800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RAM Site 802 Norway</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Ramsar Advisory Mission funded by Norway</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Persse, Emily</w:t>
            </w:r>
          </w:p>
        </w:tc>
        <w:tc>
          <w:tcPr>
            <w:tcW w:w="1134" w:type="dxa"/>
            <w:tcBorders>
              <w:top w:val="nil"/>
              <w:left w:val="nil"/>
              <w:bottom w:val="single" w:sz="4" w:space="0" w:color="auto"/>
              <w:right w:val="single" w:sz="4" w:space="0" w:color="auto"/>
            </w:tcBorders>
            <w:shd w:val="clear" w:color="auto" w:fill="auto"/>
            <w:vAlign w:val="center"/>
            <w:hideMark/>
          </w:tcPr>
          <w:p w:rsidR="00CE1816" w:rsidRPr="00337B8E" w:rsidRDefault="00AF71F1" w:rsidP="002F01FA">
            <w:pPr>
              <w:spacing w:before="20" w:after="20" w:line="240" w:lineRule="auto"/>
              <w:jc w:val="right"/>
              <w:rPr>
                <w:rFonts w:eastAsia="Times New Roman" w:cs="Arial"/>
                <w:color w:val="000000"/>
                <w:lang w:eastAsia="en-GB"/>
              </w:rPr>
            </w:pPr>
            <w:r>
              <w:rPr>
                <w:rFonts w:eastAsia="Times New Roman" w:cs="Arial"/>
                <w:color w:val="000000"/>
                <w:lang w:eastAsia="en-GB"/>
              </w:rPr>
              <w:t xml:space="preserve">     </w:t>
            </w:r>
            <w:r w:rsidR="00CE1816" w:rsidRPr="00337B8E">
              <w:rPr>
                <w:rFonts w:eastAsia="Times New Roman" w:cs="Arial"/>
                <w:color w:val="000000"/>
                <w:lang w:eastAsia="en-GB"/>
              </w:rPr>
              <w:t xml:space="preserve"> 7,000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COP12 Communications Support</w:t>
            </w:r>
          </w:p>
        </w:tc>
        <w:tc>
          <w:tcPr>
            <w:tcW w:w="1276"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 xml:space="preserve">COP12 budget MOU </w:t>
            </w:r>
          </w:p>
        </w:tc>
        <w:tc>
          <w:tcPr>
            <w:tcW w:w="1417"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Yacot, Analia</w:t>
            </w:r>
          </w:p>
        </w:tc>
        <w:tc>
          <w:tcPr>
            <w:tcW w:w="1134" w:type="dxa"/>
            <w:tcBorders>
              <w:top w:val="nil"/>
              <w:left w:val="nil"/>
              <w:bottom w:val="single" w:sz="4" w:space="0" w:color="auto"/>
              <w:right w:val="single" w:sz="4" w:space="0" w:color="auto"/>
            </w:tcBorders>
            <w:shd w:val="clear" w:color="auto" w:fill="auto"/>
            <w:vAlign w:val="center"/>
            <w:hideMark/>
          </w:tcPr>
          <w:p w:rsidR="00CE1816" w:rsidRPr="00337B8E" w:rsidRDefault="00AF71F1" w:rsidP="002F01FA">
            <w:pPr>
              <w:spacing w:before="20" w:after="20" w:line="240" w:lineRule="auto"/>
              <w:jc w:val="right"/>
              <w:rPr>
                <w:rFonts w:eastAsia="Times New Roman" w:cs="Arial"/>
                <w:color w:val="000000"/>
                <w:lang w:eastAsia="en-GB"/>
              </w:rPr>
            </w:pPr>
            <w:r>
              <w:rPr>
                <w:rFonts w:eastAsia="Times New Roman" w:cs="Arial"/>
                <w:color w:val="000000"/>
                <w:lang w:eastAsia="en-GB"/>
              </w:rPr>
              <w:t xml:space="preserve">     </w:t>
            </w:r>
            <w:r w:rsidR="00CE1816" w:rsidRPr="00337B8E">
              <w:rPr>
                <w:rFonts w:eastAsia="Times New Roman" w:cs="Arial"/>
                <w:color w:val="000000"/>
                <w:lang w:eastAsia="en-GB"/>
              </w:rPr>
              <w:t xml:space="preserve"> 7,239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360 degree feedback</w:t>
            </w:r>
          </w:p>
        </w:tc>
        <w:tc>
          <w:tcPr>
            <w:tcW w:w="1276"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Core</w:t>
            </w:r>
          </w:p>
        </w:tc>
        <w:tc>
          <w:tcPr>
            <w:tcW w:w="1417"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Byrnes, Wendy</w:t>
            </w:r>
          </w:p>
        </w:tc>
        <w:tc>
          <w:tcPr>
            <w:tcW w:w="1134" w:type="dxa"/>
            <w:tcBorders>
              <w:top w:val="nil"/>
              <w:left w:val="nil"/>
              <w:bottom w:val="single" w:sz="4" w:space="0" w:color="auto"/>
              <w:right w:val="single" w:sz="4" w:space="0" w:color="auto"/>
            </w:tcBorders>
            <w:shd w:val="clear" w:color="auto" w:fill="auto"/>
            <w:vAlign w:val="center"/>
            <w:hideMark/>
          </w:tcPr>
          <w:p w:rsidR="00CE1816" w:rsidRPr="00337B8E" w:rsidRDefault="00AF71F1" w:rsidP="002F01FA">
            <w:pPr>
              <w:spacing w:before="20" w:after="20" w:line="240" w:lineRule="auto"/>
              <w:jc w:val="right"/>
              <w:rPr>
                <w:rFonts w:eastAsia="Times New Roman" w:cs="Arial"/>
                <w:color w:val="000000"/>
                <w:lang w:eastAsia="en-GB"/>
              </w:rPr>
            </w:pPr>
            <w:r>
              <w:rPr>
                <w:rFonts w:eastAsia="Times New Roman" w:cs="Arial"/>
                <w:color w:val="000000"/>
                <w:lang w:eastAsia="en-GB"/>
              </w:rPr>
              <w:t xml:space="preserve">     </w:t>
            </w:r>
            <w:r w:rsidR="00CE1816" w:rsidRPr="00337B8E">
              <w:rPr>
                <w:rFonts w:eastAsia="Times New Roman" w:cs="Arial"/>
                <w:color w:val="000000"/>
                <w:lang w:eastAsia="en-GB"/>
              </w:rPr>
              <w:t xml:space="preserve"> 7,750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COP12 Translation</w:t>
            </w:r>
          </w:p>
        </w:tc>
        <w:tc>
          <w:tcPr>
            <w:tcW w:w="1276"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 xml:space="preserve">COP12 budget MOU </w:t>
            </w:r>
          </w:p>
        </w:tc>
        <w:tc>
          <w:tcPr>
            <w:tcW w:w="1417"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Closed</w:t>
            </w:r>
          </w:p>
        </w:tc>
      </w:tr>
      <w:tr w:rsidR="00C01D41"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tcPr>
          <w:p w:rsidR="00C01D41" w:rsidRPr="007C77C3" w:rsidRDefault="00C01D41" w:rsidP="002F01FA">
            <w:pPr>
              <w:spacing w:before="20" w:after="20" w:line="240" w:lineRule="auto"/>
              <w:rPr>
                <w:rFonts w:eastAsia="Times New Roman" w:cs="Arial"/>
                <w:color w:val="000000"/>
                <w:lang w:eastAsia="en-GB"/>
              </w:rPr>
            </w:pPr>
            <w:r w:rsidRPr="007C77C3">
              <w:rPr>
                <w:rFonts w:eastAsia="Times New Roman" w:cs="Arial"/>
                <w:color w:val="000000"/>
                <w:lang w:eastAsia="en-GB"/>
              </w:rPr>
              <w:t>Valdovinos, Juan Carlos</w:t>
            </w:r>
          </w:p>
        </w:tc>
        <w:tc>
          <w:tcPr>
            <w:tcW w:w="1134" w:type="dxa"/>
            <w:tcBorders>
              <w:top w:val="nil"/>
              <w:left w:val="nil"/>
              <w:bottom w:val="single" w:sz="4" w:space="0" w:color="auto"/>
              <w:right w:val="single" w:sz="4" w:space="0" w:color="auto"/>
            </w:tcBorders>
            <w:shd w:val="clear" w:color="auto" w:fill="auto"/>
            <w:vAlign w:val="center"/>
          </w:tcPr>
          <w:p w:rsidR="00C01D41" w:rsidRPr="007C77C3" w:rsidRDefault="001508DF"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6,975</w:t>
            </w:r>
          </w:p>
        </w:tc>
        <w:tc>
          <w:tcPr>
            <w:tcW w:w="4253" w:type="dxa"/>
            <w:tcBorders>
              <w:top w:val="nil"/>
              <w:left w:val="nil"/>
              <w:bottom w:val="single" w:sz="4" w:space="0" w:color="auto"/>
              <w:right w:val="single" w:sz="4" w:space="0" w:color="auto"/>
            </w:tcBorders>
            <w:shd w:val="clear" w:color="auto" w:fill="auto"/>
            <w:vAlign w:val="center"/>
          </w:tcPr>
          <w:p w:rsidR="00C01D41" w:rsidRPr="007C77C3" w:rsidRDefault="00C01D41"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COP12 Translation</w:t>
            </w:r>
          </w:p>
        </w:tc>
        <w:tc>
          <w:tcPr>
            <w:tcW w:w="1276" w:type="dxa"/>
            <w:tcBorders>
              <w:top w:val="nil"/>
              <w:left w:val="nil"/>
              <w:bottom w:val="single" w:sz="4" w:space="0" w:color="auto"/>
              <w:right w:val="single" w:sz="4" w:space="0" w:color="auto"/>
            </w:tcBorders>
            <w:shd w:val="clear" w:color="auto" w:fill="auto"/>
            <w:vAlign w:val="center"/>
          </w:tcPr>
          <w:p w:rsidR="00C01D41" w:rsidRPr="007C77C3" w:rsidRDefault="00C01D41" w:rsidP="002F01FA">
            <w:pPr>
              <w:spacing w:before="20" w:after="20" w:line="240" w:lineRule="auto"/>
              <w:rPr>
                <w:rFonts w:eastAsia="Times New Roman" w:cs="Arial"/>
                <w:color w:val="000000"/>
                <w:lang w:eastAsia="en-GB"/>
              </w:rPr>
            </w:pPr>
            <w:r w:rsidRPr="007C77C3">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tcPr>
          <w:p w:rsidR="00C01D41" w:rsidRPr="007C77C3" w:rsidRDefault="00C01D41" w:rsidP="002F01FA">
            <w:pPr>
              <w:spacing w:before="20" w:after="20" w:line="240" w:lineRule="auto"/>
              <w:rPr>
                <w:rFonts w:eastAsia="Times New Roman" w:cs="Arial"/>
                <w:color w:val="000000"/>
                <w:lang w:eastAsia="en-GB"/>
              </w:rPr>
            </w:pPr>
            <w:r w:rsidRPr="007C77C3">
              <w:rPr>
                <w:rFonts w:eastAsia="Times New Roman" w:cs="Arial"/>
                <w:color w:val="000000"/>
                <w:lang w:eastAsia="en-GB"/>
              </w:rPr>
              <w:t xml:space="preserve">COP12 budget MOU </w:t>
            </w:r>
          </w:p>
        </w:tc>
        <w:tc>
          <w:tcPr>
            <w:tcW w:w="1417" w:type="dxa"/>
            <w:tcBorders>
              <w:top w:val="nil"/>
              <w:left w:val="nil"/>
              <w:bottom w:val="single" w:sz="4" w:space="0" w:color="auto"/>
              <w:right w:val="single" w:sz="4" w:space="0" w:color="auto"/>
            </w:tcBorders>
            <w:shd w:val="clear" w:color="auto" w:fill="auto"/>
            <w:vAlign w:val="center"/>
          </w:tcPr>
          <w:p w:rsidR="00C01D41" w:rsidRPr="007C77C3" w:rsidRDefault="00C01D41"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Closed</w:t>
            </w:r>
          </w:p>
        </w:tc>
      </w:tr>
      <w:tr w:rsidR="00C01D41"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tcPr>
          <w:p w:rsidR="00C01D41" w:rsidRPr="007C77C3" w:rsidRDefault="00C01D41" w:rsidP="002F01FA">
            <w:pPr>
              <w:spacing w:before="20" w:after="20" w:line="240" w:lineRule="auto"/>
              <w:rPr>
                <w:rFonts w:eastAsia="Times New Roman" w:cs="Arial"/>
                <w:color w:val="000000"/>
                <w:lang w:eastAsia="en-GB"/>
              </w:rPr>
            </w:pPr>
            <w:r w:rsidRPr="007C77C3">
              <w:rPr>
                <w:rFonts w:eastAsia="Times New Roman" w:cs="Arial"/>
                <w:color w:val="000000"/>
                <w:lang w:eastAsia="en-GB"/>
              </w:rPr>
              <w:t>Bennett Baxter, Ana</w:t>
            </w:r>
          </w:p>
        </w:tc>
        <w:tc>
          <w:tcPr>
            <w:tcW w:w="1134" w:type="dxa"/>
            <w:tcBorders>
              <w:top w:val="nil"/>
              <w:left w:val="nil"/>
              <w:bottom w:val="single" w:sz="4" w:space="0" w:color="auto"/>
              <w:right w:val="single" w:sz="4" w:space="0" w:color="auto"/>
            </w:tcBorders>
            <w:shd w:val="clear" w:color="auto" w:fill="auto"/>
            <w:vAlign w:val="center"/>
          </w:tcPr>
          <w:p w:rsidR="00C01D41" w:rsidRPr="007C77C3" w:rsidRDefault="001508DF"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5,425</w:t>
            </w:r>
          </w:p>
        </w:tc>
        <w:tc>
          <w:tcPr>
            <w:tcW w:w="4253" w:type="dxa"/>
            <w:tcBorders>
              <w:top w:val="nil"/>
              <w:left w:val="nil"/>
              <w:bottom w:val="single" w:sz="4" w:space="0" w:color="auto"/>
              <w:right w:val="single" w:sz="4" w:space="0" w:color="auto"/>
            </w:tcBorders>
            <w:shd w:val="clear" w:color="auto" w:fill="auto"/>
            <w:vAlign w:val="center"/>
          </w:tcPr>
          <w:p w:rsidR="00C01D41" w:rsidRPr="007C77C3" w:rsidRDefault="00C01D41"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COP12 Translation</w:t>
            </w:r>
          </w:p>
        </w:tc>
        <w:tc>
          <w:tcPr>
            <w:tcW w:w="1276" w:type="dxa"/>
            <w:tcBorders>
              <w:top w:val="nil"/>
              <w:left w:val="nil"/>
              <w:bottom w:val="single" w:sz="4" w:space="0" w:color="auto"/>
              <w:right w:val="single" w:sz="4" w:space="0" w:color="auto"/>
            </w:tcBorders>
            <w:shd w:val="clear" w:color="auto" w:fill="auto"/>
            <w:vAlign w:val="center"/>
          </w:tcPr>
          <w:p w:rsidR="00C01D41" w:rsidRPr="007C77C3" w:rsidRDefault="00C01D41" w:rsidP="002F01FA">
            <w:pPr>
              <w:spacing w:before="20" w:after="20" w:line="240" w:lineRule="auto"/>
              <w:rPr>
                <w:rFonts w:eastAsia="Times New Roman" w:cs="Arial"/>
                <w:color w:val="000000"/>
                <w:lang w:eastAsia="en-GB"/>
              </w:rPr>
            </w:pPr>
            <w:r w:rsidRPr="007C77C3">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tcPr>
          <w:p w:rsidR="00C01D41" w:rsidRPr="007C77C3" w:rsidRDefault="00C01D41" w:rsidP="002F01FA">
            <w:pPr>
              <w:spacing w:before="20" w:after="20" w:line="240" w:lineRule="auto"/>
              <w:rPr>
                <w:rFonts w:eastAsia="Times New Roman" w:cs="Arial"/>
                <w:color w:val="000000"/>
                <w:lang w:eastAsia="en-GB"/>
              </w:rPr>
            </w:pPr>
            <w:r w:rsidRPr="007C77C3">
              <w:rPr>
                <w:rFonts w:eastAsia="Times New Roman" w:cs="Arial"/>
                <w:color w:val="000000"/>
                <w:lang w:eastAsia="en-GB"/>
              </w:rPr>
              <w:t xml:space="preserve">COP12 budget MOU </w:t>
            </w:r>
          </w:p>
        </w:tc>
        <w:tc>
          <w:tcPr>
            <w:tcW w:w="1417" w:type="dxa"/>
            <w:tcBorders>
              <w:top w:val="nil"/>
              <w:left w:val="nil"/>
              <w:bottom w:val="single" w:sz="4" w:space="0" w:color="auto"/>
              <w:right w:val="single" w:sz="4" w:space="0" w:color="auto"/>
            </w:tcBorders>
            <w:shd w:val="clear" w:color="auto" w:fill="auto"/>
            <w:vAlign w:val="center"/>
          </w:tcPr>
          <w:p w:rsidR="00C01D41" w:rsidRPr="007C77C3" w:rsidRDefault="00C01D41"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 xml:space="preserve">Fabre, </w:t>
            </w:r>
            <w:r w:rsidR="00C01D41" w:rsidRPr="007C77C3">
              <w:rPr>
                <w:rFonts w:eastAsia="Times New Roman" w:cs="Arial"/>
                <w:color w:val="000000"/>
                <w:lang w:eastAsia="en-GB"/>
              </w:rPr>
              <w:t>Hélène</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4,550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COP12 Translation</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 xml:space="preserve">COP12 budget MOU </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01D41" w:rsidP="002F01FA">
            <w:pPr>
              <w:spacing w:before="20" w:after="20" w:line="240" w:lineRule="auto"/>
              <w:rPr>
                <w:rFonts w:eastAsia="Times New Roman" w:cs="Arial"/>
                <w:color w:val="000000"/>
                <w:lang w:eastAsia="en-GB"/>
              </w:rPr>
            </w:pPr>
            <w:r w:rsidRPr="007C77C3">
              <w:rPr>
                <w:rFonts w:eastAsia="Times New Roman" w:cs="Arial"/>
                <w:color w:val="000000"/>
                <w:lang w:eastAsia="en-GB"/>
              </w:rPr>
              <w:t>D</w:t>
            </w:r>
            <w:r w:rsidR="00CE1816" w:rsidRPr="007C77C3">
              <w:rPr>
                <w:rFonts w:eastAsia="Times New Roman" w:cs="Arial"/>
                <w:color w:val="000000"/>
                <w:lang w:eastAsia="en-GB"/>
              </w:rPr>
              <w:t>esruisseaux, Ginette</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3,250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COP12 Translation</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 xml:space="preserve">COP12 budget MOU </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Milev, Christi</w:t>
            </w:r>
            <w:r w:rsidR="00C01D41" w:rsidRPr="007C77C3">
              <w:rPr>
                <w:rFonts w:eastAsia="Times New Roman" w:cs="Arial"/>
                <w:color w:val="000000"/>
                <w:lang w:eastAsia="en-GB"/>
              </w:rPr>
              <w:t>a</w:t>
            </w:r>
            <w:r w:rsidRPr="007C77C3">
              <w:rPr>
                <w:rFonts w:eastAsia="Times New Roman" w:cs="Arial"/>
                <w:color w:val="000000"/>
                <w:lang w:eastAsia="en-GB"/>
              </w:rPr>
              <w:t>ne</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5,850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COP12 Translation</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 xml:space="preserve">COP12 budget MOU </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Devitre, Dani</w:t>
            </w:r>
            <w:r w:rsidR="00C01D41" w:rsidRPr="007C77C3">
              <w:rPr>
                <w:rFonts w:eastAsia="Times New Roman" w:cs="Arial"/>
                <w:color w:val="000000"/>
                <w:lang w:eastAsia="en-GB"/>
              </w:rPr>
              <w:t>èle</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7,750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COP12 Translation</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 xml:space="preserve">COP12 budget MOU </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Huntington, Veronica</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4,000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Temporary Communications Support</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lastRenderedPageBreak/>
              <w:t>Huntington, Veronica</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6,000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Temporary Communications Support</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Jenkins, Martin</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8,250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COP12 Rapporteur</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 xml:space="preserve">COP12 budget MOU </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Rutherford, Catherine</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7,500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COP12 Rapporteur</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 xml:space="preserve">COP12 budget MOU </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Peck, Dwight</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5,500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COP12 Documentation</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 xml:space="preserve">COP12 budget MOU </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b/>
                <w:color w:val="000000"/>
                <w:lang w:eastAsia="en-GB"/>
              </w:rPr>
            </w:pPr>
            <w:r w:rsidRPr="007C77C3">
              <w:rPr>
                <w:rFonts w:eastAsia="Times New Roman" w:cs="Arial"/>
                <w:b/>
                <w:color w:val="000000"/>
                <w:lang w:eastAsia="en-GB"/>
              </w:rPr>
              <w:t>Pritchard, David</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b/>
                <w:color w:val="000000"/>
                <w:lang w:eastAsia="en-GB"/>
              </w:rPr>
            </w:pPr>
            <w:r w:rsidRPr="007C77C3">
              <w:rPr>
                <w:rFonts w:eastAsia="Times New Roman" w:cs="Arial"/>
                <w:b/>
                <w:color w:val="000000"/>
                <w:lang w:eastAsia="en-GB"/>
              </w:rPr>
              <w:t xml:space="preserve">   </w:t>
            </w:r>
            <w:r w:rsidR="00CE1816" w:rsidRPr="007C77C3">
              <w:rPr>
                <w:rFonts w:eastAsia="Times New Roman" w:cs="Arial"/>
                <w:b/>
                <w:color w:val="000000"/>
                <w:lang w:eastAsia="en-GB"/>
              </w:rPr>
              <w:t xml:space="preserve"> 32,500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b/>
                <w:color w:val="000000"/>
                <w:lang w:eastAsia="en-GB"/>
              </w:rPr>
            </w:pPr>
            <w:r w:rsidRPr="007C77C3">
              <w:rPr>
                <w:rFonts w:eastAsia="Times New Roman" w:cs="Arial"/>
                <w:b/>
                <w:color w:val="000000"/>
                <w:lang w:eastAsia="en-GB"/>
              </w:rPr>
              <w:t>Celebrating Culture and Wetlands</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b/>
                <w:color w:val="000000"/>
                <w:lang w:eastAsia="en-GB"/>
              </w:rPr>
            </w:pPr>
            <w:r w:rsidRPr="00337B8E">
              <w:rPr>
                <w:rFonts w:eastAsia="Times New Roman" w:cs="Arial"/>
                <w:b/>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b/>
                <w:color w:val="000000"/>
                <w:lang w:eastAsia="en-GB"/>
              </w:rPr>
            </w:pPr>
            <w:r w:rsidRPr="00337B8E">
              <w:rPr>
                <w:rFonts w:eastAsia="Times New Roman" w:cs="Arial"/>
                <w:b/>
                <w:color w:val="000000"/>
                <w:lang w:eastAsia="en-GB"/>
              </w:rPr>
              <w:t>MAVA</w:t>
            </w:r>
            <w:r w:rsidRPr="0080541F">
              <w:rPr>
                <w:rFonts w:eastAsia="Times New Roman" w:cs="Arial"/>
                <w:b/>
                <w:color w:val="000000"/>
                <w:lang w:eastAsia="en-GB"/>
              </w:rPr>
              <w:t xml:space="preserve"> (</w:t>
            </w:r>
            <w:r w:rsidRPr="00337B8E">
              <w:rPr>
                <w:rFonts w:eastAsia="Times New Roman" w:cs="Arial"/>
                <w:b/>
                <w:color w:val="000000"/>
                <w:lang w:eastAsia="en-GB"/>
              </w:rPr>
              <w:t>Original contract closed, an extension until end of March 2018 (as per MAVA agreement) was signed February</w:t>
            </w:r>
            <w:r w:rsidRPr="0080541F">
              <w:rPr>
                <w:rFonts w:eastAsia="Times New Roman" w:cs="Arial"/>
                <w:b/>
                <w:color w:val="000000"/>
                <w:lang w:eastAsia="en-GB"/>
              </w:rPr>
              <w:t xml:space="preserve"> 2016</w:t>
            </w:r>
          </w:p>
        </w:tc>
        <w:tc>
          <w:tcPr>
            <w:tcW w:w="1417" w:type="dxa"/>
            <w:tcBorders>
              <w:top w:val="nil"/>
              <w:left w:val="nil"/>
              <w:bottom w:val="single" w:sz="4" w:space="0" w:color="auto"/>
              <w:right w:val="single" w:sz="4" w:space="0" w:color="auto"/>
            </w:tcBorders>
            <w:shd w:val="clear" w:color="auto" w:fill="auto"/>
            <w:vAlign w:val="center"/>
            <w:hideMark/>
          </w:tcPr>
          <w:p w:rsidR="00CE1816" w:rsidRPr="0080541F" w:rsidRDefault="00CE1816" w:rsidP="002F01FA">
            <w:pPr>
              <w:spacing w:before="20" w:after="20" w:line="240" w:lineRule="auto"/>
              <w:rPr>
                <w:rFonts w:eastAsia="Times New Roman" w:cs="Arial"/>
                <w:b/>
                <w:color w:val="000000"/>
                <w:lang w:eastAsia="en-GB"/>
              </w:rPr>
            </w:pPr>
          </w:p>
          <w:p w:rsidR="00CE1816" w:rsidRPr="00337B8E" w:rsidRDefault="00CE1816" w:rsidP="002F01FA">
            <w:pPr>
              <w:spacing w:before="20" w:after="20" w:line="240" w:lineRule="auto"/>
              <w:rPr>
                <w:rFonts w:eastAsia="Times New Roman" w:cs="Arial"/>
                <w:b/>
                <w:color w:val="000000"/>
                <w:lang w:eastAsia="en-GB"/>
              </w:rPr>
            </w:pPr>
            <w:r w:rsidRPr="00337B8E">
              <w:rPr>
                <w:rFonts w:eastAsia="Times New Roman" w:cs="Arial"/>
                <w:b/>
                <w:color w:val="000000"/>
                <w:lang w:eastAsia="en-GB"/>
              </w:rPr>
              <w:t>Open</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Cadmus, Rob</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26,738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Natural Infrastructure project manager</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NORAD</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Huntington, Veronica</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9,000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COP12 Communications Support</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 xml:space="preserve">COP12 budget MOU </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Waite, Charlie</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7,000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Landscape Photographer WWD 2015, Awards, photos etc.</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Development Budget</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WCMC</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4,000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Wetland Extent Index</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STRP Implementation</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Fry, Eve</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15,000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Preparation of Water/Wetlands events</w:t>
            </w:r>
            <w:r w:rsidR="00AF71F1" w:rsidRPr="007C77C3">
              <w:rPr>
                <w:rFonts w:eastAsia="Times New Roman" w:cs="Arial"/>
                <w:color w:val="000000"/>
                <w:lang w:eastAsia="en-GB"/>
              </w:rPr>
              <w:t xml:space="preserve"> </w:t>
            </w:r>
            <w:r w:rsidRPr="007C77C3">
              <w:rPr>
                <w:rFonts w:eastAsia="Times New Roman" w:cs="Arial"/>
                <w:color w:val="000000"/>
                <w:lang w:eastAsia="en-GB"/>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Development Budget</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Persse, Emily</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15,000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Events Coordinator (WWD)</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Development budget</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Persse, Emily</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5,000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Temporary Communications Support</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Tim Jones</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5,600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SC 48 Rapporteur</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RM Wetlands</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4,000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Briefing note - ecosystem services</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STRP Implementation</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RM Wetlands</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 3,200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STRP-preparation of paper on REDD Plus</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STRP Implementation</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Interpreters (12)</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135,000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COP12 Interpretation</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Non-core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 xml:space="preserve">COP12 budget MOU </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Interpreters (6)</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27,000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SC48 Interpretation</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CISDL</w:t>
            </w:r>
          </w:p>
        </w:tc>
        <w:tc>
          <w:tcPr>
            <w:tcW w:w="1134" w:type="dxa"/>
            <w:tcBorders>
              <w:top w:val="nil"/>
              <w:left w:val="nil"/>
              <w:bottom w:val="single" w:sz="4" w:space="0" w:color="auto"/>
              <w:right w:val="single" w:sz="4" w:space="0" w:color="auto"/>
            </w:tcBorders>
            <w:shd w:val="clear" w:color="auto" w:fill="auto"/>
            <w:vAlign w:val="center"/>
            <w:hideMark/>
          </w:tcPr>
          <w:p w:rsidR="00CE1816" w:rsidRPr="007C77C3" w:rsidRDefault="00AF71F1" w:rsidP="002F01FA">
            <w:pPr>
              <w:spacing w:before="20" w:after="20" w:line="240" w:lineRule="auto"/>
              <w:jc w:val="right"/>
              <w:rPr>
                <w:rFonts w:eastAsia="Times New Roman" w:cs="Arial"/>
                <w:color w:val="000000"/>
                <w:lang w:eastAsia="en-GB"/>
              </w:rPr>
            </w:pPr>
            <w:r w:rsidRPr="007C77C3">
              <w:rPr>
                <w:rFonts w:eastAsia="Times New Roman" w:cs="Arial"/>
                <w:color w:val="000000"/>
                <w:lang w:eastAsia="en-GB"/>
              </w:rPr>
              <w:t xml:space="preserve">    </w:t>
            </w:r>
            <w:r w:rsidR="00CE1816" w:rsidRPr="007C77C3">
              <w:rPr>
                <w:rFonts w:eastAsia="Times New Roman" w:cs="Arial"/>
                <w:color w:val="000000"/>
                <w:lang w:eastAsia="en-GB"/>
              </w:rPr>
              <w:t xml:space="preserve">90,000 </w:t>
            </w:r>
          </w:p>
        </w:tc>
        <w:tc>
          <w:tcPr>
            <w:tcW w:w="4253" w:type="dxa"/>
            <w:tcBorders>
              <w:top w:val="nil"/>
              <w:left w:val="nil"/>
              <w:bottom w:val="single" w:sz="4" w:space="0" w:color="auto"/>
              <w:right w:val="single" w:sz="4" w:space="0" w:color="auto"/>
            </w:tcBorders>
            <w:shd w:val="clear" w:color="auto" w:fill="auto"/>
            <w:vAlign w:val="center"/>
            <w:hideMark/>
          </w:tcPr>
          <w:p w:rsidR="00CE1816" w:rsidRPr="007C77C3" w:rsidRDefault="00CE1816" w:rsidP="002F01FA">
            <w:pPr>
              <w:spacing w:before="20" w:after="20" w:line="240" w:lineRule="auto"/>
              <w:rPr>
                <w:rFonts w:eastAsia="Times New Roman" w:cs="Arial"/>
                <w:color w:val="000000"/>
                <w:lang w:eastAsia="en-GB"/>
              </w:rPr>
            </w:pPr>
            <w:r w:rsidRPr="007C77C3">
              <w:rPr>
                <w:rFonts w:eastAsia="Times New Roman" w:cs="Arial"/>
                <w:color w:val="000000"/>
                <w:lang w:eastAsia="en-GB"/>
              </w:rPr>
              <w:t>Legal services: RoP, ICJ, COP12, IUCN, contracts, MOUs etc</w:t>
            </w:r>
          </w:p>
        </w:tc>
        <w:tc>
          <w:tcPr>
            <w:tcW w:w="1276"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3260"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Core</w:t>
            </w:r>
          </w:p>
        </w:tc>
        <w:tc>
          <w:tcPr>
            <w:tcW w:w="1417" w:type="dxa"/>
            <w:tcBorders>
              <w:top w:val="nil"/>
              <w:left w:val="nil"/>
              <w:bottom w:val="single" w:sz="4" w:space="0" w:color="auto"/>
              <w:right w:val="single" w:sz="4" w:space="0" w:color="auto"/>
            </w:tcBorders>
            <w:shd w:val="clear" w:color="auto" w:fill="auto"/>
            <w:vAlign w:val="center"/>
            <w:hideMark/>
          </w:tcPr>
          <w:p w:rsidR="00CE1816" w:rsidRPr="00337B8E" w:rsidRDefault="00CE1816" w:rsidP="002F01FA">
            <w:pPr>
              <w:spacing w:before="20" w:after="20" w:line="240" w:lineRule="auto"/>
              <w:rPr>
                <w:rFonts w:eastAsia="Times New Roman" w:cs="Arial"/>
                <w:color w:val="000000"/>
                <w:lang w:eastAsia="en-GB"/>
              </w:rPr>
            </w:pPr>
            <w:r w:rsidRPr="00337B8E">
              <w:rPr>
                <w:rFonts w:eastAsia="Times New Roman" w:cs="Arial"/>
                <w:color w:val="000000"/>
                <w:lang w:eastAsia="en-GB"/>
              </w:rPr>
              <w:t>Closed</w:t>
            </w:r>
          </w:p>
        </w:tc>
      </w:tr>
      <w:tr w:rsidR="00CE1816" w:rsidRPr="00337B8E" w:rsidTr="002F01FA">
        <w:trPr>
          <w:trHeight w:val="170"/>
        </w:trPr>
        <w:tc>
          <w:tcPr>
            <w:tcW w:w="2283"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80541F" w:rsidRPr="007C77C3" w:rsidRDefault="002F01FA" w:rsidP="002F01FA">
            <w:pPr>
              <w:spacing w:before="20" w:after="20" w:line="240" w:lineRule="auto"/>
              <w:rPr>
                <w:rFonts w:eastAsia="Times New Roman" w:cs="Arial"/>
                <w:b/>
                <w:bCs/>
                <w:color w:val="000000"/>
                <w:lang w:eastAsia="en-GB"/>
              </w:rPr>
            </w:pPr>
            <w:r>
              <w:rPr>
                <w:rFonts w:eastAsia="Times New Roman" w:cs="Arial"/>
                <w:b/>
                <w:bCs/>
                <w:color w:val="000000"/>
                <w:lang w:eastAsia="en-GB"/>
              </w:rPr>
              <w:t>Total</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rsidR="00CE1816" w:rsidRPr="007C77C3" w:rsidRDefault="00AF71F1" w:rsidP="002F01FA">
            <w:pPr>
              <w:spacing w:before="20" w:after="20" w:line="240" w:lineRule="auto"/>
              <w:jc w:val="right"/>
              <w:rPr>
                <w:rFonts w:eastAsia="Times New Roman" w:cs="Arial"/>
                <w:b/>
                <w:bCs/>
                <w:color w:val="000000"/>
                <w:lang w:eastAsia="en-GB"/>
              </w:rPr>
            </w:pPr>
            <w:r w:rsidRPr="007C77C3">
              <w:rPr>
                <w:rFonts w:eastAsia="Times New Roman" w:cs="Arial"/>
                <w:b/>
                <w:bCs/>
                <w:color w:val="000000"/>
                <w:lang w:eastAsia="en-GB"/>
              </w:rPr>
              <w:t xml:space="preserve">   </w:t>
            </w:r>
            <w:r w:rsidR="00CE1816" w:rsidRPr="007C77C3">
              <w:rPr>
                <w:rFonts w:eastAsia="Times New Roman" w:cs="Arial"/>
                <w:b/>
                <w:bCs/>
                <w:color w:val="000000"/>
                <w:lang w:eastAsia="en-GB"/>
              </w:rPr>
              <w:t>5</w:t>
            </w:r>
            <w:r w:rsidR="007C77C3" w:rsidRPr="007C77C3">
              <w:rPr>
                <w:rFonts w:eastAsia="Times New Roman" w:cs="Arial"/>
                <w:b/>
                <w:bCs/>
                <w:color w:val="000000"/>
                <w:lang w:eastAsia="en-GB"/>
              </w:rPr>
              <w:t>61</w:t>
            </w:r>
            <w:r w:rsidR="00B600F1">
              <w:rPr>
                <w:rFonts w:eastAsia="Times New Roman" w:cs="Arial"/>
                <w:b/>
                <w:bCs/>
                <w:color w:val="000000"/>
                <w:lang w:eastAsia="en-GB"/>
              </w:rPr>
              <w:t>,</w:t>
            </w:r>
            <w:r w:rsidR="007C77C3" w:rsidRPr="007C77C3">
              <w:rPr>
                <w:rFonts w:eastAsia="Times New Roman" w:cs="Arial"/>
                <w:b/>
                <w:bCs/>
                <w:color w:val="000000"/>
                <w:lang w:eastAsia="en-GB"/>
              </w:rPr>
              <w:t>0</w:t>
            </w:r>
            <w:r w:rsidR="00CE1816" w:rsidRPr="007C77C3">
              <w:rPr>
                <w:rFonts w:eastAsia="Times New Roman" w:cs="Arial"/>
                <w:b/>
                <w:bCs/>
                <w:color w:val="000000"/>
                <w:lang w:eastAsia="en-GB"/>
              </w:rPr>
              <w:t xml:space="preserve">07 </w:t>
            </w:r>
          </w:p>
        </w:tc>
        <w:tc>
          <w:tcPr>
            <w:tcW w:w="4253" w:type="dxa"/>
            <w:tcBorders>
              <w:top w:val="single" w:sz="8" w:space="0" w:color="auto"/>
              <w:left w:val="nil"/>
              <w:bottom w:val="single" w:sz="8" w:space="0" w:color="auto"/>
              <w:right w:val="single" w:sz="8" w:space="0" w:color="auto"/>
            </w:tcBorders>
            <w:shd w:val="clear" w:color="000000" w:fill="D9D9D9"/>
            <w:vAlign w:val="center"/>
            <w:hideMark/>
          </w:tcPr>
          <w:p w:rsidR="00CE1816" w:rsidRPr="007C77C3" w:rsidRDefault="00CE1816" w:rsidP="002F01FA">
            <w:pPr>
              <w:spacing w:before="20" w:after="20" w:line="240" w:lineRule="auto"/>
              <w:rPr>
                <w:rFonts w:eastAsia="Times New Roman" w:cs="Arial"/>
                <w:b/>
                <w:bCs/>
                <w:color w:val="000000"/>
                <w:lang w:eastAsia="en-GB"/>
              </w:rPr>
            </w:pPr>
            <w:r w:rsidRPr="007C77C3">
              <w:rPr>
                <w:rFonts w:eastAsia="Times New Roman" w:cs="Arial"/>
                <w:b/>
                <w:bCs/>
                <w:color w:val="000000"/>
                <w:lang w:eastAsia="en-GB"/>
              </w:rPr>
              <w:t> </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rsidR="00CE1816" w:rsidRPr="00337B8E" w:rsidRDefault="00CE1816" w:rsidP="002F01FA">
            <w:pPr>
              <w:spacing w:before="20" w:after="20" w:line="240" w:lineRule="auto"/>
              <w:rPr>
                <w:rFonts w:eastAsia="Times New Roman" w:cs="Arial"/>
                <w:b/>
                <w:bCs/>
                <w:color w:val="000000"/>
                <w:lang w:eastAsia="en-GB"/>
              </w:rPr>
            </w:pPr>
            <w:r w:rsidRPr="00337B8E">
              <w:rPr>
                <w:rFonts w:eastAsia="Times New Roman" w:cs="Arial"/>
                <w:b/>
                <w:bCs/>
                <w:color w:val="000000"/>
                <w:lang w:eastAsia="en-GB"/>
              </w:rPr>
              <w:t> </w:t>
            </w:r>
          </w:p>
        </w:tc>
        <w:tc>
          <w:tcPr>
            <w:tcW w:w="3260" w:type="dxa"/>
            <w:tcBorders>
              <w:top w:val="single" w:sz="8" w:space="0" w:color="auto"/>
              <w:left w:val="nil"/>
              <w:bottom w:val="single" w:sz="8" w:space="0" w:color="auto"/>
              <w:right w:val="single" w:sz="8" w:space="0" w:color="auto"/>
            </w:tcBorders>
            <w:shd w:val="clear" w:color="000000" w:fill="D9D9D9"/>
            <w:vAlign w:val="center"/>
            <w:hideMark/>
          </w:tcPr>
          <w:p w:rsidR="00CE1816" w:rsidRPr="00337B8E" w:rsidRDefault="00CE1816" w:rsidP="002F01FA">
            <w:pPr>
              <w:spacing w:before="20" w:after="20" w:line="240" w:lineRule="auto"/>
              <w:rPr>
                <w:rFonts w:eastAsia="Times New Roman" w:cs="Arial"/>
                <w:b/>
                <w:bCs/>
                <w:color w:val="000000"/>
                <w:lang w:eastAsia="en-GB"/>
              </w:rPr>
            </w:pPr>
            <w:r w:rsidRPr="00337B8E">
              <w:rPr>
                <w:rFonts w:eastAsia="Times New Roman" w:cs="Arial"/>
                <w:b/>
                <w:bCs/>
                <w:color w:val="000000"/>
                <w:lang w:eastAsia="en-GB"/>
              </w:rPr>
              <w:t> </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rsidR="00CE1816" w:rsidRPr="00337B8E" w:rsidRDefault="00CE1816" w:rsidP="002F01FA">
            <w:pPr>
              <w:spacing w:before="20" w:after="20" w:line="240" w:lineRule="auto"/>
              <w:rPr>
                <w:rFonts w:eastAsia="Times New Roman" w:cs="Arial"/>
                <w:b/>
                <w:bCs/>
                <w:color w:val="000000"/>
                <w:lang w:eastAsia="en-GB"/>
              </w:rPr>
            </w:pPr>
            <w:r w:rsidRPr="00337B8E">
              <w:rPr>
                <w:rFonts w:eastAsia="Times New Roman" w:cs="Arial"/>
                <w:b/>
                <w:bCs/>
                <w:color w:val="000000"/>
                <w:lang w:eastAsia="en-GB"/>
              </w:rPr>
              <w:t> </w:t>
            </w:r>
          </w:p>
        </w:tc>
      </w:tr>
    </w:tbl>
    <w:p w:rsidR="002F01FA" w:rsidRDefault="002F01FA" w:rsidP="00FB4C67">
      <w:pPr>
        <w:spacing w:after="0" w:line="240" w:lineRule="auto"/>
        <w:rPr>
          <w:rFonts w:eastAsia="Garamond" w:cs="Garamond"/>
          <w:b/>
          <w:bCs/>
          <w:sz w:val="24"/>
          <w:szCs w:val="24"/>
        </w:rPr>
      </w:pPr>
    </w:p>
    <w:p w:rsidR="002F01FA" w:rsidRDefault="002F01FA">
      <w:pPr>
        <w:rPr>
          <w:rFonts w:eastAsia="Garamond" w:cs="Garamond"/>
          <w:b/>
          <w:bCs/>
          <w:sz w:val="24"/>
          <w:szCs w:val="24"/>
        </w:rPr>
      </w:pPr>
      <w:r>
        <w:rPr>
          <w:rFonts w:eastAsia="Garamond" w:cs="Garamond"/>
          <w:b/>
          <w:bCs/>
          <w:sz w:val="24"/>
          <w:szCs w:val="24"/>
        </w:rPr>
        <w:br w:type="page"/>
      </w:r>
    </w:p>
    <w:p w:rsidR="00D60A2F" w:rsidRPr="00B57F72" w:rsidRDefault="00D60A2F" w:rsidP="00FB4C67">
      <w:pPr>
        <w:spacing w:after="0" w:line="240" w:lineRule="auto"/>
        <w:rPr>
          <w:rFonts w:eastAsia="Garamond" w:cs="Garamond"/>
          <w:b/>
          <w:bCs/>
          <w:sz w:val="24"/>
          <w:szCs w:val="24"/>
        </w:rPr>
      </w:pPr>
      <w:r>
        <w:rPr>
          <w:rFonts w:eastAsia="Garamond" w:cs="Garamond"/>
          <w:b/>
          <w:bCs/>
          <w:sz w:val="24"/>
          <w:szCs w:val="24"/>
        </w:rPr>
        <w:lastRenderedPageBreak/>
        <w:t>Annex 3</w:t>
      </w:r>
    </w:p>
    <w:p w:rsidR="00D60A2F" w:rsidRPr="00B57F72" w:rsidRDefault="00D60A2F" w:rsidP="00FB4C67">
      <w:pPr>
        <w:tabs>
          <w:tab w:val="left" w:pos="2295"/>
        </w:tabs>
        <w:spacing w:after="0" w:line="240" w:lineRule="auto"/>
        <w:rPr>
          <w:rFonts w:eastAsia="Garamond" w:cs="Garamond"/>
          <w:b/>
          <w:bCs/>
          <w:sz w:val="24"/>
          <w:szCs w:val="24"/>
        </w:rPr>
      </w:pPr>
    </w:p>
    <w:p w:rsidR="00D60A2F" w:rsidRDefault="00D60A2F" w:rsidP="00FB4C67">
      <w:pPr>
        <w:spacing w:after="0" w:line="240" w:lineRule="auto"/>
        <w:rPr>
          <w:rFonts w:eastAsia="Garamond" w:cs="Garamond"/>
          <w:b/>
          <w:bCs/>
          <w:sz w:val="24"/>
          <w:szCs w:val="24"/>
        </w:rPr>
      </w:pPr>
      <w:r>
        <w:rPr>
          <w:rFonts w:eastAsia="Garamond" w:cs="Garamond"/>
          <w:b/>
          <w:bCs/>
          <w:sz w:val="24"/>
          <w:szCs w:val="24"/>
        </w:rPr>
        <w:t>Table of Senior Staff Travel</w:t>
      </w:r>
    </w:p>
    <w:p w:rsidR="00FB4C67" w:rsidRDefault="00FB4C67" w:rsidP="00FB4C67">
      <w:pPr>
        <w:spacing w:after="0" w:line="240" w:lineRule="auto"/>
        <w:rPr>
          <w:sz w:val="20"/>
          <w:szCs w:val="20"/>
        </w:rPr>
      </w:pPr>
    </w:p>
    <w:tbl>
      <w:tblPr>
        <w:tblW w:w="14250" w:type="dxa"/>
        <w:tblCellMar>
          <w:top w:w="113" w:type="dxa"/>
          <w:left w:w="28" w:type="dxa"/>
          <w:bottom w:w="113" w:type="dxa"/>
          <w:right w:w="28" w:type="dxa"/>
        </w:tblCellMar>
        <w:tblLook w:val="04A0" w:firstRow="1" w:lastRow="0" w:firstColumn="1" w:lastColumn="0" w:noHBand="0" w:noVBand="1"/>
      </w:tblPr>
      <w:tblGrid>
        <w:gridCol w:w="2142"/>
        <w:gridCol w:w="2598"/>
        <w:gridCol w:w="5987"/>
        <w:gridCol w:w="3523"/>
      </w:tblGrid>
      <w:tr w:rsidR="00D60A2F" w:rsidTr="002F01FA">
        <w:tc>
          <w:tcPr>
            <w:tcW w:w="2142" w:type="dxa"/>
            <w:tcBorders>
              <w:top w:val="single" w:sz="8" w:space="0" w:color="auto"/>
              <w:left w:val="single" w:sz="8" w:space="0" w:color="auto"/>
              <w:bottom w:val="single" w:sz="4" w:space="0" w:color="auto"/>
              <w:right w:val="single" w:sz="8" w:space="0" w:color="auto"/>
            </w:tcBorders>
            <w:shd w:val="clear" w:color="auto" w:fill="B6DDE8"/>
            <w:tcMar>
              <w:top w:w="0" w:type="dxa"/>
              <w:left w:w="108" w:type="dxa"/>
              <w:bottom w:w="0" w:type="dxa"/>
              <w:right w:w="108" w:type="dxa"/>
            </w:tcMar>
            <w:hideMark/>
          </w:tcPr>
          <w:p w:rsidR="00D60A2F" w:rsidRPr="00024792" w:rsidRDefault="00D60A2F" w:rsidP="002F01FA">
            <w:pPr>
              <w:spacing w:before="60" w:after="60" w:line="240" w:lineRule="auto"/>
              <w:rPr>
                <w:b/>
                <w:bCs/>
              </w:rPr>
            </w:pPr>
            <w:r w:rsidRPr="00024792">
              <w:rPr>
                <w:b/>
                <w:bCs/>
              </w:rPr>
              <w:t>Dates of travel</w:t>
            </w:r>
          </w:p>
        </w:tc>
        <w:tc>
          <w:tcPr>
            <w:tcW w:w="2598" w:type="dxa"/>
            <w:tcBorders>
              <w:top w:val="single" w:sz="8" w:space="0" w:color="auto"/>
              <w:left w:val="nil"/>
              <w:bottom w:val="single" w:sz="4" w:space="0" w:color="auto"/>
              <w:right w:val="single" w:sz="8" w:space="0" w:color="auto"/>
            </w:tcBorders>
            <w:shd w:val="clear" w:color="auto" w:fill="B6DDE8"/>
            <w:tcMar>
              <w:top w:w="0" w:type="dxa"/>
              <w:left w:w="108" w:type="dxa"/>
              <w:bottom w:w="0" w:type="dxa"/>
              <w:right w:w="108" w:type="dxa"/>
            </w:tcMar>
            <w:hideMark/>
          </w:tcPr>
          <w:p w:rsidR="00D60A2F" w:rsidRDefault="00D60A2F" w:rsidP="002F01FA">
            <w:pPr>
              <w:spacing w:before="60" w:after="60" w:line="240" w:lineRule="auto"/>
              <w:rPr>
                <w:b/>
                <w:bCs/>
              </w:rPr>
            </w:pPr>
            <w:r>
              <w:rPr>
                <w:b/>
                <w:bCs/>
              </w:rPr>
              <w:t>Location and name of conference/meeting</w:t>
            </w:r>
          </w:p>
        </w:tc>
        <w:tc>
          <w:tcPr>
            <w:tcW w:w="5987" w:type="dxa"/>
            <w:tcBorders>
              <w:top w:val="single" w:sz="8" w:space="0" w:color="auto"/>
              <w:left w:val="nil"/>
              <w:bottom w:val="single" w:sz="4" w:space="0" w:color="auto"/>
              <w:right w:val="single" w:sz="8" w:space="0" w:color="auto"/>
            </w:tcBorders>
            <w:shd w:val="clear" w:color="auto" w:fill="B6DDE8"/>
            <w:tcMar>
              <w:top w:w="0" w:type="dxa"/>
              <w:left w:w="108" w:type="dxa"/>
              <w:bottom w:w="0" w:type="dxa"/>
              <w:right w:w="108" w:type="dxa"/>
            </w:tcMar>
            <w:hideMark/>
          </w:tcPr>
          <w:p w:rsidR="00D60A2F" w:rsidRDefault="00D60A2F" w:rsidP="002F01FA">
            <w:pPr>
              <w:spacing w:before="60" w:after="60" w:line="240" w:lineRule="auto"/>
              <w:rPr>
                <w:b/>
                <w:bCs/>
              </w:rPr>
            </w:pPr>
            <w:r>
              <w:rPr>
                <w:b/>
                <w:bCs/>
              </w:rPr>
              <w:t>Motivation</w:t>
            </w:r>
          </w:p>
        </w:tc>
        <w:tc>
          <w:tcPr>
            <w:tcW w:w="3523" w:type="dxa"/>
            <w:tcBorders>
              <w:top w:val="single" w:sz="8" w:space="0" w:color="auto"/>
              <w:left w:val="nil"/>
              <w:bottom w:val="single" w:sz="4" w:space="0" w:color="auto"/>
              <w:right w:val="single" w:sz="8" w:space="0" w:color="auto"/>
            </w:tcBorders>
            <w:shd w:val="clear" w:color="auto" w:fill="B6DDE8"/>
            <w:tcMar>
              <w:top w:w="0" w:type="dxa"/>
              <w:left w:w="108" w:type="dxa"/>
              <w:bottom w:w="0" w:type="dxa"/>
              <w:right w:w="108" w:type="dxa"/>
            </w:tcMar>
            <w:hideMark/>
          </w:tcPr>
          <w:p w:rsidR="00D60A2F" w:rsidRDefault="00D60A2F" w:rsidP="002F01FA">
            <w:pPr>
              <w:spacing w:before="60" w:after="60" w:line="240" w:lineRule="auto"/>
              <w:rPr>
                <w:b/>
                <w:bCs/>
              </w:rPr>
            </w:pPr>
            <w:r>
              <w:rPr>
                <w:b/>
                <w:bCs/>
              </w:rPr>
              <w:t>Cost to Ramsar</w:t>
            </w:r>
          </w:p>
        </w:tc>
      </w:tr>
      <w:tr w:rsidR="00D60A2F" w:rsidTr="002F01FA">
        <w:tc>
          <w:tcPr>
            <w:tcW w:w="142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rsidR="00D60A2F" w:rsidRPr="00024792" w:rsidRDefault="00D60A2F" w:rsidP="002F01FA">
            <w:pPr>
              <w:spacing w:before="60" w:after="60" w:line="240" w:lineRule="auto"/>
              <w:rPr>
                <w:b/>
              </w:rPr>
            </w:pPr>
            <w:r w:rsidRPr="00024792">
              <w:rPr>
                <w:b/>
              </w:rPr>
              <w:t>Ania Grobicki, Acting Secretary General</w:t>
            </w:r>
          </w:p>
        </w:tc>
      </w:tr>
      <w:tr w:rsidR="00D60A2F"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024792" w:rsidRDefault="00D60A2F" w:rsidP="002F01FA">
            <w:pPr>
              <w:spacing w:before="60" w:after="60" w:line="240" w:lineRule="auto"/>
              <w:rPr>
                <w:b/>
              </w:rPr>
            </w:pPr>
            <w:r>
              <w:rPr>
                <w:b/>
              </w:rPr>
              <w:t>3-4 December 2015</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Default="00D60A2F" w:rsidP="002F01FA">
            <w:pPr>
              <w:spacing w:before="60" w:after="60" w:line="240" w:lineRule="auto"/>
            </w:pPr>
            <w:r>
              <w:t>Paris, COP21</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Default="00D60A2F" w:rsidP="002F01FA">
            <w:pPr>
              <w:spacing w:before="60" w:after="60" w:line="240" w:lineRule="auto"/>
            </w:pPr>
            <w:r>
              <w:t>Meeting with Bernard Giraud to discuss the renewal of the Danone Agreement: this was extremely urgent as the 5-year agreement with Danone expired in December 2015.</w:t>
            </w:r>
          </w:p>
          <w:p w:rsidR="00D60A2F" w:rsidRDefault="0008473C" w:rsidP="002F01FA">
            <w:pPr>
              <w:spacing w:before="60" w:after="60" w:line="240" w:lineRule="auto"/>
            </w:pPr>
            <w:r>
              <w:t xml:space="preserve">COP21 : </w:t>
            </w:r>
            <w:r w:rsidR="00D60A2F">
              <w:t>Speaker at p</w:t>
            </w:r>
            <w:r>
              <w:t>anel on “Adaptation in Deltas”; m</w:t>
            </w:r>
            <w:r w:rsidR="00D60A2F">
              <w:t xml:space="preserve">eeting of </w:t>
            </w:r>
            <w:r>
              <w:t>“</w:t>
            </w:r>
            <w:r w:rsidR="00D60A2F">
              <w:t>Paris Pact</w:t>
            </w:r>
            <w:r>
              <w:t>”</w:t>
            </w:r>
            <w:r w:rsidR="00D60A2F">
              <w:t xml:space="preserve"> s</w:t>
            </w:r>
            <w:r>
              <w:t>ignatories on water and climate; m</w:t>
            </w:r>
            <w:r w:rsidR="00D60A2F">
              <w:t>eeting</w:t>
            </w:r>
            <w:r>
              <w:t>s</w:t>
            </w:r>
            <w:r w:rsidR="00D60A2F">
              <w:t xml:space="preserve"> with representatives of Contracting Parties</w:t>
            </w:r>
            <w:r>
              <w:t>, IOPs</w:t>
            </w:r>
            <w:r w:rsidR="00D60A2F">
              <w:t xml:space="preserve"> and other high level representatives.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Default="00D60A2F" w:rsidP="002F01FA">
            <w:pPr>
              <w:spacing w:before="60" w:after="60" w:line="240" w:lineRule="auto"/>
            </w:pPr>
            <w:r>
              <w:t>CHF 1,568.64</w:t>
            </w:r>
          </w:p>
        </w:tc>
      </w:tr>
      <w:tr w:rsidR="00D60A2F"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024792" w:rsidRDefault="00D60A2F" w:rsidP="002F01FA">
            <w:pPr>
              <w:spacing w:before="60" w:after="60" w:line="240" w:lineRule="auto"/>
              <w:rPr>
                <w:b/>
              </w:rPr>
            </w:pPr>
            <w:r>
              <w:rPr>
                <w:b/>
              </w:rPr>
              <w:t>10-11 December 2015</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Default="00D60A2F" w:rsidP="002F01FA">
            <w:pPr>
              <w:spacing w:before="60" w:after="60" w:line="240" w:lineRule="auto"/>
            </w:pPr>
            <w:r>
              <w:t>Paris, COP21</w:t>
            </w:r>
          </w:p>
          <w:p w:rsidR="00D60A2F" w:rsidRDefault="00D60A2F" w:rsidP="002F01FA">
            <w:pPr>
              <w:spacing w:before="60" w:after="60" w:line="240" w:lineRule="auto"/>
            </w:pP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Default="00D60A2F" w:rsidP="002F01FA">
            <w:pPr>
              <w:spacing w:before="60" w:after="60" w:line="240" w:lineRule="auto"/>
            </w:pPr>
            <w:r>
              <w:t>Opening speech of African session at the Climate Generation Pavilion.</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Default="00D60A2F" w:rsidP="002F01FA">
            <w:pPr>
              <w:spacing w:before="60" w:after="60" w:line="240" w:lineRule="auto"/>
            </w:pPr>
            <w:r>
              <w:t>CHF</w:t>
            </w:r>
            <w:r w:rsidR="00AF71F1">
              <w:t xml:space="preserve">  </w:t>
            </w:r>
            <w:r>
              <w:t xml:space="preserve"> 588.90</w:t>
            </w:r>
          </w:p>
        </w:tc>
      </w:tr>
      <w:tr w:rsidR="00D60A2F"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Default="00D60A2F" w:rsidP="002F01FA">
            <w:pPr>
              <w:spacing w:before="60" w:after="60" w:line="240" w:lineRule="auto"/>
              <w:rPr>
                <w:b/>
              </w:rPr>
            </w:pPr>
            <w:r>
              <w:rPr>
                <w:b/>
              </w:rPr>
              <w:t>13 January 2016</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Default="00D60A2F" w:rsidP="002F01FA">
            <w:pPr>
              <w:spacing w:before="60" w:after="60" w:line="240" w:lineRule="auto"/>
            </w:pPr>
            <w:r>
              <w:t>Frankfurt, Germany</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Default="00D60A2F" w:rsidP="002F01FA">
            <w:pPr>
              <w:spacing w:before="60" w:after="60" w:line="240" w:lineRule="auto"/>
            </w:pPr>
            <w:r>
              <w:t>Day trip to meet wi</w:t>
            </w:r>
            <w:r w:rsidR="0008473C">
              <w:t>th Star Alliance CEO Mark Schwa</w:t>
            </w:r>
            <w:r>
              <w:t>b, to discuss renewal and expansion of agreement</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Default="00D60A2F" w:rsidP="002F01FA">
            <w:pPr>
              <w:spacing w:before="60" w:after="60" w:line="240" w:lineRule="auto"/>
            </w:pPr>
            <w:r>
              <w:t>CHF</w:t>
            </w:r>
            <w:r w:rsidR="00AF71F1">
              <w:t xml:space="preserve">   </w:t>
            </w:r>
            <w:r>
              <w:t xml:space="preserve"> 54.—</w:t>
            </w:r>
          </w:p>
          <w:p w:rsidR="00D60A2F" w:rsidRDefault="00D60A2F" w:rsidP="002F01FA">
            <w:pPr>
              <w:spacing w:before="60" w:after="60" w:line="240" w:lineRule="auto"/>
            </w:pPr>
            <w:r>
              <w:t>(flights covered by Star Alliance)</w:t>
            </w:r>
          </w:p>
        </w:tc>
      </w:tr>
      <w:tr w:rsidR="00D60A2F"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Pr="00024792" w:rsidRDefault="00D60A2F" w:rsidP="002F01FA">
            <w:pPr>
              <w:spacing w:before="60" w:after="60" w:line="240" w:lineRule="auto"/>
              <w:rPr>
                <w:b/>
              </w:rPr>
            </w:pPr>
            <w:r>
              <w:rPr>
                <w:b/>
              </w:rPr>
              <w:t>17-21 January 2016</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Default="00D60A2F" w:rsidP="002F01FA">
            <w:pPr>
              <w:spacing w:before="60" w:after="60" w:line="240" w:lineRule="auto"/>
            </w:pPr>
            <w:r>
              <w:t>Dubai and Abu Dhabi</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Default="00D60A2F" w:rsidP="002F01FA">
            <w:pPr>
              <w:spacing w:before="60" w:after="60" w:line="240" w:lineRule="auto"/>
            </w:pPr>
            <w:r>
              <w:t>Meet</w:t>
            </w:r>
            <w:r w:rsidR="0008473C">
              <w:t>ing</w:t>
            </w:r>
            <w:r>
              <w:t xml:space="preserve"> with high-level officials </w:t>
            </w:r>
            <w:r w:rsidR="0008473C">
              <w:t>of the UAE in Dubai for</w:t>
            </w:r>
            <w:r>
              <w:t xml:space="preserve"> COP 13 preparations; and participation in International Water Summit</w:t>
            </w:r>
            <w:r w:rsidR="0008473C">
              <w:t>, Abu Dhabi</w:t>
            </w:r>
            <w:r>
              <w:t xml:space="preserve"> (speaker in panel on </w:t>
            </w:r>
            <w:r w:rsidRPr="00EA1106">
              <w:rPr>
                <w:i/>
              </w:rPr>
              <w:t>Water adaptation strategies to combat climate change and natural disasters</w:t>
            </w:r>
            <w:r>
              <w:t>)</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A2F" w:rsidRDefault="00D60A2F" w:rsidP="002F01FA">
            <w:pPr>
              <w:spacing w:before="60" w:after="60" w:line="240" w:lineRule="auto"/>
            </w:pPr>
            <w:r w:rsidRPr="00884D79">
              <w:t>CHF 1,318.78</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F30E68" w:rsidRDefault="0008473C" w:rsidP="002F01FA">
            <w:pPr>
              <w:spacing w:before="60" w:after="60" w:line="240" w:lineRule="auto"/>
            </w:pPr>
            <w:r>
              <w:rPr>
                <w:b/>
              </w:rPr>
              <w:t>01-02 February 2016</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F30E68" w:rsidRDefault="0008473C" w:rsidP="002F01FA">
            <w:pPr>
              <w:spacing w:before="60" w:after="60" w:line="240" w:lineRule="auto"/>
            </w:pPr>
            <w:r>
              <w:t xml:space="preserve">Tehran and Isfahan, </w:t>
            </w:r>
            <w:r w:rsidRPr="00F30E68">
              <w:t xml:space="preserve">Iran </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F30E68" w:rsidRDefault="0008473C" w:rsidP="002F01FA">
            <w:pPr>
              <w:spacing w:before="60" w:after="60" w:line="240" w:lineRule="auto"/>
            </w:pPr>
            <w:r w:rsidRPr="00F30E68">
              <w:t xml:space="preserve">Invitation from Iran to </w:t>
            </w:r>
            <w:r>
              <w:t>meet with the Vice President, Dr Ebtekar, the UNDP Res.Rep. and the new director of the RRC-CWA; a</w:t>
            </w:r>
            <w:r w:rsidRPr="00F30E68">
              <w:t xml:space="preserve">ttending WWD </w:t>
            </w:r>
            <w:r>
              <w:t>2016 celebration in Isfahan with the Governor General of Isfahan Province; visiting Gavkhouni wetland</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F30E68" w:rsidRDefault="0008473C" w:rsidP="002F01FA">
            <w:pPr>
              <w:spacing w:before="60" w:after="60" w:line="240" w:lineRule="auto"/>
            </w:pPr>
            <w:r>
              <w:t xml:space="preserve">CHF </w:t>
            </w:r>
            <w:r w:rsidRPr="00F30E68">
              <w:t>295.70</w:t>
            </w:r>
            <w:r>
              <w:t xml:space="preserve"> </w:t>
            </w:r>
          </w:p>
          <w:p w:rsidR="0008473C" w:rsidRPr="00F30E68" w:rsidRDefault="0008473C" w:rsidP="002F01FA">
            <w:pPr>
              <w:spacing w:before="60" w:after="60" w:line="240" w:lineRule="auto"/>
            </w:pPr>
            <w:r w:rsidRPr="00F30E68">
              <w:t>(flights covered by Iran)</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024792" w:rsidRDefault="0008473C" w:rsidP="002F01FA">
            <w:pPr>
              <w:spacing w:before="60" w:after="60" w:line="240" w:lineRule="auto"/>
              <w:rPr>
                <w:b/>
              </w:rPr>
            </w:pPr>
            <w:r>
              <w:rPr>
                <w:b/>
              </w:rPr>
              <w:t>10-11 February 2016</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rsidRPr="00FD18B3">
              <w:t>Paris</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t>P</w:t>
            </w:r>
            <w:r w:rsidRPr="00FD18B3">
              <w:t>articipate in MedWet</w:t>
            </w:r>
            <w:r>
              <w:t>/Com12 governance</w:t>
            </w:r>
            <w:r w:rsidRPr="00FD18B3">
              <w:t xml:space="preserve"> meeting of the Mediterranean Wetlands Initiative </w:t>
            </w:r>
            <w:r>
              <w:t>and give closing speech</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t>CHF 481</w:t>
            </w:r>
          </w:p>
        </w:tc>
      </w:tr>
      <w:tr w:rsidR="0008473C" w:rsidRPr="00DD284F" w:rsidTr="002F01FA">
        <w:tc>
          <w:tcPr>
            <w:tcW w:w="142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rsidR="0008473C" w:rsidRPr="00DD284F" w:rsidRDefault="0008473C" w:rsidP="002F01FA">
            <w:pPr>
              <w:spacing w:before="60" w:after="60" w:line="240" w:lineRule="auto"/>
              <w:rPr>
                <w:b/>
              </w:rPr>
            </w:pPr>
            <w:r w:rsidRPr="00DD284F">
              <w:rPr>
                <w:b/>
              </w:rPr>
              <w:lastRenderedPageBreak/>
              <w:t>Camilla Chalmers, Head of Communications</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A13987" w:rsidRDefault="0008473C" w:rsidP="002F01FA">
            <w:pPr>
              <w:spacing w:before="60" w:after="60" w:line="240" w:lineRule="auto"/>
              <w:rPr>
                <w:rFonts w:eastAsia="Times New Roman"/>
                <w:b/>
                <w:lang w:eastAsia="en-GB"/>
              </w:rPr>
            </w:pPr>
            <w:r w:rsidRPr="00A13987">
              <w:rPr>
                <w:rFonts w:eastAsia="Times New Roman"/>
                <w:b/>
                <w:lang w:eastAsia="en-GB"/>
              </w:rPr>
              <w:t>13.01.16</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F30E68" w:rsidRDefault="0008473C" w:rsidP="002F01FA">
            <w:pPr>
              <w:spacing w:before="60" w:after="60" w:line="240" w:lineRule="auto"/>
            </w:pPr>
            <w:r w:rsidRPr="00F30E68">
              <w:t>Frankfurt Star Alliance</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F30E68" w:rsidRDefault="0008473C" w:rsidP="002F01FA">
            <w:pPr>
              <w:spacing w:before="60" w:after="60" w:line="240" w:lineRule="auto"/>
            </w:pPr>
            <w:r>
              <w:t>2016 MOU agreement and</w:t>
            </w:r>
            <w:r w:rsidRPr="00F30E68">
              <w:t xml:space="preserve"> meeting CEO </w:t>
            </w:r>
            <w:r>
              <w:t>Mark Schwab</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F30E68" w:rsidRDefault="0008473C" w:rsidP="002F01FA">
            <w:pPr>
              <w:spacing w:before="60" w:after="60" w:line="240" w:lineRule="auto"/>
            </w:pPr>
            <w:r>
              <w:t>CHF 42.60</w:t>
            </w:r>
            <w:r w:rsidR="00A13987">
              <w:t xml:space="preserve"> </w:t>
            </w:r>
            <w:r w:rsidRPr="00F30E68">
              <w:t>(flights covered by Star</w:t>
            </w:r>
            <w:r>
              <w:t xml:space="preserve"> Alliance</w:t>
            </w:r>
            <w:r w:rsidRPr="00F30E68">
              <w:t>)</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A13987" w:rsidRDefault="0008473C" w:rsidP="002F01FA">
            <w:pPr>
              <w:spacing w:before="60" w:after="60" w:line="240" w:lineRule="auto"/>
              <w:rPr>
                <w:b/>
              </w:rPr>
            </w:pPr>
            <w:r w:rsidRPr="00A13987">
              <w:rPr>
                <w:b/>
              </w:rPr>
              <w:t>15.01.16</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F30E68" w:rsidRDefault="0008473C" w:rsidP="002F01FA">
            <w:pPr>
              <w:spacing w:before="60" w:after="60" w:line="240" w:lineRule="auto"/>
            </w:pPr>
            <w:r w:rsidRPr="00F30E68">
              <w:t>Evian Pre Curieux Meeting</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F30E68" w:rsidRDefault="0008473C" w:rsidP="002F01FA">
            <w:pPr>
              <w:spacing w:before="60" w:after="60" w:line="240" w:lineRule="auto"/>
            </w:pPr>
            <w:r w:rsidRPr="00F30E68">
              <w:t>Kick off meeting with all stakeholders in project to agree strategy and funding lead by Evian Mayor</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F30E68" w:rsidRDefault="0008473C" w:rsidP="002F01FA">
            <w:pPr>
              <w:spacing w:before="60" w:after="60" w:line="240" w:lineRule="auto"/>
            </w:pPr>
            <w:r>
              <w:t>CHF 114.16</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A13987" w:rsidRDefault="0008473C" w:rsidP="002F01FA">
            <w:pPr>
              <w:spacing w:before="60" w:after="60" w:line="240" w:lineRule="auto"/>
              <w:rPr>
                <w:b/>
              </w:rPr>
            </w:pPr>
            <w:r w:rsidRPr="00A13987">
              <w:rPr>
                <w:b/>
              </w:rPr>
              <w:t>01.02.16</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F30E68" w:rsidRDefault="0008473C" w:rsidP="002F01FA">
            <w:pPr>
              <w:spacing w:before="60" w:after="60" w:line="240" w:lineRule="auto"/>
            </w:pPr>
            <w:r w:rsidRPr="00F30E68">
              <w:t>Iran WWD 2016</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F30E68" w:rsidRDefault="0008473C" w:rsidP="002F01FA">
            <w:pPr>
              <w:spacing w:before="60" w:after="60" w:line="240" w:lineRule="auto"/>
            </w:pPr>
            <w:r w:rsidRPr="00F30E68">
              <w:t>I</w:t>
            </w:r>
            <w:r>
              <w:t>nvitation from Iran to attend</w:t>
            </w:r>
            <w:r w:rsidRPr="00F30E68">
              <w:t xml:space="preserve"> WWD and facilitate a CEPA workshop at Lake Urmia</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F30E68" w:rsidRDefault="0008473C" w:rsidP="002F01FA">
            <w:pPr>
              <w:spacing w:before="60" w:after="60" w:line="240" w:lineRule="auto"/>
            </w:pPr>
            <w:r>
              <w:t xml:space="preserve">CHF </w:t>
            </w:r>
            <w:r w:rsidRPr="00F30E68">
              <w:t>295.70</w:t>
            </w:r>
            <w:r>
              <w:t xml:space="preserve"> </w:t>
            </w:r>
            <w:r w:rsidRPr="00F30E68">
              <w:t>(flights covered by Iran)</w:t>
            </w:r>
          </w:p>
        </w:tc>
      </w:tr>
      <w:tr w:rsidR="0008473C" w:rsidTr="002F01FA">
        <w:tc>
          <w:tcPr>
            <w:tcW w:w="142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rsidR="0008473C" w:rsidRPr="00A13987" w:rsidRDefault="0008473C" w:rsidP="002F01FA">
            <w:pPr>
              <w:spacing w:before="60" w:after="60" w:line="240" w:lineRule="auto"/>
              <w:rPr>
                <w:b/>
              </w:rPr>
            </w:pPr>
            <w:r w:rsidRPr="00A13987">
              <w:rPr>
                <w:b/>
              </w:rPr>
              <w:t>Paul Ouedraogo, Senior Advisor, Africa</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A13987" w:rsidRDefault="0008473C" w:rsidP="002F01FA">
            <w:pPr>
              <w:spacing w:before="60" w:after="60" w:line="240" w:lineRule="auto"/>
              <w:rPr>
                <w:b/>
                <w:lang w:eastAsia="en-GB"/>
              </w:rPr>
            </w:pPr>
            <w:r w:rsidRPr="00A13987">
              <w:rPr>
                <w:b/>
                <w:lang w:eastAsia="en-GB"/>
              </w:rPr>
              <w:t>3 to 11 December 2015</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08473C" w:rsidRDefault="0008473C" w:rsidP="002F01FA">
            <w:pPr>
              <w:spacing w:before="60" w:after="60" w:line="240" w:lineRule="auto"/>
            </w:pPr>
            <w:r w:rsidRPr="0008473C">
              <w:t>UNFCC COP21 Paris</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08473C" w:rsidRDefault="0008473C" w:rsidP="002F01FA">
            <w:pPr>
              <w:spacing w:before="60" w:after="60" w:line="240" w:lineRule="auto"/>
            </w:pPr>
            <w:r w:rsidRPr="0008473C">
              <w:t>Hold 3 Side Events on behalf of the Ramsar Convention</w:t>
            </w:r>
          </w:p>
          <w:p w:rsidR="0008473C" w:rsidRPr="0008473C" w:rsidRDefault="0008473C" w:rsidP="002F01FA">
            <w:pPr>
              <w:spacing w:before="60" w:after="60" w:line="240" w:lineRule="auto"/>
            </w:pPr>
            <w:r w:rsidRPr="0008473C">
              <w:t>Bilateral meeting with CPs and potential donors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2040DE" w:rsidRDefault="0008473C" w:rsidP="002F01FA">
            <w:pPr>
              <w:spacing w:before="60" w:after="60" w:line="240" w:lineRule="auto"/>
            </w:pPr>
            <w:r w:rsidRPr="002040DE">
              <w:t>CHF 2407.5</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A13987" w:rsidRDefault="0008473C" w:rsidP="002F01FA">
            <w:pPr>
              <w:spacing w:before="60" w:after="60" w:line="240" w:lineRule="auto"/>
              <w:rPr>
                <w:b/>
                <w:lang w:eastAsia="en-GB"/>
              </w:rPr>
            </w:pPr>
            <w:r w:rsidRPr="00A13987">
              <w:rPr>
                <w:b/>
                <w:lang w:eastAsia="en-GB"/>
              </w:rPr>
              <w:t>25.01 to 3.02.2016</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08473C" w:rsidRDefault="0008473C" w:rsidP="002F01FA">
            <w:pPr>
              <w:spacing w:before="60" w:after="60" w:line="240" w:lineRule="auto"/>
            </w:pPr>
            <w:r w:rsidRPr="0008473C">
              <w:t>2016 WWD in Burkina Faso</w:t>
            </w:r>
            <w:r w:rsidR="00A13987">
              <w:t xml:space="preserve">; </w:t>
            </w:r>
            <w:r w:rsidRPr="0008473C">
              <w:t>Certificate on Wetland Local Governance</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08473C" w:rsidRDefault="0008473C" w:rsidP="002F01FA">
            <w:pPr>
              <w:spacing w:before="60" w:after="60" w:line="240" w:lineRule="auto"/>
            </w:pPr>
            <w:r w:rsidRPr="0008473C">
              <w:t>Ramsar is assisting University of Ouagadougou to implement a Certificate on Wetland Local Governance.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333092" w:rsidRDefault="0008473C" w:rsidP="002F01FA">
            <w:pPr>
              <w:spacing w:before="60" w:after="60" w:line="240" w:lineRule="auto"/>
            </w:pPr>
            <w:r w:rsidRPr="00333092">
              <w:t xml:space="preserve">CHF 400 </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A13987" w:rsidRDefault="0008473C" w:rsidP="002F01FA">
            <w:pPr>
              <w:spacing w:before="60" w:after="60" w:line="240" w:lineRule="auto"/>
              <w:rPr>
                <w:b/>
              </w:rPr>
            </w:pPr>
            <w:r w:rsidRPr="00A13987">
              <w:rPr>
                <w:b/>
              </w:rPr>
              <w:t>7 to 10/02/2016</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08473C" w:rsidRDefault="0008473C" w:rsidP="002F01FA">
            <w:pPr>
              <w:spacing w:before="60" w:after="60" w:line="240" w:lineRule="auto"/>
            </w:pPr>
            <w:r w:rsidRPr="0008473C">
              <w:t>MedWet/Com 12</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08473C" w:rsidRDefault="0008473C" w:rsidP="002F01FA">
            <w:pPr>
              <w:spacing w:before="60" w:after="60" w:line="240" w:lineRule="auto"/>
            </w:pPr>
            <w:r w:rsidRPr="0008473C">
              <w:t>Assist Northern Africa CPs for their inputs within meeting documents</w:t>
            </w:r>
          </w:p>
          <w:p w:rsidR="0008473C" w:rsidRPr="0008473C" w:rsidRDefault="0008473C" w:rsidP="002F01FA">
            <w:pPr>
              <w:spacing w:before="60" w:after="60" w:line="240" w:lineRule="auto"/>
            </w:pPr>
            <w:r w:rsidRPr="0008473C">
              <w:t>Advise Northern Africa CPs to carry out actions on updating their Ramar Site RIS (107 RIS to be updated)</w:t>
            </w:r>
            <w:r w:rsidR="00AF71F1">
              <w:t xml:space="preserve">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333092" w:rsidRDefault="0008473C" w:rsidP="002F01FA">
            <w:pPr>
              <w:spacing w:before="60" w:after="60" w:line="240" w:lineRule="auto"/>
            </w:pPr>
            <w:r w:rsidRPr="00333092">
              <w:t>CHF 432,1</w:t>
            </w:r>
          </w:p>
          <w:p w:rsidR="0008473C" w:rsidRPr="00333092" w:rsidRDefault="0008473C" w:rsidP="002F01FA">
            <w:pPr>
              <w:spacing w:before="60" w:after="60" w:line="240" w:lineRule="auto"/>
            </w:pPr>
            <w:r w:rsidRPr="00333092">
              <w:t>Euros 330 to be reimbursed to MedWet</w:t>
            </w:r>
          </w:p>
        </w:tc>
      </w:tr>
      <w:tr w:rsidR="0008473C" w:rsidTr="002F01FA">
        <w:tc>
          <w:tcPr>
            <w:tcW w:w="142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rsidR="0008473C" w:rsidRPr="00A13987" w:rsidRDefault="0008473C" w:rsidP="002F01FA">
            <w:pPr>
              <w:spacing w:before="60" w:after="60" w:line="240" w:lineRule="auto"/>
              <w:rPr>
                <w:b/>
              </w:rPr>
            </w:pPr>
            <w:r w:rsidRPr="00A13987">
              <w:rPr>
                <w:b/>
              </w:rPr>
              <w:t>Maria Rivera, Senior Advisor – Americas</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A13987" w:rsidRDefault="0008473C" w:rsidP="002F01FA">
            <w:pPr>
              <w:spacing w:before="60" w:after="60" w:line="240" w:lineRule="auto"/>
              <w:rPr>
                <w:b/>
                <w:lang w:eastAsia="en-GB"/>
              </w:rPr>
            </w:pPr>
            <w:r w:rsidRPr="00A13987">
              <w:rPr>
                <w:b/>
                <w:lang w:eastAsia="en-GB"/>
              </w:rPr>
              <w:t>7-10 December 2015</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t>Trinidad &amp; Tobago</w:t>
            </w:r>
          </w:p>
          <w:p w:rsidR="0008473C" w:rsidRDefault="0008473C" w:rsidP="002F01FA">
            <w:pPr>
              <w:spacing w:before="60" w:after="60" w:line="240" w:lineRule="auto"/>
            </w:pPr>
            <w:r>
              <w:t>Country visit</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t>Country visit to discuss with AA implementation and attendance to the 50th Anniversary of the Pointe-a- Pierre Wildfowl Trust.</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t>CHF 2,644</w:t>
            </w:r>
          </w:p>
        </w:tc>
      </w:tr>
      <w:tr w:rsidR="0008473C" w:rsidTr="002F01FA">
        <w:tc>
          <w:tcPr>
            <w:tcW w:w="142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rsidR="0008473C" w:rsidRPr="00A13987" w:rsidRDefault="0008473C" w:rsidP="002F01FA">
            <w:pPr>
              <w:spacing w:before="60" w:after="60" w:line="240" w:lineRule="auto"/>
              <w:rPr>
                <w:b/>
              </w:rPr>
            </w:pPr>
            <w:r w:rsidRPr="00A13987">
              <w:rPr>
                <w:b/>
              </w:rPr>
              <w:t>Lew Young, Senior Advisor, Asia-Oceania</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A13987" w:rsidRDefault="0008473C" w:rsidP="002F01FA">
            <w:pPr>
              <w:spacing w:before="60" w:after="60" w:line="240" w:lineRule="auto"/>
              <w:rPr>
                <w:b/>
              </w:rPr>
            </w:pPr>
            <w:r w:rsidRPr="00A13987">
              <w:rPr>
                <w:b/>
              </w:rPr>
              <w:t>Jan 15-18</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646FB9" w:rsidRDefault="0008473C" w:rsidP="002F01FA">
            <w:pPr>
              <w:spacing w:before="60" w:after="60" w:line="240" w:lineRule="auto"/>
            </w:pPr>
            <w:r w:rsidRPr="00646FB9">
              <w:t>Dubai (UAE)</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646FB9" w:rsidRDefault="0008473C" w:rsidP="002F01FA">
            <w:pPr>
              <w:spacing w:before="60" w:after="60" w:line="240" w:lineRule="auto"/>
            </w:pPr>
            <w:r w:rsidRPr="00646FB9">
              <w:t>COP13 preparation: First meeting in Dubai to discuss preparations for COP13, e.g. visit the proposed venue and hotel, make progress with the MoU etc.</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646FB9" w:rsidRDefault="0008473C" w:rsidP="002F01FA">
            <w:pPr>
              <w:spacing w:before="60" w:after="60" w:line="240" w:lineRule="auto"/>
            </w:pPr>
            <w:r w:rsidRPr="00884D79">
              <w:t>CHF 1,300</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A13987" w:rsidRDefault="0008473C" w:rsidP="002F01FA">
            <w:pPr>
              <w:spacing w:before="60" w:after="60" w:line="240" w:lineRule="auto"/>
              <w:rPr>
                <w:b/>
              </w:rPr>
            </w:pPr>
            <w:r w:rsidRPr="00A13987">
              <w:rPr>
                <w:b/>
              </w:rPr>
              <w:t>Jan 19-22</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536A62" w:rsidRDefault="0008473C" w:rsidP="002F01FA">
            <w:pPr>
              <w:spacing w:before="60" w:after="60" w:line="240" w:lineRule="auto"/>
            </w:pPr>
            <w:r w:rsidRPr="00536A62">
              <w:t xml:space="preserve">Cambridge (UK) </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536A62" w:rsidRDefault="0008473C" w:rsidP="002F01FA">
            <w:pPr>
              <w:spacing w:before="60" w:after="60" w:line="240" w:lineRule="auto"/>
            </w:pPr>
            <w:r w:rsidRPr="00536A62">
              <w:t>First meeting of the IUCN Task Force on “other effective area-</w:t>
            </w:r>
            <w:r w:rsidRPr="00536A62">
              <w:lastRenderedPageBreak/>
              <w:t xml:space="preserve">based conservation measures” (OECMs): The aims was to help frame the core questions and areas for further consideration prior to providing guidance to CBD about the interpretation and application of OECMs. People have stressed the importance of OECMs to the Ramsar Convention as Ramsar Sites do not always meet the IUCN definition of a protected area.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rsidRPr="00536A62">
              <w:lastRenderedPageBreak/>
              <w:t>CHF 400</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A13987" w:rsidRDefault="0008473C" w:rsidP="002F01FA">
            <w:pPr>
              <w:spacing w:before="60" w:after="60" w:line="240" w:lineRule="auto"/>
              <w:rPr>
                <w:b/>
              </w:rPr>
            </w:pPr>
            <w:r w:rsidRPr="00A13987">
              <w:rPr>
                <w:b/>
              </w:rPr>
              <w:lastRenderedPageBreak/>
              <w:t>Jan 30 to Feb 5</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C7740B" w:rsidRDefault="0008473C" w:rsidP="002F01FA">
            <w:pPr>
              <w:spacing w:before="60" w:after="60" w:line="240" w:lineRule="auto"/>
            </w:pPr>
            <w:r w:rsidRPr="00C7740B">
              <w:t>Pokhara (Nepal)</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C7740B" w:rsidRDefault="0008473C" w:rsidP="002F01FA">
            <w:pPr>
              <w:spacing w:before="60" w:after="60" w:line="240" w:lineRule="auto"/>
            </w:pPr>
            <w:r w:rsidRPr="00C7740B">
              <w:t xml:space="preserve">WWD </w:t>
            </w:r>
            <w:r>
              <w:t xml:space="preserve">2016 </w:t>
            </w:r>
            <w:r w:rsidRPr="00C7740B">
              <w:t>celebrations: Celebration of the designation of the Lake-Cluster of Pokhara Valley Ramsar Site and meeting with the International Centre for Integrated Mountain Development (ICIMOD) concerning cooperation on wetlands in the Hindu Kush-Himalaya region.</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rsidRPr="00C7740B">
              <w:t>CHF</w:t>
            </w:r>
            <w:r>
              <w:t xml:space="preserve"> </w:t>
            </w:r>
            <w:r w:rsidRPr="00C7740B">
              <w:t>1,300</w:t>
            </w:r>
          </w:p>
        </w:tc>
      </w:tr>
      <w:tr w:rsidR="0008473C" w:rsidTr="002F01FA">
        <w:tc>
          <w:tcPr>
            <w:tcW w:w="142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rsidR="0008473C" w:rsidRPr="00A13987" w:rsidRDefault="0008473C" w:rsidP="002F01FA">
            <w:pPr>
              <w:spacing w:before="60" w:after="60" w:line="240" w:lineRule="auto"/>
              <w:rPr>
                <w:b/>
              </w:rPr>
            </w:pPr>
            <w:r w:rsidRPr="00A13987">
              <w:rPr>
                <w:b/>
              </w:rPr>
              <w:t>Tobias Salathe, Senior Advisor, Europe</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A13987" w:rsidRDefault="0008473C" w:rsidP="002F01FA">
            <w:pPr>
              <w:spacing w:before="60" w:after="60" w:line="240" w:lineRule="auto"/>
              <w:rPr>
                <w:b/>
              </w:rPr>
            </w:pPr>
            <w:r w:rsidRPr="00A13987">
              <w:rPr>
                <w:b/>
              </w:rPr>
              <w:t>1-2 Dec 2015</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rsidRPr="00DD284F">
              <w:t>Paris</w:t>
            </w:r>
            <w:r>
              <w:t>,</w:t>
            </w:r>
            <w:r w:rsidRPr="00DD284F">
              <w:t xml:space="preserve"> COP21</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t>P</w:t>
            </w:r>
            <w:r w:rsidRPr="00DD284F">
              <w:t xml:space="preserve">articipate in 2 peatland side-events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t xml:space="preserve">CHF 795 </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A13987" w:rsidRDefault="0008473C" w:rsidP="002F01FA">
            <w:pPr>
              <w:spacing w:before="60" w:after="60" w:line="240" w:lineRule="auto"/>
              <w:rPr>
                <w:b/>
              </w:rPr>
            </w:pPr>
            <w:r w:rsidRPr="00A13987">
              <w:rPr>
                <w:b/>
              </w:rPr>
              <w:t>1-3 Feb 2016</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rsidRPr="00DD284F">
              <w:t>Brest</w:t>
            </w:r>
            <w:r>
              <w:t>, France</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t>P</w:t>
            </w:r>
            <w:r w:rsidRPr="00DD284F">
              <w:t xml:space="preserve">articipate in French national launch of WWD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t>CHF 691</w:t>
            </w:r>
          </w:p>
        </w:tc>
      </w:tr>
      <w:tr w:rsidR="0008473C" w:rsidTr="002F01FA">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Pr="00A13987" w:rsidRDefault="0008473C" w:rsidP="002F01FA">
            <w:pPr>
              <w:spacing w:before="60" w:after="60" w:line="240" w:lineRule="auto"/>
              <w:rPr>
                <w:b/>
              </w:rPr>
            </w:pPr>
            <w:r w:rsidRPr="00A13987">
              <w:rPr>
                <w:b/>
              </w:rPr>
              <w:t>7-12 Feb 2016</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rsidRPr="00FD18B3">
              <w:t>Paris</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t>P</w:t>
            </w:r>
            <w:r w:rsidRPr="00FD18B3">
              <w:t xml:space="preserve">articipate in MedWet/Com12 governing meeting of the Mediterranean Wetlands Initiative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473C" w:rsidRDefault="0008473C" w:rsidP="002F01FA">
            <w:pPr>
              <w:spacing w:before="60" w:after="60" w:line="240" w:lineRule="auto"/>
            </w:pPr>
            <w:r>
              <w:t>CHF 931</w:t>
            </w:r>
          </w:p>
        </w:tc>
      </w:tr>
    </w:tbl>
    <w:p w:rsidR="00B57F72" w:rsidRPr="003B529A" w:rsidRDefault="00B57F72" w:rsidP="00D60A2F">
      <w:pPr>
        <w:spacing w:after="0" w:line="240" w:lineRule="auto"/>
        <w:rPr>
          <w:rFonts w:ascii="Calibri" w:hAnsi="Calibri" w:cs="Calibri"/>
          <w:b/>
        </w:rPr>
      </w:pPr>
    </w:p>
    <w:sectPr w:rsidR="00B57F72" w:rsidRPr="003B529A" w:rsidSect="00337B8E">
      <w:footerReference w:type="default" r:id="rId15"/>
      <w:footerReference w:type="first" r:id="rId1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F1" w:rsidRDefault="00B600F1" w:rsidP="00383692">
      <w:pPr>
        <w:spacing w:after="0" w:line="240" w:lineRule="auto"/>
      </w:pPr>
      <w:r>
        <w:separator/>
      </w:r>
    </w:p>
  </w:endnote>
  <w:endnote w:type="continuationSeparator" w:id="0">
    <w:p w:rsidR="00B600F1" w:rsidRDefault="00B600F1" w:rsidP="0038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5F" w:rsidRDefault="004A0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423876270"/>
      <w:docPartObj>
        <w:docPartGallery w:val="Page Numbers (Bottom of Page)"/>
        <w:docPartUnique/>
      </w:docPartObj>
    </w:sdtPr>
    <w:sdtEndPr/>
    <w:sdtContent>
      <w:p w:rsidR="00B600F1" w:rsidRPr="00EE7940" w:rsidRDefault="00B600F1" w:rsidP="00FB4C67">
        <w:pPr>
          <w:pStyle w:val="Footer"/>
          <w:tabs>
            <w:tab w:val="clear" w:pos="9026"/>
            <w:tab w:val="right" w:pos="9072"/>
          </w:tabs>
          <w:rPr>
            <w:rFonts w:asciiTheme="minorHAnsi" w:hAnsiTheme="minorHAnsi"/>
            <w:sz w:val="20"/>
            <w:szCs w:val="20"/>
          </w:rPr>
        </w:pPr>
        <w:r w:rsidRPr="00FB4C67">
          <w:rPr>
            <w:rFonts w:asciiTheme="minorHAnsi" w:hAnsiTheme="minorHAnsi"/>
            <w:sz w:val="20"/>
            <w:szCs w:val="20"/>
          </w:rPr>
          <w:t>SC52-04</w:t>
        </w:r>
        <w:r>
          <w:rPr>
            <w:rFonts w:asciiTheme="minorHAnsi" w:hAnsiTheme="minorHAnsi"/>
            <w:sz w:val="20"/>
            <w:szCs w:val="20"/>
          </w:rPr>
          <w:t xml:space="preserve"> Rev.2</w:t>
        </w:r>
        <w:r w:rsidRPr="00FB4C67">
          <w:rPr>
            <w:rFonts w:asciiTheme="minorHAnsi" w:hAnsiTheme="minorHAnsi"/>
            <w:sz w:val="20"/>
            <w:szCs w:val="20"/>
          </w:rPr>
          <w:tab/>
        </w:r>
        <w:r w:rsidRPr="00FB4C67">
          <w:rPr>
            <w:rFonts w:asciiTheme="minorHAnsi" w:hAnsiTheme="minorHAnsi"/>
            <w:sz w:val="20"/>
            <w:szCs w:val="20"/>
          </w:rPr>
          <w:tab/>
        </w:r>
        <w:r w:rsidRPr="00FB4C67">
          <w:rPr>
            <w:rFonts w:asciiTheme="minorHAnsi" w:hAnsiTheme="minorHAnsi"/>
            <w:sz w:val="20"/>
            <w:szCs w:val="20"/>
          </w:rPr>
          <w:fldChar w:fldCharType="begin"/>
        </w:r>
        <w:r w:rsidRPr="00FB4C67">
          <w:rPr>
            <w:rFonts w:asciiTheme="minorHAnsi" w:hAnsiTheme="minorHAnsi"/>
            <w:sz w:val="20"/>
            <w:szCs w:val="20"/>
          </w:rPr>
          <w:instrText xml:space="preserve"> PAGE   \* MERGEFORMAT </w:instrText>
        </w:r>
        <w:r w:rsidRPr="00FB4C67">
          <w:rPr>
            <w:rFonts w:asciiTheme="minorHAnsi" w:hAnsiTheme="minorHAnsi"/>
            <w:sz w:val="20"/>
            <w:szCs w:val="20"/>
          </w:rPr>
          <w:fldChar w:fldCharType="separate"/>
        </w:r>
        <w:r w:rsidR="004A055F">
          <w:rPr>
            <w:rFonts w:asciiTheme="minorHAnsi" w:hAnsiTheme="minorHAnsi"/>
            <w:noProof/>
            <w:sz w:val="20"/>
            <w:szCs w:val="20"/>
          </w:rPr>
          <w:t>6</w:t>
        </w:r>
        <w:r w:rsidRPr="00FB4C67">
          <w:rPr>
            <w:rFonts w:asciiTheme="minorHAnsi" w:hAnsiTheme="minorHAnsi"/>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5F" w:rsidRDefault="004A05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81257298"/>
      <w:docPartObj>
        <w:docPartGallery w:val="Page Numbers (Bottom of Page)"/>
        <w:docPartUnique/>
      </w:docPartObj>
    </w:sdtPr>
    <w:sdtEndPr/>
    <w:sdtContent>
      <w:p w:rsidR="00B600F1" w:rsidRPr="00EE7940" w:rsidRDefault="00B600F1" w:rsidP="00FB4C67">
        <w:pPr>
          <w:pStyle w:val="Footer"/>
          <w:tabs>
            <w:tab w:val="clear" w:pos="9026"/>
            <w:tab w:val="right" w:pos="13892"/>
          </w:tabs>
          <w:rPr>
            <w:rFonts w:asciiTheme="minorHAnsi" w:hAnsiTheme="minorHAnsi"/>
            <w:sz w:val="20"/>
            <w:szCs w:val="20"/>
          </w:rPr>
        </w:pPr>
        <w:r w:rsidRPr="00FB4C67">
          <w:rPr>
            <w:rFonts w:asciiTheme="minorHAnsi" w:hAnsiTheme="minorHAnsi"/>
            <w:sz w:val="20"/>
            <w:szCs w:val="20"/>
          </w:rPr>
          <w:t>SC52-04</w:t>
        </w:r>
        <w:r w:rsidR="00774AA1">
          <w:rPr>
            <w:rFonts w:asciiTheme="minorHAnsi" w:hAnsiTheme="minorHAnsi"/>
            <w:sz w:val="20"/>
            <w:szCs w:val="20"/>
          </w:rPr>
          <w:t xml:space="preserve"> Rev.2</w:t>
        </w:r>
        <w:r w:rsidRPr="00FB4C67">
          <w:rPr>
            <w:rFonts w:asciiTheme="minorHAnsi" w:hAnsiTheme="minorHAnsi"/>
            <w:sz w:val="20"/>
            <w:szCs w:val="20"/>
          </w:rPr>
          <w:tab/>
        </w:r>
        <w:r w:rsidRPr="00FB4C67">
          <w:rPr>
            <w:rFonts w:asciiTheme="minorHAnsi" w:hAnsiTheme="minorHAnsi"/>
            <w:sz w:val="20"/>
            <w:szCs w:val="20"/>
          </w:rPr>
          <w:tab/>
        </w:r>
        <w:r w:rsidRPr="00FB4C67">
          <w:rPr>
            <w:rFonts w:asciiTheme="minorHAnsi" w:hAnsiTheme="minorHAnsi"/>
            <w:sz w:val="20"/>
            <w:szCs w:val="20"/>
          </w:rPr>
          <w:fldChar w:fldCharType="begin"/>
        </w:r>
        <w:r w:rsidRPr="00FB4C67">
          <w:rPr>
            <w:rFonts w:asciiTheme="minorHAnsi" w:hAnsiTheme="minorHAnsi"/>
            <w:sz w:val="20"/>
            <w:szCs w:val="20"/>
          </w:rPr>
          <w:instrText xml:space="preserve"> PAGE   \* MERGEFORMAT </w:instrText>
        </w:r>
        <w:r w:rsidRPr="00FB4C67">
          <w:rPr>
            <w:rFonts w:asciiTheme="minorHAnsi" w:hAnsiTheme="minorHAnsi"/>
            <w:sz w:val="20"/>
            <w:szCs w:val="20"/>
          </w:rPr>
          <w:fldChar w:fldCharType="separate"/>
        </w:r>
        <w:r w:rsidR="004A055F">
          <w:rPr>
            <w:rFonts w:asciiTheme="minorHAnsi" w:hAnsiTheme="minorHAnsi"/>
            <w:noProof/>
            <w:sz w:val="20"/>
            <w:szCs w:val="20"/>
          </w:rPr>
          <w:t>8</w:t>
        </w:r>
        <w:r w:rsidRPr="00FB4C67">
          <w:rPr>
            <w:rFonts w:asciiTheme="minorHAnsi" w:hAnsiTheme="minorHAnsi"/>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894731437"/>
      <w:docPartObj>
        <w:docPartGallery w:val="Page Numbers (Bottom of Page)"/>
        <w:docPartUnique/>
      </w:docPartObj>
    </w:sdtPr>
    <w:sdtEndPr/>
    <w:sdtContent>
      <w:p w:rsidR="00B600F1" w:rsidRPr="00FB4C67" w:rsidRDefault="00B600F1" w:rsidP="00FB4C67">
        <w:pPr>
          <w:pStyle w:val="Footer"/>
          <w:tabs>
            <w:tab w:val="clear" w:pos="9026"/>
            <w:tab w:val="right" w:pos="13892"/>
          </w:tabs>
          <w:rPr>
            <w:rFonts w:asciiTheme="minorHAnsi" w:hAnsiTheme="minorHAnsi"/>
            <w:sz w:val="20"/>
            <w:szCs w:val="20"/>
          </w:rPr>
        </w:pPr>
        <w:r w:rsidRPr="00FB4C67">
          <w:rPr>
            <w:rFonts w:asciiTheme="minorHAnsi" w:hAnsiTheme="minorHAnsi"/>
            <w:sz w:val="20"/>
            <w:szCs w:val="20"/>
          </w:rPr>
          <w:t>SC52-04</w:t>
        </w:r>
        <w:r w:rsidR="004A055F">
          <w:rPr>
            <w:rFonts w:asciiTheme="minorHAnsi" w:hAnsiTheme="minorHAnsi"/>
            <w:sz w:val="20"/>
            <w:szCs w:val="20"/>
          </w:rPr>
          <w:t xml:space="preserve"> </w:t>
        </w:r>
        <w:r w:rsidR="004A055F" w:rsidRPr="004A055F">
          <w:rPr>
            <w:rFonts w:asciiTheme="minorHAnsi" w:hAnsiTheme="minorHAnsi"/>
            <w:sz w:val="20"/>
            <w:szCs w:val="20"/>
          </w:rPr>
          <w:t>Rev.2</w:t>
        </w:r>
        <w:bookmarkStart w:id="0" w:name="_GoBack"/>
        <w:bookmarkEnd w:id="0"/>
        <w:r w:rsidRPr="00FB4C67">
          <w:rPr>
            <w:rFonts w:asciiTheme="minorHAnsi" w:hAnsiTheme="minorHAnsi"/>
            <w:sz w:val="20"/>
            <w:szCs w:val="20"/>
          </w:rPr>
          <w:tab/>
        </w:r>
        <w:r w:rsidRPr="00FB4C67">
          <w:rPr>
            <w:rFonts w:asciiTheme="minorHAnsi" w:hAnsiTheme="minorHAnsi"/>
            <w:sz w:val="20"/>
            <w:szCs w:val="20"/>
          </w:rPr>
          <w:tab/>
        </w:r>
        <w:r w:rsidRPr="00FB4C67">
          <w:rPr>
            <w:rFonts w:asciiTheme="minorHAnsi" w:hAnsiTheme="minorHAnsi"/>
            <w:sz w:val="20"/>
            <w:szCs w:val="20"/>
          </w:rPr>
          <w:fldChar w:fldCharType="begin"/>
        </w:r>
        <w:r w:rsidRPr="00FB4C67">
          <w:rPr>
            <w:rFonts w:asciiTheme="minorHAnsi" w:hAnsiTheme="minorHAnsi"/>
            <w:sz w:val="20"/>
            <w:szCs w:val="20"/>
          </w:rPr>
          <w:instrText xml:space="preserve"> PAGE   \* MERGEFORMAT </w:instrText>
        </w:r>
        <w:r w:rsidRPr="00FB4C67">
          <w:rPr>
            <w:rFonts w:asciiTheme="minorHAnsi" w:hAnsiTheme="minorHAnsi"/>
            <w:sz w:val="20"/>
            <w:szCs w:val="20"/>
          </w:rPr>
          <w:fldChar w:fldCharType="separate"/>
        </w:r>
        <w:r w:rsidR="004A055F">
          <w:rPr>
            <w:rFonts w:asciiTheme="minorHAnsi" w:hAnsiTheme="minorHAnsi"/>
            <w:noProof/>
            <w:sz w:val="20"/>
            <w:szCs w:val="20"/>
          </w:rPr>
          <w:t>7</w:t>
        </w:r>
        <w:r w:rsidRPr="00FB4C67">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F1" w:rsidRDefault="00B600F1" w:rsidP="00383692">
      <w:pPr>
        <w:spacing w:after="0" w:line="240" w:lineRule="auto"/>
      </w:pPr>
      <w:r>
        <w:separator/>
      </w:r>
    </w:p>
  </w:footnote>
  <w:footnote w:type="continuationSeparator" w:id="0">
    <w:p w:rsidR="00B600F1" w:rsidRDefault="00B600F1" w:rsidP="00383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5F" w:rsidRDefault="004A0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5F" w:rsidRDefault="004A0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5F" w:rsidRDefault="004A0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BB4"/>
    <w:multiLevelType w:val="hybridMultilevel"/>
    <w:tmpl w:val="ECD8DC7A"/>
    <w:lvl w:ilvl="0" w:tplc="12A6D5D2">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AB0D3A"/>
    <w:multiLevelType w:val="multilevel"/>
    <w:tmpl w:val="3E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76EFA"/>
    <w:multiLevelType w:val="hybridMultilevel"/>
    <w:tmpl w:val="87D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E150F"/>
    <w:multiLevelType w:val="hybridMultilevel"/>
    <w:tmpl w:val="06AA12CE"/>
    <w:lvl w:ilvl="0" w:tplc="CEA08A28">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1B79D3"/>
    <w:multiLevelType w:val="hybridMultilevel"/>
    <w:tmpl w:val="B9E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275C6F"/>
    <w:multiLevelType w:val="hybridMultilevel"/>
    <w:tmpl w:val="7A78E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0C426F50"/>
    <w:multiLevelType w:val="hybridMultilevel"/>
    <w:tmpl w:val="C1F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A14014"/>
    <w:multiLevelType w:val="hybridMultilevel"/>
    <w:tmpl w:val="06D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4517A3"/>
    <w:multiLevelType w:val="multilevel"/>
    <w:tmpl w:val="1C2E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B3F8F"/>
    <w:multiLevelType w:val="hybridMultilevel"/>
    <w:tmpl w:val="1D2C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28310CCA"/>
    <w:multiLevelType w:val="hybridMultilevel"/>
    <w:tmpl w:val="F59A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251868"/>
    <w:multiLevelType w:val="hybridMultilevel"/>
    <w:tmpl w:val="0D4C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AD4236"/>
    <w:multiLevelType w:val="hybridMultilevel"/>
    <w:tmpl w:val="A3FC913C"/>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EC711D7"/>
    <w:multiLevelType w:val="hybridMultilevel"/>
    <w:tmpl w:val="3826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C2122A"/>
    <w:multiLevelType w:val="hybridMultilevel"/>
    <w:tmpl w:val="2E5C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7A7B86"/>
    <w:multiLevelType w:val="hybridMultilevel"/>
    <w:tmpl w:val="6CE651F4"/>
    <w:lvl w:ilvl="0" w:tplc="EF482DC6">
      <w:start w:val="1"/>
      <w:numFmt w:val="decimal"/>
      <w:lvlText w:val="%1."/>
      <w:lvlJc w:val="left"/>
      <w:pPr>
        <w:ind w:left="1080" w:hanging="720"/>
      </w:pPr>
      <w:rPr>
        <w:rFonts w:ascii="Garamond" w:hAnsi="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8E1013"/>
    <w:multiLevelType w:val="hybridMultilevel"/>
    <w:tmpl w:val="C65C2B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nsid w:val="438C155A"/>
    <w:multiLevelType w:val="hybridMultilevel"/>
    <w:tmpl w:val="90D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602D89"/>
    <w:multiLevelType w:val="hybridMultilevel"/>
    <w:tmpl w:val="582AA2F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49E05D88"/>
    <w:multiLevelType w:val="hybridMultilevel"/>
    <w:tmpl w:val="0A5C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903D38"/>
    <w:multiLevelType w:val="multilevel"/>
    <w:tmpl w:val="9F5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AE080F"/>
    <w:multiLevelType w:val="hybridMultilevel"/>
    <w:tmpl w:val="B05E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935269"/>
    <w:multiLevelType w:val="hybridMultilevel"/>
    <w:tmpl w:val="BB02CB1A"/>
    <w:lvl w:ilvl="0" w:tplc="BB681F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BF2134"/>
    <w:multiLevelType w:val="hybridMultilevel"/>
    <w:tmpl w:val="F774E6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9C6C42"/>
    <w:multiLevelType w:val="hybridMultilevel"/>
    <w:tmpl w:val="54AEFF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B32848"/>
    <w:multiLevelType w:val="hybridMultilevel"/>
    <w:tmpl w:val="392489D4"/>
    <w:lvl w:ilvl="0" w:tplc="12A6D5D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9C20933"/>
    <w:multiLevelType w:val="hybridMultilevel"/>
    <w:tmpl w:val="54A817C4"/>
    <w:lvl w:ilvl="0" w:tplc="BB681F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935187"/>
    <w:multiLevelType w:val="hybridMultilevel"/>
    <w:tmpl w:val="8BD8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D372D"/>
    <w:multiLevelType w:val="hybridMultilevel"/>
    <w:tmpl w:val="D5D2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1">
    <w:nsid w:val="7B9B3018"/>
    <w:multiLevelType w:val="multilevel"/>
    <w:tmpl w:val="8B78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D2756B"/>
    <w:multiLevelType w:val="hybridMultilevel"/>
    <w:tmpl w:val="C59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0"/>
  </w:num>
  <w:num w:numId="4">
    <w:abstractNumId w:val="3"/>
  </w:num>
  <w:num w:numId="5">
    <w:abstractNumId w:val="24"/>
  </w:num>
  <w:num w:numId="6">
    <w:abstractNumId w:val="29"/>
  </w:num>
  <w:num w:numId="7">
    <w:abstractNumId w:val="4"/>
  </w:num>
  <w:num w:numId="8">
    <w:abstractNumId w:val="1"/>
  </w:num>
  <w:num w:numId="9">
    <w:abstractNumId w:val="13"/>
  </w:num>
  <w:num w:numId="10">
    <w:abstractNumId w:val="14"/>
  </w:num>
  <w:num w:numId="11">
    <w:abstractNumId w:val="6"/>
  </w:num>
  <w:num w:numId="12">
    <w:abstractNumId w:val="19"/>
  </w:num>
  <w:num w:numId="13">
    <w:abstractNumId w:val="17"/>
  </w:num>
  <w:num w:numId="14">
    <w:abstractNumId w:val="9"/>
  </w:num>
  <w:num w:numId="15">
    <w:abstractNumId w:val="7"/>
  </w:num>
  <w:num w:numId="16">
    <w:abstractNumId w:val="21"/>
  </w:num>
  <w:num w:numId="17">
    <w:abstractNumId w:val="2"/>
  </w:num>
  <w:num w:numId="18">
    <w:abstractNumId w:val="32"/>
  </w:num>
  <w:num w:numId="19">
    <w:abstractNumId w:val="23"/>
  </w:num>
  <w:num w:numId="20">
    <w:abstractNumId w:val="27"/>
  </w:num>
  <w:num w:numId="21">
    <w:abstractNumId w:val="22"/>
  </w:num>
  <w:num w:numId="22">
    <w:abstractNumId w:val="18"/>
  </w:num>
  <w:num w:numId="23">
    <w:abstractNumId w:val="12"/>
  </w:num>
  <w:num w:numId="24">
    <w:abstractNumId w:val="10"/>
  </w:num>
  <w:num w:numId="25">
    <w:abstractNumId w:val="25"/>
  </w:num>
  <w:num w:numId="26">
    <w:abstractNumId w:val="5"/>
  </w:num>
  <w:num w:numId="27">
    <w:abstractNumId w:val="31"/>
  </w:num>
  <w:num w:numId="28">
    <w:abstractNumId w:val="20"/>
  </w:num>
  <w:num w:numId="29">
    <w:abstractNumId w:val="8"/>
  </w:num>
  <w:num w:numId="30">
    <w:abstractNumId w:val="16"/>
  </w:num>
  <w:num w:numId="31">
    <w:abstractNumId w:val="26"/>
  </w:num>
  <w:num w:numId="32">
    <w:abstractNumId w:val="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04F1A"/>
    <w:rsid w:val="0002346C"/>
    <w:rsid w:val="0006301F"/>
    <w:rsid w:val="0008473C"/>
    <w:rsid w:val="000D1C4D"/>
    <w:rsid w:val="000F365F"/>
    <w:rsid w:val="001006BC"/>
    <w:rsid w:val="00102E4B"/>
    <w:rsid w:val="00105F57"/>
    <w:rsid w:val="00110964"/>
    <w:rsid w:val="0012096C"/>
    <w:rsid w:val="00135003"/>
    <w:rsid w:val="001508DF"/>
    <w:rsid w:val="001527D9"/>
    <w:rsid w:val="0015641E"/>
    <w:rsid w:val="001662E9"/>
    <w:rsid w:val="0019027C"/>
    <w:rsid w:val="001917EA"/>
    <w:rsid w:val="00193687"/>
    <w:rsid w:val="001D3D46"/>
    <w:rsid w:val="002102D0"/>
    <w:rsid w:val="00211B51"/>
    <w:rsid w:val="0021237D"/>
    <w:rsid w:val="0029353C"/>
    <w:rsid w:val="00295556"/>
    <w:rsid w:val="002A0365"/>
    <w:rsid w:val="002A2B75"/>
    <w:rsid w:val="002C23A0"/>
    <w:rsid w:val="002F01FA"/>
    <w:rsid w:val="00310169"/>
    <w:rsid w:val="00311869"/>
    <w:rsid w:val="00327D59"/>
    <w:rsid w:val="00337B8E"/>
    <w:rsid w:val="003507B8"/>
    <w:rsid w:val="00383692"/>
    <w:rsid w:val="003B529A"/>
    <w:rsid w:val="003C75F6"/>
    <w:rsid w:val="003D1B6E"/>
    <w:rsid w:val="003D1DE3"/>
    <w:rsid w:val="003D1F56"/>
    <w:rsid w:val="003F21D2"/>
    <w:rsid w:val="00402A02"/>
    <w:rsid w:val="00417846"/>
    <w:rsid w:val="00457A5A"/>
    <w:rsid w:val="0046477B"/>
    <w:rsid w:val="004661E6"/>
    <w:rsid w:val="00497C4C"/>
    <w:rsid w:val="004A055F"/>
    <w:rsid w:val="00503792"/>
    <w:rsid w:val="00505ADE"/>
    <w:rsid w:val="00521719"/>
    <w:rsid w:val="00521725"/>
    <w:rsid w:val="0052719A"/>
    <w:rsid w:val="00527783"/>
    <w:rsid w:val="005506A4"/>
    <w:rsid w:val="00557983"/>
    <w:rsid w:val="00557D21"/>
    <w:rsid w:val="00577296"/>
    <w:rsid w:val="005F5222"/>
    <w:rsid w:val="006208A6"/>
    <w:rsid w:val="00623E8A"/>
    <w:rsid w:val="00636075"/>
    <w:rsid w:val="00644D66"/>
    <w:rsid w:val="00670A3E"/>
    <w:rsid w:val="00676698"/>
    <w:rsid w:val="00682FD4"/>
    <w:rsid w:val="006C363E"/>
    <w:rsid w:val="006F6A49"/>
    <w:rsid w:val="00716C24"/>
    <w:rsid w:val="00727101"/>
    <w:rsid w:val="0074721D"/>
    <w:rsid w:val="00755CA4"/>
    <w:rsid w:val="00774AA1"/>
    <w:rsid w:val="00786C53"/>
    <w:rsid w:val="00794F0F"/>
    <w:rsid w:val="007C3A8E"/>
    <w:rsid w:val="007C77C3"/>
    <w:rsid w:val="007E3774"/>
    <w:rsid w:val="00802282"/>
    <w:rsid w:val="0080541F"/>
    <w:rsid w:val="00861F80"/>
    <w:rsid w:val="0088674F"/>
    <w:rsid w:val="00887D2F"/>
    <w:rsid w:val="008918A9"/>
    <w:rsid w:val="008A5191"/>
    <w:rsid w:val="008B3F8C"/>
    <w:rsid w:val="008D5216"/>
    <w:rsid w:val="008E7FD0"/>
    <w:rsid w:val="009050AD"/>
    <w:rsid w:val="00946F3A"/>
    <w:rsid w:val="009B6476"/>
    <w:rsid w:val="00A13987"/>
    <w:rsid w:val="00A74DAC"/>
    <w:rsid w:val="00AA6047"/>
    <w:rsid w:val="00AB725D"/>
    <w:rsid w:val="00AC3CE5"/>
    <w:rsid w:val="00AF71F1"/>
    <w:rsid w:val="00B07D73"/>
    <w:rsid w:val="00B1087F"/>
    <w:rsid w:val="00B44B7B"/>
    <w:rsid w:val="00B46D79"/>
    <w:rsid w:val="00B47A61"/>
    <w:rsid w:val="00B57F72"/>
    <w:rsid w:val="00B600F1"/>
    <w:rsid w:val="00B82196"/>
    <w:rsid w:val="00BB0CE9"/>
    <w:rsid w:val="00BB4F06"/>
    <w:rsid w:val="00BD61BC"/>
    <w:rsid w:val="00BD6F40"/>
    <w:rsid w:val="00BE6581"/>
    <w:rsid w:val="00C01D41"/>
    <w:rsid w:val="00C12BE1"/>
    <w:rsid w:val="00CC5D48"/>
    <w:rsid w:val="00CC6456"/>
    <w:rsid w:val="00CE1816"/>
    <w:rsid w:val="00CE29F2"/>
    <w:rsid w:val="00D1668F"/>
    <w:rsid w:val="00D20BF1"/>
    <w:rsid w:val="00D52393"/>
    <w:rsid w:val="00D52E1E"/>
    <w:rsid w:val="00D541EF"/>
    <w:rsid w:val="00D60A2F"/>
    <w:rsid w:val="00D77A81"/>
    <w:rsid w:val="00D83D95"/>
    <w:rsid w:val="00DA6A6C"/>
    <w:rsid w:val="00DB00A4"/>
    <w:rsid w:val="00DD025C"/>
    <w:rsid w:val="00DF650D"/>
    <w:rsid w:val="00E023A1"/>
    <w:rsid w:val="00E30647"/>
    <w:rsid w:val="00E36EB6"/>
    <w:rsid w:val="00E67057"/>
    <w:rsid w:val="00E67B17"/>
    <w:rsid w:val="00E85767"/>
    <w:rsid w:val="00EC04D2"/>
    <w:rsid w:val="00EC180F"/>
    <w:rsid w:val="00EE7940"/>
    <w:rsid w:val="00EF7348"/>
    <w:rsid w:val="00F03B73"/>
    <w:rsid w:val="00F06A5D"/>
    <w:rsid w:val="00F2326A"/>
    <w:rsid w:val="00F32212"/>
    <w:rsid w:val="00FB4C67"/>
    <w:rsid w:val="00FE6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paragraph" w:styleId="Heading2">
    <w:name w:val="heading 2"/>
    <w:basedOn w:val="Normal"/>
    <w:link w:val="Heading2Char"/>
    <w:uiPriority w:val="9"/>
    <w:qFormat/>
    <w:rsid w:val="00D60A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table" w:styleId="TableGrid">
    <w:name w:val="Table Grid"/>
    <w:basedOn w:val="TableNormal"/>
    <w:uiPriority w:val="59"/>
    <w:rsid w:val="008A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60A2F"/>
    <w:rPr>
      <w:rFonts w:ascii="Times New Roman" w:eastAsia="Times New Roman" w:hAnsi="Times New Roman" w:cs="Times New Roman"/>
      <w:b/>
      <w:bCs/>
      <w:sz w:val="36"/>
      <w:szCs w:val="36"/>
      <w:lang w:eastAsia="en-GB"/>
    </w:rPr>
  </w:style>
  <w:style w:type="character" w:customStyle="1" w:styleId="field-content">
    <w:name w:val="field-content"/>
    <w:basedOn w:val="DefaultParagraphFont"/>
    <w:rsid w:val="00D60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paragraph" w:styleId="Heading2">
    <w:name w:val="heading 2"/>
    <w:basedOn w:val="Normal"/>
    <w:link w:val="Heading2Char"/>
    <w:uiPriority w:val="9"/>
    <w:qFormat/>
    <w:rsid w:val="00D60A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table" w:styleId="TableGrid">
    <w:name w:val="Table Grid"/>
    <w:basedOn w:val="TableNormal"/>
    <w:uiPriority w:val="59"/>
    <w:rsid w:val="008A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60A2F"/>
    <w:rPr>
      <w:rFonts w:ascii="Times New Roman" w:eastAsia="Times New Roman" w:hAnsi="Times New Roman" w:cs="Times New Roman"/>
      <w:b/>
      <w:bCs/>
      <w:sz w:val="36"/>
      <w:szCs w:val="36"/>
      <w:lang w:eastAsia="en-GB"/>
    </w:rPr>
  </w:style>
  <w:style w:type="character" w:customStyle="1" w:styleId="field-content">
    <w:name w:val="field-content"/>
    <w:basedOn w:val="DefaultParagraphFont"/>
    <w:rsid w:val="00D60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7686">
      <w:bodyDiv w:val="1"/>
      <w:marLeft w:val="0"/>
      <w:marRight w:val="0"/>
      <w:marTop w:val="0"/>
      <w:marBottom w:val="0"/>
      <w:divBdr>
        <w:top w:val="none" w:sz="0" w:space="0" w:color="auto"/>
        <w:left w:val="none" w:sz="0" w:space="0" w:color="auto"/>
        <w:bottom w:val="none" w:sz="0" w:space="0" w:color="auto"/>
        <w:right w:val="none" w:sz="0" w:space="0" w:color="auto"/>
      </w:divBdr>
      <w:divsChild>
        <w:div w:id="719943864">
          <w:marLeft w:val="0"/>
          <w:marRight w:val="0"/>
          <w:marTop w:val="0"/>
          <w:marBottom w:val="0"/>
          <w:divBdr>
            <w:top w:val="none" w:sz="0" w:space="0" w:color="auto"/>
            <w:left w:val="none" w:sz="0" w:space="0" w:color="auto"/>
            <w:bottom w:val="none" w:sz="0" w:space="0" w:color="auto"/>
            <w:right w:val="none" w:sz="0" w:space="0" w:color="auto"/>
          </w:divBdr>
        </w:div>
        <w:div w:id="1592351615">
          <w:marLeft w:val="0"/>
          <w:marRight w:val="0"/>
          <w:marTop w:val="0"/>
          <w:marBottom w:val="0"/>
          <w:divBdr>
            <w:top w:val="none" w:sz="0" w:space="0" w:color="auto"/>
            <w:left w:val="none" w:sz="0" w:space="0" w:color="auto"/>
            <w:bottom w:val="none" w:sz="0" w:space="0" w:color="auto"/>
            <w:right w:val="none" w:sz="0" w:space="0" w:color="auto"/>
          </w:divBdr>
        </w:div>
        <w:div w:id="722212578">
          <w:marLeft w:val="0"/>
          <w:marRight w:val="0"/>
          <w:marTop w:val="0"/>
          <w:marBottom w:val="0"/>
          <w:divBdr>
            <w:top w:val="none" w:sz="0" w:space="0" w:color="auto"/>
            <w:left w:val="none" w:sz="0" w:space="0" w:color="auto"/>
            <w:bottom w:val="none" w:sz="0" w:space="0" w:color="auto"/>
            <w:right w:val="none" w:sz="0" w:space="0" w:color="auto"/>
          </w:divBdr>
        </w:div>
        <w:div w:id="1083188734">
          <w:marLeft w:val="0"/>
          <w:marRight w:val="0"/>
          <w:marTop w:val="0"/>
          <w:marBottom w:val="0"/>
          <w:divBdr>
            <w:top w:val="none" w:sz="0" w:space="0" w:color="auto"/>
            <w:left w:val="none" w:sz="0" w:space="0" w:color="auto"/>
            <w:bottom w:val="none" w:sz="0" w:space="0" w:color="auto"/>
            <w:right w:val="none" w:sz="0" w:space="0" w:color="auto"/>
          </w:divBdr>
          <w:divsChild>
            <w:div w:id="1935943077">
              <w:marLeft w:val="0"/>
              <w:marRight w:val="0"/>
              <w:marTop w:val="0"/>
              <w:marBottom w:val="0"/>
              <w:divBdr>
                <w:top w:val="none" w:sz="0" w:space="0" w:color="auto"/>
                <w:left w:val="none" w:sz="0" w:space="0" w:color="auto"/>
                <w:bottom w:val="none" w:sz="0" w:space="0" w:color="auto"/>
                <w:right w:val="none" w:sz="0" w:space="0" w:color="auto"/>
              </w:divBdr>
              <w:divsChild>
                <w:div w:id="1174955671">
                  <w:marLeft w:val="0"/>
                  <w:marRight w:val="0"/>
                  <w:marTop w:val="0"/>
                  <w:marBottom w:val="0"/>
                  <w:divBdr>
                    <w:top w:val="none" w:sz="0" w:space="0" w:color="auto"/>
                    <w:left w:val="none" w:sz="0" w:space="0" w:color="auto"/>
                    <w:bottom w:val="none" w:sz="0" w:space="0" w:color="auto"/>
                    <w:right w:val="none" w:sz="0" w:space="0" w:color="auto"/>
                  </w:divBdr>
                  <w:divsChild>
                    <w:div w:id="842472065">
                      <w:marLeft w:val="0"/>
                      <w:marRight w:val="0"/>
                      <w:marTop w:val="0"/>
                      <w:marBottom w:val="0"/>
                      <w:divBdr>
                        <w:top w:val="none" w:sz="0" w:space="0" w:color="auto"/>
                        <w:left w:val="none" w:sz="0" w:space="0" w:color="auto"/>
                        <w:bottom w:val="none" w:sz="0" w:space="0" w:color="auto"/>
                        <w:right w:val="none" w:sz="0" w:space="0" w:color="auto"/>
                      </w:divBdr>
                    </w:div>
                  </w:divsChild>
                </w:div>
                <w:div w:id="268392686">
                  <w:marLeft w:val="0"/>
                  <w:marRight w:val="0"/>
                  <w:marTop w:val="0"/>
                  <w:marBottom w:val="0"/>
                  <w:divBdr>
                    <w:top w:val="none" w:sz="0" w:space="0" w:color="auto"/>
                    <w:left w:val="none" w:sz="0" w:space="0" w:color="auto"/>
                    <w:bottom w:val="none" w:sz="0" w:space="0" w:color="auto"/>
                    <w:right w:val="none" w:sz="0" w:space="0" w:color="auto"/>
                  </w:divBdr>
                  <w:divsChild>
                    <w:div w:id="1384255182">
                      <w:marLeft w:val="0"/>
                      <w:marRight w:val="0"/>
                      <w:marTop w:val="0"/>
                      <w:marBottom w:val="0"/>
                      <w:divBdr>
                        <w:top w:val="none" w:sz="0" w:space="0" w:color="auto"/>
                        <w:left w:val="none" w:sz="0" w:space="0" w:color="auto"/>
                        <w:bottom w:val="none" w:sz="0" w:space="0" w:color="auto"/>
                        <w:right w:val="none" w:sz="0" w:space="0" w:color="auto"/>
                      </w:divBdr>
                    </w:div>
                  </w:divsChild>
                </w:div>
                <w:div w:id="2015836984">
                  <w:marLeft w:val="0"/>
                  <w:marRight w:val="0"/>
                  <w:marTop w:val="0"/>
                  <w:marBottom w:val="0"/>
                  <w:divBdr>
                    <w:top w:val="none" w:sz="0" w:space="0" w:color="auto"/>
                    <w:left w:val="none" w:sz="0" w:space="0" w:color="auto"/>
                    <w:bottom w:val="none" w:sz="0" w:space="0" w:color="auto"/>
                    <w:right w:val="none" w:sz="0" w:space="0" w:color="auto"/>
                  </w:divBdr>
                  <w:divsChild>
                    <w:div w:id="1192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91268">
          <w:marLeft w:val="0"/>
          <w:marRight w:val="0"/>
          <w:marTop w:val="0"/>
          <w:marBottom w:val="0"/>
          <w:divBdr>
            <w:top w:val="none" w:sz="0" w:space="0" w:color="auto"/>
            <w:left w:val="none" w:sz="0" w:space="0" w:color="auto"/>
            <w:bottom w:val="none" w:sz="0" w:space="0" w:color="auto"/>
            <w:right w:val="none" w:sz="0" w:space="0" w:color="auto"/>
          </w:divBdr>
        </w:div>
        <w:div w:id="201596317">
          <w:marLeft w:val="0"/>
          <w:marRight w:val="0"/>
          <w:marTop w:val="0"/>
          <w:marBottom w:val="0"/>
          <w:divBdr>
            <w:top w:val="none" w:sz="0" w:space="0" w:color="auto"/>
            <w:left w:val="none" w:sz="0" w:space="0" w:color="auto"/>
            <w:bottom w:val="none" w:sz="0" w:space="0" w:color="auto"/>
            <w:right w:val="none" w:sz="0" w:space="0" w:color="auto"/>
          </w:divBdr>
        </w:div>
        <w:div w:id="687949978">
          <w:marLeft w:val="0"/>
          <w:marRight w:val="0"/>
          <w:marTop w:val="0"/>
          <w:marBottom w:val="0"/>
          <w:divBdr>
            <w:top w:val="none" w:sz="0" w:space="0" w:color="auto"/>
            <w:left w:val="none" w:sz="0" w:space="0" w:color="auto"/>
            <w:bottom w:val="none" w:sz="0" w:space="0" w:color="auto"/>
            <w:right w:val="none" w:sz="0" w:space="0" w:color="auto"/>
          </w:divBdr>
        </w:div>
        <w:div w:id="1079868868">
          <w:marLeft w:val="0"/>
          <w:marRight w:val="0"/>
          <w:marTop w:val="0"/>
          <w:marBottom w:val="0"/>
          <w:divBdr>
            <w:top w:val="none" w:sz="0" w:space="0" w:color="auto"/>
            <w:left w:val="none" w:sz="0" w:space="0" w:color="auto"/>
            <w:bottom w:val="none" w:sz="0" w:space="0" w:color="auto"/>
            <w:right w:val="none" w:sz="0" w:space="0" w:color="auto"/>
          </w:divBdr>
          <w:divsChild>
            <w:div w:id="1695958042">
              <w:marLeft w:val="0"/>
              <w:marRight w:val="0"/>
              <w:marTop w:val="0"/>
              <w:marBottom w:val="0"/>
              <w:divBdr>
                <w:top w:val="none" w:sz="0" w:space="0" w:color="auto"/>
                <w:left w:val="none" w:sz="0" w:space="0" w:color="auto"/>
                <w:bottom w:val="none" w:sz="0" w:space="0" w:color="auto"/>
                <w:right w:val="none" w:sz="0" w:space="0" w:color="auto"/>
              </w:divBdr>
              <w:divsChild>
                <w:div w:id="1551838114">
                  <w:marLeft w:val="0"/>
                  <w:marRight w:val="0"/>
                  <w:marTop w:val="0"/>
                  <w:marBottom w:val="0"/>
                  <w:divBdr>
                    <w:top w:val="none" w:sz="0" w:space="0" w:color="auto"/>
                    <w:left w:val="none" w:sz="0" w:space="0" w:color="auto"/>
                    <w:bottom w:val="none" w:sz="0" w:space="0" w:color="auto"/>
                    <w:right w:val="none" w:sz="0" w:space="0" w:color="auto"/>
                  </w:divBdr>
                  <w:divsChild>
                    <w:div w:id="401952776">
                      <w:marLeft w:val="0"/>
                      <w:marRight w:val="0"/>
                      <w:marTop w:val="0"/>
                      <w:marBottom w:val="0"/>
                      <w:divBdr>
                        <w:top w:val="none" w:sz="0" w:space="0" w:color="auto"/>
                        <w:left w:val="none" w:sz="0" w:space="0" w:color="auto"/>
                        <w:bottom w:val="none" w:sz="0" w:space="0" w:color="auto"/>
                        <w:right w:val="none" w:sz="0" w:space="0" w:color="auto"/>
                      </w:divBdr>
                    </w:div>
                  </w:divsChild>
                </w:div>
                <w:div w:id="1027948587">
                  <w:marLeft w:val="0"/>
                  <w:marRight w:val="0"/>
                  <w:marTop w:val="0"/>
                  <w:marBottom w:val="0"/>
                  <w:divBdr>
                    <w:top w:val="none" w:sz="0" w:space="0" w:color="auto"/>
                    <w:left w:val="none" w:sz="0" w:space="0" w:color="auto"/>
                    <w:bottom w:val="none" w:sz="0" w:space="0" w:color="auto"/>
                    <w:right w:val="none" w:sz="0" w:space="0" w:color="auto"/>
                  </w:divBdr>
                  <w:divsChild>
                    <w:div w:id="1908606501">
                      <w:marLeft w:val="0"/>
                      <w:marRight w:val="0"/>
                      <w:marTop w:val="0"/>
                      <w:marBottom w:val="0"/>
                      <w:divBdr>
                        <w:top w:val="none" w:sz="0" w:space="0" w:color="auto"/>
                        <w:left w:val="none" w:sz="0" w:space="0" w:color="auto"/>
                        <w:bottom w:val="none" w:sz="0" w:space="0" w:color="auto"/>
                        <w:right w:val="none" w:sz="0" w:space="0" w:color="auto"/>
                      </w:divBdr>
                    </w:div>
                  </w:divsChild>
                </w:div>
                <w:div w:id="569003903">
                  <w:marLeft w:val="0"/>
                  <w:marRight w:val="0"/>
                  <w:marTop w:val="0"/>
                  <w:marBottom w:val="0"/>
                  <w:divBdr>
                    <w:top w:val="none" w:sz="0" w:space="0" w:color="auto"/>
                    <w:left w:val="none" w:sz="0" w:space="0" w:color="auto"/>
                    <w:bottom w:val="none" w:sz="0" w:space="0" w:color="auto"/>
                    <w:right w:val="none" w:sz="0" w:space="0" w:color="auto"/>
                  </w:divBdr>
                  <w:divsChild>
                    <w:div w:id="12786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8693">
          <w:marLeft w:val="0"/>
          <w:marRight w:val="0"/>
          <w:marTop w:val="0"/>
          <w:marBottom w:val="0"/>
          <w:divBdr>
            <w:top w:val="none" w:sz="0" w:space="0" w:color="auto"/>
            <w:left w:val="none" w:sz="0" w:space="0" w:color="auto"/>
            <w:bottom w:val="none" w:sz="0" w:space="0" w:color="auto"/>
            <w:right w:val="none" w:sz="0" w:space="0" w:color="auto"/>
          </w:divBdr>
        </w:div>
        <w:div w:id="938025224">
          <w:marLeft w:val="0"/>
          <w:marRight w:val="0"/>
          <w:marTop w:val="0"/>
          <w:marBottom w:val="0"/>
          <w:divBdr>
            <w:top w:val="none" w:sz="0" w:space="0" w:color="auto"/>
            <w:left w:val="none" w:sz="0" w:space="0" w:color="auto"/>
            <w:bottom w:val="none" w:sz="0" w:space="0" w:color="auto"/>
            <w:right w:val="none" w:sz="0" w:space="0" w:color="auto"/>
          </w:divBdr>
        </w:div>
        <w:div w:id="1119833861">
          <w:marLeft w:val="0"/>
          <w:marRight w:val="0"/>
          <w:marTop w:val="0"/>
          <w:marBottom w:val="0"/>
          <w:divBdr>
            <w:top w:val="none" w:sz="0" w:space="0" w:color="auto"/>
            <w:left w:val="none" w:sz="0" w:space="0" w:color="auto"/>
            <w:bottom w:val="none" w:sz="0" w:space="0" w:color="auto"/>
            <w:right w:val="none" w:sz="0" w:space="0" w:color="auto"/>
          </w:divBdr>
        </w:div>
        <w:div w:id="1701663049">
          <w:marLeft w:val="0"/>
          <w:marRight w:val="0"/>
          <w:marTop w:val="0"/>
          <w:marBottom w:val="0"/>
          <w:divBdr>
            <w:top w:val="none" w:sz="0" w:space="0" w:color="auto"/>
            <w:left w:val="none" w:sz="0" w:space="0" w:color="auto"/>
            <w:bottom w:val="none" w:sz="0" w:space="0" w:color="auto"/>
            <w:right w:val="none" w:sz="0" w:space="0" w:color="auto"/>
          </w:divBdr>
          <w:divsChild>
            <w:div w:id="1104109370">
              <w:marLeft w:val="0"/>
              <w:marRight w:val="0"/>
              <w:marTop w:val="0"/>
              <w:marBottom w:val="0"/>
              <w:divBdr>
                <w:top w:val="none" w:sz="0" w:space="0" w:color="auto"/>
                <w:left w:val="none" w:sz="0" w:space="0" w:color="auto"/>
                <w:bottom w:val="none" w:sz="0" w:space="0" w:color="auto"/>
                <w:right w:val="none" w:sz="0" w:space="0" w:color="auto"/>
              </w:divBdr>
              <w:divsChild>
                <w:div w:id="1395007143">
                  <w:marLeft w:val="0"/>
                  <w:marRight w:val="0"/>
                  <w:marTop w:val="0"/>
                  <w:marBottom w:val="0"/>
                  <w:divBdr>
                    <w:top w:val="none" w:sz="0" w:space="0" w:color="auto"/>
                    <w:left w:val="none" w:sz="0" w:space="0" w:color="auto"/>
                    <w:bottom w:val="none" w:sz="0" w:space="0" w:color="auto"/>
                    <w:right w:val="none" w:sz="0" w:space="0" w:color="auto"/>
                  </w:divBdr>
                  <w:divsChild>
                    <w:div w:id="784156399">
                      <w:marLeft w:val="0"/>
                      <w:marRight w:val="0"/>
                      <w:marTop w:val="0"/>
                      <w:marBottom w:val="0"/>
                      <w:divBdr>
                        <w:top w:val="none" w:sz="0" w:space="0" w:color="auto"/>
                        <w:left w:val="none" w:sz="0" w:space="0" w:color="auto"/>
                        <w:bottom w:val="none" w:sz="0" w:space="0" w:color="auto"/>
                        <w:right w:val="none" w:sz="0" w:space="0" w:color="auto"/>
                      </w:divBdr>
                    </w:div>
                  </w:divsChild>
                </w:div>
                <w:div w:id="558398141">
                  <w:marLeft w:val="0"/>
                  <w:marRight w:val="0"/>
                  <w:marTop w:val="0"/>
                  <w:marBottom w:val="0"/>
                  <w:divBdr>
                    <w:top w:val="none" w:sz="0" w:space="0" w:color="auto"/>
                    <w:left w:val="none" w:sz="0" w:space="0" w:color="auto"/>
                    <w:bottom w:val="none" w:sz="0" w:space="0" w:color="auto"/>
                    <w:right w:val="none" w:sz="0" w:space="0" w:color="auto"/>
                  </w:divBdr>
                  <w:divsChild>
                    <w:div w:id="114258109">
                      <w:marLeft w:val="0"/>
                      <w:marRight w:val="0"/>
                      <w:marTop w:val="0"/>
                      <w:marBottom w:val="0"/>
                      <w:divBdr>
                        <w:top w:val="none" w:sz="0" w:space="0" w:color="auto"/>
                        <w:left w:val="none" w:sz="0" w:space="0" w:color="auto"/>
                        <w:bottom w:val="none" w:sz="0" w:space="0" w:color="auto"/>
                        <w:right w:val="none" w:sz="0" w:space="0" w:color="auto"/>
                      </w:divBdr>
                    </w:div>
                  </w:divsChild>
                </w:div>
                <w:div w:id="728695223">
                  <w:marLeft w:val="0"/>
                  <w:marRight w:val="0"/>
                  <w:marTop w:val="0"/>
                  <w:marBottom w:val="0"/>
                  <w:divBdr>
                    <w:top w:val="none" w:sz="0" w:space="0" w:color="auto"/>
                    <w:left w:val="none" w:sz="0" w:space="0" w:color="auto"/>
                    <w:bottom w:val="none" w:sz="0" w:space="0" w:color="auto"/>
                    <w:right w:val="none" w:sz="0" w:space="0" w:color="auto"/>
                  </w:divBdr>
                  <w:divsChild>
                    <w:div w:id="14389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56025">
          <w:marLeft w:val="0"/>
          <w:marRight w:val="0"/>
          <w:marTop w:val="0"/>
          <w:marBottom w:val="0"/>
          <w:divBdr>
            <w:top w:val="none" w:sz="0" w:space="0" w:color="auto"/>
            <w:left w:val="none" w:sz="0" w:space="0" w:color="auto"/>
            <w:bottom w:val="none" w:sz="0" w:space="0" w:color="auto"/>
            <w:right w:val="none" w:sz="0" w:space="0" w:color="auto"/>
          </w:divBdr>
        </w:div>
        <w:div w:id="30157751">
          <w:marLeft w:val="0"/>
          <w:marRight w:val="0"/>
          <w:marTop w:val="0"/>
          <w:marBottom w:val="0"/>
          <w:divBdr>
            <w:top w:val="none" w:sz="0" w:space="0" w:color="auto"/>
            <w:left w:val="none" w:sz="0" w:space="0" w:color="auto"/>
            <w:bottom w:val="none" w:sz="0" w:space="0" w:color="auto"/>
            <w:right w:val="none" w:sz="0" w:space="0" w:color="auto"/>
          </w:divBdr>
        </w:div>
        <w:div w:id="829062482">
          <w:marLeft w:val="0"/>
          <w:marRight w:val="0"/>
          <w:marTop w:val="0"/>
          <w:marBottom w:val="0"/>
          <w:divBdr>
            <w:top w:val="none" w:sz="0" w:space="0" w:color="auto"/>
            <w:left w:val="none" w:sz="0" w:space="0" w:color="auto"/>
            <w:bottom w:val="none" w:sz="0" w:space="0" w:color="auto"/>
            <w:right w:val="none" w:sz="0" w:space="0" w:color="auto"/>
          </w:divBdr>
        </w:div>
      </w:divsChild>
    </w:div>
    <w:div w:id="901253019">
      <w:bodyDiv w:val="1"/>
      <w:marLeft w:val="0"/>
      <w:marRight w:val="0"/>
      <w:marTop w:val="0"/>
      <w:marBottom w:val="0"/>
      <w:divBdr>
        <w:top w:val="none" w:sz="0" w:space="0" w:color="auto"/>
        <w:left w:val="none" w:sz="0" w:space="0" w:color="auto"/>
        <w:bottom w:val="none" w:sz="0" w:space="0" w:color="auto"/>
        <w:right w:val="none" w:sz="0" w:space="0" w:color="auto"/>
      </w:divBdr>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21512202">
      <w:bodyDiv w:val="1"/>
      <w:marLeft w:val="0"/>
      <w:marRight w:val="0"/>
      <w:marTop w:val="0"/>
      <w:marBottom w:val="0"/>
      <w:divBdr>
        <w:top w:val="none" w:sz="0" w:space="0" w:color="auto"/>
        <w:left w:val="none" w:sz="0" w:space="0" w:color="auto"/>
        <w:bottom w:val="none" w:sz="0" w:space="0" w:color="auto"/>
        <w:right w:val="none" w:sz="0" w:space="0" w:color="auto"/>
      </w:divBdr>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442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E51AF-DEE3-49C1-99A8-7D92CA7E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4010</Words>
  <Characters>22021</Characters>
  <Application>Microsoft Office Word</Application>
  <DocSecurity>0</DocSecurity>
  <Lines>667</Lines>
  <Paragraphs>464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Ramsar\BriggsC</dc:creator>
  <cp:lastModifiedBy>Ramsar\JenningsE</cp:lastModifiedBy>
  <cp:revision>4</cp:revision>
  <cp:lastPrinted>2015-08-03T13:24:00Z</cp:lastPrinted>
  <dcterms:created xsi:type="dcterms:W3CDTF">2016-04-27T11:48:00Z</dcterms:created>
  <dcterms:modified xsi:type="dcterms:W3CDTF">2016-04-29T08:17:00Z</dcterms:modified>
</cp:coreProperties>
</file>