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63BBB" w14:textId="77777777" w:rsidR="00B02B8E" w:rsidRPr="009260DD" w:rsidRDefault="00635ACA" w:rsidP="00497B95">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sz w:val="24"/>
          <w:szCs w:val="24"/>
          <w:lang w:val="es-ES_tradnl"/>
        </w:rPr>
      </w:pPr>
      <w:bookmarkStart w:id="0" w:name="OLE_LINK1"/>
      <w:r w:rsidRPr="009260DD">
        <w:rPr>
          <w:sz w:val="24"/>
          <w:szCs w:val="24"/>
          <w:lang w:val="es-ES_tradnl"/>
        </w:rPr>
        <w:t>CONVENCIÓN SOBRE LOS HUMEDALES (Ramsar, Irá</w:t>
      </w:r>
      <w:r w:rsidR="00B02B8E" w:rsidRPr="009260DD">
        <w:rPr>
          <w:sz w:val="24"/>
          <w:szCs w:val="24"/>
          <w:lang w:val="es-ES_tradnl"/>
        </w:rPr>
        <w:t>n, 1971)</w:t>
      </w:r>
    </w:p>
    <w:p w14:paraId="61AE59C9" w14:textId="77777777" w:rsidR="00B02B8E" w:rsidRPr="009260DD" w:rsidRDefault="005B42D4" w:rsidP="00497B95">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sz w:val="24"/>
          <w:szCs w:val="24"/>
          <w:lang w:val="es-ES_tradnl"/>
        </w:rPr>
      </w:pPr>
      <w:r w:rsidRPr="009260DD">
        <w:rPr>
          <w:sz w:val="24"/>
          <w:szCs w:val="24"/>
          <w:lang w:val="es-ES_tradnl"/>
        </w:rPr>
        <w:t>52</w:t>
      </w:r>
      <w:r w:rsidR="00635ACA" w:rsidRPr="009260DD">
        <w:rPr>
          <w:sz w:val="24"/>
          <w:szCs w:val="24"/>
          <w:lang w:val="es-ES_tradnl"/>
        </w:rPr>
        <w:t>ª Reunión del Comité Permanente</w:t>
      </w:r>
    </w:p>
    <w:p w14:paraId="78B76096" w14:textId="77777777" w:rsidR="00B02B8E" w:rsidRPr="009260DD" w:rsidRDefault="00B02B8E" w:rsidP="00497B95">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0"/>
        <w:rPr>
          <w:sz w:val="24"/>
          <w:szCs w:val="24"/>
          <w:lang w:val="es-ES_tradnl"/>
        </w:rPr>
      </w:pPr>
      <w:r w:rsidRPr="009260DD">
        <w:rPr>
          <w:sz w:val="24"/>
          <w:szCs w:val="24"/>
          <w:lang w:val="es-ES_tradnl"/>
        </w:rPr>
        <w:t>Gland, S</w:t>
      </w:r>
      <w:r w:rsidR="00635ACA" w:rsidRPr="009260DD">
        <w:rPr>
          <w:sz w:val="24"/>
          <w:szCs w:val="24"/>
          <w:lang w:val="es-ES_tradnl"/>
        </w:rPr>
        <w:t>uiza</w:t>
      </w:r>
      <w:r w:rsidRPr="009260DD">
        <w:rPr>
          <w:sz w:val="24"/>
          <w:szCs w:val="24"/>
          <w:lang w:val="es-ES_tradnl"/>
        </w:rPr>
        <w:t xml:space="preserve">, </w:t>
      </w:r>
      <w:r w:rsidR="005B42D4" w:rsidRPr="009260DD">
        <w:rPr>
          <w:sz w:val="24"/>
          <w:szCs w:val="24"/>
          <w:lang w:val="es-ES_tradnl"/>
        </w:rPr>
        <w:t>13</w:t>
      </w:r>
      <w:r w:rsidR="00635ACA" w:rsidRPr="009260DD">
        <w:rPr>
          <w:sz w:val="24"/>
          <w:szCs w:val="24"/>
          <w:lang w:val="es-ES_tradnl"/>
        </w:rPr>
        <w:t xml:space="preserve"> al 17 de junio de 2016</w:t>
      </w:r>
    </w:p>
    <w:p w14:paraId="2E016243" w14:textId="77777777" w:rsidR="00B02B8E" w:rsidRPr="009260DD" w:rsidRDefault="00B02B8E" w:rsidP="00B02B8E">
      <w:pPr>
        <w:keepNext/>
        <w:suppressAutoHyphens/>
        <w:spacing w:after="0"/>
        <w:outlineLvl w:val="0"/>
        <w:rPr>
          <w:b/>
          <w:sz w:val="28"/>
          <w:szCs w:val="28"/>
          <w:lang w:val="es-ES_tradnl"/>
        </w:rPr>
      </w:pPr>
    </w:p>
    <w:p w14:paraId="06238347" w14:textId="77777777" w:rsidR="00B02B8E" w:rsidRPr="009260DD" w:rsidRDefault="00B02B8E" w:rsidP="00B02B8E">
      <w:pPr>
        <w:keepNext/>
        <w:suppressAutoHyphens/>
        <w:spacing w:after="0"/>
        <w:jc w:val="right"/>
        <w:outlineLvl w:val="0"/>
        <w:rPr>
          <w:b/>
          <w:sz w:val="28"/>
          <w:szCs w:val="28"/>
          <w:lang w:val="es-ES_tradnl"/>
        </w:rPr>
      </w:pPr>
      <w:r w:rsidRPr="009260DD">
        <w:rPr>
          <w:b/>
          <w:sz w:val="28"/>
          <w:szCs w:val="28"/>
          <w:lang w:val="es-ES_tradnl"/>
        </w:rPr>
        <w:t>SC</w:t>
      </w:r>
      <w:r w:rsidR="005B42D4" w:rsidRPr="009260DD">
        <w:rPr>
          <w:b/>
          <w:sz w:val="28"/>
          <w:szCs w:val="28"/>
          <w:lang w:val="es-ES_tradnl"/>
        </w:rPr>
        <w:t>52</w:t>
      </w:r>
      <w:r w:rsidRPr="009260DD">
        <w:rPr>
          <w:b/>
          <w:sz w:val="28"/>
          <w:szCs w:val="28"/>
          <w:lang w:val="es-ES_tradnl"/>
        </w:rPr>
        <w:t>-</w:t>
      </w:r>
      <w:bookmarkEnd w:id="0"/>
      <w:r w:rsidR="00E66149" w:rsidRPr="009260DD">
        <w:rPr>
          <w:b/>
          <w:sz w:val="28"/>
          <w:szCs w:val="28"/>
          <w:lang w:val="es-ES_tradnl"/>
        </w:rPr>
        <w:t>02</w:t>
      </w:r>
    </w:p>
    <w:p w14:paraId="1B6FF397" w14:textId="77777777" w:rsidR="00B02B8E" w:rsidRPr="009260DD" w:rsidRDefault="00B02B8E" w:rsidP="00B02B8E">
      <w:pPr>
        <w:spacing w:after="0" w:line="240" w:lineRule="auto"/>
        <w:rPr>
          <w:b/>
          <w:sz w:val="28"/>
          <w:szCs w:val="28"/>
          <w:lang w:val="es-ES_tradnl"/>
        </w:rPr>
      </w:pPr>
    </w:p>
    <w:p w14:paraId="30E0B58F" w14:textId="070E3A8C" w:rsidR="00B02B8E" w:rsidRPr="009260DD" w:rsidRDefault="00B02B8E" w:rsidP="009B204C">
      <w:pPr>
        <w:spacing w:after="0" w:line="240" w:lineRule="auto"/>
        <w:jc w:val="center"/>
        <w:rPr>
          <w:b/>
          <w:sz w:val="28"/>
          <w:szCs w:val="28"/>
          <w:lang w:val="es-ES_tradnl"/>
        </w:rPr>
      </w:pPr>
      <w:r w:rsidRPr="009260DD">
        <w:rPr>
          <w:b/>
          <w:sz w:val="28"/>
          <w:szCs w:val="28"/>
          <w:lang w:val="es-ES_tradnl"/>
        </w:rPr>
        <w:t>Prog</w:t>
      </w:r>
      <w:r w:rsidR="005B42D4" w:rsidRPr="009260DD">
        <w:rPr>
          <w:b/>
          <w:sz w:val="28"/>
          <w:szCs w:val="28"/>
          <w:lang w:val="es-ES_tradnl"/>
        </w:rPr>
        <w:t>re</w:t>
      </w:r>
      <w:r w:rsidR="00635ACA" w:rsidRPr="009260DD">
        <w:rPr>
          <w:b/>
          <w:sz w:val="28"/>
          <w:szCs w:val="28"/>
          <w:lang w:val="es-ES_tradnl"/>
        </w:rPr>
        <w:t xml:space="preserve">sos realizados en los preparativos </w:t>
      </w:r>
      <w:r w:rsidR="0067373F" w:rsidRPr="009260DD">
        <w:rPr>
          <w:b/>
          <w:sz w:val="28"/>
          <w:szCs w:val="28"/>
          <w:lang w:val="es-ES_tradnl"/>
        </w:rPr>
        <w:t>de</w:t>
      </w:r>
      <w:r w:rsidR="00635ACA" w:rsidRPr="009260DD">
        <w:rPr>
          <w:b/>
          <w:sz w:val="28"/>
          <w:szCs w:val="28"/>
          <w:lang w:val="es-ES_tradnl"/>
        </w:rPr>
        <w:t xml:space="preserve"> la COP13</w:t>
      </w:r>
    </w:p>
    <w:p w14:paraId="37A1F04A" w14:textId="77777777" w:rsidR="00B02B8E" w:rsidRPr="009260DD" w:rsidRDefault="00B02B8E" w:rsidP="00B02B8E">
      <w:pPr>
        <w:spacing w:after="0" w:line="240" w:lineRule="auto"/>
        <w:ind w:left="567" w:hanging="567"/>
        <w:rPr>
          <w:b/>
          <w:sz w:val="28"/>
          <w:szCs w:val="28"/>
          <w:lang w:val="es-ES_tradnl"/>
        </w:rPr>
      </w:pPr>
    </w:p>
    <w:p w14:paraId="5A8C0958" w14:textId="77777777" w:rsidR="00B02B8E" w:rsidRPr="009260DD" w:rsidRDefault="00497B95" w:rsidP="00B02B8E">
      <w:pPr>
        <w:spacing w:after="0" w:line="240" w:lineRule="auto"/>
        <w:ind w:left="567" w:hanging="567"/>
        <w:rPr>
          <w:lang w:val="es-ES_tradnl"/>
        </w:rPr>
      </w:pPr>
      <w:r>
        <w:rPr>
          <w:lang w:val="es-ES_tradnl"/>
        </w:rPr>
      </w:r>
      <w:r>
        <w:rPr>
          <w:lang w:val="es-ES_tradnl"/>
        </w:rPr>
        <w:pict w14:anchorId="2B1856D9">
          <v:shapetype id="_x0000_t202" coordsize="21600,21600" o:spt="202" path="m,l,21600r21600,l21600,xe">
            <v:stroke joinstyle="miter"/>
            <v:path gradientshapeok="t" o:connecttype="rect"/>
          </v:shapetype>
          <v:shape id="_x0000_s1026" type="#_x0000_t202" style="width:453.35pt;height:93.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14:paraId="0F4620DA" w14:textId="77777777" w:rsidR="00041B46" w:rsidRPr="00884FC0" w:rsidRDefault="00041B46" w:rsidP="00B02B8E">
                  <w:pPr>
                    <w:spacing w:after="0" w:line="240" w:lineRule="auto"/>
                    <w:jc w:val="both"/>
                    <w:rPr>
                      <w:b/>
                      <w:lang w:val="es-ES_tradnl"/>
                    </w:rPr>
                  </w:pPr>
                  <w:r w:rsidRPr="00884FC0">
                    <w:rPr>
                      <w:b/>
                      <w:lang w:val="es-ES_tradnl"/>
                    </w:rPr>
                    <w:t>Acciones solicitadas:</w:t>
                  </w:r>
                </w:p>
                <w:p w14:paraId="106706B1" w14:textId="77777777" w:rsidR="00041B46" w:rsidRPr="00884FC0" w:rsidRDefault="00041B46" w:rsidP="00D06FD5">
                  <w:pPr>
                    <w:pStyle w:val="MediumGrid1-Accent21"/>
                    <w:ind w:left="0"/>
                    <w:rPr>
                      <w:rFonts w:ascii="Calibri" w:hAnsi="Calibri"/>
                      <w:sz w:val="22"/>
                      <w:szCs w:val="22"/>
                      <w:lang w:val="es-ES_tradnl"/>
                    </w:rPr>
                  </w:pPr>
                  <w:r w:rsidRPr="00884FC0">
                    <w:rPr>
                      <w:rFonts w:ascii="Calibri" w:hAnsi="Calibri"/>
                      <w:sz w:val="22"/>
                      <w:szCs w:val="22"/>
                      <w:lang w:val="es-ES_tradnl"/>
                    </w:rPr>
                    <w:t>Se invita al Comité Permanente a hacer lo siguiente:</w:t>
                  </w:r>
                </w:p>
                <w:p w14:paraId="5B787051" w14:textId="77777777" w:rsidR="00041B46" w:rsidRPr="00884FC0" w:rsidRDefault="00041B46" w:rsidP="00E66149">
                  <w:pPr>
                    <w:pStyle w:val="MediumGrid1-Accent21"/>
                    <w:numPr>
                      <w:ilvl w:val="0"/>
                      <w:numId w:val="16"/>
                    </w:numPr>
                    <w:ind w:left="426" w:hanging="426"/>
                    <w:rPr>
                      <w:rFonts w:ascii="Calibri" w:hAnsi="Calibri"/>
                      <w:sz w:val="22"/>
                      <w:szCs w:val="22"/>
                      <w:lang w:val="es-ES_tradnl"/>
                    </w:rPr>
                  </w:pPr>
                  <w:r w:rsidRPr="00884FC0">
                    <w:rPr>
                      <w:rFonts w:ascii="Calibri" w:hAnsi="Calibri"/>
                      <w:sz w:val="22"/>
                      <w:szCs w:val="22"/>
                      <w:lang w:val="es-ES_tradnl"/>
                    </w:rPr>
                    <w:t>tomar nota de los progresos realizados desde la reunión SC51 en los preparativos de la 13ª reunión de la Conferencia de las Partes Contratantes (COP13), incluida la firma del memorando de entendimiento con el país anfitrión (Emiratos Árabes Unidos); y</w:t>
                  </w:r>
                </w:p>
                <w:p w14:paraId="3679C039" w14:textId="77777777" w:rsidR="00041B46" w:rsidRPr="00884FC0" w:rsidRDefault="00041B46" w:rsidP="00E66149">
                  <w:pPr>
                    <w:pStyle w:val="MediumGrid1-Accent21"/>
                    <w:numPr>
                      <w:ilvl w:val="0"/>
                      <w:numId w:val="16"/>
                    </w:numPr>
                    <w:ind w:left="426" w:hanging="426"/>
                    <w:rPr>
                      <w:rFonts w:ascii="Calibri" w:hAnsi="Calibri"/>
                      <w:sz w:val="22"/>
                      <w:szCs w:val="22"/>
                      <w:lang w:val="es-ES_tradnl"/>
                    </w:rPr>
                  </w:pPr>
                  <w:r w:rsidRPr="00884FC0">
                    <w:rPr>
                      <w:rFonts w:ascii="Calibri" w:hAnsi="Calibri"/>
                      <w:sz w:val="22"/>
                      <w:szCs w:val="22"/>
                      <w:lang w:val="es-ES_tradnl"/>
                    </w:rPr>
                    <w:t>aprobar las fechas para la COP13.</w:t>
                  </w:r>
                </w:p>
              </w:txbxContent>
            </v:textbox>
            <w10:wrap type="none"/>
            <w10:anchorlock/>
          </v:shape>
        </w:pict>
      </w:r>
    </w:p>
    <w:p w14:paraId="494F533A" w14:textId="77777777" w:rsidR="00B02B8E" w:rsidRPr="009260DD" w:rsidRDefault="00B02B8E" w:rsidP="00B02B8E">
      <w:pPr>
        <w:spacing w:after="0" w:line="240" w:lineRule="auto"/>
        <w:ind w:left="567" w:hanging="567"/>
        <w:rPr>
          <w:b/>
          <w:lang w:val="es-ES_tradnl"/>
        </w:rPr>
      </w:pPr>
    </w:p>
    <w:p w14:paraId="33F3A7F4" w14:textId="77777777" w:rsidR="00B02B8E" w:rsidRPr="009260DD" w:rsidRDefault="00884FC0" w:rsidP="00B3056D">
      <w:pPr>
        <w:spacing w:after="0" w:line="240" w:lineRule="auto"/>
        <w:rPr>
          <w:b/>
          <w:lang w:val="es-ES_tradnl"/>
        </w:rPr>
      </w:pPr>
      <w:r w:rsidRPr="009260DD">
        <w:rPr>
          <w:b/>
          <w:lang w:val="es-ES_tradnl"/>
        </w:rPr>
        <w:t>Antecedentes</w:t>
      </w:r>
    </w:p>
    <w:p w14:paraId="257EF99C" w14:textId="77777777" w:rsidR="00B02B8E" w:rsidRPr="009260DD" w:rsidRDefault="00B02B8E" w:rsidP="00B02B8E">
      <w:pPr>
        <w:spacing w:after="0" w:line="240" w:lineRule="auto"/>
        <w:ind w:left="567" w:hanging="567"/>
        <w:rPr>
          <w:b/>
          <w:lang w:val="es-ES_tradnl"/>
        </w:rPr>
      </w:pPr>
    </w:p>
    <w:p w14:paraId="133AA878" w14:textId="32D75DD4" w:rsidR="005B42D4" w:rsidRPr="009260DD" w:rsidRDefault="00635ACA" w:rsidP="00B02B8E">
      <w:pPr>
        <w:numPr>
          <w:ilvl w:val="0"/>
          <w:numId w:val="8"/>
        </w:numPr>
        <w:spacing w:after="0" w:line="240" w:lineRule="auto"/>
        <w:ind w:left="426" w:hanging="426"/>
        <w:rPr>
          <w:lang w:val="es-ES_tradnl"/>
        </w:rPr>
      </w:pPr>
      <w:r w:rsidRPr="009260DD">
        <w:rPr>
          <w:lang w:val="es-ES_tradnl"/>
        </w:rPr>
        <w:t xml:space="preserve">Durante su </w:t>
      </w:r>
      <w:r w:rsidR="005B42D4" w:rsidRPr="009260DD">
        <w:rPr>
          <w:lang w:val="es-ES_tradnl"/>
        </w:rPr>
        <w:t>51</w:t>
      </w:r>
      <w:r w:rsidRPr="009260DD">
        <w:rPr>
          <w:lang w:val="es-ES_tradnl"/>
        </w:rPr>
        <w:t xml:space="preserve">ª reunión, celebrada en noviembre de </w:t>
      </w:r>
      <w:r w:rsidR="00B02B8E" w:rsidRPr="009260DD">
        <w:rPr>
          <w:lang w:val="es-ES_tradnl"/>
        </w:rPr>
        <w:t>201</w:t>
      </w:r>
      <w:r w:rsidR="005B42D4" w:rsidRPr="009260DD">
        <w:rPr>
          <w:lang w:val="es-ES_tradnl"/>
        </w:rPr>
        <w:t>5</w:t>
      </w:r>
      <w:r w:rsidR="00B02B8E" w:rsidRPr="009260DD">
        <w:rPr>
          <w:lang w:val="es-ES_tradnl"/>
        </w:rPr>
        <w:t xml:space="preserve"> (SC</w:t>
      </w:r>
      <w:r w:rsidR="005B42D4" w:rsidRPr="009260DD">
        <w:rPr>
          <w:lang w:val="es-ES_tradnl"/>
        </w:rPr>
        <w:t>51</w:t>
      </w:r>
      <w:r w:rsidR="00B02B8E" w:rsidRPr="009260DD">
        <w:rPr>
          <w:lang w:val="es-ES_tradnl"/>
        </w:rPr>
        <w:t xml:space="preserve">), </w:t>
      </w:r>
      <w:r w:rsidRPr="009260DD">
        <w:rPr>
          <w:lang w:val="es-ES_tradnl"/>
        </w:rPr>
        <w:t>el Co</w:t>
      </w:r>
      <w:r w:rsidR="00B73E5D" w:rsidRPr="009260DD">
        <w:rPr>
          <w:lang w:val="es-ES_tradnl"/>
        </w:rPr>
        <w:t>m</w:t>
      </w:r>
      <w:r w:rsidRPr="009260DD">
        <w:rPr>
          <w:lang w:val="es-ES_tradnl"/>
        </w:rPr>
        <w:t xml:space="preserve">ité Permanente </w:t>
      </w:r>
      <w:r w:rsidR="00B73E5D" w:rsidRPr="009260DD">
        <w:rPr>
          <w:lang w:val="es-ES_tradnl"/>
        </w:rPr>
        <w:t xml:space="preserve">adoptó </w:t>
      </w:r>
      <w:r w:rsidRPr="009260DD">
        <w:rPr>
          <w:lang w:val="es-ES_tradnl"/>
        </w:rPr>
        <w:t xml:space="preserve">la Decisión </w:t>
      </w:r>
      <w:r w:rsidR="00B02B8E" w:rsidRPr="009260DD">
        <w:rPr>
          <w:lang w:val="es-ES_tradnl"/>
        </w:rPr>
        <w:t>SC</w:t>
      </w:r>
      <w:r w:rsidR="005B42D4" w:rsidRPr="009260DD">
        <w:rPr>
          <w:lang w:val="es-ES_tradnl"/>
        </w:rPr>
        <w:t>51</w:t>
      </w:r>
      <w:r w:rsidR="00B02B8E" w:rsidRPr="009260DD">
        <w:rPr>
          <w:lang w:val="es-ES_tradnl"/>
        </w:rPr>
        <w:t>-</w:t>
      </w:r>
      <w:r w:rsidR="005B42D4" w:rsidRPr="009260DD">
        <w:rPr>
          <w:lang w:val="es-ES_tradnl"/>
        </w:rPr>
        <w:t>16</w:t>
      </w:r>
      <w:r w:rsidR="007F3AB0" w:rsidRPr="009260DD">
        <w:rPr>
          <w:lang w:val="es-ES_tradnl"/>
        </w:rPr>
        <w:t>, a saber,</w:t>
      </w:r>
      <w:r w:rsidR="00B3056D" w:rsidRPr="009260DD">
        <w:rPr>
          <w:lang w:val="es-ES_tradnl"/>
        </w:rPr>
        <w:t xml:space="preserve"> “[…]</w:t>
      </w:r>
      <w:r w:rsidR="007F3AB0" w:rsidRPr="009260DD">
        <w:rPr>
          <w:lang w:val="es-ES_tradnl"/>
        </w:rPr>
        <w:t xml:space="preserve"> </w:t>
      </w:r>
      <w:r w:rsidRPr="009260DD">
        <w:rPr>
          <w:lang w:val="es-ES_tradnl"/>
        </w:rPr>
        <w:t>estable</w:t>
      </w:r>
      <w:r w:rsidR="009C4C69" w:rsidRPr="009260DD">
        <w:rPr>
          <w:lang w:val="es-ES_tradnl"/>
        </w:rPr>
        <w:t>cer un subgrupo sobre la COP13 integrado por un miembro del Comité Permanente de cada región y presidido por el país anfitrión (Emiratos Árabes Unidos). Los miembros son los siguientes: País anfitrión de la COP13, Emiratos Árabes Unidos (Presidencia), Australia, Camboya, Canadá, Honduras, Rumania, Túnez y Uruguay como país anfitrión de la COP12</w:t>
      </w:r>
      <w:r w:rsidR="00B3056D" w:rsidRPr="009260DD">
        <w:rPr>
          <w:lang w:val="es-ES_tradnl"/>
        </w:rPr>
        <w:t>”</w:t>
      </w:r>
      <w:r w:rsidR="009C4C69" w:rsidRPr="009260DD">
        <w:rPr>
          <w:lang w:val="es-ES_tradnl"/>
        </w:rPr>
        <w:t>.</w:t>
      </w:r>
    </w:p>
    <w:p w14:paraId="4C5DD26B" w14:textId="77777777" w:rsidR="005B42D4" w:rsidRPr="009260DD" w:rsidRDefault="005B42D4" w:rsidP="00B02B8E">
      <w:pPr>
        <w:spacing w:after="0" w:line="240" w:lineRule="auto"/>
        <w:rPr>
          <w:lang w:val="es-ES_tradnl"/>
        </w:rPr>
      </w:pPr>
    </w:p>
    <w:p w14:paraId="465E3002" w14:textId="45220C31" w:rsidR="00B02B8E" w:rsidRPr="009260DD" w:rsidRDefault="00635ACA" w:rsidP="00EC334F">
      <w:pPr>
        <w:numPr>
          <w:ilvl w:val="0"/>
          <w:numId w:val="8"/>
        </w:numPr>
        <w:spacing w:after="0" w:line="240" w:lineRule="auto"/>
        <w:ind w:left="426" w:hanging="426"/>
        <w:rPr>
          <w:lang w:val="es-ES_tradnl"/>
        </w:rPr>
      </w:pPr>
      <w:r w:rsidRPr="009260DD">
        <w:rPr>
          <w:lang w:val="es-ES_tradnl"/>
        </w:rPr>
        <w:t xml:space="preserve">Los Emiratos Árabes Unidos y la Secretaría </w:t>
      </w:r>
      <w:r w:rsidR="00B73E5D" w:rsidRPr="009260DD">
        <w:rPr>
          <w:lang w:val="es-ES_tradnl"/>
        </w:rPr>
        <w:t>proponen que el Subgrupo sobre</w:t>
      </w:r>
      <w:r w:rsidRPr="009260DD">
        <w:rPr>
          <w:lang w:val="es-ES_tradnl"/>
        </w:rPr>
        <w:t xml:space="preserve"> la COP13 examine los progresos realizados en los preparativos </w:t>
      </w:r>
      <w:r w:rsidR="0067373F" w:rsidRPr="009260DD">
        <w:rPr>
          <w:lang w:val="es-ES_tradnl"/>
        </w:rPr>
        <w:t>de</w:t>
      </w:r>
      <w:r w:rsidR="00B73E5D" w:rsidRPr="009260DD">
        <w:rPr>
          <w:lang w:val="es-ES_tradnl"/>
        </w:rPr>
        <w:t xml:space="preserve"> </w:t>
      </w:r>
      <w:r w:rsidRPr="009260DD">
        <w:rPr>
          <w:lang w:val="es-ES_tradnl"/>
        </w:rPr>
        <w:t>la COP13.</w:t>
      </w:r>
    </w:p>
    <w:p w14:paraId="26648E1A" w14:textId="77777777" w:rsidR="00D06FD5" w:rsidRPr="009260DD" w:rsidRDefault="00D06FD5" w:rsidP="00B6117D">
      <w:pPr>
        <w:tabs>
          <w:tab w:val="left" w:pos="709"/>
        </w:tabs>
        <w:spacing w:after="0" w:line="240" w:lineRule="auto"/>
        <w:rPr>
          <w:b/>
          <w:lang w:val="es-ES_tradnl"/>
        </w:rPr>
      </w:pPr>
    </w:p>
    <w:p w14:paraId="7AAC38F5" w14:textId="1F01E947" w:rsidR="00B02B8E" w:rsidRPr="009260DD" w:rsidRDefault="00635ACA" w:rsidP="00B6117D">
      <w:pPr>
        <w:tabs>
          <w:tab w:val="left" w:pos="709"/>
        </w:tabs>
        <w:spacing w:after="0" w:line="240" w:lineRule="auto"/>
        <w:rPr>
          <w:b/>
          <w:lang w:val="es-ES_tradnl"/>
        </w:rPr>
      </w:pPr>
      <w:r w:rsidRPr="009260DD">
        <w:rPr>
          <w:b/>
          <w:lang w:val="es-ES_tradnl"/>
        </w:rPr>
        <w:t xml:space="preserve">Progresos </w:t>
      </w:r>
      <w:r w:rsidR="002A32A9" w:rsidRPr="009260DD">
        <w:rPr>
          <w:b/>
          <w:lang w:val="es-ES_tradnl"/>
        </w:rPr>
        <w:t xml:space="preserve">realizados en los preparativos </w:t>
      </w:r>
      <w:r w:rsidR="0067373F" w:rsidRPr="009260DD">
        <w:rPr>
          <w:b/>
          <w:lang w:val="es-ES_tradnl"/>
        </w:rPr>
        <w:t>de</w:t>
      </w:r>
      <w:r w:rsidRPr="009260DD">
        <w:rPr>
          <w:b/>
          <w:lang w:val="es-ES_tradnl"/>
        </w:rPr>
        <w:t xml:space="preserve"> la COP13</w:t>
      </w:r>
    </w:p>
    <w:p w14:paraId="3C121414" w14:textId="77777777" w:rsidR="00B02B8E" w:rsidRPr="009260DD" w:rsidRDefault="00B02B8E" w:rsidP="00FC012F">
      <w:pPr>
        <w:tabs>
          <w:tab w:val="left" w:pos="0"/>
        </w:tabs>
        <w:spacing w:after="0" w:line="240" w:lineRule="auto"/>
        <w:rPr>
          <w:lang w:val="es-ES_tradnl"/>
        </w:rPr>
      </w:pPr>
    </w:p>
    <w:p w14:paraId="1C990D86" w14:textId="77777777" w:rsidR="00E66149" w:rsidRPr="009260DD" w:rsidRDefault="00635ACA" w:rsidP="00E66149">
      <w:pPr>
        <w:numPr>
          <w:ilvl w:val="0"/>
          <w:numId w:val="8"/>
        </w:numPr>
        <w:spacing w:after="0" w:line="240" w:lineRule="auto"/>
        <w:ind w:left="426" w:hanging="426"/>
        <w:rPr>
          <w:lang w:val="es-ES_tradnl"/>
        </w:rPr>
      </w:pPr>
      <w:r w:rsidRPr="009260DD">
        <w:rPr>
          <w:lang w:val="es-ES_tradnl"/>
        </w:rPr>
        <w:t xml:space="preserve">Los Emiratos Árabes Unidos proponen que la COP13 se celebre en el </w:t>
      </w:r>
      <w:r w:rsidR="00E66149" w:rsidRPr="009260DD">
        <w:rPr>
          <w:lang w:val="es-ES_tradnl"/>
        </w:rPr>
        <w:t>Dubai World Tra</w:t>
      </w:r>
      <w:bookmarkStart w:id="1" w:name="_GoBack"/>
      <w:bookmarkEnd w:id="1"/>
      <w:r w:rsidR="00E66149" w:rsidRPr="009260DD">
        <w:rPr>
          <w:lang w:val="es-ES_tradnl"/>
        </w:rPr>
        <w:t>de Centre</w:t>
      </w:r>
      <w:r w:rsidR="00EC334F" w:rsidRPr="009260DD">
        <w:rPr>
          <w:lang w:val="es-ES_tradnl"/>
        </w:rPr>
        <w:t>,</w:t>
      </w:r>
      <w:r w:rsidRPr="009260DD">
        <w:rPr>
          <w:lang w:val="es-ES_tradnl"/>
        </w:rPr>
        <w:t xml:space="preserve"> que se encuentra a unos 20 minutos del Aeropuerto Internacional de Dubái.</w:t>
      </w:r>
    </w:p>
    <w:p w14:paraId="36A88162" w14:textId="77777777" w:rsidR="00E66149" w:rsidRPr="009260DD" w:rsidRDefault="00E66149" w:rsidP="00FC012F">
      <w:pPr>
        <w:spacing w:after="0" w:line="240" w:lineRule="auto"/>
        <w:ind w:left="426"/>
        <w:rPr>
          <w:lang w:val="es-ES_tradnl"/>
        </w:rPr>
      </w:pPr>
    </w:p>
    <w:p w14:paraId="79784CD0" w14:textId="486D3A95" w:rsidR="00046262" w:rsidRPr="009260DD" w:rsidRDefault="00635ACA" w:rsidP="00B6117D">
      <w:pPr>
        <w:numPr>
          <w:ilvl w:val="0"/>
          <w:numId w:val="8"/>
        </w:numPr>
        <w:spacing w:after="0" w:line="240" w:lineRule="auto"/>
        <w:ind w:left="426" w:hanging="426"/>
        <w:rPr>
          <w:lang w:val="es-ES_tradnl"/>
        </w:rPr>
      </w:pPr>
      <w:r w:rsidRPr="009260DD">
        <w:rPr>
          <w:lang w:val="es-ES_tradnl"/>
        </w:rPr>
        <w:t>La Secretaria General en funciones y el Ase</w:t>
      </w:r>
      <w:r w:rsidR="0067373F" w:rsidRPr="009260DD">
        <w:rPr>
          <w:lang w:val="es-ES_tradnl"/>
        </w:rPr>
        <w:t xml:space="preserve">sor Regional Superior para Asia y </w:t>
      </w:r>
      <w:r w:rsidRPr="009260DD">
        <w:rPr>
          <w:lang w:val="es-ES_tradnl"/>
        </w:rPr>
        <w:t xml:space="preserve">Oceanía visitaron el lugar </w:t>
      </w:r>
      <w:r w:rsidR="0067373F" w:rsidRPr="009260DD">
        <w:rPr>
          <w:lang w:val="es-ES_tradnl"/>
        </w:rPr>
        <w:t xml:space="preserve">propuesto para </w:t>
      </w:r>
      <w:r w:rsidRPr="009260DD">
        <w:rPr>
          <w:lang w:val="es-ES_tradnl"/>
        </w:rPr>
        <w:t xml:space="preserve">la conferencia el 16 de enero de 2016 y </w:t>
      </w:r>
      <w:r w:rsidR="0067373F" w:rsidRPr="009260DD">
        <w:rPr>
          <w:lang w:val="es-ES_tradnl"/>
        </w:rPr>
        <w:t>trataron</w:t>
      </w:r>
      <w:r w:rsidRPr="009260DD">
        <w:rPr>
          <w:lang w:val="es-ES_tradnl"/>
        </w:rPr>
        <w:t xml:space="preserve"> cuestiones </w:t>
      </w:r>
      <w:r w:rsidR="00227800" w:rsidRPr="009260DD">
        <w:rPr>
          <w:lang w:val="es-ES_tradnl"/>
        </w:rPr>
        <w:t>pertinentes</w:t>
      </w:r>
      <w:r w:rsidR="0067373F" w:rsidRPr="009260DD">
        <w:rPr>
          <w:lang w:val="es-ES_tradnl"/>
        </w:rPr>
        <w:t xml:space="preserve"> para</w:t>
      </w:r>
      <w:r w:rsidRPr="009260DD">
        <w:rPr>
          <w:lang w:val="es-ES_tradnl"/>
        </w:rPr>
        <w:t xml:space="preserve"> la preparación de la </w:t>
      </w:r>
      <w:r w:rsidR="00046262" w:rsidRPr="009260DD">
        <w:rPr>
          <w:lang w:val="es-ES_tradnl"/>
        </w:rPr>
        <w:t xml:space="preserve">COP13 </w:t>
      </w:r>
      <w:r w:rsidRPr="009260DD">
        <w:rPr>
          <w:lang w:val="es-ES_tradnl"/>
        </w:rPr>
        <w:t xml:space="preserve">con funcionarios del Ministerio de Cambio Climático y Medio </w:t>
      </w:r>
      <w:r w:rsidR="00227800" w:rsidRPr="009260DD">
        <w:rPr>
          <w:lang w:val="es-ES_tradnl"/>
        </w:rPr>
        <w:t>Ambiente</w:t>
      </w:r>
      <w:r w:rsidRPr="009260DD">
        <w:rPr>
          <w:lang w:val="es-ES_tradnl"/>
        </w:rPr>
        <w:t>.</w:t>
      </w:r>
    </w:p>
    <w:p w14:paraId="1727BAF4" w14:textId="77777777" w:rsidR="00046262" w:rsidRPr="009260DD" w:rsidRDefault="00046262" w:rsidP="00046262">
      <w:pPr>
        <w:spacing w:after="0" w:line="240" w:lineRule="auto"/>
        <w:ind w:left="426"/>
        <w:rPr>
          <w:lang w:val="es-ES_tradnl"/>
        </w:rPr>
      </w:pPr>
    </w:p>
    <w:p w14:paraId="6A3BF1FD" w14:textId="132C76BA" w:rsidR="003E067F" w:rsidRPr="009260DD" w:rsidRDefault="0067373F" w:rsidP="00B6117D">
      <w:pPr>
        <w:numPr>
          <w:ilvl w:val="0"/>
          <w:numId w:val="8"/>
        </w:numPr>
        <w:spacing w:after="0" w:line="240" w:lineRule="auto"/>
        <w:ind w:left="426" w:hanging="426"/>
        <w:rPr>
          <w:lang w:val="es-ES_tradnl"/>
        </w:rPr>
      </w:pPr>
      <w:r w:rsidRPr="009260DD">
        <w:rPr>
          <w:lang w:val="es-ES_tradnl"/>
        </w:rPr>
        <w:t xml:space="preserve">Para </w:t>
      </w:r>
      <w:r w:rsidR="00884FC0" w:rsidRPr="009260DD">
        <w:rPr>
          <w:lang w:val="es-ES_tradnl"/>
        </w:rPr>
        <w:t xml:space="preserve">evitar cualquier solapamiento </w:t>
      </w:r>
      <w:r w:rsidRPr="009260DD">
        <w:rPr>
          <w:lang w:val="es-ES_tradnl"/>
        </w:rPr>
        <w:t>con otras reuniones mundiales</w:t>
      </w:r>
      <w:r w:rsidR="00884FC0" w:rsidRPr="009260DD">
        <w:rPr>
          <w:lang w:val="es-ES_tradnl"/>
        </w:rPr>
        <w:t xml:space="preserve"> y </w:t>
      </w:r>
      <w:r w:rsidRPr="009260DD">
        <w:rPr>
          <w:lang w:val="es-ES_tradnl"/>
        </w:rPr>
        <w:t xml:space="preserve">teniendo en cuenta la disponibilidad del centro de </w:t>
      </w:r>
      <w:r w:rsidR="007F3AB0" w:rsidRPr="009260DD">
        <w:rPr>
          <w:lang w:val="es-ES_tradnl"/>
        </w:rPr>
        <w:t>convenciones</w:t>
      </w:r>
      <w:r w:rsidR="00884FC0" w:rsidRPr="009260DD">
        <w:rPr>
          <w:lang w:val="es-ES_tradnl"/>
        </w:rPr>
        <w:t xml:space="preserve">, se propone que la COP13 se celebre </w:t>
      </w:r>
      <w:r w:rsidRPr="009260DD">
        <w:rPr>
          <w:lang w:val="es-ES_tradnl"/>
        </w:rPr>
        <w:t xml:space="preserve">a lo largo de </w:t>
      </w:r>
      <w:r w:rsidR="00884FC0" w:rsidRPr="009260DD">
        <w:rPr>
          <w:lang w:val="es-ES_tradnl"/>
        </w:rPr>
        <w:t xml:space="preserve">nueve </w:t>
      </w:r>
      <w:r w:rsidR="00227800" w:rsidRPr="009260DD">
        <w:rPr>
          <w:lang w:val="es-ES_tradnl"/>
        </w:rPr>
        <w:t>días, de</w:t>
      </w:r>
      <w:r w:rsidR="00884FC0" w:rsidRPr="009260DD">
        <w:rPr>
          <w:lang w:val="es-ES_tradnl"/>
        </w:rPr>
        <w:t xml:space="preserve">l domingo 21 de octubre al lunes 29 de octubre de 2018. Los dos </w:t>
      </w:r>
      <w:r w:rsidR="00227800" w:rsidRPr="009260DD">
        <w:rPr>
          <w:lang w:val="es-ES_tradnl"/>
        </w:rPr>
        <w:t>primeros</w:t>
      </w:r>
      <w:r w:rsidR="00884FC0" w:rsidRPr="009260DD">
        <w:rPr>
          <w:lang w:val="es-ES_tradnl"/>
        </w:rPr>
        <w:t xml:space="preserve"> días (21 y 22 de octubre) se dedicarán a una </w:t>
      </w:r>
      <w:r w:rsidR="00227800" w:rsidRPr="009260DD">
        <w:rPr>
          <w:lang w:val="es-ES_tradnl"/>
        </w:rPr>
        <w:t>reunión</w:t>
      </w:r>
      <w:r w:rsidR="00884FC0" w:rsidRPr="009260DD">
        <w:rPr>
          <w:lang w:val="es-ES_tradnl"/>
        </w:rPr>
        <w:t xml:space="preserve"> del Comité Permanente y reuniones regionales</w:t>
      </w:r>
      <w:r w:rsidR="00046262" w:rsidRPr="009260DD">
        <w:rPr>
          <w:lang w:val="es-ES_tradnl"/>
        </w:rPr>
        <w:t xml:space="preserve">. </w:t>
      </w:r>
      <w:r w:rsidR="00884FC0" w:rsidRPr="009260DD">
        <w:rPr>
          <w:lang w:val="es-ES_tradnl"/>
        </w:rPr>
        <w:t xml:space="preserve">Habrá un día libre para los delegados y observadores el </w:t>
      </w:r>
      <w:r w:rsidR="00227800" w:rsidRPr="009260DD">
        <w:rPr>
          <w:lang w:val="es-ES_tradnl"/>
        </w:rPr>
        <w:t>sábado</w:t>
      </w:r>
      <w:r w:rsidR="00884FC0" w:rsidRPr="009260DD">
        <w:rPr>
          <w:lang w:val="es-ES_tradnl"/>
        </w:rPr>
        <w:t xml:space="preserve"> 27 de </w:t>
      </w:r>
      <w:r w:rsidR="007F3AB0" w:rsidRPr="009260DD">
        <w:rPr>
          <w:lang w:val="es-ES_tradnl"/>
        </w:rPr>
        <w:t>octubre</w:t>
      </w:r>
      <w:r w:rsidR="00884FC0" w:rsidRPr="009260DD">
        <w:rPr>
          <w:lang w:val="es-ES_tradnl"/>
        </w:rPr>
        <w:t xml:space="preserve"> para que la Secretaría pueda </w:t>
      </w:r>
      <w:r w:rsidRPr="009260DD">
        <w:rPr>
          <w:lang w:val="es-ES_tradnl"/>
        </w:rPr>
        <w:t xml:space="preserve">revisar </w:t>
      </w:r>
      <w:r w:rsidR="00884FC0" w:rsidRPr="009260DD">
        <w:rPr>
          <w:lang w:val="es-ES_tradnl"/>
        </w:rPr>
        <w:t xml:space="preserve">y traducir los proyectos </w:t>
      </w:r>
      <w:r w:rsidRPr="009260DD">
        <w:rPr>
          <w:lang w:val="es-ES_tradnl"/>
        </w:rPr>
        <w:t>de resolución definitivos</w:t>
      </w:r>
      <w:r w:rsidR="00884FC0" w:rsidRPr="009260DD">
        <w:rPr>
          <w:lang w:val="es-ES_tradnl"/>
        </w:rPr>
        <w:t>.</w:t>
      </w:r>
    </w:p>
    <w:p w14:paraId="6816888A" w14:textId="77777777" w:rsidR="00B3056D" w:rsidRPr="009260DD" w:rsidRDefault="00B3056D" w:rsidP="00B3056D">
      <w:pPr>
        <w:spacing w:after="0" w:line="240" w:lineRule="auto"/>
        <w:rPr>
          <w:lang w:val="es-ES_tradnl"/>
        </w:rPr>
      </w:pPr>
    </w:p>
    <w:p w14:paraId="3A8D7F5D" w14:textId="6650F72D" w:rsidR="009260DD" w:rsidRPr="009260DD" w:rsidRDefault="00B3056D" w:rsidP="009260DD">
      <w:pPr>
        <w:numPr>
          <w:ilvl w:val="0"/>
          <w:numId w:val="8"/>
        </w:numPr>
        <w:spacing w:after="0" w:line="240" w:lineRule="auto"/>
        <w:ind w:left="426" w:hanging="426"/>
        <w:rPr>
          <w:lang w:val="es-ES_tradnl"/>
        </w:rPr>
      </w:pPr>
      <w:r w:rsidRPr="009260DD">
        <w:rPr>
          <w:lang w:val="es-ES_tradnl"/>
        </w:rPr>
        <w:t>La Tabla 1, que figura a continuación, señala las posibles coincidencias con otras conferencias internacionales. La Secretaría seguirá en contacto con el CDB para asegurarse de que las fechas de la COP se elijan teniendo en cuenta las fechas de la COP13 de Ramsar.</w:t>
      </w:r>
    </w:p>
    <w:p w14:paraId="0E61B7FE" w14:textId="77777777" w:rsidR="00B3056D" w:rsidRPr="009260DD" w:rsidRDefault="00B3056D" w:rsidP="00B3056D">
      <w:pPr>
        <w:spacing w:after="0" w:line="240" w:lineRule="auto"/>
        <w:rPr>
          <w:lang w:val="es-ES_tradnl"/>
        </w:rPr>
      </w:pPr>
    </w:p>
    <w:p w14:paraId="55DC335C" w14:textId="3D061868" w:rsidR="00B3056D" w:rsidRPr="009260DD" w:rsidRDefault="00B3056D" w:rsidP="00B3056D">
      <w:pPr>
        <w:spacing w:after="0" w:line="240" w:lineRule="auto"/>
        <w:rPr>
          <w:rFonts w:asciiTheme="minorHAnsi" w:hAnsiTheme="minorHAnsi" w:cs="Arial"/>
          <w:b/>
          <w:lang w:val="es-ES_tradnl"/>
        </w:rPr>
      </w:pPr>
      <w:r w:rsidRPr="009260DD">
        <w:rPr>
          <w:rFonts w:asciiTheme="minorHAnsi" w:hAnsiTheme="minorHAnsi" w:cs="Arial"/>
          <w:b/>
          <w:lang w:val="es-ES_tradnl"/>
        </w:rPr>
        <w:lastRenderedPageBreak/>
        <w:t>Tabla 1. Fechas para la COP13: Verificación de las posibles coincidencias con otras conferencias internacionales</w:t>
      </w:r>
    </w:p>
    <w:p w14:paraId="4D59F03A" w14:textId="77777777" w:rsidR="00B3056D" w:rsidRPr="009260DD" w:rsidRDefault="00B3056D" w:rsidP="00B3056D">
      <w:pPr>
        <w:spacing w:after="0" w:line="240" w:lineRule="auto"/>
        <w:ind w:left="426"/>
        <w:rPr>
          <w:lang w:val="es-ES_tradnl"/>
        </w:rPr>
      </w:pPr>
    </w:p>
    <w:tbl>
      <w:tblPr>
        <w:tblStyle w:val="TableGrid"/>
        <w:tblW w:w="0" w:type="auto"/>
        <w:tblInd w:w="108" w:type="dxa"/>
        <w:tblCellMar>
          <w:top w:w="28" w:type="dxa"/>
          <w:bottom w:w="28" w:type="dxa"/>
        </w:tblCellMar>
        <w:tblLook w:val="04A0" w:firstRow="1" w:lastRow="0" w:firstColumn="1" w:lastColumn="0" w:noHBand="0" w:noVBand="1"/>
      </w:tblPr>
      <w:tblGrid>
        <w:gridCol w:w="2254"/>
        <w:gridCol w:w="1293"/>
        <w:gridCol w:w="2125"/>
        <w:gridCol w:w="3463"/>
      </w:tblGrid>
      <w:tr w:rsidR="00041B46" w:rsidRPr="009260DD" w14:paraId="72E6D793" w14:textId="77777777" w:rsidTr="00497B95">
        <w:tc>
          <w:tcPr>
            <w:tcW w:w="2255" w:type="dxa"/>
          </w:tcPr>
          <w:p w14:paraId="18BF9668" w14:textId="1221A70D" w:rsidR="00B3056D" w:rsidRPr="009260DD" w:rsidRDefault="00B3056D" w:rsidP="00497B95">
            <w:pPr>
              <w:spacing w:after="0" w:line="240" w:lineRule="auto"/>
              <w:rPr>
                <w:rFonts w:cs="Arial"/>
                <w:b/>
                <w:lang w:val="es-ES_tradnl"/>
              </w:rPr>
            </w:pPr>
            <w:r w:rsidRPr="009260DD">
              <w:rPr>
                <w:rFonts w:cs="Arial"/>
                <w:b/>
                <w:lang w:val="es-ES_tradnl"/>
              </w:rPr>
              <w:t>Organización</w:t>
            </w:r>
          </w:p>
        </w:tc>
        <w:tc>
          <w:tcPr>
            <w:tcW w:w="1289" w:type="dxa"/>
          </w:tcPr>
          <w:p w14:paraId="08F9C430" w14:textId="6929D85C" w:rsidR="00B3056D" w:rsidRPr="009260DD" w:rsidRDefault="00B3056D" w:rsidP="00497B95">
            <w:pPr>
              <w:spacing w:after="0" w:line="240" w:lineRule="auto"/>
              <w:rPr>
                <w:rFonts w:cs="Arial"/>
                <w:b/>
                <w:lang w:val="es-ES_tradnl"/>
              </w:rPr>
            </w:pPr>
            <w:r w:rsidRPr="009260DD">
              <w:rPr>
                <w:rFonts w:cs="Arial"/>
                <w:b/>
                <w:lang w:val="es-ES_tradnl"/>
              </w:rPr>
              <w:t>Reunión</w:t>
            </w:r>
          </w:p>
        </w:tc>
        <w:tc>
          <w:tcPr>
            <w:tcW w:w="2126" w:type="dxa"/>
          </w:tcPr>
          <w:p w14:paraId="70E825F3" w14:textId="072AA658" w:rsidR="00B3056D" w:rsidRPr="009260DD" w:rsidRDefault="00B3056D" w:rsidP="00497B95">
            <w:pPr>
              <w:spacing w:after="0" w:line="240" w:lineRule="auto"/>
              <w:rPr>
                <w:rFonts w:cs="Arial"/>
                <w:b/>
                <w:lang w:val="es-ES_tradnl"/>
              </w:rPr>
            </w:pPr>
            <w:r w:rsidRPr="009260DD">
              <w:rPr>
                <w:rFonts w:cs="Arial"/>
                <w:b/>
                <w:lang w:val="es-ES_tradnl"/>
              </w:rPr>
              <w:t>Fechas de la próxima sesión</w:t>
            </w:r>
          </w:p>
        </w:tc>
        <w:tc>
          <w:tcPr>
            <w:tcW w:w="3465" w:type="dxa"/>
          </w:tcPr>
          <w:p w14:paraId="1504C42E" w14:textId="427291E3" w:rsidR="00B3056D" w:rsidRPr="009260DD" w:rsidRDefault="00B3056D" w:rsidP="00497B95">
            <w:pPr>
              <w:spacing w:after="0" w:line="240" w:lineRule="auto"/>
              <w:rPr>
                <w:rFonts w:cs="Arial"/>
                <w:b/>
                <w:lang w:val="es-ES_tradnl"/>
              </w:rPr>
            </w:pPr>
            <w:r w:rsidRPr="009260DD">
              <w:rPr>
                <w:rFonts w:cs="Arial"/>
                <w:b/>
                <w:lang w:val="es-ES_tradnl"/>
              </w:rPr>
              <w:t>Notas</w:t>
            </w:r>
          </w:p>
        </w:tc>
      </w:tr>
      <w:tr w:rsidR="00041B46" w:rsidRPr="00497B95" w14:paraId="36EA97A1" w14:textId="77777777" w:rsidTr="00497B95">
        <w:tc>
          <w:tcPr>
            <w:tcW w:w="2255" w:type="dxa"/>
          </w:tcPr>
          <w:p w14:paraId="1CE90B74" w14:textId="30B3F283" w:rsidR="00B3056D" w:rsidRPr="009260DD" w:rsidRDefault="00B3056D" w:rsidP="00497B95">
            <w:pPr>
              <w:spacing w:after="0" w:line="240" w:lineRule="auto"/>
              <w:rPr>
                <w:rFonts w:cs="Arial"/>
                <w:lang w:val="es-ES_tradnl"/>
              </w:rPr>
            </w:pPr>
            <w:r w:rsidRPr="009260DD">
              <w:rPr>
                <w:rFonts w:cs="Arial"/>
                <w:lang w:val="es-ES_tradnl"/>
              </w:rPr>
              <w:t>COP del CDB</w:t>
            </w:r>
          </w:p>
        </w:tc>
        <w:tc>
          <w:tcPr>
            <w:tcW w:w="1289" w:type="dxa"/>
          </w:tcPr>
          <w:p w14:paraId="33692E18" w14:textId="77777777" w:rsidR="00B3056D" w:rsidRPr="009260DD" w:rsidRDefault="00B3056D" w:rsidP="00497B95">
            <w:pPr>
              <w:spacing w:after="0" w:line="240" w:lineRule="auto"/>
              <w:rPr>
                <w:rFonts w:cs="Arial"/>
                <w:lang w:val="es-ES_tradnl"/>
              </w:rPr>
            </w:pPr>
            <w:r w:rsidRPr="009260DD">
              <w:rPr>
                <w:rFonts w:cs="Arial"/>
                <w:lang w:val="es-ES_tradnl"/>
              </w:rPr>
              <w:t>COP14</w:t>
            </w:r>
          </w:p>
        </w:tc>
        <w:tc>
          <w:tcPr>
            <w:tcW w:w="2126" w:type="dxa"/>
          </w:tcPr>
          <w:p w14:paraId="651A1719" w14:textId="67628E25" w:rsidR="00B3056D" w:rsidRPr="009260DD" w:rsidRDefault="00B3056D" w:rsidP="00497B95">
            <w:pPr>
              <w:spacing w:after="0" w:line="240" w:lineRule="auto"/>
              <w:rPr>
                <w:rFonts w:cs="Arial"/>
                <w:lang w:val="es-ES_tradnl"/>
              </w:rPr>
            </w:pPr>
            <w:r w:rsidRPr="009260DD">
              <w:rPr>
                <w:rFonts w:cs="Arial"/>
                <w:b/>
                <w:lang w:val="es-ES_tradnl"/>
              </w:rPr>
              <w:t>2018 (octubre – noviembre, fechas no fijadas aún)</w:t>
            </w:r>
            <w:r w:rsidRPr="009260DD">
              <w:rPr>
                <w:rFonts w:cs="Arial"/>
                <w:lang w:val="es-ES_tradnl"/>
              </w:rPr>
              <w:t xml:space="preserve"> </w:t>
            </w:r>
          </w:p>
        </w:tc>
        <w:tc>
          <w:tcPr>
            <w:tcW w:w="3465" w:type="dxa"/>
          </w:tcPr>
          <w:p w14:paraId="34F505C1" w14:textId="75C784B3" w:rsidR="00B3056D" w:rsidRPr="009260DD" w:rsidRDefault="00B3056D" w:rsidP="00497B95">
            <w:pPr>
              <w:spacing w:after="0" w:line="240" w:lineRule="auto"/>
              <w:rPr>
                <w:rFonts w:cs="Arial"/>
                <w:b/>
                <w:lang w:val="es-ES_tradnl"/>
              </w:rPr>
            </w:pPr>
            <w:r w:rsidRPr="009260DD">
              <w:rPr>
                <w:rFonts w:cs="Arial"/>
                <w:b/>
                <w:u w:val="single"/>
                <w:lang w:val="es-ES_tradnl"/>
              </w:rPr>
              <w:t>Podría haber una coincidencia</w:t>
            </w:r>
            <w:r w:rsidRPr="009260DD">
              <w:rPr>
                <w:rFonts w:cs="Arial"/>
                <w:b/>
                <w:lang w:val="es-ES_tradnl"/>
              </w:rPr>
              <w:t xml:space="preserve"> ya que las COP del CDB suelen tener lugar durante octubre-noviembre y teniendo en cuenta las fechas de la COP14 de la CMNUCC, prevista para los días 5 a 16 de noviembre de 2018).</w:t>
            </w:r>
          </w:p>
        </w:tc>
      </w:tr>
      <w:tr w:rsidR="00041B46" w:rsidRPr="00497B95" w14:paraId="14D53F0E" w14:textId="77777777" w:rsidTr="00497B95">
        <w:tc>
          <w:tcPr>
            <w:tcW w:w="2255" w:type="dxa"/>
          </w:tcPr>
          <w:p w14:paraId="60C7BF26" w14:textId="1F1DAACE" w:rsidR="00B3056D" w:rsidRPr="009260DD" w:rsidRDefault="00B3056D" w:rsidP="00497B95">
            <w:pPr>
              <w:spacing w:after="0" w:line="240" w:lineRule="auto"/>
              <w:rPr>
                <w:rFonts w:cs="Arial"/>
                <w:lang w:val="es-ES_tradnl"/>
              </w:rPr>
            </w:pPr>
            <w:r w:rsidRPr="009260DD">
              <w:rPr>
                <w:rFonts w:cs="Arial"/>
                <w:lang w:val="es-ES_tradnl"/>
              </w:rPr>
              <w:t>COP de la CEM</w:t>
            </w:r>
          </w:p>
        </w:tc>
        <w:tc>
          <w:tcPr>
            <w:tcW w:w="1289" w:type="dxa"/>
          </w:tcPr>
          <w:p w14:paraId="69FCEF77" w14:textId="77777777" w:rsidR="00B3056D" w:rsidRPr="009260DD" w:rsidRDefault="00B3056D" w:rsidP="00497B95">
            <w:pPr>
              <w:spacing w:after="0" w:line="240" w:lineRule="auto"/>
              <w:rPr>
                <w:rFonts w:cs="Arial"/>
                <w:lang w:val="es-ES_tradnl"/>
              </w:rPr>
            </w:pPr>
            <w:r w:rsidRPr="009260DD">
              <w:rPr>
                <w:rFonts w:cs="Arial"/>
                <w:lang w:val="es-ES_tradnl"/>
              </w:rPr>
              <w:t>COP17</w:t>
            </w:r>
          </w:p>
        </w:tc>
        <w:tc>
          <w:tcPr>
            <w:tcW w:w="2126" w:type="dxa"/>
          </w:tcPr>
          <w:p w14:paraId="277BA031" w14:textId="7422B31C" w:rsidR="00B3056D" w:rsidRPr="009260DD" w:rsidRDefault="00B3056D" w:rsidP="00497B95">
            <w:pPr>
              <w:spacing w:after="0" w:line="240" w:lineRule="auto"/>
              <w:rPr>
                <w:rFonts w:cs="Arial"/>
                <w:lang w:val="es-ES_tradnl"/>
              </w:rPr>
            </w:pPr>
            <w:r w:rsidRPr="009260DD">
              <w:rPr>
                <w:rFonts w:cs="Arial"/>
                <w:lang w:val="es-ES_tradnl"/>
              </w:rPr>
              <w:t>2017 (y después en 2019)</w:t>
            </w:r>
          </w:p>
        </w:tc>
        <w:tc>
          <w:tcPr>
            <w:tcW w:w="3465" w:type="dxa"/>
          </w:tcPr>
          <w:p w14:paraId="4CBD4A39" w14:textId="437B9E8E" w:rsidR="00B3056D" w:rsidRPr="009260DD" w:rsidRDefault="00B3056D" w:rsidP="00497B95">
            <w:pPr>
              <w:spacing w:after="0" w:line="240" w:lineRule="auto"/>
              <w:rPr>
                <w:rFonts w:cs="Arial"/>
                <w:lang w:val="es-ES_tradnl"/>
              </w:rPr>
            </w:pPr>
            <w:r w:rsidRPr="009260DD">
              <w:rPr>
                <w:rFonts w:cs="Arial"/>
                <w:lang w:val="es-ES_tradnl"/>
              </w:rPr>
              <w:t xml:space="preserve">Ciclo bienal, no hay coincidencia. </w:t>
            </w:r>
          </w:p>
        </w:tc>
      </w:tr>
      <w:tr w:rsidR="00041B46" w:rsidRPr="00497B95" w14:paraId="7DD2F1F7" w14:textId="77777777" w:rsidTr="00497B95">
        <w:tc>
          <w:tcPr>
            <w:tcW w:w="2255" w:type="dxa"/>
          </w:tcPr>
          <w:p w14:paraId="53E0C777" w14:textId="79AA3707" w:rsidR="00B3056D" w:rsidRPr="009260DD" w:rsidRDefault="00B3056D" w:rsidP="00497B95">
            <w:pPr>
              <w:spacing w:after="0" w:line="240" w:lineRule="auto"/>
              <w:rPr>
                <w:rFonts w:cs="Arial"/>
                <w:lang w:val="es-ES_tradnl"/>
              </w:rPr>
            </w:pPr>
            <w:r w:rsidRPr="009260DD">
              <w:rPr>
                <w:rFonts w:cs="Arial"/>
                <w:lang w:val="es-ES_tradnl"/>
              </w:rPr>
              <w:t>COP de la CITES</w:t>
            </w:r>
          </w:p>
        </w:tc>
        <w:tc>
          <w:tcPr>
            <w:tcW w:w="1289" w:type="dxa"/>
          </w:tcPr>
          <w:p w14:paraId="7150EFBA" w14:textId="77777777" w:rsidR="00B3056D" w:rsidRPr="009260DD" w:rsidRDefault="00B3056D" w:rsidP="00497B95">
            <w:pPr>
              <w:spacing w:after="0" w:line="240" w:lineRule="auto"/>
              <w:rPr>
                <w:rFonts w:cs="Arial"/>
                <w:lang w:val="es-ES_tradnl"/>
              </w:rPr>
            </w:pPr>
            <w:r w:rsidRPr="009260DD">
              <w:rPr>
                <w:rFonts w:cs="Arial"/>
                <w:lang w:val="es-ES_tradnl"/>
              </w:rPr>
              <w:t>COP17</w:t>
            </w:r>
          </w:p>
        </w:tc>
        <w:tc>
          <w:tcPr>
            <w:tcW w:w="2126" w:type="dxa"/>
          </w:tcPr>
          <w:p w14:paraId="4909A80F" w14:textId="22E0C4C9" w:rsidR="00B3056D" w:rsidRPr="009260DD" w:rsidRDefault="00B3056D" w:rsidP="00497B95">
            <w:pPr>
              <w:spacing w:after="0" w:line="240" w:lineRule="auto"/>
              <w:rPr>
                <w:rFonts w:cs="Arial"/>
                <w:lang w:val="es-ES_tradnl"/>
              </w:rPr>
            </w:pPr>
            <w:r w:rsidRPr="009260DD">
              <w:rPr>
                <w:rFonts w:cs="Arial"/>
                <w:lang w:val="es-ES_tradnl"/>
              </w:rPr>
              <w:t>2016 (y después en 2019)</w:t>
            </w:r>
          </w:p>
        </w:tc>
        <w:tc>
          <w:tcPr>
            <w:tcW w:w="3465" w:type="dxa"/>
          </w:tcPr>
          <w:p w14:paraId="12811A19" w14:textId="4106A4CF" w:rsidR="00B3056D" w:rsidRPr="009260DD" w:rsidRDefault="00B3056D" w:rsidP="00497B95">
            <w:pPr>
              <w:spacing w:after="0" w:line="240" w:lineRule="auto"/>
              <w:rPr>
                <w:rFonts w:cs="Arial"/>
                <w:lang w:val="es-ES_tradnl"/>
              </w:rPr>
            </w:pPr>
            <w:r w:rsidRPr="009260DD">
              <w:rPr>
                <w:rFonts w:cs="Arial"/>
                <w:lang w:val="es-ES_tradnl"/>
              </w:rPr>
              <w:t xml:space="preserve">Si la CITES continúa con el ciclo trienal actual de las COP, no hay coincidencia. </w:t>
            </w:r>
          </w:p>
        </w:tc>
      </w:tr>
      <w:tr w:rsidR="00041B46" w:rsidRPr="009260DD" w14:paraId="0471A9ED" w14:textId="77777777" w:rsidTr="00497B95">
        <w:tc>
          <w:tcPr>
            <w:tcW w:w="2255" w:type="dxa"/>
          </w:tcPr>
          <w:p w14:paraId="20999C79" w14:textId="1337AA04" w:rsidR="00B3056D" w:rsidRPr="00497B95" w:rsidRDefault="00B3056D" w:rsidP="00497B95">
            <w:pPr>
              <w:spacing w:after="0" w:line="240" w:lineRule="auto"/>
              <w:rPr>
                <w:rFonts w:cs="Arial"/>
                <w:lang w:val="fr-FR"/>
              </w:rPr>
            </w:pPr>
            <w:r w:rsidRPr="00497B95">
              <w:rPr>
                <w:rFonts w:cs="Arial"/>
                <w:lang w:val="fr-FR"/>
              </w:rPr>
              <w:t>Comité Permanente de la CITES</w:t>
            </w:r>
          </w:p>
        </w:tc>
        <w:tc>
          <w:tcPr>
            <w:tcW w:w="1289" w:type="dxa"/>
          </w:tcPr>
          <w:p w14:paraId="40149EA8" w14:textId="77777777" w:rsidR="00B3056D" w:rsidRPr="009260DD" w:rsidRDefault="00B3056D" w:rsidP="00497B95">
            <w:pPr>
              <w:spacing w:after="0" w:line="240" w:lineRule="auto"/>
              <w:rPr>
                <w:rFonts w:cs="Arial"/>
                <w:lang w:val="es-ES_tradnl"/>
              </w:rPr>
            </w:pPr>
            <w:r w:rsidRPr="009260DD">
              <w:rPr>
                <w:rFonts w:cs="Arial"/>
                <w:lang w:val="es-ES_tradnl"/>
              </w:rPr>
              <w:t>SC70</w:t>
            </w:r>
          </w:p>
        </w:tc>
        <w:tc>
          <w:tcPr>
            <w:tcW w:w="2126" w:type="dxa"/>
          </w:tcPr>
          <w:p w14:paraId="72175E8E" w14:textId="555955E4" w:rsidR="00B3056D" w:rsidRPr="009260DD" w:rsidRDefault="009260DD" w:rsidP="00497B95">
            <w:pPr>
              <w:spacing w:after="0" w:line="240" w:lineRule="auto"/>
              <w:rPr>
                <w:rFonts w:cs="Arial"/>
                <w:lang w:val="es-ES_tradnl"/>
              </w:rPr>
            </w:pPr>
            <w:r w:rsidRPr="009260DD">
              <w:rPr>
                <w:rFonts w:cs="Arial"/>
                <w:lang w:val="es-ES_tradnl"/>
              </w:rPr>
              <w:t>8 a</w:t>
            </w:r>
            <w:r w:rsidR="00041B46" w:rsidRPr="009260DD">
              <w:rPr>
                <w:rFonts w:cs="Arial"/>
                <w:lang w:val="es-ES_tradnl"/>
              </w:rPr>
              <w:t xml:space="preserve"> </w:t>
            </w:r>
            <w:r w:rsidR="00B3056D" w:rsidRPr="009260DD">
              <w:rPr>
                <w:rFonts w:cs="Arial"/>
                <w:lang w:val="es-ES_tradnl"/>
              </w:rPr>
              <w:t>12 de octubre de 2018</w:t>
            </w:r>
          </w:p>
        </w:tc>
        <w:tc>
          <w:tcPr>
            <w:tcW w:w="3465" w:type="dxa"/>
          </w:tcPr>
          <w:p w14:paraId="05937164" w14:textId="4B0155BE" w:rsidR="00B3056D" w:rsidRPr="009260DD" w:rsidRDefault="00B3056D" w:rsidP="00497B95">
            <w:pPr>
              <w:spacing w:after="0" w:line="240" w:lineRule="auto"/>
              <w:rPr>
                <w:rFonts w:cs="Arial"/>
                <w:lang w:val="es-ES_tradnl"/>
              </w:rPr>
            </w:pPr>
            <w:r w:rsidRPr="009260DD">
              <w:rPr>
                <w:rFonts w:cs="Arial"/>
                <w:lang w:val="es-ES_tradnl"/>
              </w:rPr>
              <w:t>No hay coincidencia.</w:t>
            </w:r>
          </w:p>
        </w:tc>
      </w:tr>
      <w:tr w:rsidR="00041B46" w:rsidRPr="00497B95" w14:paraId="5EA92B4A" w14:textId="77777777" w:rsidTr="00497B95">
        <w:tc>
          <w:tcPr>
            <w:tcW w:w="2255" w:type="dxa"/>
          </w:tcPr>
          <w:p w14:paraId="17909D1A" w14:textId="1F38782B" w:rsidR="00B3056D" w:rsidRPr="009260DD" w:rsidRDefault="00041B46" w:rsidP="00497B95">
            <w:pPr>
              <w:spacing w:after="0" w:line="240" w:lineRule="auto"/>
              <w:rPr>
                <w:rFonts w:cs="Arial"/>
                <w:lang w:val="es-ES_tradnl"/>
              </w:rPr>
            </w:pPr>
            <w:r w:rsidRPr="009260DD">
              <w:rPr>
                <w:rFonts w:cs="Arial"/>
                <w:lang w:val="es-ES_tradnl"/>
              </w:rPr>
              <w:t>COP de la CNULD</w:t>
            </w:r>
          </w:p>
        </w:tc>
        <w:tc>
          <w:tcPr>
            <w:tcW w:w="1289" w:type="dxa"/>
          </w:tcPr>
          <w:p w14:paraId="21E7A42C" w14:textId="77777777" w:rsidR="00B3056D" w:rsidRPr="009260DD" w:rsidRDefault="00B3056D" w:rsidP="00497B95">
            <w:pPr>
              <w:spacing w:after="0" w:line="240" w:lineRule="auto"/>
              <w:rPr>
                <w:rFonts w:cs="Arial"/>
                <w:lang w:val="es-ES_tradnl"/>
              </w:rPr>
            </w:pPr>
            <w:r w:rsidRPr="009260DD">
              <w:rPr>
                <w:rFonts w:cs="Arial"/>
                <w:lang w:val="es-ES_tradnl"/>
              </w:rPr>
              <w:t>COP12</w:t>
            </w:r>
          </w:p>
        </w:tc>
        <w:tc>
          <w:tcPr>
            <w:tcW w:w="2126" w:type="dxa"/>
          </w:tcPr>
          <w:p w14:paraId="4E91E887" w14:textId="091D9B9F" w:rsidR="00B3056D" w:rsidRPr="009260DD" w:rsidRDefault="00B3056D" w:rsidP="00497B95">
            <w:pPr>
              <w:spacing w:after="0" w:line="240" w:lineRule="auto"/>
              <w:rPr>
                <w:rFonts w:cs="Arial"/>
                <w:lang w:val="es-ES_tradnl"/>
              </w:rPr>
            </w:pPr>
            <w:r w:rsidRPr="009260DD">
              <w:rPr>
                <w:rFonts w:cs="Arial"/>
                <w:lang w:val="es-ES_tradnl"/>
              </w:rPr>
              <w:t>2017 (y después en 2019)</w:t>
            </w:r>
          </w:p>
        </w:tc>
        <w:tc>
          <w:tcPr>
            <w:tcW w:w="3465" w:type="dxa"/>
          </w:tcPr>
          <w:p w14:paraId="4E9253E4" w14:textId="36D84953" w:rsidR="00B3056D" w:rsidRPr="009260DD" w:rsidRDefault="00B3056D" w:rsidP="00497B95">
            <w:pPr>
              <w:spacing w:after="0" w:line="240" w:lineRule="auto"/>
              <w:rPr>
                <w:rFonts w:cs="Arial"/>
                <w:lang w:val="es-ES_tradnl"/>
              </w:rPr>
            </w:pPr>
            <w:r w:rsidRPr="009260DD">
              <w:rPr>
                <w:rFonts w:cs="Arial"/>
                <w:lang w:val="es-ES_tradnl"/>
              </w:rPr>
              <w:t>Ciclo bienal, no hay coincidencia.</w:t>
            </w:r>
          </w:p>
        </w:tc>
      </w:tr>
      <w:tr w:rsidR="00041B46" w:rsidRPr="009260DD" w14:paraId="6B45A7C7" w14:textId="77777777" w:rsidTr="00497B95">
        <w:tc>
          <w:tcPr>
            <w:tcW w:w="2255" w:type="dxa"/>
          </w:tcPr>
          <w:p w14:paraId="1AEEB171" w14:textId="67E9192A" w:rsidR="00B3056D" w:rsidRPr="009260DD" w:rsidRDefault="00041B46" w:rsidP="00497B95">
            <w:pPr>
              <w:spacing w:after="0" w:line="240" w:lineRule="auto"/>
              <w:rPr>
                <w:rFonts w:cs="Arial"/>
                <w:lang w:val="es-ES_tradnl"/>
              </w:rPr>
            </w:pPr>
            <w:r w:rsidRPr="009260DD">
              <w:rPr>
                <w:rFonts w:cs="Arial"/>
                <w:lang w:val="es-ES_tradnl"/>
              </w:rPr>
              <w:t>COP de la CMNUCC</w:t>
            </w:r>
          </w:p>
        </w:tc>
        <w:tc>
          <w:tcPr>
            <w:tcW w:w="1289" w:type="dxa"/>
          </w:tcPr>
          <w:p w14:paraId="521A03AE" w14:textId="77777777" w:rsidR="00B3056D" w:rsidRPr="009260DD" w:rsidRDefault="00B3056D" w:rsidP="00497B95">
            <w:pPr>
              <w:spacing w:after="0" w:line="240" w:lineRule="auto"/>
              <w:rPr>
                <w:rFonts w:cs="Arial"/>
                <w:lang w:val="es-ES_tradnl"/>
              </w:rPr>
            </w:pPr>
            <w:r w:rsidRPr="009260DD">
              <w:rPr>
                <w:rFonts w:cs="Arial"/>
                <w:lang w:val="es-ES_tradnl"/>
              </w:rPr>
              <w:t>COP24</w:t>
            </w:r>
          </w:p>
        </w:tc>
        <w:tc>
          <w:tcPr>
            <w:tcW w:w="2126" w:type="dxa"/>
          </w:tcPr>
          <w:p w14:paraId="4B0C1CED" w14:textId="1509D344" w:rsidR="00B3056D" w:rsidRPr="009260DD" w:rsidRDefault="00B3056D" w:rsidP="00497B95">
            <w:pPr>
              <w:spacing w:after="0" w:line="240" w:lineRule="auto"/>
              <w:rPr>
                <w:rFonts w:cs="Arial"/>
                <w:lang w:val="es-ES_tradnl"/>
              </w:rPr>
            </w:pPr>
            <w:r w:rsidRPr="009260DD">
              <w:rPr>
                <w:rFonts w:cs="Arial"/>
                <w:lang w:val="es-ES_tradnl"/>
              </w:rPr>
              <w:t>2018, 5</w:t>
            </w:r>
            <w:r w:rsidR="00041B46" w:rsidRPr="009260DD">
              <w:rPr>
                <w:rFonts w:cs="Arial"/>
                <w:lang w:val="es-ES_tradnl"/>
              </w:rPr>
              <w:t xml:space="preserve"> a </w:t>
            </w:r>
            <w:r w:rsidRPr="009260DD">
              <w:rPr>
                <w:rFonts w:cs="Arial"/>
                <w:lang w:val="es-ES_tradnl"/>
              </w:rPr>
              <w:t>16</w:t>
            </w:r>
            <w:r w:rsidR="00041B46" w:rsidRPr="009260DD">
              <w:rPr>
                <w:rFonts w:cs="Arial"/>
                <w:lang w:val="es-ES_tradnl"/>
              </w:rPr>
              <w:t xml:space="preserve"> de noviembre</w:t>
            </w:r>
          </w:p>
        </w:tc>
        <w:tc>
          <w:tcPr>
            <w:tcW w:w="3465" w:type="dxa"/>
          </w:tcPr>
          <w:p w14:paraId="2ABE8D76" w14:textId="423BF044" w:rsidR="00B3056D" w:rsidRPr="009260DD" w:rsidRDefault="00B3056D" w:rsidP="00497B95">
            <w:pPr>
              <w:spacing w:after="0" w:line="240" w:lineRule="auto"/>
              <w:rPr>
                <w:rFonts w:cs="Arial"/>
                <w:lang w:val="es-ES_tradnl"/>
              </w:rPr>
            </w:pPr>
            <w:r w:rsidRPr="009260DD">
              <w:rPr>
                <w:rFonts w:cs="Arial"/>
                <w:lang w:val="es-ES_tradnl"/>
              </w:rPr>
              <w:t>No hay coincidencia.</w:t>
            </w:r>
          </w:p>
        </w:tc>
      </w:tr>
      <w:tr w:rsidR="00041B46" w:rsidRPr="009260DD" w14:paraId="2B00C7F2" w14:textId="77777777" w:rsidTr="00497B95">
        <w:tc>
          <w:tcPr>
            <w:tcW w:w="2255" w:type="dxa"/>
          </w:tcPr>
          <w:p w14:paraId="6A427B2C" w14:textId="6EC68F01" w:rsidR="00B3056D" w:rsidRPr="009260DD" w:rsidRDefault="00041B46" w:rsidP="00497B95">
            <w:pPr>
              <w:spacing w:after="0" w:line="240" w:lineRule="auto"/>
              <w:rPr>
                <w:rFonts w:cs="Arial"/>
                <w:lang w:val="es-ES_tradnl"/>
              </w:rPr>
            </w:pPr>
            <w:r w:rsidRPr="009260DD">
              <w:rPr>
                <w:rFonts w:cs="Arial"/>
                <w:lang w:val="es-ES_tradnl"/>
              </w:rPr>
              <w:t>Comité de la Convención del Patrimonio Mundial</w:t>
            </w:r>
          </w:p>
        </w:tc>
        <w:tc>
          <w:tcPr>
            <w:tcW w:w="1289" w:type="dxa"/>
          </w:tcPr>
          <w:p w14:paraId="137C26D2" w14:textId="26358DAF" w:rsidR="00B3056D" w:rsidRPr="009260DD" w:rsidRDefault="00041B46" w:rsidP="00497B95">
            <w:pPr>
              <w:spacing w:after="0" w:line="240" w:lineRule="auto"/>
              <w:rPr>
                <w:rFonts w:cs="Arial"/>
                <w:lang w:val="es-ES_tradnl"/>
              </w:rPr>
            </w:pPr>
            <w:r w:rsidRPr="009260DD">
              <w:rPr>
                <w:rFonts w:cs="Arial"/>
                <w:lang w:val="es-ES_tradnl"/>
              </w:rPr>
              <w:t xml:space="preserve">42ª reunión del </w:t>
            </w:r>
            <w:r w:rsidR="00B3056D" w:rsidRPr="009260DD">
              <w:rPr>
                <w:rFonts w:cs="Arial"/>
                <w:lang w:val="es-ES_tradnl"/>
              </w:rPr>
              <w:t>Com</w:t>
            </w:r>
            <w:r w:rsidRPr="009260DD">
              <w:rPr>
                <w:rFonts w:cs="Arial"/>
                <w:lang w:val="es-ES_tradnl"/>
              </w:rPr>
              <w:t>ité</w:t>
            </w:r>
          </w:p>
        </w:tc>
        <w:tc>
          <w:tcPr>
            <w:tcW w:w="2126" w:type="dxa"/>
          </w:tcPr>
          <w:p w14:paraId="1CEA05FB" w14:textId="0186C553" w:rsidR="00B3056D" w:rsidRPr="009260DD" w:rsidRDefault="00B3056D" w:rsidP="00497B95">
            <w:pPr>
              <w:spacing w:after="0" w:line="240" w:lineRule="auto"/>
              <w:rPr>
                <w:rFonts w:cs="Arial"/>
                <w:lang w:val="es-ES_tradnl"/>
              </w:rPr>
            </w:pPr>
            <w:r w:rsidRPr="009260DD">
              <w:rPr>
                <w:rFonts w:cs="Arial"/>
                <w:lang w:val="es-ES_tradnl"/>
              </w:rPr>
              <w:t>(</w:t>
            </w:r>
            <w:r w:rsidR="00041B46" w:rsidRPr="009260DD">
              <w:rPr>
                <w:rFonts w:cs="Arial"/>
                <w:lang w:val="es-ES_tradnl"/>
              </w:rPr>
              <w:t>Junio-julio</w:t>
            </w:r>
            <w:r w:rsidRPr="009260DD">
              <w:rPr>
                <w:rFonts w:cs="Arial"/>
                <w:lang w:val="es-ES_tradnl"/>
              </w:rPr>
              <w:t>) 2018</w:t>
            </w:r>
          </w:p>
        </w:tc>
        <w:tc>
          <w:tcPr>
            <w:tcW w:w="3465" w:type="dxa"/>
          </w:tcPr>
          <w:p w14:paraId="58F430CB" w14:textId="6A192449" w:rsidR="00B3056D" w:rsidRPr="009260DD" w:rsidRDefault="00041B46" w:rsidP="00497B95">
            <w:pPr>
              <w:spacing w:after="0" w:line="240" w:lineRule="auto"/>
              <w:rPr>
                <w:rFonts w:cs="Arial"/>
                <w:lang w:val="es-ES_tradnl"/>
              </w:rPr>
            </w:pPr>
            <w:r w:rsidRPr="009260DD">
              <w:rPr>
                <w:rFonts w:cs="Arial"/>
                <w:lang w:val="es-ES_tradnl"/>
              </w:rPr>
              <w:t>El Comité del Patrimonio Mundial suele reunirse cada año en junio o julio</w:t>
            </w:r>
            <w:r w:rsidR="00B3056D" w:rsidRPr="009260DD">
              <w:rPr>
                <w:rFonts w:cs="Arial"/>
                <w:lang w:val="es-ES_tradnl"/>
              </w:rPr>
              <w:t>. No hay coincidencia.</w:t>
            </w:r>
          </w:p>
        </w:tc>
      </w:tr>
      <w:tr w:rsidR="00041B46" w:rsidRPr="00497B95" w14:paraId="7E3040F2" w14:textId="77777777" w:rsidTr="00497B95">
        <w:tc>
          <w:tcPr>
            <w:tcW w:w="2255" w:type="dxa"/>
          </w:tcPr>
          <w:p w14:paraId="58034D7A" w14:textId="237FA4C8" w:rsidR="00B3056D" w:rsidRPr="009260DD" w:rsidRDefault="00041B46" w:rsidP="00497B95">
            <w:pPr>
              <w:spacing w:after="0" w:line="240" w:lineRule="auto"/>
              <w:rPr>
                <w:rFonts w:cs="Arial"/>
                <w:lang w:val="es-ES_tradnl"/>
              </w:rPr>
            </w:pPr>
            <w:r w:rsidRPr="009260DD">
              <w:rPr>
                <w:rFonts w:cs="Arial"/>
                <w:lang w:val="es-ES_tradnl"/>
              </w:rPr>
              <w:t>Programa El Hombre y la Biosfera</w:t>
            </w:r>
          </w:p>
        </w:tc>
        <w:tc>
          <w:tcPr>
            <w:tcW w:w="1289" w:type="dxa"/>
          </w:tcPr>
          <w:p w14:paraId="11C034DD" w14:textId="0EFD51EF" w:rsidR="00B3056D" w:rsidRPr="009260DD" w:rsidRDefault="00041B46" w:rsidP="00497B95">
            <w:pPr>
              <w:spacing w:after="0" w:line="240" w:lineRule="auto"/>
              <w:rPr>
                <w:rFonts w:cs="Arial"/>
                <w:lang w:val="es-ES_tradnl"/>
              </w:rPr>
            </w:pPr>
            <w:r w:rsidRPr="009260DD">
              <w:rPr>
                <w:rFonts w:cs="Arial"/>
                <w:lang w:val="es-ES_tradnl"/>
              </w:rPr>
              <w:t>28ª reunión del Consejo</w:t>
            </w:r>
          </w:p>
        </w:tc>
        <w:tc>
          <w:tcPr>
            <w:tcW w:w="2126" w:type="dxa"/>
          </w:tcPr>
          <w:p w14:paraId="15B8B936" w14:textId="6711F908" w:rsidR="00B3056D" w:rsidRPr="009260DD" w:rsidRDefault="00041B46" w:rsidP="00497B95">
            <w:pPr>
              <w:spacing w:after="0" w:line="240" w:lineRule="auto"/>
              <w:rPr>
                <w:rFonts w:cs="Arial"/>
                <w:lang w:val="es-ES_tradnl"/>
              </w:rPr>
            </w:pPr>
            <w:r w:rsidRPr="009260DD">
              <w:rPr>
                <w:rFonts w:cs="Arial"/>
                <w:lang w:val="es-ES_tradnl"/>
              </w:rPr>
              <w:t>Junio de</w:t>
            </w:r>
            <w:r w:rsidR="00B3056D" w:rsidRPr="009260DD">
              <w:rPr>
                <w:rFonts w:cs="Arial"/>
                <w:lang w:val="es-ES_tradnl"/>
              </w:rPr>
              <w:t xml:space="preserve"> 2016</w:t>
            </w:r>
          </w:p>
        </w:tc>
        <w:tc>
          <w:tcPr>
            <w:tcW w:w="3465" w:type="dxa"/>
          </w:tcPr>
          <w:p w14:paraId="6AA6058F" w14:textId="79946A6F" w:rsidR="00B3056D" w:rsidRPr="009260DD" w:rsidRDefault="00041B46" w:rsidP="00497B95">
            <w:pPr>
              <w:spacing w:after="0" w:line="240" w:lineRule="auto"/>
              <w:rPr>
                <w:rFonts w:cs="Arial"/>
                <w:lang w:val="es-ES_tradnl"/>
              </w:rPr>
            </w:pPr>
            <w:r w:rsidRPr="009260DD">
              <w:rPr>
                <w:rFonts w:cs="Arial"/>
                <w:lang w:val="es-ES_tradnl"/>
              </w:rPr>
              <w:t>Se reúne cada año. Aún no se dispone de información para 2018 pero como el Consejo se suele reunir a mediados de año no se espera que haya coincidencia</w:t>
            </w:r>
            <w:r w:rsidR="00B3056D" w:rsidRPr="009260DD">
              <w:rPr>
                <w:rFonts w:cs="Arial"/>
                <w:lang w:val="es-ES_tradnl"/>
              </w:rPr>
              <w:t>.</w:t>
            </w:r>
          </w:p>
        </w:tc>
      </w:tr>
      <w:tr w:rsidR="00041B46" w:rsidRPr="009260DD" w14:paraId="4217F645" w14:textId="77777777" w:rsidTr="00497B95">
        <w:tc>
          <w:tcPr>
            <w:tcW w:w="2255" w:type="dxa"/>
          </w:tcPr>
          <w:p w14:paraId="1C3889BD" w14:textId="77777777" w:rsidR="00B3056D" w:rsidRPr="009260DD" w:rsidRDefault="00B3056D" w:rsidP="00497B95">
            <w:pPr>
              <w:spacing w:after="0" w:line="240" w:lineRule="auto"/>
              <w:rPr>
                <w:rFonts w:cs="Arial"/>
                <w:lang w:val="es-ES_tradnl"/>
              </w:rPr>
            </w:pPr>
            <w:r w:rsidRPr="009260DD">
              <w:rPr>
                <w:rFonts w:cs="Arial"/>
                <w:lang w:val="es-ES_tradnl"/>
              </w:rPr>
              <w:t>UNESCO</w:t>
            </w:r>
          </w:p>
        </w:tc>
        <w:tc>
          <w:tcPr>
            <w:tcW w:w="1289" w:type="dxa"/>
          </w:tcPr>
          <w:p w14:paraId="4008DB05" w14:textId="7A2CF007" w:rsidR="00B3056D" w:rsidRPr="009260DD" w:rsidRDefault="00041B46" w:rsidP="00497B95">
            <w:pPr>
              <w:spacing w:after="0" w:line="240" w:lineRule="auto"/>
              <w:rPr>
                <w:rFonts w:cs="Arial"/>
                <w:lang w:val="es-ES_tradnl"/>
              </w:rPr>
            </w:pPr>
            <w:r w:rsidRPr="009260DD">
              <w:rPr>
                <w:rFonts w:cs="Arial"/>
                <w:lang w:val="es-ES_tradnl"/>
              </w:rPr>
              <w:t xml:space="preserve">Conferencia </w:t>
            </w:r>
            <w:r w:rsidR="00B3056D" w:rsidRPr="009260DD">
              <w:rPr>
                <w:rFonts w:cs="Arial"/>
                <w:lang w:val="es-ES_tradnl"/>
              </w:rPr>
              <w:t xml:space="preserve">General </w:t>
            </w:r>
          </w:p>
        </w:tc>
        <w:tc>
          <w:tcPr>
            <w:tcW w:w="2126" w:type="dxa"/>
          </w:tcPr>
          <w:p w14:paraId="2EC733F9" w14:textId="6831BF8C" w:rsidR="00B3056D" w:rsidRPr="009260DD" w:rsidRDefault="00B3056D" w:rsidP="00497B95">
            <w:pPr>
              <w:spacing w:after="0" w:line="240" w:lineRule="auto"/>
              <w:rPr>
                <w:rFonts w:cs="Arial"/>
                <w:lang w:val="es-ES_tradnl"/>
              </w:rPr>
            </w:pPr>
            <w:r w:rsidRPr="009260DD">
              <w:rPr>
                <w:rFonts w:cs="Arial"/>
                <w:lang w:val="es-ES_tradnl"/>
              </w:rPr>
              <w:t>2017 (y después en 2019)</w:t>
            </w:r>
          </w:p>
        </w:tc>
        <w:tc>
          <w:tcPr>
            <w:tcW w:w="3465" w:type="dxa"/>
          </w:tcPr>
          <w:p w14:paraId="2B21932D" w14:textId="2F0931E9" w:rsidR="00B3056D" w:rsidRPr="009260DD" w:rsidRDefault="00041B46" w:rsidP="00497B95">
            <w:pPr>
              <w:spacing w:after="0" w:line="240" w:lineRule="auto"/>
              <w:rPr>
                <w:rFonts w:cs="Arial"/>
                <w:lang w:val="es-ES_tradnl"/>
              </w:rPr>
            </w:pPr>
            <w:r w:rsidRPr="009260DD">
              <w:rPr>
                <w:rFonts w:cs="Arial"/>
                <w:lang w:val="es-ES_tradnl"/>
              </w:rPr>
              <w:t>La CG se reúne cada dos años</w:t>
            </w:r>
            <w:r w:rsidR="00B3056D" w:rsidRPr="009260DD">
              <w:rPr>
                <w:rFonts w:cs="Arial"/>
                <w:lang w:val="es-ES_tradnl"/>
              </w:rPr>
              <w:t>. No hay coincidencia.</w:t>
            </w:r>
          </w:p>
        </w:tc>
      </w:tr>
      <w:tr w:rsidR="00041B46" w:rsidRPr="009260DD" w14:paraId="28115A94" w14:textId="77777777" w:rsidTr="00497B95">
        <w:tc>
          <w:tcPr>
            <w:tcW w:w="2255" w:type="dxa"/>
          </w:tcPr>
          <w:p w14:paraId="2C4F9580" w14:textId="389044CD" w:rsidR="00B3056D" w:rsidRPr="009260DD" w:rsidRDefault="00041B46" w:rsidP="00497B95">
            <w:pPr>
              <w:spacing w:after="0" w:line="240" w:lineRule="auto"/>
              <w:rPr>
                <w:rFonts w:cs="Arial"/>
                <w:lang w:val="es-ES_tradnl"/>
              </w:rPr>
            </w:pPr>
            <w:r w:rsidRPr="009260DD">
              <w:rPr>
                <w:rFonts w:cs="Arial"/>
                <w:lang w:val="es-ES_tradnl"/>
              </w:rPr>
              <w:t>ONU</w:t>
            </w:r>
          </w:p>
        </w:tc>
        <w:tc>
          <w:tcPr>
            <w:tcW w:w="1289" w:type="dxa"/>
          </w:tcPr>
          <w:p w14:paraId="04272094" w14:textId="2F93F62B" w:rsidR="00B3056D" w:rsidRPr="009260DD" w:rsidRDefault="00041B46" w:rsidP="00497B95">
            <w:pPr>
              <w:spacing w:after="0" w:line="240" w:lineRule="auto"/>
              <w:rPr>
                <w:rFonts w:cs="Arial"/>
                <w:lang w:val="es-ES_tradnl"/>
              </w:rPr>
            </w:pPr>
            <w:r w:rsidRPr="009260DD">
              <w:rPr>
                <w:rFonts w:cs="Arial"/>
                <w:lang w:val="es-ES_tradnl"/>
              </w:rPr>
              <w:t>Asamblea General</w:t>
            </w:r>
          </w:p>
        </w:tc>
        <w:tc>
          <w:tcPr>
            <w:tcW w:w="2126" w:type="dxa"/>
          </w:tcPr>
          <w:p w14:paraId="6C196F68" w14:textId="4C92D983" w:rsidR="00B3056D" w:rsidRPr="009260DD" w:rsidRDefault="00B3056D" w:rsidP="00497B95">
            <w:pPr>
              <w:spacing w:after="0" w:line="240" w:lineRule="auto"/>
              <w:rPr>
                <w:rFonts w:cs="Arial"/>
                <w:lang w:val="es-ES_tradnl"/>
              </w:rPr>
            </w:pPr>
            <w:r w:rsidRPr="009260DD">
              <w:rPr>
                <w:rFonts w:cs="Arial"/>
                <w:lang w:val="es-ES_tradnl"/>
              </w:rPr>
              <w:t xml:space="preserve">25 </w:t>
            </w:r>
            <w:r w:rsidR="00041B46" w:rsidRPr="009260DD">
              <w:rPr>
                <w:rFonts w:cs="Arial"/>
                <w:lang w:val="es-ES_tradnl"/>
              </w:rPr>
              <w:t>de septiembre a 10 de octubre de 2</w:t>
            </w:r>
            <w:r w:rsidRPr="009260DD">
              <w:rPr>
                <w:rFonts w:cs="Arial"/>
                <w:lang w:val="es-ES_tradnl"/>
              </w:rPr>
              <w:t>018</w:t>
            </w:r>
          </w:p>
        </w:tc>
        <w:tc>
          <w:tcPr>
            <w:tcW w:w="3465" w:type="dxa"/>
          </w:tcPr>
          <w:p w14:paraId="26D3D7FA" w14:textId="268D441E" w:rsidR="00B3056D" w:rsidRPr="009260DD" w:rsidRDefault="00B3056D" w:rsidP="00497B95">
            <w:pPr>
              <w:spacing w:after="0" w:line="240" w:lineRule="auto"/>
              <w:rPr>
                <w:rFonts w:cs="Arial"/>
                <w:lang w:val="es-ES_tradnl"/>
              </w:rPr>
            </w:pPr>
            <w:r w:rsidRPr="009260DD">
              <w:rPr>
                <w:rFonts w:cs="Arial"/>
                <w:lang w:val="es-ES_tradnl"/>
              </w:rPr>
              <w:t>No hay coincidencia.</w:t>
            </w:r>
          </w:p>
        </w:tc>
      </w:tr>
      <w:tr w:rsidR="00041B46" w:rsidRPr="00497B95" w14:paraId="5B5725DE" w14:textId="77777777" w:rsidTr="00497B95">
        <w:tc>
          <w:tcPr>
            <w:tcW w:w="2255" w:type="dxa"/>
          </w:tcPr>
          <w:p w14:paraId="3CCCA18E" w14:textId="689CDF02" w:rsidR="00B3056D" w:rsidRPr="009260DD" w:rsidRDefault="00041B46" w:rsidP="00497B95">
            <w:pPr>
              <w:spacing w:after="0" w:line="240" w:lineRule="auto"/>
              <w:rPr>
                <w:rFonts w:cs="Arial"/>
                <w:lang w:val="es-ES_tradnl"/>
              </w:rPr>
            </w:pPr>
            <w:r w:rsidRPr="009260DD">
              <w:rPr>
                <w:rFonts w:cs="Arial"/>
                <w:lang w:val="es-ES_tradnl"/>
              </w:rPr>
              <w:t>Convenio del Agua de la CEPE</w:t>
            </w:r>
          </w:p>
        </w:tc>
        <w:tc>
          <w:tcPr>
            <w:tcW w:w="1289" w:type="dxa"/>
          </w:tcPr>
          <w:p w14:paraId="115E8A7F" w14:textId="77777777" w:rsidR="00B3056D" w:rsidRPr="009260DD" w:rsidRDefault="00B3056D" w:rsidP="00497B95">
            <w:pPr>
              <w:spacing w:after="0" w:line="240" w:lineRule="auto"/>
              <w:rPr>
                <w:rFonts w:cs="Arial"/>
                <w:lang w:val="es-ES_tradnl"/>
              </w:rPr>
            </w:pPr>
            <w:r w:rsidRPr="009260DD">
              <w:rPr>
                <w:rFonts w:cs="Arial"/>
                <w:lang w:val="es-ES_tradnl"/>
              </w:rPr>
              <w:t>MOP</w:t>
            </w:r>
          </w:p>
        </w:tc>
        <w:tc>
          <w:tcPr>
            <w:tcW w:w="2126" w:type="dxa"/>
          </w:tcPr>
          <w:p w14:paraId="72F3EFAB" w14:textId="2321EF7E" w:rsidR="00B3056D" w:rsidRPr="009260DD" w:rsidRDefault="00B3056D" w:rsidP="00497B95">
            <w:pPr>
              <w:spacing w:after="0" w:line="240" w:lineRule="auto"/>
              <w:rPr>
                <w:rFonts w:cs="Arial"/>
                <w:lang w:val="es-ES_tradnl"/>
              </w:rPr>
            </w:pPr>
            <w:r w:rsidRPr="009260DD">
              <w:rPr>
                <w:rFonts w:cs="Arial"/>
                <w:lang w:val="es-ES_tradnl"/>
              </w:rPr>
              <w:t xml:space="preserve">(2018, </w:t>
            </w:r>
            <w:r w:rsidR="00041B46" w:rsidRPr="009260DD">
              <w:rPr>
                <w:rFonts w:cs="Arial"/>
                <w:lang w:val="es-ES_tradnl"/>
              </w:rPr>
              <w:t>noviembre?</w:t>
            </w:r>
            <w:r w:rsidRPr="009260DD">
              <w:rPr>
                <w:rFonts w:cs="Arial"/>
                <w:lang w:val="es-ES_tradnl"/>
              </w:rPr>
              <w:t xml:space="preserve"> </w:t>
            </w:r>
            <w:r w:rsidR="00041B46" w:rsidRPr="009260DD">
              <w:rPr>
                <w:rFonts w:cs="Arial"/>
                <w:lang w:val="es-ES_tradnl"/>
              </w:rPr>
              <w:t>Fechas no fijadas aún</w:t>
            </w:r>
            <w:r w:rsidRPr="009260DD">
              <w:rPr>
                <w:rFonts w:cs="Arial"/>
                <w:lang w:val="es-ES_tradnl"/>
              </w:rPr>
              <w:t>)</w:t>
            </w:r>
          </w:p>
        </w:tc>
        <w:tc>
          <w:tcPr>
            <w:tcW w:w="3465" w:type="dxa"/>
          </w:tcPr>
          <w:p w14:paraId="133E628B" w14:textId="0D96FDE2" w:rsidR="00B3056D" w:rsidRPr="009260DD" w:rsidRDefault="00041B46" w:rsidP="00497B95">
            <w:pPr>
              <w:spacing w:after="0" w:line="240" w:lineRule="auto"/>
              <w:rPr>
                <w:rFonts w:cs="Arial"/>
                <w:b/>
                <w:lang w:val="es-ES_tradnl"/>
              </w:rPr>
            </w:pPr>
            <w:r w:rsidRPr="009260DD">
              <w:rPr>
                <w:rFonts w:cs="Arial"/>
                <w:lang w:val="es-ES_tradnl"/>
              </w:rPr>
              <w:t>Ciclo trienal. La Secretaría de la CEPE ha tomado nota de las posibles fechas de Ramsar y evitará programar su MOP al mismo tiempo</w:t>
            </w:r>
            <w:r w:rsidR="00B3056D" w:rsidRPr="009260DD">
              <w:rPr>
                <w:rFonts w:cs="Arial"/>
                <w:lang w:val="es-ES_tradnl"/>
              </w:rPr>
              <w:t>.</w:t>
            </w:r>
          </w:p>
        </w:tc>
      </w:tr>
    </w:tbl>
    <w:p w14:paraId="18BF5E77" w14:textId="77777777" w:rsidR="003E067F" w:rsidRPr="009260DD" w:rsidRDefault="003E067F" w:rsidP="003E067F">
      <w:pPr>
        <w:spacing w:after="0" w:line="240" w:lineRule="auto"/>
        <w:ind w:left="426"/>
        <w:rPr>
          <w:lang w:val="es-ES_tradnl"/>
        </w:rPr>
      </w:pPr>
    </w:p>
    <w:p w14:paraId="0097AFC2" w14:textId="77777777" w:rsidR="00B02B8E" w:rsidRPr="009260DD" w:rsidRDefault="00B02B8E" w:rsidP="005B42D4">
      <w:pPr>
        <w:spacing w:after="0" w:line="240" w:lineRule="auto"/>
        <w:ind w:left="426" w:hanging="426"/>
        <w:rPr>
          <w:b/>
          <w:lang w:val="es-ES_tradnl"/>
        </w:rPr>
      </w:pPr>
      <w:r w:rsidRPr="009260DD">
        <w:rPr>
          <w:b/>
          <w:lang w:val="es-ES_tradnl"/>
        </w:rPr>
        <w:t>Memoran</w:t>
      </w:r>
      <w:r w:rsidR="00884FC0" w:rsidRPr="009260DD">
        <w:rPr>
          <w:b/>
          <w:lang w:val="es-ES_tradnl"/>
        </w:rPr>
        <w:t>do de entendimiento</w:t>
      </w:r>
      <w:r w:rsidRPr="009260DD">
        <w:rPr>
          <w:b/>
          <w:lang w:val="es-ES_tradnl"/>
        </w:rPr>
        <w:t xml:space="preserve"> </w:t>
      </w:r>
    </w:p>
    <w:p w14:paraId="563E659D" w14:textId="77777777" w:rsidR="00B02B8E" w:rsidRPr="009260DD" w:rsidRDefault="00B02B8E" w:rsidP="00B02B8E">
      <w:pPr>
        <w:spacing w:after="0" w:line="240" w:lineRule="auto"/>
        <w:ind w:left="567" w:hanging="567"/>
        <w:rPr>
          <w:lang w:val="es-ES_tradnl"/>
        </w:rPr>
      </w:pPr>
    </w:p>
    <w:p w14:paraId="32CD2475" w14:textId="74BA76E8" w:rsidR="00B7357A" w:rsidRPr="009260DD" w:rsidRDefault="00884FC0" w:rsidP="00B02B8E">
      <w:pPr>
        <w:numPr>
          <w:ilvl w:val="0"/>
          <w:numId w:val="8"/>
        </w:numPr>
        <w:spacing w:after="0" w:line="240" w:lineRule="auto"/>
        <w:ind w:left="426" w:hanging="426"/>
        <w:rPr>
          <w:lang w:val="es-ES_tradnl"/>
        </w:rPr>
      </w:pPr>
      <w:r w:rsidRPr="009260DD">
        <w:rPr>
          <w:lang w:val="es-ES_tradnl"/>
        </w:rPr>
        <w:t xml:space="preserve">Se </w:t>
      </w:r>
      <w:r w:rsidR="00227800" w:rsidRPr="009260DD">
        <w:rPr>
          <w:lang w:val="es-ES_tradnl"/>
        </w:rPr>
        <w:t>facilitará</w:t>
      </w:r>
      <w:r w:rsidRPr="009260DD">
        <w:rPr>
          <w:lang w:val="es-ES_tradnl"/>
        </w:rPr>
        <w:t xml:space="preserve"> una actualización sobre los progresos realizados en la firma del </w:t>
      </w:r>
      <w:r w:rsidR="0067373F" w:rsidRPr="009260DD">
        <w:rPr>
          <w:lang w:val="es-ES_tradnl"/>
        </w:rPr>
        <w:t xml:space="preserve">memorando de entendimiento </w:t>
      </w:r>
      <w:r w:rsidRPr="009260DD">
        <w:rPr>
          <w:lang w:val="es-ES_tradnl"/>
        </w:rPr>
        <w:t>entre la Secretaría y los Emiratos Árabes Unidos.</w:t>
      </w:r>
    </w:p>
    <w:sectPr w:rsidR="00B7357A" w:rsidRPr="009260DD" w:rsidSect="00872ED6">
      <w:footerReference w:type="default" r:id="rId8"/>
      <w:pgSz w:w="11907" w:h="16839" w:code="9"/>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2B84C" w14:textId="77777777" w:rsidR="00041B46" w:rsidRDefault="00041B46" w:rsidP="00B02B8E">
      <w:pPr>
        <w:spacing w:after="0" w:line="240" w:lineRule="auto"/>
      </w:pPr>
      <w:r>
        <w:separator/>
      </w:r>
    </w:p>
  </w:endnote>
  <w:endnote w:type="continuationSeparator" w:id="0">
    <w:p w14:paraId="543560BD" w14:textId="77777777" w:rsidR="00041B46" w:rsidRDefault="00041B46" w:rsidP="00B02B8E">
      <w:pPr>
        <w:spacing w:after="0" w:line="240" w:lineRule="auto"/>
      </w:pPr>
      <w:r>
        <w:continuationSeparator/>
      </w:r>
    </w:p>
  </w:endnote>
  <w:endnote w:type="continuationNotice" w:id="1">
    <w:p w14:paraId="3EDAB457" w14:textId="77777777" w:rsidR="00041B46" w:rsidRDefault="00041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E6EC" w14:textId="119D0091" w:rsidR="00497B95" w:rsidRPr="00497B95" w:rsidRDefault="00497B95" w:rsidP="00497B95">
    <w:pPr>
      <w:pStyle w:val="Footer"/>
      <w:tabs>
        <w:tab w:val="clear" w:pos="9360"/>
        <w:tab w:val="right" w:pos="9072"/>
      </w:tabs>
      <w:spacing w:after="0" w:line="240" w:lineRule="auto"/>
      <w:rPr>
        <w:sz w:val="20"/>
      </w:rPr>
    </w:pPr>
    <w:r w:rsidRPr="00342547">
      <w:rPr>
        <w:sz w:val="20"/>
        <w:szCs w:val="20"/>
      </w:rPr>
      <w:t>SC52-02</w:t>
    </w:r>
    <w:r w:rsidRPr="00342547">
      <w:rPr>
        <w:sz w:val="20"/>
        <w:szCs w:val="20"/>
      </w:rPr>
      <w:tab/>
    </w:r>
    <w:r w:rsidRPr="00342547">
      <w:rPr>
        <w:sz w:val="20"/>
        <w:szCs w:val="20"/>
      </w:rPr>
      <w:tab/>
    </w:r>
    <w:r w:rsidRPr="00342547">
      <w:rPr>
        <w:sz w:val="20"/>
        <w:szCs w:val="20"/>
      </w:rPr>
      <w:fldChar w:fldCharType="begin"/>
    </w:r>
    <w:r w:rsidRPr="00342547">
      <w:rPr>
        <w:sz w:val="20"/>
        <w:szCs w:val="20"/>
      </w:rPr>
      <w:instrText xml:space="preserve"> PAGE   \* MERGEFORMAT </w:instrText>
    </w:r>
    <w:r w:rsidRPr="00342547">
      <w:rPr>
        <w:sz w:val="20"/>
        <w:szCs w:val="20"/>
      </w:rPr>
      <w:fldChar w:fldCharType="separate"/>
    </w:r>
    <w:r>
      <w:rPr>
        <w:noProof/>
        <w:sz w:val="20"/>
        <w:szCs w:val="20"/>
      </w:rPr>
      <w:t>2</w:t>
    </w:r>
    <w:r w:rsidRPr="0034254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89089" w14:textId="77777777" w:rsidR="00041B46" w:rsidRDefault="00041B46" w:rsidP="00B02B8E">
      <w:pPr>
        <w:spacing w:after="0" w:line="240" w:lineRule="auto"/>
      </w:pPr>
      <w:r>
        <w:separator/>
      </w:r>
    </w:p>
  </w:footnote>
  <w:footnote w:type="continuationSeparator" w:id="0">
    <w:p w14:paraId="213A01EF" w14:textId="77777777" w:rsidR="00041B46" w:rsidRDefault="00041B46" w:rsidP="00B02B8E">
      <w:pPr>
        <w:spacing w:after="0" w:line="240" w:lineRule="auto"/>
      </w:pPr>
      <w:r>
        <w:continuationSeparator/>
      </w:r>
    </w:p>
  </w:footnote>
  <w:footnote w:type="continuationNotice" w:id="1">
    <w:p w14:paraId="58614F97" w14:textId="77777777" w:rsidR="00041B46" w:rsidRDefault="00041B4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F87"/>
    <w:multiLevelType w:val="hybridMultilevel"/>
    <w:tmpl w:val="4FFCE94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341BAA"/>
    <w:multiLevelType w:val="hybridMultilevel"/>
    <w:tmpl w:val="3C38871A"/>
    <w:lvl w:ilvl="0" w:tplc="8BBAC28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9E33FF0"/>
    <w:multiLevelType w:val="hybridMultilevel"/>
    <w:tmpl w:val="2D78A15C"/>
    <w:lvl w:ilvl="0" w:tplc="04090019">
      <w:start w:val="1"/>
      <w:numFmt w:val="lowerLetter"/>
      <w:lvlText w:val="%1."/>
      <w:lvlJc w:val="left"/>
      <w:pPr>
        <w:ind w:left="720" w:hanging="360"/>
      </w:pPr>
      <w:rPr>
        <w:rFonts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C42F3"/>
    <w:multiLevelType w:val="hybridMultilevel"/>
    <w:tmpl w:val="5D0AB60E"/>
    <w:lvl w:ilvl="0" w:tplc="761ED18C">
      <w:start w:val="1"/>
      <w:numFmt w:val="lowerRoman"/>
      <w:lvlText w:val="%1."/>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F2D2040"/>
    <w:multiLevelType w:val="hybridMultilevel"/>
    <w:tmpl w:val="F51CFE16"/>
    <w:lvl w:ilvl="0" w:tplc="761ED18C">
      <w:start w:val="1"/>
      <w:numFmt w:val="lowerRoman"/>
      <w:lvlText w:val="%1."/>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673FC"/>
    <w:multiLevelType w:val="hybridMultilevel"/>
    <w:tmpl w:val="E4FE7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E7006"/>
    <w:multiLevelType w:val="hybridMultilevel"/>
    <w:tmpl w:val="D18A2C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A6865AD"/>
    <w:multiLevelType w:val="hybridMultilevel"/>
    <w:tmpl w:val="1B2E2D48"/>
    <w:lvl w:ilvl="0" w:tplc="81BECFC0">
      <w:start w:val="1"/>
      <w:numFmt w:val="decimal"/>
      <w:lvlText w:val="%1."/>
      <w:lvlJc w:val="left"/>
      <w:pPr>
        <w:ind w:left="720" w:hanging="360"/>
      </w:pPr>
      <w:rPr>
        <w:rFonts w:hint="default"/>
        <w:strike w:val="0"/>
      </w:rPr>
    </w:lvl>
    <w:lvl w:ilvl="1" w:tplc="D1369462">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62874"/>
    <w:multiLevelType w:val="hybridMultilevel"/>
    <w:tmpl w:val="04FA54F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A7DA0"/>
    <w:multiLevelType w:val="hybridMultilevel"/>
    <w:tmpl w:val="6E3ECAB8"/>
    <w:lvl w:ilvl="0" w:tplc="AFC0DB8E">
      <w:numFmt w:val="bullet"/>
      <w:lvlText w:val="-"/>
      <w:lvlJc w:val="left"/>
      <w:pPr>
        <w:ind w:left="720" w:hanging="360"/>
      </w:pPr>
      <w:rPr>
        <w:rFonts w:ascii="Garamond" w:eastAsia="Batang" w:hAnsi="Garamond"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E2ACD"/>
    <w:multiLevelType w:val="hybridMultilevel"/>
    <w:tmpl w:val="60AC27B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7397667"/>
    <w:multiLevelType w:val="hybridMultilevel"/>
    <w:tmpl w:val="8AC8BF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alibri"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alibri"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alibri"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5AAE1D3F"/>
    <w:multiLevelType w:val="hybridMultilevel"/>
    <w:tmpl w:val="7B3C2B7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E273C"/>
    <w:multiLevelType w:val="hybridMultilevel"/>
    <w:tmpl w:val="5366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F671C"/>
    <w:multiLevelType w:val="hybridMultilevel"/>
    <w:tmpl w:val="C892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3"/>
  </w:num>
  <w:num w:numId="5">
    <w:abstractNumId w:val="14"/>
  </w:num>
  <w:num w:numId="6">
    <w:abstractNumId w:val="1"/>
  </w:num>
  <w:num w:numId="7">
    <w:abstractNumId w:val="10"/>
  </w:num>
  <w:num w:numId="8">
    <w:abstractNumId w:val="7"/>
  </w:num>
  <w:num w:numId="9">
    <w:abstractNumId w:val="9"/>
  </w:num>
  <w:num w:numId="10">
    <w:abstractNumId w:val="2"/>
  </w:num>
  <w:num w:numId="11">
    <w:abstractNumId w:val="0"/>
  </w:num>
  <w:num w:numId="12">
    <w:abstractNumId w:val="6"/>
  </w:num>
  <w:num w:numId="13">
    <w:abstractNumId w:val="11"/>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activeWritingStyle w:appName="MSWord" w:lang="en-US" w:vendorID="64" w:dllVersion="131078" w:nlCheck="1" w:checkStyle="1"/>
  <w:doNotTrackMoves/>
  <w:defaultTabStop w:val="851"/>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766"/>
    <w:rsid w:val="00041B46"/>
    <w:rsid w:val="00046262"/>
    <w:rsid w:val="00073583"/>
    <w:rsid w:val="000941FC"/>
    <w:rsid w:val="000B7AB1"/>
    <w:rsid w:val="00110644"/>
    <w:rsid w:val="00141E66"/>
    <w:rsid w:val="001D4B60"/>
    <w:rsid w:val="001E6E51"/>
    <w:rsid w:val="002166E7"/>
    <w:rsid w:val="00227800"/>
    <w:rsid w:val="00291F83"/>
    <w:rsid w:val="002A32A9"/>
    <w:rsid w:val="002C2C61"/>
    <w:rsid w:val="002E0325"/>
    <w:rsid w:val="003560ED"/>
    <w:rsid w:val="00364F0F"/>
    <w:rsid w:val="003E067F"/>
    <w:rsid w:val="00497B95"/>
    <w:rsid w:val="004A647F"/>
    <w:rsid w:val="004E15CA"/>
    <w:rsid w:val="005B42D4"/>
    <w:rsid w:val="00635ACA"/>
    <w:rsid w:val="00644DAD"/>
    <w:rsid w:val="006720BB"/>
    <w:rsid w:val="0067373F"/>
    <w:rsid w:val="00711E3D"/>
    <w:rsid w:val="007F3AB0"/>
    <w:rsid w:val="0080327C"/>
    <w:rsid w:val="008052C5"/>
    <w:rsid w:val="00872ED6"/>
    <w:rsid w:val="00884FC0"/>
    <w:rsid w:val="008B56CE"/>
    <w:rsid w:val="008F342B"/>
    <w:rsid w:val="00907A5C"/>
    <w:rsid w:val="009260DD"/>
    <w:rsid w:val="00943326"/>
    <w:rsid w:val="009B204C"/>
    <w:rsid w:val="009C4C69"/>
    <w:rsid w:val="009E1E4F"/>
    <w:rsid w:val="009E4D99"/>
    <w:rsid w:val="00A45766"/>
    <w:rsid w:val="00AB2343"/>
    <w:rsid w:val="00AF2862"/>
    <w:rsid w:val="00B02B8E"/>
    <w:rsid w:val="00B3056D"/>
    <w:rsid w:val="00B6117D"/>
    <w:rsid w:val="00B7357A"/>
    <w:rsid w:val="00B73E5D"/>
    <w:rsid w:val="00BC3D2D"/>
    <w:rsid w:val="00BC7E10"/>
    <w:rsid w:val="00C3251D"/>
    <w:rsid w:val="00CC2EFC"/>
    <w:rsid w:val="00CD71B2"/>
    <w:rsid w:val="00D06FD5"/>
    <w:rsid w:val="00D71D7A"/>
    <w:rsid w:val="00E66149"/>
    <w:rsid w:val="00E70A87"/>
    <w:rsid w:val="00EC334F"/>
    <w:rsid w:val="00FC012F"/>
    <w:rsid w:val="00FD3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D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B30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B30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7442">
      <w:bodyDiv w:val="1"/>
      <w:marLeft w:val="0"/>
      <w:marRight w:val="0"/>
      <w:marTop w:val="0"/>
      <w:marBottom w:val="0"/>
      <w:divBdr>
        <w:top w:val="none" w:sz="0" w:space="0" w:color="auto"/>
        <w:left w:val="none" w:sz="0" w:space="0" w:color="auto"/>
        <w:bottom w:val="none" w:sz="0" w:space="0" w:color="auto"/>
        <w:right w:val="none" w:sz="0" w:space="0" w:color="auto"/>
      </w:divBdr>
    </w:div>
    <w:div w:id="1852261818">
      <w:bodyDiv w:val="1"/>
      <w:marLeft w:val="0"/>
      <w:marRight w:val="0"/>
      <w:marTop w:val="0"/>
      <w:marBottom w:val="0"/>
      <w:divBdr>
        <w:top w:val="none" w:sz="0" w:space="0" w:color="auto"/>
        <w:left w:val="none" w:sz="0" w:space="0" w:color="auto"/>
        <w:bottom w:val="none" w:sz="0" w:space="0" w:color="auto"/>
        <w:right w:val="none" w:sz="0" w:space="0" w:color="auto"/>
      </w:divBdr>
    </w:div>
    <w:div w:id="2054696445">
      <w:bodyDiv w:val="1"/>
      <w:marLeft w:val="0"/>
      <w:marRight w:val="0"/>
      <w:marTop w:val="0"/>
      <w:marBottom w:val="0"/>
      <w:divBdr>
        <w:top w:val="none" w:sz="0" w:space="0" w:color="auto"/>
        <w:left w:val="none" w:sz="0" w:space="0" w:color="auto"/>
        <w:bottom w:val="none" w:sz="0" w:space="0" w:color="auto"/>
        <w:right w:val="none" w:sz="0" w:space="0" w:color="auto"/>
      </w:divBdr>
    </w:div>
    <w:div w:id="212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2</cp:revision>
  <cp:lastPrinted>2014-02-18T15:11:00Z</cp:lastPrinted>
  <dcterms:created xsi:type="dcterms:W3CDTF">2016-03-11T09:50:00Z</dcterms:created>
  <dcterms:modified xsi:type="dcterms:W3CDTF">2016-03-11T09:50:00Z</dcterms:modified>
</cp:coreProperties>
</file>