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F2C8" w14:textId="77777777" w:rsidR="004036E9" w:rsidRPr="004F549F" w:rsidRDefault="004036E9" w:rsidP="004036E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/>
          <w:bCs/>
          <w:lang w:val="es-ES_tradnl"/>
        </w:rPr>
      </w:pPr>
      <w:r w:rsidRPr="004F549F">
        <w:rPr>
          <w:rFonts w:ascii="Calibri" w:hAnsi="Calibri"/>
          <w:bCs/>
          <w:lang w:val="es-ES_tradnl"/>
        </w:rPr>
        <w:t>CONVEN</w:t>
      </w:r>
      <w:r w:rsidR="00261636" w:rsidRPr="004F549F">
        <w:rPr>
          <w:rFonts w:ascii="Calibri" w:hAnsi="Calibri"/>
          <w:bCs/>
          <w:lang w:val="es-ES_tradnl"/>
        </w:rPr>
        <w:t>CIÓN SOBRE LOS HUMEDALES (Ramsar, Irá</w:t>
      </w:r>
      <w:r w:rsidRPr="004F549F">
        <w:rPr>
          <w:rFonts w:ascii="Calibri" w:hAnsi="Calibri"/>
          <w:bCs/>
          <w:lang w:val="es-ES_tradnl"/>
        </w:rPr>
        <w:t>n, 1971)</w:t>
      </w:r>
    </w:p>
    <w:p w14:paraId="28CBA053" w14:textId="77777777" w:rsidR="004036E9" w:rsidRPr="004F549F" w:rsidRDefault="004036E9" w:rsidP="004036E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/>
          <w:bCs/>
          <w:lang w:val="es-ES_tradnl"/>
        </w:rPr>
      </w:pPr>
      <w:r w:rsidRPr="004F549F">
        <w:rPr>
          <w:rFonts w:ascii="Calibri" w:hAnsi="Calibri"/>
          <w:bCs/>
          <w:lang w:val="es-ES_tradnl"/>
        </w:rPr>
        <w:t>51</w:t>
      </w:r>
      <w:r w:rsidR="00261636" w:rsidRPr="004F549F">
        <w:rPr>
          <w:rFonts w:ascii="Calibri" w:hAnsi="Calibri"/>
          <w:bCs/>
          <w:lang w:val="es-ES_tradnl"/>
        </w:rPr>
        <w:t>ª Reunión del Comité Permanent</w:t>
      </w:r>
      <w:r w:rsidRPr="004F549F">
        <w:rPr>
          <w:rFonts w:ascii="Calibri" w:hAnsi="Calibri"/>
          <w:bCs/>
          <w:lang w:val="es-ES_tradnl"/>
        </w:rPr>
        <w:t>e</w:t>
      </w:r>
    </w:p>
    <w:p w14:paraId="26D25670" w14:textId="77777777" w:rsidR="004036E9" w:rsidRPr="004F549F" w:rsidRDefault="004036E9" w:rsidP="004036E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="Calibri" w:hAnsi="Calibri"/>
          <w:bCs/>
          <w:lang w:val="es-ES_tradnl"/>
        </w:rPr>
      </w:pPr>
      <w:r w:rsidRPr="004F549F">
        <w:rPr>
          <w:rFonts w:ascii="Calibri" w:hAnsi="Calibri"/>
          <w:bCs/>
          <w:lang w:val="es-ES_tradnl"/>
        </w:rPr>
        <w:t>Gland, S</w:t>
      </w:r>
      <w:r w:rsidR="00261636" w:rsidRPr="004F549F">
        <w:rPr>
          <w:rFonts w:ascii="Calibri" w:hAnsi="Calibri"/>
          <w:bCs/>
          <w:lang w:val="es-ES_tradnl"/>
        </w:rPr>
        <w:t>uiza</w:t>
      </w:r>
      <w:r w:rsidRPr="004F549F">
        <w:rPr>
          <w:rFonts w:ascii="Calibri" w:hAnsi="Calibri"/>
          <w:bCs/>
          <w:lang w:val="es-ES_tradnl"/>
        </w:rPr>
        <w:t>, 23</w:t>
      </w:r>
      <w:r w:rsidR="00261636" w:rsidRPr="004F549F">
        <w:rPr>
          <w:rFonts w:ascii="Calibri" w:hAnsi="Calibri"/>
          <w:bCs/>
          <w:lang w:val="es-ES_tradnl"/>
        </w:rPr>
        <w:t xml:space="preserve"> a </w:t>
      </w:r>
      <w:r w:rsidRPr="004F549F">
        <w:rPr>
          <w:rFonts w:ascii="Calibri" w:hAnsi="Calibri"/>
          <w:bCs/>
          <w:lang w:val="es-ES_tradnl"/>
        </w:rPr>
        <w:t xml:space="preserve">27 </w:t>
      </w:r>
      <w:r w:rsidR="00261636" w:rsidRPr="004F549F">
        <w:rPr>
          <w:rFonts w:ascii="Calibri" w:hAnsi="Calibri"/>
          <w:bCs/>
          <w:lang w:val="es-ES_tradnl"/>
        </w:rPr>
        <w:t xml:space="preserve">de noviembre de </w:t>
      </w:r>
      <w:r w:rsidRPr="004F549F">
        <w:rPr>
          <w:rFonts w:ascii="Calibri" w:hAnsi="Calibri"/>
          <w:bCs/>
          <w:lang w:val="es-ES_tradnl"/>
        </w:rPr>
        <w:t>2015</w:t>
      </w:r>
    </w:p>
    <w:p w14:paraId="6E4AC8B2" w14:textId="77777777" w:rsidR="00FB3ADD" w:rsidRPr="004F549F" w:rsidRDefault="00FB3ADD" w:rsidP="004036E9">
      <w:pPr>
        <w:pStyle w:val="Heading1"/>
        <w:jc w:val="right"/>
        <w:rPr>
          <w:rFonts w:ascii="Calibri" w:hAnsi="Calibri"/>
          <w:sz w:val="28"/>
          <w:szCs w:val="28"/>
          <w:lang w:val="es-ES_tradnl"/>
        </w:rPr>
      </w:pPr>
    </w:p>
    <w:p w14:paraId="460255D7" w14:textId="77777777" w:rsidR="004036E9" w:rsidRPr="004F549F" w:rsidRDefault="00FB3ADD" w:rsidP="004036E9">
      <w:pPr>
        <w:pStyle w:val="Heading1"/>
        <w:jc w:val="right"/>
        <w:rPr>
          <w:rFonts w:ascii="Calibri" w:hAnsi="Calibri"/>
          <w:sz w:val="28"/>
          <w:szCs w:val="28"/>
          <w:lang w:val="es-ES_tradnl"/>
        </w:rPr>
      </w:pPr>
      <w:r w:rsidRPr="004F549F">
        <w:rPr>
          <w:rFonts w:ascii="Calibri" w:hAnsi="Calibri"/>
          <w:sz w:val="28"/>
          <w:szCs w:val="28"/>
          <w:lang w:val="es-ES_tradnl"/>
        </w:rPr>
        <w:t>SC51 INF.DOC.03</w:t>
      </w:r>
    </w:p>
    <w:p w14:paraId="62A3F8A3" w14:textId="77777777" w:rsidR="00FB3ADD" w:rsidRPr="004F549F" w:rsidRDefault="00FB3ADD" w:rsidP="004036E9">
      <w:pPr>
        <w:jc w:val="center"/>
        <w:rPr>
          <w:rFonts w:ascii="Calibri" w:hAnsi="Calibri"/>
          <w:b/>
          <w:sz w:val="28"/>
          <w:szCs w:val="28"/>
          <w:lang w:val="es-ES_tradnl"/>
        </w:rPr>
      </w:pPr>
    </w:p>
    <w:p w14:paraId="478675C2" w14:textId="15076296" w:rsidR="004036E9" w:rsidRPr="004F549F" w:rsidRDefault="00261636" w:rsidP="004036E9">
      <w:pPr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4F549F">
        <w:rPr>
          <w:rFonts w:ascii="Calibri" w:hAnsi="Calibri"/>
          <w:b/>
          <w:sz w:val="28"/>
          <w:szCs w:val="28"/>
          <w:lang w:val="es-ES_tradnl"/>
        </w:rPr>
        <w:t>Información para nuevos miembros sobre las funciones y responsabilidades de l</w:t>
      </w:r>
      <w:r w:rsidR="005F4E6F">
        <w:rPr>
          <w:rFonts w:ascii="Calibri" w:hAnsi="Calibri"/>
          <w:b/>
          <w:sz w:val="28"/>
          <w:szCs w:val="28"/>
          <w:lang w:val="es-ES_tradnl"/>
        </w:rPr>
        <w:t xml:space="preserve">a Presidencia y los </w:t>
      </w:r>
      <w:r w:rsidRPr="004F549F">
        <w:rPr>
          <w:rFonts w:ascii="Calibri" w:hAnsi="Calibri"/>
          <w:b/>
          <w:sz w:val="28"/>
          <w:szCs w:val="28"/>
          <w:lang w:val="es-ES_tradnl"/>
        </w:rPr>
        <w:t>miembros del Comité Permanente</w:t>
      </w:r>
    </w:p>
    <w:p w14:paraId="0C606693" w14:textId="77777777" w:rsidR="004036E9" w:rsidRPr="004F549F" w:rsidRDefault="004036E9" w:rsidP="004036E9">
      <w:pPr>
        <w:jc w:val="center"/>
        <w:rPr>
          <w:rFonts w:ascii="Calibri" w:hAnsi="Calibri"/>
          <w:b/>
          <w:sz w:val="28"/>
          <w:szCs w:val="28"/>
          <w:lang w:val="es-ES_tradnl"/>
        </w:rPr>
      </w:pPr>
    </w:p>
    <w:p w14:paraId="694BD9BC" w14:textId="77777777" w:rsidR="00FB3ADD" w:rsidRPr="004F549F" w:rsidRDefault="004036E9" w:rsidP="00FB3AD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b/>
          <w:lang w:val="es-ES_tradnl"/>
        </w:rPr>
      </w:pPr>
      <w:r w:rsidRPr="004F549F">
        <w:rPr>
          <w:rFonts w:ascii="Calibri" w:hAnsi="Calibri"/>
          <w:b/>
          <w:lang w:val="es-ES_tradnl"/>
        </w:rPr>
        <w:t>Ac</w:t>
      </w:r>
      <w:r w:rsidR="00261636" w:rsidRPr="004F549F">
        <w:rPr>
          <w:rFonts w:ascii="Calibri" w:hAnsi="Calibri"/>
          <w:b/>
          <w:lang w:val="es-ES_tradnl"/>
        </w:rPr>
        <w:t>ción solicitada:</w:t>
      </w:r>
    </w:p>
    <w:p w14:paraId="1DECF450" w14:textId="37364C32" w:rsidR="004036E9" w:rsidRPr="004F549F" w:rsidRDefault="00261636" w:rsidP="00FB3AD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/>
          <w:b/>
          <w:lang w:val="es-ES_tradnl"/>
        </w:rPr>
      </w:pPr>
      <w:r w:rsidRPr="004F549F">
        <w:rPr>
          <w:rFonts w:ascii="Calibri" w:hAnsi="Calibri"/>
          <w:lang w:val="es-ES_tradnl"/>
        </w:rPr>
        <w:t xml:space="preserve">Se invita al Comité Permanente a utilizar este documento de antecedentes y sus propuestas </w:t>
      </w:r>
      <w:r w:rsidR="005F4E6F">
        <w:rPr>
          <w:rFonts w:ascii="Calibri" w:hAnsi="Calibri"/>
          <w:lang w:val="es-ES_tradnl"/>
        </w:rPr>
        <w:t>como ayuda par</w:t>
      </w:r>
      <w:r w:rsidRPr="004F549F">
        <w:rPr>
          <w:rFonts w:ascii="Calibri" w:hAnsi="Calibri"/>
          <w:lang w:val="es-ES_tradnl"/>
        </w:rPr>
        <w:t>a orientar</w:t>
      </w:r>
      <w:r w:rsidR="005F4E6F">
        <w:rPr>
          <w:rFonts w:ascii="Calibri" w:hAnsi="Calibri"/>
          <w:lang w:val="es-ES_tradnl"/>
        </w:rPr>
        <w:t>los</w:t>
      </w:r>
      <w:r w:rsidRPr="004F549F">
        <w:rPr>
          <w:rFonts w:ascii="Calibri" w:hAnsi="Calibri"/>
          <w:lang w:val="es-ES_tradnl"/>
        </w:rPr>
        <w:t xml:space="preserve"> en la celebración de sus reuniones.</w:t>
      </w:r>
    </w:p>
    <w:p w14:paraId="266573EF" w14:textId="77777777" w:rsidR="00051BE9" w:rsidRPr="004F549F" w:rsidRDefault="00051BE9" w:rsidP="004036E9">
      <w:pPr>
        <w:ind w:left="540" w:hanging="540"/>
        <w:rPr>
          <w:rFonts w:ascii="Calibri" w:hAnsi="Calibri"/>
          <w:lang w:val="es-ES_tradnl"/>
        </w:rPr>
      </w:pPr>
    </w:p>
    <w:p w14:paraId="1D1D6D9F" w14:textId="6543D12D" w:rsidR="004036E9" w:rsidRPr="004F549F" w:rsidRDefault="00261636" w:rsidP="00C862F0">
      <w:pPr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El </w:t>
      </w:r>
      <w:r w:rsidR="004F549F" w:rsidRPr="004F549F">
        <w:rPr>
          <w:rFonts w:ascii="Calibri" w:hAnsi="Calibri"/>
          <w:sz w:val="22"/>
          <w:szCs w:val="22"/>
          <w:lang w:val="es-ES_tradnl"/>
        </w:rPr>
        <w:t>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 de la Convención de Ramsar fue </w:t>
      </w:r>
      <w:r w:rsidR="004F549F" w:rsidRPr="004F549F">
        <w:rPr>
          <w:rFonts w:ascii="Calibri" w:hAnsi="Calibri"/>
          <w:sz w:val="22"/>
          <w:szCs w:val="22"/>
          <w:lang w:val="es-ES_tradnl"/>
        </w:rPr>
        <w:t>establecido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por la 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3.3 (Regina, 1987)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para supervisar los asuntos de la Convención y las actividades de la Secretaría entre las reuniones ordinarias de la Conferencia de las Partes Contratantes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(COP), </w:t>
      </w:r>
      <w:r w:rsidRPr="004F549F">
        <w:rPr>
          <w:rFonts w:ascii="Calibri" w:hAnsi="Calibri"/>
          <w:sz w:val="22"/>
          <w:szCs w:val="22"/>
          <w:lang w:val="es-ES_tradnl"/>
        </w:rPr>
        <w:t>dentro del marco establecido por la COP en cada una de sus reuniones.</w:t>
      </w:r>
    </w:p>
    <w:p w14:paraId="0D031F6B" w14:textId="77777777" w:rsidR="004036E9" w:rsidRPr="004F549F" w:rsidRDefault="004036E9" w:rsidP="00C862F0">
      <w:pPr>
        <w:ind w:left="426" w:hanging="426"/>
        <w:rPr>
          <w:rFonts w:ascii="Calibri" w:hAnsi="Calibri"/>
          <w:sz w:val="22"/>
          <w:szCs w:val="22"/>
          <w:lang w:val="es-ES_tradnl"/>
        </w:rPr>
      </w:pPr>
    </w:p>
    <w:p w14:paraId="4BD8F741" w14:textId="56206BF7" w:rsidR="004036E9" w:rsidRPr="004F549F" w:rsidRDefault="00261636" w:rsidP="00FB3ADD">
      <w:pPr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Las responsabilidades, funciones y composición regional del Comité Permanente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/>
          <w:sz w:val="22"/>
          <w:szCs w:val="22"/>
          <w:lang w:val="es-ES_tradnl"/>
        </w:rPr>
        <w:t>y sus miembros están regidas por la 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XII.4 (2015), </w:t>
      </w:r>
      <w:r w:rsidR="005F4E6F">
        <w:rPr>
          <w:rFonts w:ascii="Calibri" w:hAnsi="Calibri"/>
          <w:sz w:val="22"/>
          <w:szCs w:val="22"/>
          <w:lang w:val="es-ES_tradnl"/>
        </w:rPr>
        <w:t>que reemplaza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a los arreglos anteriores enunciados en la 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VII.1 (1999) </w:t>
      </w:r>
      <w:r w:rsidRPr="004F549F">
        <w:rPr>
          <w:rFonts w:ascii="Calibri" w:hAnsi="Calibri"/>
          <w:sz w:val="22"/>
          <w:szCs w:val="22"/>
          <w:lang w:val="es-ES_tradnl"/>
        </w:rPr>
        <w:t>y la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/>
          <w:sz w:val="22"/>
          <w:szCs w:val="22"/>
          <w:lang w:val="es-ES_tradnl"/>
        </w:rPr>
        <w:t>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XI.19 (2012). </w:t>
      </w:r>
    </w:p>
    <w:p w14:paraId="5D9258F8" w14:textId="77777777" w:rsidR="004036E9" w:rsidRPr="004F549F" w:rsidRDefault="004036E9" w:rsidP="00EB0312">
      <w:pPr>
        <w:ind w:left="426" w:hanging="426"/>
        <w:rPr>
          <w:rFonts w:ascii="Calibri" w:hAnsi="Calibri"/>
          <w:sz w:val="22"/>
          <w:szCs w:val="22"/>
          <w:lang w:val="es-ES_tradnl"/>
        </w:rPr>
      </w:pPr>
    </w:p>
    <w:p w14:paraId="526C128F" w14:textId="52AA3A0A" w:rsidR="00C862F0" w:rsidRPr="00EB0312" w:rsidRDefault="00261636" w:rsidP="00EB0312">
      <w:pPr>
        <w:pStyle w:val="BodyText"/>
        <w:widowControl w:val="0"/>
        <w:numPr>
          <w:ilvl w:val="0"/>
          <w:numId w:val="21"/>
        </w:numPr>
        <w:spacing w:after="0"/>
        <w:ind w:left="426" w:right="178" w:hanging="426"/>
        <w:rPr>
          <w:rFonts w:asciiTheme="minorHAnsi" w:hAnsiTheme="minorHAnsi"/>
          <w:sz w:val="22"/>
          <w:szCs w:val="22"/>
          <w:lang w:val="es-ES_tradnl"/>
        </w:rPr>
      </w:pPr>
      <w:r w:rsidRPr="00EB0312">
        <w:rPr>
          <w:rFonts w:asciiTheme="minorHAnsi" w:hAnsiTheme="minorHAnsi"/>
          <w:sz w:val="22"/>
          <w:szCs w:val="22"/>
          <w:lang w:val="es-ES_tradnl"/>
        </w:rPr>
        <w:t>El Comité Permanente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 xml:space="preserve">, </w:t>
      </w:r>
      <w:r w:rsidRPr="00EB0312">
        <w:rPr>
          <w:rFonts w:asciiTheme="minorHAnsi" w:hAnsiTheme="minorHAnsi"/>
          <w:sz w:val="22"/>
          <w:szCs w:val="22"/>
          <w:lang w:val="es-ES_tradnl"/>
        </w:rPr>
        <w:t>como órgano subsidiario de la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EB0312">
        <w:rPr>
          <w:rFonts w:asciiTheme="minorHAnsi" w:hAnsiTheme="minorHAnsi"/>
          <w:sz w:val="22"/>
          <w:szCs w:val="22"/>
          <w:lang w:val="es-ES_tradnl"/>
        </w:rPr>
        <w:t>Conferencia de las Partes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 xml:space="preserve">, </w:t>
      </w:r>
      <w:r w:rsidRPr="00EB0312">
        <w:rPr>
          <w:rFonts w:asciiTheme="minorHAnsi" w:hAnsiTheme="minorHAnsi"/>
          <w:sz w:val="22"/>
          <w:szCs w:val="22"/>
          <w:lang w:val="es-ES_tradnl"/>
        </w:rPr>
        <w:t>se rige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 xml:space="preserve">, </w:t>
      </w:r>
      <w:r w:rsidR="004036E9" w:rsidRPr="00EB0312">
        <w:rPr>
          <w:rFonts w:asciiTheme="minorHAnsi" w:hAnsiTheme="minorHAnsi"/>
          <w:i/>
          <w:sz w:val="22"/>
          <w:szCs w:val="22"/>
          <w:lang w:val="es-ES_tradnl"/>
        </w:rPr>
        <w:t>mutatis mutandis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>,</w:t>
      </w:r>
      <w:r w:rsidRPr="00EB0312">
        <w:rPr>
          <w:rFonts w:asciiTheme="minorHAnsi" w:hAnsiTheme="minorHAnsi"/>
          <w:sz w:val="22"/>
          <w:szCs w:val="22"/>
          <w:lang w:val="es-ES_tradnl"/>
        </w:rPr>
        <w:t xml:space="preserve"> por el reglamento de las </w:t>
      </w:r>
      <w:r w:rsidR="004F549F" w:rsidRPr="00EB0312">
        <w:rPr>
          <w:rFonts w:asciiTheme="minorHAnsi" w:hAnsiTheme="minorHAnsi"/>
          <w:sz w:val="22"/>
          <w:szCs w:val="22"/>
          <w:lang w:val="es-ES_tradnl"/>
        </w:rPr>
        <w:t>reuniones</w:t>
      </w:r>
      <w:r w:rsidRPr="00EB0312">
        <w:rPr>
          <w:rFonts w:asciiTheme="minorHAnsi" w:hAnsiTheme="minorHAnsi"/>
          <w:sz w:val="22"/>
          <w:szCs w:val="22"/>
          <w:lang w:val="es-ES_tradnl"/>
        </w:rPr>
        <w:t xml:space="preserve"> de la Convención (véase</w:t>
      </w:r>
      <w:r w:rsidR="004036E9" w:rsidRPr="00EB0312">
        <w:rPr>
          <w:rFonts w:asciiTheme="minorHAnsi" w:hAnsiTheme="minorHAnsi"/>
          <w:sz w:val="22"/>
          <w:szCs w:val="22"/>
          <w:lang w:val="es-ES_tradnl"/>
        </w:rPr>
        <w:t xml:space="preserve"> </w:t>
      </w:r>
      <w:hyperlink r:id="rId9" w:history="1">
        <w:r w:rsidR="00EB0312" w:rsidRPr="00700870">
          <w:rPr>
            <w:rStyle w:val="Hyperlink"/>
            <w:rFonts w:asciiTheme="minorHAnsi" w:hAnsiTheme="minorHAnsi"/>
            <w:sz w:val="22"/>
            <w:szCs w:val="22"/>
          </w:rPr>
          <w:t>www.ramsar.org/sites/default/files/documents/library/ramsar_rules_of_procedure_s.pdf</w:t>
        </w:r>
      </w:hyperlink>
      <w:r w:rsidR="00FB3ADD" w:rsidRPr="00EB0312">
        <w:rPr>
          <w:rFonts w:asciiTheme="minorHAnsi" w:hAnsiTheme="minorHAnsi"/>
          <w:sz w:val="22"/>
          <w:szCs w:val="22"/>
          <w:lang w:val="es-ES_tradnl"/>
        </w:rPr>
        <w:t>)</w:t>
      </w:r>
      <w:r w:rsidR="00EB0312">
        <w:rPr>
          <w:rFonts w:asciiTheme="minorHAnsi" w:hAnsiTheme="minorHAnsi"/>
          <w:sz w:val="22"/>
          <w:szCs w:val="22"/>
          <w:lang w:val="es-ES_tradnl"/>
        </w:rPr>
        <w:t>.</w:t>
      </w:r>
    </w:p>
    <w:p w14:paraId="1710EA71" w14:textId="77777777" w:rsidR="00C862F0" w:rsidRPr="004F549F" w:rsidRDefault="00C862F0" w:rsidP="00C862F0">
      <w:pPr>
        <w:pStyle w:val="BodyText"/>
        <w:widowControl w:val="0"/>
        <w:spacing w:after="0"/>
        <w:ind w:left="426" w:right="178" w:hanging="426"/>
        <w:rPr>
          <w:rFonts w:ascii="Calibri" w:hAnsi="Calibri"/>
          <w:sz w:val="22"/>
          <w:szCs w:val="22"/>
          <w:lang w:val="es-ES_tradnl"/>
        </w:rPr>
      </w:pPr>
    </w:p>
    <w:p w14:paraId="7EFEB981" w14:textId="701A002F" w:rsidR="004036E9" w:rsidRPr="004F549F" w:rsidRDefault="005F4E6F" w:rsidP="006F7C16">
      <w:pPr>
        <w:pStyle w:val="BodyText"/>
        <w:widowControl w:val="0"/>
        <w:numPr>
          <w:ilvl w:val="0"/>
          <w:numId w:val="21"/>
        </w:numPr>
        <w:spacing w:after="0"/>
        <w:ind w:left="426" w:right="178" w:hanging="426"/>
        <w:rPr>
          <w:rFonts w:ascii="Calibri" w:hAnsi="Calibri"/>
          <w:color w:val="000000"/>
          <w:sz w:val="22"/>
          <w:szCs w:val="22"/>
          <w:lang w:val="es-ES_tradnl"/>
        </w:rPr>
      </w:pPr>
      <w:r w:rsidRPr="005F4E6F">
        <w:rPr>
          <w:rFonts w:ascii="Calibri" w:hAnsi="Calibri"/>
          <w:sz w:val="22"/>
          <w:szCs w:val="22"/>
          <w:lang w:val="es-ES_tradnl"/>
        </w:rPr>
        <w:t>A través de</w:t>
      </w:r>
      <w:r w:rsidR="00E45178" w:rsidRPr="005F4E6F">
        <w:rPr>
          <w:rFonts w:ascii="Calibri" w:hAnsi="Calibri"/>
          <w:sz w:val="22"/>
          <w:szCs w:val="22"/>
          <w:lang w:val="es-ES_tradnl"/>
        </w:rPr>
        <w:t xml:space="preserve"> la</w:t>
      </w:r>
      <w:r w:rsidR="00261636" w:rsidRPr="005F4E6F">
        <w:rPr>
          <w:rFonts w:ascii="Calibri" w:hAnsi="Calibri"/>
          <w:sz w:val="22"/>
          <w:szCs w:val="22"/>
          <w:lang w:val="es-ES_tradnl"/>
        </w:rPr>
        <w:t xml:space="preserve"> 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XII.4 </w:t>
      </w:r>
      <w:r w:rsidR="00E45178" w:rsidRPr="004F549F">
        <w:rPr>
          <w:rFonts w:ascii="Calibri" w:hAnsi="Calibri"/>
          <w:sz w:val="22"/>
          <w:szCs w:val="22"/>
          <w:lang w:val="es-ES_tradnl"/>
        </w:rPr>
        <w:t xml:space="preserve">se aprobaron textos revisados sobre las responsabilidades, funciones y composición del Comité Permanente de Ramsar y su lista anexa de Partes Contratantes y </w:t>
      </w:r>
      <w:r w:rsidR="00F50236" w:rsidRPr="004F549F">
        <w:rPr>
          <w:rFonts w:ascii="Calibri" w:hAnsi="Calibri"/>
          <w:sz w:val="22"/>
          <w:szCs w:val="22"/>
          <w:lang w:val="es-ES_tradnl"/>
        </w:rPr>
        <w:t>Estados que no son Partes Contratantes en los seis grupos regionales de Ramsar.</w:t>
      </w:r>
    </w:p>
    <w:p w14:paraId="0D1F7C82" w14:textId="77777777" w:rsidR="004036E9" w:rsidRPr="004F549F" w:rsidRDefault="004036E9" w:rsidP="006F7C16">
      <w:pPr>
        <w:ind w:left="426" w:hanging="426"/>
        <w:rPr>
          <w:rFonts w:ascii="Calibri" w:hAnsi="Calibri"/>
          <w:color w:val="000000"/>
          <w:sz w:val="22"/>
          <w:szCs w:val="22"/>
          <w:lang w:val="es-ES_tradnl"/>
        </w:rPr>
      </w:pPr>
    </w:p>
    <w:p w14:paraId="0BF83769" w14:textId="62E6DC25" w:rsidR="004036E9" w:rsidRPr="004F549F" w:rsidRDefault="005F4E6F" w:rsidP="006F7C16">
      <w:pPr>
        <w:pStyle w:val="BodyText"/>
        <w:widowControl w:val="0"/>
        <w:numPr>
          <w:ilvl w:val="0"/>
          <w:numId w:val="21"/>
        </w:numPr>
        <w:spacing w:after="0"/>
        <w:ind w:left="426" w:right="178" w:hanging="426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Mediante</w:t>
      </w:r>
      <w:r w:rsidR="00F50236" w:rsidRPr="004F549F">
        <w:rPr>
          <w:rFonts w:ascii="Calibri" w:hAnsi="Calibri"/>
          <w:sz w:val="22"/>
          <w:szCs w:val="22"/>
          <w:lang w:val="es-ES_tradnl"/>
        </w:rPr>
        <w:t xml:space="preserve"> el Anexo 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4 </w:t>
      </w:r>
      <w:r w:rsidR="00F50236" w:rsidRPr="004F549F">
        <w:rPr>
          <w:rFonts w:ascii="Calibri" w:hAnsi="Calibri"/>
          <w:sz w:val="22"/>
          <w:szCs w:val="22"/>
          <w:lang w:val="es-ES_tradnl"/>
        </w:rPr>
        <w:t xml:space="preserve">de la Resolución 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XII.4 </w:t>
      </w:r>
      <w:r w:rsidR="00F50236" w:rsidRPr="004F549F">
        <w:rPr>
          <w:rFonts w:ascii="Calibri" w:hAnsi="Calibri"/>
          <w:sz w:val="22"/>
          <w:szCs w:val="22"/>
          <w:lang w:val="es-ES_tradnl"/>
        </w:rPr>
        <w:t xml:space="preserve">se aprobó un calendario indicativo para las reuniones posteriores a 2015 del Comité Permanente entre períodos de sesiones como </w:t>
      </w:r>
      <w:r>
        <w:rPr>
          <w:rFonts w:ascii="Calibri" w:hAnsi="Calibri"/>
          <w:sz w:val="22"/>
          <w:szCs w:val="22"/>
          <w:lang w:val="es-ES_tradnl"/>
        </w:rPr>
        <w:t>se muestra a continuación</w:t>
      </w:r>
      <w:r w:rsidR="00F50236" w:rsidRPr="004F549F">
        <w:rPr>
          <w:rFonts w:ascii="Calibri" w:hAnsi="Calibri"/>
          <w:sz w:val="22"/>
          <w:szCs w:val="22"/>
          <w:lang w:val="es-ES_tradnl"/>
        </w:rPr>
        <w:t xml:space="preserve"> (basado en que los futuros ciclos sean de tres años civiles y las reuniones de la </w:t>
      </w:r>
      <w:r w:rsidR="00261636" w:rsidRPr="004F549F">
        <w:rPr>
          <w:rFonts w:ascii="Calibri" w:hAnsi="Calibri"/>
          <w:sz w:val="22"/>
          <w:szCs w:val="22"/>
          <w:lang w:val="es-ES_tradnl"/>
        </w:rPr>
        <w:t>Conferencia de las Partes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F50236" w:rsidRPr="004F549F">
        <w:rPr>
          <w:rFonts w:ascii="Calibri" w:hAnsi="Calibri"/>
          <w:sz w:val="22"/>
          <w:szCs w:val="22"/>
          <w:lang w:val="es-ES_tradnl"/>
        </w:rPr>
        <w:t>tengan lugar en mayo/junio del último año de cada ciclo):</w:t>
      </w:r>
    </w:p>
    <w:p w14:paraId="4C7262C1" w14:textId="77777777" w:rsidR="004036E9" w:rsidRPr="004F549F" w:rsidRDefault="004036E9" w:rsidP="00C862F0">
      <w:pPr>
        <w:ind w:left="426" w:hanging="567"/>
        <w:rPr>
          <w:rFonts w:ascii="Calibri" w:eastAsia="Garamond" w:hAnsi="Calibri" w:cs="Garamond"/>
          <w:sz w:val="22"/>
          <w:szCs w:val="22"/>
          <w:lang w:val="es-ES_tradnl"/>
        </w:rPr>
      </w:pPr>
    </w:p>
    <w:tbl>
      <w:tblPr>
        <w:tblW w:w="9138" w:type="dxa"/>
        <w:tblInd w:w="9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7"/>
        <w:gridCol w:w="3402"/>
        <w:gridCol w:w="3079"/>
      </w:tblGrid>
      <w:tr w:rsidR="004036E9" w:rsidRPr="004F549F" w14:paraId="660AFDC3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5503" w14:textId="77777777" w:rsidR="004036E9" w:rsidRPr="004F549F" w:rsidRDefault="004036E9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3832" w14:textId="24212B7A" w:rsidR="004036E9" w:rsidRPr="004F549F" w:rsidRDefault="00F50236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>Calendario general, a partir de 2015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A36B" w14:textId="24C79E6A" w:rsidR="004036E9" w:rsidRPr="004F549F" w:rsidRDefault="00F50236" w:rsidP="00F50236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 xml:space="preserve">Trienio </w:t>
            </w:r>
            <w:r w:rsidR="004036E9" w:rsidRPr="004F549F">
              <w:rPr>
                <w:b/>
                <w:lang w:val="es-ES_tradnl"/>
              </w:rPr>
              <w:t>2016-2018</w:t>
            </w:r>
          </w:p>
        </w:tc>
      </w:tr>
      <w:tr w:rsidR="004036E9" w:rsidRPr="00EB0312" w14:paraId="6022B9A6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FD07" w14:textId="69B46C89" w:rsidR="004036E9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>Primera reunión completa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D18E" w14:textId="626316E6" w:rsidR="004036E9" w:rsidRPr="004F549F" w:rsidRDefault="004036E9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lang w:val="es-ES_tradnl"/>
              </w:rPr>
              <w:t xml:space="preserve">6 </w:t>
            </w:r>
            <w:r w:rsidR="001456F3" w:rsidRPr="004F549F">
              <w:rPr>
                <w:lang w:val="es-ES_tradnl"/>
              </w:rPr>
              <w:t>meses tras la COP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A781" w14:textId="77777777" w:rsidR="001456F3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b/>
                <w:bCs/>
                <w:lang w:val="es-ES_tradnl"/>
              </w:rPr>
              <w:t>51ª reunión del CP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</w:t>
            </w:r>
            <w:r w:rsidR="004036E9" w:rsidRPr="004F549F">
              <w:rPr>
                <w:rFonts w:eastAsia="Garamond" w:cs="Garamond"/>
                <w:lang w:val="es-ES_tradnl"/>
              </w:rPr>
              <w:t>–</w:t>
            </w:r>
          </w:p>
          <w:p w14:paraId="6B4C1085" w14:textId="43204D20" w:rsidR="004036E9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lang w:val="es-ES_tradnl"/>
              </w:rPr>
              <w:t>noviembre de 2015</w:t>
            </w:r>
          </w:p>
        </w:tc>
      </w:tr>
      <w:tr w:rsidR="004036E9" w:rsidRPr="00EB0312" w14:paraId="7A3B4DB3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EE8C" w14:textId="0CD9DABA" w:rsidR="004036E9" w:rsidRPr="004F549F" w:rsidRDefault="004036E9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>Se</w:t>
            </w:r>
            <w:r w:rsidR="001456F3" w:rsidRPr="004F549F">
              <w:rPr>
                <w:b/>
                <w:lang w:val="es-ES_tradnl"/>
              </w:rPr>
              <w:t>gunda</w:t>
            </w:r>
            <w:r w:rsidRPr="004F549F">
              <w:rPr>
                <w:b/>
                <w:position w:val="10"/>
                <w:lang w:val="es-ES_tradnl"/>
              </w:rPr>
              <w:t xml:space="preserve"> </w:t>
            </w:r>
            <w:r w:rsidR="001456F3" w:rsidRPr="004F549F">
              <w:rPr>
                <w:b/>
                <w:lang w:val="es-ES_tradnl"/>
              </w:rPr>
              <w:t>reunión completa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3126" w14:textId="137F194F" w:rsidR="004036E9" w:rsidRPr="004F549F" w:rsidRDefault="004036E9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lang w:val="es-ES_tradnl"/>
              </w:rPr>
              <w:t xml:space="preserve">20 </w:t>
            </w:r>
            <w:r w:rsidR="001456F3" w:rsidRPr="004F549F">
              <w:rPr>
                <w:lang w:val="es-ES_tradnl"/>
              </w:rPr>
              <w:t>meses tras la COP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BDEF" w14:textId="77777777" w:rsidR="001456F3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b/>
                <w:bCs/>
                <w:lang w:val="es-ES_tradnl"/>
              </w:rPr>
              <w:t>52ª reunión del CP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</w:t>
            </w:r>
            <w:r w:rsidRPr="004F549F">
              <w:rPr>
                <w:rFonts w:eastAsia="Garamond" w:cs="Garamond"/>
                <w:lang w:val="es-ES_tradnl"/>
              </w:rPr>
              <w:t>–</w:t>
            </w:r>
          </w:p>
          <w:p w14:paraId="257E52CD" w14:textId="3628B56C" w:rsidR="004036E9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lang w:val="es-ES_tradnl"/>
              </w:rPr>
              <w:t xml:space="preserve">febrero de </w:t>
            </w:r>
            <w:r w:rsidR="004036E9" w:rsidRPr="004F549F">
              <w:rPr>
                <w:rFonts w:eastAsia="Garamond" w:cs="Garamond"/>
                <w:lang w:val="es-ES_tradnl"/>
              </w:rPr>
              <w:t>2017</w:t>
            </w:r>
          </w:p>
        </w:tc>
      </w:tr>
      <w:tr w:rsidR="004036E9" w:rsidRPr="00EB0312" w14:paraId="60B138F2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B3F4" w14:textId="60B76186" w:rsidR="004036E9" w:rsidRPr="004F549F" w:rsidRDefault="004036E9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>Sub</w:t>
            </w:r>
            <w:r w:rsidR="001456F3" w:rsidRPr="004F549F">
              <w:rPr>
                <w:b/>
                <w:lang w:val="es-ES_tradnl"/>
              </w:rPr>
              <w:t xml:space="preserve">grupo sobre la </w:t>
            </w:r>
            <w:r w:rsidRPr="004F549F">
              <w:rPr>
                <w:b/>
                <w:lang w:val="es-ES_tradnl"/>
              </w:rPr>
              <w:t xml:space="preserve">COP </w:t>
            </w:r>
            <w:r w:rsidRPr="004F549F">
              <w:rPr>
                <w:lang w:val="es-ES_tradnl"/>
              </w:rPr>
              <w:t>(</w:t>
            </w:r>
            <w:r w:rsidR="001456F3" w:rsidRPr="004F549F">
              <w:rPr>
                <w:lang w:val="es-ES_tradnl"/>
              </w:rPr>
              <w:t>si procede</w:t>
            </w:r>
            <w:r w:rsidRPr="004F549F">
              <w:rPr>
                <w:lang w:val="es-ES_tradnl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6F16" w14:textId="5E630F89" w:rsidR="004036E9" w:rsidRPr="004F549F" w:rsidRDefault="004036E9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lang w:val="es-ES_tradnl"/>
              </w:rPr>
              <w:t xml:space="preserve">1 </w:t>
            </w:r>
            <w:r w:rsidR="001456F3" w:rsidRPr="004F549F">
              <w:rPr>
                <w:lang w:val="es-ES_tradnl"/>
              </w:rPr>
              <w:t>año</w:t>
            </w:r>
            <w:r w:rsidRPr="004F549F">
              <w:rPr>
                <w:lang w:val="es-ES_tradnl"/>
              </w:rPr>
              <w:t xml:space="preserve"> </w:t>
            </w:r>
            <w:r w:rsidR="001456F3" w:rsidRPr="004F549F">
              <w:rPr>
                <w:lang w:val="es-ES_tradnl"/>
              </w:rPr>
              <w:t>antes de la COP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517E" w14:textId="532042D0" w:rsidR="004036E9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b/>
                <w:bCs/>
                <w:lang w:val="es-ES_tradnl"/>
              </w:rPr>
              <w:t>Subgrupo sobre la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COP13 </w:t>
            </w:r>
            <w:r w:rsidR="004036E9" w:rsidRPr="004F549F">
              <w:rPr>
                <w:rFonts w:eastAsia="Garamond" w:cs="Garamond"/>
                <w:lang w:val="es-ES_tradnl"/>
              </w:rPr>
              <w:t>(</w:t>
            </w:r>
            <w:r w:rsidRPr="004F549F">
              <w:rPr>
                <w:rFonts w:eastAsia="Garamond" w:cs="Garamond"/>
                <w:lang w:val="es-ES_tradnl"/>
              </w:rPr>
              <w:t>si procede</w:t>
            </w:r>
            <w:r w:rsidR="004036E9" w:rsidRPr="004F549F">
              <w:rPr>
                <w:rFonts w:eastAsia="Garamond" w:cs="Garamond"/>
                <w:lang w:val="es-ES_tradnl"/>
              </w:rPr>
              <w:t xml:space="preserve">) </w:t>
            </w:r>
            <w:r w:rsidR="004036E9" w:rsidRPr="004F549F">
              <w:rPr>
                <w:rFonts w:eastAsia="Garamond" w:cs="Garamond"/>
                <w:bCs/>
                <w:lang w:val="es-ES_tradnl"/>
              </w:rPr>
              <w:t>–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</w:t>
            </w:r>
            <w:r w:rsidRPr="004F549F">
              <w:rPr>
                <w:rFonts w:eastAsia="Garamond" w:cs="Garamond"/>
                <w:lang w:val="es-ES_tradnl"/>
              </w:rPr>
              <w:t>junio de</w:t>
            </w:r>
            <w:r w:rsidR="004036E9" w:rsidRPr="004F549F">
              <w:rPr>
                <w:rFonts w:eastAsia="Garamond" w:cs="Garamond"/>
                <w:lang w:val="es-ES_tradnl"/>
              </w:rPr>
              <w:t xml:space="preserve"> 2017</w:t>
            </w:r>
          </w:p>
        </w:tc>
      </w:tr>
      <w:tr w:rsidR="004036E9" w:rsidRPr="00EB0312" w14:paraId="1AB15885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8498" w14:textId="41289BE0" w:rsidR="004036E9" w:rsidRPr="004F549F" w:rsidRDefault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t>Tercera</w:t>
            </w:r>
            <w:r w:rsidR="004036E9" w:rsidRPr="004F549F">
              <w:rPr>
                <w:b/>
                <w:position w:val="10"/>
                <w:lang w:val="es-ES_tradnl"/>
              </w:rPr>
              <w:t xml:space="preserve"> </w:t>
            </w:r>
            <w:r w:rsidRPr="004F549F">
              <w:rPr>
                <w:b/>
                <w:lang w:val="es-ES_tradnl"/>
              </w:rPr>
              <w:t>reunión completa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652E" w14:textId="5AF9E588" w:rsidR="004036E9" w:rsidRPr="004F549F" w:rsidRDefault="004036E9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lang w:val="es-ES_tradnl"/>
              </w:rPr>
              <w:t xml:space="preserve">5 </w:t>
            </w:r>
            <w:r w:rsidR="001456F3" w:rsidRPr="004F549F">
              <w:rPr>
                <w:lang w:val="es-ES_tradnl"/>
              </w:rPr>
              <w:t>meses</w:t>
            </w:r>
            <w:r w:rsidRPr="004F549F">
              <w:rPr>
                <w:lang w:val="es-ES_tradnl"/>
              </w:rPr>
              <w:t xml:space="preserve"> </w:t>
            </w:r>
            <w:r w:rsidR="001456F3" w:rsidRPr="004F549F">
              <w:rPr>
                <w:lang w:val="es-ES_tradnl"/>
              </w:rPr>
              <w:t>antes de la COP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4BC1" w14:textId="77777777" w:rsidR="001456F3" w:rsidRPr="004F549F" w:rsidRDefault="001456F3">
            <w:pPr>
              <w:pStyle w:val="TableParagraph"/>
              <w:rPr>
                <w:rFonts w:eastAsia="Garamond" w:cs="Garamond"/>
                <w:bCs/>
                <w:lang w:val="es-ES_tradnl"/>
              </w:rPr>
            </w:pPr>
            <w:r w:rsidRPr="004F549F">
              <w:rPr>
                <w:rFonts w:eastAsia="Garamond" w:cs="Garamond"/>
                <w:b/>
                <w:bCs/>
                <w:lang w:val="es-ES_tradnl"/>
              </w:rPr>
              <w:t>53ª reunión del CP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</w:t>
            </w:r>
            <w:r w:rsidR="004036E9" w:rsidRPr="004F549F">
              <w:rPr>
                <w:rFonts w:eastAsia="Garamond" w:cs="Garamond"/>
                <w:bCs/>
                <w:lang w:val="es-ES_tradnl"/>
              </w:rPr>
              <w:t>–</w:t>
            </w:r>
          </w:p>
          <w:p w14:paraId="340764C3" w14:textId="52EDD221" w:rsidR="004036E9" w:rsidRPr="004F549F" w:rsidRDefault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lang w:val="es-ES_tradnl"/>
              </w:rPr>
              <w:t>enero de</w:t>
            </w:r>
            <w:r w:rsidR="004036E9" w:rsidRPr="004F549F">
              <w:rPr>
                <w:rFonts w:eastAsia="Garamond" w:cs="Garamond"/>
                <w:lang w:val="es-ES_tradnl"/>
              </w:rPr>
              <w:t xml:space="preserve"> 2018</w:t>
            </w:r>
          </w:p>
        </w:tc>
      </w:tr>
      <w:tr w:rsidR="004036E9" w:rsidRPr="00EB0312" w14:paraId="637A2403" w14:textId="77777777" w:rsidTr="00EB0312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AB54" w14:textId="36CE0A82" w:rsidR="004036E9" w:rsidRPr="004F549F" w:rsidRDefault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b/>
                <w:lang w:val="es-ES_tradnl"/>
              </w:rPr>
              <w:lastRenderedPageBreak/>
              <w:t>Reunión previa a la COP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7428" w14:textId="2C52FD02" w:rsidR="004036E9" w:rsidRPr="004F549F" w:rsidRDefault="001456F3" w:rsidP="004036E9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lang w:val="es-ES_tradnl"/>
              </w:rPr>
              <w:t>Inmediatamente antes de la COP, en el mismo lugar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2784" w14:textId="77777777" w:rsidR="001456F3" w:rsidRPr="004F549F" w:rsidRDefault="001456F3">
            <w:pPr>
              <w:pStyle w:val="TableParagraph"/>
              <w:rPr>
                <w:rFonts w:eastAsia="Garamond" w:cs="Garamond"/>
                <w:bCs/>
                <w:lang w:val="es-ES_tradnl"/>
              </w:rPr>
            </w:pPr>
            <w:r w:rsidRPr="004F549F">
              <w:rPr>
                <w:rFonts w:eastAsia="Garamond" w:cs="Garamond"/>
                <w:b/>
                <w:bCs/>
                <w:lang w:val="es-ES_tradnl"/>
              </w:rPr>
              <w:t>54ª reunión del CP</w:t>
            </w:r>
            <w:r w:rsidR="004036E9" w:rsidRPr="004F549F">
              <w:rPr>
                <w:rFonts w:eastAsia="Garamond" w:cs="Garamond"/>
                <w:b/>
                <w:bCs/>
                <w:lang w:val="es-ES_tradnl"/>
              </w:rPr>
              <w:t xml:space="preserve"> </w:t>
            </w:r>
            <w:r w:rsidR="004036E9" w:rsidRPr="004F549F">
              <w:rPr>
                <w:rFonts w:eastAsia="Garamond" w:cs="Garamond"/>
                <w:bCs/>
                <w:lang w:val="es-ES_tradnl"/>
              </w:rPr>
              <w:t xml:space="preserve">– </w:t>
            </w:r>
          </w:p>
          <w:p w14:paraId="4DEEF6AD" w14:textId="7BE5B73B" w:rsidR="004036E9" w:rsidRPr="004F549F" w:rsidRDefault="001456F3" w:rsidP="001456F3">
            <w:pPr>
              <w:pStyle w:val="TableParagraph"/>
              <w:rPr>
                <w:rFonts w:eastAsia="Garamond" w:cs="Garamond"/>
                <w:lang w:val="es-ES_tradnl"/>
              </w:rPr>
            </w:pPr>
            <w:r w:rsidRPr="004F549F">
              <w:rPr>
                <w:rFonts w:eastAsia="Garamond" w:cs="Garamond"/>
                <w:bCs/>
                <w:lang w:val="es-ES_tradnl"/>
              </w:rPr>
              <w:t>junio de</w:t>
            </w:r>
            <w:r w:rsidR="004036E9" w:rsidRPr="004F549F">
              <w:rPr>
                <w:rFonts w:eastAsia="Garamond" w:cs="Garamond"/>
                <w:lang w:val="es-ES_tradnl"/>
              </w:rPr>
              <w:t xml:space="preserve"> 2018</w:t>
            </w:r>
          </w:p>
        </w:tc>
      </w:tr>
    </w:tbl>
    <w:p w14:paraId="5FC466C6" w14:textId="77777777" w:rsidR="004036E9" w:rsidRPr="004F549F" w:rsidRDefault="004036E9" w:rsidP="004036E9">
      <w:pPr>
        <w:rPr>
          <w:rFonts w:ascii="Calibri" w:hAnsi="Calibri"/>
          <w:sz w:val="22"/>
          <w:szCs w:val="22"/>
          <w:lang w:val="es-ES_tradnl"/>
        </w:rPr>
      </w:pPr>
    </w:p>
    <w:p w14:paraId="0CA7920C" w14:textId="09424C7A" w:rsidR="004036E9" w:rsidRPr="004F549F" w:rsidRDefault="001456F3" w:rsidP="006F7C16">
      <w:pPr>
        <w:pStyle w:val="BodyText"/>
        <w:widowControl w:val="0"/>
        <w:numPr>
          <w:ilvl w:val="0"/>
          <w:numId w:val="21"/>
        </w:numPr>
        <w:spacing w:after="0"/>
        <w:ind w:left="426" w:right="178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También son relevantes para la labor del Comité Perm</w:t>
      </w:r>
      <w:r w:rsidR="00261636" w:rsidRPr="004F549F">
        <w:rPr>
          <w:rFonts w:ascii="Calibri" w:hAnsi="Calibri"/>
          <w:sz w:val="22"/>
          <w:szCs w:val="22"/>
          <w:lang w:val="es-ES_tradnl"/>
        </w:rPr>
        <w:t>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/>
          <w:sz w:val="22"/>
          <w:szCs w:val="22"/>
          <w:lang w:val="es-ES_tradnl"/>
        </w:rPr>
        <w:t>la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261636" w:rsidRPr="004F549F">
        <w:rPr>
          <w:rFonts w:ascii="Calibri" w:hAnsi="Calibri"/>
          <w:sz w:val="22"/>
          <w:szCs w:val="22"/>
          <w:lang w:val="es-ES_tradnl"/>
        </w:rPr>
        <w:t>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IX.24 (2005), </w:t>
      </w:r>
      <w:r w:rsidR="0097695A">
        <w:rPr>
          <w:rFonts w:ascii="Calibri" w:hAnsi="Calibri"/>
          <w:sz w:val="22"/>
          <w:szCs w:val="22"/>
          <w:lang w:val="es-ES_tradnl"/>
        </w:rPr>
        <w:t xml:space="preserve">mediante la cual se </w:t>
      </w:r>
      <w:r w:rsidRPr="004F549F">
        <w:rPr>
          <w:rFonts w:ascii="Calibri" w:hAnsi="Calibri"/>
          <w:sz w:val="22"/>
          <w:szCs w:val="22"/>
          <w:lang w:val="es-ES_tradnl"/>
        </w:rPr>
        <w:t xml:space="preserve">estableció un Grupo de Trabajo Administrativo </w:t>
      </w:r>
      <w:r w:rsidR="000C6DE5" w:rsidRPr="004F549F">
        <w:rPr>
          <w:rFonts w:ascii="Calibri" w:hAnsi="Calibri"/>
          <w:sz w:val="22"/>
          <w:szCs w:val="22"/>
          <w:lang w:val="es-ES_tradnl"/>
        </w:rPr>
        <w:t>que presenta informes a</w:t>
      </w:r>
      <w:r w:rsidR="00261636" w:rsidRPr="004F549F">
        <w:rPr>
          <w:rFonts w:ascii="Calibri" w:hAnsi="Calibri"/>
          <w:sz w:val="22"/>
          <w:szCs w:val="22"/>
          <w:lang w:val="es-ES_tradnl"/>
        </w:rPr>
        <w:t>l Comité Permanente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0C6DE5" w:rsidRPr="004F549F">
        <w:rPr>
          <w:rFonts w:ascii="Calibri" w:hAnsi="Calibri"/>
          <w:sz w:val="22"/>
          <w:szCs w:val="22"/>
          <w:lang w:val="es-ES_tradnl"/>
        </w:rPr>
        <w:t xml:space="preserve">y a la </w:t>
      </w:r>
      <w:r w:rsidR="00261636" w:rsidRPr="004F549F">
        <w:rPr>
          <w:rFonts w:ascii="Calibri" w:hAnsi="Calibri"/>
          <w:sz w:val="22"/>
          <w:szCs w:val="22"/>
          <w:lang w:val="es-ES_tradnl"/>
        </w:rPr>
        <w:t>Conferencia de las Partes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; </w:t>
      </w:r>
      <w:r w:rsidR="000C6DE5" w:rsidRPr="004F549F">
        <w:rPr>
          <w:rFonts w:ascii="Calibri" w:hAnsi="Calibri"/>
          <w:sz w:val="22"/>
          <w:szCs w:val="22"/>
          <w:lang w:val="es-ES_tradnl"/>
        </w:rPr>
        <w:t xml:space="preserve">y la </w:t>
      </w:r>
      <w:r w:rsidR="00261636" w:rsidRPr="004F549F">
        <w:rPr>
          <w:rFonts w:ascii="Calibri" w:hAnsi="Calibri"/>
          <w:sz w:val="22"/>
          <w:szCs w:val="22"/>
          <w:lang w:val="es-ES_tradnl"/>
        </w:rPr>
        <w:t>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X.4 (2008), </w:t>
      </w:r>
      <w:r w:rsidR="0097695A">
        <w:rPr>
          <w:rFonts w:ascii="Calibri" w:hAnsi="Calibri"/>
          <w:sz w:val="22"/>
          <w:szCs w:val="22"/>
          <w:lang w:val="es-ES_tradnl"/>
        </w:rPr>
        <w:t>a través de la cual se</w:t>
      </w:r>
      <w:r w:rsidR="000C6DE5" w:rsidRPr="004F549F">
        <w:rPr>
          <w:rFonts w:ascii="Calibri" w:hAnsi="Calibri"/>
          <w:sz w:val="22"/>
          <w:szCs w:val="22"/>
          <w:lang w:val="es-ES_tradnl"/>
        </w:rPr>
        <w:t xml:space="preserve"> creó un Comité de Transición del Grupo de Trabajo Administrativo. En las Resoluciones 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XI.19 </w:t>
      </w:r>
      <w:r w:rsidR="000C6DE5" w:rsidRPr="004F549F">
        <w:rPr>
          <w:rFonts w:ascii="Calibri" w:hAnsi="Calibri"/>
          <w:sz w:val="22"/>
          <w:szCs w:val="22"/>
          <w:lang w:val="es-ES_tradnl"/>
        </w:rPr>
        <w:t>y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XII.4,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 las Partes reconocieron que hay aspectos de la labor de esos grupos que también están </w:t>
      </w:r>
      <w:r w:rsidR="004F549F" w:rsidRPr="004F549F">
        <w:rPr>
          <w:rFonts w:ascii="Calibri" w:hAnsi="Calibri"/>
          <w:sz w:val="22"/>
          <w:szCs w:val="22"/>
          <w:lang w:val="es-ES_tradnl"/>
        </w:rPr>
        <w:t>contemplados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 en las funciones y responsabilidades del propio </w:t>
      </w:r>
      <w:r w:rsidR="00261636" w:rsidRPr="004F549F">
        <w:rPr>
          <w:rFonts w:ascii="Calibri" w:hAnsi="Calibri"/>
          <w:sz w:val="22"/>
          <w:szCs w:val="22"/>
          <w:lang w:val="es-ES_tradnl"/>
        </w:rPr>
        <w:t>Comité Permanente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, 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y se </w:t>
      </w:r>
      <w:r w:rsidR="0097695A">
        <w:rPr>
          <w:rFonts w:ascii="Calibri" w:hAnsi="Calibri"/>
          <w:sz w:val="22"/>
          <w:szCs w:val="22"/>
          <w:lang w:val="es-ES_tradnl"/>
        </w:rPr>
        <w:t>observó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 que la labor de </w:t>
      </w:r>
      <w:bookmarkStart w:id="0" w:name="_GoBack"/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supervisión </w:t>
      </w:r>
      <w:bookmarkEnd w:id="0"/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de la Secretaría que lleva a cabo el Comité Permanente actualmente está realizada en su nombre entre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reunión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 y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reunión</w:t>
      </w:r>
      <w:r w:rsidR="007D1BCE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754B9A" w:rsidRPr="004F549F">
        <w:rPr>
          <w:rFonts w:ascii="Calibri" w:hAnsi="Calibri"/>
          <w:sz w:val="22"/>
          <w:szCs w:val="22"/>
          <w:lang w:val="es-ES_tradnl"/>
        </w:rPr>
        <w:t>de este por su Equipo Ejecutivo (Presidente y Vicepresidente</w:t>
      </w:r>
      <w:r w:rsidR="0097695A">
        <w:rPr>
          <w:rFonts w:ascii="Calibri" w:hAnsi="Calibri"/>
          <w:sz w:val="22"/>
          <w:szCs w:val="22"/>
          <w:lang w:val="es-ES_tradnl"/>
        </w:rPr>
        <w:t xml:space="preserve"> del CP</w:t>
      </w:r>
      <w:r w:rsidR="00754B9A" w:rsidRPr="004F549F">
        <w:rPr>
          <w:rFonts w:ascii="Calibri" w:hAnsi="Calibri"/>
          <w:sz w:val="22"/>
          <w:szCs w:val="22"/>
          <w:lang w:val="es-ES_tradnl"/>
        </w:rPr>
        <w:t xml:space="preserve"> y Presidente del </w:t>
      </w:r>
      <w:r w:rsidR="004F549F" w:rsidRPr="004F549F">
        <w:rPr>
          <w:rFonts w:ascii="Calibri" w:hAnsi="Calibri"/>
          <w:sz w:val="22"/>
          <w:szCs w:val="22"/>
          <w:lang w:val="es-ES_tradnl"/>
        </w:rPr>
        <w:t>Subgrupo</w:t>
      </w:r>
      <w:r w:rsidR="00754B9A" w:rsidRPr="004F549F">
        <w:rPr>
          <w:rFonts w:ascii="Calibri" w:hAnsi="Calibri"/>
          <w:sz w:val="22"/>
          <w:szCs w:val="22"/>
          <w:lang w:val="es-ES_tradnl"/>
        </w:rPr>
        <w:t xml:space="preserve"> de Finanzas) </w:t>
      </w:r>
      <w:r w:rsidR="004F549F" w:rsidRPr="004F549F">
        <w:rPr>
          <w:rFonts w:ascii="Calibri" w:hAnsi="Calibri"/>
          <w:sz w:val="22"/>
          <w:szCs w:val="22"/>
          <w:lang w:val="es-ES_tradnl"/>
        </w:rPr>
        <w:t>junto</w:t>
      </w:r>
      <w:r w:rsidR="00754B9A" w:rsidRPr="004F549F">
        <w:rPr>
          <w:rFonts w:ascii="Calibri" w:hAnsi="Calibri"/>
          <w:sz w:val="22"/>
          <w:szCs w:val="22"/>
          <w:lang w:val="es-ES_tradnl"/>
        </w:rPr>
        <w:t xml:space="preserve"> con el Secretario General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139AA137" w14:textId="77777777" w:rsidR="004036E9" w:rsidRPr="004F549F" w:rsidRDefault="004036E9" w:rsidP="004036E9">
      <w:pPr>
        <w:ind w:left="540" w:hanging="540"/>
        <w:rPr>
          <w:rFonts w:ascii="Calibri" w:hAnsi="Calibri"/>
          <w:color w:val="000000"/>
          <w:sz w:val="22"/>
          <w:szCs w:val="22"/>
          <w:lang w:val="es-ES_tradnl"/>
        </w:rPr>
      </w:pPr>
    </w:p>
    <w:p w14:paraId="2E278011" w14:textId="5EA18F93" w:rsidR="004036E9" w:rsidRPr="004F549F" w:rsidRDefault="004036E9" w:rsidP="004036E9">
      <w:pPr>
        <w:ind w:left="540" w:hanging="540"/>
        <w:rPr>
          <w:rFonts w:ascii="Calibri" w:hAnsi="Calibri"/>
          <w:b/>
          <w:sz w:val="22"/>
          <w:szCs w:val="22"/>
          <w:lang w:val="es-ES_tradnl"/>
        </w:rPr>
      </w:pPr>
      <w:r w:rsidRPr="004F549F">
        <w:rPr>
          <w:rFonts w:ascii="Calibri" w:hAnsi="Calibri"/>
          <w:b/>
          <w:sz w:val="22"/>
          <w:szCs w:val="22"/>
          <w:lang w:val="es-ES_tradnl"/>
        </w:rPr>
        <w:t>Fun</w:t>
      </w:r>
      <w:r w:rsidR="00CF7953" w:rsidRPr="004F549F">
        <w:rPr>
          <w:rFonts w:ascii="Calibri" w:hAnsi="Calibri"/>
          <w:b/>
          <w:sz w:val="22"/>
          <w:szCs w:val="22"/>
          <w:lang w:val="es-ES_tradnl"/>
        </w:rPr>
        <w:t>ciones del</w:t>
      </w:r>
      <w:r w:rsidR="00261636" w:rsidRPr="004F549F">
        <w:rPr>
          <w:rFonts w:ascii="Calibri" w:hAnsi="Calibri"/>
          <w:b/>
          <w:sz w:val="22"/>
          <w:szCs w:val="22"/>
          <w:lang w:val="es-ES_tradnl"/>
        </w:rPr>
        <w:t xml:space="preserve"> Comité Permanente</w:t>
      </w:r>
    </w:p>
    <w:p w14:paraId="3C68D1C9" w14:textId="77777777" w:rsidR="00C862F0" w:rsidRPr="004F549F" w:rsidRDefault="00C862F0" w:rsidP="004036E9">
      <w:pPr>
        <w:ind w:left="540" w:hanging="540"/>
        <w:rPr>
          <w:rFonts w:ascii="Calibri" w:hAnsi="Calibri"/>
          <w:b/>
          <w:sz w:val="22"/>
          <w:szCs w:val="22"/>
          <w:lang w:val="es-ES_tradnl"/>
        </w:rPr>
      </w:pPr>
    </w:p>
    <w:p w14:paraId="1C44DC0C" w14:textId="02C04827" w:rsidR="004036E9" w:rsidRPr="004F549F" w:rsidRDefault="00CF7953" w:rsidP="006F7C16">
      <w:pPr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En la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261636" w:rsidRPr="004F549F">
        <w:rPr>
          <w:rFonts w:ascii="Calibri" w:hAnsi="Calibri"/>
          <w:sz w:val="22"/>
          <w:szCs w:val="22"/>
          <w:lang w:val="es-ES_tradnl"/>
        </w:rPr>
        <w:t>Resolución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XII.4</w:t>
      </w:r>
      <w:r w:rsidRPr="004F549F">
        <w:rPr>
          <w:rFonts w:ascii="Calibri" w:hAnsi="Calibri"/>
          <w:sz w:val="22"/>
          <w:szCs w:val="22"/>
          <w:lang w:val="es-ES_tradnl"/>
        </w:rPr>
        <w:t>, Anexo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1, </w:t>
      </w:r>
      <w:r w:rsidRPr="004F549F">
        <w:rPr>
          <w:rFonts w:ascii="Calibri" w:hAnsi="Calibri"/>
          <w:sz w:val="22"/>
          <w:szCs w:val="22"/>
          <w:lang w:val="es-ES_tradnl"/>
        </w:rPr>
        <w:t>párrafo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 19, </w:t>
      </w:r>
      <w:r w:rsidRPr="004F549F">
        <w:rPr>
          <w:rFonts w:ascii="Calibri" w:hAnsi="Calibri"/>
          <w:sz w:val="22"/>
          <w:szCs w:val="22"/>
          <w:lang w:val="es-ES_tradnl"/>
        </w:rPr>
        <w:t>las Partes actualizaron las funciones del Co</w:t>
      </w:r>
      <w:r w:rsidR="00261636" w:rsidRPr="004F549F">
        <w:rPr>
          <w:rFonts w:ascii="Calibri" w:hAnsi="Calibri"/>
          <w:sz w:val="22"/>
          <w:szCs w:val="22"/>
          <w:lang w:val="es-ES_tradnl"/>
        </w:rPr>
        <w:t>mité Permanente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 xml:space="preserve">, </w:t>
      </w:r>
      <w:r w:rsidRPr="004F549F">
        <w:rPr>
          <w:rFonts w:ascii="Calibri" w:hAnsi="Calibri"/>
          <w:sz w:val="22"/>
          <w:szCs w:val="22"/>
          <w:lang w:val="es-ES_tradnl"/>
        </w:rPr>
        <w:t>que son las siguientes:</w:t>
      </w:r>
    </w:p>
    <w:p w14:paraId="18BA6B8A" w14:textId="77777777" w:rsidR="004036E9" w:rsidRPr="004F549F" w:rsidRDefault="004036E9" w:rsidP="004036E9">
      <w:pPr>
        <w:pStyle w:val="BodyText"/>
        <w:widowControl w:val="0"/>
        <w:spacing w:after="0"/>
        <w:ind w:right="178"/>
        <w:rPr>
          <w:rFonts w:ascii="Calibri" w:hAnsi="Calibri"/>
          <w:sz w:val="22"/>
          <w:szCs w:val="22"/>
          <w:lang w:val="es-ES_tradnl"/>
        </w:rPr>
      </w:pPr>
    </w:p>
    <w:p w14:paraId="42BC42EE" w14:textId="7D9FBD20" w:rsidR="004036E9" w:rsidRPr="004F549F" w:rsidRDefault="00CF7953" w:rsidP="006F7C16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llevar a cabo, entre una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reunión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ordinaria de la Conferencia de las Partes y la siguiente, las actividades transitorias en nombre de la Conferencia que pudieran ser necesarias, asignando prioridad a los asuntos a los que la Conferencia ya haya dado su </w:t>
      </w:r>
      <w:r w:rsidR="004F549F" w:rsidRPr="004F549F">
        <w:rPr>
          <w:rFonts w:ascii="Calibri" w:hAnsi="Calibri"/>
          <w:sz w:val="22"/>
          <w:szCs w:val="22"/>
          <w:lang w:val="es-ES_tradnl"/>
        </w:rPr>
        <w:t>aprobación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t</w:t>
      </w:r>
      <w:r w:rsidR="004F549F">
        <w:rPr>
          <w:rFonts w:ascii="Calibri" w:hAnsi="Calibri"/>
          <w:sz w:val="22"/>
          <w:szCs w:val="22"/>
          <w:lang w:val="es-ES_tradnl"/>
        </w:rPr>
        <w:t>eniendo en cuenta que el 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 no está facultado para tomar decisiones que normalmente </w:t>
      </w:r>
      <w:r w:rsidR="004F549F" w:rsidRPr="004F549F">
        <w:rPr>
          <w:rFonts w:ascii="Calibri" w:hAnsi="Calibri"/>
          <w:sz w:val="22"/>
          <w:szCs w:val="22"/>
          <w:lang w:val="es-ES_tradnl"/>
        </w:rPr>
        <w:t>serían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tomadas por la Conferencia de las Partes Contratantes ni para enmendar una </w:t>
      </w:r>
      <w:r w:rsidR="004F549F" w:rsidRPr="004F549F">
        <w:rPr>
          <w:rFonts w:ascii="Calibri" w:hAnsi="Calibri"/>
          <w:sz w:val="22"/>
          <w:szCs w:val="22"/>
          <w:lang w:val="es-ES_tradnl"/>
        </w:rPr>
        <w:t>decisión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adoptada por la Conferencia de las Partes</w:t>
      </w:r>
      <w:r w:rsidR="004036E9" w:rsidRPr="004F549F">
        <w:rPr>
          <w:rFonts w:ascii="Calibri" w:hAnsi="Calibri"/>
          <w:sz w:val="22"/>
          <w:szCs w:val="22"/>
          <w:lang w:val="es-ES_tradnl"/>
        </w:rPr>
        <w:t>;</w:t>
      </w:r>
    </w:p>
    <w:p w14:paraId="4B608E56" w14:textId="77777777" w:rsidR="004036E9" w:rsidRPr="004F549F" w:rsidRDefault="004036E9" w:rsidP="00FB3ADD">
      <w:pPr>
        <w:pStyle w:val="BodyText"/>
        <w:widowControl w:val="0"/>
        <w:spacing w:after="0"/>
        <w:ind w:left="851" w:right="178" w:hanging="425"/>
        <w:rPr>
          <w:rFonts w:ascii="Calibri" w:hAnsi="Calibri"/>
          <w:sz w:val="22"/>
          <w:szCs w:val="22"/>
          <w:lang w:val="es-ES_tradnl"/>
        </w:rPr>
      </w:pPr>
    </w:p>
    <w:p w14:paraId="524145F8" w14:textId="3244F173" w:rsidR="004036E9" w:rsidRPr="004F549F" w:rsidRDefault="00CF7953" w:rsidP="00FB3ADD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preparar los asuntos, incluidos, entre otras cosas, proyectos de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Resolución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Recomendación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, para que la COP los examine en su </w:t>
      </w:r>
      <w:r w:rsidR="004F549F" w:rsidRPr="004F549F">
        <w:rPr>
          <w:rFonts w:ascii="Calibri" w:hAnsi="Calibri"/>
          <w:sz w:val="22"/>
          <w:szCs w:val="22"/>
          <w:lang w:val="es-ES_tradnl"/>
        </w:rPr>
        <w:t>reunión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siguiente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>;</w:t>
      </w:r>
    </w:p>
    <w:p w14:paraId="2D2614EF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29B7531E" w14:textId="2F80746A" w:rsidR="00CF7953" w:rsidRPr="004F549F" w:rsidRDefault="007A11FA" w:rsidP="00CF7953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supervisar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, en </w:t>
      </w:r>
      <w:r w:rsidRPr="004F549F">
        <w:rPr>
          <w:rFonts w:ascii="Calibri" w:hAnsi="Calibri"/>
          <w:sz w:val="22"/>
          <w:szCs w:val="22"/>
          <w:lang w:val="es-ES_tradnl"/>
        </w:rPr>
        <w:t>representación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la Conferencia de las Partes, la </w:t>
      </w:r>
      <w:r w:rsidRPr="004F549F">
        <w:rPr>
          <w:rFonts w:ascii="Calibri" w:hAnsi="Calibri"/>
          <w:sz w:val="22"/>
          <w:szCs w:val="22"/>
          <w:lang w:val="es-ES_tradnl"/>
        </w:rPr>
        <w:t>aplicación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las actividades por la </w:t>
      </w:r>
      <w:r w:rsidRPr="004F549F">
        <w:rPr>
          <w:rFonts w:ascii="Calibri" w:hAnsi="Calibri"/>
          <w:sz w:val="22"/>
          <w:szCs w:val="22"/>
          <w:lang w:val="es-ES_tradnl"/>
        </w:rPr>
        <w:t>Secretaría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, la </w:t>
      </w:r>
      <w:r w:rsidRPr="004F549F">
        <w:rPr>
          <w:rFonts w:ascii="Calibri" w:hAnsi="Calibri"/>
          <w:sz w:val="22"/>
          <w:szCs w:val="22"/>
          <w:lang w:val="es-ES_tradnl"/>
        </w:rPr>
        <w:t>administración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del presupuesto de la </w:t>
      </w:r>
      <w:r w:rsidRPr="004F549F">
        <w:rPr>
          <w:rFonts w:ascii="Calibri" w:hAnsi="Calibri"/>
          <w:sz w:val="22"/>
          <w:szCs w:val="22"/>
          <w:lang w:val="es-ES_tradnl"/>
        </w:rPr>
        <w:t>Secretaría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y la </w:t>
      </w:r>
      <w:r w:rsidRPr="004F549F">
        <w:rPr>
          <w:rFonts w:ascii="Calibri" w:hAnsi="Calibri"/>
          <w:sz w:val="22"/>
          <w:szCs w:val="22"/>
          <w:lang w:val="es-ES_tradnl"/>
        </w:rPr>
        <w:t>ejecución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sus programas; </w:t>
      </w:r>
    </w:p>
    <w:p w14:paraId="2F806F87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6D435C44" w14:textId="1B290B05" w:rsidR="004036E9" w:rsidRPr="004F549F" w:rsidRDefault="007A11FA" w:rsidP="00CF7953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orientar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y asesorar a la </w:t>
      </w:r>
      <w:r w:rsidRPr="004F549F">
        <w:rPr>
          <w:rFonts w:ascii="Calibri" w:hAnsi="Calibri"/>
          <w:sz w:val="22"/>
          <w:szCs w:val="22"/>
          <w:lang w:val="es-ES_tradnl"/>
        </w:rPr>
        <w:t>Secretaría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respecto de la </w:t>
      </w:r>
      <w:r w:rsidRPr="004F549F">
        <w:rPr>
          <w:rFonts w:ascii="Calibri" w:hAnsi="Calibri"/>
          <w:sz w:val="22"/>
          <w:szCs w:val="22"/>
          <w:lang w:val="es-ES_tradnl"/>
        </w:rPr>
        <w:t>aplicación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la </w:t>
      </w:r>
      <w:r w:rsidRPr="004F549F">
        <w:rPr>
          <w:rFonts w:ascii="Calibri" w:hAnsi="Calibri"/>
          <w:sz w:val="22"/>
          <w:szCs w:val="22"/>
          <w:lang w:val="es-ES_tradnl"/>
        </w:rPr>
        <w:t>Convención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, la </w:t>
      </w:r>
      <w:r w:rsidRPr="004F549F">
        <w:rPr>
          <w:rFonts w:ascii="Calibri" w:hAnsi="Calibri"/>
          <w:sz w:val="22"/>
          <w:szCs w:val="22"/>
          <w:lang w:val="es-ES_tradnl"/>
        </w:rPr>
        <w:t>preparación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las reuniones y cualesquiera otros asuntos relacionados con el </w:t>
      </w:r>
      <w:r w:rsidRPr="004F549F">
        <w:rPr>
          <w:rFonts w:ascii="Calibri" w:hAnsi="Calibri"/>
          <w:sz w:val="22"/>
          <w:szCs w:val="22"/>
          <w:lang w:val="es-ES_tradnl"/>
        </w:rPr>
        <w:t>desempeño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de sus funciones que la </w:t>
      </w:r>
      <w:r w:rsidRPr="004F549F">
        <w:rPr>
          <w:rFonts w:ascii="Calibri" w:hAnsi="Calibri"/>
          <w:sz w:val="22"/>
          <w:szCs w:val="22"/>
          <w:lang w:val="es-ES_tradnl"/>
        </w:rPr>
        <w:t>Secretaría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/>
          <w:sz w:val="22"/>
          <w:szCs w:val="22"/>
          <w:lang w:val="es-ES_tradnl"/>
        </w:rPr>
        <w:t>señale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a su </w:t>
      </w:r>
      <w:r w:rsidRPr="004F549F">
        <w:rPr>
          <w:rFonts w:ascii="Calibri" w:hAnsi="Calibri"/>
          <w:sz w:val="22"/>
          <w:szCs w:val="22"/>
          <w:lang w:val="es-ES_tradnl"/>
        </w:rPr>
        <w:t>atención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>;</w:t>
      </w:r>
    </w:p>
    <w:p w14:paraId="4C378ED2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0A6EDA58" w14:textId="7A11BC31" w:rsidR="004036E9" w:rsidRPr="004F549F" w:rsidRDefault="007A11FA" w:rsidP="00CF7953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desempeñarse</w:t>
      </w:r>
      <w:r w:rsidR="00CF7953" w:rsidRPr="004F549F">
        <w:rPr>
          <w:rFonts w:ascii="Calibri" w:hAnsi="Calibri"/>
          <w:sz w:val="22"/>
          <w:szCs w:val="22"/>
          <w:lang w:val="es-ES_tradnl"/>
        </w:rPr>
        <w:t xml:space="preserve"> como Mesa de la Conferencia en las reuniones de la COP e</w:t>
      </w:r>
      <w:r w:rsidR="0097695A">
        <w:rPr>
          <w:rFonts w:ascii="Calibri" w:hAnsi="Calibri"/>
          <w:sz w:val="22"/>
          <w:szCs w:val="22"/>
          <w:lang w:val="es-ES_tradnl"/>
        </w:rPr>
        <w:t>n consonancia con el Reglamento;</w:t>
      </w:r>
    </w:p>
    <w:p w14:paraId="59BB2374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7B4C0FE6" w14:textId="01F0E6A1" w:rsidR="004036E9" w:rsidRPr="004F549F" w:rsidRDefault="00CF7953" w:rsidP="00FB3ADD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establecer los subgrupos que sean necesarios para facilitar el </w:t>
      </w:r>
      <w:r w:rsidR="007A11FA" w:rsidRPr="004F549F">
        <w:rPr>
          <w:rFonts w:ascii="Calibri" w:hAnsi="Calibri"/>
          <w:sz w:val="22"/>
          <w:szCs w:val="22"/>
          <w:lang w:val="es-ES_tradnl"/>
        </w:rPr>
        <w:t>desempeño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sus funciones</w:t>
      </w:r>
      <w:r w:rsidR="004036E9" w:rsidRPr="004F549F">
        <w:rPr>
          <w:rFonts w:ascii="Calibri" w:hAnsi="Calibri"/>
          <w:sz w:val="22"/>
          <w:szCs w:val="22"/>
          <w:lang w:val="es-ES_tradnl"/>
        </w:rPr>
        <w:t>;</w:t>
      </w:r>
    </w:p>
    <w:p w14:paraId="300AE6F0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26388BDE" w14:textId="294DD6B7" w:rsidR="00CF7953" w:rsidRPr="004F549F" w:rsidRDefault="00CF7953" w:rsidP="00CF7953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promover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cooperación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regional e internacional para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conservación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e</w:t>
      </w:r>
      <w:r w:rsidR="0097695A">
        <w:rPr>
          <w:rFonts w:ascii="Calibri" w:hAnsi="Calibri"/>
          <w:sz w:val="22"/>
          <w:szCs w:val="22"/>
          <w:lang w:val="es-ES_tradnl"/>
        </w:rPr>
        <w:t>l uso racional de los humedales;</w:t>
      </w:r>
    </w:p>
    <w:p w14:paraId="166F00C6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3B7D670C" w14:textId="04E88F00" w:rsidR="004036E9" w:rsidRPr="004F549F" w:rsidRDefault="008575C5" w:rsidP="008575C5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aprobar el plan de trabajo del Grupo de Examen </w:t>
      </w:r>
      <w:r w:rsidR="007A11FA" w:rsidRPr="004F549F">
        <w:rPr>
          <w:rFonts w:ascii="Calibri" w:hAnsi="Calibri"/>
          <w:sz w:val="22"/>
          <w:szCs w:val="22"/>
          <w:lang w:val="es-ES_tradnl"/>
        </w:rPr>
        <w:t>Científico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</w:t>
      </w:r>
      <w:r w:rsidR="007A11FA" w:rsidRPr="004F549F">
        <w:rPr>
          <w:rFonts w:ascii="Calibri" w:hAnsi="Calibri"/>
          <w:sz w:val="22"/>
          <w:szCs w:val="22"/>
          <w:lang w:val="es-ES_tradnl"/>
        </w:rPr>
        <w:t>Técnico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(GECT) teniendo en cuenta las decisiones de la COP, recibir los informes del GECT sobre los progresos alcanzados en su </w:t>
      </w:r>
      <w:r w:rsidR="007A11FA" w:rsidRPr="004F549F">
        <w:rPr>
          <w:rFonts w:ascii="Calibri" w:hAnsi="Calibri"/>
          <w:sz w:val="22"/>
          <w:szCs w:val="22"/>
          <w:lang w:val="es-ES_tradnl"/>
        </w:rPr>
        <w:t>ejecución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proporcionar orientaciones sobre su desarrollo en el futuro</w:t>
      </w:r>
      <w:r w:rsidR="004036E9" w:rsidRPr="004F549F">
        <w:rPr>
          <w:rFonts w:ascii="Calibri" w:hAnsi="Calibri"/>
          <w:sz w:val="22"/>
          <w:szCs w:val="22"/>
          <w:lang w:val="es-ES_tradnl"/>
        </w:rPr>
        <w:t>;</w:t>
      </w:r>
    </w:p>
    <w:p w14:paraId="54E71D43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415A6E61" w14:textId="56BCFA7B" w:rsidR="004036E9" w:rsidRPr="004F549F" w:rsidRDefault="00F06D18" w:rsidP="00DC31D4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adoptar para cada trienio las Directrices Operativas del Fondo Ramsar de </w:t>
      </w:r>
      <w:r w:rsidR="007A11FA" w:rsidRPr="004F549F">
        <w:rPr>
          <w:rFonts w:ascii="Calibri" w:hAnsi="Calibri"/>
          <w:sz w:val="22"/>
          <w:szCs w:val="22"/>
          <w:lang w:val="es-ES_tradnl"/>
        </w:rPr>
        <w:t>Pequeñas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Subvenciones para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Conservación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el Uso Racional de los Humedales y d</w:t>
      </w:r>
      <w:r w:rsidR="00DC31D4" w:rsidRPr="004F549F">
        <w:rPr>
          <w:rFonts w:ascii="Calibri" w:hAnsi="Calibri"/>
          <w:sz w:val="22"/>
          <w:szCs w:val="22"/>
          <w:lang w:val="es-ES_tradnl"/>
        </w:rPr>
        <w:t xml:space="preserve">ecidir </w:t>
      </w:r>
      <w:r w:rsidR="007A11FA" w:rsidRPr="004F549F">
        <w:rPr>
          <w:rFonts w:ascii="Calibri" w:hAnsi="Calibri"/>
          <w:sz w:val="22"/>
          <w:szCs w:val="22"/>
          <w:lang w:val="es-ES_tradnl"/>
        </w:rPr>
        <w:t>cómo</w:t>
      </w:r>
      <w:r w:rsidR="00DC31D4" w:rsidRPr="004F549F">
        <w:rPr>
          <w:rFonts w:ascii="Calibri" w:hAnsi="Calibri"/>
          <w:sz w:val="22"/>
          <w:szCs w:val="22"/>
          <w:lang w:val="es-ES_tradnl"/>
        </w:rPr>
        <w:t xml:space="preserve"> </w:t>
      </w:r>
      <w:r w:rsidR="00DC31D4" w:rsidRPr="004F549F">
        <w:rPr>
          <w:rFonts w:ascii="Calibri" w:hAnsi="Calibri"/>
          <w:sz w:val="22"/>
          <w:szCs w:val="22"/>
          <w:lang w:val="es-ES_tradnl"/>
        </w:rPr>
        <w:lastRenderedPageBreak/>
        <w:t>asignar los fondos;</w:t>
      </w:r>
    </w:p>
    <w:p w14:paraId="45494D50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2827DA3E" w14:textId="480B0C9F" w:rsidR="004036E9" w:rsidRPr="004F549F" w:rsidRDefault="00BC056B" w:rsidP="00BC056B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examinar en cada trienio los criterios para el Premio Ramsar a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Conservación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los Humedales establecidos en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Resolución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VI.18 y seleccionar a los laureados; e </w:t>
      </w:r>
    </w:p>
    <w:p w14:paraId="1BEC50BF" w14:textId="77777777" w:rsidR="004036E9" w:rsidRPr="004F549F" w:rsidRDefault="004036E9" w:rsidP="00FB3ADD">
      <w:pPr>
        <w:pStyle w:val="BodyText"/>
        <w:widowControl w:val="0"/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</w:p>
    <w:p w14:paraId="53E26928" w14:textId="6BD2E13B" w:rsidR="004036E9" w:rsidRPr="004F549F" w:rsidRDefault="007A11FA" w:rsidP="00BC056B">
      <w:pPr>
        <w:pStyle w:val="BodyText"/>
        <w:widowControl w:val="0"/>
        <w:numPr>
          <w:ilvl w:val="0"/>
          <w:numId w:val="23"/>
        </w:numPr>
        <w:tabs>
          <w:tab w:val="left" w:pos="851"/>
        </w:tabs>
        <w:spacing w:after="0"/>
        <w:ind w:left="851" w:right="-45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informar</w:t>
      </w:r>
      <w:r w:rsidR="00BC056B" w:rsidRPr="004F549F">
        <w:rPr>
          <w:rFonts w:ascii="Calibri" w:hAnsi="Calibri"/>
          <w:sz w:val="22"/>
          <w:szCs w:val="22"/>
          <w:lang w:val="es-ES_tradnl"/>
        </w:rPr>
        <w:t xml:space="preserve"> a la COP acerca de las actividades que haya realizado entre las reuniones ordinarias de la Conferencia.</w:t>
      </w:r>
    </w:p>
    <w:p w14:paraId="2FE8FF18" w14:textId="77777777" w:rsidR="00051BE9" w:rsidRPr="004F549F" w:rsidRDefault="00051BE9" w:rsidP="004036E9">
      <w:pPr>
        <w:rPr>
          <w:rFonts w:ascii="Calibri" w:hAnsi="Calibri"/>
          <w:b/>
          <w:sz w:val="22"/>
          <w:szCs w:val="22"/>
          <w:lang w:val="es-ES_tradnl"/>
        </w:rPr>
      </w:pPr>
    </w:p>
    <w:p w14:paraId="188F1436" w14:textId="47DAEEF9" w:rsidR="004036E9" w:rsidRPr="004F549F" w:rsidRDefault="004036E9" w:rsidP="004036E9">
      <w:pPr>
        <w:rPr>
          <w:rFonts w:ascii="Calibri" w:hAnsi="Calibri"/>
          <w:b/>
          <w:sz w:val="22"/>
          <w:szCs w:val="22"/>
          <w:lang w:val="es-ES_tradnl"/>
        </w:rPr>
      </w:pPr>
      <w:r w:rsidRPr="004F549F">
        <w:rPr>
          <w:rFonts w:ascii="Calibri" w:hAnsi="Calibri"/>
          <w:b/>
          <w:sz w:val="22"/>
          <w:szCs w:val="22"/>
          <w:lang w:val="es-ES_tradnl"/>
        </w:rPr>
        <w:t>Ta</w:t>
      </w:r>
      <w:r w:rsidR="00BC056B" w:rsidRPr="004F549F">
        <w:rPr>
          <w:rFonts w:ascii="Calibri" w:hAnsi="Calibri"/>
          <w:b/>
          <w:sz w:val="22"/>
          <w:szCs w:val="22"/>
          <w:lang w:val="es-ES_tradnl"/>
        </w:rPr>
        <w:t xml:space="preserve">reas de las Partes Contratantes elegidas como </w:t>
      </w:r>
      <w:r w:rsidR="007A11FA" w:rsidRPr="004F549F">
        <w:rPr>
          <w:rFonts w:ascii="Calibri" w:hAnsi="Calibri"/>
          <w:b/>
          <w:sz w:val="22"/>
          <w:szCs w:val="22"/>
          <w:lang w:val="es-ES_tradnl"/>
        </w:rPr>
        <w:t>Representantes</w:t>
      </w:r>
      <w:r w:rsidR="00BC056B" w:rsidRPr="004F549F">
        <w:rPr>
          <w:rFonts w:ascii="Calibri" w:hAnsi="Calibri"/>
          <w:b/>
          <w:sz w:val="22"/>
          <w:szCs w:val="22"/>
          <w:lang w:val="es-ES_tradnl"/>
        </w:rPr>
        <w:t xml:space="preserve"> Regionales en el</w:t>
      </w:r>
      <w:r w:rsidR="00261636" w:rsidRPr="004F549F">
        <w:rPr>
          <w:rFonts w:ascii="Calibri" w:hAnsi="Calibri"/>
          <w:b/>
          <w:sz w:val="22"/>
          <w:szCs w:val="22"/>
          <w:lang w:val="es-ES_tradnl"/>
        </w:rPr>
        <w:t xml:space="preserve"> Comité Permanente</w:t>
      </w:r>
      <w:r w:rsidRPr="004F549F">
        <w:rPr>
          <w:rFonts w:ascii="Calibri" w:hAnsi="Calibri"/>
          <w:b/>
          <w:sz w:val="22"/>
          <w:szCs w:val="22"/>
          <w:lang w:val="es-ES_tradnl"/>
        </w:rPr>
        <w:t xml:space="preserve"> (</w:t>
      </w:r>
      <w:r w:rsidR="0097695A">
        <w:rPr>
          <w:rFonts w:ascii="Calibri" w:hAnsi="Calibri"/>
          <w:b/>
          <w:sz w:val="22"/>
          <w:szCs w:val="22"/>
          <w:lang w:val="es-ES_tradnl"/>
        </w:rPr>
        <w:t>extraídas</w:t>
      </w:r>
      <w:r w:rsidR="008444CF" w:rsidRPr="004F549F">
        <w:rPr>
          <w:rFonts w:ascii="Calibri" w:hAnsi="Calibri"/>
          <w:b/>
          <w:sz w:val="22"/>
          <w:szCs w:val="22"/>
          <w:lang w:val="es-ES_tradnl"/>
        </w:rPr>
        <w:t xml:space="preserve"> de la </w:t>
      </w:r>
      <w:r w:rsidR="00261636" w:rsidRPr="004F549F">
        <w:rPr>
          <w:rFonts w:ascii="Calibri" w:hAnsi="Calibri"/>
          <w:b/>
          <w:sz w:val="22"/>
          <w:szCs w:val="22"/>
          <w:lang w:val="es-ES_tradnl"/>
        </w:rPr>
        <w:t>Resolución</w:t>
      </w:r>
      <w:r w:rsidRPr="004F549F">
        <w:rPr>
          <w:rFonts w:ascii="Calibri" w:hAnsi="Calibri"/>
          <w:b/>
          <w:sz w:val="22"/>
          <w:szCs w:val="22"/>
          <w:lang w:val="es-ES_tradnl"/>
        </w:rPr>
        <w:t xml:space="preserve"> XII.4, </w:t>
      </w:r>
      <w:r w:rsidR="008444CF" w:rsidRPr="004F549F">
        <w:rPr>
          <w:rFonts w:ascii="Calibri" w:hAnsi="Calibri"/>
          <w:b/>
          <w:sz w:val="22"/>
          <w:szCs w:val="22"/>
          <w:lang w:val="es-ES_tradnl"/>
        </w:rPr>
        <w:t>Anexo</w:t>
      </w:r>
      <w:r w:rsidRPr="004F549F">
        <w:rPr>
          <w:rFonts w:ascii="Calibri" w:hAnsi="Calibri"/>
          <w:b/>
          <w:sz w:val="22"/>
          <w:szCs w:val="22"/>
          <w:lang w:val="es-ES_tradnl"/>
        </w:rPr>
        <w:t xml:space="preserve"> 3)</w:t>
      </w:r>
    </w:p>
    <w:p w14:paraId="440722F3" w14:textId="77777777" w:rsidR="00C862F0" w:rsidRPr="004F549F" w:rsidRDefault="00C862F0" w:rsidP="004036E9">
      <w:pPr>
        <w:rPr>
          <w:rFonts w:ascii="Calibri" w:hAnsi="Calibri"/>
          <w:b/>
          <w:sz w:val="22"/>
          <w:szCs w:val="22"/>
          <w:lang w:val="es-ES_tradnl"/>
        </w:rPr>
      </w:pPr>
    </w:p>
    <w:p w14:paraId="60D49B1E" w14:textId="532D5113" w:rsidR="004036E9" w:rsidRPr="004F549F" w:rsidRDefault="008444CF" w:rsidP="006F7C16">
      <w:pPr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Las Partes Contratantes que hayan aceptado ser elegidas como Represe</w:t>
      </w:r>
      <w:r w:rsidR="007A11FA">
        <w:rPr>
          <w:rFonts w:ascii="Calibri" w:hAnsi="Calibri"/>
          <w:sz w:val="22"/>
          <w:szCs w:val="22"/>
          <w:lang w:val="es-ES_tradnl"/>
        </w:rPr>
        <w:t>ntantes Regionales en el 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 </w:t>
      </w:r>
      <w:r w:rsidR="007A11FA" w:rsidRPr="004F549F">
        <w:rPr>
          <w:rFonts w:ascii="Calibri" w:hAnsi="Calibri"/>
          <w:sz w:val="22"/>
          <w:szCs w:val="22"/>
          <w:lang w:val="es-ES_tradnl"/>
        </w:rPr>
        <w:t>desempeñar</w:t>
      </w:r>
      <w:r w:rsidR="007A11FA">
        <w:rPr>
          <w:rFonts w:ascii="Calibri" w:hAnsi="Calibri"/>
          <w:sz w:val="22"/>
          <w:szCs w:val="22"/>
          <w:lang w:val="es-ES_tradnl"/>
        </w:rPr>
        <w:t>á</w:t>
      </w:r>
      <w:r w:rsidR="007A11FA" w:rsidRPr="004F549F">
        <w:rPr>
          <w:rFonts w:ascii="Calibri" w:hAnsi="Calibri"/>
          <w:sz w:val="22"/>
          <w:szCs w:val="22"/>
          <w:lang w:val="es-ES_tradnl"/>
        </w:rPr>
        <w:t>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las siguientes tareas:</w:t>
      </w:r>
    </w:p>
    <w:p w14:paraId="574FBBBE" w14:textId="77777777" w:rsidR="004036E9" w:rsidRPr="004F549F" w:rsidRDefault="004036E9" w:rsidP="004036E9">
      <w:pPr>
        <w:rPr>
          <w:rFonts w:ascii="Calibri" w:eastAsia="Garamond" w:hAnsi="Calibri" w:cs="Garamond"/>
          <w:sz w:val="22"/>
          <w:szCs w:val="22"/>
          <w:lang w:val="es-ES_tradnl"/>
        </w:rPr>
      </w:pPr>
    </w:p>
    <w:p w14:paraId="28E24CCE" w14:textId="74ED6CB5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Designar</w:t>
      </w:r>
      <w:r w:rsidR="007A11FA">
        <w:rPr>
          <w:rFonts w:ascii="Calibri" w:hAnsi="Calibri"/>
          <w:sz w:val="22"/>
          <w:szCs w:val="22"/>
          <w:lang w:val="es-ES_tradnl"/>
        </w:rPr>
        <w:t xml:space="preserve"> a sus delegados ante el 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 teniendo en cuenta sus importantes responsabilidades como representantes regionales, en consonancia con el </w:t>
      </w:r>
      <w:r w:rsidR="007A11FA" w:rsidRPr="004F549F">
        <w:rPr>
          <w:rFonts w:ascii="Calibri" w:hAnsi="Calibri"/>
          <w:sz w:val="22"/>
          <w:szCs w:val="22"/>
          <w:lang w:val="es-ES_tradnl"/>
        </w:rPr>
        <w:t>párrafo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11 de la presente </w:t>
      </w:r>
      <w:r w:rsidR="007A11FA" w:rsidRPr="004F549F">
        <w:rPr>
          <w:rFonts w:ascii="Calibri" w:hAnsi="Calibri"/>
          <w:sz w:val="22"/>
          <w:szCs w:val="22"/>
          <w:lang w:val="es-ES_tradnl"/>
        </w:rPr>
        <w:t>Resolución</w:t>
      </w:r>
      <w:r w:rsidRPr="004F549F">
        <w:rPr>
          <w:rFonts w:ascii="Calibri" w:hAnsi="Calibri"/>
          <w:sz w:val="22"/>
          <w:szCs w:val="22"/>
          <w:lang w:val="es-ES_tradnl"/>
        </w:rPr>
        <w:t>, y hacer cuanto puedan para que sus delegados o los sustitutos de estos asistan a</w:t>
      </w:r>
      <w:r w:rsidR="007A11FA">
        <w:rPr>
          <w:rFonts w:ascii="Calibri" w:hAnsi="Calibri"/>
          <w:sz w:val="22"/>
          <w:szCs w:val="22"/>
          <w:lang w:val="es-ES_tradnl"/>
        </w:rPr>
        <w:t xml:space="preserve"> todas las reuniones del Comité</w:t>
      </w:r>
      <w:r w:rsidRPr="004F549F">
        <w:rPr>
          <w:rFonts w:ascii="Calibri" w:hAnsi="Calibri"/>
          <w:sz w:val="22"/>
          <w:szCs w:val="22"/>
          <w:lang w:val="es-ES_tradnl" w:eastAsia="es-ES"/>
        </w:rPr>
        <w:t>.</w:t>
      </w:r>
    </w:p>
    <w:p w14:paraId="0CA93A14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5325D06E" w14:textId="6C9733C6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Cuando un grupo regional cuente con </w:t>
      </w:r>
      <w:r w:rsidR="007A11FA" w:rsidRPr="004F549F">
        <w:rPr>
          <w:rFonts w:ascii="Calibri" w:hAnsi="Calibri"/>
          <w:sz w:val="22"/>
          <w:szCs w:val="22"/>
          <w:lang w:val="es-ES_tradnl"/>
        </w:rPr>
        <w:t>más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un Representante Regional, comunicarse y celebrar consultas </w:t>
      </w:r>
      <w:r w:rsidR="007A11FA" w:rsidRPr="004F549F">
        <w:rPr>
          <w:rFonts w:ascii="Calibri" w:hAnsi="Calibri"/>
          <w:sz w:val="22"/>
          <w:szCs w:val="22"/>
          <w:lang w:val="es-ES_tradnl"/>
        </w:rPr>
        <w:t>periódicas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con el otro Representante Regional o los otros Representantes Regionales.</w:t>
      </w:r>
    </w:p>
    <w:p w14:paraId="6CB9EA85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3366D300" w14:textId="08F01B49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Comunicarse y celebrar consultas con las Partes Contratantes de su grupo regional, y aprovechar las posibilidades de viajar dentro de su </w:t>
      </w:r>
      <w:r w:rsidR="007A11FA" w:rsidRPr="004F549F">
        <w:rPr>
          <w:rFonts w:ascii="Calibri" w:hAnsi="Calibri"/>
          <w:sz w:val="22"/>
          <w:szCs w:val="22"/>
          <w:lang w:val="es-ES_tradnl"/>
        </w:rPr>
        <w:t>región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la asistencia a reuniones regionales o internacionales para sostener consultas sobre cuestiones relacionadas con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Convención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y para promover los objetivos de la misma. A tal efecto, cuando exista </w:t>
      </w:r>
      <w:r w:rsidR="007A11FA" w:rsidRPr="004F549F">
        <w:rPr>
          <w:rFonts w:ascii="Calibri" w:hAnsi="Calibri"/>
          <w:sz w:val="22"/>
          <w:szCs w:val="22"/>
          <w:lang w:val="es-ES_tradnl"/>
        </w:rPr>
        <w:t>más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un Representante Regional, </w:t>
      </w:r>
      <w:r w:rsidR="007A11FA" w:rsidRPr="004F549F">
        <w:rPr>
          <w:rFonts w:ascii="Calibri" w:hAnsi="Calibri"/>
          <w:sz w:val="22"/>
          <w:szCs w:val="22"/>
          <w:lang w:val="es-ES_tradnl"/>
        </w:rPr>
        <w:t>convendrán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entre sí qué Partes Contratantes </w:t>
      </w:r>
      <w:r w:rsidR="007A11FA" w:rsidRPr="004F549F">
        <w:rPr>
          <w:rFonts w:ascii="Calibri" w:hAnsi="Calibri"/>
          <w:sz w:val="22"/>
          <w:szCs w:val="22"/>
          <w:lang w:val="es-ES_tradnl"/>
        </w:rPr>
        <w:t>serán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responsabilidad de cada Representante Regional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0AB96305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05187D41" w14:textId="25FFD0DA" w:rsidR="004036E9" w:rsidRPr="004F549F" w:rsidRDefault="008444CF" w:rsidP="008444CF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Solicitar las opiniones de las Partes Contratantes de su grupo regional an</w:t>
      </w:r>
      <w:r w:rsidR="007A11FA">
        <w:rPr>
          <w:rFonts w:ascii="Calibri" w:hAnsi="Calibri"/>
          <w:sz w:val="22"/>
          <w:szCs w:val="22"/>
          <w:lang w:val="es-ES_tradnl"/>
        </w:rPr>
        <w:t>tes de las reuniones del 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1789D034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1D05071A" w14:textId="678485C5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Asesorar a la </w:t>
      </w:r>
      <w:r w:rsidR="007A11FA" w:rsidRPr="004F549F">
        <w:rPr>
          <w:rFonts w:ascii="Calibri" w:hAnsi="Calibri"/>
          <w:sz w:val="22"/>
          <w:szCs w:val="22"/>
          <w:lang w:val="es-ES_tradnl"/>
        </w:rPr>
        <w:t>Secretaria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Ramsar cuando se fije el orden del </w:t>
      </w:r>
      <w:r w:rsidR="007A11FA" w:rsidRPr="004F549F">
        <w:rPr>
          <w:rFonts w:ascii="Calibri" w:hAnsi="Calibri"/>
          <w:sz w:val="22"/>
          <w:szCs w:val="22"/>
          <w:lang w:val="es-ES_tradnl"/>
        </w:rPr>
        <w:t>día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las reuniones regionales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64EE2A5D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1FDC1B49" w14:textId="30808935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Asumir responsabilidades adicionales participando en los subgr</w:t>
      </w:r>
      <w:r w:rsidR="007A11FA">
        <w:rPr>
          <w:rFonts w:ascii="Calibri" w:hAnsi="Calibri"/>
          <w:sz w:val="22"/>
          <w:szCs w:val="22"/>
          <w:lang w:val="es-ES_tradnl"/>
        </w:rPr>
        <w:t>upos establecidos por el Comité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Permanente.</w:t>
      </w:r>
    </w:p>
    <w:p w14:paraId="5A0F8FC4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220B40A6" w14:textId="5C9F9925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Proporcionar el asesoramiento solicitado por el Presidente y/o los presidentes de subgrupos y/o la </w:t>
      </w:r>
      <w:r w:rsidR="00710BBE">
        <w:rPr>
          <w:rFonts w:ascii="Calibri" w:hAnsi="Calibri"/>
          <w:sz w:val="22"/>
          <w:szCs w:val="22"/>
          <w:lang w:val="es-ES_tradnl"/>
        </w:rPr>
        <w:t>Secretarí</w:t>
      </w:r>
      <w:r w:rsidR="007A11FA" w:rsidRPr="004F549F">
        <w:rPr>
          <w:rFonts w:ascii="Calibri" w:hAnsi="Calibri"/>
          <w:sz w:val="22"/>
          <w:szCs w:val="22"/>
          <w:lang w:val="es-ES_tradnl"/>
        </w:rPr>
        <w:t>a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de la </w:t>
      </w:r>
      <w:r w:rsidR="00710BBE" w:rsidRPr="004F549F">
        <w:rPr>
          <w:rFonts w:ascii="Calibri" w:hAnsi="Calibri"/>
          <w:sz w:val="22"/>
          <w:szCs w:val="22"/>
          <w:lang w:val="es-ES_tradnl"/>
        </w:rPr>
        <w:t>Convención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24BBF01B" w14:textId="77777777" w:rsidR="004036E9" w:rsidRPr="004F549F" w:rsidRDefault="004036E9" w:rsidP="00FB3ADD">
      <w:pPr>
        <w:tabs>
          <w:tab w:val="left" w:pos="851"/>
        </w:tabs>
        <w:ind w:left="851" w:hanging="425"/>
        <w:rPr>
          <w:rFonts w:ascii="Calibri" w:eastAsia="Garamond" w:hAnsi="Calibri" w:cs="Garamond"/>
          <w:sz w:val="22"/>
          <w:szCs w:val="22"/>
          <w:lang w:val="es-ES_tradnl"/>
        </w:rPr>
      </w:pPr>
    </w:p>
    <w:p w14:paraId="58F70071" w14:textId="6F5B44FA" w:rsidR="004036E9" w:rsidRPr="004F549F" w:rsidRDefault="008444CF" w:rsidP="00FB3AD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425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 xml:space="preserve">En las regiones en las que sea necesario, realizar esfuerzos deliberados para alentar a otros </w:t>
      </w:r>
      <w:r w:rsidR="00710BBE">
        <w:rPr>
          <w:rFonts w:ascii="Calibri" w:hAnsi="Calibri"/>
          <w:sz w:val="22"/>
          <w:szCs w:val="22"/>
          <w:lang w:val="es-ES_tradnl"/>
        </w:rPr>
        <w:t>países</w:t>
      </w:r>
      <w:r w:rsidRPr="004F549F">
        <w:rPr>
          <w:rFonts w:ascii="Calibri" w:hAnsi="Calibri"/>
          <w:sz w:val="22"/>
          <w:szCs w:val="22"/>
          <w:lang w:val="es-ES_tradnl"/>
        </w:rPr>
        <w:t xml:space="preserve"> a adherirse a la </w:t>
      </w:r>
      <w:r w:rsidR="00710BBE" w:rsidRPr="004F549F">
        <w:rPr>
          <w:rFonts w:ascii="Calibri" w:hAnsi="Calibri"/>
          <w:sz w:val="22"/>
          <w:szCs w:val="22"/>
          <w:lang w:val="es-ES_tradnl"/>
        </w:rPr>
        <w:t>Convención</w:t>
      </w:r>
      <w:r w:rsidR="004036E9" w:rsidRPr="004F549F">
        <w:rPr>
          <w:rFonts w:ascii="Calibri" w:hAnsi="Calibri"/>
          <w:sz w:val="22"/>
          <w:szCs w:val="22"/>
          <w:lang w:val="es-ES_tradnl"/>
        </w:rPr>
        <w:t>.</w:t>
      </w:r>
    </w:p>
    <w:p w14:paraId="16D8D794" w14:textId="77777777" w:rsidR="004036E9" w:rsidRPr="004F549F" w:rsidRDefault="004036E9" w:rsidP="004036E9">
      <w:pPr>
        <w:pStyle w:val="ColorfulList-Accent11"/>
        <w:spacing w:after="0" w:line="240" w:lineRule="auto"/>
        <w:ind w:left="1134" w:hanging="567"/>
        <w:rPr>
          <w:lang w:val="es-ES_tradnl"/>
        </w:rPr>
      </w:pPr>
    </w:p>
    <w:p w14:paraId="17D30B28" w14:textId="78763F4F" w:rsidR="004036E9" w:rsidRPr="004F549F" w:rsidRDefault="008444CF" w:rsidP="006F7C16">
      <w:pPr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/>
          <w:sz w:val="22"/>
          <w:szCs w:val="22"/>
          <w:lang w:val="es-ES_tradnl"/>
        </w:rPr>
        <w:t>Tras haber realizado consultas de conformidad con el párrafo 8.c más arriba, se ha acordado que las responsabilidades de los miembros del Comité Permanente para mantener contactos y consultas periódicas con otras Partes Contratantes son las siguientes</w:t>
      </w:r>
      <w:r w:rsidR="004036E9" w:rsidRPr="004F549F">
        <w:rPr>
          <w:rFonts w:ascii="Calibri" w:hAnsi="Calibri"/>
          <w:sz w:val="22"/>
          <w:szCs w:val="22"/>
          <w:lang w:val="es-ES_tradnl"/>
        </w:rPr>
        <w:t>:</w:t>
      </w:r>
    </w:p>
    <w:p w14:paraId="165FAE76" w14:textId="77777777" w:rsidR="004036E9" w:rsidRPr="004F549F" w:rsidRDefault="004036E9" w:rsidP="004036E9">
      <w:pPr>
        <w:ind w:left="567" w:hanging="567"/>
        <w:rPr>
          <w:rFonts w:ascii="Calibri" w:hAnsi="Calibri"/>
          <w:sz w:val="22"/>
          <w:szCs w:val="22"/>
          <w:lang w:val="es-ES_tradnl"/>
        </w:rPr>
      </w:pPr>
    </w:p>
    <w:p w14:paraId="6FB4AFCB" w14:textId="23BDD14F" w:rsidR="00565A0C" w:rsidRPr="004F549F" w:rsidRDefault="008444CF" w:rsidP="006F7C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95B3D7" w:fill="B8CCE4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color w:val="000000"/>
          <w:sz w:val="22"/>
          <w:szCs w:val="22"/>
          <w:lang w:val="es-ES_tradnl"/>
        </w:rPr>
        <w:t>Á</w:t>
      </w:r>
      <w:r w:rsidR="00565A0C" w:rsidRPr="004F549F">
        <w:rPr>
          <w:rStyle w:val="Strong"/>
          <w:rFonts w:ascii="Calibri" w:hAnsi="Calibri" w:cs="Calibri"/>
          <w:color w:val="000000"/>
          <w:sz w:val="22"/>
          <w:szCs w:val="22"/>
          <w:lang w:val="es-ES_tradnl"/>
        </w:rPr>
        <w:t>frica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:</w:t>
      </w: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 Kenya</w:t>
      </w:r>
      <w:r w:rsidR="0097695A">
        <w:rPr>
          <w:rFonts w:ascii="Calibri" w:hAnsi="Calibri" w:cs="Calibri"/>
          <w:b/>
          <w:color w:val="000000"/>
          <w:sz w:val="22"/>
          <w:szCs w:val="22"/>
          <w:lang w:val="es-ES_tradnl"/>
        </w:rPr>
        <w:t>,</w:t>
      </w:r>
      <w:r w:rsidR="0097695A" w:rsidRPr="0097695A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 </w:t>
      </w:r>
      <w:r w:rsidR="0097695A"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>República Democrática del Congo</w:t>
      </w:r>
      <w:r w:rsidR="0097695A">
        <w:rPr>
          <w:rFonts w:ascii="Calibri" w:hAnsi="Calibri" w:cs="Calibri"/>
          <w:b/>
          <w:color w:val="000000"/>
          <w:sz w:val="22"/>
          <w:szCs w:val="22"/>
          <w:lang w:val="es-ES_tradnl"/>
        </w:rPr>
        <w:t>, Senegal, Seychelles</w:t>
      </w: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 y Túnez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color w:val="000000"/>
          <w:sz w:val="22"/>
          <w:szCs w:val="22"/>
          <w:lang w:val="es-ES_tradnl"/>
        </w:rPr>
        <w:t>m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iembros suplentes: 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Uganda, Malí, Botswana, </w:t>
      </w:r>
      <w:r w:rsidR="00F2059F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República Centroafricana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="00F2059F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y Egipto)</w:t>
      </w:r>
    </w:p>
    <w:p w14:paraId="01C8F12A" w14:textId="77777777" w:rsidR="00565A0C" w:rsidRPr="004F549F" w:rsidRDefault="00565A0C" w:rsidP="00565A0C">
      <w:pPr>
        <w:ind w:left="567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</w:p>
    <w:p w14:paraId="7BFDE9ED" w14:textId="018FB436" w:rsidR="00565A0C" w:rsidRDefault="00565A0C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Kenya 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representa a: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Djibouti, Burundi, 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República Unida de Tanzanía, Rwanda y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Uganda (</w:t>
      </w:r>
      <w:r w:rsidR="0097695A">
        <w:rPr>
          <w:rFonts w:ascii="Calibri" w:hAnsi="Calibri" w:cs="Calibri"/>
          <w:color w:val="000000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uplente)</w:t>
      </w:r>
    </w:p>
    <w:p w14:paraId="2F2C9E31" w14:textId="77777777" w:rsidR="0097695A" w:rsidRPr="004F549F" w:rsidRDefault="0097695A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5DBD80A3" w14:textId="3E96CCFD" w:rsidR="0097695A" w:rsidRPr="004F549F" w:rsidRDefault="0097695A" w:rsidP="0097695A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La República Democrática del Congo 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representa a: Camerún, Chad, Congo, Gabón, Guinea Ecuatorial, Repú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blica Centroafricana (s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uplente) y Santo Tomé y Príncipe</w:t>
      </w:r>
    </w:p>
    <w:p w14:paraId="570434B0" w14:textId="77777777" w:rsidR="00565A0C" w:rsidRPr="004F549F" w:rsidRDefault="00565A0C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57662D10" w14:textId="32A87942" w:rsidR="00565A0C" w:rsidRPr="004F549F" w:rsidRDefault="00A36D2D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 xml:space="preserve">El </w:t>
      </w:r>
      <w:r w:rsidR="00565A0C"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>Senegal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representa a: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Benin, Burkina Faso, Cabo Verde, Côte d’Ivoire, Gambia, Ghana, Guinea, Guinea-Bissau, Liberia, Mal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í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color w:val="000000"/>
          <w:sz w:val="22"/>
          <w:szCs w:val="22"/>
          <w:lang w:val="es-ES_tradnl"/>
        </w:rPr>
        <w:t>s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uplente), Mauritania, Ní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ger, Nigeria, Sierra Leon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a y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Togo</w:t>
      </w:r>
    </w:p>
    <w:p w14:paraId="05DB9296" w14:textId="77777777" w:rsidR="00565A0C" w:rsidRPr="004F549F" w:rsidRDefault="00565A0C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53933AD0" w14:textId="41386C2D" w:rsidR="00565A0C" w:rsidRPr="004F549F" w:rsidRDefault="00565A0C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>Seychelles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representa a: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Botswana (</w:t>
      </w:r>
      <w:r w:rsidR="0097695A">
        <w:rPr>
          <w:rFonts w:ascii="Calibri" w:hAnsi="Calibri" w:cs="Calibri"/>
          <w:color w:val="000000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uplente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), Comor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a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s, Lesotho, Madagascar, Malawi, Maur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icio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, Mozambique, Namibia, S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udáfrica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, Swaziland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ia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, Zambia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y </w:t>
      </w:r>
      <w:r w:rsidRPr="004F549F">
        <w:rPr>
          <w:rFonts w:ascii="Calibri" w:hAnsi="Calibri" w:cs="Calibri"/>
          <w:color w:val="000000"/>
          <w:sz w:val="22"/>
          <w:szCs w:val="22"/>
          <w:lang w:val="es-ES_tradnl"/>
        </w:rPr>
        <w:t>Zimbabwe</w:t>
      </w:r>
    </w:p>
    <w:p w14:paraId="30B33730" w14:textId="77777777" w:rsidR="00513952" w:rsidRPr="004F549F" w:rsidRDefault="00513952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69FE5AAC" w14:textId="49AE73EA" w:rsidR="00513952" w:rsidRPr="004F549F" w:rsidRDefault="00513952" w:rsidP="00FB3ADD">
      <w:pPr>
        <w:ind w:left="426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color w:val="000000"/>
          <w:sz w:val="22"/>
          <w:szCs w:val="22"/>
          <w:lang w:val="es-ES_tradnl"/>
        </w:rPr>
        <w:t>Túnez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representa a: Argelia, Egipto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color w:val="000000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uplente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), Lib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i</w:t>
      </w:r>
      <w:r w:rsidR="00565A0C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a, M</w:t>
      </w:r>
      <w:r w:rsidR="00A36D2D" w:rsidRPr="004F549F">
        <w:rPr>
          <w:rFonts w:ascii="Calibri" w:hAnsi="Calibri" w:cs="Calibri"/>
          <w:color w:val="000000"/>
          <w:sz w:val="22"/>
          <w:szCs w:val="22"/>
          <w:lang w:val="es-ES_tradnl"/>
        </w:rPr>
        <w:t>arruecos, Sudán y Sudán del Sur</w:t>
      </w:r>
    </w:p>
    <w:p w14:paraId="3A82FB26" w14:textId="77777777" w:rsidR="004036E9" w:rsidRPr="004F549F" w:rsidRDefault="004036E9" w:rsidP="004036E9">
      <w:pPr>
        <w:ind w:left="567"/>
        <w:rPr>
          <w:rFonts w:ascii="Calibri" w:hAnsi="Calibri" w:cs="Calibri"/>
          <w:sz w:val="22"/>
          <w:szCs w:val="22"/>
          <w:lang w:val="es-ES_tradnl"/>
        </w:rPr>
      </w:pPr>
    </w:p>
    <w:p w14:paraId="4DE9C030" w14:textId="0805DC78" w:rsidR="004036E9" w:rsidRPr="004F549F" w:rsidRDefault="004036E9" w:rsidP="006F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Asia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D43D8E" w:rsidRPr="004F549F">
        <w:rPr>
          <w:rFonts w:ascii="Calibri" w:hAnsi="Calibri" w:cs="Calibri"/>
          <w:b/>
          <w:sz w:val="22"/>
          <w:szCs w:val="22"/>
          <w:lang w:val="es-ES_tradnl"/>
        </w:rPr>
        <w:t>Nepal</w:t>
      </w:r>
      <w:r w:rsidRPr="004F549F">
        <w:rPr>
          <w:rFonts w:ascii="Calibri" w:hAnsi="Calibri" w:cs="Calibri"/>
          <w:b/>
          <w:sz w:val="22"/>
          <w:szCs w:val="22"/>
          <w:lang w:val="es-ES_tradnl"/>
        </w:rPr>
        <w:t xml:space="preserve">, </w:t>
      </w:r>
      <w:r w:rsidR="00A36D2D" w:rsidRPr="004F549F">
        <w:rPr>
          <w:rFonts w:ascii="Calibri" w:hAnsi="Calibri" w:cs="Calibri"/>
          <w:b/>
          <w:sz w:val="22"/>
          <w:szCs w:val="22"/>
          <w:lang w:val="es-ES_tradnl"/>
        </w:rPr>
        <w:t>Iraq y República de Corea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sz w:val="22"/>
          <w:szCs w:val="22"/>
          <w:lang w:val="es-ES_tradnl"/>
        </w:rPr>
        <w:t>m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iembros suplentes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D43D8E" w:rsidRPr="004F549F">
        <w:rPr>
          <w:rFonts w:ascii="Calibri" w:hAnsi="Calibri" w:cs="Calibri"/>
          <w:sz w:val="22"/>
          <w:szCs w:val="22"/>
          <w:lang w:val="es-ES_tradnl"/>
        </w:rPr>
        <w:t xml:space="preserve">Viet Nam,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Bahrein y Japón</w:t>
      </w:r>
      <w:r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1B7ED40C" w14:textId="77777777" w:rsidR="004036E9" w:rsidRPr="004F549F" w:rsidRDefault="004036E9" w:rsidP="004036E9">
      <w:pPr>
        <w:ind w:left="567"/>
        <w:rPr>
          <w:rFonts w:ascii="Calibri" w:hAnsi="Calibri" w:cs="Calibri"/>
          <w:b/>
          <w:sz w:val="22"/>
          <w:szCs w:val="22"/>
          <w:lang w:val="es-ES_tradnl"/>
        </w:rPr>
      </w:pPr>
    </w:p>
    <w:p w14:paraId="6B998555" w14:textId="4599C5B4" w:rsidR="004036E9" w:rsidRPr="004F549F" w:rsidRDefault="00D43D8E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Nepal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representa a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Asia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meridional y suroriental</w:t>
      </w:r>
      <w:r w:rsidRPr="004F549F">
        <w:rPr>
          <w:rFonts w:ascii="Calibri" w:hAnsi="Calibri" w:cs="Calibri"/>
          <w:sz w:val="22"/>
          <w:szCs w:val="22"/>
          <w:lang w:val="es-ES_tradnl"/>
        </w:rPr>
        <w:t>: Bangladesh, Bhut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á</w:t>
      </w:r>
      <w:r w:rsidRPr="004F549F">
        <w:rPr>
          <w:rFonts w:ascii="Calibri" w:hAnsi="Calibri" w:cs="Calibri"/>
          <w:sz w:val="22"/>
          <w:szCs w:val="22"/>
          <w:lang w:val="es-ES_tradnl"/>
        </w:rPr>
        <w:t>n, Cambo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ya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Filipinas,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India, Indonesia,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Malasia, Myanmar, Pakistá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n,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RDP Lao,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Sri Lanka,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Tailandia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Pr="004F549F">
        <w:rPr>
          <w:rFonts w:ascii="Calibri" w:hAnsi="Calibri" w:cs="Calibri"/>
          <w:sz w:val="22"/>
          <w:szCs w:val="22"/>
          <w:lang w:val="es-ES_tradnl"/>
        </w:rPr>
        <w:t>Viet Nam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30C8E8F2" w14:textId="77777777" w:rsidR="00513952" w:rsidRPr="004F549F" w:rsidRDefault="00513952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7B8CBA5D" w14:textId="0B0E85F6" w:rsidR="00513952" w:rsidRPr="004F549F" w:rsidRDefault="00513952" w:rsidP="00513952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El Iraq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representa a: Asia </w:t>
      </w:r>
      <w:r w:rsidR="0097695A">
        <w:rPr>
          <w:rFonts w:ascii="Calibri" w:hAnsi="Calibri" w:cs="Calibri"/>
          <w:sz w:val="22"/>
          <w:szCs w:val="22"/>
          <w:lang w:val="es-ES_tradnl"/>
        </w:rPr>
        <w:t>central y occidental: Bahrein (s</w:t>
      </w:r>
      <w:r w:rsidRPr="004F549F">
        <w:rPr>
          <w:rFonts w:ascii="Calibri" w:hAnsi="Calibri" w:cs="Calibri"/>
          <w:sz w:val="22"/>
          <w:szCs w:val="22"/>
          <w:lang w:val="es-ES_tradnl"/>
        </w:rPr>
        <w:t>uplente), Emiratos Árabes Unidos, Irán (República Islámica del), Jordania, Kazajstán, Kirguistán, Kuwait, Líbano, Omán, República Árabe Siria, Tayikistán, Turkmenistán, Uzbekistán y Yemen</w:t>
      </w:r>
    </w:p>
    <w:p w14:paraId="7B9CF7D3" w14:textId="77777777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528A02A7" w14:textId="77C45D0B" w:rsidR="004036E9" w:rsidRPr="004F549F" w:rsidRDefault="00513952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 xml:space="preserve">La República de Corea </w:t>
      </w:r>
      <w:r w:rsidR="00710BBE" w:rsidRPr="004F549F">
        <w:rPr>
          <w:rFonts w:ascii="Calibri" w:hAnsi="Calibri" w:cs="Calibri"/>
          <w:sz w:val="22"/>
          <w:szCs w:val="22"/>
          <w:lang w:val="es-ES_tradnl"/>
        </w:rPr>
        <w:t>representa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a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Pr="004F549F">
        <w:rPr>
          <w:rFonts w:ascii="Calibri" w:hAnsi="Calibri" w:cs="Calibri"/>
          <w:sz w:val="22"/>
          <w:szCs w:val="22"/>
          <w:lang w:val="es-ES_tradnl"/>
        </w:rPr>
        <w:t>Asia oriental</w:t>
      </w:r>
      <w:r w:rsidR="00D43D8E" w:rsidRPr="004F549F">
        <w:rPr>
          <w:rFonts w:ascii="Calibri" w:hAnsi="Calibri" w:cs="Calibri"/>
          <w:sz w:val="22"/>
          <w:szCs w:val="22"/>
          <w:lang w:val="es-ES_tradnl"/>
        </w:rPr>
        <w:t>: China, Jap</w:t>
      </w:r>
      <w:r w:rsidRPr="004F549F">
        <w:rPr>
          <w:rFonts w:ascii="Calibri" w:hAnsi="Calibri" w:cs="Calibri"/>
          <w:sz w:val="22"/>
          <w:szCs w:val="22"/>
          <w:lang w:val="es-ES_tradnl"/>
        </w:rPr>
        <w:t>ón</w:t>
      </w:r>
      <w:r w:rsidR="00D43D8E" w:rsidRPr="004F549F">
        <w:rPr>
          <w:rFonts w:ascii="Calibri" w:hAnsi="Calibri" w:cs="Calibri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="00D43D8E" w:rsidRPr="004F549F">
        <w:rPr>
          <w:rFonts w:ascii="Calibri" w:hAnsi="Calibri" w:cs="Calibri"/>
          <w:sz w:val="22"/>
          <w:szCs w:val="22"/>
          <w:lang w:val="es-ES_tradnl"/>
        </w:rPr>
        <w:t>)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="00D43D8E" w:rsidRPr="004F549F">
        <w:rPr>
          <w:rFonts w:ascii="Calibri" w:hAnsi="Calibri" w:cs="Calibri"/>
          <w:sz w:val="22"/>
          <w:szCs w:val="22"/>
          <w:lang w:val="es-ES_tradnl"/>
        </w:rPr>
        <w:t>Mongolia</w:t>
      </w:r>
    </w:p>
    <w:p w14:paraId="459C6E8C" w14:textId="77777777" w:rsidR="004036E9" w:rsidRPr="004F549F" w:rsidRDefault="004036E9" w:rsidP="004036E9">
      <w:pPr>
        <w:ind w:left="567"/>
        <w:rPr>
          <w:rFonts w:ascii="Calibri" w:hAnsi="Calibri" w:cs="Calibri"/>
          <w:sz w:val="22"/>
          <w:szCs w:val="22"/>
          <w:lang w:val="es-ES_tradnl"/>
        </w:rPr>
      </w:pPr>
    </w:p>
    <w:p w14:paraId="1D49CA2D" w14:textId="0208DC08" w:rsidR="004036E9" w:rsidRPr="004F549F" w:rsidRDefault="004036E9" w:rsidP="006F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Europ</w:t>
      </w:r>
      <w:r w:rsidR="00513952"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86049B" w:rsidRPr="004F549F">
        <w:rPr>
          <w:rFonts w:ascii="Calibri" w:hAnsi="Calibri" w:cs="Calibri"/>
          <w:b/>
          <w:sz w:val="22"/>
          <w:szCs w:val="22"/>
          <w:lang w:val="es-ES_tradnl"/>
        </w:rPr>
        <w:t>Armenia, Azerbai</w:t>
      </w:r>
      <w:r w:rsidR="00513952" w:rsidRPr="004F549F">
        <w:rPr>
          <w:rFonts w:ascii="Calibri" w:hAnsi="Calibri" w:cs="Calibri"/>
          <w:b/>
          <w:sz w:val="22"/>
          <w:szCs w:val="22"/>
          <w:lang w:val="es-ES_tradnl"/>
        </w:rPr>
        <w:t>yán</w:t>
      </w:r>
      <w:r w:rsidR="0086049B" w:rsidRPr="004F549F">
        <w:rPr>
          <w:rFonts w:ascii="Calibri" w:hAnsi="Calibri" w:cs="Calibri"/>
          <w:b/>
          <w:sz w:val="22"/>
          <w:szCs w:val="22"/>
          <w:lang w:val="es-ES_tradnl"/>
        </w:rPr>
        <w:t>, Estonia</w:t>
      </w:r>
      <w:r w:rsidR="00A36D2D" w:rsidRPr="004F549F">
        <w:rPr>
          <w:rFonts w:ascii="Calibri" w:hAnsi="Calibri" w:cs="Calibri"/>
          <w:b/>
          <w:sz w:val="22"/>
          <w:szCs w:val="22"/>
          <w:lang w:val="es-ES_tradnl"/>
        </w:rPr>
        <w:t xml:space="preserve"> y </w:t>
      </w:r>
      <w:r w:rsidR="00513952" w:rsidRPr="004F549F">
        <w:rPr>
          <w:rFonts w:ascii="Calibri" w:hAnsi="Calibri" w:cs="Calibri"/>
          <w:b/>
          <w:sz w:val="22"/>
          <w:szCs w:val="22"/>
          <w:lang w:val="es-ES_tradnl"/>
        </w:rPr>
        <w:t>Ru</w:t>
      </w:r>
      <w:r w:rsidRPr="004F549F">
        <w:rPr>
          <w:rFonts w:ascii="Calibri" w:hAnsi="Calibri" w:cs="Calibri"/>
          <w:b/>
          <w:sz w:val="22"/>
          <w:szCs w:val="22"/>
          <w:lang w:val="es-ES_tradnl"/>
        </w:rPr>
        <w:t>mania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sz w:val="22"/>
          <w:szCs w:val="22"/>
          <w:lang w:val="es-ES_tradnl"/>
        </w:rPr>
        <w:t>m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iembros suplentes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="0086049B" w:rsidRPr="004F549F">
        <w:rPr>
          <w:rFonts w:ascii="Calibri" w:hAnsi="Calibri" w:cs="Calibri"/>
          <w:sz w:val="22"/>
          <w:szCs w:val="22"/>
          <w:lang w:val="es-ES_tradnl"/>
        </w:rPr>
        <w:t>Franc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ia, Federación de Rusia, Ucrania</w:t>
      </w:r>
      <w:r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32DDE79B" w14:textId="77777777" w:rsidR="004036E9" w:rsidRPr="004F549F" w:rsidRDefault="004036E9" w:rsidP="004036E9">
      <w:pPr>
        <w:ind w:left="567"/>
        <w:rPr>
          <w:rFonts w:ascii="Calibri" w:hAnsi="Calibri" w:cs="Calibri"/>
          <w:b/>
          <w:sz w:val="22"/>
          <w:szCs w:val="22"/>
          <w:lang w:val="es-ES_tradnl"/>
        </w:rPr>
      </w:pPr>
    </w:p>
    <w:p w14:paraId="060AF530" w14:textId="13004A81" w:rsidR="004036E9" w:rsidRPr="004F549F" w:rsidRDefault="0086049B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Armen</w:t>
      </w:r>
      <w:r w:rsidR="004036E9" w:rsidRPr="004F549F">
        <w:rPr>
          <w:rFonts w:ascii="Calibri" w:hAnsi="Calibri" w:cs="Calibri"/>
          <w:b/>
          <w:sz w:val="22"/>
          <w:szCs w:val="22"/>
          <w:lang w:val="es-ES_tradnl"/>
        </w:rPr>
        <w:t>ia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 w:cs="Calibri"/>
          <w:sz w:val="22"/>
          <w:szCs w:val="22"/>
          <w:lang w:val="es-ES_tradnl"/>
        </w:rPr>
        <w:t>Belar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ús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Chipre, C</w:t>
      </w:r>
      <w:r w:rsidRPr="004F549F">
        <w:rPr>
          <w:rFonts w:ascii="Calibri" w:hAnsi="Calibri" w:cs="Calibri"/>
          <w:sz w:val="22"/>
          <w:szCs w:val="22"/>
          <w:lang w:val="es-ES_tradnl"/>
        </w:rPr>
        <w:t>roa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c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ia,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Federación de Rusia, </w:t>
      </w:r>
      <w:r w:rsidRPr="004F549F">
        <w:rPr>
          <w:rFonts w:ascii="Calibri" w:hAnsi="Calibri" w:cs="Calibri"/>
          <w:sz w:val="22"/>
          <w:szCs w:val="22"/>
          <w:lang w:val="es-ES_tradnl"/>
        </w:rPr>
        <w:t>Georgia,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 Grecia, Islandia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Montenegro, </w:t>
      </w:r>
      <w:r w:rsidRPr="004F549F">
        <w:rPr>
          <w:rFonts w:ascii="Calibri" w:hAnsi="Calibri" w:cs="Calibri"/>
          <w:sz w:val="22"/>
          <w:szCs w:val="22"/>
          <w:lang w:val="es-ES_tradnl"/>
        </w:rPr>
        <w:t>Nor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>uega, Serbia y Ucrania</w:t>
      </w:r>
    </w:p>
    <w:p w14:paraId="6D6CD7AD" w14:textId="77777777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039AEC41" w14:textId="1E03FE39" w:rsidR="004036E9" w:rsidRPr="004F549F" w:rsidRDefault="0086049B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Azerbai</w:t>
      </w:r>
      <w:r w:rsidR="00513952" w:rsidRPr="004F549F">
        <w:rPr>
          <w:rFonts w:ascii="Calibri" w:hAnsi="Calibri" w:cs="Calibri"/>
          <w:b/>
          <w:sz w:val="22"/>
          <w:szCs w:val="22"/>
          <w:lang w:val="es-ES_tradnl"/>
        </w:rPr>
        <w:t>yán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 w:cs="Calibri"/>
          <w:sz w:val="22"/>
          <w:szCs w:val="22"/>
          <w:lang w:val="es-ES_tradnl"/>
        </w:rPr>
        <w:t>Albania, Bosnia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Herzegovina,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Eslovaquia, 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>Israel, Liechtenstein, Pol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onia,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 xml:space="preserve">Reino Unido, 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República Checa,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 xml:space="preserve">ex República Yugoslava de Macedonia y 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>Tur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quía</w:t>
      </w:r>
      <w:r w:rsidR="00513952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69663C5F" w14:textId="77777777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122702A6" w14:textId="1D1D1F0D" w:rsidR="004036E9" w:rsidRPr="004F549F" w:rsidRDefault="00A757F0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Estonia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 xml:space="preserve">Alemania,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Austria,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Bélgica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Dinamarca, Finlandia, Irlanda, Letonia, Lituania, Luxemburgo, Países Bajos y Suecia</w:t>
      </w:r>
    </w:p>
    <w:p w14:paraId="7D9D50A0" w14:textId="77777777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172AFE6B" w14:textId="5A756151" w:rsidR="004036E9" w:rsidRPr="004F549F" w:rsidRDefault="004F549F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Ru</w:t>
      </w:r>
      <w:r w:rsidR="00A757F0" w:rsidRPr="004F549F">
        <w:rPr>
          <w:rFonts w:ascii="Calibri" w:hAnsi="Calibri" w:cs="Calibri"/>
          <w:b/>
          <w:sz w:val="22"/>
          <w:szCs w:val="22"/>
          <w:lang w:val="es-ES_tradnl"/>
        </w:rPr>
        <w:t>mania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Andorra, 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 xml:space="preserve">Bulgaria,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Eslovenia, España, 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>Franc</w:t>
      </w:r>
      <w:r w:rsidRPr="004F549F">
        <w:rPr>
          <w:rFonts w:ascii="Calibri" w:hAnsi="Calibri" w:cs="Calibri"/>
          <w:sz w:val="22"/>
          <w:szCs w:val="22"/>
          <w:lang w:val="es-ES_tradnl"/>
        </w:rPr>
        <w:t>ia, Hungría, Italia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 xml:space="preserve">, Malta, </w:t>
      </w:r>
      <w:r w:rsidRPr="004F549F">
        <w:rPr>
          <w:rFonts w:ascii="Calibri" w:hAnsi="Calibri" w:cs="Calibri"/>
          <w:sz w:val="22"/>
          <w:szCs w:val="22"/>
          <w:lang w:val="es-ES_tradnl"/>
        </w:rPr>
        <w:t>Mó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>naco, Portugal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y</w:t>
      </w:r>
      <w:r w:rsidR="004036E9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757F0" w:rsidRPr="004F549F">
        <w:rPr>
          <w:rFonts w:ascii="Calibri" w:hAnsi="Calibri" w:cs="Calibri"/>
          <w:sz w:val="22"/>
          <w:szCs w:val="22"/>
          <w:lang w:val="es-ES_tradnl"/>
        </w:rPr>
        <w:t>Rep</w:t>
      </w:r>
      <w:r w:rsidRPr="004F549F">
        <w:rPr>
          <w:rFonts w:ascii="Calibri" w:hAnsi="Calibri" w:cs="Calibri"/>
          <w:sz w:val="22"/>
          <w:szCs w:val="22"/>
          <w:lang w:val="es-ES_tradnl"/>
        </w:rPr>
        <w:t>ública de Moldova</w:t>
      </w:r>
    </w:p>
    <w:p w14:paraId="676EFEC0" w14:textId="77777777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282FE837" w14:textId="00A784A8" w:rsidR="004036E9" w:rsidRPr="004F549F" w:rsidRDefault="004036E9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S</w:t>
      </w:r>
      <w:r w:rsidR="004F549F" w:rsidRPr="004F549F">
        <w:rPr>
          <w:rFonts w:ascii="Calibri" w:hAnsi="Calibri" w:cs="Calibri"/>
          <w:b/>
          <w:sz w:val="22"/>
          <w:szCs w:val="22"/>
          <w:lang w:val="es-ES_tradnl"/>
        </w:rPr>
        <w:t>uiza</w:t>
      </w:r>
      <w:r w:rsidRPr="004F549F">
        <w:rPr>
          <w:rFonts w:ascii="Calibri" w:hAnsi="Calibri" w:cs="Calibri"/>
          <w:b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 w:cs="Calibri"/>
          <w:sz w:val="22"/>
          <w:szCs w:val="22"/>
          <w:lang w:val="es-ES_tradnl"/>
        </w:rPr>
        <w:t>(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observador permanente en todas las reuniones</w:t>
      </w:r>
      <w:r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50EC3F00" w14:textId="77777777" w:rsidR="004036E9" w:rsidRPr="004F549F" w:rsidRDefault="004036E9" w:rsidP="004036E9">
      <w:pPr>
        <w:ind w:left="567"/>
        <w:rPr>
          <w:rFonts w:ascii="Calibri" w:hAnsi="Calibri" w:cs="Calibri"/>
          <w:sz w:val="22"/>
          <w:szCs w:val="22"/>
          <w:lang w:val="es-ES_tradnl"/>
        </w:rPr>
      </w:pPr>
    </w:p>
    <w:p w14:paraId="1239C59C" w14:textId="48535844" w:rsidR="00565A0C" w:rsidRPr="004F549F" w:rsidRDefault="004F549F" w:rsidP="006F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América Latina y el Caribe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: Colombia, Honduras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Suriname (</w:t>
      </w:r>
      <w:r w:rsidR="0097695A">
        <w:rPr>
          <w:rFonts w:ascii="Calibri" w:hAnsi="Calibri" w:cs="Calibri"/>
          <w:sz w:val="22"/>
          <w:szCs w:val="22"/>
          <w:lang w:val="es-ES_tradnl"/>
        </w:rPr>
        <w:t>m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iembros suplentes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: Argentina, Costa Rica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Cuba)</w:t>
      </w:r>
    </w:p>
    <w:p w14:paraId="4D5EA6A5" w14:textId="77777777" w:rsidR="00565A0C" w:rsidRPr="004F549F" w:rsidRDefault="00565A0C" w:rsidP="00565A0C">
      <w:pPr>
        <w:ind w:left="567"/>
        <w:rPr>
          <w:rFonts w:ascii="Calibri" w:hAnsi="Calibri" w:cs="Calibri"/>
          <w:b/>
          <w:sz w:val="22"/>
          <w:szCs w:val="22"/>
          <w:lang w:val="es-ES_tradnl"/>
        </w:rPr>
      </w:pPr>
    </w:p>
    <w:p w14:paraId="432BF1E4" w14:textId="56396D9E" w:rsidR="00565A0C" w:rsidRPr="004F549F" w:rsidRDefault="00565A0C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Colombia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Argentina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), Bolivia, Bras</w:t>
      </w:r>
      <w:r w:rsidRPr="004F549F">
        <w:rPr>
          <w:rFonts w:ascii="Calibri" w:hAnsi="Calibri" w:cs="Calibri"/>
          <w:sz w:val="22"/>
          <w:szCs w:val="22"/>
          <w:lang w:val="es-ES_tradnl"/>
        </w:rPr>
        <w:t>il, Ecuador, Paraguay, Per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ú</w:t>
      </w:r>
      <w:r w:rsidRPr="004F549F">
        <w:rPr>
          <w:rFonts w:ascii="Calibri" w:hAnsi="Calibri" w:cs="Calibri"/>
          <w:sz w:val="22"/>
          <w:szCs w:val="22"/>
          <w:lang w:val="es-ES_tradnl"/>
        </w:rPr>
        <w:t>, Uruguay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Venezuela   </w:t>
      </w:r>
    </w:p>
    <w:p w14:paraId="07EB8B87" w14:textId="77777777" w:rsidR="00565A0C" w:rsidRPr="004F549F" w:rsidRDefault="00565A0C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589FAE15" w14:textId="4FE04B3A" w:rsidR="004F549F" w:rsidRPr="004F549F" w:rsidRDefault="00565A0C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Honduras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Costa Rica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), El Salvador, </w:t>
      </w:r>
      <w:r w:rsidR="00114794" w:rsidRPr="004F549F">
        <w:rPr>
          <w:rFonts w:ascii="Calibri" w:hAnsi="Calibri" w:cs="Calibri"/>
          <w:sz w:val="22"/>
          <w:szCs w:val="22"/>
          <w:lang w:val="es-ES_tradnl"/>
        </w:rPr>
        <w:t>Guatemala, Nicaragua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Panamá</w:t>
      </w:r>
    </w:p>
    <w:p w14:paraId="1BAF21FB" w14:textId="77777777" w:rsidR="004F549F" w:rsidRPr="004F549F" w:rsidRDefault="004F549F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</w:p>
    <w:p w14:paraId="0D13FB64" w14:textId="6901356B" w:rsidR="00565A0C" w:rsidRPr="004F549F" w:rsidRDefault="004F549F" w:rsidP="00FB3ADD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Suriname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representa a: Antigua y Barbuda, Ba</w:t>
      </w:r>
      <w:r w:rsidR="0097695A">
        <w:rPr>
          <w:rFonts w:ascii="Calibri" w:hAnsi="Calibri" w:cs="Calibri"/>
          <w:sz w:val="22"/>
          <w:szCs w:val="22"/>
          <w:lang w:val="es-ES_tradnl"/>
        </w:rPr>
        <w:t>hamas, Barbados, Belice, Cuba (s</w:t>
      </w:r>
      <w:r w:rsidRPr="004F549F">
        <w:rPr>
          <w:rFonts w:ascii="Calibri" w:hAnsi="Calibri" w:cs="Calibri"/>
          <w:sz w:val="22"/>
          <w:szCs w:val="22"/>
          <w:lang w:val="es-ES_tradnl"/>
        </w:rPr>
        <w:t>uplente) Granada, Jamaica, República Dominicana, Santa Lucía y Trinidad y Tabago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529FEBEA" w14:textId="77777777" w:rsidR="00565A0C" w:rsidRPr="004F549F" w:rsidRDefault="00565A0C" w:rsidP="00565A0C">
      <w:pPr>
        <w:ind w:left="567"/>
        <w:rPr>
          <w:rFonts w:ascii="Calibri" w:hAnsi="Calibri" w:cs="Calibri"/>
          <w:sz w:val="22"/>
          <w:szCs w:val="22"/>
          <w:lang w:val="es-ES_tradnl"/>
        </w:rPr>
      </w:pPr>
    </w:p>
    <w:p w14:paraId="5C2A5FE0" w14:textId="1FE107CF" w:rsidR="00565A0C" w:rsidRPr="004F549F" w:rsidRDefault="004F549F" w:rsidP="006F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América del Norte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Pr="004F549F">
        <w:rPr>
          <w:rFonts w:ascii="Calibri" w:hAnsi="Calibri" w:cs="Calibri"/>
          <w:sz w:val="22"/>
          <w:szCs w:val="22"/>
          <w:lang w:val="es-ES_tradnl"/>
        </w:rPr>
        <w:t>Estados Unidos de América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sz w:val="22"/>
          <w:szCs w:val="22"/>
          <w:lang w:val="es-ES_tradnl"/>
        </w:rPr>
        <w:t>m</w:t>
      </w:r>
      <w:r w:rsidRPr="004F549F">
        <w:rPr>
          <w:rFonts w:ascii="Calibri" w:hAnsi="Calibri" w:cs="Calibri"/>
          <w:sz w:val="22"/>
          <w:szCs w:val="22"/>
          <w:lang w:val="es-ES_tradnl"/>
        </w:rPr>
        <w:t>iembro suplente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: </w:t>
      </w:r>
      <w:r w:rsidRPr="004F549F">
        <w:rPr>
          <w:rFonts w:ascii="Calibri" w:hAnsi="Calibri" w:cs="Calibri"/>
          <w:sz w:val="22"/>
          <w:szCs w:val="22"/>
          <w:lang w:val="es-ES_tradnl"/>
        </w:rPr>
        <w:t>Canadá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60ACF57B" w14:textId="77777777" w:rsidR="00565A0C" w:rsidRPr="004F549F" w:rsidRDefault="00565A0C" w:rsidP="00565A0C">
      <w:pPr>
        <w:ind w:left="567"/>
        <w:rPr>
          <w:rFonts w:ascii="Calibri" w:hAnsi="Calibri" w:cs="Calibri"/>
          <w:b/>
          <w:sz w:val="22"/>
          <w:szCs w:val="22"/>
          <w:lang w:val="es-ES_tradnl"/>
        </w:rPr>
      </w:pPr>
    </w:p>
    <w:p w14:paraId="6652591B" w14:textId="5B46091A" w:rsidR="00565A0C" w:rsidRPr="004F549F" w:rsidRDefault="004F549F" w:rsidP="006F7C16">
      <w:pPr>
        <w:ind w:left="426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Estados Unidos de América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Canad</w:t>
      </w:r>
      <w:r w:rsidRPr="004F549F">
        <w:rPr>
          <w:rFonts w:ascii="Calibri" w:hAnsi="Calibri" w:cs="Calibri"/>
          <w:sz w:val="22"/>
          <w:szCs w:val="22"/>
          <w:lang w:val="es-ES_tradnl"/>
        </w:rPr>
        <w:t>á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>)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y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F549F">
        <w:rPr>
          <w:rFonts w:ascii="Calibri" w:hAnsi="Calibri" w:cs="Calibri"/>
          <w:sz w:val="22"/>
          <w:szCs w:val="22"/>
          <w:lang w:val="es-ES_tradnl"/>
        </w:rPr>
        <w:t>Mé</w:t>
      </w:r>
      <w:r w:rsidR="00565A0C" w:rsidRPr="004F549F">
        <w:rPr>
          <w:rFonts w:ascii="Calibri" w:hAnsi="Calibri" w:cs="Calibri"/>
          <w:sz w:val="22"/>
          <w:szCs w:val="22"/>
          <w:lang w:val="es-ES_tradnl"/>
        </w:rPr>
        <w:t xml:space="preserve">xico </w:t>
      </w:r>
    </w:p>
    <w:p w14:paraId="00315075" w14:textId="77777777" w:rsidR="004036E9" w:rsidRPr="004F549F" w:rsidRDefault="004036E9" w:rsidP="004036E9">
      <w:pPr>
        <w:ind w:left="567"/>
        <w:rPr>
          <w:rFonts w:ascii="Calibri" w:hAnsi="Calibri" w:cs="Calibri"/>
          <w:sz w:val="22"/>
          <w:szCs w:val="22"/>
          <w:lang w:val="es-ES_tradnl"/>
        </w:rPr>
      </w:pPr>
    </w:p>
    <w:p w14:paraId="7EE83E57" w14:textId="060BC973" w:rsidR="00114794" w:rsidRPr="004F549F" w:rsidRDefault="00114794" w:rsidP="006F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Calibri" w:hAnsi="Calibri" w:cs="Calibri"/>
          <w:sz w:val="22"/>
          <w:szCs w:val="22"/>
          <w:lang w:val="es-ES_tradnl"/>
        </w:rPr>
      </w:pPr>
      <w:r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Ocean</w:t>
      </w:r>
      <w:r w:rsidR="004F549F" w:rsidRPr="004F549F">
        <w:rPr>
          <w:rStyle w:val="Strong"/>
          <w:rFonts w:ascii="Calibri" w:hAnsi="Calibri" w:cs="Calibri"/>
          <w:sz w:val="22"/>
          <w:szCs w:val="22"/>
          <w:lang w:val="es-ES_tradnl"/>
        </w:rPr>
        <w:t>ía</w:t>
      </w:r>
      <w:r w:rsidRPr="004F549F">
        <w:rPr>
          <w:rFonts w:ascii="Calibri" w:hAnsi="Calibri" w:cs="Calibri"/>
          <w:sz w:val="22"/>
          <w:szCs w:val="22"/>
          <w:lang w:val="es-ES_tradnl"/>
        </w:rPr>
        <w:t>: Australia (</w:t>
      </w:r>
      <w:r w:rsidR="0097695A">
        <w:rPr>
          <w:rFonts w:ascii="Calibri" w:hAnsi="Calibri" w:cs="Calibri"/>
          <w:sz w:val="22"/>
          <w:szCs w:val="22"/>
          <w:lang w:val="es-ES_tradnl"/>
        </w:rPr>
        <w:t>m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iembro 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: Samoa) </w:t>
      </w:r>
    </w:p>
    <w:p w14:paraId="2EAC8565" w14:textId="77777777" w:rsidR="00114794" w:rsidRPr="004F549F" w:rsidRDefault="00114794" w:rsidP="00114794">
      <w:pPr>
        <w:ind w:left="567"/>
        <w:rPr>
          <w:rFonts w:ascii="Calibri" w:hAnsi="Calibri" w:cs="Calibri"/>
          <w:b/>
          <w:sz w:val="22"/>
          <w:szCs w:val="22"/>
          <w:lang w:val="es-ES_tradnl"/>
        </w:rPr>
      </w:pPr>
    </w:p>
    <w:p w14:paraId="2B864A3C" w14:textId="4F0DBF2F" w:rsidR="00114794" w:rsidRPr="004F549F" w:rsidRDefault="00114794" w:rsidP="006F7C16">
      <w:pPr>
        <w:ind w:left="426"/>
        <w:rPr>
          <w:rFonts w:ascii="Calibri" w:hAnsi="Calibri"/>
          <w:sz w:val="22"/>
          <w:szCs w:val="22"/>
          <w:lang w:val="es-ES_tradnl"/>
        </w:rPr>
      </w:pPr>
      <w:r w:rsidRPr="004F549F">
        <w:rPr>
          <w:rFonts w:ascii="Calibri" w:hAnsi="Calibri" w:cs="Calibri"/>
          <w:b/>
          <w:sz w:val="22"/>
          <w:szCs w:val="22"/>
          <w:lang w:val="es-ES_tradnl"/>
        </w:rPr>
        <w:t>Australia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representa a: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 Fiji,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 xml:space="preserve">Islas Marshall, 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Kiribati,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>Nueva Zelandia</w:t>
      </w:r>
      <w:r w:rsidRPr="004F549F">
        <w:rPr>
          <w:rFonts w:ascii="Calibri" w:hAnsi="Calibri" w:cs="Calibri"/>
          <w:sz w:val="22"/>
          <w:szCs w:val="22"/>
          <w:lang w:val="es-ES_tradnl"/>
        </w:rPr>
        <w:t xml:space="preserve">, Palau, Papua </w:t>
      </w:r>
      <w:r w:rsidR="004F549F" w:rsidRPr="004F549F">
        <w:rPr>
          <w:rFonts w:ascii="Calibri" w:hAnsi="Calibri" w:cs="Calibri"/>
          <w:sz w:val="22"/>
          <w:szCs w:val="22"/>
          <w:lang w:val="es-ES_tradnl"/>
        </w:rPr>
        <w:t xml:space="preserve">Nueva </w:t>
      </w:r>
      <w:r w:rsidRPr="004F549F">
        <w:rPr>
          <w:rFonts w:ascii="Calibri" w:hAnsi="Calibri" w:cs="Calibri"/>
          <w:sz w:val="22"/>
          <w:szCs w:val="22"/>
          <w:lang w:val="es-ES_tradnl"/>
        </w:rPr>
        <w:t>Guinea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 xml:space="preserve"> y </w:t>
      </w:r>
      <w:r w:rsidRPr="004F549F">
        <w:rPr>
          <w:rFonts w:ascii="Calibri" w:hAnsi="Calibri" w:cs="Calibri"/>
          <w:sz w:val="22"/>
          <w:szCs w:val="22"/>
          <w:lang w:val="es-ES_tradnl"/>
        </w:rPr>
        <w:t>Samoa (</w:t>
      </w:r>
      <w:r w:rsidR="0097695A">
        <w:rPr>
          <w:rFonts w:ascii="Calibri" w:hAnsi="Calibri" w:cs="Calibri"/>
          <w:sz w:val="22"/>
          <w:szCs w:val="22"/>
          <w:lang w:val="es-ES_tradnl"/>
        </w:rPr>
        <w:t>s</w:t>
      </w:r>
      <w:r w:rsidR="00A36D2D" w:rsidRPr="004F549F">
        <w:rPr>
          <w:rFonts w:ascii="Calibri" w:hAnsi="Calibri" w:cs="Calibri"/>
          <w:sz w:val="22"/>
          <w:szCs w:val="22"/>
          <w:lang w:val="es-ES_tradnl"/>
        </w:rPr>
        <w:t>uplente</w:t>
      </w:r>
      <w:r w:rsidRPr="004F549F">
        <w:rPr>
          <w:rFonts w:ascii="Calibri" w:hAnsi="Calibri" w:cs="Calibri"/>
          <w:sz w:val="22"/>
          <w:szCs w:val="22"/>
          <w:lang w:val="es-ES_tradnl"/>
        </w:rPr>
        <w:t>)</w:t>
      </w:r>
    </w:p>
    <w:p w14:paraId="59DAB1C4" w14:textId="77777777" w:rsidR="004036E9" w:rsidRPr="004F549F" w:rsidRDefault="004036E9" w:rsidP="004036E9">
      <w:pPr>
        <w:ind w:left="567"/>
        <w:rPr>
          <w:rFonts w:ascii="Calibri" w:hAnsi="Calibri"/>
          <w:sz w:val="22"/>
          <w:szCs w:val="22"/>
          <w:lang w:val="es-ES_tradnl"/>
        </w:rPr>
      </w:pPr>
    </w:p>
    <w:sectPr w:rsidR="004036E9" w:rsidRPr="004F549F" w:rsidSect="004036E9">
      <w:footerReference w:type="default" r:id="rId10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13BC" w14:textId="77777777" w:rsidR="005F4E6F" w:rsidRDefault="005F4E6F">
      <w:r>
        <w:separator/>
      </w:r>
    </w:p>
  </w:endnote>
  <w:endnote w:type="continuationSeparator" w:id="0">
    <w:p w14:paraId="5B3CC7DA" w14:textId="77777777" w:rsidR="005F4E6F" w:rsidRDefault="005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DFA5A" w14:textId="77777777" w:rsidR="005F4E6F" w:rsidRPr="006F7C16" w:rsidRDefault="005F4E6F" w:rsidP="006F7C16">
    <w:pPr>
      <w:tabs>
        <w:tab w:val="center" w:pos="4680"/>
        <w:tab w:val="right" w:pos="9072"/>
      </w:tabs>
      <w:jc w:val="both"/>
      <w:rPr>
        <w:rFonts w:ascii="Calibri" w:hAnsi="Calibri"/>
        <w:sz w:val="20"/>
        <w:szCs w:val="20"/>
        <w:lang w:val="en-GB"/>
      </w:rPr>
    </w:pPr>
    <w:r w:rsidRPr="00FB3ADD">
      <w:rPr>
        <w:rFonts w:ascii="Calibri" w:hAnsi="Calibri"/>
        <w:sz w:val="20"/>
        <w:szCs w:val="20"/>
        <w:lang w:val="x-none" w:eastAsia="x-none"/>
      </w:rPr>
      <w:t>SC51</w:t>
    </w:r>
    <w:r>
      <w:rPr>
        <w:rFonts w:ascii="Calibri" w:hAnsi="Calibri"/>
        <w:sz w:val="20"/>
        <w:szCs w:val="20"/>
        <w:lang w:val="en-GB" w:eastAsia="x-none"/>
      </w:rPr>
      <w:t>-Inf.Doc.03</w:t>
    </w:r>
    <w:r w:rsidRPr="00FB3ADD">
      <w:rPr>
        <w:rFonts w:ascii="Calibri" w:hAnsi="Calibri"/>
        <w:sz w:val="20"/>
        <w:szCs w:val="20"/>
        <w:lang w:val="x-none" w:eastAsia="x-none"/>
      </w:rPr>
      <w:tab/>
    </w:r>
    <w:r w:rsidRPr="00FB3ADD">
      <w:rPr>
        <w:rFonts w:ascii="Calibri" w:hAnsi="Calibri"/>
        <w:sz w:val="20"/>
        <w:szCs w:val="20"/>
        <w:lang w:val="x-none" w:eastAsia="x-none"/>
      </w:rPr>
      <w:tab/>
    </w:r>
    <w:r w:rsidRPr="00FB3ADD">
      <w:rPr>
        <w:rFonts w:ascii="Calibri" w:hAnsi="Calibri"/>
        <w:sz w:val="20"/>
        <w:szCs w:val="20"/>
        <w:lang w:val="x-none" w:eastAsia="x-none"/>
      </w:rPr>
      <w:fldChar w:fldCharType="begin"/>
    </w:r>
    <w:r w:rsidRPr="00FB3ADD">
      <w:rPr>
        <w:rFonts w:ascii="Calibri" w:hAnsi="Calibri"/>
        <w:sz w:val="20"/>
        <w:szCs w:val="20"/>
        <w:lang w:val="x-none" w:eastAsia="x-none"/>
      </w:rPr>
      <w:instrText xml:space="preserve"> PAGE   \* MERGEFORMAT </w:instrText>
    </w:r>
    <w:r w:rsidRPr="00FB3ADD">
      <w:rPr>
        <w:rFonts w:ascii="Calibri" w:hAnsi="Calibri"/>
        <w:sz w:val="20"/>
        <w:szCs w:val="20"/>
        <w:lang w:val="x-none" w:eastAsia="x-none"/>
      </w:rPr>
      <w:fldChar w:fldCharType="separate"/>
    </w:r>
    <w:r w:rsidR="00EB0312">
      <w:rPr>
        <w:rFonts w:ascii="Calibri" w:hAnsi="Calibri"/>
        <w:noProof/>
        <w:sz w:val="20"/>
        <w:szCs w:val="20"/>
        <w:lang w:val="x-none" w:eastAsia="x-none"/>
      </w:rPr>
      <w:t>5</w:t>
    </w:r>
    <w:r w:rsidRPr="00FB3ADD">
      <w:rPr>
        <w:rFonts w:ascii="Calibri" w:hAnsi="Calibri"/>
        <w:sz w:val="20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2A178" w14:textId="77777777" w:rsidR="005F4E6F" w:rsidRDefault="005F4E6F">
      <w:r>
        <w:separator/>
      </w:r>
    </w:p>
  </w:footnote>
  <w:footnote w:type="continuationSeparator" w:id="0">
    <w:p w14:paraId="43864E7E" w14:textId="77777777" w:rsidR="005F4E6F" w:rsidRDefault="005F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74"/>
    <w:multiLevelType w:val="multilevel"/>
    <w:tmpl w:val="09F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1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A0F7C"/>
    <w:multiLevelType w:val="multilevel"/>
    <w:tmpl w:val="65C8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A664E"/>
    <w:multiLevelType w:val="hybridMultilevel"/>
    <w:tmpl w:val="32368EF8"/>
    <w:lvl w:ilvl="0" w:tplc="7C205390">
      <w:start w:val="1"/>
      <w:numFmt w:val="bullet"/>
      <w:lvlText w:val=""/>
      <w:lvlJc w:val="left"/>
      <w:pPr>
        <w:tabs>
          <w:tab w:val="num" w:pos="1107"/>
        </w:tabs>
        <w:ind w:left="1107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502E03"/>
    <w:multiLevelType w:val="hybridMultilevel"/>
    <w:tmpl w:val="C4442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6F6F"/>
    <w:multiLevelType w:val="multilevel"/>
    <w:tmpl w:val="74AA1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26E8D"/>
    <w:multiLevelType w:val="hybridMultilevel"/>
    <w:tmpl w:val="43BAAA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616D0"/>
    <w:multiLevelType w:val="multilevel"/>
    <w:tmpl w:val="D7C0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97BB6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F335CD8"/>
    <w:multiLevelType w:val="multilevel"/>
    <w:tmpl w:val="4CD0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C5EA9"/>
    <w:multiLevelType w:val="multilevel"/>
    <w:tmpl w:val="9FB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64A22"/>
    <w:multiLevelType w:val="hybridMultilevel"/>
    <w:tmpl w:val="E25C9C22"/>
    <w:lvl w:ilvl="0" w:tplc="95485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83EED"/>
    <w:multiLevelType w:val="multilevel"/>
    <w:tmpl w:val="AA7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8F2AE0"/>
    <w:multiLevelType w:val="hybridMultilevel"/>
    <w:tmpl w:val="23B2D456"/>
    <w:lvl w:ilvl="0" w:tplc="08090001">
      <w:start w:val="1"/>
      <w:numFmt w:val="bullet"/>
      <w:lvlText w:val=""/>
      <w:lvlJc w:val="left"/>
      <w:pPr>
        <w:ind w:left="667" w:hanging="567"/>
      </w:pPr>
      <w:rPr>
        <w:rFonts w:ascii="Symbol" w:hAnsi="Symbol" w:hint="default"/>
        <w:spacing w:val="0"/>
        <w:w w:val="100"/>
        <w:sz w:val="22"/>
        <w:szCs w:val="22"/>
      </w:rPr>
    </w:lvl>
    <w:lvl w:ilvl="1" w:tplc="A55663FC">
      <w:start w:val="1"/>
      <w:numFmt w:val="bullet"/>
      <w:lvlText w:val="•"/>
      <w:lvlJc w:val="left"/>
      <w:pPr>
        <w:ind w:left="1525" w:hanging="567"/>
      </w:pPr>
    </w:lvl>
    <w:lvl w:ilvl="2" w:tplc="4CD034D8">
      <w:start w:val="1"/>
      <w:numFmt w:val="bullet"/>
      <w:lvlText w:val="•"/>
      <w:lvlJc w:val="left"/>
      <w:pPr>
        <w:ind w:left="2383" w:hanging="567"/>
      </w:pPr>
    </w:lvl>
    <w:lvl w:ilvl="3" w:tplc="ACB87D50">
      <w:start w:val="1"/>
      <w:numFmt w:val="bullet"/>
      <w:lvlText w:val="•"/>
      <w:lvlJc w:val="left"/>
      <w:pPr>
        <w:ind w:left="3241" w:hanging="567"/>
      </w:pPr>
    </w:lvl>
    <w:lvl w:ilvl="4" w:tplc="E51E65C4">
      <w:start w:val="1"/>
      <w:numFmt w:val="bullet"/>
      <w:lvlText w:val="•"/>
      <w:lvlJc w:val="left"/>
      <w:pPr>
        <w:ind w:left="4099" w:hanging="567"/>
      </w:pPr>
    </w:lvl>
    <w:lvl w:ilvl="5" w:tplc="8154EB6E">
      <w:start w:val="1"/>
      <w:numFmt w:val="bullet"/>
      <w:lvlText w:val="•"/>
      <w:lvlJc w:val="left"/>
      <w:pPr>
        <w:ind w:left="4958" w:hanging="567"/>
      </w:pPr>
    </w:lvl>
    <w:lvl w:ilvl="6" w:tplc="700297E4">
      <w:start w:val="1"/>
      <w:numFmt w:val="bullet"/>
      <w:lvlText w:val="•"/>
      <w:lvlJc w:val="left"/>
      <w:pPr>
        <w:ind w:left="5816" w:hanging="567"/>
      </w:pPr>
    </w:lvl>
    <w:lvl w:ilvl="7" w:tplc="8DE65D10">
      <w:start w:val="1"/>
      <w:numFmt w:val="bullet"/>
      <w:lvlText w:val="•"/>
      <w:lvlJc w:val="left"/>
      <w:pPr>
        <w:ind w:left="6674" w:hanging="567"/>
      </w:pPr>
    </w:lvl>
    <w:lvl w:ilvl="8" w:tplc="992E0FDE">
      <w:start w:val="1"/>
      <w:numFmt w:val="bullet"/>
      <w:lvlText w:val="•"/>
      <w:lvlJc w:val="left"/>
      <w:pPr>
        <w:ind w:left="7532" w:hanging="567"/>
      </w:pPr>
    </w:lvl>
  </w:abstractNum>
  <w:abstractNum w:abstractNumId="13">
    <w:nsid w:val="1B0A73F4"/>
    <w:multiLevelType w:val="hybridMultilevel"/>
    <w:tmpl w:val="F8DCDC2E"/>
    <w:lvl w:ilvl="0" w:tplc="95485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E24E5"/>
    <w:multiLevelType w:val="multilevel"/>
    <w:tmpl w:val="215E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2B2D2F"/>
    <w:multiLevelType w:val="hybridMultilevel"/>
    <w:tmpl w:val="665E9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35FF8"/>
    <w:multiLevelType w:val="multilevel"/>
    <w:tmpl w:val="0DC6A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56882"/>
    <w:multiLevelType w:val="hybridMultilevel"/>
    <w:tmpl w:val="90128086"/>
    <w:lvl w:ilvl="0" w:tplc="81EA6E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10E2402"/>
    <w:multiLevelType w:val="hybridMultilevel"/>
    <w:tmpl w:val="09FAF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8E5F8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2E8C3964">
      <w:start w:val="1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D4233"/>
    <w:multiLevelType w:val="multilevel"/>
    <w:tmpl w:val="32368EF8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5510FBD"/>
    <w:multiLevelType w:val="singleLevel"/>
    <w:tmpl w:val="D9ECC83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Wingdings" w:hint="default"/>
      </w:rPr>
    </w:lvl>
  </w:abstractNum>
  <w:abstractNum w:abstractNumId="21">
    <w:nsid w:val="3564795B"/>
    <w:multiLevelType w:val="multilevel"/>
    <w:tmpl w:val="E99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C2855"/>
    <w:multiLevelType w:val="hybridMultilevel"/>
    <w:tmpl w:val="64EE5F68"/>
    <w:lvl w:ilvl="0" w:tplc="A5B45DFA">
      <w:start w:val="1"/>
      <w:numFmt w:val="decimal"/>
      <w:lvlText w:val="%1."/>
      <w:lvlJc w:val="left"/>
      <w:pPr>
        <w:ind w:left="667" w:hanging="567"/>
      </w:pPr>
      <w:rPr>
        <w:rFonts w:ascii="Calibri" w:eastAsia="Garamond" w:hAnsi="Calibri" w:hint="default"/>
        <w:spacing w:val="0"/>
        <w:w w:val="100"/>
        <w:sz w:val="22"/>
        <w:szCs w:val="22"/>
      </w:rPr>
    </w:lvl>
    <w:lvl w:ilvl="1" w:tplc="A55663FC">
      <w:start w:val="1"/>
      <w:numFmt w:val="bullet"/>
      <w:lvlText w:val="•"/>
      <w:lvlJc w:val="left"/>
      <w:pPr>
        <w:ind w:left="1525" w:hanging="567"/>
      </w:pPr>
    </w:lvl>
    <w:lvl w:ilvl="2" w:tplc="4CD034D8">
      <w:start w:val="1"/>
      <w:numFmt w:val="bullet"/>
      <w:lvlText w:val="•"/>
      <w:lvlJc w:val="left"/>
      <w:pPr>
        <w:ind w:left="2383" w:hanging="567"/>
      </w:pPr>
    </w:lvl>
    <w:lvl w:ilvl="3" w:tplc="ACB87D50">
      <w:start w:val="1"/>
      <w:numFmt w:val="bullet"/>
      <w:lvlText w:val="•"/>
      <w:lvlJc w:val="left"/>
      <w:pPr>
        <w:ind w:left="3241" w:hanging="567"/>
      </w:pPr>
    </w:lvl>
    <w:lvl w:ilvl="4" w:tplc="E51E65C4">
      <w:start w:val="1"/>
      <w:numFmt w:val="bullet"/>
      <w:lvlText w:val="•"/>
      <w:lvlJc w:val="left"/>
      <w:pPr>
        <w:ind w:left="4099" w:hanging="567"/>
      </w:pPr>
    </w:lvl>
    <w:lvl w:ilvl="5" w:tplc="8154EB6E">
      <w:start w:val="1"/>
      <w:numFmt w:val="bullet"/>
      <w:lvlText w:val="•"/>
      <w:lvlJc w:val="left"/>
      <w:pPr>
        <w:ind w:left="4958" w:hanging="567"/>
      </w:pPr>
    </w:lvl>
    <w:lvl w:ilvl="6" w:tplc="700297E4">
      <w:start w:val="1"/>
      <w:numFmt w:val="bullet"/>
      <w:lvlText w:val="•"/>
      <w:lvlJc w:val="left"/>
      <w:pPr>
        <w:ind w:left="5816" w:hanging="567"/>
      </w:pPr>
    </w:lvl>
    <w:lvl w:ilvl="7" w:tplc="8DE65D10">
      <w:start w:val="1"/>
      <w:numFmt w:val="bullet"/>
      <w:lvlText w:val="•"/>
      <w:lvlJc w:val="left"/>
      <w:pPr>
        <w:ind w:left="6674" w:hanging="567"/>
      </w:pPr>
    </w:lvl>
    <w:lvl w:ilvl="8" w:tplc="992E0FDE">
      <w:start w:val="1"/>
      <w:numFmt w:val="bullet"/>
      <w:lvlText w:val="•"/>
      <w:lvlJc w:val="left"/>
      <w:pPr>
        <w:ind w:left="7532" w:hanging="567"/>
      </w:pPr>
    </w:lvl>
  </w:abstractNum>
  <w:abstractNum w:abstractNumId="23">
    <w:nsid w:val="43997E7B"/>
    <w:multiLevelType w:val="multilevel"/>
    <w:tmpl w:val="13B8D1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E7C3A"/>
    <w:multiLevelType w:val="multilevel"/>
    <w:tmpl w:val="0AF0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638E0"/>
    <w:multiLevelType w:val="multilevel"/>
    <w:tmpl w:val="2CB2F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D1822"/>
    <w:multiLevelType w:val="multilevel"/>
    <w:tmpl w:val="665E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50FD3"/>
    <w:multiLevelType w:val="multilevel"/>
    <w:tmpl w:val="81A6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E5DAC"/>
    <w:multiLevelType w:val="multilevel"/>
    <w:tmpl w:val="A5D0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9515D"/>
    <w:multiLevelType w:val="hybridMultilevel"/>
    <w:tmpl w:val="0AFE0A1C"/>
    <w:lvl w:ilvl="0" w:tplc="2DF69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C2071"/>
    <w:multiLevelType w:val="multilevel"/>
    <w:tmpl w:val="0809001D"/>
    <w:numStyleLink w:val="Style1"/>
  </w:abstractNum>
  <w:abstractNum w:abstractNumId="31">
    <w:nsid w:val="6C7E7174"/>
    <w:multiLevelType w:val="hybridMultilevel"/>
    <w:tmpl w:val="A16AE702"/>
    <w:lvl w:ilvl="0" w:tplc="08090019">
      <w:start w:val="1"/>
      <w:numFmt w:val="lowerLetter"/>
      <w:lvlText w:val="%1."/>
      <w:lvlJc w:val="left"/>
      <w:pPr>
        <w:ind w:left="667" w:hanging="567"/>
      </w:pPr>
      <w:rPr>
        <w:rFonts w:hint="default"/>
        <w:spacing w:val="0"/>
        <w:w w:val="100"/>
        <w:sz w:val="22"/>
        <w:szCs w:val="22"/>
      </w:rPr>
    </w:lvl>
    <w:lvl w:ilvl="1" w:tplc="A55663FC">
      <w:start w:val="1"/>
      <w:numFmt w:val="bullet"/>
      <w:lvlText w:val="•"/>
      <w:lvlJc w:val="left"/>
      <w:pPr>
        <w:ind w:left="1525" w:hanging="567"/>
      </w:pPr>
    </w:lvl>
    <w:lvl w:ilvl="2" w:tplc="4CD034D8">
      <w:start w:val="1"/>
      <w:numFmt w:val="bullet"/>
      <w:lvlText w:val="•"/>
      <w:lvlJc w:val="left"/>
      <w:pPr>
        <w:ind w:left="2383" w:hanging="567"/>
      </w:pPr>
    </w:lvl>
    <w:lvl w:ilvl="3" w:tplc="ACB87D50">
      <w:start w:val="1"/>
      <w:numFmt w:val="bullet"/>
      <w:lvlText w:val="•"/>
      <w:lvlJc w:val="left"/>
      <w:pPr>
        <w:ind w:left="3241" w:hanging="567"/>
      </w:pPr>
    </w:lvl>
    <w:lvl w:ilvl="4" w:tplc="E51E65C4">
      <w:start w:val="1"/>
      <w:numFmt w:val="bullet"/>
      <w:lvlText w:val="•"/>
      <w:lvlJc w:val="left"/>
      <w:pPr>
        <w:ind w:left="4099" w:hanging="567"/>
      </w:pPr>
    </w:lvl>
    <w:lvl w:ilvl="5" w:tplc="8154EB6E">
      <w:start w:val="1"/>
      <w:numFmt w:val="bullet"/>
      <w:lvlText w:val="•"/>
      <w:lvlJc w:val="left"/>
      <w:pPr>
        <w:ind w:left="4958" w:hanging="567"/>
      </w:pPr>
    </w:lvl>
    <w:lvl w:ilvl="6" w:tplc="700297E4">
      <w:start w:val="1"/>
      <w:numFmt w:val="bullet"/>
      <w:lvlText w:val="•"/>
      <w:lvlJc w:val="left"/>
      <w:pPr>
        <w:ind w:left="5816" w:hanging="567"/>
      </w:pPr>
    </w:lvl>
    <w:lvl w:ilvl="7" w:tplc="8DE65D10">
      <w:start w:val="1"/>
      <w:numFmt w:val="bullet"/>
      <w:lvlText w:val="•"/>
      <w:lvlJc w:val="left"/>
      <w:pPr>
        <w:ind w:left="6674" w:hanging="567"/>
      </w:pPr>
    </w:lvl>
    <w:lvl w:ilvl="8" w:tplc="992E0FDE">
      <w:start w:val="1"/>
      <w:numFmt w:val="bullet"/>
      <w:lvlText w:val="•"/>
      <w:lvlJc w:val="left"/>
      <w:pPr>
        <w:ind w:left="7532" w:hanging="567"/>
      </w:pPr>
    </w:lvl>
  </w:abstractNum>
  <w:abstractNum w:abstractNumId="32">
    <w:nsid w:val="6F5C6FB6"/>
    <w:multiLevelType w:val="multilevel"/>
    <w:tmpl w:val="B180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71F51"/>
    <w:multiLevelType w:val="hybridMultilevel"/>
    <w:tmpl w:val="36C6CA52"/>
    <w:lvl w:ilvl="0" w:tplc="08090019">
      <w:start w:val="1"/>
      <w:numFmt w:val="lowerLetter"/>
      <w:lvlText w:val="%1.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75853660"/>
    <w:multiLevelType w:val="hybridMultilevel"/>
    <w:tmpl w:val="894CB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792FEB"/>
    <w:multiLevelType w:val="hybridMultilevel"/>
    <w:tmpl w:val="CBFA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E55231"/>
    <w:multiLevelType w:val="multilevel"/>
    <w:tmpl w:val="B35A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37E6F"/>
    <w:multiLevelType w:val="multilevel"/>
    <w:tmpl w:val="754A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E60BF9"/>
    <w:multiLevelType w:val="hybridMultilevel"/>
    <w:tmpl w:val="1EA63574"/>
    <w:lvl w:ilvl="0" w:tplc="08090019">
      <w:start w:val="1"/>
      <w:numFmt w:val="lowerLetter"/>
      <w:lvlText w:val="%1."/>
      <w:lvlJc w:val="left"/>
      <w:pPr>
        <w:ind w:left="1572" w:hanging="360"/>
      </w:p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0"/>
  </w:num>
  <w:num w:numId="2">
    <w:abstractNumId w:val="35"/>
  </w:num>
  <w:num w:numId="3">
    <w:abstractNumId w:val="5"/>
  </w:num>
  <w:num w:numId="4">
    <w:abstractNumId w:val="10"/>
  </w:num>
  <w:num w:numId="5">
    <w:abstractNumId w:val="13"/>
  </w:num>
  <w:num w:numId="6">
    <w:abstractNumId w:val="18"/>
  </w:num>
  <w:num w:numId="7">
    <w:abstractNumId w:val="34"/>
  </w:num>
  <w:num w:numId="8">
    <w:abstractNumId w:val="2"/>
  </w:num>
  <w:num w:numId="9">
    <w:abstractNumId w:val="17"/>
  </w:num>
  <w:num w:numId="10">
    <w:abstractNumId w:val="19"/>
  </w:num>
  <w:num w:numId="11">
    <w:abstractNumId w:val="0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38"/>
  </w:num>
  <w:num w:numId="16">
    <w:abstractNumId w:val="12"/>
  </w:num>
  <w:num w:numId="17">
    <w:abstractNumId w:val="29"/>
  </w:num>
  <w:num w:numId="18">
    <w:abstractNumId w:val="7"/>
  </w:num>
  <w:num w:numId="19">
    <w:abstractNumId w:val="30"/>
  </w:num>
  <w:num w:numId="20">
    <w:abstractNumId w:val="15"/>
  </w:num>
  <w:num w:numId="21">
    <w:abstractNumId w:val="26"/>
  </w:num>
  <w:num w:numId="22">
    <w:abstractNumId w:val="31"/>
  </w:num>
  <w:num w:numId="23">
    <w:abstractNumId w:val="33"/>
  </w:num>
  <w:num w:numId="24">
    <w:abstractNumId w:val="3"/>
  </w:num>
  <w:num w:numId="25">
    <w:abstractNumId w:val="9"/>
  </w:num>
  <w:num w:numId="26">
    <w:abstractNumId w:val="27"/>
  </w:num>
  <w:num w:numId="27">
    <w:abstractNumId w:val="8"/>
  </w:num>
  <w:num w:numId="28">
    <w:abstractNumId w:val="37"/>
  </w:num>
  <w:num w:numId="29">
    <w:abstractNumId w:val="6"/>
  </w:num>
  <w:num w:numId="30">
    <w:abstractNumId w:val="11"/>
  </w:num>
  <w:num w:numId="31">
    <w:abstractNumId w:val="4"/>
  </w:num>
  <w:num w:numId="32">
    <w:abstractNumId w:val="23"/>
  </w:num>
  <w:num w:numId="33">
    <w:abstractNumId w:val="25"/>
  </w:num>
  <w:num w:numId="34">
    <w:abstractNumId w:val="16"/>
  </w:num>
  <w:num w:numId="35">
    <w:abstractNumId w:val="32"/>
  </w:num>
  <w:num w:numId="36">
    <w:abstractNumId w:val="24"/>
  </w:num>
  <w:num w:numId="37">
    <w:abstractNumId w:val="36"/>
  </w:num>
  <w:num w:numId="38">
    <w:abstractNumId w:val="21"/>
  </w:num>
  <w:num w:numId="39">
    <w:abstractNumId w:val="1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41"/>
    <w:rsid w:val="00051BE9"/>
    <w:rsid w:val="000C6DE5"/>
    <w:rsid w:val="001075C7"/>
    <w:rsid w:val="00114794"/>
    <w:rsid w:val="001456F3"/>
    <w:rsid w:val="00261636"/>
    <w:rsid w:val="00390F41"/>
    <w:rsid w:val="004036E9"/>
    <w:rsid w:val="00454B65"/>
    <w:rsid w:val="004F549F"/>
    <w:rsid w:val="00513952"/>
    <w:rsid w:val="00565A0C"/>
    <w:rsid w:val="005F4E6F"/>
    <w:rsid w:val="006F7C16"/>
    <w:rsid w:val="00710BBE"/>
    <w:rsid w:val="00737A9A"/>
    <w:rsid w:val="00754B9A"/>
    <w:rsid w:val="007A11FA"/>
    <w:rsid w:val="007D1BCE"/>
    <w:rsid w:val="00814122"/>
    <w:rsid w:val="008444CF"/>
    <w:rsid w:val="008575C5"/>
    <w:rsid w:val="0086049B"/>
    <w:rsid w:val="00956A24"/>
    <w:rsid w:val="0097695A"/>
    <w:rsid w:val="009A0151"/>
    <w:rsid w:val="009A4DC8"/>
    <w:rsid w:val="00A04D4F"/>
    <w:rsid w:val="00A36D2D"/>
    <w:rsid w:val="00A757F0"/>
    <w:rsid w:val="00BC056B"/>
    <w:rsid w:val="00C862F0"/>
    <w:rsid w:val="00CF7953"/>
    <w:rsid w:val="00D43D8E"/>
    <w:rsid w:val="00DC31D4"/>
    <w:rsid w:val="00E45178"/>
    <w:rsid w:val="00EB0312"/>
    <w:rsid w:val="00F06D18"/>
    <w:rsid w:val="00F2059F"/>
    <w:rsid w:val="00F50236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DB8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D3734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C0C0F"/>
    <w:rPr>
      <w:b/>
      <w:bCs/>
    </w:rPr>
  </w:style>
  <w:style w:type="character" w:styleId="Hyperlink">
    <w:name w:val="Hyperlink"/>
    <w:rsid w:val="00C459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45932"/>
    <w:pPr>
      <w:tabs>
        <w:tab w:val="center" w:pos="4320"/>
        <w:tab w:val="right" w:pos="8640"/>
      </w:tabs>
    </w:pPr>
    <w:rPr>
      <w:sz w:val="40"/>
      <w:szCs w:val="40"/>
      <w:lang w:eastAsia="x-none"/>
    </w:rPr>
  </w:style>
  <w:style w:type="character" w:styleId="PageNumber">
    <w:name w:val="page number"/>
    <w:basedOn w:val="DefaultParagraphFont"/>
    <w:rsid w:val="00C45932"/>
  </w:style>
  <w:style w:type="paragraph" w:styleId="Header">
    <w:name w:val="header"/>
    <w:basedOn w:val="Normal"/>
    <w:rsid w:val="00C45932"/>
    <w:pPr>
      <w:tabs>
        <w:tab w:val="center" w:pos="4320"/>
        <w:tab w:val="right" w:pos="8640"/>
      </w:tabs>
    </w:pPr>
    <w:rPr>
      <w:sz w:val="40"/>
      <w:szCs w:val="40"/>
    </w:rPr>
  </w:style>
  <w:style w:type="table" w:styleId="TableGrid">
    <w:name w:val="Table Grid"/>
    <w:basedOn w:val="TableNormal"/>
    <w:rsid w:val="00C4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2D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72D3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3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31025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305A30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1"/>
    <w:rsid w:val="00305A30"/>
    <w:rPr>
      <w:sz w:val="24"/>
      <w:szCs w:val="24"/>
      <w:lang w:eastAsia="en-US"/>
    </w:rPr>
  </w:style>
  <w:style w:type="character" w:styleId="CommentReference">
    <w:name w:val="annotation reference"/>
    <w:rsid w:val="00CE22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248"/>
    <w:rPr>
      <w:sz w:val="20"/>
      <w:szCs w:val="20"/>
    </w:rPr>
  </w:style>
  <w:style w:type="character" w:customStyle="1" w:styleId="CommentTextChar">
    <w:name w:val="Comment Text Char"/>
    <w:link w:val="CommentText"/>
    <w:rsid w:val="00CE22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2248"/>
    <w:rPr>
      <w:b/>
      <w:bCs/>
    </w:rPr>
  </w:style>
  <w:style w:type="character" w:customStyle="1" w:styleId="CommentSubjectChar">
    <w:name w:val="Comment Subject Char"/>
    <w:link w:val="CommentSubject"/>
    <w:rsid w:val="00CE2248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4819CF"/>
    <w:rPr>
      <w:sz w:val="40"/>
      <w:szCs w:val="40"/>
      <w:lang w:val="en-US"/>
    </w:rPr>
  </w:style>
  <w:style w:type="numbering" w:customStyle="1" w:styleId="Style1">
    <w:name w:val="Style1"/>
    <w:rsid w:val="00C862F0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rsid w:val="00CF7953"/>
    <w:pPr>
      <w:spacing w:before="100" w:beforeAutospacing="1" w:after="100" w:afterAutospacing="1"/>
    </w:pPr>
    <w:rPr>
      <w:rFonts w:ascii="Times" w:hAnsi="Times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8444CF"/>
    <w:pPr>
      <w:ind w:left="720"/>
      <w:contextualSpacing/>
    </w:pPr>
  </w:style>
  <w:style w:type="character" w:styleId="FollowedHyperlink">
    <w:name w:val="FollowedHyperlink"/>
    <w:basedOn w:val="DefaultParagraphFont"/>
    <w:rsid w:val="00EB03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D3734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C0C0F"/>
    <w:rPr>
      <w:b/>
      <w:bCs/>
    </w:rPr>
  </w:style>
  <w:style w:type="character" w:styleId="Hyperlink">
    <w:name w:val="Hyperlink"/>
    <w:rsid w:val="00C459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45932"/>
    <w:pPr>
      <w:tabs>
        <w:tab w:val="center" w:pos="4320"/>
        <w:tab w:val="right" w:pos="8640"/>
      </w:tabs>
    </w:pPr>
    <w:rPr>
      <w:sz w:val="40"/>
      <w:szCs w:val="40"/>
      <w:lang w:eastAsia="x-none"/>
    </w:rPr>
  </w:style>
  <w:style w:type="character" w:styleId="PageNumber">
    <w:name w:val="page number"/>
    <w:basedOn w:val="DefaultParagraphFont"/>
    <w:rsid w:val="00C45932"/>
  </w:style>
  <w:style w:type="paragraph" w:styleId="Header">
    <w:name w:val="header"/>
    <w:basedOn w:val="Normal"/>
    <w:rsid w:val="00C45932"/>
    <w:pPr>
      <w:tabs>
        <w:tab w:val="center" w:pos="4320"/>
        <w:tab w:val="right" w:pos="8640"/>
      </w:tabs>
    </w:pPr>
    <w:rPr>
      <w:sz w:val="40"/>
      <w:szCs w:val="40"/>
    </w:rPr>
  </w:style>
  <w:style w:type="table" w:styleId="TableGrid">
    <w:name w:val="Table Grid"/>
    <w:basedOn w:val="TableNormal"/>
    <w:rsid w:val="00C4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2D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72D3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3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31025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305A30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1"/>
    <w:rsid w:val="00305A30"/>
    <w:rPr>
      <w:sz w:val="24"/>
      <w:szCs w:val="24"/>
      <w:lang w:eastAsia="en-US"/>
    </w:rPr>
  </w:style>
  <w:style w:type="character" w:styleId="CommentReference">
    <w:name w:val="annotation reference"/>
    <w:rsid w:val="00CE22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248"/>
    <w:rPr>
      <w:sz w:val="20"/>
      <w:szCs w:val="20"/>
    </w:rPr>
  </w:style>
  <w:style w:type="character" w:customStyle="1" w:styleId="CommentTextChar">
    <w:name w:val="Comment Text Char"/>
    <w:link w:val="CommentText"/>
    <w:rsid w:val="00CE22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2248"/>
    <w:rPr>
      <w:b/>
      <w:bCs/>
    </w:rPr>
  </w:style>
  <w:style w:type="character" w:customStyle="1" w:styleId="CommentSubjectChar">
    <w:name w:val="Comment Subject Char"/>
    <w:link w:val="CommentSubject"/>
    <w:rsid w:val="00CE2248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4819CF"/>
    <w:rPr>
      <w:sz w:val="40"/>
      <w:szCs w:val="40"/>
      <w:lang w:val="en-US"/>
    </w:rPr>
  </w:style>
  <w:style w:type="numbering" w:customStyle="1" w:styleId="Style1">
    <w:name w:val="Style1"/>
    <w:rsid w:val="00C862F0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rsid w:val="00CF7953"/>
    <w:pPr>
      <w:spacing w:before="100" w:beforeAutospacing="1" w:after="100" w:afterAutospacing="1"/>
    </w:pPr>
    <w:rPr>
      <w:rFonts w:ascii="Times" w:hAnsi="Times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8444CF"/>
    <w:pPr>
      <w:ind w:left="720"/>
      <w:contextualSpacing/>
    </w:pPr>
  </w:style>
  <w:style w:type="character" w:styleId="FollowedHyperlink">
    <w:name w:val="FollowedHyperlink"/>
    <w:basedOn w:val="DefaultParagraphFont"/>
    <w:rsid w:val="00EB03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amsar.org/sites/default/files/documents/library/ramsar_rules_of_procedure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EBF8-2CD0-4E39-A4B9-FCE7547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9179</Characters>
  <Application>Microsoft Office Word</Application>
  <DocSecurity>4</DocSecurity>
  <Lines>187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SC40-4 Briefing SC members</vt:lpstr>
    </vt:vector>
  </TitlesOfParts>
  <Company>IUCN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SC40-4 Briefing SC members</dc:title>
  <dc:creator>IUCN</dc:creator>
  <cp:lastModifiedBy>Ramsar\JenningsE</cp:lastModifiedBy>
  <cp:revision>2</cp:revision>
  <cp:lastPrinted>2013-04-08T08:55:00Z</cp:lastPrinted>
  <dcterms:created xsi:type="dcterms:W3CDTF">2015-08-26T12:34:00Z</dcterms:created>
  <dcterms:modified xsi:type="dcterms:W3CDTF">2015-08-26T12:34:00Z</dcterms:modified>
</cp:coreProperties>
</file>