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E9" w:rsidRPr="003859B4" w:rsidRDefault="004036E9" w:rsidP="004036E9">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bCs/>
          <w:lang w:val="fr-FR"/>
        </w:rPr>
      </w:pPr>
      <w:r w:rsidRPr="003859B4">
        <w:rPr>
          <w:rFonts w:ascii="Calibri" w:hAnsi="Calibri"/>
          <w:bCs/>
          <w:lang w:val="fr-FR"/>
        </w:rPr>
        <w:t xml:space="preserve">CONVENTION </w:t>
      </w:r>
      <w:r w:rsidR="007B75C2" w:rsidRPr="003859B4">
        <w:rPr>
          <w:rFonts w:ascii="Calibri" w:hAnsi="Calibri"/>
          <w:bCs/>
          <w:lang w:val="fr-FR"/>
        </w:rPr>
        <w:t>SUR LES ZONES HUMIDES</w:t>
      </w:r>
      <w:r w:rsidRPr="003859B4">
        <w:rPr>
          <w:rFonts w:ascii="Calibri" w:hAnsi="Calibri"/>
          <w:bCs/>
          <w:lang w:val="fr-FR"/>
        </w:rPr>
        <w:t xml:space="preserve"> (Ramsar, Iran, 1971)</w:t>
      </w:r>
    </w:p>
    <w:p w:rsidR="004036E9" w:rsidRPr="003859B4" w:rsidRDefault="004036E9" w:rsidP="004036E9">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bCs/>
          <w:lang w:val="fr-FR"/>
        </w:rPr>
      </w:pPr>
      <w:r w:rsidRPr="003859B4">
        <w:rPr>
          <w:rFonts w:ascii="Calibri" w:hAnsi="Calibri"/>
          <w:bCs/>
          <w:lang w:val="fr-FR"/>
        </w:rPr>
        <w:t>51</w:t>
      </w:r>
      <w:r w:rsidR="007B75C2" w:rsidRPr="003859B4">
        <w:rPr>
          <w:rFonts w:ascii="Calibri" w:hAnsi="Calibri"/>
          <w:bCs/>
          <w:vertAlign w:val="superscript"/>
          <w:lang w:val="fr-FR"/>
        </w:rPr>
        <w:t>e</w:t>
      </w:r>
      <w:r w:rsidRPr="003859B4">
        <w:rPr>
          <w:rFonts w:ascii="Calibri" w:hAnsi="Calibri"/>
          <w:bCs/>
          <w:lang w:val="fr-FR"/>
        </w:rPr>
        <w:t xml:space="preserve"> </w:t>
      </w:r>
      <w:r w:rsidR="007B75C2" w:rsidRPr="003859B4">
        <w:rPr>
          <w:rFonts w:ascii="Calibri" w:hAnsi="Calibri"/>
          <w:bCs/>
          <w:lang w:val="fr-FR"/>
        </w:rPr>
        <w:t>Réunion du Comité permanent</w:t>
      </w:r>
    </w:p>
    <w:p w:rsidR="004036E9" w:rsidRPr="003859B4" w:rsidRDefault="004036E9" w:rsidP="004036E9">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bCs/>
          <w:lang w:val="fr-FR"/>
        </w:rPr>
      </w:pPr>
      <w:r w:rsidRPr="003859B4">
        <w:rPr>
          <w:rFonts w:ascii="Calibri" w:hAnsi="Calibri"/>
          <w:bCs/>
          <w:lang w:val="fr-FR"/>
        </w:rPr>
        <w:t xml:space="preserve">Gland, </w:t>
      </w:r>
      <w:r w:rsidR="007B75C2" w:rsidRPr="003859B4">
        <w:rPr>
          <w:rFonts w:ascii="Calibri" w:hAnsi="Calibri"/>
          <w:bCs/>
          <w:lang w:val="fr-FR"/>
        </w:rPr>
        <w:t>Suisse</w:t>
      </w:r>
      <w:r w:rsidRPr="003859B4">
        <w:rPr>
          <w:rFonts w:ascii="Calibri" w:hAnsi="Calibri"/>
          <w:bCs/>
          <w:lang w:val="fr-FR"/>
        </w:rPr>
        <w:t>, 23</w:t>
      </w:r>
      <w:r w:rsidR="007B75C2" w:rsidRPr="003859B4">
        <w:rPr>
          <w:rFonts w:ascii="Calibri" w:hAnsi="Calibri"/>
          <w:bCs/>
          <w:lang w:val="fr-FR"/>
        </w:rPr>
        <w:t xml:space="preserve"> au </w:t>
      </w:r>
      <w:r w:rsidRPr="003859B4">
        <w:rPr>
          <w:rFonts w:ascii="Calibri" w:hAnsi="Calibri"/>
          <w:bCs/>
          <w:lang w:val="fr-FR"/>
        </w:rPr>
        <w:t xml:space="preserve">27 </w:t>
      </w:r>
      <w:r w:rsidR="007B75C2" w:rsidRPr="003859B4">
        <w:rPr>
          <w:rFonts w:ascii="Calibri" w:hAnsi="Calibri"/>
          <w:bCs/>
          <w:lang w:val="fr-FR"/>
        </w:rPr>
        <w:t>novembre</w:t>
      </w:r>
      <w:r w:rsidRPr="003859B4">
        <w:rPr>
          <w:rFonts w:ascii="Calibri" w:hAnsi="Calibri"/>
          <w:bCs/>
          <w:lang w:val="fr-FR"/>
        </w:rPr>
        <w:t xml:space="preserve"> 2015</w:t>
      </w:r>
    </w:p>
    <w:p w:rsidR="00FB3ADD" w:rsidRPr="003859B4" w:rsidRDefault="00FB3ADD" w:rsidP="004036E9">
      <w:pPr>
        <w:pStyle w:val="Heading1"/>
        <w:jc w:val="right"/>
        <w:rPr>
          <w:rFonts w:ascii="Calibri" w:hAnsi="Calibri"/>
          <w:sz w:val="28"/>
          <w:szCs w:val="28"/>
          <w:lang w:val="fr-FR"/>
        </w:rPr>
      </w:pPr>
    </w:p>
    <w:p w:rsidR="004036E9" w:rsidRPr="003859B4" w:rsidRDefault="00FB3ADD" w:rsidP="004036E9">
      <w:pPr>
        <w:pStyle w:val="Heading1"/>
        <w:jc w:val="right"/>
        <w:rPr>
          <w:rFonts w:ascii="Calibri" w:hAnsi="Calibri"/>
          <w:sz w:val="28"/>
          <w:szCs w:val="28"/>
          <w:lang w:val="fr-FR"/>
        </w:rPr>
      </w:pPr>
      <w:r w:rsidRPr="003859B4">
        <w:rPr>
          <w:rFonts w:ascii="Calibri" w:hAnsi="Calibri"/>
          <w:sz w:val="28"/>
          <w:szCs w:val="28"/>
          <w:lang w:val="fr-FR"/>
        </w:rPr>
        <w:t>SC51 INF.DOC.03</w:t>
      </w:r>
    </w:p>
    <w:p w:rsidR="00FB3ADD" w:rsidRPr="003859B4" w:rsidRDefault="00FB3ADD" w:rsidP="004036E9">
      <w:pPr>
        <w:jc w:val="center"/>
        <w:rPr>
          <w:rFonts w:ascii="Calibri" w:hAnsi="Calibri"/>
          <w:b/>
          <w:sz w:val="28"/>
          <w:szCs w:val="28"/>
          <w:lang w:val="fr-FR"/>
        </w:rPr>
      </w:pPr>
    </w:p>
    <w:p w:rsidR="004036E9" w:rsidRPr="003859B4" w:rsidRDefault="007B75C2" w:rsidP="004036E9">
      <w:pPr>
        <w:jc w:val="center"/>
        <w:rPr>
          <w:rFonts w:ascii="Calibri" w:hAnsi="Calibri"/>
          <w:b/>
          <w:sz w:val="28"/>
          <w:szCs w:val="28"/>
          <w:lang w:val="fr-FR"/>
        </w:rPr>
      </w:pPr>
      <w:r w:rsidRPr="003859B4">
        <w:rPr>
          <w:rFonts w:ascii="Calibri" w:hAnsi="Calibri"/>
          <w:b/>
          <w:sz w:val="28"/>
          <w:szCs w:val="28"/>
          <w:lang w:val="fr-FR"/>
        </w:rPr>
        <w:t xml:space="preserve">Information pour les nouveaux membres, sur le rôle et les responsabilités du Président et des membres du Comité permanent </w:t>
      </w:r>
    </w:p>
    <w:p w:rsidR="004036E9" w:rsidRPr="00B350C1" w:rsidRDefault="004036E9" w:rsidP="004036E9">
      <w:pPr>
        <w:jc w:val="center"/>
        <w:rPr>
          <w:rFonts w:ascii="Calibri" w:hAnsi="Calibri"/>
          <w:b/>
          <w:sz w:val="22"/>
          <w:szCs w:val="22"/>
          <w:lang w:val="fr-FR"/>
        </w:rPr>
      </w:pPr>
    </w:p>
    <w:p w:rsidR="00FB3ADD" w:rsidRPr="00B350C1" w:rsidRDefault="004036E9" w:rsidP="00FB3ADD">
      <w:pPr>
        <w:pBdr>
          <w:top w:val="single" w:sz="4" w:space="1" w:color="auto"/>
          <w:left w:val="single" w:sz="4" w:space="4" w:color="auto"/>
          <w:bottom w:val="single" w:sz="4" w:space="6" w:color="auto"/>
          <w:right w:val="single" w:sz="4" w:space="4" w:color="auto"/>
        </w:pBdr>
        <w:rPr>
          <w:rFonts w:ascii="Calibri" w:hAnsi="Calibri"/>
          <w:b/>
          <w:sz w:val="22"/>
          <w:szCs w:val="22"/>
          <w:lang w:val="fr-FR"/>
        </w:rPr>
      </w:pPr>
      <w:r w:rsidRPr="00B350C1">
        <w:rPr>
          <w:rFonts w:ascii="Calibri" w:hAnsi="Calibri"/>
          <w:b/>
          <w:sz w:val="22"/>
          <w:szCs w:val="22"/>
          <w:lang w:val="fr-FR"/>
        </w:rPr>
        <w:t xml:space="preserve">Action </w:t>
      </w:r>
      <w:r w:rsidR="007B75C2" w:rsidRPr="00B350C1">
        <w:rPr>
          <w:rFonts w:ascii="Calibri" w:hAnsi="Calibri"/>
          <w:b/>
          <w:sz w:val="22"/>
          <w:szCs w:val="22"/>
          <w:lang w:val="fr-FR"/>
        </w:rPr>
        <w:t>requise </w:t>
      </w:r>
      <w:r w:rsidRPr="00B350C1">
        <w:rPr>
          <w:rFonts w:ascii="Calibri" w:hAnsi="Calibri"/>
          <w:b/>
          <w:sz w:val="22"/>
          <w:szCs w:val="22"/>
          <w:lang w:val="fr-FR"/>
        </w:rPr>
        <w:t xml:space="preserve">: </w:t>
      </w:r>
    </w:p>
    <w:p w:rsidR="004036E9" w:rsidRPr="00B350C1" w:rsidRDefault="007B75C2" w:rsidP="00FB3ADD">
      <w:pPr>
        <w:pBdr>
          <w:top w:val="single" w:sz="4" w:space="1" w:color="auto"/>
          <w:left w:val="single" w:sz="4" w:space="4" w:color="auto"/>
          <w:bottom w:val="single" w:sz="4" w:space="6" w:color="auto"/>
          <w:right w:val="single" w:sz="4" w:space="4" w:color="auto"/>
        </w:pBdr>
        <w:rPr>
          <w:rFonts w:ascii="Calibri" w:hAnsi="Calibri"/>
          <w:b/>
          <w:sz w:val="22"/>
          <w:szCs w:val="22"/>
          <w:lang w:val="fr-FR"/>
        </w:rPr>
      </w:pPr>
      <w:r w:rsidRPr="00B350C1">
        <w:rPr>
          <w:rFonts w:ascii="Calibri" w:hAnsi="Calibri"/>
          <w:sz w:val="22"/>
          <w:szCs w:val="22"/>
          <w:lang w:val="fr-FR"/>
        </w:rPr>
        <w:t xml:space="preserve">Le Comité permanent est invité à utiliser ce document d’information et ses suggestions comme guide </w:t>
      </w:r>
      <w:r w:rsidR="003859B4" w:rsidRPr="00B350C1">
        <w:rPr>
          <w:rFonts w:ascii="Calibri" w:hAnsi="Calibri"/>
          <w:sz w:val="22"/>
          <w:szCs w:val="22"/>
          <w:lang w:val="fr-FR"/>
        </w:rPr>
        <w:t>pour</w:t>
      </w:r>
      <w:r w:rsidRPr="00B350C1">
        <w:rPr>
          <w:rFonts w:ascii="Calibri" w:hAnsi="Calibri"/>
          <w:sz w:val="22"/>
          <w:szCs w:val="22"/>
          <w:lang w:val="fr-FR"/>
        </w:rPr>
        <w:t xml:space="preserve"> la conduite de ses réunions</w:t>
      </w:r>
      <w:r w:rsidR="004036E9" w:rsidRPr="00B350C1">
        <w:rPr>
          <w:rFonts w:ascii="Calibri" w:hAnsi="Calibri"/>
          <w:sz w:val="22"/>
          <w:szCs w:val="22"/>
          <w:lang w:val="fr-FR"/>
        </w:rPr>
        <w:t>.</w:t>
      </w:r>
    </w:p>
    <w:p w:rsidR="00051BE9" w:rsidRPr="003859B4" w:rsidRDefault="00051BE9" w:rsidP="004036E9">
      <w:pPr>
        <w:ind w:left="540" w:hanging="540"/>
        <w:rPr>
          <w:rFonts w:ascii="Calibri" w:hAnsi="Calibri"/>
          <w:lang w:val="fr-FR"/>
        </w:rPr>
      </w:pPr>
    </w:p>
    <w:p w:rsidR="004036E9" w:rsidRPr="003859B4" w:rsidRDefault="007B75C2" w:rsidP="00C862F0">
      <w:pPr>
        <w:numPr>
          <w:ilvl w:val="0"/>
          <w:numId w:val="21"/>
        </w:numPr>
        <w:ind w:left="426" w:hanging="426"/>
        <w:rPr>
          <w:rFonts w:ascii="Calibri" w:hAnsi="Calibri"/>
          <w:sz w:val="22"/>
          <w:szCs w:val="22"/>
          <w:lang w:val="fr-FR"/>
        </w:rPr>
      </w:pPr>
      <w:r w:rsidRPr="003859B4">
        <w:rPr>
          <w:rFonts w:ascii="Calibri" w:hAnsi="Calibri"/>
          <w:sz w:val="22"/>
          <w:szCs w:val="22"/>
          <w:lang w:val="fr-FR"/>
        </w:rPr>
        <w:t>Le Comité permanent de la Convention de Ramsar a été établi par la Résolution </w:t>
      </w:r>
      <w:r w:rsidR="004036E9" w:rsidRPr="003859B4">
        <w:rPr>
          <w:rFonts w:ascii="Calibri" w:hAnsi="Calibri"/>
          <w:sz w:val="22"/>
          <w:szCs w:val="22"/>
          <w:lang w:val="fr-FR"/>
        </w:rPr>
        <w:t xml:space="preserve">3.3 (Regina, 1987) </w:t>
      </w:r>
      <w:r w:rsidRPr="003859B4">
        <w:rPr>
          <w:rFonts w:ascii="Calibri" w:hAnsi="Calibri"/>
          <w:sz w:val="22"/>
          <w:szCs w:val="22"/>
          <w:lang w:val="fr-FR"/>
        </w:rPr>
        <w:t>afin de superviser les travaux de la Convention et les activités du Secrétariat entre deux sessions ordinaires de la Conférence des Parties contractantes (COP), dans le cadre fixé par la COP à chacune de ses sessions.</w:t>
      </w:r>
      <w:r w:rsidR="004036E9" w:rsidRPr="003859B4">
        <w:rPr>
          <w:rFonts w:ascii="Calibri" w:hAnsi="Calibri"/>
          <w:sz w:val="22"/>
          <w:szCs w:val="22"/>
          <w:lang w:val="fr-FR"/>
        </w:rPr>
        <w:t xml:space="preserve"> </w:t>
      </w:r>
    </w:p>
    <w:p w:rsidR="004036E9" w:rsidRPr="003859B4" w:rsidRDefault="004036E9" w:rsidP="00C862F0">
      <w:pPr>
        <w:ind w:left="426" w:hanging="426"/>
        <w:rPr>
          <w:rFonts w:ascii="Calibri" w:hAnsi="Calibri"/>
          <w:sz w:val="22"/>
          <w:szCs w:val="22"/>
          <w:lang w:val="fr-FR"/>
        </w:rPr>
      </w:pPr>
    </w:p>
    <w:p w:rsidR="004036E9" w:rsidRPr="003859B4" w:rsidRDefault="007B75C2" w:rsidP="00FB3ADD">
      <w:pPr>
        <w:numPr>
          <w:ilvl w:val="0"/>
          <w:numId w:val="21"/>
        </w:numPr>
        <w:ind w:left="426" w:hanging="426"/>
        <w:rPr>
          <w:rFonts w:ascii="Calibri" w:hAnsi="Calibri"/>
          <w:sz w:val="22"/>
          <w:szCs w:val="22"/>
          <w:lang w:val="fr-FR"/>
        </w:rPr>
      </w:pPr>
      <w:r w:rsidRPr="003859B4">
        <w:rPr>
          <w:rFonts w:ascii="Calibri" w:hAnsi="Calibri"/>
          <w:sz w:val="22"/>
          <w:szCs w:val="22"/>
          <w:lang w:val="fr-FR"/>
        </w:rPr>
        <w:t>La composition régionale, les fonctions et les responsabilités du Comité permanent et de ses membres sont gouvernées par la Résolution </w:t>
      </w:r>
      <w:r w:rsidR="004036E9" w:rsidRPr="003859B4">
        <w:rPr>
          <w:rFonts w:ascii="Calibri" w:hAnsi="Calibri"/>
          <w:sz w:val="22"/>
          <w:szCs w:val="22"/>
          <w:lang w:val="fr-FR"/>
        </w:rPr>
        <w:t>XII.4 (2015)</w:t>
      </w:r>
      <w:r w:rsidRPr="003859B4">
        <w:rPr>
          <w:rFonts w:ascii="Calibri" w:hAnsi="Calibri"/>
          <w:sz w:val="22"/>
          <w:szCs w:val="22"/>
          <w:lang w:val="fr-FR"/>
        </w:rPr>
        <w:t xml:space="preserve"> qui remplace les dispositions précédentes énoncées dans la Résolution </w:t>
      </w:r>
      <w:r w:rsidR="004036E9" w:rsidRPr="003859B4">
        <w:rPr>
          <w:rFonts w:ascii="Calibri" w:hAnsi="Calibri"/>
          <w:sz w:val="22"/>
          <w:szCs w:val="22"/>
          <w:lang w:val="fr-FR"/>
        </w:rPr>
        <w:t xml:space="preserve">VII.1 (1999) </w:t>
      </w:r>
      <w:r w:rsidRPr="003859B4">
        <w:rPr>
          <w:rFonts w:ascii="Calibri" w:hAnsi="Calibri"/>
          <w:sz w:val="22"/>
          <w:szCs w:val="22"/>
          <w:lang w:val="fr-FR"/>
        </w:rPr>
        <w:t>et la Résolution </w:t>
      </w:r>
      <w:r w:rsidR="004036E9" w:rsidRPr="003859B4">
        <w:rPr>
          <w:rFonts w:ascii="Calibri" w:hAnsi="Calibri"/>
          <w:sz w:val="22"/>
          <w:szCs w:val="22"/>
          <w:lang w:val="fr-FR"/>
        </w:rPr>
        <w:t xml:space="preserve">XI.19 (2012). </w:t>
      </w:r>
    </w:p>
    <w:p w:rsidR="004036E9" w:rsidRPr="003859B4" w:rsidRDefault="004036E9" w:rsidP="00FB3ADD">
      <w:pPr>
        <w:ind w:left="426" w:hanging="426"/>
        <w:rPr>
          <w:rFonts w:ascii="Calibri" w:hAnsi="Calibri"/>
          <w:sz w:val="22"/>
          <w:szCs w:val="22"/>
          <w:lang w:val="fr-FR"/>
        </w:rPr>
      </w:pPr>
    </w:p>
    <w:p w:rsidR="00C862F0" w:rsidRPr="003859B4" w:rsidRDefault="007B75C2" w:rsidP="006F7C16">
      <w:pPr>
        <w:pStyle w:val="BodyText"/>
        <w:widowControl w:val="0"/>
        <w:numPr>
          <w:ilvl w:val="0"/>
          <w:numId w:val="21"/>
        </w:numPr>
        <w:spacing w:after="0"/>
        <w:ind w:left="426" w:right="178" w:hanging="426"/>
        <w:rPr>
          <w:rFonts w:ascii="Calibri" w:hAnsi="Calibri"/>
          <w:sz w:val="22"/>
          <w:szCs w:val="22"/>
          <w:lang w:val="fr-FR"/>
        </w:rPr>
      </w:pPr>
      <w:r w:rsidRPr="003859B4">
        <w:rPr>
          <w:rFonts w:ascii="Calibri" w:hAnsi="Calibri"/>
          <w:sz w:val="22"/>
          <w:szCs w:val="22"/>
          <w:lang w:val="fr-FR"/>
        </w:rPr>
        <w:t xml:space="preserve">Le Comité permanent, en tant qu’organe subsidiaire de la Conférence des Parties, est </w:t>
      </w:r>
      <w:r w:rsidR="003859B4" w:rsidRPr="003859B4">
        <w:rPr>
          <w:rFonts w:ascii="Calibri" w:hAnsi="Calibri"/>
          <w:sz w:val="22"/>
          <w:szCs w:val="22"/>
          <w:lang w:val="fr-FR"/>
        </w:rPr>
        <w:t>régi</w:t>
      </w:r>
      <w:r w:rsidRPr="003859B4">
        <w:rPr>
          <w:rFonts w:ascii="Calibri" w:hAnsi="Calibri"/>
          <w:sz w:val="22"/>
          <w:szCs w:val="22"/>
          <w:lang w:val="fr-FR"/>
        </w:rPr>
        <w:t xml:space="preserve">, </w:t>
      </w:r>
      <w:r w:rsidR="004036E9" w:rsidRPr="003859B4">
        <w:rPr>
          <w:rFonts w:ascii="Calibri" w:hAnsi="Calibri"/>
          <w:i/>
          <w:sz w:val="22"/>
          <w:szCs w:val="22"/>
          <w:lang w:val="fr-FR"/>
        </w:rPr>
        <w:t>mutatis mutandis</w:t>
      </w:r>
      <w:r w:rsidR="004036E9" w:rsidRPr="003859B4">
        <w:rPr>
          <w:rFonts w:ascii="Calibri" w:hAnsi="Calibri"/>
          <w:sz w:val="22"/>
          <w:szCs w:val="22"/>
          <w:lang w:val="fr-FR"/>
        </w:rPr>
        <w:t xml:space="preserve">, </w:t>
      </w:r>
      <w:r w:rsidRPr="003859B4">
        <w:rPr>
          <w:rFonts w:ascii="Calibri" w:hAnsi="Calibri"/>
          <w:sz w:val="22"/>
          <w:szCs w:val="22"/>
          <w:lang w:val="fr-FR"/>
        </w:rPr>
        <w:t xml:space="preserve">par le Règlement intérieur des sessions de la Convention (voir </w:t>
      </w:r>
      <w:hyperlink r:id="rId9" w:history="1">
        <w:r w:rsidRPr="003859B4">
          <w:rPr>
            <w:rStyle w:val="Hyperlink"/>
            <w:rFonts w:ascii="Calibri" w:hAnsi="Calibri"/>
            <w:sz w:val="22"/>
            <w:szCs w:val="22"/>
            <w:lang w:val="fr-FR"/>
          </w:rPr>
          <w:t>www.ramsar.org/sites/default/files/documents/library/ramsar_rules_of_procedure_f.pdf</w:t>
        </w:r>
      </w:hyperlink>
      <w:r w:rsidR="00FB3ADD" w:rsidRPr="003859B4">
        <w:rPr>
          <w:rFonts w:ascii="Calibri" w:hAnsi="Calibri"/>
          <w:sz w:val="22"/>
          <w:szCs w:val="22"/>
          <w:lang w:val="fr-FR"/>
        </w:rPr>
        <w:t>).</w:t>
      </w:r>
    </w:p>
    <w:p w:rsidR="00C862F0" w:rsidRPr="003859B4" w:rsidRDefault="00C862F0" w:rsidP="00C862F0">
      <w:pPr>
        <w:pStyle w:val="BodyText"/>
        <w:widowControl w:val="0"/>
        <w:spacing w:after="0"/>
        <w:ind w:left="426" w:right="178" w:hanging="426"/>
        <w:rPr>
          <w:rFonts w:ascii="Calibri" w:hAnsi="Calibri"/>
          <w:sz w:val="22"/>
          <w:szCs w:val="22"/>
          <w:lang w:val="fr-FR"/>
        </w:rPr>
      </w:pPr>
    </w:p>
    <w:p w:rsidR="004036E9" w:rsidRPr="003859B4" w:rsidRDefault="007B75C2" w:rsidP="006F7C16">
      <w:pPr>
        <w:pStyle w:val="BodyText"/>
        <w:widowControl w:val="0"/>
        <w:numPr>
          <w:ilvl w:val="0"/>
          <w:numId w:val="21"/>
        </w:numPr>
        <w:spacing w:after="0"/>
        <w:ind w:left="426" w:right="178" w:hanging="426"/>
        <w:rPr>
          <w:rFonts w:ascii="Calibri" w:hAnsi="Calibri"/>
          <w:color w:val="000000"/>
          <w:sz w:val="22"/>
          <w:szCs w:val="22"/>
          <w:lang w:val="fr-FR"/>
        </w:rPr>
      </w:pPr>
      <w:r w:rsidRPr="003859B4">
        <w:rPr>
          <w:rFonts w:ascii="Calibri" w:hAnsi="Calibri"/>
          <w:sz w:val="22"/>
          <w:szCs w:val="22"/>
          <w:lang w:val="fr-FR"/>
        </w:rPr>
        <w:t>La Résolution </w:t>
      </w:r>
      <w:r w:rsidR="004036E9" w:rsidRPr="003859B4">
        <w:rPr>
          <w:rFonts w:ascii="Calibri" w:hAnsi="Calibri"/>
          <w:sz w:val="22"/>
          <w:szCs w:val="22"/>
          <w:lang w:val="fr-FR"/>
        </w:rPr>
        <w:t xml:space="preserve">XII.4 </w:t>
      </w:r>
      <w:r w:rsidR="003859B4" w:rsidRPr="003859B4">
        <w:rPr>
          <w:rFonts w:ascii="Calibri" w:hAnsi="Calibri"/>
          <w:sz w:val="22"/>
          <w:szCs w:val="22"/>
          <w:lang w:val="fr-FR"/>
        </w:rPr>
        <w:t>contient</w:t>
      </w:r>
      <w:r w:rsidRPr="003859B4">
        <w:rPr>
          <w:rFonts w:ascii="Calibri" w:hAnsi="Calibri"/>
          <w:sz w:val="22"/>
          <w:szCs w:val="22"/>
          <w:lang w:val="fr-FR"/>
        </w:rPr>
        <w:t xml:space="preserve"> des textes révisés sur la composition, le rôle et les responsabilités du Comité permanent de la Convention de Ramsar et la liste annexée de Parties contractantes et de Parties non contractantes appartenant aux six groupes régionaux Ramsar. </w:t>
      </w:r>
    </w:p>
    <w:p w:rsidR="004036E9" w:rsidRPr="003859B4" w:rsidRDefault="004036E9" w:rsidP="006F7C16">
      <w:pPr>
        <w:ind w:left="426" w:hanging="426"/>
        <w:rPr>
          <w:rFonts w:ascii="Calibri" w:hAnsi="Calibri"/>
          <w:color w:val="000000"/>
          <w:sz w:val="22"/>
          <w:szCs w:val="22"/>
          <w:lang w:val="fr-FR"/>
        </w:rPr>
      </w:pPr>
    </w:p>
    <w:p w:rsidR="004036E9" w:rsidRPr="003859B4" w:rsidRDefault="000D1EE6" w:rsidP="006F7C16">
      <w:pPr>
        <w:pStyle w:val="BodyText"/>
        <w:widowControl w:val="0"/>
        <w:numPr>
          <w:ilvl w:val="0"/>
          <w:numId w:val="21"/>
        </w:numPr>
        <w:spacing w:after="0"/>
        <w:ind w:left="426" w:right="178" w:hanging="426"/>
        <w:rPr>
          <w:rFonts w:ascii="Calibri" w:hAnsi="Calibri"/>
          <w:sz w:val="22"/>
          <w:szCs w:val="22"/>
          <w:lang w:val="fr-FR"/>
        </w:rPr>
      </w:pPr>
      <w:r w:rsidRPr="003859B4">
        <w:rPr>
          <w:rFonts w:ascii="Calibri" w:hAnsi="Calibri"/>
          <w:sz w:val="22"/>
          <w:szCs w:val="22"/>
          <w:lang w:val="fr-FR"/>
        </w:rPr>
        <w:t>L’a</w:t>
      </w:r>
      <w:r w:rsidR="004036E9" w:rsidRPr="003859B4">
        <w:rPr>
          <w:rFonts w:ascii="Calibri" w:hAnsi="Calibri"/>
          <w:sz w:val="22"/>
          <w:szCs w:val="22"/>
          <w:lang w:val="fr-FR"/>
        </w:rPr>
        <w:t>nnex</w:t>
      </w:r>
      <w:r w:rsidRPr="003859B4">
        <w:rPr>
          <w:rFonts w:ascii="Calibri" w:hAnsi="Calibri"/>
          <w:sz w:val="22"/>
          <w:szCs w:val="22"/>
          <w:lang w:val="fr-FR"/>
        </w:rPr>
        <w:t>e </w:t>
      </w:r>
      <w:r w:rsidR="004036E9" w:rsidRPr="003859B4">
        <w:rPr>
          <w:rFonts w:ascii="Calibri" w:hAnsi="Calibri"/>
          <w:sz w:val="22"/>
          <w:szCs w:val="22"/>
          <w:lang w:val="fr-FR"/>
        </w:rPr>
        <w:t xml:space="preserve">4 </w:t>
      </w:r>
      <w:r w:rsidRPr="003859B4">
        <w:rPr>
          <w:rFonts w:ascii="Calibri" w:hAnsi="Calibri"/>
          <w:sz w:val="22"/>
          <w:szCs w:val="22"/>
          <w:lang w:val="fr-FR"/>
        </w:rPr>
        <w:t>de la</w:t>
      </w:r>
      <w:r w:rsidR="004036E9" w:rsidRPr="003859B4">
        <w:rPr>
          <w:rFonts w:ascii="Calibri" w:hAnsi="Calibri"/>
          <w:sz w:val="22"/>
          <w:szCs w:val="22"/>
          <w:lang w:val="fr-FR"/>
        </w:rPr>
        <w:t xml:space="preserve"> </w:t>
      </w:r>
      <w:r w:rsidRPr="003859B4">
        <w:rPr>
          <w:rFonts w:ascii="Calibri" w:hAnsi="Calibri"/>
          <w:sz w:val="22"/>
          <w:szCs w:val="22"/>
          <w:lang w:val="fr-FR"/>
        </w:rPr>
        <w:t>Résolution </w:t>
      </w:r>
      <w:r w:rsidR="004036E9" w:rsidRPr="003859B4">
        <w:rPr>
          <w:rFonts w:ascii="Calibri" w:hAnsi="Calibri"/>
          <w:sz w:val="22"/>
          <w:szCs w:val="22"/>
          <w:lang w:val="fr-FR"/>
        </w:rPr>
        <w:t xml:space="preserve">XII.4 </w:t>
      </w:r>
      <w:r w:rsidRPr="003859B4">
        <w:rPr>
          <w:rFonts w:ascii="Calibri" w:hAnsi="Calibri"/>
          <w:sz w:val="22"/>
          <w:szCs w:val="22"/>
          <w:lang w:val="fr-FR"/>
        </w:rPr>
        <w:t xml:space="preserve">contient également un programme indicatif pour les réunions intersessions du Comité permanent après 2015, comme suit </w:t>
      </w:r>
      <w:r w:rsidR="004036E9" w:rsidRPr="003859B4">
        <w:rPr>
          <w:rFonts w:ascii="Calibri" w:hAnsi="Calibri"/>
          <w:sz w:val="22"/>
          <w:szCs w:val="22"/>
          <w:lang w:val="fr-FR"/>
        </w:rPr>
        <w:t>(</w:t>
      </w:r>
      <w:r w:rsidR="00875A4F" w:rsidRPr="003859B4">
        <w:rPr>
          <w:rFonts w:ascii="Calibri" w:hAnsi="Calibri"/>
          <w:sz w:val="22"/>
          <w:szCs w:val="22"/>
          <w:lang w:val="fr-FR"/>
        </w:rPr>
        <w:t>d’après des</w:t>
      </w:r>
      <w:r w:rsidR="004036E9" w:rsidRPr="003859B4">
        <w:rPr>
          <w:rFonts w:ascii="Calibri" w:hAnsi="Calibri"/>
          <w:sz w:val="22"/>
          <w:szCs w:val="22"/>
          <w:lang w:val="fr-FR"/>
        </w:rPr>
        <w:t xml:space="preserve"> </w:t>
      </w:r>
      <w:r w:rsidR="00875A4F" w:rsidRPr="003859B4">
        <w:rPr>
          <w:rFonts w:asciiTheme="minorHAnsi" w:hAnsiTheme="minorHAnsi"/>
          <w:sz w:val="22"/>
          <w:szCs w:val="22"/>
          <w:lang w:val="fr-FR"/>
        </w:rPr>
        <w:t>cycles futurs de trois années civiles avec des sessions de la Conférence des Parties en mai/juin de la dernière année de chaque cycle</w:t>
      </w:r>
      <w:r w:rsidR="004036E9" w:rsidRPr="003859B4">
        <w:rPr>
          <w:rFonts w:ascii="Calibri" w:hAnsi="Calibri"/>
          <w:sz w:val="22"/>
          <w:szCs w:val="22"/>
          <w:lang w:val="fr-FR"/>
        </w:rPr>
        <w:t>)</w:t>
      </w:r>
      <w:r w:rsidRPr="003859B4">
        <w:rPr>
          <w:rFonts w:ascii="Calibri" w:hAnsi="Calibri"/>
          <w:sz w:val="22"/>
          <w:szCs w:val="22"/>
          <w:lang w:val="fr-FR"/>
        </w:rPr>
        <w:t> </w:t>
      </w:r>
      <w:r w:rsidR="004036E9" w:rsidRPr="003859B4">
        <w:rPr>
          <w:rFonts w:ascii="Calibri" w:hAnsi="Calibri"/>
          <w:sz w:val="22"/>
          <w:szCs w:val="22"/>
          <w:lang w:val="fr-FR"/>
        </w:rPr>
        <w:t>:</w:t>
      </w:r>
    </w:p>
    <w:p w:rsidR="003859B4" w:rsidRPr="003859B4" w:rsidRDefault="003859B4" w:rsidP="00875A4F">
      <w:pPr>
        <w:pStyle w:val="BodyText"/>
        <w:widowControl w:val="0"/>
        <w:spacing w:after="0"/>
        <w:ind w:left="426" w:right="178"/>
        <w:rPr>
          <w:rFonts w:ascii="Calibri" w:hAnsi="Calibri"/>
          <w:sz w:val="22"/>
          <w:szCs w:val="22"/>
          <w:lang w:val="fr-FR"/>
        </w:rPr>
      </w:pP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03"/>
        <w:gridCol w:w="3242"/>
        <w:gridCol w:w="3402"/>
      </w:tblGrid>
      <w:tr w:rsidR="00875A4F" w:rsidRPr="003859B4" w:rsidTr="00B350C1">
        <w:tc>
          <w:tcPr>
            <w:tcW w:w="2803" w:type="dxa"/>
          </w:tcPr>
          <w:p w:rsidR="00875A4F" w:rsidRPr="003859B4" w:rsidRDefault="00875A4F" w:rsidP="000367D2">
            <w:pPr>
              <w:pStyle w:val="ListParagraph"/>
              <w:spacing w:after="0" w:line="240" w:lineRule="auto"/>
              <w:ind w:left="0"/>
              <w:contextualSpacing w:val="0"/>
              <w:jc w:val="center"/>
              <w:rPr>
                <w:rFonts w:asciiTheme="minorHAnsi" w:hAnsiTheme="minorHAnsi"/>
                <w:b/>
                <w:lang w:val="fr-FR"/>
              </w:rPr>
            </w:pPr>
          </w:p>
        </w:tc>
        <w:tc>
          <w:tcPr>
            <w:tcW w:w="3242" w:type="dxa"/>
          </w:tcPr>
          <w:p w:rsidR="00875A4F" w:rsidRPr="003859B4" w:rsidRDefault="00875A4F" w:rsidP="000367D2">
            <w:pPr>
              <w:pStyle w:val="ListParagraph"/>
              <w:spacing w:after="0" w:line="240" w:lineRule="auto"/>
              <w:ind w:left="0"/>
              <w:contextualSpacing w:val="0"/>
              <w:jc w:val="center"/>
              <w:rPr>
                <w:rFonts w:asciiTheme="minorHAnsi" w:hAnsiTheme="minorHAnsi"/>
                <w:b/>
                <w:lang w:val="fr-FR"/>
              </w:rPr>
            </w:pPr>
            <w:r w:rsidRPr="003859B4">
              <w:rPr>
                <w:rFonts w:asciiTheme="minorHAnsi" w:hAnsiTheme="minorHAnsi"/>
                <w:b/>
                <w:lang w:val="fr-FR"/>
              </w:rPr>
              <w:t>Délais généraux, après 2015</w:t>
            </w:r>
          </w:p>
        </w:tc>
        <w:tc>
          <w:tcPr>
            <w:tcW w:w="3402" w:type="dxa"/>
          </w:tcPr>
          <w:p w:rsidR="00875A4F" w:rsidRPr="003859B4" w:rsidRDefault="00875A4F" w:rsidP="000367D2">
            <w:pPr>
              <w:pStyle w:val="ListParagraph"/>
              <w:spacing w:after="0" w:line="240" w:lineRule="auto"/>
              <w:ind w:left="0"/>
              <w:contextualSpacing w:val="0"/>
              <w:jc w:val="center"/>
              <w:rPr>
                <w:rFonts w:asciiTheme="minorHAnsi" w:hAnsiTheme="minorHAnsi"/>
                <w:b/>
                <w:lang w:val="fr-FR"/>
              </w:rPr>
            </w:pPr>
            <w:r w:rsidRPr="003859B4">
              <w:rPr>
                <w:rFonts w:asciiTheme="minorHAnsi" w:hAnsiTheme="minorHAnsi"/>
                <w:b/>
                <w:lang w:val="fr-FR"/>
              </w:rPr>
              <w:t xml:space="preserve">Période triennale 2016-2018 </w:t>
            </w:r>
          </w:p>
        </w:tc>
      </w:tr>
      <w:tr w:rsidR="00875A4F" w:rsidRPr="003859B4" w:rsidTr="00B350C1">
        <w:trPr>
          <w:trHeight w:val="482"/>
        </w:trPr>
        <w:tc>
          <w:tcPr>
            <w:tcW w:w="2803" w:type="dxa"/>
          </w:tcPr>
          <w:p w:rsidR="00875A4F" w:rsidRPr="003859B4" w:rsidRDefault="00875A4F" w:rsidP="000367D2">
            <w:pPr>
              <w:pStyle w:val="ListParagraph"/>
              <w:spacing w:after="0" w:line="240" w:lineRule="auto"/>
              <w:ind w:left="0"/>
              <w:contextualSpacing w:val="0"/>
              <w:rPr>
                <w:rFonts w:asciiTheme="minorHAnsi" w:hAnsiTheme="minorHAnsi"/>
                <w:b/>
                <w:lang w:val="fr-FR"/>
              </w:rPr>
            </w:pPr>
            <w:r w:rsidRPr="003859B4">
              <w:rPr>
                <w:rFonts w:asciiTheme="minorHAnsi" w:hAnsiTheme="minorHAnsi"/>
                <w:b/>
                <w:lang w:val="fr-FR"/>
              </w:rPr>
              <w:t>Première réunion plénière</w:t>
            </w:r>
          </w:p>
        </w:tc>
        <w:tc>
          <w:tcPr>
            <w:tcW w:w="3242" w:type="dxa"/>
          </w:tcPr>
          <w:p w:rsidR="00875A4F" w:rsidRPr="003859B4" w:rsidRDefault="00875A4F" w:rsidP="000367D2">
            <w:pPr>
              <w:pStyle w:val="ListParagraph"/>
              <w:spacing w:after="0" w:line="240" w:lineRule="auto"/>
              <w:ind w:left="0"/>
              <w:contextualSpacing w:val="0"/>
              <w:rPr>
                <w:rFonts w:asciiTheme="minorHAnsi" w:hAnsiTheme="minorHAnsi"/>
                <w:lang w:val="fr-FR"/>
              </w:rPr>
            </w:pPr>
            <w:r w:rsidRPr="003859B4">
              <w:rPr>
                <w:rFonts w:asciiTheme="minorHAnsi" w:hAnsiTheme="minorHAnsi"/>
                <w:lang w:val="fr-FR"/>
              </w:rPr>
              <w:t>6 mois après la COP</w:t>
            </w:r>
          </w:p>
        </w:tc>
        <w:tc>
          <w:tcPr>
            <w:tcW w:w="3402" w:type="dxa"/>
          </w:tcPr>
          <w:p w:rsidR="00875A4F" w:rsidRPr="003859B4" w:rsidRDefault="00875A4F" w:rsidP="000367D2">
            <w:pPr>
              <w:pStyle w:val="ListParagraph"/>
              <w:spacing w:after="0" w:line="240" w:lineRule="auto"/>
              <w:ind w:left="0"/>
              <w:contextualSpacing w:val="0"/>
              <w:rPr>
                <w:rFonts w:asciiTheme="minorHAnsi" w:hAnsiTheme="minorHAnsi"/>
                <w:lang w:val="fr-FR"/>
              </w:rPr>
            </w:pPr>
            <w:r w:rsidRPr="003859B4">
              <w:rPr>
                <w:rFonts w:asciiTheme="minorHAnsi" w:hAnsiTheme="minorHAnsi"/>
                <w:b/>
                <w:lang w:val="fr-FR"/>
              </w:rPr>
              <w:t xml:space="preserve">SC51 </w:t>
            </w:r>
            <w:r w:rsidRPr="003859B4">
              <w:rPr>
                <w:rFonts w:asciiTheme="minorHAnsi" w:hAnsiTheme="minorHAnsi"/>
                <w:lang w:val="fr-FR"/>
              </w:rPr>
              <w:t>–</w:t>
            </w:r>
            <w:r w:rsidRPr="003859B4">
              <w:rPr>
                <w:rFonts w:asciiTheme="minorHAnsi" w:hAnsiTheme="minorHAnsi"/>
                <w:b/>
                <w:lang w:val="fr-FR"/>
              </w:rPr>
              <w:t xml:space="preserve"> </w:t>
            </w:r>
            <w:r w:rsidRPr="003859B4">
              <w:rPr>
                <w:rFonts w:asciiTheme="minorHAnsi" w:hAnsiTheme="minorHAnsi"/>
                <w:lang w:val="fr-FR"/>
              </w:rPr>
              <w:t>novembre-décembre 2015</w:t>
            </w:r>
          </w:p>
        </w:tc>
      </w:tr>
      <w:tr w:rsidR="00875A4F" w:rsidRPr="003859B4" w:rsidTr="00B350C1">
        <w:trPr>
          <w:trHeight w:val="482"/>
        </w:trPr>
        <w:tc>
          <w:tcPr>
            <w:tcW w:w="2803" w:type="dxa"/>
          </w:tcPr>
          <w:p w:rsidR="00875A4F" w:rsidRPr="003859B4" w:rsidRDefault="00875A4F" w:rsidP="000367D2">
            <w:pPr>
              <w:pStyle w:val="ListParagraph"/>
              <w:spacing w:after="0" w:line="240" w:lineRule="auto"/>
              <w:ind w:left="0"/>
              <w:contextualSpacing w:val="0"/>
              <w:rPr>
                <w:rFonts w:asciiTheme="minorHAnsi" w:hAnsiTheme="minorHAnsi"/>
                <w:b/>
                <w:lang w:val="fr-FR"/>
              </w:rPr>
            </w:pPr>
            <w:r w:rsidRPr="003859B4">
              <w:rPr>
                <w:rFonts w:asciiTheme="minorHAnsi" w:hAnsiTheme="minorHAnsi"/>
                <w:b/>
                <w:lang w:val="fr-FR"/>
              </w:rPr>
              <w:t>Deuxième réunion plénière</w:t>
            </w:r>
          </w:p>
        </w:tc>
        <w:tc>
          <w:tcPr>
            <w:tcW w:w="3242" w:type="dxa"/>
          </w:tcPr>
          <w:p w:rsidR="00875A4F" w:rsidRPr="003859B4" w:rsidRDefault="00875A4F" w:rsidP="000367D2">
            <w:pPr>
              <w:pStyle w:val="ListParagraph"/>
              <w:spacing w:after="0" w:line="240" w:lineRule="auto"/>
              <w:ind w:left="0"/>
              <w:contextualSpacing w:val="0"/>
              <w:rPr>
                <w:rFonts w:asciiTheme="minorHAnsi" w:hAnsiTheme="minorHAnsi"/>
                <w:lang w:val="fr-FR"/>
              </w:rPr>
            </w:pPr>
            <w:r w:rsidRPr="003859B4">
              <w:rPr>
                <w:rFonts w:asciiTheme="minorHAnsi" w:hAnsiTheme="minorHAnsi"/>
                <w:lang w:val="fr-FR"/>
              </w:rPr>
              <w:t>20 mois après la COP</w:t>
            </w:r>
          </w:p>
        </w:tc>
        <w:tc>
          <w:tcPr>
            <w:tcW w:w="3402" w:type="dxa"/>
          </w:tcPr>
          <w:p w:rsidR="00875A4F" w:rsidRPr="003859B4" w:rsidRDefault="00875A4F" w:rsidP="000367D2">
            <w:pPr>
              <w:pStyle w:val="ListParagraph"/>
              <w:spacing w:after="0" w:line="240" w:lineRule="auto"/>
              <w:ind w:left="0"/>
              <w:contextualSpacing w:val="0"/>
              <w:rPr>
                <w:rFonts w:asciiTheme="minorHAnsi" w:hAnsiTheme="minorHAnsi"/>
                <w:lang w:val="fr-FR"/>
              </w:rPr>
            </w:pPr>
            <w:r w:rsidRPr="003859B4">
              <w:rPr>
                <w:rFonts w:asciiTheme="minorHAnsi" w:hAnsiTheme="minorHAnsi"/>
                <w:b/>
                <w:lang w:val="fr-FR"/>
              </w:rPr>
              <w:t xml:space="preserve">SC52 </w:t>
            </w:r>
            <w:r w:rsidRPr="003859B4">
              <w:rPr>
                <w:rFonts w:asciiTheme="minorHAnsi" w:hAnsiTheme="minorHAnsi"/>
                <w:lang w:val="fr-FR"/>
              </w:rPr>
              <w:t>– février 2017</w:t>
            </w:r>
          </w:p>
        </w:tc>
      </w:tr>
      <w:tr w:rsidR="00875A4F" w:rsidRPr="00B350C1" w:rsidTr="00B350C1">
        <w:trPr>
          <w:trHeight w:val="482"/>
        </w:trPr>
        <w:tc>
          <w:tcPr>
            <w:tcW w:w="2803" w:type="dxa"/>
          </w:tcPr>
          <w:p w:rsidR="00875A4F" w:rsidRPr="003859B4" w:rsidRDefault="00875A4F" w:rsidP="000D1EE6">
            <w:pPr>
              <w:pStyle w:val="ListParagraph"/>
              <w:spacing w:after="0" w:line="240" w:lineRule="auto"/>
              <w:ind w:left="0"/>
              <w:contextualSpacing w:val="0"/>
              <w:rPr>
                <w:rFonts w:asciiTheme="minorHAnsi" w:hAnsiTheme="minorHAnsi"/>
                <w:b/>
                <w:lang w:val="fr-FR"/>
              </w:rPr>
            </w:pPr>
            <w:r w:rsidRPr="003859B4">
              <w:rPr>
                <w:rFonts w:asciiTheme="minorHAnsi" w:hAnsiTheme="minorHAnsi"/>
                <w:b/>
                <w:lang w:val="fr-FR"/>
              </w:rPr>
              <w:t xml:space="preserve">Sous-groupe sur la COP </w:t>
            </w:r>
            <w:r w:rsidRPr="003859B4">
              <w:rPr>
                <w:rFonts w:asciiTheme="minorHAnsi" w:hAnsiTheme="minorHAnsi"/>
                <w:lang w:val="fr-FR"/>
              </w:rPr>
              <w:t>(si</w:t>
            </w:r>
            <w:r w:rsidR="000D1EE6" w:rsidRPr="003859B4">
              <w:rPr>
                <w:rFonts w:asciiTheme="minorHAnsi" w:hAnsiTheme="minorHAnsi"/>
                <w:lang w:val="fr-FR"/>
              </w:rPr>
              <w:t> </w:t>
            </w:r>
            <w:r w:rsidRPr="003859B4">
              <w:rPr>
                <w:rFonts w:asciiTheme="minorHAnsi" w:hAnsiTheme="minorHAnsi"/>
                <w:lang w:val="fr-FR"/>
              </w:rPr>
              <w:t>nécessaire)</w:t>
            </w:r>
          </w:p>
        </w:tc>
        <w:tc>
          <w:tcPr>
            <w:tcW w:w="3242" w:type="dxa"/>
          </w:tcPr>
          <w:p w:rsidR="00875A4F" w:rsidRPr="003859B4" w:rsidRDefault="00875A4F" w:rsidP="000367D2">
            <w:pPr>
              <w:pStyle w:val="ListParagraph"/>
              <w:spacing w:after="0" w:line="240" w:lineRule="auto"/>
              <w:ind w:left="0"/>
              <w:contextualSpacing w:val="0"/>
              <w:rPr>
                <w:rFonts w:asciiTheme="minorHAnsi" w:hAnsiTheme="minorHAnsi"/>
                <w:lang w:val="fr-FR"/>
              </w:rPr>
            </w:pPr>
            <w:r w:rsidRPr="003859B4">
              <w:rPr>
                <w:rFonts w:asciiTheme="minorHAnsi" w:hAnsiTheme="minorHAnsi"/>
                <w:lang w:val="fr-FR"/>
              </w:rPr>
              <w:t>1 an avant la COP</w:t>
            </w:r>
          </w:p>
        </w:tc>
        <w:tc>
          <w:tcPr>
            <w:tcW w:w="3402" w:type="dxa"/>
          </w:tcPr>
          <w:p w:rsidR="00875A4F" w:rsidRPr="003859B4" w:rsidRDefault="00875A4F" w:rsidP="004454D6">
            <w:pPr>
              <w:pStyle w:val="ListParagraph"/>
              <w:spacing w:after="0" w:line="240" w:lineRule="auto"/>
              <w:ind w:left="0"/>
              <w:contextualSpacing w:val="0"/>
              <w:rPr>
                <w:rFonts w:asciiTheme="minorHAnsi" w:hAnsiTheme="minorHAnsi"/>
                <w:lang w:val="fr-FR"/>
              </w:rPr>
            </w:pPr>
            <w:r w:rsidRPr="003859B4">
              <w:rPr>
                <w:rFonts w:asciiTheme="minorHAnsi" w:hAnsiTheme="minorHAnsi"/>
                <w:b/>
                <w:lang w:val="fr-FR"/>
              </w:rPr>
              <w:t xml:space="preserve">Sous-groupe sur la COP13 </w:t>
            </w:r>
            <w:r w:rsidRPr="003859B4">
              <w:rPr>
                <w:rFonts w:asciiTheme="minorHAnsi" w:hAnsiTheme="minorHAnsi"/>
                <w:lang w:val="fr-FR"/>
              </w:rPr>
              <w:t>(si</w:t>
            </w:r>
            <w:r w:rsidR="004454D6" w:rsidRPr="003859B4">
              <w:rPr>
                <w:rFonts w:asciiTheme="minorHAnsi" w:hAnsiTheme="minorHAnsi"/>
                <w:lang w:val="fr-FR"/>
              </w:rPr>
              <w:t> </w:t>
            </w:r>
            <w:r w:rsidRPr="003859B4">
              <w:rPr>
                <w:rFonts w:asciiTheme="minorHAnsi" w:hAnsiTheme="minorHAnsi"/>
                <w:lang w:val="fr-FR"/>
              </w:rPr>
              <w:t>nécessaire)</w:t>
            </w:r>
            <w:r w:rsidRPr="003859B4">
              <w:rPr>
                <w:rFonts w:asciiTheme="minorHAnsi" w:hAnsiTheme="minorHAnsi"/>
                <w:b/>
                <w:lang w:val="fr-FR"/>
              </w:rPr>
              <w:t xml:space="preserve"> </w:t>
            </w:r>
            <w:r w:rsidRPr="003859B4">
              <w:rPr>
                <w:rFonts w:asciiTheme="minorHAnsi" w:hAnsiTheme="minorHAnsi"/>
                <w:lang w:val="fr-FR"/>
              </w:rPr>
              <w:t>–</w:t>
            </w:r>
            <w:r w:rsidRPr="003859B4">
              <w:rPr>
                <w:rFonts w:asciiTheme="minorHAnsi" w:hAnsiTheme="minorHAnsi"/>
                <w:b/>
                <w:lang w:val="fr-FR"/>
              </w:rPr>
              <w:t xml:space="preserve"> </w:t>
            </w:r>
            <w:r w:rsidRPr="003859B4">
              <w:rPr>
                <w:rFonts w:asciiTheme="minorHAnsi" w:hAnsiTheme="minorHAnsi"/>
                <w:lang w:val="fr-FR"/>
              </w:rPr>
              <w:t>juin 2017</w:t>
            </w:r>
          </w:p>
        </w:tc>
      </w:tr>
      <w:tr w:rsidR="00875A4F" w:rsidRPr="003859B4" w:rsidTr="00B350C1">
        <w:trPr>
          <w:trHeight w:val="482"/>
        </w:trPr>
        <w:tc>
          <w:tcPr>
            <w:tcW w:w="2803" w:type="dxa"/>
          </w:tcPr>
          <w:p w:rsidR="00875A4F" w:rsidRPr="003859B4" w:rsidRDefault="00875A4F" w:rsidP="000367D2">
            <w:pPr>
              <w:pStyle w:val="ListParagraph"/>
              <w:spacing w:after="0" w:line="240" w:lineRule="auto"/>
              <w:ind w:left="0"/>
              <w:contextualSpacing w:val="0"/>
              <w:rPr>
                <w:rFonts w:asciiTheme="minorHAnsi" w:hAnsiTheme="minorHAnsi"/>
                <w:b/>
                <w:lang w:val="fr-FR"/>
              </w:rPr>
            </w:pPr>
            <w:r w:rsidRPr="003859B4">
              <w:rPr>
                <w:rFonts w:asciiTheme="minorHAnsi" w:hAnsiTheme="minorHAnsi"/>
                <w:b/>
                <w:lang w:val="fr-FR"/>
              </w:rPr>
              <w:lastRenderedPageBreak/>
              <w:t>Troisième réunion plénière</w:t>
            </w:r>
          </w:p>
        </w:tc>
        <w:tc>
          <w:tcPr>
            <w:tcW w:w="3242" w:type="dxa"/>
          </w:tcPr>
          <w:p w:rsidR="00875A4F" w:rsidRPr="003859B4" w:rsidRDefault="00875A4F" w:rsidP="000367D2">
            <w:pPr>
              <w:pStyle w:val="ListParagraph"/>
              <w:spacing w:after="0" w:line="240" w:lineRule="auto"/>
              <w:ind w:left="0"/>
              <w:contextualSpacing w:val="0"/>
              <w:rPr>
                <w:rFonts w:asciiTheme="minorHAnsi" w:hAnsiTheme="minorHAnsi"/>
                <w:lang w:val="fr-FR"/>
              </w:rPr>
            </w:pPr>
            <w:r w:rsidRPr="003859B4">
              <w:rPr>
                <w:rFonts w:asciiTheme="minorHAnsi" w:hAnsiTheme="minorHAnsi"/>
                <w:lang w:val="fr-FR"/>
              </w:rPr>
              <w:t>5 mois avant la COP</w:t>
            </w:r>
          </w:p>
        </w:tc>
        <w:tc>
          <w:tcPr>
            <w:tcW w:w="3402" w:type="dxa"/>
          </w:tcPr>
          <w:p w:rsidR="00875A4F" w:rsidRPr="003859B4" w:rsidRDefault="00875A4F" w:rsidP="000367D2">
            <w:pPr>
              <w:pStyle w:val="ListParagraph"/>
              <w:spacing w:after="0" w:line="240" w:lineRule="auto"/>
              <w:ind w:left="0"/>
              <w:contextualSpacing w:val="0"/>
              <w:rPr>
                <w:rFonts w:asciiTheme="minorHAnsi" w:hAnsiTheme="minorHAnsi"/>
                <w:lang w:val="fr-FR"/>
              </w:rPr>
            </w:pPr>
            <w:r w:rsidRPr="003859B4">
              <w:rPr>
                <w:rFonts w:asciiTheme="minorHAnsi" w:hAnsiTheme="minorHAnsi"/>
                <w:b/>
                <w:lang w:val="fr-FR"/>
              </w:rPr>
              <w:t xml:space="preserve">SC53 </w:t>
            </w:r>
            <w:r w:rsidRPr="003859B4">
              <w:rPr>
                <w:rFonts w:asciiTheme="minorHAnsi" w:hAnsiTheme="minorHAnsi"/>
                <w:lang w:val="fr-FR"/>
              </w:rPr>
              <w:t>– janvier 2018</w:t>
            </w:r>
          </w:p>
        </w:tc>
      </w:tr>
      <w:tr w:rsidR="00875A4F" w:rsidRPr="003859B4" w:rsidTr="00B350C1">
        <w:trPr>
          <w:trHeight w:val="482"/>
        </w:trPr>
        <w:tc>
          <w:tcPr>
            <w:tcW w:w="2803" w:type="dxa"/>
          </w:tcPr>
          <w:p w:rsidR="00875A4F" w:rsidRPr="003859B4" w:rsidRDefault="00875A4F" w:rsidP="000367D2">
            <w:pPr>
              <w:pStyle w:val="ListParagraph"/>
              <w:spacing w:after="0" w:line="240" w:lineRule="auto"/>
              <w:ind w:left="0"/>
              <w:contextualSpacing w:val="0"/>
              <w:rPr>
                <w:rFonts w:asciiTheme="minorHAnsi" w:hAnsiTheme="minorHAnsi"/>
                <w:b/>
                <w:lang w:val="fr-FR"/>
              </w:rPr>
            </w:pPr>
            <w:r w:rsidRPr="003859B4">
              <w:rPr>
                <w:rFonts w:asciiTheme="minorHAnsi" w:hAnsiTheme="minorHAnsi"/>
                <w:b/>
                <w:lang w:val="fr-FR"/>
              </w:rPr>
              <w:t xml:space="preserve">Réunion pré-COP </w:t>
            </w:r>
          </w:p>
        </w:tc>
        <w:tc>
          <w:tcPr>
            <w:tcW w:w="3242" w:type="dxa"/>
          </w:tcPr>
          <w:p w:rsidR="00875A4F" w:rsidRPr="003859B4" w:rsidRDefault="00875A4F" w:rsidP="000367D2">
            <w:pPr>
              <w:pStyle w:val="ListParagraph"/>
              <w:spacing w:after="0" w:line="240" w:lineRule="auto"/>
              <w:ind w:left="0"/>
              <w:contextualSpacing w:val="0"/>
              <w:rPr>
                <w:rFonts w:asciiTheme="minorHAnsi" w:hAnsiTheme="minorHAnsi"/>
                <w:b/>
                <w:lang w:val="fr-FR"/>
              </w:rPr>
            </w:pPr>
            <w:r w:rsidRPr="003859B4">
              <w:rPr>
                <w:rFonts w:asciiTheme="minorHAnsi" w:hAnsiTheme="minorHAnsi"/>
                <w:lang w:val="fr-FR"/>
              </w:rPr>
              <w:t xml:space="preserve">Immédiatement avant la COP, sur les lieux de la COP </w:t>
            </w:r>
          </w:p>
        </w:tc>
        <w:tc>
          <w:tcPr>
            <w:tcW w:w="3402" w:type="dxa"/>
          </w:tcPr>
          <w:p w:rsidR="00875A4F" w:rsidRPr="003859B4" w:rsidRDefault="00875A4F" w:rsidP="000367D2">
            <w:pPr>
              <w:pStyle w:val="ListParagraph"/>
              <w:spacing w:after="0" w:line="240" w:lineRule="auto"/>
              <w:ind w:left="0"/>
              <w:contextualSpacing w:val="0"/>
              <w:rPr>
                <w:rFonts w:asciiTheme="minorHAnsi" w:hAnsiTheme="minorHAnsi"/>
                <w:lang w:val="fr-FR"/>
              </w:rPr>
            </w:pPr>
            <w:r w:rsidRPr="003859B4">
              <w:rPr>
                <w:rFonts w:asciiTheme="minorHAnsi" w:hAnsiTheme="minorHAnsi"/>
                <w:b/>
                <w:lang w:val="fr-FR"/>
              </w:rPr>
              <w:t xml:space="preserve">SC54 </w:t>
            </w:r>
            <w:r w:rsidRPr="003859B4">
              <w:rPr>
                <w:rFonts w:asciiTheme="minorHAnsi" w:hAnsiTheme="minorHAnsi"/>
                <w:lang w:val="fr-FR"/>
              </w:rPr>
              <w:t>–</w:t>
            </w:r>
            <w:r w:rsidRPr="003859B4">
              <w:rPr>
                <w:rFonts w:asciiTheme="minorHAnsi" w:hAnsiTheme="minorHAnsi"/>
                <w:b/>
                <w:lang w:val="fr-FR"/>
              </w:rPr>
              <w:t xml:space="preserve"> </w:t>
            </w:r>
            <w:r w:rsidRPr="003859B4">
              <w:rPr>
                <w:rFonts w:asciiTheme="minorHAnsi" w:hAnsiTheme="minorHAnsi"/>
                <w:lang w:val="fr-FR"/>
              </w:rPr>
              <w:t>juin 2018</w:t>
            </w:r>
          </w:p>
        </w:tc>
      </w:tr>
    </w:tbl>
    <w:p w:rsidR="003859B4" w:rsidRPr="003859B4" w:rsidRDefault="003859B4" w:rsidP="003859B4">
      <w:pPr>
        <w:pStyle w:val="ListParagraph"/>
        <w:spacing w:after="0" w:line="240" w:lineRule="auto"/>
        <w:ind w:left="426"/>
        <w:rPr>
          <w:rFonts w:asciiTheme="minorHAnsi" w:hAnsiTheme="minorHAnsi"/>
          <w:lang w:val="fr-FR"/>
        </w:rPr>
      </w:pPr>
    </w:p>
    <w:p w:rsidR="004036E9" w:rsidRPr="003859B4" w:rsidRDefault="003859B4" w:rsidP="00854BB4">
      <w:pPr>
        <w:pStyle w:val="ListParagraph"/>
        <w:numPr>
          <w:ilvl w:val="0"/>
          <w:numId w:val="21"/>
        </w:numPr>
        <w:spacing w:after="0" w:line="240" w:lineRule="auto"/>
        <w:ind w:left="426" w:hanging="426"/>
        <w:rPr>
          <w:rFonts w:asciiTheme="minorHAnsi" w:hAnsiTheme="minorHAnsi"/>
          <w:lang w:val="fr-FR"/>
        </w:rPr>
      </w:pPr>
      <w:r w:rsidRPr="003859B4">
        <w:rPr>
          <w:lang w:val="fr-FR"/>
        </w:rPr>
        <w:t xml:space="preserve">Parmi les autres résolutions importantes pour les travaux du Comité permanent, il y a la </w:t>
      </w:r>
      <w:r w:rsidR="004454D6" w:rsidRPr="003859B4">
        <w:rPr>
          <w:lang w:val="fr-FR"/>
        </w:rPr>
        <w:t>Résolution </w:t>
      </w:r>
      <w:r w:rsidR="004036E9" w:rsidRPr="003859B4">
        <w:rPr>
          <w:lang w:val="fr-FR"/>
        </w:rPr>
        <w:t>IX.24 (2005)</w:t>
      </w:r>
      <w:r w:rsidR="004454D6" w:rsidRPr="003859B4">
        <w:rPr>
          <w:lang w:val="fr-FR"/>
        </w:rPr>
        <w:t xml:space="preserve"> qui établit un Groupe de travail sur la gestion faisant rapport au Comité permanent et à la Conférence des Parties; et la Résolution </w:t>
      </w:r>
      <w:r w:rsidR="004036E9" w:rsidRPr="003859B4">
        <w:rPr>
          <w:lang w:val="fr-FR"/>
        </w:rPr>
        <w:t>X.4 (2008)</w:t>
      </w:r>
      <w:r w:rsidR="004454D6" w:rsidRPr="003859B4">
        <w:rPr>
          <w:lang w:val="fr-FR"/>
        </w:rPr>
        <w:t xml:space="preserve"> qui établit un Comité de transition du Groupe de travail sur la gestion. Dans les Résolutions </w:t>
      </w:r>
      <w:r w:rsidR="004036E9" w:rsidRPr="003859B4">
        <w:rPr>
          <w:lang w:val="fr-FR"/>
        </w:rPr>
        <w:t xml:space="preserve">XI.19 </w:t>
      </w:r>
      <w:r w:rsidR="004454D6" w:rsidRPr="003859B4">
        <w:rPr>
          <w:lang w:val="fr-FR"/>
        </w:rPr>
        <w:t>et</w:t>
      </w:r>
      <w:r w:rsidR="004036E9" w:rsidRPr="003859B4">
        <w:rPr>
          <w:lang w:val="fr-FR"/>
        </w:rPr>
        <w:t xml:space="preserve"> XII.4, </w:t>
      </w:r>
      <w:r w:rsidR="004454D6" w:rsidRPr="003859B4">
        <w:rPr>
          <w:lang w:val="fr-FR"/>
        </w:rPr>
        <w:t>les</w:t>
      </w:r>
      <w:r w:rsidR="004036E9" w:rsidRPr="003859B4">
        <w:rPr>
          <w:lang w:val="fr-FR"/>
        </w:rPr>
        <w:t xml:space="preserve"> Parties </w:t>
      </w:r>
      <w:r w:rsidR="004454D6" w:rsidRPr="003859B4">
        <w:rPr>
          <w:lang w:val="fr-FR"/>
        </w:rPr>
        <w:t>reconnaissent que certains aspects des travaux de ces groupes sont également compris dans le rôle et les responsabilités du Comité permanent lui</w:t>
      </w:r>
      <w:r w:rsidR="004454D6" w:rsidRPr="003859B4">
        <w:rPr>
          <w:lang w:val="fr-FR"/>
        </w:rPr>
        <w:noBreakHyphen/>
        <w:t xml:space="preserve">même et il est noté que la supervision intersessions du Secrétariat par le Comité permanent est désormais réalisée en son nom, entre les sessions du Comité permanent, par le Comité exécutif </w:t>
      </w:r>
      <w:r w:rsidR="004036E9" w:rsidRPr="003859B4">
        <w:rPr>
          <w:lang w:val="fr-FR"/>
        </w:rPr>
        <w:t>(</w:t>
      </w:r>
      <w:r w:rsidR="004454D6" w:rsidRPr="003859B4">
        <w:rPr>
          <w:lang w:val="fr-FR"/>
        </w:rPr>
        <w:t xml:space="preserve">Président, Vice-président et Président du Sous-groupe sur les finances) avec le Secrétaire général. </w:t>
      </w:r>
    </w:p>
    <w:p w:rsidR="004036E9" w:rsidRPr="003859B4" w:rsidRDefault="004036E9" w:rsidP="00854BB4">
      <w:pPr>
        <w:ind w:left="540" w:hanging="540"/>
        <w:rPr>
          <w:rFonts w:ascii="Calibri" w:hAnsi="Calibri"/>
          <w:color w:val="000000"/>
          <w:sz w:val="22"/>
          <w:szCs w:val="22"/>
          <w:lang w:val="fr-FR"/>
        </w:rPr>
      </w:pPr>
    </w:p>
    <w:p w:rsidR="004036E9" w:rsidRPr="003859B4" w:rsidRDefault="004036E9" w:rsidP="00854BB4">
      <w:pPr>
        <w:ind w:left="540" w:hanging="540"/>
        <w:rPr>
          <w:rFonts w:ascii="Calibri" w:hAnsi="Calibri"/>
          <w:b/>
          <w:sz w:val="22"/>
          <w:szCs w:val="22"/>
          <w:lang w:val="fr-FR"/>
        </w:rPr>
      </w:pPr>
      <w:r w:rsidRPr="003859B4">
        <w:rPr>
          <w:rFonts w:ascii="Calibri" w:hAnsi="Calibri"/>
          <w:b/>
          <w:sz w:val="22"/>
          <w:szCs w:val="22"/>
          <w:lang w:val="fr-FR"/>
        </w:rPr>
        <w:t>F</w:t>
      </w:r>
      <w:r w:rsidR="004454D6" w:rsidRPr="003859B4">
        <w:rPr>
          <w:rFonts w:ascii="Calibri" w:hAnsi="Calibri"/>
          <w:b/>
          <w:sz w:val="22"/>
          <w:szCs w:val="22"/>
          <w:lang w:val="fr-FR"/>
        </w:rPr>
        <w:t>onctions du Comité permanent</w:t>
      </w:r>
    </w:p>
    <w:p w:rsidR="00C862F0" w:rsidRPr="003859B4" w:rsidRDefault="00C862F0" w:rsidP="00854BB4">
      <w:pPr>
        <w:ind w:left="540" w:hanging="540"/>
        <w:rPr>
          <w:rFonts w:ascii="Calibri" w:hAnsi="Calibri"/>
          <w:b/>
          <w:sz w:val="22"/>
          <w:szCs w:val="22"/>
          <w:lang w:val="fr-FR"/>
        </w:rPr>
      </w:pPr>
    </w:p>
    <w:p w:rsidR="004036E9" w:rsidRPr="003859B4" w:rsidRDefault="004454D6" w:rsidP="00854BB4">
      <w:pPr>
        <w:numPr>
          <w:ilvl w:val="0"/>
          <w:numId w:val="21"/>
        </w:numPr>
        <w:ind w:left="426" w:hanging="426"/>
        <w:rPr>
          <w:rFonts w:ascii="Calibri" w:hAnsi="Calibri"/>
          <w:sz w:val="22"/>
          <w:szCs w:val="22"/>
          <w:lang w:val="fr-FR"/>
        </w:rPr>
      </w:pPr>
      <w:r w:rsidRPr="003859B4">
        <w:rPr>
          <w:rFonts w:ascii="Calibri" w:hAnsi="Calibri"/>
          <w:sz w:val="22"/>
          <w:szCs w:val="22"/>
          <w:lang w:val="fr-FR"/>
        </w:rPr>
        <w:t>Dans la Résolution </w:t>
      </w:r>
      <w:r w:rsidR="004036E9" w:rsidRPr="003859B4">
        <w:rPr>
          <w:rFonts w:ascii="Calibri" w:hAnsi="Calibri"/>
          <w:sz w:val="22"/>
          <w:szCs w:val="22"/>
          <w:lang w:val="fr-FR"/>
        </w:rPr>
        <w:t>XII.4</w:t>
      </w:r>
      <w:r w:rsidRPr="003859B4">
        <w:rPr>
          <w:rFonts w:ascii="Calibri" w:hAnsi="Calibri"/>
          <w:sz w:val="22"/>
          <w:szCs w:val="22"/>
          <w:lang w:val="fr-FR"/>
        </w:rPr>
        <w:t>, a</w:t>
      </w:r>
      <w:r w:rsidR="004036E9" w:rsidRPr="003859B4">
        <w:rPr>
          <w:rFonts w:ascii="Calibri" w:hAnsi="Calibri"/>
          <w:sz w:val="22"/>
          <w:szCs w:val="22"/>
          <w:lang w:val="fr-FR"/>
        </w:rPr>
        <w:t>nnex</w:t>
      </w:r>
      <w:r w:rsidRPr="003859B4">
        <w:rPr>
          <w:rFonts w:ascii="Calibri" w:hAnsi="Calibri"/>
          <w:sz w:val="22"/>
          <w:szCs w:val="22"/>
          <w:lang w:val="fr-FR"/>
        </w:rPr>
        <w:t>e </w:t>
      </w:r>
      <w:r w:rsidR="004036E9" w:rsidRPr="003859B4">
        <w:rPr>
          <w:rFonts w:ascii="Calibri" w:hAnsi="Calibri"/>
          <w:sz w:val="22"/>
          <w:szCs w:val="22"/>
          <w:lang w:val="fr-FR"/>
        </w:rPr>
        <w:t>1, par.</w:t>
      </w:r>
      <w:r w:rsidRPr="003859B4">
        <w:rPr>
          <w:rFonts w:ascii="Calibri" w:hAnsi="Calibri"/>
          <w:sz w:val="22"/>
          <w:szCs w:val="22"/>
          <w:lang w:val="fr-FR"/>
        </w:rPr>
        <w:t> </w:t>
      </w:r>
      <w:r w:rsidR="004036E9" w:rsidRPr="003859B4">
        <w:rPr>
          <w:rFonts w:ascii="Calibri" w:hAnsi="Calibri"/>
          <w:sz w:val="22"/>
          <w:szCs w:val="22"/>
          <w:lang w:val="fr-FR"/>
        </w:rPr>
        <w:t xml:space="preserve">19, </w:t>
      </w:r>
      <w:r w:rsidRPr="003859B4">
        <w:rPr>
          <w:rFonts w:ascii="Calibri" w:hAnsi="Calibri"/>
          <w:sz w:val="22"/>
          <w:szCs w:val="22"/>
          <w:lang w:val="fr-FR"/>
        </w:rPr>
        <w:t xml:space="preserve">les Parties ont mis à jour les fonctions du Comité permanent, comme suit : </w:t>
      </w:r>
    </w:p>
    <w:p w:rsidR="004036E9" w:rsidRPr="003859B4" w:rsidRDefault="004036E9" w:rsidP="00854BB4">
      <w:pPr>
        <w:pStyle w:val="BodyText"/>
        <w:widowControl w:val="0"/>
        <w:spacing w:after="0"/>
        <w:ind w:right="178"/>
        <w:rPr>
          <w:rFonts w:ascii="Calibri" w:hAnsi="Calibri"/>
          <w:sz w:val="22"/>
          <w:szCs w:val="22"/>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mener à bien, dans l’intervalle entre deux sessions ordinaires de la Conférence des Parties contractantes, les activités intérimaires jugées nécessaires, au nom de la Conférence, en donnant la priorité aux questions auxquelles la Conférence a déjà donné son accord, notant toutefois que le Comité permanent n’a pas pour mandat de prendre des décisions qui incombent habituellement à la Conférence des Parties contractantes ni d’amender quelque décision que soit qui a été prise par la Conférence des Parties contractantes;</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préparer les questions, y compris, entre autres, les projets de résolutions et de recommandations, qui seront examinés à la session suivante de la COP;</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superviser, en tant que représentant de la Conférence des Parties contractantes, l’application des activités par le Secrétariat, l’exécution du budget du Secrétariat et la conduite des programmes du Secrétariat;</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fournir des orientations et des avis au Secrétariat sur l’application de la Convention, la préparation des réunions et sur toute autre question en rapport avec l’exercice de ses fonctions que lui soumettrait le Secrétariat;</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faire office de Bureau de la Conférence aux sessions de la COP, conformément au Règlement intérieur;</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établir, au besoin, des sous-groupes, pour faciliter la conduite de ses travaux;</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promouvoir la coopération régionale et internationale en faveur de la conservation et de l’utilisation rationnelle des zones humides;</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lastRenderedPageBreak/>
        <w:t>approuver le programme de travail du Groupe d’évaluation scientifique et technique (GEST) sur la base des décisions de la COP, recevoir les rapports du GEST sur les progrès accomplis dans l’application du programme et fournir des orientations sur les activités futures du GEST;</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adopter, à chaque période triennale, les principes opérationnels du Fonds de petites subventions pour la conservation et l’utilisation rationnelle des zones humides et décider de l’attribution des fonds;</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réviser, à chaque période triennale, les critères de sélection pour le prix Ramsar pour la conservation des zones humides établi par la Résolution VI.18 et sélectionner les lauréats;</w:t>
      </w:r>
    </w:p>
    <w:p w:rsidR="00D37587" w:rsidRPr="003859B4" w:rsidRDefault="00D37587" w:rsidP="00B350C1">
      <w:pPr>
        <w:pStyle w:val="ListParagraph"/>
        <w:spacing w:after="0" w:line="240" w:lineRule="auto"/>
        <w:ind w:left="851" w:hanging="425"/>
        <w:rPr>
          <w:rFonts w:asciiTheme="minorHAnsi" w:hAnsiTheme="minorHAnsi"/>
          <w:lang w:val="fr-FR"/>
        </w:rPr>
      </w:pPr>
    </w:p>
    <w:p w:rsidR="00D37587" w:rsidRPr="003859B4" w:rsidRDefault="00D37587" w:rsidP="00B350C1">
      <w:pPr>
        <w:pStyle w:val="ListParagraph"/>
        <w:numPr>
          <w:ilvl w:val="0"/>
          <w:numId w:val="27"/>
        </w:numPr>
        <w:spacing w:after="0" w:line="240" w:lineRule="auto"/>
        <w:ind w:left="851" w:hanging="425"/>
        <w:rPr>
          <w:rFonts w:asciiTheme="minorHAnsi" w:hAnsiTheme="minorHAnsi"/>
          <w:lang w:val="fr-FR"/>
        </w:rPr>
      </w:pPr>
      <w:r w:rsidRPr="003859B4">
        <w:rPr>
          <w:rFonts w:asciiTheme="minorHAnsi" w:hAnsiTheme="minorHAnsi"/>
          <w:lang w:val="fr-FR"/>
        </w:rPr>
        <w:t>faire rapport à la COP sur les activités menées dans l’intervalle entre deux sessions ordinaires de la Conférence des Parties contractantes.</w:t>
      </w:r>
    </w:p>
    <w:p w:rsidR="00051BE9" w:rsidRPr="003859B4" w:rsidRDefault="00051BE9" w:rsidP="00854BB4">
      <w:pPr>
        <w:rPr>
          <w:rFonts w:ascii="Calibri" w:hAnsi="Calibri"/>
          <w:b/>
          <w:sz w:val="22"/>
          <w:szCs w:val="22"/>
          <w:lang w:val="fr-FR"/>
        </w:rPr>
      </w:pPr>
    </w:p>
    <w:p w:rsidR="00291DEF" w:rsidRPr="003859B4" w:rsidRDefault="00291DEF" w:rsidP="00854BB4">
      <w:pPr>
        <w:rPr>
          <w:rFonts w:asciiTheme="minorHAnsi" w:hAnsiTheme="minorHAnsi"/>
          <w:b/>
          <w:sz w:val="22"/>
          <w:szCs w:val="22"/>
          <w:lang w:val="fr-FR"/>
        </w:rPr>
      </w:pPr>
      <w:r w:rsidRPr="003859B4">
        <w:rPr>
          <w:rFonts w:asciiTheme="minorHAnsi" w:hAnsiTheme="minorHAnsi"/>
          <w:b/>
          <w:sz w:val="22"/>
          <w:szCs w:val="22"/>
          <w:lang w:val="fr-FR"/>
        </w:rPr>
        <w:t>Tâches des Parties contractantes élues en qualité de représentants régionaux au Comité permanent (Résolution XII.4, annexe 3)</w:t>
      </w:r>
    </w:p>
    <w:p w:rsidR="00291DEF" w:rsidRPr="003859B4" w:rsidRDefault="00291DEF" w:rsidP="00854BB4">
      <w:pPr>
        <w:rPr>
          <w:rFonts w:asciiTheme="minorHAnsi" w:hAnsiTheme="minorHAnsi"/>
          <w:sz w:val="22"/>
          <w:szCs w:val="22"/>
          <w:lang w:val="fr-FR"/>
        </w:rPr>
      </w:pPr>
    </w:p>
    <w:p w:rsidR="00291DEF" w:rsidRPr="003859B4" w:rsidRDefault="00291DEF" w:rsidP="00854BB4">
      <w:pPr>
        <w:tabs>
          <w:tab w:val="left" w:pos="426"/>
        </w:tabs>
        <w:ind w:left="426" w:hanging="426"/>
        <w:rPr>
          <w:rFonts w:asciiTheme="minorHAnsi" w:hAnsiTheme="minorHAnsi"/>
          <w:sz w:val="22"/>
          <w:szCs w:val="22"/>
          <w:lang w:val="fr-FR"/>
        </w:rPr>
      </w:pPr>
      <w:r w:rsidRPr="003859B4">
        <w:rPr>
          <w:rFonts w:asciiTheme="minorHAnsi" w:hAnsiTheme="minorHAnsi"/>
          <w:sz w:val="22"/>
          <w:szCs w:val="22"/>
          <w:lang w:val="fr-FR"/>
        </w:rPr>
        <w:t>8.</w:t>
      </w:r>
      <w:r w:rsidRPr="003859B4">
        <w:rPr>
          <w:rFonts w:asciiTheme="minorHAnsi" w:hAnsiTheme="minorHAnsi"/>
          <w:sz w:val="22"/>
          <w:szCs w:val="22"/>
          <w:lang w:val="fr-FR"/>
        </w:rPr>
        <w:tab/>
        <w:t>Les Parties contractantes qui ont accepté d’être élues en qualité de représentants régionaux au Comité permanent ont les tâches suivantes</w:t>
      </w:r>
      <w:r w:rsidR="00A4524F" w:rsidRPr="003859B4">
        <w:rPr>
          <w:rFonts w:asciiTheme="minorHAnsi" w:hAnsiTheme="minorHAnsi"/>
          <w:sz w:val="22"/>
          <w:szCs w:val="22"/>
          <w:lang w:val="fr-FR"/>
        </w:rPr>
        <w:t> </w:t>
      </w:r>
      <w:r w:rsidRPr="003859B4">
        <w:rPr>
          <w:rFonts w:asciiTheme="minorHAnsi" w:hAnsiTheme="minorHAnsi"/>
          <w:sz w:val="22"/>
          <w:szCs w:val="22"/>
          <w:lang w:val="fr-FR"/>
        </w:rPr>
        <w:t>:</w:t>
      </w:r>
    </w:p>
    <w:p w:rsidR="00291DEF" w:rsidRPr="003859B4" w:rsidRDefault="00291DEF" w:rsidP="00854BB4">
      <w:pPr>
        <w:rPr>
          <w:rFonts w:asciiTheme="minorHAnsi" w:hAnsiTheme="minorHAnsi"/>
          <w:sz w:val="22"/>
          <w:szCs w:val="22"/>
          <w:lang w:val="fr-FR"/>
        </w:rPr>
      </w:pPr>
    </w:p>
    <w:p w:rsidR="00291DEF" w:rsidRPr="003859B4" w:rsidRDefault="00291DEF" w:rsidP="00B350C1">
      <w:pPr>
        <w:pStyle w:val="ListParagraph"/>
        <w:numPr>
          <w:ilvl w:val="0"/>
          <w:numId w:val="29"/>
        </w:numPr>
        <w:spacing w:after="0" w:line="240" w:lineRule="auto"/>
        <w:rPr>
          <w:rFonts w:asciiTheme="minorHAnsi" w:hAnsiTheme="minorHAnsi"/>
          <w:lang w:val="fr-FR"/>
        </w:rPr>
      </w:pPr>
      <w:r w:rsidRPr="003859B4">
        <w:rPr>
          <w:rFonts w:asciiTheme="minorHAnsi" w:hAnsiTheme="minorHAnsi"/>
          <w:lang w:val="fr-FR"/>
        </w:rPr>
        <w:t>Désigner leurs délégués au Comité permanent en tenant compte des responsabilités importantes des représentants régionaux, en application du paragraphe 11 de la présente Résolution et faire tout leur possible pour que leurs délégués ou leurs remplaçants assistent aux réunions du Comité.</w:t>
      </w:r>
    </w:p>
    <w:p w:rsidR="00291DEF" w:rsidRPr="003859B4" w:rsidRDefault="00291DEF" w:rsidP="00B350C1">
      <w:pPr>
        <w:ind w:left="851" w:hanging="425"/>
        <w:rPr>
          <w:rFonts w:asciiTheme="minorHAnsi" w:hAnsiTheme="minorHAnsi"/>
          <w:sz w:val="22"/>
          <w:szCs w:val="22"/>
          <w:lang w:val="fr-FR"/>
        </w:rPr>
      </w:pPr>
    </w:p>
    <w:p w:rsidR="00291DEF" w:rsidRPr="003859B4" w:rsidRDefault="00291DEF" w:rsidP="00B350C1">
      <w:pPr>
        <w:pStyle w:val="ListParagraph"/>
        <w:numPr>
          <w:ilvl w:val="0"/>
          <w:numId w:val="29"/>
        </w:numPr>
        <w:spacing w:after="0" w:line="240" w:lineRule="auto"/>
        <w:rPr>
          <w:rFonts w:asciiTheme="minorHAnsi" w:hAnsiTheme="minorHAnsi"/>
          <w:lang w:val="fr-FR"/>
        </w:rPr>
      </w:pPr>
      <w:r w:rsidRPr="003859B4">
        <w:rPr>
          <w:rFonts w:asciiTheme="minorHAnsi" w:hAnsiTheme="minorHAnsi"/>
          <w:lang w:val="fr-FR"/>
        </w:rPr>
        <w:t>Lorsqu’il y a plusieurs représentants régionaux pour un groupe régional, maintenir des contacts réguliers et des consultations entre tous les représentants régionaux.</w:t>
      </w:r>
    </w:p>
    <w:p w:rsidR="00291DEF" w:rsidRPr="003859B4" w:rsidRDefault="00291DEF" w:rsidP="00B350C1">
      <w:pPr>
        <w:ind w:left="851" w:hanging="425"/>
        <w:rPr>
          <w:rFonts w:asciiTheme="minorHAnsi" w:hAnsiTheme="minorHAnsi"/>
          <w:sz w:val="22"/>
          <w:szCs w:val="22"/>
          <w:lang w:val="fr-FR"/>
        </w:rPr>
      </w:pPr>
    </w:p>
    <w:p w:rsidR="00291DEF" w:rsidRPr="003859B4" w:rsidRDefault="00291DEF" w:rsidP="00B350C1">
      <w:pPr>
        <w:pStyle w:val="ListParagraph"/>
        <w:numPr>
          <w:ilvl w:val="0"/>
          <w:numId w:val="29"/>
        </w:numPr>
        <w:spacing w:after="0" w:line="240" w:lineRule="auto"/>
        <w:rPr>
          <w:rFonts w:asciiTheme="minorHAnsi" w:hAnsiTheme="minorHAnsi"/>
          <w:lang w:val="fr-FR"/>
        </w:rPr>
      </w:pPr>
      <w:r w:rsidRPr="003859B4">
        <w:rPr>
          <w:rFonts w:asciiTheme="minorHAnsi" w:hAnsiTheme="minorHAnsi"/>
          <w:lang w:val="fr-FR"/>
        </w:rPr>
        <w:t>Maintenir des contacts réguliers et des consultations avec les Parties contractantes qui appartiennent à leur groupe régional et saisir toute occasion de voyager dans la région et de participer à des réunions régionales ou internationales pour les consulter sur les questions en rapport avec la Convention et pour promouvoir ses objectifs. À cet effet, lorsqu’il y a plusieurs représentants régionaux, ils doivent décider, d’un commun accord, des Parties contractantes dont chaque représentant régional est responsable.</w:t>
      </w:r>
    </w:p>
    <w:p w:rsidR="00291DEF" w:rsidRPr="003859B4" w:rsidRDefault="00291DEF" w:rsidP="00B350C1">
      <w:pPr>
        <w:ind w:left="851" w:hanging="425"/>
        <w:rPr>
          <w:rFonts w:asciiTheme="minorHAnsi" w:hAnsiTheme="minorHAnsi"/>
          <w:sz w:val="22"/>
          <w:szCs w:val="22"/>
          <w:lang w:val="fr-FR"/>
        </w:rPr>
      </w:pPr>
    </w:p>
    <w:p w:rsidR="00291DEF" w:rsidRPr="003859B4" w:rsidRDefault="00291DEF" w:rsidP="00B350C1">
      <w:pPr>
        <w:pStyle w:val="ListParagraph"/>
        <w:numPr>
          <w:ilvl w:val="0"/>
          <w:numId w:val="29"/>
        </w:numPr>
        <w:spacing w:after="0" w:line="240" w:lineRule="auto"/>
        <w:rPr>
          <w:rFonts w:asciiTheme="minorHAnsi" w:hAnsiTheme="minorHAnsi"/>
          <w:lang w:val="fr-FR"/>
        </w:rPr>
      </w:pPr>
      <w:r w:rsidRPr="003859B4">
        <w:rPr>
          <w:rFonts w:asciiTheme="minorHAnsi" w:hAnsiTheme="minorHAnsi"/>
          <w:lang w:val="fr-FR"/>
        </w:rPr>
        <w:t>Solliciter l’opinion des Parties contractantes de leur groupe régional avant les réunions du Comité permanent.</w:t>
      </w:r>
    </w:p>
    <w:p w:rsidR="00291DEF" w:rsidRPr="003859B4" w:rsidRDefault="00291DEF" w:rsidP="00B350C1">
      <w:pPr>
        <w:ind w:left="851" w:hanging="425"/>
        <w:rPr>
          <w:rFonts w:asciiTheme="minorHAnsi" w:hAnsiTheme="minorHAnsi"/>
          <w:sz w:val="22"/>
          <w:szCs w:val="22"/>
          <w:lang w:val="fr-FR"/>
        </w:rPr>
      </w:pPr>
    </w:p>
    <w:p w:rsidR="00291DEF" w:rsidRPr="003859B4" w:rsidRDefault="00291DEF" w:rsidP="00B350C1">
      <w:pPr>
        <w:pStyle w:val="ListParagraph"/>
        <w:numPr>
          <w:ilvl w:val="0"/>
          <w:numId w:val="29"/>
        </w:numPr>
        <w:spacing w:after="0" w:line="240" w:lineRule="auto"/>
        <w:rPr>
          <w:rFonts w:asciiTheme="minorHAnsi" w:hAnsiTheme="minorHAnsi"/>
          <w:lang w:val="fr-FR"/>
        </w:rPr>
      </w:pPr>
      <w:r w:rsidRPr="003859B4">
        <w:rPr>
          <w:rFonts w:asciiTheme="minorHAnsi" w:hAnsiTheme="minorHAnsi"/>
          <w:lang w:val="fr-FR"/>
        </w:rPr>
        <w:t>Conseiller le Secrétariat</w:t>
      </w:r>
      <w:r w:rsidRPr="003859B4">
        <w:rPr>
          <w:rFonts w:asciiTheme="minorHAnsi" w:hAnsiTheme="minorHAnsi"/>
          <w:color w:val="FF0000"/>
          <w:lang w:val="fr-FR"/>
        </w:rPr>
        <w:t xml:space="preserve"> </w:t>
      </w:r>
      <w:r w:rsidRPr="003859B4">
        <w:rPr>
          <w:rFonts w:asciiTheme="minorHAnsi" w:hAnsiTheme="minorHAnsi"/>
          <w:lang w:val="fr-FR"/>
        </w:rPr>
        <w:t>sur la préparation de l’ordre du jour des réunions régionales.</w:t>
      </w:r>
    </w:p>
    <w:p w:rsidR="00291DEF" w:rsidRPr="003859B4" w:rsidRDefault="00291DEF" w:rsidP="00B350C1">
      <w:pPr>
        <w:ind w:left="851" w:hanging="425"/>
        <w:rPr>
          <w:rFonts w:asciiTheme="minorHAnsi" w:hAnsiTheme="minorHAnsi"/>
          <w:sz w:val="22"/>
          <w:szCs w:val="22"/>
          <w:lang w:val="fr-FR"/>
        </w:rPr>
      </w:pPr>
    </w:p>
    <w:p w:rsidR="00291DEF" w:rsidRPr="003859B4" w:rsidRDefault="00291DEF" w:rsidP="00B350C1">
      <w:pPr>
        <w:pStyle w:val="ListParagraph"/>
        <w:numPr>
          <w:ilvl w:val="0"/>
          <w:numId w:val="29"/>
        </w:numPr>
        <w:spacing w:after="0" w:line="240" w:lineRule="auto"/>
        <w:rPr>
          <w:rFonts w:asciiTheme="minorHAnsi" w:hAnsiTheme="minorHAnsi"/>
          <w:lang w:val="fr-FR"/>
        </w:rPr>
      </w:pPr>
      <w:r w:rsidRPr="003859B4">
        <w:rPr>
          <w:rFonts w:asciiTheme="minorHAnsi" w:hAnsiTheme="minorHAnsi"/>
          <w:lang w:val="fr-FR"/>
        </w:rPr>
        <w:t>Assumer des responsabilités supplémentaires au sein de sous-groupes établis par le Comité permanent.</w:t>
      </w:r>
      <w:bookmarkStart w:id="0" w:name="_GoBack"/>
      <w:bookmarkEnd w:id="0"/>
    </w:p>
    <w:p w:rsidR="00291DEF" w:rsidRPr="003859B4" w:rsidRDefault="00291DEF" w:rsidP="00B350C1">
      <w:pPr>
        <w:ind w:left="851" w:hanging="425"/>
        <w:rPr>
          <w:rFonts w:asciiTheme="minorHAnsi" w:hAnsiTheme="minorHAnsi"/>
          <w:sz w:val="22"/>
          <w:szCs w:val="22"/>
          <w:lang w:val="fr-FR"/>
        </w:rPr>
      </w:pPr>
    </w:p>
    <w:p w:rsidR="00291DEF" w:rsidRPr="003859B4" w:rsidRDefault="00291DEF" w:rsidP="00B350C1">
      <w:pPr>
        <w:pStyle w:val="ListParagraph"/>
        <w:numPr>
          <w:ilvl w:val="0"/>
          <w:numId w:val="29"/>
        </w:numPr>
        <w:spacing w:after="0" w:line="240" w:lineRule="auto"/>
        <w:rPr>
          <w:rFonts w:asciiTheme="minorHAnsi" w:hAnsiTheme="minorHAnsi"/>
          <w:lang w:val="fr-FR"/>
        </w:rPr>
      </w:pPr>
      <w:r w:rsidRPr="003859B4">
        <w:rPr>
          <w:rFonts w:asciiTheme="minorHAnsi" w:hAnsiTheme="minorHAnsi"/>
          <w:lang w:val="fr-FR"/>
        </w:rPr>
        <w:t>Fournir des avis, à la demande du président et/ou des présidents des sous-groupes et/ou du Secrétariat</w:t>
      </w:r>
      <w:r w:rsidRPr="003859B4">
        <w:rPr>
          <w:rFonts w:asciiTheme="minorHAnsi" w:hAnsiTheme="minorHAnsi"/>
          <w:color w:val="FF0000"/>
          <w:lang w:val="fr-FR"/>
        </w:rPr>
        <w:t xml:space="preserve"> </w:t>
      </w:r>
      <w:r w:rsidRPr="003859B4">
        <w:rPr>
          <w:rFonts w:asciiTheme="minorHAnsi" w:hAnsiTheme="minorHAnsi"/>
          <w:lang w:val="fr-FR"/>
        </w:rPr>
        <w:t>de la Convention.</w:t>
      </w:r>
    </w:p>
    <w:p w:rsidR="00291DEF" w:rsidRPr="003859B4" w:rsidRDefault="00291DEF" w:rsidP="00B350C1">
      <w:pPr>
        <w:ind w:left="851" w:hanging="425"/>
        <w:rPr>
          <w:rFonts w:asciiTheme="minorHAnsi" w:hAnsiTheme="minorHAnsi"/>
          <w:sz w:val="22"/>
          <w:szCs w:val="22"/>
          <w:lang w:val="fr-FR"/>
        </w:rPr>
      </w:pPr>
    </w:p>
    <w:p w:rsidR="00291DEF" w:rsidRPr="003859B4" w:rsidRDefault="00291DEF" w:rsidP="00B350C1">
      <w:pPr>
        <w:pStyle w:val="ListParagraph"/>
        <w:numPr>
          <w:ilvl w:val="0"/>
          <w:numId w:val="29"/>
        </w:numPr>
        <w:spacing w:after="0" w:line="240" w:lineRule="auto"/>
        <w:rPr>
          <w:rFonts w:asciiTheme="minorHAnsi" w:hAnsiTheme="minorHAnsi"/>
          <w:lang w:val="fr-FR"/>
        </w:rPr>
      </w:pPr>
      <w:r w:rsidRPr="003859B4">
        <w:rPr>
          <w:rFonts w:asciiTheme="minorHAnsi" w:hAnsiTheme="minorHAnsi"/>
          <w:lang w:val="fr-FR"/>
        </w:rPr>
        <w:t>Dans les régions concernées, déployer des efforts déterminés pour encourager d’autres pays à adhérer à la Convention.</w:t>
      </w:r>
    </w:p>
    <w:p w:rsidR="004036E9" w:rsidRPr="003859B4" w:rsidRDefault="004036E9" w:rsidP="00854BB4">
      <w:pPr>
        <w:pStyle w:val="ColorfulList-Accent11"/>
        <w:spacing w:after="0" w:line="240" w:lineRule="auto"/>
        <w:ind w:left="1134" w:hanging="567"/>
        <w:rPr>
          <w:lang w:val="fr-FR"/>
        </w:rPr>
      </w:pPr>
    </w:p>
    <w:p w:rsidR="004036E9" w:rsidRPr="003859B4" w:rsidRDefault="00291DEF" w:rsidP="00291DEF">
      <w:pPr>
        <w:ind w:left="426" w:hanging="426"/>
        <w:rPr>
          <w:rFonts w:ascii="Calibri" w:hAnsi="Calibri"/>
          <w:sz w:val="22"/>
          <w:szCs w:val="22"/>
          <w:lang w:val="fr-FR"/>
        </w:rPr>
      </w:pPr>
      <w:r w:rsidRPr="003859B4">
        <w:rPr>
          <w:rFonts w:ascii="Calibri" w:hAnsi="Calibri"/>
          <w:sz w:val="22"/>
          <w:szCs w:val="22"/>
          <w:lang w:val="fr-FR"/>
        </w:rPr>
        <w:t>9.</w:t>
      </w:r>
      <w:r w:rsidRPr="003859B4">
        <w:rPr>
          <w:rFonts w:ascii="Calibri" w:hAnsi="Calibri"/>
          <w:sz w:val="22"/>
          <w:szCs w:val="22"/>
          <w:lang w:val="fr-FR"/>
        </w:rPr>
        <w:tab/>
      </w:r>
      <w:r w:rsidR="00854BB4" w:rsidRPr="003859B4">
        <w:rPr>
          <w:rFonts w:ascii="Calibri" w:hAnsi="Calibri"/>
          <w:sz w:val="22"/>
          <w:szCs w:val="22"/>
          <w:lang w:val="fr-FR"/>
        </w:rPr>
        <w:t>Suite à consultations, conformément au point</w:t>
      </w:r>
      <w:r w:rsidR="008D54FC" w:rsidRPr="003859B4">
        <w:rPr>
          <w:rFonts w:ascii="Calibri" w:hAnsi="Calibri"/>
          <w:sz w:val="22"/>
          <w:szCs w:val="22"/>
          <w:lang w:val="fr-FR"/>
        </w:rPr>
        <w:t xml:space="preserve"> 8 </w:t>
      </w:r>
      <w:r w:rsidR="00FB3ADD" w:rsidRPr="003859B4">
        <w:rPr>
          <w:rFonts w:ascii="Calibri" w:hAnsi="Calibri"/>
          <w:sz w:val="22"/>
          <w:szCs w:val="22"/>
          <w:lang w:val="fr-FR"/>
        </w:rPr>
        <w:t>c</w:t>
      </w:r>
      <w:r w:rsidR="00854BB4" w:rsidRPr="003859B4">
        <w:rPr>
          <w:rFonts w:ascii="Calibri" w:hAnsi="Calibri"/>
          <w:sz w:val="22"/>
          <w:szCs w:val="22"/>
          <w:lang w:val="fr-FR"/>
        </w:rPr>
        <w:t>)</w:t>
      </w:r>
      <w:r w:rsidR="00FB3ADD" w:rsidRPr="003859B4">
        <w:rPr>
          <w:rFonts w:ascii="Calibri" w:hAnsi="Calibri"/>
          <w:sz w:val="22"/>
          <w:szCs w:val="22"/>
          <w:lang w:val="fr-FR"/>
        </w:rPr>
        <w:t xml:space="preserve"> </w:t>
      </w:r>
      <w:r w:rsidR="00854BB4" w:rsidRPr="003859B4">
        <w:rPr>
          <w:rFonts w:ascii="Calibri" w:hAnsi="Calibri"/>
          <w:sz w:val="22"/>
          <w:szCs w:val="22"/>
          <w:lang w:val="fr-FR"/>
        </w:rPr>
        <w:t xml:space="preserve">ci-dessus, les responsabilités des membres du Comité permanent concernant les contacts et les consultations avec d’autres Parties contractantes ont été </w:t>
      </w:r>
      <w:r w:rsidR="003859B4" w:rsidRPr="003859B4">
        <w:rPr>
          <w:rFonts w:ascii="Calibri" w:hAnsi="Calibri"/>
          <w:sz w:val="22"/>
          <w:szCs w:val="22"/>
          <w:lang w:val="fr-FR"/>
        </w:rPr>
        <w:t>réparties</w:t>
      </w:r>
      <w:r w:rsidR="00854BB4" w:rsidRPr="003859B4">
        <w:rPr>
          <w:rFonts w:ascii="Calibri" w:hAnsi="Calibri"/>
          <w:sz w:val="22"/>
          <w:szCs w:val="22"/>
          <w:lang w:val="fr-FR"/>
        </w:rPr>
        <w:t xml:space="preserve"> comme suit : </w:t>
      </w:r>
    </w:p>
    <w:p w:rsidR="004036E9" w:rsidRPr="003859B4" w:rsidRDefault="004036E9" w:rsidP="004036E9">
      <w:pPr>
        <w:ind w:left="567" w:hanging="567"/>
        <w:rPr>
          <w:rFonts w:ascii="Calibri" w:hAnsi="Calibri"/>
          <w:sz w:val="22"/>
          <w:szCs w:val="22"/>
          <w:lang w:val="fr-FR"/>
        </w:rPr>
      </w:pPr>
    </w:p>
    <w:p w:rsidR="00565A0C" w:rsidRPr="003859B4" w:rsidRDefault="00565A0C" w:rsidP="006F7C16">
      <w:pPr>
        <w:pBdr>
          <w:top w:val="single" w:sz="4" w:space="1" w:color="auto"/>
          <w:left w:val="single" w:sz="4" w:space="2" w:color="auto"/>
          <w:bottom w:val="single" w:sz="4" w:space="1" w:color="auto"/>
          <w:right w:val="single" w:sz="4" w:space="4" w:color="auto"/>
        </w:pBdr>
        <w:shd w:val="clear" w:color="95B3D7" w:fill="B8CCE4"/>
        <w:rPr>
          <w:rFonts w:ascii="Calibri" w:hAnsi="Calibri" w:cs="Calibri"/>
          <w:color w:val="000000"/>
          <w:sz w:val="22"/>
          <w:szCs w:val="22"/>
          <w:lang w:val="fr-FR"/>
        </w:rPr>
      </w:pPr>
      <w:r w:rsidRPr="003859B4">
        <w:rPr>
          <w:rStyle w:val="Strong"/>
          <w:rFonts w:ascii="Calibri" w:hAnsi="Calibri" w:cs="Calibri"/>
          <w:color w:val="000000"/>
          <w:sz w:val="22"/>
          <w:szCs w:val="22"/>
          <w:lang w:val="fr-FR"/>
        </w:rPr>
        <w:t>Afri</w:t>
      </w:r>
      <w:r w:rsidR="00854BB4" w:rsidRPr="003859B4">
        <w:rPr>
          <w:rStyle w:val="Strong"/>
          <w:rFonts w:ascii="Calibri" w:hAnsi="Calibri" w:cs="Calibri"/>
          <w:color w:val="000000"/>
          <w:sz w:val="22"/>
          <w:szCs w:val="22"/>
          <w:lang w:val="fr-FR"/>
        </w:rPr>
        <w:t>que </w:t>
      </w:r>
      <w:r w:rsidRPr="003859B4">
        <w:rPr>
          <w:rFonts w:ascii="Calibri" w:hAnsi="Calibri" w:cs="Calibri"/>
          <w:color w:val="000000"/>
          <w:sz w:val="22"/>
          <w:szCs w:val="22"/>
          <w:lang w:val="fr-FR"/>
        </w:rPr>
        <w:t xml:space="preserve">: </w:t>
      </w:r>
      <w:r w:rsidR="00854BB4" w:rsidRPr="003859B4">
        <w:rPr>
          <w:rFonts w:ascii="Calibri" w:hAnsi="Calibri" w:cs="Calibri"/>
          <w:b/>
          <w:color w:val="000000"/>
          <w:sz w:val="22"/>
          <w:szCs w:val="22"/>
          <w:lang w:val="fr-FR"/>
        </w:rPr>
        <w:t xml:space="preserve">Kenya, République démocratique du Congo, Sénégal, Seychelles et Tunisie </w:t>
      </w:r>
      <w:r w:rsidRPr="003859B4">
        <w:rPr>
          <w:rFonts w:ascii="Calibri" w:hAnsi="Calibri" w:cs="Calibri"/>
          <w:color w:val="000000"/>
          <w:sz w:val="22"/>
          <w:szCs w:val="22"/>
          <w:lang w:val="fr-FR"/>
        </w:rPr>
        <w:t>(</w:t>
      </w:r>
      <w:r w:rsidR="00CE708B">
        <w:rPr>
          <w:rFonts w:ascii="Calibri" w:hAnsi="Calibri" w:cs="Calibri"/>
          <w:color w:val="000000"/>
          <w:sz w:val="22"/>
          <w:szCs w:val="22"/>
          <w:lang w:val="fr-FR"/>
        </w:rPr>
        <w:t>m</w:t>
      </w:r>
      <w:r w:rsidR="00854BB4" w:rsidRPr="003859B4">
        <w:rPr>
          <w:rFonts w:ascii="Calibri" w:hAnsi="Calibri" w:cs="Calibri"/>
          <w:color w:val="000000"/>
          <w:sz w:val="22"/>
          <w:szCs w:val="22"/>
          <w:lang w:val="fr-FR"/>
        </w:rPr>
        <w:t xml:space="preserve">embres suppléants : Botswana, Égypte, Mali, Ouganda et République centrafricaine) </w:t>
      </w:r>
    </w:p>
    <w:p w:rsidR="00565A0C" w:rsidRPr="003859B4" w:rsidRDefault="00565A0C" w:rsidP="00565A0C">
      <w:pPr>
        <w:ind w:left="567"/>
        <w:rPr>
          <w:rFonts w:ascii="Calibri" w:hAnsi="Calibri" w:cs="Calibri"/>
          <w:b/>
          <w:color w:val="000000"/>
          <w:sz w:val="22"/>
          <w:szCs w:val="22"/>
          <w:lang w:val="fr-FR"/>
        </w:rPr>
      </w:pPr>
    </w:p>
    <w:p w:rsidR="00854BB4" w:rsidRPr="003859B4" w:rsidRDefault="00854BB4" w:rsidP="00854BB4">
      <w:pPr>
        <w:ind w:left="426"/>
        <w:rPr>
          <w:rFonts w:ascii="Calibri" w:hAnsi="Calibri" w:cs="Calibri"/>
          <w:color w:val="000000"/>
          <w:sz w:val="22"/>
          <w:szCs w:val="22"/>
          <w:lang w:val="fr-FR"/>
        </w:rPr>
      </w:pPr>
      <w:r w:rsidRPr="003859B4">
        <w:rPr>
          <w:rFonts w:ascii="Calibri" w:hAnsi="Calibri" w:cs="Calibri"/>
          <w:b/>
          <w:color w:val="000000"/>
          <w:sz w:val="22"/>
          <w:szCs w:val="22"/>
          <w:lang w:val="fr-FR"/>
        </w:rPr>
        <w:t xml:space="preserve">Le Kenya </w:t>
      </w:r>
      <w:r w:rsidRPr="003859B4">
        <w:rPr>
          <w:rFonts w:ascii="Calibri" w:hAnsi="Calibri" w:cs="Calibri"/>
          <w:color w:val="000000"/>
          <w:sz w:val="22"/>
          <w:szCs w:val="22"/>
          <w:lang w:val="fr-FR"/>
        </w:rPr>
        <w:t xml:space="preserve">représente : </w:t>
      </w:r>
      <w:r w:rsidR="008B0AA9" w:rsidRPr="003859B4">
        <w:rPr>
          <w:rFonts w:ascii="Calibri" w:hAnsi="Calibri" w:cs="Calibri"/>
          <w:color w:val="000000"/>
          <w:sz w:val="22"/>
          <w:szCs w:val="22"/>
          <w:lang w:val="fr-FR"/>
        </w:rPr>
        <w:t xml:space="preserve">Burundi, </w:t>
      </w:r>
      <w:r w:rsidRPr="003859B4">
        <w:rPr>
          <w:rFonts w:ascii="Calibri" w:hAnsi="Calibri" w:cs="Calibri"/>
          <w:color w:val="000000"/>
          <w:sz w:val="22"/>
          <w:szCs w:val="22"/>
          <w:lang w:val="fr-FR"/>
        </w:rPr>
        <w:t xml:space="preserve">Djibouti, </w:t>
      </w:r>
      <w:r w:rsidR="008B0AA9" w:rsidRPr="003859B4">
        <w:rPr>
          <w:rFonts w:ascii="Calibri" w:hAnsi="Calibri" w:cs="Calibri"/>
          <w:color w:val="000000"/>
          <w:sz w:val="22"/>
          <w:szCs w:val="22"/>
          <w:lang w:val="fr-FR"/>
        </w:rPr>
        <w:t>Ouganda (suppléant), République</w:t>
      </w:r>
      <w:r w:rsidR="008B0AA9" w:rsidRPr="003859B4">
        <w:rPr>
          <w:rFonts w:ascii="Calibri" w:hAnsi="Calibri" w:cs="Calibri"/>
          <w:color w:val="000000"/>
          <w:sz w:val="22"/>
          <w:szCs w:val="22"/>
          <w:lang w:val="fr-FR"/>
        </w:rPr>
        <w:noBreakHyphen/>
        <w:t xml:space="preserve">Unie de Tanzanie et </w:t>
      </w:r>
      <w:r w:rsidRPr="003859B4">
        <w:rPr>
          <w:rFonts w:ascii="Calibri" w:hAnsi="Calibri" w:cs="Calibri"/>
          <w:color w:val="000000"/>
          <w:sz w:val="22"/>
          <w:szCs w:val="22"/>
          <w:lang w:val="fr-FR"/>
        </w:rPr>
        <w:t xml:space="preserve">Rwanda </w:t>
      </w:r>
    </w:p>
    <w:p w:rsidR="00854BB4" w:rsidRPr="003859B4" w:rsidRDefault="00854BB4" w:rsidP="00854BB4">
      <w:pPr>
        <w:ind w:left="426"/>
        <w:rPr>
          <w:rFonts w:ascii="Calibri" w:hAnsi="Calibri" w:cs="Calibri"/>
          <w:color w:val="000000"/>
          <w:sz w:val="22"/>
          <w:szCs w:val="22"/>
          <w:lang w:val="fr-FR"/>
        </w:rPr>
      </w:pPr>
    </w:p>
    <w:p w:rsidR="00565A0C" w:rsidRPr="003859B4" w:rsidRDefault="00854BB4" w:rsidP="00FB3ADD">
      <w:pPr>
        <w:ind w:left="426"/>
        <w:rPr>
          <w:rFonts w:ascii="Calibri" w:hAnsi="Calibri" w:cs="Calibri"/>
          <w:color w:val="000000"/>
          <w:sz w:val="22"/>
          <w:szCs w:val="22"/>
          <w:lang w:val="fr-FR"/>
        </w:rPr>
      </w:pPr>
      <w:r w:rsidRPr="003859B4">
        <w:rPr>
          <w:rFonts w:ascii="Calibri" w:hAnsi="Calibri" w:cs="Calibri"/>
          <w:b/>
          <w:color w:val="000000"/>
          <w:sz w:val="22"/>
          <w:szCs w:val="22"/>
          <w:lang w:val="fr-FR"/>
        </w:rPr>
        <w:t>La République démocratique du Congo</w:t>
      </w:r>
      <w:r w:rsidR="00565A0C" w:rsidRPr="003859B4">
        <w:rPr>
          <w:rFonts w:ascii="Calibri" w:hAnsi="Calibri" w:cs="Calibri"/>
          <w:color w:val="000000"/>
          <w:sz w:val="22"/>
          <w:szCs w:val="22"/>
          <w:lang w:val="fr-FR"/>
        </w:rPr>
        <w:t xml:space="preserve"> repr</w:t>
      </w:r>
      <w:r w:rsidRPr="003859B4">
        <w:rPr>
          <w:rFonts w:ascii="Calibri" w:hAnsi="Calibri" w:cs="Calibri"/>
          <w:color w:val="000000"/>
          <w:sz w:val="22"/>
          <w:szCs w:val="22"/>
          <w:lang w:val="fr-FR"/>
        </w:rPr>
        <w:t>ésente :</w:t>
      </w:r>
      <w:r w:rsidR="00565A0C" w:rsidRPr="003859B4">
        <w:rPr>
          <w:rFonts w:ascii="Calibri" w:hAnsi="Calibri" w:cs="Calibri"/>
          <w:color w:val="000000"/>
          <w:sz w:val="22"/>
          <w:szCs w:val="22"/>
          <w:lang w:val="fr-FR"/>
        </w:rPr>
        <w:t xml:space="preserve"> </w:t>
      </w:r>
      <w:r w:rsidRPr="003859B4">
        <w:rPr>
          <w:rFonts w:ascii="Calibri" w:hAnsi="Calibri" w:cs="Calibri"/>
          <w:color w:val="000000"/>
          <w:sz w:val="22"/>
          <w:szCs w:val="22"/>
          <w:lang w:val="fr-FR"/>
        </w:rPr>
        <w:t>Cameroun</w:t>
      </w:r>
      <w:r w:rsidR="00565A0C" w:rsidRPr="003859B4">
        <w:rPr>
          <w:rFonts w:ascii="Calibri" w:hAnsi="Calibri" w:cs="Calibri"/>
          <w:color w:val="000000"/>
          <w:sz w:val="22"/>
          <w:szCs w:val="22"/>
          <w:lang w:val="fr-FR"/>
        </w:rPr>
        <w:t xml:space="preserve">, </w:t>
      </w:r>
      <w:r w:rsidRPr="003859B4">
        <w:rPr>
          <w:rFonts w:ascii="Calibri" w:hAnsi="Calibri" w:cs="Calibri"/>
          <w:color w:val="000000"/>
          <w:sz w:val="22"/>
          <w:szCs w:val="22"/>
          <w:lang w:val="fr-FR"/>
        </w:rPr>
        <w:t>Congo, Gabon, Guinée équatoriale, République centrafricaine</w:t>
      </w:r>
      <w:r w:rsidR="00565A0C" w:rsidRPr="003859B4">
        <w:rPr>
          <w:rFonts w:ascii="Calibri" w:hAnsi="Calibri" w:cs="Calibri"/>
          <w:color w:val="000000"/>
          <w:sz w:val="22"/>
          <w:szCs w:val="22"/>
          <w:lang w:val="fr-FR"/>
        </w:rPr>
        <w:t xml:space="preserve"> (</w:t>
      </w:r>
      <w:r w:rsidRPr="003859B4">
        <w:rPr>
          <w:rFonts w:ascii="Calibri" w:hAnsi="Calibri" w:cs="Calibri"/>
          <w:color w:val="000000"/>
          <w:sz w:val="22"/>
          <w:szCs w:val="22"/>
          <w:lang w:val="fr-FR"/>
        </w:rPr>
        <w:t>suppléant), Sao Tomé-et-Principe et Tchad</w:t>
      </w:r>
    </w:p>
    <w:p w:rsidR="00565A0C" w:rsidRPr="003859B4" w:rsidRDefault="00565A0C" w:rsidP="00FB3ADD">
      <w:pPr>
        <w:ind w:left="426"/>
        <w:rPr>
          <w:rFonts w:ascii="Calibri" w:hAnsi="Calibri" w:cs="Calibri"/>
          <w:color w:val="000000"/>
          <w:sz w:val="22"/>
          <w:szCs w:val="22"/>
          <w:lang w:val="fr-FR"/>
        </w:rPr>
      </w:pPr>
    </w:p>
    <w:p w:rsidR="00565A0C" w:rsidRPr="003859B4" w:rsidRDefault="00854BB4" w:rsidP="00FB3ADD">
      <w:pPr>
        <w:ind w:left="426"/>
        <w:rPr>
          <w:rFonts w:ascii="Calibri" w:hAnsi="Calibri" w:cs="Calibri"/>
          <w:color w:val="000000"/>
          <w:sz w:val="22"/>
          <w:szCs w:val="22"/>
          <w:lang w:val="fr-FR"/>
        </w:rPr>
      </w:pPr>
      <w:r w:rsidRPr="003859B4">
        <w:rPr>
          <w:rFonts w:ascii="Calibri" w:hAnsi="Calibri" w:cs="Calibri"/>
          <w:b/>
          <w:color w:val="000000"/>
          <w:sz w:val="22"/>
          <w:szCs w:val="22"/>
          <w:lang w:val="fr-FR"/>
        </w:rPr>
        <w:t>Le Sénégal</w:t>
      </w:r>
      <w:r w:rsidRPr="003859B4">
        <w:rPr>
          <w:rFonts w:ascii="Calibri" w:hAnsi="Calibri" w:cs="Calibri"/>
          <w:color w:val="000000"/>
          <w:sz w:val="22"/>
          <w:szCs w:val="22"/>
          <w:lang w:val="fr-FR"/>
        </w:rPr>
        <w:t xml:space="preserve"> représente : </w:t>
      </w:r>
      <w:r w:rsidR="00565A0C" w:rsidRPr="003859B4">
        <w:rPr>
          <w:rFonts w:ascii="Calibri" w:hAnsi="Calibri" w:cs="Calibri"/>
          <w:color w:val="000000"/>
          <w:sz w:val="22"/>
          <w:szCs w:val="22"/>
          <w:lang w:val="fr-FR"/>
        </w:rPr>
        <w:t>B</w:t>
      </w:r>
      <w:r w:rsidR="0034731E" w:rsidRPr="003859B4">
        <w:rPr>
          <w:rFonts w:ascii="Calibri" w:hAnsi="Calibri" w:cs="Calibri"/>
          <w:color w:val="000000"/>
          <w:sz w:val="22"/>
          <w:szCs w:val="22"/>
          <w:lang w:val="fr-FR"/>
        </w:rPr>
        <w:t>é</w:t>
      </w:r>
      <w:r w:rsidR="00565A0C" w:rsidRPr="003859B4">
        <w:rPr>
          <w:rFonts w:ascii="Calibri" w:hAnsi="Calibri" w:cs="Calibri"/>
          <w:color w:val="000000"/>
          <w:sz w:val="22"/>
          <w:szCs w:val="22"/>
          <w:lang w:val="fr-FR"/>
        </w:rPr>
        <w:t>nin, Burkina Faso, Cabo Verde, Côte d’Ivoire, Gambi</w:t>
      </w:r>
      <w:r w:rsidR="0034731E" w:rsidRPr="003859B4">
        <w:rPr>
          <w:rFonts w:ascii="Calibri" w:hAnsi="Calibri" w:cs="Calibri"/>
          <w:color w:val="000000"/>
          <w:sz w:val="22"/>
          <w:szCs w:val="22"/>
          <w:lang w:val="fr-FR"/>
        </w:rPr>
        <w:t>e</w:t>
      </w:r>
      <w:r w:rsidR="00565A0C" w:rsidRPr="003859B4">
        <w:rPr>
          <w:rFonts w:ascii="Calibri" w:hAnsi="Calibri" w:cs="Calibri"/>
          <w:color w:val="000000"/>
          <w:sz w:val="22"/>
          <w:szCs w:val="22"/>
          <w:lang w:val="fr-FR"/>
        </w:rPr>
        <w:t xml:space="preserve">, Ghana, </w:t>
      </w:r>
      <w:r w:rsidR="0034731E" w:rsidRPr="003859B4">
        <w:rPr>
          <w:rFonts w:ascii="Calibri" w:hAnsi="Calibri" w:cs="Calibri"/>
          <w:color w:val="000000"/>
          <w:sz w:val="22"/>
          <w:szCs w:val="22"/>
          <w:lang w:val="fr-FR"/>
        </w:rPr>
        <w:t>Guinée</w:t>
      </w:r>
      <w:r w:rsidR="00565A0C" w:rsidRPr="003859B4">
        <w:rPr>
          <w:rFonts w:ascii="Calibri" w:hAnsi="Calibri" w:cs="Calibri"/>
          <w:color w:val="000000"/>
          <w:sz w:val="22"/>
          <w:szCs w:val="22"/>
          <w:lang w:val="fr-FR"/>
        </w:rPr>
        <w:t>, Guin</w:t>
      </w:r>
      <w:r w:rsidR="0034731E" w:rsidRPr="003859B4">
        <w:rPr>
          <w:rFonts w:ascii="Calibri" w:hAnsi="Calibri" w:cs="Calibri"/>
          <w:color w:val="000000"/>
          <w:sz w:val="22"/>
          <w:szCs w:val="22"/>
          <w:lang w:val="fr-FR"/>
        </w:rPr>
        <w:t>ée</w:t>
      </w:r>
      <w:r w:rsidR="00565A0C" w:rsidRPr="003859B4">
        <w:rPr>
          <w:rFonts w:ascii="Calibri" w:hAnsi="Calibri" w:cs="Calibri"/>
          <w:color w:val="000000"/>
          <w:sz w:val="22"/>
          <w:szCs w:val="22"/>
          <w:lang w:val="fr-FR"/>
        </w:rPr>
        <w:t>-Bissau, Lib</w:t>
      </w:r>
      <w:r w:rsidR="0034731E" w:rsidRPr="003859B4">
        <w:rPr>
          <w:rFonts w:ascii="Calibri" w:hAnsi="Calibri" w:cs="Calibri"/>
          <w:color w:val="000000"/>
          <w:sz w:val="22"/>
          <w:szCs w:val="22"/>
          <w:lang w:val="fr-FR"/>
        </w:rPr>
        <w:t>é</w:t>
      </w:r>
      <w:r w:rsidR="00565A0C" w:rsidRPr="003859B4">
        <w:rPr>
          <w:rFonts w:ascii="Calibri" w:hAnsi="Calibri" w:cs="Calibri"/>
          <w:color w:val="000000"/>
          <w:sz w:val="22"/>
          <w:szCs w:val="22"/>
          <w:lang w:val="fr-FR"/>
        </w:rPr>
        <w:t>ria, Mali (</w:t>
      </w:r>
      <w:r w:rsidR="0034731E" w:rsidRPr="003859B4">
        <w:rPr>
          <w:rFonts w:ascii="Calibri" w:hAnsi="Calibri" w:cs="Calibri"/>
          <w:color w:val="000000"/>
          <w:sz w:val="22"/>
          <w:szCs w:val="22"/>
          <w:lang w:val="fr-FR"/>
        </w:rPr>
        <w:t>suppléant</w:t>
      </w:r>
      <w:r w:rsidR="00565A0C" w:rsidRPr="003859B4">
        <w:rPr>
          <w:rFonts w:ascii="Calibri" w:hAnsi="Calibri" w:cs="Calibri"/>
          <w:color w:val="000000"/>
          <w:sz w:val="22"/>
          <w:szCs w:val="22"/>
          <w:lang w:val="fr-FR"/>
        </w:rPr>
        <w:t>), Mauritani</w:t>
      </w:r>
      <w:r w:rsidR="0034731E" w:rsidRPr="003859B4">
        <w:rPr>
          <w:rFonts w:ascii="Calibri" w:hAnsi="Calibri" w:cs="Calibri"/>
          <w:color w:val="000000"/>
          <w:sz w:val="22"/>
          <w:szCs w:val="22"/>
          <w:lang w:val="fr-FR"/>
        </w:rPr>
        <w:t>e</w:t>
      </w:r>
      <w:r w:rsidR="00565A0C" w:rsidRPr="003859B4">
        <w:rPr>
          <w:rFonts w:ascii="Calibri" w:hAnsi="Calibri" w:cs="Calibri"/>
          <w:color w:val="000000"/>
          <w:sz w:val="22"/>
          <w:szCs w:val="22"/>
          <w:lang w:val="fr-FR"/>
        </w:rPr>
        <w:t>, Niger, Nig</w:t>
      </w:r>
      <w:r w:rsidR="0034731E" w:rsidRPr="003859B4">
        <w:rPr>
          <w:rFonts w:ascii="Calibri" w:hAnsi="Calibri" w:cs="Calibri"/>
          <w:color w:val="000000"/>
          <w:sz w:val="22"/>
          <w:szCs w:val="22"/>
          <w:lang w:val="fr-FR"/>
        </w:rPr>
        <w:t>é</w:t>
      </w:r>
      <w:r w:rsidR="00565A0C" w:rsidRPr="003859B4">
        <w:rPr>
          <w:rFonts w:ascii="Calibri" w:hAnsi="Calibri" w:cs="Calibri"/>
          <w:color w:val="000000"/>
          <w:sz w:val="22"/>
          <w:szCs w:val="22"/>
          <w:lang w:val="fr-FR"/>
        </w:rPr>
        <w:t xml:space="preserve">ria, Sierra Leone </w:t>
      </w:r>
      <w:r w:rsidR="0034731E" w:rsidRPr="003859B4">
        <w:rPr>
          <w:rFonts w:ascii="Calibri" w:hAnsi="Calibri" w:cs="Calibri"/>
          <w:color w:val="000000"/>
          <w:sz w:val="22"/>
          <w:szCs w:val="22"/>
          <w:lang w:val="fr-FR"/>
        </w:rPr>
        <w:t>et</w:t>
      </w:r>
      <w:r w:rsidR="00565A0C" w:rsidRPr="003859B4">
        <w:rPr>
          <w:rFonts w:ascii="Calibri" w:hAnsi="Calibri" w:cs="Calibri"/>
          <w:color w:val="000000"/>
          <w:sz w:val="22"/>
          <w:szCs w:val="22"/>
          <w:lang w:val="fr-FR"/>
        </w:rPr>
        <w:t xml:space="preserve"> Togo</w:t>
      </w:r>
    </w:p>
    <w:p w:rsidR="00565A0C" w:rsidRPr="003859B4" w:rsidRDefault="00565A0C" w:rsidP="00FB3ADD">
      <w:pPr>
        <w:ind w:left="426"/>
        <w:rPr>
          <w:rFonts w:ascii="Calibri" w:hAnsi="Calibri" w:cs="Calibri"/>
          <w:color w:val="000000"/>
          <w:sz w:val="22"/>
          <w:szCs w:val="22"/>
          <w:lang w:val="fr-FR"/>
        </w:rPr>
      </w:pPr>
    </w:p>
    <w:p w:rsidR="00565A0C" w:rsidRPr="003859B4" w:rsidRDefault="00854BB4" w:rsidP="00FB3ADD">
      <w:pPr>
        <w:ind w:left="426"/>
        <w:rPr>
          <w:rFonts w:ascii="Calibri" w:hAnsi="Calibri" w:cs="Calibri"/>
          <w:color w:val="000000"/>
          <w:sz w:val="22"/>
          <w:szCs w:val="22"/>
          <w:lang w:val="fr-FR"/>
        </w:rPr>
      </w:pPr>
      <w:r w:rsidRPr="003859B4">
        <w:rPr>
          <w:rFonts w:ascii="Calibri" w:hAnsi="Calibri" w:cs="Calibri"/>
          <w:b/>
          <w:color w:val="000000"/>
          <w:sz w:val="22"/>
          <w:szCs w:val="22"/>
          <w:lang w:val="fr-FR"/>
        </w:rPr>
        <w:t xml:space="preserve">Les </w:t>
      </w:r>
      <w:r w:rsidR="00565A0C" w:rsidRPr="003859B4">
        <w:rPr>
          <w:rFonts w:ascii="Calibri" w:hAnsi="Calibri" w:cs="Calibri"/>
          <w:b/>
          <w:color w:val="000000"/>
          <w:sz w:val="22"/>
          <w:szCs w:val="22"/>
          <w:lang w:val="fr-FR"/>
        </w:rPr>
        <w:t>Seychelles</w:t>
      </w:r>
      <w:r w:rsidR="00565A0C" w:rsidRPr="003859B4">
        <w:rPr>
          <w:rFonts w:ascii="Calibri" w:hAnsi="Calibri" w:cs="Calibri"/>
          <w:color w:val="000000"/>
          <w:sz w:val="22"/>
          <w:szCs w:val="22"/>
          <w:lang w:val="fr-FR"/>
        </w:rPr>
        <w:t xml:space="preserve"> </w:t>
      </w:r>
      <w:r w:rsidRPr="003859B4">
        <w:rPr>
          <w:rFonts w:ascii="Calibri" w:hAnsi="Calibri" w:cs="Calibri"/>
          <w:color w:val="000000"/>
          <w:sz w:val="22"/>
          <w:szCs w:val="22"/>
          <w:lang w:val="fr-FR"/>
        </w:rPr>
        <w:t xml:space="preserve">représentent : </w:t>
      </w:r>
      <w:r w:rsidR="008B0AA9" w:rsidRPr="003859B4">
        <w:rPr>
          <w:rFonts w:ascii="Calibri" w:hAnsi="Calibri" w:cs="Calibri"/>
          <w:color w:val="000000"/>
          <w:sz w:val="22"/>
          <w:szCs w:val="22"/>
          <w:lang w:val="fr-FR"/>
        </w:rPr>
        <w:t xml:space="preserve">Afrique du Sud, </w:t>
      </w:r>
      <w:r w:rsidR="00565A0C" w:rsidRPr="003859B4">
        <w:rPr>
          <w:rFonts w:ascii="Calibri" w:hAnsi="Calibri" w:cs="Calibri"/>
          <w:color w:val="000000"/>
          <w:sz w:val="22"/>
          <w:szCs w:val="22"/>
          <w:lang w:val="fr-FR"/>
        </w:rPr>
        <w:t>Botswana (</w:t>
      </w:r>
      <w:r w:rsidR="0034731E" w:rsidRPr="003859B4">
        <w:rPr>
          <w:rFonts w:ascii="Calibri" w:hAnsi="Calibri" w:cs="Calibri"/>
          <w:color w:val="000000"/>
          <w:sz w:val="22"/>
          <w:szCs w:val="22"/>
          <w:lang w:val="fr-FR"/>
        </w:rPr>
        <w:t>suppléant</w:t>
      </w:r>
      <w:r w:rsidR="00565A0C" w:rsidRPr="003859B4">
        <w:rPr>
          <w:rFonts w:ascii="Calibri" w:hAnsi="Calibri" w:cs="Calibri"/>
          <w:color w:val="000000"/>
          <w:sz w:val="22"/>
          <w:szCs w:val="22"/>
          <w:lang w:val="fr-FR"/>
        </w:rPr>
        <w:t>), Comor</w:t>
      </w:r>
      <w:r w:rsidR="0034731E" w:rsidRPr="003859B4">
        <w:rPr>
          <w:rFonts w:ascii="Calibri" w:hAnsi="Calibri" w:cs="Calibri"/>
          <w:color w:val="000000"/>
          <w:sz w:val="22"/>
          <w:szCs w:val="22"/>
          <w:lang w:val="fr-FR"/>
        </w:rPr>
        <w:t>e</w:t>
      </w:r>
      <w:r w:rsidR="00565A0C" w:rsidRPr="003859B4">
        <w:rPr>
          <w:rFonts w:ascii="Calibri" w:hAnsi="Calibri" w:cs="Calibri"/>
          <w:color w:val="000000"/>
          <w:sz w:val="22"/>
          <w:szCs w:val="22"/>
          <w:lang w:val="fr-FR"/>
        </w:rPr>
        <w:t>s, Lesotho, Madagascar, Malawi, Mauri</w:t>
      </w:r>
      <w:r w:rsidR="0034731E" w:rsidRPr="003859B4">
        <w:rPr>
          <w:rFonts w:ascii="Calibri" w:hAnsi="Calibri" w:cs="Calibri"/>
          <w:color w:val="000000"/>
          <w:sz w:val="22"/>
          <w:szCs w:val="22"/>
          <w:lang w:val="fr-FR"/>
        </w:rPr>
        <w:t>ce</w:t>
      </w:r>
      <w:r w:rsidR="00565A0C" w:rsidRPr="003859B4">
        <w:rPr>
          <w:rFonts w:ascii="Calibri" w:hAnsi="Calibri" w:cs="Calibri"/>
          <w:color w:val="000000"/>
          <w:sz w:val="22"/>
          <w:szCs w:val="22"/>
          <w:lang w:val="fr-FR"/>
        </w:rPr>
        <w:t>, Mozambique, Namibi</w:t>
      </w:r>
      <w:r w:rsidR="0034731E" w:rsidRPr="003859B4">
        <w:rPr>
          <w:rFonts w:ascii="Calibri" w:hAnsi="Calibri" w:cs="Calibri"/>
          <w:color w:val="000000"/>
          <w:sz w:val="22"/>
          <w:szCs w:val="22"/>
          <w:lang w:val="fr-FR"/>
        </w:rPr>
        <w:t>e</w:t>
      </w:r>
      <w:r w:rsidR="00565A0C" w:rsidRPr="003859B4">
        <w:rPr>
          <w:rFonts w:ascii="Calibri" w:hAnsi="Calibri" w:cs="Calibri"/>
          <w:color w:val="000000"/>
          <w:sz w:val="22"/>
          <w:szCs w:val="22"/>
          <w:lang w:val="fr-FR"/>
        </w:rPr>
        <w:t>, Swaziland, Zambi</w:t>
      </w:r>
      <w:r w:rsidR="0034731E" w:rsidRPr="003859B4">
        <w:rPr>
          <w:rFonts w:ascii="Calibri" w:hAnsi="Calibri" w:cs="Calibri"/>
          <w:color w:val="000000"/>
          <w:sz w:val="22"/>
          <w:szCs w:val="22"/>
          <w:lang w:val="fr-FR"/>
        </w:rPr>
        <w:t>e</w:t>
      </w:r>
      <w:r w:rsidR="00565A0C" w:rsidRPr="003859B4">
        <w:rPr>
          <w:rFonts w:ascii="Calibri" w:hAnsi="Calibri" w:cs="Calibri"/>
          <w:color w:val="000000"/>
          <w:sz w:val="22"/>
          <w:szCs w:val="22"/>
          <w:lang w:val="fr-FR"/>
        </w:rPr>
        <w:t xml:space="preserve"> </w:t>
      </w:r>
      <w:r w:rsidR="0034731E" w:rsidRPr="003859B4">
        <w:rPr>
          <w:rFonts w:ascii="Calibri" w:hAnsi="Calibri" w:cs="Calibri"/>
          <w:color w:val="000000"/>
          <w:sz w:val="22"/>
          <w:szCs w:val="22"/>
          <w:lang w:val="fr-FR"/>
        </w:rPr>
        <w:t>et</w:t>
      </w:r>
      <w:r w:rsidR="00565A0C" w:rsidRPr="003859B4">
        <w:rPr>
          <w:rFonts w:ascii="Calibri" w:hAnsi="Calibri" w:cs="Calibri"/>
          <w:color w:val="000000"/>
          <w:sz w:val="22"/>
          <w:szCs w:val="22"/>
          <w:lang w:val="fr-FR"/>
        </w:rPr>
        <w:t xml:space="preserve"> Zimbabwe</w:t>
      </w:r>
    </w:p>
    <w:p w:rsidR="00565A0C" w:rsidRPr="003859B4" w:rsidRDefault="00565A0C" w:rsidP="00FB3ADD">
      <w:pPr>
        <w:ind w:left="426"/>
        <w:rPr>
          <w:rFonts w:ascii="Calibri" w:hAnsi="Calibri" w:cs="Calibri"/>
          <w:color w:val="000000"/>
          <w:sz w:val="22"/>
          <w:szCs w:val="22"/>
          <w:lang w:val="fr-FR"/>
        </w:rPr>
      </w:pPr>
    </w:p>
    <w:p w:rsidR="00565A0C" w:rsidRPr="003859B4" w:rsidRDefault="00854BB4" w:rsidP="00FB3ADD">
      <w:pPr>
        <w:ind w:left="426"/>
        <w:rPr>
          <w:rFonts w:ascii="Calibri" w:hAnsi="Calibri" w:cs="Calibri"/>
          <w:color w:val="000000"/>
          <w:sz w:val="22"/>
          <w:szCs w:val="22"/>
          <w:lang w:val="fr-FR"/>
        </w:rPr>
      </w:pPr>
      <w:r w:rsidRPr="003859B4">
        <w:rPr>
          <w:rFonts w:ascii="Calibri" w:hAnsi="Calibri" w:cs="Calibri"/>
          <w:b/>
          <w:color w:val="000000"/>
          <w:sz w:val="22"/>
          <w:szCs w:val="22"/>
          <w:lang w:val="fr-FR"/>
        </w:rPr>
        <w:t xml:space="preserve">La </w:t>
      </w:r>
      <w:r w:rsidR="00565A0C" w:rsidRPr="003859B4">
        <w:rPr>
          <w:rFonts w:ascii="Calibri" w:hAnsi="Calibri" w:cs="Calibri"/>
          <w:b/>
          <w:color w:val="000000"/>
          <w:sz w:val="22"/>
          <w:szCs w:val="22"/>
          <w:lang w:val="fr-FR"/>
        </w:rPr>
        <w:t>Tunisi</w:t>
      </w:r>
      <w:r w:rsidRPr="003859B4">
        <w:rPr>
          <w:rFonts w:ascii="Calibri" w:hAnsi="Calibri" w:cs="Calibri"/>
          <w:b/>
          <w:color w:val="000000"/>
          <w:sz w:val="22"/>
          <w:szCs w:val="22"/>
          <w:lang w:val="fr-FR"/>
        </w:rPr>
        <w:t>e</w:t>
      </w:r>
      <w:r w:rsidR="00565A0C" w:rsidRPr="003859B4">
        <w:rPr>
          <w:rFonts w:ascii="Calibri" w:hAnsi="Calibri" w:cs="Calibri"/>
          <w:color w:val="000000"/>
          <w:sz w:val="22"/>
          <w:szCs w:val="22"/>
          <w:lang w:val="fr-FR"/>
        </w:rPr>
        <w:t xml:space="preserve"> </w:t>
      </w:r>
      <w:r w:rsidRPr="003859B4">
        <w:rPr>
          <w:rFonts w:ascii="Calibri" w:hAnsi="Calibri" w:cs="Calibri"/>
          <w:color w:val="000000"/>
          <w:sz w:val="22"/>
          <w:szCs w:val="22"/>
          <w:lang w:val="fr-FR"/>
        </w:rPr>
        <w:t xml:space="preserve">représente : </w:t>
      </w:r>
      <w:r w:rsidR="0034731E" w:rsidRPr="003859B4">
        <w:rPr>
          <w:rFonts w:ascii="Calibri" w:hAnsi="Calibri" w:cs="Calibri"/>
          <w:color w:val="000000"/>
          <w:sz w:val="22"/>
          <w:szCs w:val="22"/>
          <w:lang w:val="fr-FR"/>
        </w:rPr>
        <w:t>Algérie</w:t>
      </w:r>
      <w:r w:rsidR="00565A0C" w:rsidRPr="003859B4">
        <w:rPr>
          <w:rFonts w:ascii="Calibri" w:hAnsi="Calibri" w:cs="Calibri"/>
          <w:color w:val="000000"/>
          <w:sz w:val="22"/>
          <w:szCs w:val="22"/>
          <w:lang w:val="fr-FR"/>
        </w:rPr>
        <w:t xml:space="preserve">, </w:t>
      </w:r>
      <w:r w:rsidR="0034731E" w:rsidRPr="003859B4">
        <w:rPr>
          <w:rFonts w:ascii="Calibri" w:hAnsi="Calibri" w:cs="Calibri"/>
          <w:color w:val="000000"/>
          <w:sz w:val="22"/>
          <w:szCs w:val="22"/>
          <w:lang w:val="fr-FR"/>
        </w:rPr>
        <w:t>Égypte</w:t>
      </w:r>
      <w:r w:rsidR="00565A0C" w:rsidRPr="003859B4">
        <w:rPr>
          <w:rFonts w:ascii="Calibri" w:hAnsi="Calibri" w:cs="Calibri"/>
          <w:color w:val="000000"/>
          <w:sz w:val="22"/>
          <w:szCs w:val="22"/>
          <w:lang w:val="fr-FR"/>
        </w:rPr>
        <w:t xml:space="preserve"> (</w:t>
      </w:r>
      <w:r w:rsidR="0034731E" w:rsidRPr="003859B4">
        <w:rPr>
          <w:rFonts w:ascii="Calibri" w:hAnsi="Calibri" w:cs="Calibri"/>
          <w:color w:val="000000"/>
          <w:sz w:val="22"/>
          <w:szCs w:val="22"/>
          <w:lang w:val="fr-FR"/>
        </w:rPr>
        <w:t>suppléant</w:t>
      </w:r>
      <w:r w:rsidR="00565A0C" w:rsidRPr="003859B4">
        <w:rPr>
          <w:rFonts w:ascii="Calibri" w:hAnsi="Calibri" w:cs="Calibri"/>
          <w:color w:val="000000"/>
          <w:sz w:val="22"/>
          <w:szCs w:val="22"/>
          <w:lang w:val="fr-FR"/>
        </w:rPr>
        <w:t xml:space="preserve">), </w:t>
      </w:r>
      <w:r w:rsidR="008B0AA9" w:rsidRPr="003859B4">
        <w:rPr>
          <w:rFonts w:ascii="Calibri" w:hAnsi="Calibri" w:cs="Calibri"/>
          <w:color w:val="000000"/>
          <w:sz w:val="22"/>
          <w:szCs w:val="22"/>
          <w:lang w:val="fr-FR"/>
        </w:rPr>
        <w:t>Libye</w:t>
      </w:r>
      <w:r w:rsidR="00565A0C" w:rsidRPr="003859B4">
        <w:rPr>
          <w:rFonts w:ascii="Calibri" w:hAnsi="Calibri" w:cs="Calibri"/>
          <w:color w:val="000000"/>
          <w:sz w:val="22"/>
          <w:szCs w:val="22"/>
          <w:lang w:val="fr-FR"/>
        </w:rPr>
        <w:t xml:space="preserve">, </w:t>
      </w:r>
      <w:r w:rsidR="0034731E" w:rsidRPr="003859B4">
        <w:rPr>
          <w:rFonts w:ascii="Calibri" w:hAnsi="Calibri" w:cs="Calibri"/>
          <w:color w:val="000000"/>
          <w:sz w:val="22"/>
          <w:szCs w:val="22"/>
          <w:lang w:val="fr-FR"/>
        </w:rPr>
        <w:t>Maroc</w:t>
      </w:r>
      <w:r w:rsidR="00565A0C" w:rsidRPr="003859B4">
        <w:rPr>
          <w:rFonts w:ascii="Calibri" w:hAnsi="Calibri" w:cs="Calibri"/>
          <w:color w:val="000000"/>
          <w:sz w:val="22"/>
          <w:szCs w:val="22"/>
          <w:lang w:val="fr-FR"/>
        </w:rPr>
        <w:t>, S</w:t>
      </w:r>
      <w:r w:rsidR="0034731E" w:rsidRPr="003859B4">
        <w:rPr>
          <w:rFonts w:ascii="Calibri" w:hAnsi="Calibri" w:cs="Calibri"/>
          <w:color w:val="000000"/>
          <w:sz w:val="22"/>
          <w:szCs w:val="22"/>
          <w:lang w:val="fr-FR"/>
        </w:rPr>
        <w:t>o</w:t>
      </w:r>
      <w:r w:rsidR="00565A0C" w:rsidRPr="003859B4">
        <w:rPr>
          <w:rFonts w:ascii="Calibri" w:hAnsi="Calibri" w:cs="Calibri"/>
          <w:color w:val="000000"/>
          <w:sz w:val="22"/>
          <w:szCs w:val="22"/>
          <w:lang w:val="fr-FR"/>
        </w:rPr>
        <w:t xml:space="preserve">udan </w:t>
      </w:r>
      <w:r w:rsidR="00AB56CE" w:rsidRPr="003859B4">
        <w:rPr>
          <w:rFonts w:ascii="Calibri" w:hAnsi="Calibri" w:cs="Calibri"/>
          <w:color w:val="000000"/>
          <w:sz w:val="22"/>
          <w:szCs w:val="22"/>
          <w:lang w:val="fr-FR"/>
        </w:rPr>
        <w:t xml:space="preserve">et </w:t>
      </w:r>
      <w:r w:rsidR="008B0AA9" w:rsidRPr="003859B4">
        <w:rPr>
          <w:rFonts w:ascii="Calibri" w:hAnsi="Calibri" w:cs="Calibri"/>
          <w:color w:val="000000"/>
          <w:sz w:val="22"/>
          <w:szCs w:val="22"/>
          <w:lang w:val="fr-FR"/>
        </w:rPr>
        <w:t>Soudan</w:t>
      </w:r>
      <w:r w:rsidR="00AB56CE" w:rsidRPr="003859B4">
        <w:rPr>
          <w:rFonts w:ascii="Calibri" w:hAnsi="Calibri" w:cs="Calibri"/>
          <w:color w:val="000000"/>
          <w:sz w:val="22"/>
          <w:szCs w:val="22"/>
          <w:lang w:val="fr-FR"/>
        </w:rPr>
        <w:t xml:space="preserve"> du Sud</w:t>
      </w:r>
    </w:p>
    <w:p w:rsidR="004036E9" w:rsidRPr="003859B4" w:rsidRDefault="004036E9" w:rsidP="004036E9">
      <w:pPr>
        <w:ind w:left="567"/>
        <w:rPr>
          <w:rFonts w:ascii="Calibri" w:hAnsi="Calibri" w:cs="Calibri"/>
          <w:sz w:val="22"/>
          <w:szCs w:val="22"/>
          <w:lang w:val="fr-FR"/>
        </w:rPr>
      </w:pPr>
    </w:p>
    <w:p w:rsidR="004036E9" w:rsidRPr="003859B4" w:rsidRDefault="004036E9"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lang w:val="fr-FR"/>
        </w:rPr>
      </w:pPr>
      <w:r w:rsidRPr="003859B4">
        <w:rPr>
          <w:rStyle w:val="Strong"/>
          <w:rFonts w:ascii="Calibri" w:hAnsi="Calibri" w:cs="Calibri"/>
          <w:sz w:val="22"/>
          <w:szCs w:val="22"/>
          <w:lang w:val="fr-FR"/>
        </w:rPr>
        <w:t>Asi</w:t>
      </w:r>
      <w:r w:rsidR="00854BB4" w:rsidRPr="003859B4">
        <w:rPr>
          <w:rStyle w:val="Strong"/>
          <w:rFonts w:ascii="Calibri" w:hAnsi="Calibri" w:cs="Calibri"/>
          <w:sz w:val="22"/>
          <w:szCs w:val="22"/>
          <w:lang w:val="fr-FR"/>
        </w:rPr>
        <w:t>e </w:t>
      </w:r>
      <w:r w:rsidRPr="003859B4">
        <w:rPr>
          <w:rFonts w:ascii="Calibri" w:hAnsi="Calibri" w:cs="Calibri"/>
          <w:sz w:val="22"/>
          <w:szCs w:val="22"/>
          <w:lang w:val="fr-FR"/>
        </w:rPr>
        <w:t xml:space="preserve">: </w:t>
      </w:r>
      <w:r w:rsidR="00AB56CE" w:rsidRPr="003859B4">
        <w:rPr>
          <w:rFonts w:ascii="Calibri" w:hAnsi="Calibri" w:cs="Calibri"/>
          <w:b/>
          <w:sz w:val="22"/>
          <w:szCs w:val="22"/>
          <w:lang w:val="fr-FR"/>
        </w:rPr>
        <w:t>Iraq</w:t>
      </w:r>
      <w:r w:rsidR="00AB56CE" w:rsidRPr="003859B4">
        <w:rPr>
          <w:rFonts w:ascii="Calibri" w:hAnsi="Calibri" w:cs="Calibri"/>
          <w:sz w:val="22"/>
          <w:szCs w:val="22"/>
          <w:lang w:val="fr-FR"/>
        </w:rPr>
        <w:t xml:space="preserve">, </w:t>
      </w:r>
      <w:r w:rsidR="00854BB4" w:rsidRPr="003859B4">
        <w:rPr>
          <w:rFonts w:ascii="Calibri" w:hAnsi="Calibri" w:cs="Calibri"/>
          <w:b/>
          <w:sz w:val="22"/>
          <w:szCs w:val="22"/>
          <w:lang w:val="fr-FR"/>
        </w:rPr>
        <w:t>Népal</w:t>
      </w:r>
      <w:r w:rsidR="006E5062" w:rsidRPr="003859B4">
        <w:rPr>
          <w:rFonts w:ascii="Calibri" w:hAnsi="Calibri" w:cs="Calibri"/>
          <w:b/>
          <w:sz w:val="22"/>
          <w:szCs w:val="22"/>
          <w:lang w:val="fr-FR"/>
        </w:rPr>
        <w:t xml:space="preserve"> et </w:t>
      </w:r>
      <w:r w:rsidR="00AB56CE" w:rsidRPr="003859B4">
        <w:rPr>
          <w:rFonts w:ascii="Calibri" w:hAnsi="Calibri" w:cs="Calibri"/>
          <w:b/>
          <w:sz w:val="22"/>
          <w:szCs w:val="22"/>
          <w:lang w:val="fr-FR"/>
        </w:rPr>
        <w:t xml:space="preserve">République de Corée </w:t>
      </w:r>
      <w:r w:rsidRPr="003859B4">
        <w:rPr>
          <w:rFonts w:ascii="Calibri" w:hAnsi="Calibri" w:cs="Calibri"/>
          <w:sz w:val="22"/>
          <w:szCs w:val="22"/>
          <w:lang w:val="fr-FR"/>
        </w:rPr>
        <w:t>(</w:t>
      </w:r>
      <w:r w:rsidR="00CE708B">
        <w:rPr>
          <w:rFonts w:ascii="Calibri" w:hAnsi="Calibri" w:cs="Calibri"/>
          <w:sz w:val="22"/>
          <w:szCs w:val="22"/>
          <w:lang w:val="fr-FR"/>
        </w:rPr>
        <w:t>m</w:t>
      </w:r>
      <w:r w:rsidR="00AB56CE" w:rsidRPr="003859B4">
        <w:rPr>
          <w:rFonts w:ascii="Calibri" w:hAnsi="Calibri" w:cs="Calibri"/>
          <w:sz w:val="22"/>
          <w:szCs w:val="22"/>
          <w:lang w:val="fr-FR"/>
        </w:rPr>
        <w:t>embres suppléants </w:t>
      </w:r>
      <w:r w:rsidRPr="003859B4">
        <w:rPr>
          <w:rFonts w:ascii="Calibri" w:hAnsi="Calibri" w:cs="Calibri"/>
          <w:sz w:val="22"/>
          <w:szCs w:val="22"/>
          <w:lang w:val="fr-FR"/>
        </w:rPr>
        <w:t xml:space="preserve">: </w:t>
      </w:r>
      <w:r w:rsidR="00AB56CE" w:rsidRPr="003859B4">
        <w:rPr>
          <w:rFonts w:ascii="Calibri" w:hAnsi="Calibri" w:cs="Calibri"/>
          <w:sz w:val="22"/>
          <w:szCs w:val="22"/>
          <w:lang w:val="fr-FR"/>
        </w:rPr>
        <w:t xml:space="preserve">Bahreïn, </w:t>
      </w:r>
      <w:r w:rsidR="00D43D8E" w:rsidRPr="003859B4">
        <w:rPr>
          <w:rFonts w:ascii="Calibri" w:hAnsi="Calibri" w:cs="Calibri"/>
          <w:sz w:val="22"/>
          <w:szCs w:val="22"/>
          <w:lang w:val="fr-FR"/>
        </w:rPr>
        <w:t>Jap</w:t>
      </w:r>
      <w:r w:rsidR="00AB56CE" w:rsidRPr="003859B4">
        <w:rPr>
          <w:rFonts w:ascii="Calibri" w:hAnsi="Calibri" w:cs="Calibri"/>
          <w:sz w:val="22"/>
          <w:szCs w:val="22"/>
          <w:lang w:val="fr-FR"/>
        </w:rPr>
        <w:t>o</w:t>
      </w:r>
      <w:r w:rsidR="00D43D8E" w:rsidRPr="003859B4">
        <w:rPr>
          <w:rFonts w:ascii="Calibri" w:hAnsi="Calibri" w:cs="Calibri"/>
          <w:sz w:val="22"/>
          <w:szCs w:val="22"/>
          <w:lang w:val="fr-FR"/>
        </w:rPr>
        <w:t xml:space="preserve">n </w:t>
      </w:r>
      <w:r w:rsidR="00AB56CE" w:rsidRPr="003859B4">
        <w:rPr>
          <w:rFonts w:ascii="Calibri" w:hAnsi="Calibri" w:cs="Calibri"/>
          <w:sz w:val="22"/>
          <w:szCs w:val="22"/>
          <w:lang w:val="fr-FR"/>
        </w:rPr>
        <w:t>et Viet Nam</w:t>
      </w:r>
      <w:r w:rsidRPr="003859B4">
        <w:rPr>
          <w:rFonts w:ascii="Calibri" w:hAnsi="Calibri" w:cs="Calibri"/>
          <w:sz w:val="22"/>
          <w:szCs w:val="22"/>
          <w:lang w:val="fr-FR"/>
        </w:rPr>
        <w:t>)</w:t>
      </w:r>
    </w:p>
    <w:p w:rsidR="004036E9" w:rsidRPr="003859B4" w:rsidRDefault="004036E9" w:rsidP="004036E9">
      <w:pPr>
        <w:ind w:left="567"/>
        <w:rPr>
          <w:rFonts w:ascii="Calibri" w:hAnsi="Calibri" w:cs="Calibri"/>
          <w:b/>
          <w:sz w:val="22"/>
          <w:szCs w:val="22"/>
          <w:lang w:val="fr-FR"/>
        </w:rPr>
      </w:pPr>
    </w:p>
    <w:p w:rsidR="00AB56CE" w:rsidRPr="003859B4" w:rsidRDefault="00AB56CE" w:rsidP="00AB56CE">
      <w:pPr>
        <w:ind w:left="426"/>
        <w:rPr>
          <w:rFonts w:ascii="Calibri" w:hAnsi="Calibri" w:cs="Calibri"/>
          <w:sz w:val="22"/>
          <w:szCs w:val="22"/>
          <w:lang w:val="fr-FR"/>
        </w:rPr>
      </w:pPr>
      <w:r w:rsidRPr="003859B4">
        <w:rPr>
          <w:rFonts w:ascii="Calibri" w:hAnsi="Calibri" w:cs="Calibri"/>
          <w:b/>
          <w:sz w:val="22"/>
          <w:szCs w:val="22"/>
          <w:lang w:val="fr-FR"/>
        </w:rPr>
        <w:t>L’Iraq</w:t>
      </w:r>
      <w:r w:rsidRPr="003859B4">
        <w:rPr>
          <w:rFonts w:ascii="Calibri" w:hAnsi="Calibri" w:cs="Calibri"/>
          <w:sz w:val="22"/>
          <w:szCs w:val="22"/>
          <w:lang w:val="fr-FR"/>
        </w:rPr>
        <w:t xml:space="preserve"> représente : Asie centrale et de l’Ouest : Bahreïn (suppléant), </w:t>
      </w:r>
      <w:r w:rsidR="005606E1" w:rsidRPr="003859B4">
        <w:rPr>
          <w:rFonts w:ascii="Calibri" w:hAnsi="Calibri" w:cs="Calibri"/>
          <w:sz w:val="22"/>
          <w:szCs w:val="22"/>
          <w:lang w:val="fr-FR"/>
        </w:rPr>
        <w:t xml:space="preserve">Émirats arabes unis, </w:t>
      </w:r>
      <w:r w:rsidRPr="003859B4">
        <w:rPr>
          <w:rFonts w:ascii="Calibri" w:hAnsi="Calibri" w:cs="Calibri"/>
          <w:sz w:val="22"/>
          <w:szCs w:val="22"/>
          <w:lang w:val="fr-FR"/>
        </w:rPr>
        <w:t>Iran</w:t>
      </w:r>
      <w:r w:rsidR="005606E1" w:rsidRPr="003859B4">
        <w:rPr>
          <w:rFonts w:ascii="Calibri" w:hAnsi="Calibri" w:cs="Calibri"/>
          <w:sz w:val="22"/>
          <w:szCs w:val="22"/>
          <w:lang w:val="fr-FR"/>
        </w:rPr>
        <w:t> </w:t>
      </w:r>
      <w:r w:rsidRPr="003859B4">
        <w:rPr>
          <w:rFonts w:ascii="Calibri" w:hAnsi="Calibri" w:cs="Calibri"/>
          <w:sz w:val="22"/>
          <w:szCs w:val="22"/>
          <w:lang w:val="fr-FR"/>
        </w:rPr>
        <w:t xml:space="preserve">(République islamique d’), Jordanie, Kazakhstan, </w:t>
      </w:r>
      <w:r w:rsidR="005606E1" w:rsidRPr="003859B4">
        <w:rPr>
          <w:rFonts w:ascii="Calibri" w:hAnsi="Calibri" w:cs="Calibri"/>
          <w:sz w:val="22"/>
          <w:szCs w:val="22"/>
          <w:lang w:val="fr-FR"/>
        </w:rPr>
        <w:t xml:space="preserve">Kirghizistan, </w:t>
      </w:r>
      <w:r w:rsidRPr="003859B4">
        <w:rPr>
          <w:rFonts w:ascii="Calibri" w:hAnsi="Calibri" w:cs="Calibri"/>
          <w:sz w:val="22"/>
          <w:szCs w:val="22"/>
          <w:lang w:val="fr-FR"/>
        </w:rPr>
        <w:t xml:space="preserve">Koweït, Liban, Oman, </w:t>
      </w:r>
      <w:r w:rsidR="005606E1" w:rsidRPr="003859B4">
        <w:rPr>
          <w:rFonts w:ascii="Calibri" w:hAnsi="Calibri" w:cs="Calibri"/>
          <w:sz w:val="22"/>
          <w:szCs w:val="22"/>
          <w:lang w:val="fr-FR"/>
        </w:rPr>
        <w:t xml:space="preserve">Ouzbékistan, </w:t>
      </w:r>
      <w:r w:rsidRPr="003859B4">
        <w:rPr>
          <w:rFonts w:ascii="Calibri" w:hAnsi="Calibri" w:cs="Calibri"/>
          <w:sz w:val="22"/>
          <w:szCs w:val="22"/>
          <w:lang w:val="fr-FR"/>
        </w:rPr>
        <w:t>République arabe syrienne, Tadjikistan, Turkménistan et Yémen</w:t>
      </w:r>
    </w:p>
    <w:p w:rsidR="00AB56CE" w:rsidRPr="003859B4" w:rsidRDefault="00AB56CE" w:rsidP="00AB56CE">
      <w:pPr>
        <w:ind w:left="426"/>
        <w:rPr>
          <w:rFonts w:ascii="Calibri" w:hAnsi="Calibri" w:cs="Calibri"/>
          <w:sz w:val="22"/>
          <w:szCs w:val="22"/>
          <w:lang w:val="fr-FR"/>
        </w:rPr>
      </w:pPr>
    </w:p>
    <w:p w:rsidR="004036E9" w:rsidRPr="003859B4" w:rsidRDefault="00AB56CE" w:rsidP="00FB3ADD">
      <w:pPr>
        <w:ind w:left="426"/>
        <w:rPr>
          <w:rFonts w:ascii="Calibri" w:hAnsi="Calibri" w:cs="Calibri"/>
          <w:sz w:val="22"/>
          <w:szCs w:val="22"/>
          <w:lang w:val="fr-FR"/>
        </w:rPr>
      </w:pPr>
      <w:r w:rsidRPr="003859B4">
        <w:rPr>
          <w:rFonts w:ascii="Calibri" w:hAnsi="Calibri" w:cs="Calibri"/>
          <w:b/>
          <w:sz w:val="22"/>
          <w:szCs w:val="22"/>
          <w:lang w:val="fr-FR"/>
        </w:rPr>
        <w:t>Le Népal</w:t>
      </w:r>
      <w:r w:rsidR="004036E9" w:rsidRPr="003859B4">
        <w:rPr>
          <w:rFonts w:ascii="Calibri" w:hAnsi="Calibri" w:cs="Calibri"/>
          <w:sz w:val="22"/>
          <w:szCs w:val="22"/>
          <w:lang w:val="fr-FR"/>
        </w:rPr>
        <w:t xml:space="preserve"> repr</w:t>
      </w:r>
      <w:r w:rsidRPr="003859B4">
        <w:rPr>
          <w:rFonts w:ascii="Calibri" w:hAnsi="Calibri" w:cs="Calibri"/>
          <w:sz w:val="22"/>
          <w:szCs w:val="22"/>
          <w:lang w:val="fr-FR"/>
        </w:rPr>
        <w:t>ésente : Asie du Sud et du Sud</w:t>
      </w:r>
      <w:r w:rsidRPr="003859B4">
        <w:rPr>
          <w:rFonts w:ascii="Calibri" w:hAnsi="Calibri" w:cs="Calibri"/>
          <w:sz w:val="22"/>
          <w:szCs w:val="22"/>
          <w:lang w:val="fr-FR"/>
        </w:rPr>
        <w:noBreakHyphen/>
        <w:t>Est :</w:t>
      </w:r>
      <w:r w:rsidR="00D43D8E" w:rsidRPr="003859B4">
        <w:rPr>
          <w:rFonts w:ascii="Calibri" w:hAnsi="Calibri" w:cs="Calibri"/>
          <w:sz w:val="22"/>
          <w:szCs w:val="22"/>
          <w:lang w:val="fr-FR"/>
        </w:rPr>
        <w:t xml:space="preserve"> Bangladesh, Bh</w:t>
      </w:r>
      <w:r w:rsidRPr="003859B4">
        <w:rPr>
          <w:rFonts w:ascii="Calibri" w:hAnsi="Calibri" w:cs="Calibri"/>
          <w:sz w:val="22"/>
          <w:szCs w:val="22"/>
          <w:lang w:val="fr-FR"/>
        </w:rPr>
        <w:t>o</w:t>
      </w:r>
      <w:r w:rsidR="00D43D8E" w:rsidRPr="003859B4">
        <w:rPr>
          <w:rFonts w:ascii="Calibri" w:hAnsi="Calibri" w:cs="Calibri"/>
          <w:sz w:val="22"/>
          <w:szCs w:val="22"/>
          <w:lang w:val="fr-FR"/>
        </w:rPr>
        <w:t>utan, Cambod</w:t>
      </w:r>
      <w:r w:rsidRPr="003859B4">
        <w:rPr>
          <w:rFonts w:ascii="Calibri" w:hAnsi="Calibri" w:cs="Calibri"/>
          <w:sz w:val="22"/>
          <w:szCs w:val="22"/>
          <w:lang w:val="fr-FR"/>
        </w:rPr>
        <w:t>ge</w:t>
      </w:r>
      <w:r w:rsidR="00D43D8E" w:rsidRPr="003859B4">
        <w:rPr>
          <w:rFonts w:ascii="Calibri" w:hAnsi="Calibri" w:cs="Calibri"/>
          <w:sz w:val="22"/>
          <w:szCs w:val="22"/>
          <w:lang w:val="fr-FR"/>
        </w:rPr>
        <w:t>, Ind</w:t>
      </w:r>
      <w:r w:rsidRPr="003859B4">
        <w:rPr>
          <w:rFonts w:ascii="Calibri" w:hAnsi="Calibri" w:cs="Calibri"/>
          <w:sz w:val="22"/>
          <w:szCs w:val="22"/>
          <w:lang w:val="fr-FR"/>
        </w:rPr>
        <w:t>e</w:t>
      </w:r>
      <w:r w:rsidR="00D43D8E" w:rsidRPr="003859B4">
        <w:rPr>
          <w:rFonts w:ascii="Calibri" w:hAnsi="Calibri" w:cs="Calibri"/>
          <w:sz w:val="22"/>
          <w:szCs w:val="22"/>
          <w:lang w:val="fr-FR"/>
        </w:rPr>
        <w:t xml:space="preserve">, </w:t>
      </w:r>
      <w:r w:rsidRPr="003859B4">
        <w:rPr>
          <w:rFonts w:ascii="Calibri" w:hAnsi="Calibri" w:cs="Calibri"/>
          <w:sz w:val="22"/>
          <w:szCs w:val="22"/>
          <w:lang w:val="fr-FR"/>
        </w:rPr>
        <w:t>Indonésie</w:t>
      </w:r>
      <w:r w:rsidR="00D43D8E" w:rsidRPr="003859B4">
        <w:rPr>
          <w:rFonts w:ascii="Calibri" w:hAnsi="Calibri" w:cs="Calibri"/>
          <w:sz w:val="22"/>
          <w:szCs w:val="22"/>
          <w:lang w:val="fr-FR"/>
        </w:rPr>
        <w:t>, Mala</w:t>
      </w:r>
      <w:r w:rsidRPr="003859B4">
        <w:rPr>
          <w:rFonts w:ascii="Calibri" w:hAnsi="Calibri" w:cs="Calibri"/>
          <w:sz w:val="22"/>
          <w:szCs w:val="22"/>
          <w:lang w:val="fr-FR"/>
        </w:rPr>
        <w:t>isie</w:t>
      </w:r>
      <w:r w:rsidR="00D43D8E" w:rsidRPr="003859B4">
        <w:rPr>
          <w:rFonts w:ascii="Calibri" w:hAnsi="Calibri" w:cs="Calibri"/>
          <w:sz w:val="22"/>
          <w:szCs w:val="22"/>
          <w:lang w:val="fr-FR"/>
        </w:rPr>
        <w:t xml:space="preserve">, Myanmar, Pakistan, Philippines, </w:t>
      </w:r>
      <w:r w:rsidR="005606E1" w:rsidRPr="003859B4">
        <w:rPr>
          <w:rFonts w:ascii="Calibri" w:hAnsi="Calibri" w:cs="Calibri"/>
          <w:sz w:val="22"/>
          <w:szCs w:val="22"/>
          <w:lang w:val="fr-FR"/>
        </w:rPr>
        <w:t xml:space="preserve">RDP lao, </w:t>
      </w:r>
      <w:r w:rsidR="00D43D8E" w:rsidRPr="003859B4">
        <w:rPr>
          <w:rFonts w:ascii="Calibri" w:hAnsi="Calibri" w:cs="Calibri"/>
          <w:sz w:val="22"/>
          <w:szCs w:val="22"/>
          <w:lang w:val="fr-FR"/>
        </w:rPr>
        <w:t xml:space="preserve">Sri Lanka, </w:t>
      </w:r>
      <w:r w:rsidRPr="003859B4">
        <w:rPr>
          <w:rFonts w:ascii="Calibri" w:hAnsi="Calibri" w:cs="Calibri"/>
          <w:sz w:val="22"/>
          <w:szCs w:val="22"/>
          <w:lang w:val="fr-FR"/>
        </w:rPr>
        <w:t>Thaïlande</w:t>
      </w:r>
      <w:r w:rsidR="00D43D8E" w:rsidRPr="003859B4">
        <w:rPr>
          <w:rFonts w:ascii="Calibri" w:hAnsi="Calibri" w:cs="Calibri"/>
          <w:sz w:val="22"/>
          <w:szCs w:val="22"/>
          <w:lang w:val="fr-FR"/>
        </w:rPr>
        <w:t xml:space="preserve"> </w:t>
      </w:r>
      <w:r w:rsidRPr="003859B4">
        <w:rPr>
          <w:rFonts w:ascii="Calibri" w:hAnsi="Calibri" w:cs="Calibri"/>
          <w:sz w:val="22"/>
          <w:szCs w:val="22"/>
          <w:lang w:val="fr-FR"/>
        </w:rPr>
        <w:t>et Viet </w:t>
      </w:r>
      <w:r w:rsidR="00D43D8E" w:rsidRPr="003859B4">
        <w:rPr>
          <w:rFonts w:ascii="Calibri" w:hAnsi="Calibri" w:cs="Calibri"/>
          <w:sz w:val="22"/>
          <w:szCs w:val="22"/>
          <w:lang w:val="fr-FR"/>
        </w:rPr>
        <w:t>Nam (</w:t>
      </w:r>
      <w:r w:rsidRPr="003859B4">
        <w:rPr>
          <w:rFonts w:ascii="Calibri" w:hAnsi="Calibri" w:cs="Calibri"/>
          <w:sz w:val="22"/>
          <w:szCs w:val="22"/>
          <w:lang w:val="fr-FR"/>
        </w:rPr>
        <w:t>suppléant</w:t>
      </w:r>
      <w:r w:rsidR="00D43D8E" w:rsidRPr="003859B4">
        <w:rPr>
          <w:rFonts w:ascii="Calibri" w:hAnsi="Calibri" w:cs="Calibri"/>
          <w:sz w:val="22"/>
          <w:szCs w:val="22"/>
          <w:lang w:val="fr-FR"/>
        </w:rPr>
        <w:t>)</w:t>
      </w:r>
    </w:p>
    <w:p w:rsidR="00AB56CE" w:rsidRPr="003859B4" w:rsidRDefault="00AB56CE" w:rsidP="00FB3ADD">
      <w:pPr>
        <w:ind w:left="426"/>
        <w:rPr>
          <w:rFonts w:ascii="Calibri" w:hAnsi="Calibri" w:cs="Calibri"/>
          <w:b/>
          <w:sz w:val="22"/>
          <w:szCs w:val="22"/>
          <w:lang w:val="fr-FR"/>
        </w:rPr>
      </w:pPr>
    </w:p>
    <w:p w:rsidR="004036E9" w:rsidRPr="003859B4" w:rsidRDefault="00AB56CE" w:rsidP="00FB3ADD">
      <w:pPr>
        <w:ind w:left="426"/>
        <w:rPr>
          <w:rFonts w:ascii="Calibri" w:hAnsi="Calibri" w:cs="Calibri"/>
          <w:sz w:val="22"/>
          <w:szCs w:val="22"/>
          <w:lang w:val="fr-FR"/>
        </w:rPr>
      </w:pPr>
      <w:r w:rsidRPr="003859B4">
        <w:rPr>
          <w:rFonts w:ascii="Calibri" w:hAnsi="Calibri" w:cs="Calibri"/>
          <w:b/>
          <w:sz w:val="22"/>
          <w:szCs w:val="22"/>
          <w:lang w:val="fr-FR"/>
        </w:rPr>
        <w:t>La République de Corée</w:t>
      </w:r>
      <w:r w:rsidR="004036E9" w:rsidRPr="003859B4">
        <w:rPr>
          <w:rFonts w:ascii="Calibri" w:hAnsi="Calibri" w:cs="Calibri"/>
          <w:sz w:val="22"/>
          <w:szCs w:val="22"/>
          <w:lang w:val="fr-FR"/>
        </w:rPr>
        <w:t xml:space="preserve"> repr</w:t>
      </w:r>
      <w:r w:rsidRPr="003859B4">
        <w:rPr>
          <w:rFonts w:ascii="Calibri" w:hAnsi="Calibri" w:cs="Calibri"/>
          <w:sz w:val="22"/>
          <w:szCs w:val="22"/>
          <w:lang w:val="fr-FR"/>
        </w:rPr>
        <w:t>ésente :</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Asie de l’Est</w:t>
      </w:r>
      <w:r w:rsidR="00D43D8E" w:rsidRPr="003859B4">
        <w:rPr>
          <w:rFonts w:ascii="Calibri" w:hAnsi="Calibri" w:cs="Calibri"/>
          <w:sz w:val="22"/>
          <w:szCs w:val="22"/>
          <w:lang w:val="fr-FR"/>
        </w:rPr>
        <w:t xml:space="preserve"> : Chin</w:t>
      </w:r>
      <w:r w:rsidRPr="003859B4">
        <w:rPr>
          <w:rFonts w:ascii="Calibri" w:hAnsi="Calibri" w:cs="Calibri"/>
          <w:sz w:val="22"/>
          <w:szCs w:val="22"/>
          <w:lang w:val="fr-FR"/>
        </w:rPr>
        <w:t>e</w:t>
      </w:r>
      <w:r w:rsidR="00D43D8E" w:rsidRPr="003859B4">
        <w:rPr>
          <w:rFonts w:ascii="Calibri" w:hAnsi="Calibri" w:cs="Calibri"/>
          <w:sz w:val="22"/>
          <w:szCs w:val="22"/>
          <w:lang w:val="fr-FR"/>
        </w:rPr>
        <w:t>, Jap</w:t>
      </w:r>
      <w:r w:rsidRPr="003859B4">
        <w:rPr>
          <w:rFonts w:ascii="Calibri" w:hAnsi="Calibri" w:cs="Calibri"/>
          <w:sz w:val="22"/>
          <w:szCs w:val="22"/>
          <w:lang w:val="fr-FR"/>
        </w:rPr>
        <w:t>o</w:t>
      </w:r>
      <w:r w:rsidR="00D43D8E" w:rsidRPr="003859B4">
        <w:rPr>
          <w:rFonts w:ascii="Calibri" w:hAnsi="Calibri" w:cs="Calibri"/>
          <w:sz w:val="22"/>
          <w:szCs w:val="22"/>
          <w:lang w:val="fr-FR"/>
        </w:rPr>
        <w:t>n (</w:t>
      </w:r>
      <w:r w:rsidRPr="003859B4">
        <w:rPr>
          <w:rFonts w:ascii="Calibri" w:hAnsi="Calibri" w:cs="Calibri"/>
          <w:sz w:val="22"/>
          <w:szCs w:val="22"/>
          <w:lang w:val="fr-FR"/>
        </w:rPr>
        <w:t>suppléant</w:t>
      </w:r>
      <w:r w:rsidR="00D43D8E" w:rsidRPr="003859B4">
        <w:rPr>
          <w:rFonts w:ascii="Calibri" w:hAnsi="Calibri" w:cs="Calibri"/>
          <w:sz w:val="22"/>
          <w:szCs w:val="22"/>
          <w:lang w:val="fr-FR"/>
        </w:rPr>
        <w:t xml:space="preserve">) </w:t>
      </w:r>
      <w:r w:rsidRPr="003859B4">
        <w:rPr>
          <w:rFonts w:ascii="Calibri" w:hAnsi="Calibri" w:cs="Calibri"/>
          <w:sz w:val="22"/>
          <w:szCs w:val="22"/>
          <w:lang w:val="fr-FR"/>
        </w:rPr>
        <w:t xml:space="preserve">et </w:t>
      </w:r>
      <w:r w:rsidR="00D43D8E" w:rsidRPr="003859B4">
        <w:rPr>
          <w:rFonts w:ascii="Calibri" w:hAnsi="Calibri" w:cs="Calibri"/>
          <w:sz w:val="22"/>
          <w:szCs w:val="22"/>
          <w:lang w:val="fr-FR"/>
        </w:rPr>
        <w:t>Mongoli</w:t>
      </w:r>
      <w:r w:rsidRPr="003859B4">
        <w:rPr>
          <w:rFonts w:ascii="Calibri" w:hAnsi="Calibri" w:cs="Calibri"/>
          <w:sz w:val="22"/>
          <w:szCs w:val="22"/>
          <w:lang w:val="fr-FR"/>
        </w:rPr>
        <w:t>e</w:t>
      </w:r>
    </w:p>
    <w:p w:rsidR="004036E9" w:rsidRPr="003859B4" w:rsidRDefault="004036E9" w:rsidP="004036E9">
      <w:pPr>
        <w:ind w:left="567"/>
        <w:rPr>
          <w:rFonts w:ascii="Calibri" w:hAnsi="Calibri" w:cs="Calibri"/>
          <w:sz w:val="22"/>
          <w:szCs w:val="22"/>
          <w:lang w:val="fr-FR"/>
        </w:rPr>
      </w:pPr>
    </w:p>
    <w:p w:rsidR="004036E9" w:rsidRPr="003859B4" w:rsidRDefault="004036E9"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lang w:val="fr-FR"/>
        </w:rPr>
      </w:pPr>
      <w:r w:rsidRPr="003859B4">
        <w:rPr>
          <w:rStyle w:val="Strong"/>
          <w:rFonts w:ascii="Calibri" w:hAnsi="Calibri" w:cs="Calibri"/>
          <w:sz w:val="22"/>
          <w:szCs w:val="22"/>
          <w:lang w:val="fr-FR"/>
        </w:rPr>
        <w:t>Europe</w:t>
      </w:r>
      <w:r w:rsidR="00AB56CE" w:rsidRPr="003859B4">
        <w:rPr>
          <w:rStyle w:val="Strong"/>
          <w:rFonts w:ascii="Calibri" w:hAnsi="Calibri" w:cs="Calibri"/>
          <w:sz w:val="22"/>
          <w:szCs w:val="22"/>
          <w:lang w:val="fr-FR"/>
        </w:rPr>
        <w:t xml:space="preserve"> </w:t>
      </w:r>
      <w:r w:rsidRPr="003859B4">
        <w:rPr>
          <w:rFonts w:ascii="Calibri" w:hAnsi="Calibri" w:cs="Calibri"/>
          <w:sz w:val="22"/>
          <w:szCs w:val="22"/>
          <w:lang w:val="fr-FR"/>
        </w:rPr>
        <w:t xml:space="preserve">: </w:t>
      </w:r>
      <w:r w:rsidR="0086049B" w:rsidRPr="003859B4">
        <w:rPr>
          <w:rFonts w:ascii="Calibri" w:hAnsi="Calibri" w:cs="Calibri"/>
          <w:b/>
          <w:sz w:val="22"/>
          <w:szCs w:val="22"/>
          <w:lang w:val="fr-FR"/>
        </w:rPr>
        <w:t>Arm</w:t>
      </w:r>
      <w:r w:rsidR="00AB56CE" w:rsidRPr="003859B4">
        <w:rPr>
          <w:rFonts w:ascii="Calibri" w:hAnsi="Calibri" w:cs="Calibri"/>
          <w:b/>
          <w:sz w:val="22"/>
          <w:szCs w:val="22"/>
          <w:lang w:val="fr-FR"/>
        </w:rPr>
        <w:t>énie</w:t>
      </w:r>
      <w:r w:rsidR="0086049B" w:rsidRPr="003859B4">
        <w:rPr>
          <w:rFonts w:ascii="Calibri" w:hAnsi="Calibri" w:cs="Calibri"/>
          <w:b/>
          <w:sz w:val="22"/>
          <w:szCs w:val="22"/>
          <w:lang w:val="fr-FR"/>
        </w:rPr>
        <w:t xml:space="preserve">, </w:t>
      </w:r>
      <w:r w:rsidR="00AB56CE" w:rsidRPr="003859B4">
        <w:rPr>
          <w:rFonts w:ascii="Calibri" w:hAnsi="Calibri" w:cs="Calibri"/>
          <w:b/>
          <w:sz w:val="22"/>
          <w:szCs w:val="22"/>
          <w:lang w:val="fr-FR"/>
        </w:rPr>
        <w:t>Azerbaïdjan</w:t>
      </w:r>
      <w:r w:rsidR="0086049B" w:rsidRPr="003859B4">
        <w:rPr>
          <w:rFonts w:ascii="Calibri" w:hAnsi="Calibri" w:cs="Calibri"/>
          <w:b/>
          <w:sz w:val="22"/>
          <w:szCs w:val="22"/>
          <w:lang w:val="fr-FR"/>
        </w:rPr>
        <w:t xml:space="preserve">, </w:t>
      </w:r>
      <w:r w:rsidR="00AB56CE" w:rsidRPr="003859B4">
        <w:rPr>
          <w:rFonts w:ascii="Calibri" w:hAnsi="Calibri" w:cs="Calibri"/>
          <w:b/>
          <w:sz w:val="22"/>
          <w:szCs w:val="22"/>
          <w:lang w:val="fr-FR"/>
        </w:rPr>
        <w:t>Estonie</w:t>
      </w:r>
      <w:r w:rsidR="0023268F" w:rsidRPr="003859B4">
        <w:rPr>
          <w:rFonts w:ascii="Calibri" w:hAnsi="Calibri" w:cs="Calibri"/>
          <w:b/>
          <w:sz w:val="22"/>
          <w:szCs w:val="22"/>
          <w:lang w:val="fr-FR"/>
        </w:rPr>
        <w:t xml:space="preserve"> et </w:t>
      </w:r>
      <w:r w:rsidR="00AB56CE" w:rsidRPr="003859B4">
        <w:rPr>
          <w:rFonts w:ascii="Calibri" w:hAnsi="Calibri" w:cs="Calibri"/>
          <w:b/>
          <w:sz w:val="22"/>
          <w:szCs w:val="22"/>
          <w:lang w:val="fr-FR"/>
        </w:rPr>
        <w:t>Roumanie</w:t>
      </w:r>
      <w:r w:rsidRPr="003859B4">
        <w:rPr>
          <w:rFonts w:ascii="Calibri" w:hAnsi="Calibri" w:cs="Calibri"/>
          <w:sz w:val="22"/>
          <w:szCs w:val="22"/>
          <w:lang w:val="fr-FR"/>
        </w:rPr>
        <w:t xml:space="preserve"> (</w:t>
      </w:r>
      <w:r w:rsidR="00CE708B">
        <w:rPr>
          <w:rFonts w:ascii="Calibri" w:hAnsi="Calibri" w:cs="Calibri"/>
          <w:sz w:val="22"/>
          <w:szCs w:val="22"/>
          <w:lang w:val="fr-FR"/>
        </w:rPr>
        <w:t>m</w:t>
      </w:r>
      <w:r w:rsidR="00AB56CE" w:rsidRPr="003859B4">
        <w:rPr>
          <w:rFonts w:ascii="Calibri" w:hAnsi="Calibri" w:cs="Calibri"/>
          <w:sz w:val="22"/>
          <w:szCs w:val="22"/>
          <w:lang w:val="fr-FR"/>
        </w:rPr>
        <w:t>embres suppléants </w:t>
      </w:r>
      <w:r w:rsidRPr="003859B4">
        <w:rPr>
          <w:rFonts w:ascii="Calibri" w:hAnsi="Calibri" w:cs="Calibri"/>
          <w:sz w:val="22"/>
          <w:szCs w:val="22"/>
          <w:lang w:val="fr-FR"/>
        </w:rPr>
        <w:t xml:space="preserve">: </w:t>
      </w:r>
      <w:r w:rsidR="0023268F" w:rsidRPr="003859B4">
        <w:rPr>
          <w:rFonts w:ascii="Calibri" w:hAnsi="Calibri" w:cs="Calibri"/>
          <w:sz w:val="22"/>
          <w:szCs w:val="22"/>
          <w:lang w:val="fr-FR"/>
        </w:rPr>
        <w:t xml:space="preserve">Fédération de Russie, France et </w:t>
      </w:r>
      <w:r w:rsidR="0086049B" w:rsidRPr="003859B4">
        <w:rPr>
          <w:rFonts w:ascii="Calibri" w:hAnsi="Calibri" w:cs="Calibri"/>
          <w:sz w:val="22"/>
          <w:szCs w:val="22"/>
          <w:lang w:val="fr-FR"/>
        </w:rPr>
        <w:t>Ukraine</w:t>
      </w:r>
      <w:r w:rsidRPr="003859B4">
        <w:rPr>
          <w:rFonts w:ascii="Calibri" w:hAnsi="Calibri" w:cs="Calibri"/>
          <w:sz w:val="22"/>
          <w:szCs w:val="22"/>
          <w:lang w:val="fr-FR"/>
        </w:rPr>
        <w:t>)</w:t>
      </w:r>
    </w:p>
    <w:p w:rsidR="004036E9" w:rsidRPr="003859B4" w:rsidRDefault="004036E9" w:rsidP="004036E9">
      <w:pPr>
        <w:ind w:left="567"/>
        <w:rPr>
          <w:rFonts w:ascii="Calibri" w:hAnsi="Calibri" w:cs="Calibri"/>
          <w:b/>
          <w:sz w:val="22"/>
          <w:szCs w:val="22"/>
          <w:lang w:val="fr-FR"/>
        </w:rPr>
      </w:pPr>
    </w:p>
    <w:p w:rsidR="004036E9" w:rsidRPr="003859B4" w:rsidRDefault="0023268F" w:rsidP="00FB3ADD">
      <w:pPr>
        <w:ind w:left="426"/>
        <w:rPr>
          <w:rFonts w:ascii="Calibri" w:hAnsi="Calibri" w:cs="Calibri"/>
          <w:sz w:val="22"/>
          <w:szCs w:val="22"/>
          <w:lang w:val="fr-FR"/>
        </w:rPr>
      </w:pPr>
      <w:r w:rsidRPr="003859B4">
        <w:rPr>
          <w:rFonts w:ascii="Calibri" w:hAnsi="Calibri" w:cs="Calibri"/>
          <w:b/>
          <w:sz w:val="22"/>
          <w:szCs w:val="22"/>
          <w:lang w:val="fr-FR"/>
        </w:rPr>
        <w:t>L’</w:t>
      </w:r>
      <w:r w:rsidR="0086049B" w:rsidRPr="003859B4">
        <w:rPr>
          <w:rFonts w:ascii="Calibri" w:hAnsi="Calibri" w:cs="Calibri"/>
          <w:b/>
          <w:sz w:val="22"/>
          <w:szCs w:val="22"/>
          <w:lang w:val="fr-FR"/>
        </w:rPr>
        <w:t>Arm</w:t>
      </w:r>
      <w:r w:rsidRPr="003859B4">
        <w:rPr>
          <w:rFonts w:ascii="Calibri" w:hAnsi="Calibri" w:cs="Calibri"/>
          <w:b/>
          <w:sz w:val="22"/>
          <w:szCs w:val="22"/>
          <w:lang w:val="fr-FR"/>
        </w:rPr>
        <w:t>énie</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 xml:space="preserve">représente : </w:t>
      </w:r>
      <w:r w:rsidR="0086049B" w:rsidRPr="003859B4">
        <w:rPr>
          <w:rFonts w:ascii="Calibri" w:hAnsi="Calibri" w:cs="Calibri"/>
          <w:sz w:val="22"/>
          <w:szCs w:val="22"/>
          <w:lang w:val="fr-FR"/>
        </w:rPr>
        <w:t>B</w:t>
      </w:r>
      <w:r w:rsidRPr="003859B4">
        <w:rPr>
          <w:rFonts w:ascii="Calibri" w:hAnsi="Calibri" w:cs="Calibri"/>
          <w:sz w:val="22"/>
          <w:szCs w:val="22"/>
          <w:lang w:val="fr-FR"/>
        </w:rPr>
        <w:t>é</w:t>
      </w:r>
      <w:r w:rsidR="0086049B" w:rsidRPr="003859B4">
        <w:rPr>
          <w:rFonts w:ascii="Calibri" w:hAnsi="Calibri" w:cs="Calibri"/>
          <w:sz w:val="22"/>
          <w:szCs w:val="22"/>
          <w:lang w:val="fr-FR"/>
        </w:rPr>
        <w:t xml:space="preserve">larus, </w:t>
      </w:r>
      <w:r w:rsidRPr="003859B4">
        <w:rPr>
          <w:rFonts w:ascii="Calibri" w:hAnsi="Calibri" w:cs="Calibri"/>
          <w:sz w:val="22"/>
          <w:szCs w:val="22"/>
          <w:lang w:val="fr-FR"/>
        </w:rPr>
        <w:t>Chypre, Croatie</w:t>
      </w:r>
      <w:r w:rsidR="0086049B" w:rsidRPr="003859B4">
        <w:rPr>
          <w:rFonts w:ascii="Calibri" w:hAnsi="Calibri" w:cs="Calibri"/>
          <w:sz w:val="22"/>
          <w:szCs w:val="22"/>
          <w:lang w:val="fr-FR"/>
        </w:rPr>
        <w:t xml:space="preserve">, </w:t>
      </w:r>
      <w:r w:rsidRPr="003859B4">
        <w:rPr>
          <w:rFonts w:ascii="Calibri" w:hAnsi="Calibri" w:cs="Calibri"/>
          <w:sz w:val="22"/>
          <w:szCs w:val="22"/>
          <w:lang w:val="fr-FR"/>
        </w:rPr>
        <w:t>Fédération de Russie, Géorgie</w:t>
      </w:r>
      <w:r w:rsidR="0086049B" w:rsidRPr="003859B4">
        <w:rPr>
          <w:rFonts w:ascii="Calibri" w:hAnsi="Calibri" w:cs="Calibri"/>
          <w:sz w:val="22"/>
          <w:szCs w:val="22"/>
          <w:lang w:val="fr-FR"/>
        </w:rPr>
        <w:t>,</w:t>
      </w:r>
      <w:r w:rsidR="0058093B" w:rsidRPr="003859B4">
        <w:rPr>
          <w:rFonts w:ascii="Calibri" w:hAnsi="Calibri" w:cs="Calibri"/>
          <w:sz w:val="22"/>
          <w:szCs w:val="22"/>
          <w:lang w:val="fr-FR"/>
        </w:rPr>
        <w:t xml:space="preserve"> </w:t>
      </w:r>
      <w:r w:rsidRPr="003859B4">
        <w:rPr>
          <w:rFonts w:ascii="Calibri" w:hAnsi="Calibri" w:cs="Calibri"/>
          <w:sz w:val="22"/>
          <w:szCs w:val="22"/>
          <w:lang w:val="fr-FR"/>
        </w:rPr>
        <w:t>Grèce</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Islande</w:t>
      </w:r>
      <w:r w:rsidR="0086049B" w:rsidRPr="003859B4">
        <w:rPr>
          <w:rFonts w:ascii="Calibri" w:hAnsi="Calibri" w:cs="Calibri"/>
          <w:sz w:val="22"/>
          <w:szCs w:val="22"/>
          <w:lang w:val="fr-FR"/>
        </w:rPr>
        <w:t xml:space="preserve">, </w:t>
      </w:r>
      <w:r w:rsidRPr="003859B4">
        <w:rPr>
          <w:rFonts w:ascii="Calibri" w:hAnsi="Calibri" w:cs="Calibri"/>
          <w:sz w:val="22"/>
          <w:szCs w:val="22"/>
          <w:lang w:val="fr-FR"/>
        </w:rPr>
        <w:t>Monténégro</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Norvège</w:t>
      </w:r>
      <w:r w:rsidR="0086049B" w:rsidRPr="003859B4">
        <w:rPr>
          <w:rFonts w:ascii="Calibri" w:hAnsi="Calibri" w:cs="Calibri"/>
          <w:sz w:val="22"/>
          <w:szCs w:val="22"/>
          <w:lang w:val="fr-FR"/>
        </w:rPr>
        <w:t xml:space="preserve">, </w:t>
      </w:r>
      <w:r w:rsidRPr="003859B4">
        <w:rPr>
          <w:rFonts w:ascii="Calibri" w:hAnsi="Calibri" w:cs="Calibri"/>
          <w:sz w:val="22"/>
          <w:szCs w:val="22"/>
          <w:lang w:val="fr-FR"/>
        </w:rPr>
        <w:t>Serbie</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et</w:t>
      </w:r>
      <w:r w:rsidR="004036E9" w:rsidRPr="003859B4">
        <w:rPr>
          <w:rFonts w:ascii="Calibri" w:hAnsi="Calibri" w:cs="Calibri"/>
          <w:sz w:val="22"/>
          <w:szCs w:val="22"/>
          <w:lang w:val="fr-FR"/>
        </w:rPr>
        <w:t xml:space="preserve"> </w:t>
      </w:r>
      <w:r w:rsidR="0086049B" w:rsidRPr="003859B4">
        <w:rPr>
          <w:rFonts w:ascii="Calibri" w:hAnsi="Calibri" w:cs="Calibri"/>
          <w:sz w:val="22"/>
          <w:szCs w:val="22"/>
          <w:lang w:val="fr-FR"/>
        </w:rPr>
        <w:t>Ukraine</w:t>
      </w:r>
      <w:r w:rsidR="006E5062" w:rsidRPr="003859B4">
        <w:rPr>
          <w:rFonts w:ascii="Calibri" w:hAnsi="Calibri" w:cs="Calibri"/>
          <w:sz w:val="22"/>
          <w:szCs w:val="22"/>
          <w:lang w:val="fr-FR"/>
        </w:rPr>
        <w:t xml:space="preserve"> </w:t>
      </w:r>
    </w:p>
    <w:p w:rsidR="004036E9" w:rsidRPr="003859B4" w:rsidRDefault="004036E9" w:rsidP="00FB3ADD">
      <w:pPr>
        <w:ind w:left="426"/>
        <w:rPr>
          <w:rFonts w:ascii="Calibri" w:hAnsi="Calibri" w:cs="Calibri"/>
          <w:sz w:val="22"/>
          <w:szCs w:val="22"/>
          <w:lang w:val="fr-FR"/>
        </w:rPr>
      </w:pPr>
    </w:p>
    <w:p w:rsidR="004036E9" w:rsidRPr="003859B4" w:rsidRDefault="0023268F" w:rsidP="00FB3ADD">
      <w:pPr>
        <w:ind w:left="426"/>
        <w:rPr>
          <w:rFonts w:ascii="Calibri" w:hAnsi="Calibri" w:cs="Calibri"/>
          <w:sz w:val="22"/>
          <w:szCs w:val="22"/>
          <w:lang w:val="fr-FR"/>
        </w:rPr>
      </w:pPr>
      <w:r w:rsidRPr="003859B4">
        <w:rPr>
          <w:rFonts w:ascii="Calibri" w:hAnsi="Calibri" w:cs="Calibri"/>
          <w:b/>
          <w:sz w:val="22"/>
          <w:szCs w:val="22"/>
          <w:lang w:val="fr-FR"/>
        </w:rPr>
        <w:t>L’Azerbaïdjan</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représente : Albanie</w:t>
      </w:r>
      <w:r w:rsidR="0086049B" w:rsidRPr="003859B4">
        <w:rPr>
          <w:rFonts w:ascii="Calibri" w:hAnsi="Calibri" w:cs="Calibri"/>
          <w:sz w:val="22"/>
          <w:szCs w:val="22"/>
          <w:lang w:val="fr-FR"/>
        </w:rPr>
        <w:t xml:space="preserve">, </w:t>
      </w:r>
      <w:r w:rsidRPr="003859B4">
        <w:rPr>
          <w:rFonts w:ascii="Calibri" w:hAnsi="Calibri" w:cs="Calibri"/>
          <w:sz w:val="22"/>
          <w:szCs w:val="22"/>
          <w:lang w:val="fr-FR"/>
        </w:rPr>
        <w:t>Bosnie-Herzégovine</w:t>
      </w:r>
      <w:r w:rsidR="0086049B" w:rsidRPr="003859B4">
        <w:rPr>
          <w:rFonts w:ascii="Calibri" w:hAnsi="Calibri" w:cs="Calibri"/>
          <w:sz w:val="22"/>
          <w:szCs w:val="22"/>
          <w:lang w:val="fr-FR"/>
        </w:rPr>
        <w:t xml:space="preserve">, </w:t>
      </w:r>
      <w:r w:rsidRPr="003859B4">
        <w:rPr>
          <w:rFonts w:ascii="Calibri" w:hAnsi="Calibri" w:cs="Calibri"/>
          <w:sz w:val="22"/>
          <w:szCs w:val="22"/>
          <w:lang w:val="fr-FR"/>
        </w:rPr>
        <w:t>ex-République yougoslave de Macédoine, Israël</w:t>
      </w:r>
      <w:r w:rsidR="00A757F0" w:rsidRPr="003859B4">
        <w:rPr>
          <w:rFonts w:ascii="Calibri" w:hAnsi="Calibri" w:cs="Calibri"/>
          <w:sz w:val="22"/>
          <w:szCs w:val="22"/>
          <w:lang w:val="fr-FR"/>
        </w:rPr>
        <w:t xml:space="preserve">, Liechtenstein, </w:t>
      </w:r>
      <w:r w:rsidRPr="003859B4">
        <w:rPr>
          <w:rFonts w:ascii="Calibri" w:hAnsi="Calibri" w:cs="Calibri"/>
          <w:sz w:val="22"/>
          <w:szCs w:val="22"/>
          <w:lang w:val="fr-FR"/>
        </w:rPr>
        <w:t>Pologne</w:t>
      </w:r>
      <w:r w:rsidR="00A757F0" w:rsidRPr="003859B4">
        <w:rPr>
          <w:rFonts w:ascii="Calibri" w:hAnsi="Calibri" w:cs="Calibri"/>
          <w:sz w:val="22"/>
          <w:szCs w:val="22"/>
          <w:lang w:val="fr-FR"/>
        </w:rPr>
        <w:t xml:space="preserve">, </w:t>
      </w:r>
      <w:r w:rsidRPr="003859B4">
        <w:rPr>
          <w:rFonts w:ascii="Calibri" w:hAnsi="Calibri" w:cs="Calibri"/>
          <w:sz w:val="22"/>
          <w:szCs w:val="22"/>
          <w:lang w:val="fr-FR"/>
        </w:rPr>
        <w:t xml:space="preserve">République tchèque, Royaume-Uni, Slovaquie et Turquie </w:t>
      </w:r>
    </w:p>
    <w:p w:rsidR="004036E9" w:rsidRPr="003859B4" w:rsidRDefault="004036E9" w:rsidP="00FB3ADD">
      <w:pPr>
        <w:ind w:left="426"/>
        <w:rPr>
          <w:rFonts w:ascii="Calibri" w:hAnsi="Calibri" w:cs="Calibri"/>
          <w:sz w:val="22"/>
          <w:szCs w:val="22"/>
          <w:lang w:val="fr-FR"/>
        </w:rPr>
      </w:pPr>
    </w:p>
    <w:p w:rsidR="004036E9" w:rsidRPr="003859B4" w:rsidRDefault="0023268F" w:rsidP="00FB3ADD">
      <w:pPr>
        <w:ind w:left="426"/>
        <w:rPr>
          <w:rFonts w:ascii="Calibri" w:hAnsi="Calibri" w:cs="Calibri"/>
          <w:sz w:val="22"/>
          <w:szCs w:val="22"/>
          <w:lang w:val="fr-FR"/>
        </w:rPr>
      </w:pPr>
      <w:r w:rsidRPr="003859B4">
        <w:rPr>
          <w:rFonts w:ascii="Calibri" w:hAnsi="Calibri" w:cs="Calibri"/>
          <w:b/>
          <w:sz w:val="22"/>
          <w:szCs w:val="22"/>
          <w:lang w:val="fr-FR"/>
        </w:rPr>
        <w:t>L’Estonie</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représente : Allemagne, Autriche</w:t>
      </w:r>
      <w:r w:rsidR="00A757F0" w:rsidRPr="003859B4">
        <w:rPr>
          <w:rFonts w:ascii="Calibri" w:hAnsi="Calibri" w:cs="Calibri"/>
          <w:sz w:val="22"/>
          <w:szCs w:val="22"/>
          <w:lang w:val="fr-FR"/>
        </w:rPr>
        <w:t>, Belgi</w:t>
      </w:r>
      <w:r w:rsidRPr="003859B4">
        <w:rPr>
          <w:rFonts w:ascii="Calibri" w:hAnsi="Calibri" w:cs="Calibri"/>
          <w:sz w:val="22"/>
          <w:szCs w:val="22"/>
          <w:lang w:val="fr-FR"/>
        </w:rPr>
        <w:t>que, Danemark</w:t>
      </w:r>
      <w:r w:rsidR="00A757F0" w:rsidRPr="003859B4">
        <w:rPr>
          <w:rFonts w:ascii="Calibri" w:hAnsi="Calibri" w:cs="Calibri"/>
          <w:sz w:val="22"/>
          <w:szCs w:val="22"/>
          <w:lang w:val="fr-FR"/>
        </w:rPr>
        <w:t xml:space="preserve">, </w:t>
      </w:r>
      <w:r w:rsidRPr="003859B4">
        <w:rPr>
          <w:rFonts w:ascii="Calibri" w:hAnsi="Calibri" w:cs="Calibri"/>
          <w:sz w:val="22"/>
          <w:szCs w:val="22"/>
          <w:lang w:val="fr-FR"/>
        </w:rPr>
        <w:t>Finlande</w:t>
      </w:r>
      <w:r w:rsidR="00A757F0" w:rsidRPr="003859B4">
        <w:rPr>
          <w:rFonts w:ascii="Calibri" w:hAnsi="Calibri" w:cs="Calibri"/>
          <w:sz w:val="22"/>
          <w:szCs w:val="22"/>
          <w:lang w:val="fr-FR"/>
        </w:rPr>
        <w:t>,</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Irlande</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Lettonie</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Lituanie</w:t>
      </w:r>
      <w:r w:rsidR="004036E9" w:rsidRPr="003859B4">
        <w:rPr>
          <w:rFonts w:ascii="Calibri" w:hAnsi="Calibri" w:cs="Calibri"/>
          <w:sz w:val="22"/>
          <w:szCs w:val="22"/>
          <w:lang w:val="fr-FR"/>
        </w:rPr>
        <w:t xml:space="preserve">, </w:t>
      </w:r>
      <w:r w:rsidR="00A757F0" w:rsidRPr="003859B4">
        <w:rPr>
          <w:rFonts w:ascii="Calibri" w:hAnsi="Calibri" w:cs="Calibri"/>
          <w:sz w:val="22"/>
          <w:szCs w:val="22"/>
          <w:lang w:val="fr-FR"/>
        </w:rPr>
        <w:t>Luxemb</w:t>
      </w:r>
      <w:r w:rsidRPr="003859B4">
        <w:rPr>
          <w:rFonts w:ascii="Calibri" w:hAnsi="Calibri" w:cs="Calibri"/>
          <w:sz w:val="22"/>
          <w:szCs w:val="22"/>
          <w:lang w:val="fr-FR"/>
        </w:rPr>
        <w:t>o</w:t>
      </w:r>
      <w:r w:rsidR="00A757F0" w:rsidRPr="003859B4">
        <w:rPr>
          <w:rFonts w:ascii="Calibri" w:hAnsi="Calibri" w:cs="Calibri"/>
          <w:sz w:val="22"/>
          <w:szCs w:val="22"/>
          <w:lang w:val="fr-FR"/>
        </w:rPr>
        <w:t xml:space="preserve">urg, </w:t>
      </w:r>
      <w:r w:rsidRPr="003859B4">
        <w:rPr>
          <w:rFonts w:ascii="Calibri" w:hAnsi="Calibri" w:cs="Calibri"/>
          <w:sz w:val="22"/>
          <w:szCs w:val="22"/>
          <w:lang w:val="fr-FR"/>
        </w:rPr>
        <w:t>Pays-Bas et Suède</w:t>
      </w:r>
      <w:r w:rsidR="004036E9" w:rsidRPr="003859B4">
        <w:rPr>
          <w:rFonts w:ascii="Calibri" w:hAnsi="Calibri" w:cs="Calibri"/>
          <w:sz w:val="22"/>
          <w:szCs w:val="22"/>
          <w:lang w:val="fr-FR"/>
        </w:rPr>
        <w:t xml:space="preserve"> </w:t>
      </w:r>
    </w:p>
    <w:p w:rsidR="004036E9" w:rsidRPr="003859B4" w:rsidRDefault="004036E9" w:rsidP="00FB3ADD">
      <w:pPr>
        <w:ind w:left="426"/>
        <w:rPr>
          <w:rFonts w:ascii="Calibri" w:hAnsi="Calibri" w:cs="Calibri"/>
          <w:sz w:val="22"/>
          <w:szCs w:val="22"/>
          <w:lang w:val="fr-FR"/>
        </w:rPr>
      </w:pPr>
    </w:p>
    <w:p w:rsidR="004036E9" w:rsidRPr="003859B4" w:rsidRDefault="0023268F" w:rsidP="00FB3ADD">
      <w:pPr>
        <w:ind w:left="426"/>
        <w:rPr>
          <w:rFonts w:ascii="Calibri" w:hAnsi="Calibri" w:cs="Calibri"/>
          <w:sz w:val="22"/>
          <w:szCs w:val="22"/>
          <w:lang w:val="fr-FR"/>
        </w:rPr>
      </w:pPr>
      <w:r w:rsidRPr="003859B4">
        <w:rPr>
          <w:rFonts w:ascii="Calibri" w:hAnsi="Calibri" w:cs="Calibri"/>
          <w:b/>
          <w:sz w:val="22"/>
          <w:szCs w:val="22"/>
          <w:lang w:val="fr-FR"/>
        </w:rPr>
        <w:t>La Roumanie</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représente : Andorre</w:t>
      </w:r>
      <w:r w:rsidR="004036E9" w:rsidRPr="003859B4">
        <w:rPr>
          <w:rFonts w:ascii="Calibri" w:hAnsi="Calibri" w:cs="Calibri"/>
          <w:sz w:val="22"/>
          <w:szCs w:val="22"/>
          <w:lang w:val="fr-FR"/>
        </w:rPr>
        <w:t xml:space="preserve">, </w:t>
      </w:r>
      <w:r w:rsidRPr="003859B4">
        <w:rPr>
          <w:rFonts w:ascii="Calibri" w:hAnsi="Calibri" w:cs="Calibri"/>
          <w:sz w:val="22"/>
          <w:szCs w:val="22"/>
          <w:lang w:val="fr-FR"/>
        </w:rPr>
        <w:t>Bulgarie</w:t>
      </w:r>
      <w:r w:rsidR="00A757F0" w:rsidRPr="003859B4">
        <w:rPr>
          <w:rFonts w:ascii="Calibri" w:hAnsi="Calibri" w:cs="Calibri"/>
          <w:sz w:val="22"/>
          <w:szCs w:val="22"/>
          <w:lang w:val="fr-FR"/>
        </w:rPr>
        <w:t xml:space="preserve">, </w:t>
      </w:r>
      <w:r w:rsidRPr="003859B4">
        <w:rPr>
          <w:rFonts w:ascii="Calibri" w:hAnsi="Calibri" w:cs="Calibri"/>
          <w:sz w:val="22"/>
          <w:szCs w:val="22"/>
          <w:lang w:val="fr-FR"/>
        </w:rPr>
        <w:t xml:space="preserve">Espagne, </w:t>
      </w:r>
      <w:r w:rsidR="006E5062" w:rsidRPr="003859B4">
        <w:rPr>
          <w:rFonts w:ascii="Calibri" w:hAnsi="Calibri" w:cs="Calibri"/>
          <w:sz w:val="22"/>
          <w:szCs w:val="22"/>
          <w:lang w:val="fr-FR"/>
        </w:rPr>
        <w:t>France</w:t>
      </w:r>
      <w:r w:rsidR="00A757F0" w:rsidRPr="003859B4">
        <w:rPr>
          <w:rFonts w:ascii="Calibri" w:hAnsi="Calibri" w:cs="Calibri"/>
          <w:sz w:val="22"/>
          <w:szCs w:val="22"/>
          <w:lang w:val="fr-FR"/>
        </w:rPr>
        <w:t xml:space="preserve">, </w:t>
      </w:r>
      <w:r w:rsidRPr="003859B4">
        <w:rPr>
          <w:rFonts w:ascii="Calibri" w:hAnsi="Calibri" w:cs="Calibri"/>
          <w:sz w:val="22"/>
          <w:szCs w:val="22"/>
          <w:lang w:val="fr-FR"/>
        </w:rPr>
        <w:t>Hongrie</w:t>
      </w:r>
      <w:r w:rsidR="00A757F0" w:rsidRPr="003859B4">
        <w:rPr>
          <w:rFonts w:ascii="Calibri" w:hAnsi="Calibri" w:cs="Calibri"/>
          <w:sz w:val="22"/>
          <w:szCs w:val="22"/>
          <w:lang w:val="fr-FR"/>
        </w:rPr>
        <w:t>, Ital</w:t>
      </w:r>
      <w:r w:rsidRPr="003859B4">
        <w:rPr>
          <w:rFonts w:ascii="Calibri" w:hAnsi="Calibri" w:cs="Calibri"/>
          <w:sz w:val="22"/>
          <w:szCs w:val="22"/>
          <w:lang w:val="fr-FR"/>
        </w:rPr>
        <w:t>ie, Malte</w:t>
      </w:r>
      <w:r w:rsidR="00A757F0" w:rsidRPr="003859B4">
        <w:rPr>
          <w:rFonts w:ascii="Calibri" w:hAnsi="Calibri" w:cs="Calibri"/>
          <w:sz w:val="22"/>
          <w:szCs w:val="22"/>
          <w:lang w:val="fr-FR"/>
        </w:rPr>
        <w:t xml:space="preserve">, </w:t>
      </w:r>
      <w:r w:rsidR="004036E9" w:rsidRPr="003859B4">
        <w:rPr>
          <w:rFonts w:ascii="Calibri" w:hAnsi="Calibri" w:cs="Calibri"/>
          <w:sz w:val="22"/>
          <w:szCs w:val="22"/>
          <w:lang w:val="fr-FR"/>
        </w:rPr>
        <w:t xml:space="preserve">Monaco, Portugal, </w:t>
      </w:r>
      <w:r w:rsidRPr="003859B4">
        <w:rPr>
          <w:rFonts w:ascii="Calibri" w:hAnsi="Calibri" w:cs="Calibri"/>
          <w:sz w:val="22"/>
          <w:szCs w:val="22"/>
          <w:lang w:val="fr-FR"/>
        </w:rPr>
        <w:t>République</w:t>
      </w:r>
      <w:r w:rsidR="00A757F0" w:rsidRPr="003859B4">
        <w:rPr>
          <w:rFonts w:ascii="Calibri" w:hAnsi="Calibri" w:cs="Calibri"/>
          <w:sz w:val="22"/>
          <w:szCs w:val="22"/>
          <w:lang w:val="fr-FR"/>
        </w:rPr>
        <w:t xml:space="preserve"> </w:t>
      </w:r>
      <w:r w:rsidRPr="003859B4">
        <w:rPr>
          <w:rFonts w:ascii="Calibri" w:hAnsi="Calibri" w:cs="Calibri"/>
          <w:sz w:val="22"/>
          <w:szCs w:val="22"/>
          <w:lang w:val="fr-FR"/>
        </w:rPr>
        <w:t>de Moldova et</w:t>
      </w:r>
      <w:r w:rsidR="00A757F0" w:rsidRPr="003859B4">
        <w:rPr>
          <w:rFonts w:ascii="Calibri" w:hAnsi="Calibri" w:cs="Calibri"/>
          <w:sz w:val="22"/>
          <w:szCs w:val="22"/>
          <w:lang w:val="fr-FR"/>
        </w:rPr>
        <w:t xml:space="preserve"> </w:t>
      </w:r>
      <w:r w:rsidRPr="003859B4">
        <w:rPr>
          <w:rFonts w:ascii="Calibri" w:hAnsi="Calibri" w:cs="Calibri"/>
          <w:sz w:val="22"/>
          <w:szCs w:val="22"/>
          <w:lang w:val="fr-FR"/>
        </w:rPr>
        <w:t>Slovénie</w:t>
      </w:r>
      <w:r w:rsidR="00A757F0" w:rsidRPr="003859B4">
        <w:rPr>
          <w:rFonts w:ascii="Calibri" w:hAnsi="Calibri" w:cs="Calibri"/>
          <w:sz w:val="22"/>
          <w:szCs w:val="22"/>
          <w:lang w:val="fr-FR"/>
        </w:rPr>
        <w:t xml:space="preserve"> </w:t>
      </w:r>
    </w:p>
    <w:p w:rsidR="004036E9" w:rsidRPr="003859B4" w:rsidRDefault="004036E9" w:rsidP="00FB3ADD">
      <w:pPr>
        <w:ind w:left="426"/>
        <w:rPr>
          <w:rFonts w:ascii="Calibri" w:hAnsi="Calibri" w:cs="Calibri"/>
          <w:sz w:val="22"/>
          <w:szCs w:val="22"/>
          <w:lang w:val="fr-FR"/>
        </w:rPr>
      </w:pPr>
    </w:p>
    <w:p w:rsidR="004036E9" w:rsidRPr="003859B4" w:rsidRDefault="0023268F" w:rsidP="00FB3ADD">
      <w:pPr>
        <w:ind w:left="426"/>
        <w:rPr>
          <w:rFonts w:ascii="Calibri" w:hAnsi="Calibri" w:cs="Calibri"/>
          <w:sz w:val="22"/>
          <w:szCs w:val="22"/>
          <w:lang w:val="fr-FR"/>
        </w:rPr>
      </w:pPr>
      <w:r w:rsidRPr="003859B4">
        <w:rPr>
          <w:rFonts w:ascii="Calibri" w:hAnsi="Calibri" w:cs="Calibri"/>
          <w:b/>
          <w:sz w:val="22"/>
          <w:szCs w:val="22"/>
          <w:lang w:val="fr-FR"/>
        </w:rPr>
        <w:t>La Suisse</w:t>
      </w:r>
      <w:r w:rsidR="004036E9" w:rsidRPr="003859B4">
        <w:rPr>
          <w:rFonts w:ascii="Calibri" w:hAnsi="Calibri" w:cs="Calibri"/>
          <w:b/>
          <w:sz w:val="22"/>
          <w:szCs w:val="22"/>
          <w:lang w:val="fr-FR"/>
        </w:rPr>
        <w:t xml:space="preserve"> </w:t>
      </w:r>
      <w:r w:rsidR="004036E9" w:rsidRPr="003859B4">
        <w:rPr>
          <w:rFonts w:ascii="Calibri" w:hAnsi="Calibri" w:cs="Calibri"/>
          <w:sz w:val="22"/>
          <w:szCs w:val="22"/>
          <w:lang w:val="fr-FR"/>
        </w:rPr>
        <w:t>(</w:t>
      </w:r>
      <w:r w:rsidR="006E5062" w:rsidRPr="003859B4">
        <w:rPr>
          <w:rFonts w:ascii="Calibri" w:hAnsi="Calibri" w:cs="Calibri"/>
          <w:sz w:val="22"/>
          <w:szCs w:val="22"/>
          <w:lang w:val="fr-FR"/>
        </w:rPr>
        <w:t>Observateur permanent à toutes les réunions</w:t>
      </w:r>
      <w:r w:rsidR="004036E9" w:rsidRPr="003859B4">
        <w:rPr>
          <w:rFonts w:ascii="Calibri" w:hAnsi="Calibri" w:cs="Calibri"/>
          <w:sz w:val="22"/>
          <w:szCs w:val="22"/>
          <w:lang w:val="fr-FR"/>
        </w:rPr>
        <w:t>)</w:t>
      </w:r>
    </w:p>
    <w:p w:rsidR="004036E9" w:rsidRPr="003859B4" w:rsidRDefault="004036E9" w:rsidP="004036E9">
      <w:pPr>
        <w:ind w:left="567"/>
        <w:rPr>
          <w:rFonts w:ascii="Calibri" w:hAnsi="Calibri" w:cs="Calibri"/>
          <w:sz w:val="22"/>
          <w:szCs w:val="22"/>
          <w:lang w:val="fr-FR"/>
        </w:rPr>
      </w:pPr>
    </w:p>
    <w:p w:rsidR="00565A0C" w:rsidRPr="003859B4" w:rsidRDefault="006E5062"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lang w:val="fr-FR"/>
        </w:rPr>
      </w:pPr>
      <w:r w:rsidRPr="003859B4">
        <w:rPr>
          <w:rStyle w:val="Strong"/>
          <w:rFonts w:ascii="Calibri" w:hAnsi="Calibri" w:cs="Calibri"/>
          <w:sz w:val="22"/>
          <w:szCs w:val="22"/>
          <w:lang w:val="fr-FR"/>
        </w:rPr>
        <w:t>Amérique latine et les Caraïbes</w:t>
      </w:r>
      <w:r w:rsidR="00565A0C" w:rsidRPr="003859B4">
        <w:rPr>
          <w:rStyle w:val="Strong"/>
          <w:rFonts w:ascii="Calibri" w:hAnsi="Calibri" w:cs="Calibri"/>
          <w:sz w:val="22"/>
          <w:szCs w:val="22"/>
          <w:lang w:val="fr-FR"/>
        </w:rPr>
        <w:t xml:space="preserve"> </w:t>
      </w:r>
      <w:r w:rsidR="00565A0C" w:rsidRPr="003859B4">
        <w:rPr>
          <w:rFonts w:ascii="Calibri" w:hAnsi="Calibri" w:cs="Calibri"/>
          <w:sz w:val="22"/>
          <w:szCs w:val="22"/>
          <w:lang w:val="fr-FR"/>
        </w:rPr>
        <w:t xml:space="preserve">: </w:t>
      </w:r>
      <w:r w:rsidR="00565A0C" w:rsidRPr="003859B4">
        <w:rPr>
          <w:rFonts w:ascii="Calibri" w:hAnsi="Calibri" w:cs="Calibri"/>
          <w:b/>
          <w:sz w:val="22"/>
          <w:szCs w:val="22"/>
          <w:lang w:val="fr-FR"/>
        </w:rPr>
        <w:t>Colombi</w:t>
      </w:r>
      <w:r w:rsidRPr="003859B4">
        <w:rPr>
          <w:rFonts w:ascii="Calibri" w:hAnsi="Calibri" w:cs="Calibri"/>
          <w:b/>
          <w:sz w:val="22"/>
          <w:szCs w:val="22"/>
          <w:lang w:val="fr-FR"/>
        </w:rPr>
        <w:t>e</w:t>
      </w:r>
      <w:r w:rsidR="00565A0C" w:rsidRPr="003859B4">
        <w:rPr>
          <w:rFonts w:ascii="Calibri" w:hAnsi="Calibri" w:cs="Calibri"/>
          <w:b/>
          <w:sz w:val="22"/>
          <w:szCs w:val="22"/>
          <w:lang w:val="fr-FR"/>
        </w:rPr>
        <w:t xml:space="preserve">, Honduras </w:t>
      </w:r>
      <w:r w:rsidRPr="003859B4">
        <w:rPr>
          <w:rFonts w:ascii="Calibri" w:hAnsi="Calibri" w:cs="Calibri"/>
          <w:b/>
          <w:sz w:val="22"/>
          <w:szCs w:val="22"/>
          <w:lang w:val="fr-FR"/>
        </w:rPr>
        <w:t>et</w:t>
      </w:r>
      <w:r w:rsidR="00565A0C" w:rsidRPr="003859B4">
        <w:rPr>
          <w:rFonts w:ascii="Calibri" w:hAnsi="Calibri" w:cs="Calibri"/>
          <w:b/>
          <w:sz w:val="22"/>
          <w:szCs w:val="22"/>
          <w:lang w:val="fr-FR"/>
        </w:rPr>
        <w:t xml:space="preserve"> Suriname</w:t>
      </w:r>
      <w:r w:rsidR="00565A0C" w:rsidRPr="003859B4">
        <w:rPr>
          <w:rFonts w:ascii="Calibri" w:hAnsi="Calibri" w:cs="Calibri"/>
          <w:sz w:val="22"/>
          <w:szCs w:val="22"/>
          <w:lang w:val="fr-FR"/>
        </w:rPr>
        <w:t xml:space="preserve"> (</w:t>
      </w:r>
      <w:r w:rsidR="00CE708B">
        <w:rPr>
          <w:rFonts w:ascii="Calibri" w:hAnsi="Calibri" w:cs="Calibri"/>
          <w:sz w:val="22"/>
          <w:szCs w:val="22"/>
          <w:lang w:val="fr-FR"/>
        </w:rPr>
        <w:t>m</w:t>
      </w:r>
      <w:r w:rsidRPr="003859B4">
        <w:rPr>
          <w:rFonts w:ascii="Calibri" w:hAnsi="Calibri" w:cs="Calibri"/>
          <w:sz w:val="22"/>
          <w:szCs w:val="22"/>
          <w:lang w:val="fr-FR"/>
        </w:rPr>
        <w:t>embres suppléants </w:t>
      </w:r>
      <w:r w:rsidR="00565A0C" w:rsidRPr="003859B4">
        <w:rPr>
          <w:rFonts w:ascii="Calibri" w:hAnsi="Calibri" w:cs="Calibri"/>
          <w:sz w:val="22"/>
          <w:szCs w:val="22"/>
          <w:lang w:val="fr-FR"/>
        </w:rPr>
        <w:t>: Argentin</w:t>
      </w:r>
      <w:r w:rsidRPr="003859B4">
        <w:rPr>
          <w:rFonts w:ascii="Calibri" w:hAnsi="Calibri" w:cs="Calibri"/>
          <w:sz w:val="22"/>
          <w:szCs w:val="22"/>
          <w:lang w:val="fr-FR"/>
        </w:rPr>
        <w:t>e, Costa </w:t>
      </w:r>
      <w:r w:rsidR="00565A0C" w:rsidRPr="003859B4">
        <w:rPr>
          <w:rFonts w:ascii="Calibri" w:hAnsi="Calibri" w:cs="Calibri"/>
          <w:sz w:val="22"/>
          <w:szCs w:val="22"/>
          <w:lang w:val="fr-FR"/>
        </w:rPr>
        <w:t xml:space="preserve">Rica </w:t>
      </w:r>
      <w:r w:rsidRPr="003859B4">
        <w:rPr>
          <w:rFonts w:ascii="Calibri" w:hAnsi="Calibri" w:cs="Calibri"/>
          <w:sz w:val="22"/>
          <w:szCs w:val="22"/>
          <w:lang w:val="fr-FR"/>
        </w:rPr>
        <w:t>et</w:t>
      </w:r>
      <w:r w:rsidR="00565A0C" w:rsidRPr="003859B4">
        <w:rPr>
          <w:rFonts w:ascii="Calibri" w:hAnsi="Calibri" w:cs="Calibri"/>
          <w:sz w:val="22"/>
          <w:szCs w:val="22"/>
          <w:lang w:val="fr-FR"/>
        </w:rPr>
        <w:t xml:space="preserve"> Cuba)</w:t>
      </w:r>
    </w:p>
    <w:p w:rsidR="00565A0C" w:rsidRPr="003859B4" w:rsidRDefault="00565A0C" w:rsidP="00565A0C">
      <w:pPr>
        <w:ind w:left="567"/>
        <w:rPr>
          <w:rFonts w:ascii="Calibri" w:hAnsi="Calibri" w:cs="Calibri"/>
          <w:b/>
          <w:sz w:val="22"/>
          <w:szCs w:val="22"/>
          <w:lang w:val="fr-FR"/>
        </w:rPr>
      </w:pPr>
    </w:p>
    <w:p w:rsidR="00565A0C" w:rsidRPr="003859B4" w:rsidRDefault="006E5062" w:rsidP="00FB3ADD">
      <w:pPr>
        <w:ind w:left="426"/>
        <w:rPr>
          <w:rFonts w:ascii="Calibri" w:hAnsi="Calibri" w:cs="Calibri"/>
          <w:sz w:val="22"/>
          <w:szCs w:val="22"/>
          <w:lang w:val="fr-FR"/>
        </w:rPr>
      </w:pPr>
      <w:r w:rsidRPr="003859B4">
        <w:rPr>
          <w:rFonts w:ascii="Calibri" w:hAnsi="Calibri" w:cs="Calibri"/>
          <w:b/>
          <w:sz w:val="22"/>
          <w:szCs w:val="22"/>
          <w:lang w:val="fr-FR"/>
        </w:rPr>
        <w:t xml:space="preserve">La </w:t>
      </w:r>
      <w:r w:rsidR="00565A0C" w:rsidRPr="003859B4">
        <w:rPr>
          <w:rFonts w:ascii="Calibri" w:hAnsi="Calibri" w:cs="Calibri"/>
          <w:b/>
          <w:sz w:val="22"/>
          <w:szCs w:val="22"/>
          <w:lang w:val="fr-FR"/>
        </w:rPr>
        <w:t>Colombi</w:t>
      </w:r>
      <w:r w:rsidRPr="003859B4">
        <w:rPr>
          <w:rFonts w:ascii="Calibri" w:hAnsi="Calibri" w:cs="Calibri"/>
          <w:b/>
          <w:sz w:val="22"/>
          <w:szCs w:val="22"/>
          <w:lang w:val="fr-FR"/>
        </w:rPr>
        <w:t>e</w:t>
      </w:r>
      <w:r w:rsidR="00565A0C" w:rsidRPr="003859B4">
        <w:rPr>
          <w:rFonts w:ascii="Calibri" w:hAnsi="Calibri" w:cs="Calibri"/>
          <w:sz w:val="22"/>
          <w:szCs w:val="22"/>
          <w:lang w:val="fr-FR"/>
        </w:rPr>
        <w:t xml:space="preserve"> </w:t>
      </w:r>
      <w:r w:rsidRPr="003859B4">
        <w:rPr>
          <w:rFonts w:ascii="Calibri" w:hAnsi="Calibri" w:cs="Calibri"/>
          <w:sz w:val="22"/>
          <w:szCs w:val="22"/>
          <w:lang w:val="fr-FR"/>
        </w:rPr>
        <w:t xml:space="preserve">représente : </w:t>
      </w:r>
      <w:r w:rsidR="00565A0C" w:rsidRPr="003859B4">
        <w:rPr>
          <w:rFonts w:ascii="Calibri" w:hAnsi="Calibri" w:cs="Calibri"/>
          <w:sz w:val="22"/>
          <w:szCs w:val="22"/>
          <w:lang w:val="fr-FR"/>
        </w:rPr>
        <w:t>Argentin</w:t>
      </w:r>
      <w:r w:rsidRPr="003859B4">
        <w:rPr>
          <w:rFonts w:ascii="Calibri" w:hAnsi="Calibri" w:cs="Calibri"/>
          <w:sz w:val="22"/>
          <w:szCs w:val="22"/>
          <w:lang w:val="fr-FR"/>
        </w:rPr>
        <w:t>e</w:t>
      </w:r>
      <w:r w:rsidR="00565A0C" w:rsidRPr="003859B4">
        <w:rPr>
          <w:rFonts w:ascii="Calibri" w:hAnsi="Calibri" w:cs="Calibri"/>
          <w:sz w:val="22"/>
          <w:szCs w:val="22"/>
          <w:lang w:val="fr-FR"/>
        </w:rPr>
        <w:t xml:space="preserve"> (</w:t>
      </w:r>
      <w:r w:rsidRPr="003859B4">
        <w:rPr>
          <w:rFonts w:ascii="Calibri" w:hAnsi="Calibri" w:cs="Calibri"/>
          <w:sz w:val="22"/>
          <w:szCs w:val="22"/>
          <w:lang w:val="fr-FR"/>
        </w:rPr>
        <w:t>suppléant</w:t>
      </w:r>
      <w:r w:rsidR="00565A0C" w:rsidRPr="003859B4">
        <w:rPr>
          <w:rFonts w:ascii="Calibri" w:hAnsi="Calibri" w:cs="Calibri"/>
          <w:sz w:val="22"/>
          <w:szCs w:val="22"/>
          <w:lang w:val="fr-FR"/>
        </w:rPr>
        <w:t>), Bolivi</w:t>
      </w:r>
      <w:r w:rsidRPr="003859B4">
        <w:rPr>
          <w:rFonts w:ascii="Calibri" w:hAnsi="Calibri" w:cs="Calibri"/>
          <w:sz w:val="22"/>
          <w:szCs w:val="22"/>
          <w:lang w:val="fr-FR"/>
        </w:rPr>
        <w:t>e</w:t>
      </w:r>
      <w:r w:rsidR="00565A0C" w:rsidRPr="003859B4">
        <w:rPr>
          <w:rFonts w:ascii="Calibri" w:hAnsi="Calibri" w:cs="Calibri"/>
          <w:sz w:val="22"/>
          <w:szCs w:val="22"/>
          <w:lang w:val="fr-FR"/>
        </w:rPr>
        <w:t xml:space="preserve">, </w:t>
      </w:r>
      <w:r w:rsidRPr="003859B4">
        <w:rPr>
          <w:rFonts w:ascii="Calibri" w:hAnsi="Calibri" w:cs="Calibri"/>
          <w:sz w:val="22"/>
          <w:szCs w:val="22"/>
          <w:lang w:val="fr-FR"/>
        </w:rPr>
        <w:t>Brésil</w:t>
      </w:r>
      <w:r w:rsidR="00565A0C" w:rsidRPr="003859B4">
        <w:rPr>
          <w:rFonts w:ascii="Calibri" w:hAnsi="Calibri" w:cs="Calibri"/>
          <w:sz w:val="22"/>
          <w:szCs w:val="22"/>
          <w:lang w:val="fr-FR"/>
        </w:rPr>
        <w:t xml:space="preserve">, </w:t>
      </w:r>
      <w:r w:rsidRPr="003859B4">
        <w:rPr>
          <w:rFonts w:ascii="Calibri" w:hAnsi="Calibri" w:cs="Calibri"/>
          <w:sz w:val="22"/>
          <w:szCs w:val="22"/>
          <w:lang w:val="fr-FR"/>
        </w:rPr>
        <w:t>Équateur</w:t>
      </w:r>
      <w:r w:rsidR="00565A0C" w:rsidRPr="003859B4">
        <w:rPr>
          <w:rFonts w:ascii="Calibri" w:hAnsi="Calibri" w:cs="Calibri"/>
          <w:sz w:val="22"/>
          <w:szCs w:val="22"/>
          <w:lang w:val="fr-FR"/>
        </w:rPr>
        <w:t xml:space="preserve">, Paraguay, </w:t>
      </w:r>
      <w:r w:rsidRPr="003859B4">
        <w:rPr>
          <w:rFonts w:ascii="Calibri" w:hAnsi="Calibri" w:cs="Calibri"/>
          <w:sz w:val="22"/>
          <w:szCs w:val="22"/>
          <w:lang w:val="fr-FR"/>
        </w:rPr>
        <w:t>Pérou</w:t>
      </w:r>
      <w:r w:rsidR="00565A0C" w:rsidRPr="003859B4">
        <w:rPr>
          <w:rFonts w:ascii="Calibri" w:hAnsi="Calibri" w:cs="Calibri"/>
          <w:sz w:val="22"/>
          <w:szCs w:val="22"/>
          <w:lang w:val="fr-FR"/>
        </w:rPr>
        <w:t xml:space="preserve">, Uruguay </w:t>
      </w:r>
      <w:r w:rsidRPr="003859B4">
        <w:rPr>
          <w:rFonts w:ascii="Calibri" w:hAnsi="Calibri" w:cs="Calibri"/>
          <w:sz w:val="22"/>
          <w:szCs w:val="22"/>
          <w:lang w:val="fr-FR"/>
        </w:rPr>
        <w:t>et</w:t>
      </w:r>
      <w:r w:rsidR="00565A0C" w:rsidRPr="003859B4">
        <w:rPr>
          <w:rFonts w:ascii="Calibri" w:hAnsi="Calibri" w:cs="Calibri"/>
          <w:sz w:val="22"/>
          <w:szCs w:val="22"/>
          <w:lang w:val="fr-FR"/>
        </w:rPr>
        <w:t xml:space="preserve"> Venezuela   </w:t>
      </w:r>
    </w:p>
    <w:p w:rsidR="00565A0C" w:rsidRPr="003859B4" w:rsidRDefault="00565A0C" w:rsidP="00FB3ADD">
      <w:pPr>
        <w:ind w:left="426"/>
        <w:rPr>
          <w:rFonts w:ascii="Calibri" w:hAnsi="Calibri" w:cs="Calibri"/>
          <w:sz w:val="22"/>
          <w:szCs w:val="22"/>
          <w:lang w:val="fr-FR"/>
        </w:rPr>
      </w:pPr>
    </w:p>
    <w:p w:rsidR="00565A0C" w:rsidRPr="00CE708B" w:rsidRDefault="006E5062" w:rsidP="00FB3ADD">
      <w:pPr>
        <w:ind w:left="426"/>
        <w:rPr>
          <w:rFonts w:ascii="Calibri" w:hAnsi="Calibri" w:cs="Calibri"/>
          <w:sz w:val="22"/>
          <w:szCs w:val="22"/>
          <w:lang w:val="es-ES"/>
        </w:rPr>
      </w:pPr>
      <w:r w:rsidRPr="00CE708B">
        <w:rPr>
          <w:rFonts w:ascii="Calibri" w:hAnsi="Calibri" w:cs="Calibri"/>
          <w:b/>
          <w:sz w:val="22"/>
          <w:szCs w:val="22"/>
          <w:lang w:val="es-ES"/>
        </w:rPr>
        <w:t xml:space="preserve">Le </w:t>
      </w:r>
      <w:r w:rsidR="00565A0C" w:rsidRPr="00CE708B">
        <w:rPr>
          <w:rFonts w:ascii="Calibri" w:hAnsi="Calibri" w:cs="Calibri"/>
          <w:b/>
          <w:sz w:val="22"/>
          <w:szCs w:val="22"/>
          <w:lang w:val="es-ES"/>
        </w:rPr>
        <w:t>Honduras</w:t>
      </w:r>
      <w:r w:rsidR="00565A0C" w:rsidRPr="00CE708B">
        <w:rPr>
          <w:rFonts w:ascii="Calibri" w:hAnsi="Calibri" w:cs="Calibri"/>
          <w:sz w:val="22"/>
          <w:szCs w:val="22"/>
          <w:lang w:val="es-ES"/>
        </w:rPr>
        <w:t xml:space="preserve"> </w:t>
      </w:r>
      <w:r w:rsidRPr="00CE708B">
        <w:rPr>
          <w:rFonts w:ascii="Calibri" w:hAnsi="Calibri" w:cs="Calibri"/>
          <w:sz w:val="22"/>
          <w:szCs w:val="22"/>
          <w:lang w:val="es-ES"/>
        </w:rPr>
        <w:t xml:space="preserve">représente : </w:t>
      </w:r>
      <w:r w:rsidR="00565A0C" w:rsidRPr="00CE708B">
        <w:rPr>
          <w:rFonts w:ascii="Calibri" w:hAnsi="Calibri" w:cs="Calibri"/>
          <w:sz w:val="22"/>
          <w:szCs w:val="22"/>
          <w:lang w:val="es-ES"/>
        </w:rPr>
        <w:t>Costa Rica (</w:t>
      </w:r>
      <w:r w:rsidRPr="00CE708B">
        <w:rPr>
          <w:rFonts w:ascii="Calibri" w:hAnsi="Calibri" w:cs="Calibri"/>
          <w:sz w:val="22"/>
          <w:szCs w:val="22"/>
          <w:lang w:val="es-ES"/>
        </w:rPr>
        <w:t>suppléant</w:t>
      </w:r>
      <w:r w:rsidR="00565A0C" w:rsidRPr="00CE708B">
        <w:rPr>
          <w:rFonts w:ascii="Calibri" w:hAnsi="Calibri" w:cs="Calibri"/>
          <w:sz w:val="22"/>
          <w:szCs w:val="22"/>
          <w:lang w:val="es-ES"/>
        </w:rPr>
        <w:t xml:space="preserve">), El Salvador, </w:t>
      </w:r>
      <w:r w:rsidR="00114794" w:rsidRPr="00CE708B">
        <w:rPr>
          <w:rFonts w:ascii="Calibri" w:hAnsi="Calibri" w:cs="Calibri"/>
          <w:sz w:val="22"/>
          <w:szCs w:val="22"/>
          <w:lang w:val="es-ES"/>
        </w:rPr>
        <w:t>Guatemala, Nicaragua</w:t>
      </w:r>
      <w:r w:rsidR="00565A0C" w:rsidRPr="00CE708B">
        <w:rPr>
          <w:rFonts w:ascii="Calibri" w:hAnsi="Calibri" w:cs="Calibri"/>
          <w:sz w:val="22"/>
          <w:szCs w:val="22"/>
          <w:lang w:val="es-ES"/>
        </w:rPr>
        <w:t xml:space="preserve"> </w:t>
      </w:r>
      <w:r w:rsidRPr="00CE708B">
        <w:rPr>
          <w:rFonts w:ascii="Calibri" w:hAnsi="Calibri" w:cs="Calibri"/>
          <w:sz w:val="22"/>
          <w:szCs w:val="22"/>
          <w:lang w:val="es-ES"/>
        </w:rPr>
        <w:t>et</w:t>
      </w:r>
      <w:r w:rsidR="00565A0C" w:rsidRPr="00CE708B">
        <w:rPr>
          <w:rFonts w:ascii="Calibri" w:hAnsi="Calibri" w:cs="Calibri"/>
          <w:sz w:val="22"/>
          <w:szCs w:val="22"/>
          <w:lang w:val="es-ES"/>
        </w:rPr>
        <w:t xml:space="preserve"> Panama </w:t>
      </w:r>
    </w:p>
    <w:p w:rsidR="006E5062" w:rsidRPr="00CE708B" w:rsidRDefault="006E5062" w:rsidP="006E5062">
      <w:pPr>
        <w:ind w:left="426"/>
        <w:rPr>
          <w:rFonts w:ascii="Calibri" w:hAnsi="Calibri" w:cs="Calibri"/>
          <w:b/>
          <w:sz w:val="22"/>
          <w:szCs w:val="22"/>
          <w:lang w:val="es-ES"/>
        </w:rPr>
      </w:pPr>
    </w:p>
    <w:p w:rsidR="006E5062" w:rsidRPr="003859B4" w:rsidRDefault="006E5062" w:rsidP="006E5062">
      <w:pPr>
        <w:ind w:left="426"/>
        <w:rPr>
          <w:rFonts w:ascii="Calibri" w:hAnsi="Calibri" w:cs="Calibri"/>
          <w:sz w:val="22"/>
          <w:szCs w:val="22"/>
          <w:lang w:val="fr-FR"/>
        </w:rPr>
      </w:pPr>
      <w:r w:rsidRPr="003859B4">
        <w:rPr>
          <w:rFonts w:ascii="Calibri" w:hAnsi="Calibri" w:cs="Calibri"/>
          <w:b/>
          <w:sz w:val="22"/>
          <w:szCs w:val="22"/>
          <w:lang w:val="fr-FR"/>
        </w:rPr>
        <w:t>Le Suriname</w:t>
      </w:r>
      <w:r w:rsidRPr="003859B4">
        <w:rPr>
          <w:rFonts w:ascii="Calibri" w:hAnsi="Calibri" w:cs="Calibri"/>
          <w:sz w:val="22"/>
          <w:szCs w:val="22"/>
          <w:lang w:val="fr-FR"/>
        </w:rPr>
        <w:t xml:space="preserve"> représente : Antigua-et-Barbuda, Bahamas, Barbade, Belize, Cuba (suppléant), Grenade, Jamaïque, </w:t>
      </w:r>
      <w:r w:rsidR="0058093B" w:rsidRPr="003859B4">
        <w:rPr>
          <w:rFonts w:ascii="Calibri" w:hAnsi="Calibri" w:cs="Calibri"/>
          <w:sz w:val="22"/>
          <w:szCs w:val="22"/>
          <w:lang w:val="fr-FR"/>
        </w:rPr>
        <w:t xml:space="preserve">République dominicaine, </w:t>
      </w:r>
      <w:r w:rsidRPr="003859B4">
        <w:rPr>
          <w:rFonts w:ascii="Calibri" w:hAnsi="Calibri" w:cs="Calibri"/>
          <w:sz w:val="22"/>
          <w:szCs w:val="22"/>
          <w:lang w:val="fr-FR"/>
        </w:rPr>
        <w:t>Sainte</w:t>
      </w:r>
      <w:r w:rsidRPr="003859B4">
        <w:rPr>
          <w:rFonts w:ascii="Calibri" w:hAnsi="Calibri" w:cs="Calibri"/>
          <w:sz w:val="22"/>
          <w:szCs w:val="22"/>
          <w:lang w:val="fr-FR"/>
        </w:rPr>
        <w:noBreakHyphen/>
        <w:t>Lucie et Trinité-et-Tobago</w:t>
      </w:r>
    </w:p>
    <w:p w:rsidR="00565A0C" w:rsidRPr="003859B4" w:rsidRDefault="00565A0C" w:rsidP="00565A0C">
      <w:pPr>
        <w:ind w:left="567"/>
        <w:rPr>
          <w:rFonts w:ascii="Calibri" w:hAnsi="Calibri" w:cs="Calibri"/>
          <w:sz w:val="22"/>
          <w:szCs w:val="22"/>
          <w:lang w:val="fr-FR"/>
        </w:rPr>
      </w:pPr>
    </w:p>
    <w:p w:rsidR="00565A0C" w:rsidRPr="003859B4" w:rsidRDefault="0058093B"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lang w:val="fr-FR"/>
        </w:rPr>
      </w:pPr>
      <w:r w:rsidRPr="003859B4">
        <w:rPr>
          <w:rStyle w:val="Strong"/>
          <w:rFonts w:ascii="Calibri" w:hAnsi="Calibri" w:cs="Calibri"/>
          <w:sz w:val="22"/>
          <w:szCs w:val="22"/>
          <w:lang w:val="fr-FR"/>
        </w:rPr>
        <w:t xml:space="preserve">Amérique du Nord </w:t>
      </w:r>
      <w:r w:rsidR="00565A0C" w:rsidRPr="003859B4">
        <w:rPr>
          <w:rFonts w:ascii="Calibri" w:hAnsi="Calibri" w:cs="Calibri"/>
          <w:sz w:val="22"/>
          <w:szCs w:val="22"/>
          <w:lang w:val="fr-FR"/>
        </w:rPr>
        <w:t xml:space="preserve">: </w:t>
      </w:r>
      <w:r w:rsidRPr="003859B4">
        <w:rPr>
          <w:rFonts w:ascii="Calibri" w:hAnsi="Calibri" w:cs="Calibri"/>
          <w:b/>
          <w:sz w:val="22"/>
          <w:szCs w:val="22"/>
          <w:lang w:val="fr-FR"/>
        </w:rPr>
        <w:t>États-Unis d’Amérique</w:t>
      </w:r>
      <w:r w:rsidR="00565A0C" w:rsidRPr="003859B4">
        <w:rPr>
          <w:rFonts w:ascii="Calibri" w:hAnsi="Calibri" w:cs="Calibri"/>
          <w:sz w:val="22"/>
          <w:szCs w:val="22"/>
          <w:lang w:val="fr-FR"/>
        </w:rPr>
        <w:t xml:space="preserve"> (</w:t>
      </w:r>
      <w:r w:rsidR="00CE708B">
        <w:rPr>
          <w:rFonts w:ascii="Calibri" w:hAnsi="Calibri" w:cs="Calibri"/>
          <w:sz w:val="22"/>
          <w:szCs w:val="22"/>
          <w:lang w:val="fr-FR"/>
        </w:rPr>
        <w:t>m</w:t>
      </w:r>
      <w:r w:rsidRPr="003859B4">
        <w:rPr>
          <w:rFonts w:ascii="Calibri" w:hAnsi="Calibri" w:cs="Calibri"/>
          <w:sz w:val="22"/>
          <w:szCs w:val="22"/>
          <w:lang w:val="fr-FR"/>
        </w:rPr>
        <w:t>embre suppléant </w:t>
      </w:r>
      <w:r w:rsidR="00565A0C" w:rsidRPr="003859B4">
        <w:rPr>
          <w:rFonts w:ascii="Calibri" w:hAnsi="Calibri" w:cs="Calibri"/>
          <w:sz w:val="22"/>
          <w:szCs w:val="22"/>
          <w:lang w:val="fr-FR"/>
        </w:rPr>
        <w:t>: Canada)</w:t>
      </w:r>
    </w:p>
    <w:p w:rsidR="00565A0C" w:rsidRPr="003859B4" w:rsidRDefault="00565A0C" w:rsidP="00565A0C">
      <w:pPr>
        <w:ind w:left="567"/>
        <w:rPr>
          <w:rFonts w:ascii="Calibri" w:hAnsi="Calibri" w:cs="Calibri"/>
          <w:b/>
          <w:sz w:val="22"/>
          <w:szCs w:val="22"/>
          <w:lang w:val="fr-FR"/>
        </w:rPr>
      </w:pPr>
    </w:p>
    <w:p w:rsidR="00565A0C" w:rsidRPr="003859B4" w:rsidRDefault="0058093B" w:rsidP="006F7C16">
      <w:pPr>
        <w:ind w:left="426"/>
        <w:rPr>
          <w:rFonts w:ascii="Calibri" w:hAnsi="Calibri" w:cs="Calibri"/>
          <w:sz w:val="22"/>
          <w:szCs w:val="22"/>
          <w:lang w:val="fr-FR"/>
        </w:rPr>
      </w:pPr>
      <w:r w:rsidRPr="003859B4">
        <w:rPr>
          <w:rFonts w:ascii="Calibri" w:hAnsi="Calibri" w:cs="Calibri"/>
          <w:b/>
          <w:sz w:val="22"/>
          <w:szCs w:val="22"/>
          <w:lang w:val="fr-FR"/>
        </w:rPr>
        <w:t xml:space="preserve">Les États-Unis d’Amérique </w:t>
      </w:r>
      <w:r w:rsidR="00565A0C" w:rsidRPr="003859B4">
        <w:rPr>
          <w:rFonts w:ascii="Calibri" w:hAnsi="Calibri" w:cs="Calibri"/>
          <w:sz w:val="22"/>
          <w:szCs w:val="22"/>
          <w:lang w:val="fr-FR"/>
        </w:rPr>
        <w:t>r</w:t>
      </w:r>
      <w:r w:rsidRPr="003859B4">
        <w:rPr>
          <w:rFonts w:ascii="Calibri" w:hAnsi="Calibri" w:cs="Calibri"/>
          <w:sz w:val="22"/>
          <w:szCs w:val="22"/>
          <w:lang w:val="fr-FR"/>
        </w:rPr>
        <w:t>eprésentent </w:t>
      </w:r>
      <w:r w:rsidR="00565A0C" w:rsidRPr="003859B4">
        <w:rPr>
          <w:rFonts w:ascii="Calibri" w:hAnsi="Calibri" w:cs="Calibri"/>
          <w:sz w:val="22"/>
          <w:szCs w:val="22"/>
          <w:lang w:val="fr-FR"/>
        </w:rPr>
        <w:t>: Canada (</w:t>
      </w:r>
      <w:r w:rsidRPr="003859B4">
        <w:rPr>
          <w:rFonts w:ascii="Calibri" w:hAnsi="Calibri" w:cs="Calibri"/>
          <w:sz w:val="22"/>
          <w:szCs w:val="22"/>
          <w:lang w:val="fr-FR"/>
        </w:rPr>
        <w:t>suppléant</w:t>
      </w:r>
      <w:r w:rsidR="00565A0C" w:rsidRPr="003859B4">
        <w:rPr>
          <w:rFonts w:ascii="Calibri" w:hAnsi="Calibri" w:cs="Calibri"/>
          <w:sz w:val="22"/>
          <w:szCs w:val="22"/>
          <w:lang w:val="fr-FR"/>
        </w:rPr>
        <w:t xml:space="preserve">) </w:t>
      </w:r>
      <w:r w:rsidRPr="003859B4">
        <w:rPr>
          <w:rFonts w:ascii="Calibri" w:hAnsi="Calibri" w:cs="Calibri"/>
          <w:sz w:val="22"/>
          <w:szCs w:val="22"/>
          <w:lang w:val="fr-FR"/>
        </w:rPr>
        <w:t xml:space="preserve">et </w:t>
      </w:r>
      <w:r w:rsidR="00565A0C" w:rsidRPr="003859B4">
        <w:rPr>
          <w:rFonts w:ascii="Calibri" w:hAnsi="Calibri" w:cs="Calibri"/>
          <w:sz w:val="22"/>
          <w:szCs w:val="22"/>
          <w:lang w:val="fr-FR"/>
        </w:rPr>
        <w:t>Mexi</w:t>
      </w:r>
      <w:r w:rsidRPr="003859B4">
        <w:rPr>
          <w:rFonts w:ascii="Calibri" w:hAnsi="Calibri" w:cs="Calibri"/>
          <w:sz w:val="22"/>
          <w:szCs w:val="22"/>
          <w:lang w:val="fr-FR"/>
        </w:rPr>
        <w:t>que</w:t>
      </w:r>
      <w:r w:rsidR="00565A0C" w:rsidRPr="003859B4">
        <w:rPr>
          <w:rFonts w:ascii="Calibri" w:hAnsi="Calibri" w:cs="Calibri"/>
          <w:sz w:val="22"/>
          <w:szCs w:val="22"/>
          <w:lang w:val="fr-FR"/>
        </w:rPr>
        <w:t xml:space="preserve"> </w:t>
      </w:r>
    </w:p>
    <w:p w:rsidR="004036E9" w:rsidRPr="003859B4" w:rsidRDefault="004036E9" w:rsidP="004036E9">
      <w:pPr>
        <w:ind w:left="567"/>
        <w:rPr>
          <w:rFonts w:ascii="Calibri" w:hAnsi="Calibri" w:cs="Calibri"/>
          <w:sz w:val="22"/>
          <w:szCs w:val="22"/>
          <w:lang w:val="fr-FR"/>
        </w:rPr>
      </w:pPr>
    </w:p>
    <w:p w:rsidR="00114794" w:rsidRPr="003859B4" w:rsidRDefault="0058093B"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lang w:val="fr-FR"/>
        </w:rPr>
      </w:pPr>
      <w:r w:rsidRPr="003859B4">
        <w:rPr>
          <w:rStyle w:val="Strong"/>
          <w:rFonts w:ascii="Calibri" w:hAnsi="Calibri" w:cs="Calibri"/>
          <w:sz w:val="22"/>
          <w:szCs w:val="22"/>
          <w:lang w:val="fr-FR"/>
        </w:rPr>
        <w:t xml:space="preserve">Océanie </w:t>
      </w:r>
      <w:r w:rsidR="00114794" w:rsidRPr="003859B4">
        <w:rPr>
          <w:rFonts w:ascii="Calibri" w:hAnsi="Calibri" w:cs="Calibri"/>
          <w:sz w:val="22"/>
          <w:szCs w:val="22"/>
          <w:lang w:val="fr-FR"/>
        </w:rPr>
        <w:t xml:space="preserve">: </w:t>
      </w:r>
      <w:r w:rsidR="00114794" w:rsidRPr="003859B4">
        <w:rPr>
          <w:rFonts w:ascii="Calibri" w:hAnsi="Calibri" w:cs="Calibri"/>
          <w:b/>
          <w:sz w:val="22"/>
          <w:szCs w:val="22"/>
          <w:lang w:val="fr-FR"/>
        </w:rPr>
        <w:t>Australi</w:t>
      </w:r>
      <w:r w:rsidRPr="003859B4">
        <w:rPr>
          <w:rFonts w:ascii="Calibri" w:hAnsi="Calibri" w:cs="Calibri"/>
          <w:b/>
          <w:sz w:val="22"/>
          <w:szCs w:val="22"/>
          <w:lang w:val="fr-FR"/>
        </w:rPr>
        <w:t>e</w:t>
      </w:r>
      <w:r w:rsidR="00114794" w:rsidRPr="003859B4">
        <w:rPr>
          <w:rFonts w:ascii="Calibri" w:hAnsi="Calibri" w:cs="Calibri"/>
          <w:sz w:val="22"/>
          <w:szCs w:val="22"/>
          <w:lang w:val="fr-FR"/>
        </w:rPr>
        <w:t xml:space="preserve"> (</w:t>
      </w:r>
      <w:r w:rsidR="00CE708B">
        <w:rPr>
          <w:rFonts w:ascii="Calibri" w:hAnsi="Calibri" w:cs="Calibri"/>
          <w:sz w:val="22"/>
          <w:szCs w:val="22"/>
          <w:lang w:val="fr-FR"/>
        </w:rPr>
        <w:t>m</w:t>
      </w:r>
      <w:r w:rsidRPr="003859B4">
        <w:rPr>
          <w:rFonts w:ascii="Calibri" w:hAnsi="Calibri" w:cs="Calibri"/>
          <w:sz w:val="22"/>
          <w:szCs w:val="22"/>
          <w:lang w:val="fr-FR"/>
        </w:rPr>
        <w:t>embre suppléant </w:t>
      </w:r>
      <w:r w:rsidR="00114794" w:rsidRPr="003859B4">
        <w:rPr>
          <w:rFonts w:ascii="Calibri" w:hAnsi="Calibri" w:cs="Calibri"/>
          <w:sz w:val="22"/>
          <w:szCs w:val="22"/>
          <w:lang w:val="fr-FR"/>
        </w:rPr>
        <w:t xml:space="preserve">: Samoa) </w:t>
      </w:r>
    </w:p>
    <w:p w:rsidR="00114794" w:rsidRPr="003859B4" w:rsidRDefault="00114794" w:rsidP="00114794">
      <w:pPr>
        <w:ind w:left="567"/>
        <w:rPr>
          <w:rFonts w:ascii="Calibri" w:hAnsi="Calibri" w:cs="Calibri"/>
          <w:b/>
          <w:sz w:val="22"/>
          <w:szCs w:val="22"/>
          <w:lang w:val="fr-FR"/>
        </w:rPr>
      </w:pPr>
    </w:p>
    <w:p w:rsidR="00114794" w:rsidRPr="003859B4" w:rsidRDefault="0058093B" w:rsidP="006F7C16">
      <w:pPr>
        <w:ind w:left="426"/>
        <w:rPr>
          <w:rFonts w:ascii="Calibri" w:hAnsi="Calibri"/>
          <w:sz w:val="22"/>
          <w:szCs w:val="22"/>
          <w:lang w:val="fr-FR"/>
        </w:rPr>
      </w:pPr>
      <w:r w:rsidRPr="003859B4">
        <w:rPr>
          <w:rFonts w:ascii="Calibri" w:hAnsi="Calibri" w:cs="Calibri"/>
          <w:b/>
          <w:sz w:val="22"/>
          <w:szCs w:val="22"/>
          <w:lang w:val="fr-FR"/>
        </w:rPr>
        <w:t>L’</w:t>
      </w:r>
      <w:r w:rsidR="00114794" w:rsidRPr="003859B4">
        <w:rPr>
          <w:rFonts w:ascii="Calibri" w:hAnsi="Calibri" w:cs="Calibri"/>
          <w:b/>
          <w:sz w:val="22"/>
          <w:szCs w:val="22"/>
          <w:lang w:val="fr-FR"/>
        </w:rPr>
        <w:t>Australi</w:t>
      </w:r>
      <w:r w:rsidRPr="003859B4">
        <w:rPr>
          <w:rFonts w:ascii="Calibri" w:hAnsi="Calibri" w:cs="Calibri"/>
          <w:b/>
          <w:sz w:val="22"/>
          <w:szCs w:val="22"/>
          <w:lang w:val="fr-FR"/>
        </w:rPr>
        <w:t>e</w:t>
      </w:r>
      <w:r w:rsidR="00114794" w:rsidRPr="003859B4">
        <w:rPr>
          <w:rFonts w:ascii="Calibri" w:hAnsi="Calibri" w:cs="Calibri"/>
          <w:sz w:val="22"/>
          <w:szCs w:val="22"/>
          <w:lang w:val="fr-FR"/>
        </w:rPr>
        <w:t xml:space="preserve"> repr</w:t>
      </w:r>
      <w:r w:rsidRPr="003859B4">
        <w:rPr>
          <w:rFonts w:ascii="Calibri" w:hAnsi="Calibri" w:cs="Calibri"/>
          <w:sz w:val="22"/>
          <w:szCs w:val="22"/>
          <w:lang w:val="fr-FR"/>
        </w:rPr>
        <w:t>ésente :</w:t>
      </w:r>
      <w:r w:rsidR="00114794" w:rsidRPr="003859B4">
        <w:rPr>
          <w:rFonts w:ascii="Calibri" w:hAnsi="Calibri" w:cs="Calibri"/>
          <w:sz w:val="22"/>
          <w:szCs w:val="22"/>
          <w:lang w:val="fr-FR"/>
        </w:rPr>
        <w:t xml:space="preserve"> Fi</w:t>
      </w:r>
      <w:r w:rsidRPr="003859B4">
        <w:rPr>
          <w:rFonts w:ascii="Calibri" w:hAnsi="Calibri" w:cs="Calibri"/>
          <w:sz w:val="22"/>
          <w:szCs w:val="22"/>
          <w:lang w:val="fr-FR"/>
        </w:rPr>
        <w:t>d</w:t>
      </w:r>
      <w:r w:rsidR="00114794" w:rsidRPr="003859B4">
        <w:rPr>
          <w:rFonts w:ascii="Calibri" w:hAnsi="Calibri" w:cs="Calibri"/>
          <w:sz w:val="22"/>
          <w:szCs w:val="22"/>
          <w:lang w:val="fr-FR"/>
        </w:rPr>
        <w:t xml:space="preserve">ji, </w:t>
      </w:r>
      <w:r w:rsidR="00D666ED" w:rsidRPr="003859B4">
        <w:rPr>
          <w:rFonts w:ascii="Calibri" w:hAnsi="Calibri" w:cs="Calibri"/>
          <w:sz w:val="22"/>
          <w:szCs w:val="22"/>
          <w:lang w:val="fr-FR"/>
        </w:rPr>
        <w:t xml:space="preserve">Îles Marshall, </w:t>
      </w:r>
      <w:r w:rsidR="00114794" w:rsidRPr="003859B4">
        <w:rPr>
          <w:rFonts w:ascii="Calibri" w:hAnsi="Calibri" w:cs="Calibri"/>
          <w:sz w:val="22"/>
          <w:szCs w:val="22"/>
          <w:lang w:val="fr-FR"/>
        </w:rPr>
        <w:t xml:space="preserve">Kiribati, </w:t>
      </w:r>
      <w:r w:rsidRPr="003859B4">
        <w:rPr>
          <w:rFonts w:ascii="Calibri" w:hAnsi="Calibri" w:cs="Calibri"/>
          <w:sz w:val="22"/>
          <w:szCs w:val="22"/>
          <w:lang w:val="fr-FR"/>
        </w:rPr>
        <w:t>Nouvelle-Zélande, Palaos</w:t>
      </w:r>
      <w:r w:rsidR="00114794" w:rsidRPr="003859B4">
        <w:rPr>
          <w:rFonts w:ascii="Calibri" w:hAnsi="Calibri" w:cs="Calibri"/>
          <w:sz w:val="22"/>
          <w:szCs w:val="22"/>
          <w:lang w:val="fr-FR"/>
        </w:rPr>
        <w:t xml:space="preserve">, </w:t>
      </w:r>
      <w:r w:rsidRPr="003859B4">
        <w:rPr>
          <w:rFonts w:ascii="Calibri" w:hAnsi="Calibri" w:cs="Calibri"/>
          <w:sz w:val="22"/>
          <w:szCs w:val="22"/>
          <w:lang w:val="fr-FR"/>
        </w:rPr>
        <w:t>Papouasie-Nouvelle-Guinée</w:t>
      </w:r>
      <w:r w:rsidR="00114794" w:rsidRPr="003859B4">
        <w:rPr>
          <w:rFonts w:ascii="Calibri" w:hAnsi="Calibri" w:cs="Calibri"/>
          <w:sz w:val="22"/>
          <w:szCs w:val="22"/>
          <w:lang w:val="fr-FR"/>
        </w:rPr>
        <w:t xml:space="preserve"> </w:t>
      </w:r>
      <w:r w:rsidRPr="003859B4">
        <w:rPr>
          <w:rFonts w:ascii="Calibri" w:hAnsi="Calibri" w:cs="Calibri"/>
          <w:sz w:val="22"/>
          <w:szCs w:val="22"/>
          <w:lang w:val="fr-FR"/>
        </w:rPr>
        <w:t>et</w:t>
      </w:r>
      <w:r w:rsidR="00114794" w:rsidRPr="003859B4">
        <w:rPr>
          <w:rFonts w:ascii="Calibri" w:hAnsi="Calibri" w:cs="Calibri"/>
          <w:sz w:val="22"/>
          <w:szCs w:val="22"/>
          <w:lang w:val="fr-FR"/>
        </w:rPr>
        <w:t xml:space="preserve"> Samoa (</w:t>
      </w:r>
      <w:r w:rsidRPr="003859B4">
        <w:rPr>
          <w:rFonts w:ascii="Calibri" w:hAnsi="Calibri" w:cs="Calibri"/>
          <w:sz w:val="22"/>
          <w:szCs w:val="22"/>
          <w:lang w:val="fr-FR"/>
        </w:rPr>
        <w:t>suppléant</w:t>
      </w:r>
      <w:r w:rsidR="00114794" w:rsidRPr="003859B4">
        <w:rPr>
          <w:rFonts w:ascii="Calibri" w:hAnsi="Calibri" w:cs="Calibri"/>
          <w:sz w:val="22"/>
          <w:szCs w:val="22"/>
          <w:lang w:val="fr-FR"/>
        </w:rPr>
        <w:t>)</w:t>
      </w:r>
    </w:p>
    <w:p w:rsidR="004036E9" w:rsidRPr="003859B4" w:rsidRDefault="004036E9" w:rsidP="004036E9">
      <w:pPr>
        <w:ind w:left="567"/>
        <w:rPr>
          <w:rFonts w:ascii="Calibri" w:hAnsi="Calibri"/>
          <w:sz w:val="22"/>
          <w:szCs w:val="22"/>
          <w:lang w:val="fr-FR"/>
        </w:rPr>
      </w:pPr>
    </w:p>
    <w:sectPr w:rsidR="004036E9" w:rsidRPr="003859B4" w:rsidSect="00B350C1">
      <w:footerReference w:type="default" r:id="rId10"/>
      <w:pgSz w:w="11907" w:h="16839"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B0" w:rsidRDefault="00B71CB0">
      <w:r>
        <w:separator/>
      </w:r>
    </w:p>
  </w:endnote>
  <w:endnote w:type="continuationSeparator" w:id="0">
    <w:p w:rsidR="00B71CB0" w:rsidRDefault="00B7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DD" w:rsidRPr="006F7C16" w:rsidRDefault="00FB3ADD" w:rsidP="006F7C16">
    <w:pPr>
      <w:tabs>
        <w:tab w:val="center" w:pos="4680"/>
        <w:tab w:val="right" w:pos="9072"/>
      </w:tabs>
      <w:jc w:val="both"/>
      <w:rPr>
        <w:rFonts w:ascii="Calibri" w:hAnsi="Calibri"/>
        <w:sz w:val="20"/>
        <w:szCs w:val="20"/>
        <w:lang w:val="en-GB"/>
      </w:rPr>
    </w:pPr>
    <w:r w:rsidRPr="00FB3ADD">
      <w:rPr>
        <w:rFonts w:ascii="Calibri" w:hAnsi="Calibri"/>
        <w:sz w:val="20"/>
        <w:szCs w:val="20"/>
        <w:lang w:val="x-none" w:eastAsia="x-none"/>
      </w:rPr>
      <w:t>SC51</w:t>
    </w:r>
    <w:r w:rsidR="004454D6">
      <w:rPr>
        <w:rFonts w:ascii="Calibri" w:hAnsi="Calibri"/>
        <w:sz w:val="20"/>
        <w:szCs w:val="20"/>
        <w:lang w:val="en-GB" w:eastAsia="x-none"/>
      </w:rPr>
      <w:t xml:space="preserve"> </w:t>
    </w:r>
    <w:r>
      <w:rPr>
        <w:rFonts w:ascii="Calibri" w:hAnsi="Calibri"/>
        <w:sz w:val="20"/>
        <w:szCs w:val="20"/>
        <w:lang w:val="en-GB" w:eastAsia="x-none"/>
      </w:rPr>
      <w:t>Inf.Doc.03</w:t>
    </w:r>
    <w:r w:rsidRPr="00FB3ADD">
      <w:rPr>
        <w:rFonts w:ascii="Calibri" w:hAnsi="Calibri"/>
        <w:sz w:val="20"/>
        <w:szCs w:val="20"/>
        <w:lang w:val="x-none" w:eastAsia="x-none"/>
      </w:rPr>
      <w:tab/>
    </w:r>
    <w:r w:rsidRPr="00FB3ADD">
      <w:rPr>
        <w:rFonts w:ascii="Calibri" w:hAnsi="Calibri"/>
        <w:sz w:val="20"/>
        <w:szCs w:val="20"/>
        <w:lang w:val="x-none" w:eastAsia="x-none"/>
      </w:rPr>
      <w:tab/>
    </w:r>
    <w:r w:rsidRPr="00FB3ADD">
      <w:rPr>
        <w:rFonts w:ascii="Calibri" w:hAnsi="Calibri"/>
        <w:sz w:val="20"/>
        <w:szCs w:val="20"/>
        <w:lang w:val="x-none" w:eastAsia="x-none"/>
      </w:rPr>
      <w:fldChar w:fldCharType="begin"/>
    </w:r>
    <w:r w:rsidRPr="00FB3ADD">
      <w:rPr>
        <w:rFonts w:ascii="Calibri" w:hAnsi="Calibri"/>
        <w:sz w:val="20"/>
        <w:szCs w:val="20"/>
        <w:lang w:val="x-none" w:eastAsia="x-none"/>
      </w:rPr>
      <w:instrText xml:space="preserve"> PAGE   \* MERGEFORMAT </w:instrText>
    </w:r>
    <w:r w:rsidRPr="00FB3ADD">
      <w:rPr>
        <w:rFonts w:ascii="Calibri" w:hAnsi="Calibri"/>
        <w:sz w:val="20"/>
        <w:szCs w:val="20"/>
        <w:lang w:val="x-none" w:eastAsia="x-none"/>
      </w:rPr>
      <w:fldChar w:fldCharType="separate"/>
    </w:r>
    <w:r w:rsidR="00B350C1">
      <w:rPr>
        <w:rFonts w:ascii="Calibri" w:hAnsi="Calibri"/>
        <w:noProof/>
        <w:sz w:val="20"/>
        <w:szCs w:val="20"/>
        <w:lang w:val="x-none" w:eastAsia="x-none"/>
      </w:rPr>
      <w:t>5</w:t>
    </w:r>
    <w:r w:rsidRPr="00FB3ADD">
      <w:rPr>
        <w:rFonts w:ascii="Calibri" w:hAnsi="Calibri"/>
        <w:sz w:val="20"/>
        <w:szCs w:val="20"/>
        <w:lang w:val="x-none"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B0" w:rsidRDefault="00B71CB0">
      <w:r>
        <w:separator/>
      </w:r>
    </w:p>
  </w:footnote>
  <w:footnote w:type="continuationSeparator" w:id="0">
    <w:p w:rsidR="00B71CB0" w:rsidRDefault="00B71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74"/>
    <w:multiLevelType w:val="multilevel"/>
    <w:tmpl w:val="09FAFA48"/>
    <w:lvl w:ilvl="0">
      <w:start w:val="1"/>
      <w:numFmt w:val="decimal"/>
      <w:lvlText w:val="%1."/>
      <w:lvlJc w:val="left"/>
      <w:pPr>
        <w:tabs>
          <w:tab w:val="num" w:pos="720"/>
        </w:tabs>
        <w:ind w:left="720" w:hanging="360"/>
      </w:pPr>
    </w:lvl>
    <w:lvl w:ilvl="1">
      <w:start w:val="13"/>
      <w:numFmt w:val="bullet"/>
      <w:lvlText w:val="-"/>
      <w:lvlJc w:val="left"/>
      <w:pPr>
        <w:tabs>
          <w:tab w:val="num" w:pos="1440"/>
        </w:tabs>
        <w:ind w:left="1440" w:hanging="360"/>
      </w:pPr>
      <w:rPr>
        <w:rFonts w:ascii="Trebuchet MS" w:eastAsia="Times New Roman" w:hAnsi="Trebuchet MS" w:cs="Times New Roman" w:hint="default"/>
      </w:rPr>
    </w:lvl>
    <w:lvl w:ilvl="2">
      <w:start w:val="1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FA664E"/>
    <w:multiLevelType w:val="hybridMultilevel"/>
    <w:tmpl w:val="32368EF8"/>
    <w:lvl w:ilvl="0" w:tplc="7C205390">
      <w:start w:val="1"/>
      <w:numFmt w:val="bullet"/>
      <w:lvlText w:val=""/>
      <w:lvlJc w:val="left"/>
      <w:pPr>
        <w:tabs>
          <w:tab w:val="num" w:pos="1107"/>
        </w:tabs>
        <w:ind w:left="1107" w:firstLine="567"/>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7502E03"/>
    <w:multiLevelType w:val="hybridMultilevel"/>
    <w:tmpl w:val="C444200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26E8D"/>
    <w:multiLevelType w:val="hybridMultilevel"/>
    <w:tmpl w:val="43BAAA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297BB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D56813"/>
    <w:multiLevelType w:val="hybridMultilevel"/>
    <w:tmpl w:val="D6DC441E"/>
    <w:lvl w:ilvl="0" w:tplc="0809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8A64A22"/>
    <w:multiLevelType w:val="hybridMultilevel"/>
    <w:tmpl w:val="E25C9C22"/>
    <w:lvl w:ilvl="0" w:tplc="9548580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98F2AE0"/>
    <w:multiLevelType w:val="hybridMultilevel"/>
    <w:tmpl w:val="23B2D456"/>
    <w:lvl w:ilvl="0" w:tplc="08090001">
      <w:start w:val="1"/>
      <w:numFmt w:val="bullet"/>
      <w:lvlText w:val=""/>
      <w:lvlJc w:val="left"/>
      <w:pPr>
        <w:ind w:left="667" w:hanging="567"/>
      </w:pPr>
      <w:rPr>
        <w:rFonts w:ascii="Symbol" w:hAnsi="Symbol" w:hint="default"/>
        <w:spacing w:val="0"/>
        <w:w w:val="100"/>
        <w:sz w:val="22"/>
        <w:szCs w:val="22"/>
      </w:rPr>
    </w:lvl>
    <w:lvl w:ilvl="1" w:tplc="A55663FC">
      <w:start w:val="1"/>
      <w:numFmt w:val="bullet"/>
      <w:lvlText w:val="•"/>
      <w:lvlJc w:val="left"/>
      <w:pPr>
        <w:ind w:left="1525" w:hanging="567"/>
      </w:pPr>
    </w:lvl>
    <w:lvl w:ilvl="2" w:tplc="4CD034D8">
      <w:start w:val="1"/>
      <w:numFmt w:val="bullet"/>
      <w:lvlText w:val="•"/>
      <w:lvlJc w:val="left"/>
      <w:pPr>
        <w:ind w:left="2383" w:hanging="567"/>
      </w:pPr>
    </w:lvl>
    <w:lvl w:ilvl="3" w:tplc="ACB87D50">
      <w:start w:val="1"/>
      <w:numFmt w:val="bullet"/>
      <w:lvlText w:val="•"/>
      <w:lvlJc w:val="left"/>
      <w:pPr>
        <w:ind w:left="3241" w:hanging="567"/>
      </w:pPr>
    </w:lvl>
    <w:lvl w:ilvl="4" w:tplc="E51E65C4">
      <w:start w:val="1"/>
      <w:numFmt w:val="bullet"/>
      <w:lvlText w:val="•"/>
      <w:lvlJc w:val="left"/>
      <w:pPr>
        <w:ind w:left="4099" w:hanging="567"/>
      </w:pPr>
    </w:lvl>
    <w:lvl w:ilvl="5" w:tplc="8154EB6E">
      <w:start w:val="1"/>
      <w:numFmt w:val="bullet"/>
      <w:lvlText w:val="•"/>
      <w:lvlJc w:val="left"/>
      <w:pPr>
        <w:ind w:left="4958" w:hanging="567"/>
      </w:pPr>
    </w:lvl>
    <w:lvl w:ilvl="6" w:tplc="700297E4">
      <w:start w:val="1"/>
      <w:numFmt w:val="bullet"/>
      <w:lvlText w:val="•"/>
      <w:lvlJc w:val="left"/>
      <w:pPr>
        <w:ind w:left="5816" w:hanging="567"/>
      </w:pPr>
    </w:lvl>
    <w:lvl w:ilvl="7" w:tplc="8DE65D10">
      <w:start w:val="1"/>
      <w:numFmt w:val="bullet"/>
      <w:lvlText w:val="•"/>
      <w:lvlJc w:val="left"/>
      <w:pPr>
        <w:ind w:left="6674" w:hanging="567"/>
      </w:pPr>
    </w:lvl>
    <w:lvl w:ilvl="8" w:tplc="992E0FDE">
      <w:start w:val="1"/>
      <w:numFmt w:val="bullet"/>
      <w:lvlText w:val="•"/>
      <w:lvlJc w:val="left"/>
      <w:pPr>
        <w:ind w:left="7532" w:hanging="567"/>
      </w:pPr>
    </w:lvl>
  </w:abstractNum>
  <w:abstractNum w:abstractNumId="8">
    <w:nsid w:val="1B0A73F4"/>
    <w:multiLevelType w:val="hybridMultilevel"/>
    <w:tmpl w:val="F8DCDC2E"/>
    <w:lvl w:ilvl="0" w:tplc="9548580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12B2D2F"/>
    <w:multiLevelType w:val="hybridMultilevel"/>
    <w:tmpl w:val="665E9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054BB2"/>
    <w:multiLevelType w:val="hybridMultilevel"/>
    <w:tmpl w:val="1C925BF2"/>
    <w:lvl w:ilvl="0" w:tplc="0809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0F56882"/>
    <w:multiLevelType w:val="hybridMultilevel"/>
    <w:tmpl w:val="90128086"/>
    <w:lvl w:ilvl="0" w:tplc="81EA6E4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10E2402"/>
    <w:multiLevelType w:val="hybridMultilevel"/>
    <w:tmpl w:val="09FAFA48"/>
    <w:lvl w:ilvl="0" w:tplc="0409000F">
      <w:start w:val="1"/>
      <w:numFmt w:val="decimal"/>
      <w:lvlText w:val="%1."/>
      <w:lvlJc w:val="left"/>
      <w:pPr>
        <w:tabs>
          <w:tab w:val="num" w:pos="720"/>
        </w:tabs>
        <w:ind w:left="720" w:hanging="360"/>
      </w:pPr>
    </w:lvl>
    <w:lvl w:ilvl="1" w:tplc="32D8E5F8">
      <w:start w:val="13"/>
      <w:numFmt w:val="bullet"/>
      <w:lvlText w:val="-"/>
      <w:lvlJc w:val="left"/>
      <w:pPr>
        <w:tabs>
          <w:tab w:val="num" w:pos="1440"/>
        </w:tabs>
        <w:ind w:left="1440" w:hanging="360"/>
      </w:pPr>
      <w:rPr>
        <w:rFonts w:ascii="Trebuchet MS" w:eastAsia="Times New Roman" w:hAnsi="Trebuchet MS" w:cs="Times New Roman" w:hint="default"/>
      </w:rPr>
    </w:lvl>
    <w:lvl w:ilvl="2" w:tplc="2E8C3964">
      <w:start w:val="1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0D4233"/>
    <w:multiLevelType w:val="multilevel"/>
    <w:tmpl w:val="32368EF8"/>
    <w:lvl w:ilvl="0">
      <w:start w:val="1"/>
      <w:numFmt w:val="bullet"/>
      <w:lvlText w:val=""/>
      <w:lvlJc w:val="left"/>
      <w:pPr>
        <w:tabs>
          <w:tab w:val="num" w:pos="1107"/>
        </w:tabs>
        <w:ind w:left="1107" w:firstLine="567"/>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35510FBD"/>
    <w:multiLevelType w:val="singleLevel"/>
    <w:tmpl w:val="D9ECC834"/>
    <w:lvl w:ilvl="0">
      <w:start w:val="1"/>
      <w:numFmt w:val="decimal"/>
      <w:lvlText w:val="%1."/>
      <w:legacy w:legacy="1" w:legacySpace="0" w:legacyIndent="360"/>
      <w:lvlJc w:val="left"/>
      <w:rPr>
        <w:rFonts w:ascii="Arial" w:hAnsi="Arial" w:cs="Wingdings" w:hint="default"/>
      </w:rPr>
    </w:lvl>
  </w:abstractNum>
  <w:abstractNum w:abstractNumId="15">
    <w:nsid w:val="3A9C2855"/>
    <w:multiLevelType w:val="hybridMultilevel"/>
    <w:tmpl w:val="64EE5F68"/>
    <w:lvl w:ilvl="0" w:tplc="A5B45DFA">
      <w:start w:val="1"/>
      <w:numFmt w:val="decimal"/>
      <w:lvlText w:val="%1."/>
      <w:lvlJc w:val="left"/>
      <w:pPr>
        <w:ind w:left="667" w:hanging="567"/>
      </w:pPr>
      <w:rPr>
        <w:rFonts w:ascii="Calibri" w:eastAsia="Garamond" w:hAnsi="Calibri" w:hint="default"/>
        <w:spacing w:val="0"/>
        <w:w w:val="100"/>
        <w:sz w:val="22"/>
        <w:szCs w:val="22"/>
      </w:rPr>
    </w:lvl>
    <w:lvl w:ilvl="1" w:tplc="A55663FC">
      <w:start w:val="1"/>
      <w:numFmt w:val="bullet"/>
      <w:lvlText w:val="•"/>
      <w:lvlJc w:val="left"/>
      <w:pPr>
        <w:ind w:left="1525" w:hanging="567"/>
      </w:pPr>
    </w:lvl>
    <w:lvl w:ilvl="2" w:tplc="4CD034D8">
      <w:start w:val="1"/>
      <w:numFmt w:val="bullet"/>
      <w:lvlText w:val="•"/>
      <w:lvlJc w:val="left"/>
      <w:pPr>
        <w:ind w:left="2383" w:hanging="567"/>
      </w:pPr>
    </w:lvl>
    <w:lvl w:ilvl="3" w:tplc="ACB87D50">
      <w:start w:val="1"/>
      <w:numFmt w:val="bullet"/>
      <w:lvlText w:val="•"/>
      <w:lvlJc w:val="left"/>
      <w:pPr>
        <w:ind w:left="3241" w:hanging="567"/>
      </w:pPr>
    </w:lvl>
    <w:lvl w:ilvl="4" w:tplc="E51E65C4">
      <w:start w:val="1"/>
      <w:numFmt w:val="bullet"/>
      <w:lvlText w:val="•"/>
      <w:lvlJc w:val="left"/>
      <w:pPr>
        <w:ind w:left="4099" w:hanging="567"/>
      </w:pPr>
    </w:lvl>
    <w:lvl w:ilvl="5" w:tplc="8154EB6E">
      <w:start w:val="1"/>
      <w:numFmt w:val="bullet"/>
      <w:lvlText w:val="•"/>
      <w:lvlJc w:val="left"/>
      <w:pPr>
        <w:ind w:left="4958" w:hanging="567"/>
      </w:pPr>
    </w:lvl>
    <w:lvl w:ilvl="6" w:tplc="700297E4">
      <w:start w:val="1"/>
      <w:numFmt w:val="bullet"/>
      <w:lvlText w:val="•"/>
      <w:lvlJc w:val="left"/>
      <w:pPr>
        <w:ind w:left="5816" w:hanging="567"/>
      </w:pPr>
    </w:lvl>
    <w:lvl w:ilvl="7" w:tplc="8DE65D10">
      <w:start w:val="1"/>
      <w:numFmt w:val="bullet"/>
      <w:lvlText w:val="•"/>
      <w:lvlJc w:val="left"/>
      <w:pPr>
        <w:ind w:left="6674" w:hanging="567"/>
      </w:pPr>
    </w:lvl>
    <w:lvl w:ilvl="8" w:tplc="992E0FDE">
      <w:start w:val="1"/>
      <w:numFmt w:val="bullet"/>
      <w:lvlText w:val="•"/>
      <w:lvlJc w:val="left"/>
      <w:pPr>
        <w:ind w:left="7532" w:hanging="567"/>
      </w:pPr>
    </w:lvl>
  </w:abstractNum>
  <w:abstractNum w:abstractNumId="16">
    <w:nsid w:val="50173C87"/>
    <w:multiLevelType w:val="hybridMultilevel"/>
    <w:tmpl w:val="97783B78"/>
    <w:lvl w:ilvl="0" w:tplc="0809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57436236"/>
    <w:multiLevelType w:val="hybridMultilevel"/>
    <w:tmpl w:val="1FDEF112"/>
    <w:lvl w:ilvl="0" w:tplc="0C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5C5D1822"/>
    <w:multiLevelType w:val="multilevel"/>
    <w:tmpl w:val="665E91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89515D"/>
    <w:multiLevelType w:val="hybridMultilevel"/>
    <w:tmpl w:val="0AFE0A1C"/>
    <w:lvl w:ilvl="0" w:tplc="2DF6998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7C2071"/>
    <w:multiLevelType w:val="multilevel"/>
    <w:tmpl w:val="0809001D"/>
    <w:numStyleLink w:val="Style1"/>
  </w:abstractNum>
  <w:abstractNum w:abstractNumId="21">
    <w:nsid w:val="6C7E7174"/>
    <w:multiLevelType w:val="hybridMultilevel"/>
    <w:tmpl w:val="A16AE702"/>
    <w:lvl w:ilvl="0" w:tplc="08090019">
      <w:start w:val="1"/>
      <w:numFmt w:val="lowerLetter"/>
      <w:lvlText w:val="%1."/>
      <w:lvlJc w:val="left"/>
      <w:pPr>
        <w:ind w:left="667" w:hanging="567"/>
      </w:pPr>
      <w:rPr>
        <w:rFonts w:hint="default"/>
        <w:spacing w:val="0"/>
        <w:w w:val="100"/>
        <w:sz w:val="22"/>
        <w:szCs w:val="22"/>
      </w:rPr>
    </w:lvl>
    <w:lvl w:ilvl="1" w:tplc="A55663FC">
      <w:start w:val="1"/>
      <w:numFmt w:val="bullet"/>
      <w:lvlText w:val="•"/>
      <w:lvlJc w:val="left"/>
      <w:pPr>
        <w:ind w:left="1525" w:hanging="567"/>
      </w:pPr>
    </w:lvl>
    <w:lvl w:ilvl="2" w:tplc="4CD034D8">
      <w:start w:val="1"/>
      <w:numFmt w:val="bullet"/>
      <w:lvlText w:val="•"/>
      <w:lvlJc w:val="left"/>
      <w:pPr>
        <w:ind w:left="2383" w:hanging="567"/>
      </w:pPr>
    </w:lvl>
    <w:lvl w:ilvl="3" w:tplc="ACB87D50">
      <w:start w:val="1"/>
      <w:numFmt w:val="bullet"/>
      <w:lvlText w:val="•"/>
      <w:lvlJc w:val="left"/>
      <w:pPr>
        <w:ind w:left="3241" w:hanging="567"/>
      </w:pPr>
    </w:lvl>
    <w:lvl w:ilvl="4" w:tplc="E51E65C4">
      <w:start w:val="1"/>
      <w:numFmt w:val="bullet"/>
      <w:lvlText w:val="•"/>
      <w:lvlJc w:val="left"/>
      <w:pPr>
        <w:ind w:left="4099" w:hanging="567"/>
      </w:pPr>
    </w:lvl>
    <w:lvl w:ilvl="5" w:tplc="8154EB6E">
      <w:start w:val="1"/>
      <w:numFmt w:val="bullet"/>
      <w:lvlText w:val="•"/>
      <w:lvlJc w:val="left"/>
      <w:pPr>
        <w:ind w:left="4958" w:hanging="567"/>
      </w:pPr>
    </w:lvl>
    <w:lvl w:ilvl="6" w:tplc="700297E4">
      <w:start w:val="1"/>
      <w:numFmt w:val="bullet"/>
      <w:lvlText w:val="•"/>
      <w:lvlJc w:val="left"/>
      <w:pPr>
        <w:ind w:left="5816" w:hanging="567"/>
      </w:pPr>
    </w:lvl>
    <w:lvl w:ilvl="7" w:tplc="8DE65D10">
      <w:start w:val="1"/>
      <w:numFmt w:val="bullet"/>
      <w:lvlText w:val="•"/>
      <w:lvlJc w:val="left"/>
      <w:pPr>
        <w:ind w:left="6674" w:hanging="567"/>
      </w:pPr>
    </w:lvl>
    <w:lvl w:ilvl="8" w:tplc="992E0FDE">
      <w:start w:val="1"/>
      <w:numFmt w:val="bullet"/>
      <w:lvlText w:val="•"/>
      <w:lvlJc w:val="left"/>
      <w:pPr>
        <w:ind w:left="7532" w:hanging="567"/>
      </w:pPr>
    </w:lvl>
  </w:abstractNum>
  <w:abstractNum w:abstractNumId="22">
    <w:nsid w:val="6FA71F51"/>
    <w:multiLevelType w:val="hybridMultilevel"/>
    <w:tmpl w:val="36C6CA52"/>
    <w:lvl w:ilvl="0" w:tplc="08090019">
      <w:start w:val="1"/>
      <w:numFmt w:val="lowerLetter"/>
      <w:lvlText w:val="%1."/>
      <w:lvlJc w:val="left"/>
      <w:pPr>
        <w:ind w:left="1572" w:hanging="360"/>
      </w:pPr>
    </w:lvl>
    <w:lvl w:ilvl="1" w:tplc="04090019">
      <w:start w:val="1"/>
      <w:numFmt w:val="lowerLetter"/>
      <w:lvlText w:val="%2."/>
      <w:lvlJc w:val="left"/>
      <w:pPr>
        <w:ind w:left="2292" w:hanging="360"/>
      </w:pPr>
    </w:lvl>
    <w:lvl w:ilvl="2" w:tplc="0409001B">
      <w:start w:val="1"/>
      <w:numFmt w:val="lowerRoman"/>
      <w:lvlText w:val="%3."/>
      <w:lvlJc w:val="right"/>
      <w:pPr>
        <w:ind w:left="3012" w:hanging="180"/>
      </w:pPr>
    </w:lvl>
    <w:lvl w:ilvl="3" w:tplc="0409000F">
      <w:start w:val="1"/>
      <w:numFmt w:val="decimal"/>
      <w:lvlText w:val="%4."/>
      <w:lvlJc w:val="left"/>
      <w:pPr>
        <w:ind w:left="3732" w:hanging="360"/>
      </w:pPr>
    </w:lvl>
    <w:lvl w:ilvl="4" w:tplc="04090019">
      <w:start w:val="1"/>
      <w:numFmt w:val="lowerLetter"/>
      <w:lvlText w:val="%5."/>
      <w:lvlJc w:val="left"/>
      <w:pPr>
        <w:ind w:left="4452" w:hanging="360"/>
      </w:pPr>
    </w:lvl>
    <w:lvl w:ilvl="5" w:tplc="0409001B">
      <w:start w:val="1"/>
      <w:numFmt w:val="lowerRoman"/>
      <w:lvlText w:val="%6."/>
      <w:lvlJc w:val="right"/>
      <w:pPr>
        <w:ind w:left="5172" w:hanging="180"/>
      </w:pPr>
    </w:lvl>
    <w:lvl w:ilvl="6" w:tplc="0409000F">
      <w:start w:val="1"/>
      <w:numFmt w:val="decimal"/>
      <w:lvlText w:val="%7."/>
      <w:lvlJc w:val="left"/>
      <w:pPr>
        <w:ind w:left="5892" w:hanging="360"/>
      </w:pPr>
    </w:lvl>
    <w:lvl w:ilvl="7" w:tplc="04090019">
      <w:start w:val="1"/>
      <w:numFmt w:val="lowerLetter"/>
      <w:lvlText w:val="%8."/>
      <w:lvlJc w:val="left"/>
      <w:pPr>
        <w:ind w:left="6612" w:hanging="360"/>
      </w:pPr>
    </w:lvl>
    <w:lvl w:ilvl="8" w:tplc="0409001B">
      <w:start w:val="1"/>
      <w:numFmt w:val="lowerRoman"/>
      <w:lvlText w:val="%9."/>
      <w:lvlJc w:val="right"/>
      <w:pPr>
        <w:ind w:left="7332" w:hanging="180"/>
      </w:pPr>
    </w:lvl>
  </w:abstractNum>
  <w:abstractNum w:abstractNumId="23">
    <w:nsid w:val="70D9145E"/>
    <w:multiLevelType w:val="hybridMultilevel"/>
    <w:tmpl w:val="23329FDA"/>
    <w:lvl w:ilvl="0" w:tplc="10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75853660"/>
    <w:multiLevelType w:val="hybridMultilevel"/>
    <w:tmpl w:val="894CBC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B792FEB"/>
    <w:multiLevelType w:val="hybridMultilevel"/>
    <w:tmpl w:val="CBFAB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E60BF9"/>
    <w:multiLevelType w:val="hybridMultilevel"/>
    <w:tmpl w:val="1EA63574"/>
    <w:lvl w:ilvl="0" w:tplc="08090019">
      <w:start w:val="1"/>
      <w:numFmt w:val="lowerLetter"/>
      <w:lvlText w:val="%1."/>
      <w:lvlJc w:val="left"/>
      <w:pPr>
        <w:ind w:left="1572" w:hanging="360"/>
      </w:pPr>
    </w:lvl>
    <w:lvl w:ilvl="1" w:tplc="04090019">
      <w:start w:val="1"/>
      <w:numFmt w:val="lowerLetter"/>
      <w:lvlText w:val="%2."/>
      <w:lvlJc w:val="left"/>
      <w:pPr>
        <w:ind w:left="2292" w:hanging="360"/>
      </w:pPr>
    </w:lvl>
    <w:lvl w:ilvl="2" w:tplc="0409001B">
      <w:start w:val="1"/>
      <w:numFmt w:val="lowerRoman"/>
      <w:lvlText w:val="%3."/>
      <w:lvlJc w:val="right"/>
      <w:pPr>
        <w:ind w:left="3012" w:hanging="180"/>
      </w:pPr>
    </w:lvl>
    <w:lvl w:ilvl="3" w:tplc="0409000F">
      <w:start w:val="1"/>
      <w:numFmt w:val="decimal"/>
      <w:lvlText w:val="%4."/>
      <w:lvlJc w:val="left"/>
      <w:pPr>
        <w:ind w:left="3732" w:hanging="360"/>
      </w:pPr>
    </w:lvl>
    <w:lvl w:ilvl="4" w:tplc="04090019">
      <w:start w:val="1"/>
      <w:numFmt w:val="lowerLetter"/>
      <w:lvlText w:val="%5."/>
      <w:lvlJc w:val="left"/>
      <w:pPr>
        <w:ind w:left="4452" w:hanging="360"/>
      </w:pPr>
    </w:lvl>
    <w:lvl w:ilvl="5" w:tplc="0409001B">
      <w:start w:val="1"/>
      <w:numFmt w:val="lowerRoman"/>
      <w:lvlText w:val="%6."/>
      <w:lvlJc w:val="right"/>
      <w:pPr>
        <w:ind w:left="5172" w:hanging="180"/>
      </w:pPr>
    </w:lvl>
    <w:lvl w:ilvl="6" w:tplc="0409000F">
      <w:start w:val="1"/>
      <w:numFmt w:val="decimal"/>
      <w:lvlText w:val="%7."/>
      <w:lvlJc w:val="left"/>
      <w:pPr>
        <w:ind w:left="5892" w:hanging="360"/>
      </w:pPr>
    </w:lvl>
    <w:lvl w:ilvl="7" w:tplc="04090019">
      <w:start w:val="1"/>
      <w:numFmt w:val="lowerLetter"/>
      <w:lvlText w:val="%8."/>
      <w:lvlJc w:val="left"/>
      <w:pPr>
        <w:ind w:left="6612" w:hanging="360"/>
      </w:pPr>
    </w:lvl>
    <w:lvl w:ilvl="8" w:tplc="0409001B">
      <w:start w:val="1"/>
      <w:numFmt w:val="lowerRoman"/>
      <w:lvlText w:val="%9."/>
      <w:lvlJc w:val="right"/>
      <w:pPr>
        <w:ind w:left="7332" w:hanging="180"/>
      </w:pPr>
    </w:lvl>
  </w:abstractNum>
  <w:num w:numId="1">
    <w:abstractNumId w:val="14"/>
  </w:num>
  <w:num w:numId="2">
    <w:abstractNumId w:val="25"/>
  </w:num>
  <w:num w:numId="3">
    <w:abstractNumId w:val="3"/>
  </w:num>
  <w:num w:numId="4">
    <w:abstractNumId w:val="6"/>
  </w:num>
  <w:num w:numId="5">
    <w:abstractNumId w:val="8"/>
  </w:num>
  <w:num w:numId="6">
    <w:abstractNumId w:val="12"/>
  </w:num>
  <w:num w:numId="7">
    <w:abstractNumId w:val="24"/>
  </w:num>
  <w:num w:numId="8">
    <w:abstractNumId w:val="1"/>
  </w:num>
  <w:num w:numId="9">
    <w:abstractNumId w:val="11"/>
  </w:num>
  <w:num w:numId="10">
    <w:abstractNumId w:val="13"/>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26"/>
  </w:num>
  <w:num w:numId="16">
    <w:abstractNumId w:val="7"/>
  </w:num>
  <w:num w:numId="17">
    <w:abstractNumId w:val="19"/>
  </w:num>
  <w:num w:numId="18">
    <w:abstractNumId w:val="4"/>
  </w:num>
  <w:num w:numId="19">
    <w:abstractNumId w:val="20"/>
  </w:num>
  <w:num w:numId="20">
    <w:abstractNumId w:val="9"/>
  </w:num>
  <w:num w:numId="21">
    <w:abstractNumId w:val="18"/>
  </w:num>
  <w:num w:numId="22">
    <w:abstractNumId w:val="21"/>
  </w:num>
  <w:num w:numId="23">
    <w:abstractNumId w:val="22"/>
  </w:num>
  <w:num w:numId="24">
    <w:abstractNumId w:val="2"/>
  </w:num>
  <w:num w:numId="25">
    <w:abstractNumId w:val="23"/>
  </w:num>
  <w:num w:numId="26">
    <w:abstractNumId w:val="5"/>
  </w:num>
  <w:num w:numId="27">
    <w:abstractNumId w:val="10"/>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41"/>
    <w:rsid w:val="00051BE9"/>
    <w:rsid w:val="000D1EE6"/>
    <w:rsid w:val="00114794"/>
    <w:rsid w:val="00192B2C"/>
    <w:rsid w:val="001C3027"/>
    <w:rsid w:val="0023268F"/>
    <w:rsid w:val="00291339"/>
    <w:rsid w:val="00291DEF"/>
    <w:rsid w:val="0034731E"/>
    <w:rsid w:val="003859B4"/>
    <w:rsid w:val="00390F41"/>
    <w:rsid w:val="003E7F04"/>
    <w:rsid w:val="004036E9"/>
    <w:rsid w:val="004454D6"/>
    <w:rsid w:val="00454B65"/>
    <w:rsid w:val="005303A6"/>
    <w:rsid w:val="005606E1"/>
    <w:rsid w:val="00565A0C"/>
    <w:rsid w:val="0058093B"/>
    <w:rsid w:val="00593ECC"/>
    <w:rsid w:val="006E5062"/>
    <w:rsid w:val="006F7C16"/>
    <w:rsid w:val="00737A9A"/>
    <w:rsid w:val="007B75C2"/>
    <w:rsid w:val="0083097F"/>
    <w:rsid w:val="00854BB4"/>
    <w:rsid w:val="0086049B"/>
    <w:rsid w:val="00875A4F"/>
    <w:rsid w:val="008B0AA9"/>
    <w:rsid w:val="008D54FC"/>
    <w:rsid w:val="00956A24"/>
    <w:rsid w:val="009A0151"/>
    <w:rsid w:val="00A04D4F"/>
    <w:rsid w:val="00A4524F"/>
    <w:rsid w:val="00A757F0"/>
    <w:rsid w:val="00AB56CE"/>
    <w:rsid w:val="00AE572E"/>
    <w:rsid w:val="00B350C1"/>
    <w:rsid w:val="00B71CB0"/>
    <w:rsid w:val="00C862F0"/>
    <w:rsid w:val="00CE708B"/>
    <w:rsid w:val="00D37587"/>
    <w:rsid w:val="00D37EB5"/>
    <w:rsid w:val="00D43D8E"/>
    <w:rsid w:val="00D666ED"/>
    <w:rsid w:val="00E926E2"/>
    <w:rsid w:val="00FB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CD3734"/>
    <w:pPr>
      <w:keepNext/>
      <w:jc w:val="center"/>
      <w:outlineLvl w:val="0"/>
    </w:pPr>
    <w:rPr>
      <w:rFonts w:ascii="Univers" w:hAnsi="Univer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C0C0F"/>
    <w:rPr>
      <w:b/>
      <w:bCs/>
    </w:rPr>
  </w:style>
  <w:style w:type="character" w:styleId="Hyperlink">
    <w:name w:val="Hyperlink"/>
    <w:rsid w:val="00C45932"/>
    <w:rPr>
      <w:color w:val="0000FF"/>
      <w:u w:val="single"/>
    </w:rPr>
  </w:style>
  <w:style w:type="paragraph" w:styleId="Footer">
    <w:name w:val="footer"/>
    <w:basedOn w:val="Normal"/>
    <w:link w:val="FooterChar"/>
    <w:uiPriority w:val="99"/>
    <w:rsid w:val="00C45932"/>
    <w:pPr>
      <w:tabs>
        <w:tab w:val="center" w:pos="4320"/>
        <w:tab w:val="right" w:pos="8640"/>
      </w:tabs>
    </w:pPr>
    <w:rPr>
      <w:sz w:val="40"/>
      <w:szCs w:val="40"/>
      <w:lang w:eastAsia="x-none"/>
    </w:rPr>
  </w:style>
  <w:style w:type="character" w:styleId="PageNumber">
    <w:name w:val="page number"/>
    <w:basedOn w:val="DefaultParagraphFont"/>
    <w:rsid w:val="00C45932"/>
  </w:style>
  <w:style w:type="paragraph" w:styleId="Header">
    <w:name w:val="header"/>
    <w:basedOn w:val="Normal"/>
    <w:rsid w:val="00C45932"/>
    <w:pPr>
      <w:tabs>
        <w:tab w:val="center" w:pos="4320"/>
        <w:tab w:val="right" w:pos="8640"/>
      </w:tabs>
    </w:pPr>
    <w:rPr>
      <w:sz w:val="40"/>
      <w:szCs w:val="40"/>
    </w:rPr>
  </w:style>
  <w:style w:type="table" w:styleId="TableGrid">
    <w:name w:val="Table Grid"/>
    <w:basedOn w:val="TableNormal"/>
    <w:rsid w:val="00C4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2D3F"/>
    <w:rPr>
      <w:rFonts w:ascii="Tahoma" w:hAnsi="Tahoma"/>
      <w:sz w:val="16"/>
      <w:szCs w:val="16"/>
      <w:lang w:val="x-none" w:eastAsia="x-none"/>
    </w:rPr>
  </w:style>
  <w:style w:type="character" w:customStyle="1" w:styleId="BalloonTextChar">
    <w:name w:val="Balloon Text Char"/>
    <w:link w:val="BalloonText"/>
    <w:rsid w:val="00872D3F"/>
    <w:rPr>
      <w:rFonts w:ascii="Tahoma" w:hAnsi="Tahoma" w:cs="Tahoma"/>
      <w:sz w:val="16"/>
      <w:szCs w:val="16"/>
    </w:rPr>
  </w:style>
  <w:style w:type="paragraph" w:customStyle="1" w:styleId="ColorfulList-Accent11">
    <w:name w:val="Colorful List - Accent 11"/>
    <w:basedOn w:val="Normal"/>
    <w:uiPriority w:val="34"/>
    <w:qFormat/>
    <w:rsid w:val="00713214"/>
    <w:pPr>
      <w:spacing w:after="200" w:line="276"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A31025"/>
    <w:pPr>
      <w:widowControl w:val="0"/>
    </w:pPr>
    <w:rPr>
      <w:rFonts w:ascii="Calibri" w:eastAsia="Calibri" w:hAnsi="Calibri"/>
      <w:sz w:val="22"/>
      <w:szCs w:val="22"/>
    </w:rPr>
  </w:style>
  <w:style w:type="paragraph" w:styleId="BodyText">
    <w:name w:val="Body Text"/>
    <w:basedOn w:val="Normal"/>
    <w:link w:val="BodyTextChar"/>
    <w:uiPriority w:val="1"/>
    <w:unhideWhenUsed/>
    <w:qFormat/>
    <w:rsid w:val="00305A30"/>
    <w:pPr>
      <w:spacing w:after="120"/>
    </w:pPr>
    <w:rPr>
      <w:lang w:val="x-none"/>
    </w:rPr>
  </w:style>
  <w:style w:type="character" w:customStyle="1" w:styleId="BodyTextChar">
    <w:name w:val="Body Text Char"/>
    <w:link w:val="BodyText"/>
    <w:uiPriority w:val="1"/>
    <w:rsid w:val="00305A30"/>
    <w:rPr>
      <w:sz w:val="24"/>
      <w:szCs w:val="24"/>
      <w:lang w:eastAsia="en-US"/>
    </w:rPr>
  </w:style>
  <w:style w:type="character" w:styleId="CommentReference">
    <w:name w:val="annotation reference"/>
    <w:rsid w:val="00CE2248"/>
    <w:rPr>
      <w:sz w:val="16"/>
      <w:szCs w:val="16"/>
    </w:rPr>
  </w:style>
  <w:style w:type="paragraph" w:styleId="CommentText">
    <w:name w:val="annotation text"/>
    <w:basedOn w:val="Normal"/>
    <w:link w:val="CommentTextChar"/>
    <w:rsid w:val="00CE2248"/>
    <w:rPr>
      <w:sz w:val="20"/>
      <w:szCs w:val="20"/>
    </w:rPr>
  </w:style>
  <w:style w:type="character" w:customStyle="1" w:styleId="CommentTextChar">
    <w:name w:val="Comment Text Char"/>
    <w:link w:val="CommentText"/>
    <w:rsid w:val="00CE2248"/>
    <w:rPr>
      <w:lang w:val="en-US" w:eastAsia="en-US"/>
    </w:rPr>
  </w:style>
  <w:style w:type="paragraph" w:styleId="CommentSubject">
    <w:name w:val="annotation subject"/>
    <w:basedOn w:val="CommentText"/>
    <w:next w:val="CommentText"/>
    <w:link w:val="CommentSubjectChar"/>
    <w:rsid w:val="00CE2248"/>
    <w:rPr>
      <w:b/>
      <w:bCs/>
    </w:rPr>
  </w:style>
  <w:style w:type="character" w:customStyle="1" w:styleId="CommentSubjectChar">
    <w:name w:val="Comment Subject Char"/>
    <w:link w:val="CommentSubject"/>
    <w:rsid w:val="00CE2248"/>
    <w:rPr>
      <w:b/>
      <w:bCs/>
      <w:lang w:val="en-US" w:eastAsia="en-US"/>
    </w:rPr>
  </w:style>
  <w:style w:type="character" w:customStyle="1" w:styleId="FooterChar">
    <w:name w:val="Footer Char"/>
    <w:link w:val="Footer"/>
    <w:uiPriority w:val="99"/>
    <w:locked/>
    <w:rsid w:val="004819CF"/>
    <w:rPr>
      <w:sz w:val="40"/>
      <w:szCs w:val="40"/>
      <w:lang w:val="en-US"/>
    </w:rPr>
  </w:style>
  <w:style w:type="numbering" w:customStyle="1" w:styleId="Style1">
    <w:name w:val="Style1"/>
    <w:rsid w:val="00C862F0"/>
    <w:pPr>
      <w:numPr>
        <w:numId w:val="18"/>
      </w:numPr>
    </w:pPr>
  </w:style>
  <w:style w:type="paragraph" w:styleId="ListParagraph">
    <w:name w:val="List Paragraph"/>
    <w:basedOn w:val="Normal"/>
    <w:uiPriority w:val="1"/>
    <w:qFormat/>
    <w:rsid w:val="00875A4F"/>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CD3734"/>
    <w:pPr>
      <w:keepNext/>
      <w:jc w:val="center"/>
      <w:outlineLvl w:val="0"/>
    </w:pPr>
    <w:rPr>
      <w:rFonts w:ascii="Univers" w:hAnsi="Univer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C0C0F"/>
    <w:rPr>
      <w:b/>
      <w:bCs/>
    </w:rPr>
  </w:style>
  <w:style w:type="character" w:styleId="Hyperlink">
    <w:name w:val="Hyperlink"/>
    <w:rsid w:val="00C45932"/>
    <w:rPr>
      <w:color w:val="0000FF"/>
      <w:u w:val="single"/>
    </w:rPr>
  </w:style>
  <w:style w:type="paragraph" w:styleId="Footer">
    <w:name w:val="footer"/>
    <w:basedOn w:val="Normal"/>
    <w:link w:val="FooterChar"/>
    <w:uiPriority w:val="99"/>
    <w:rsid w:val="00C45932"/>
    <w:pPr>
      <w:tabs>
        <w:tab w:val="center" w:pos="4320"/>
        <w:tab w:val="right" w:pos="8640"/>
      </w:tabs>
    </w:pPr>
    <w:rPr>
      <w:sz w:val="40"/>
      <w:szCs w:val="40"/>
      <w:lang w:eastAsia="x-none"/>
    </w:rPr>
  </w:style>
  <w:style w:type="character" w:styleId="PageNumber">
    <w:name w:val="page number"/>
    <w:basedOn w:val="DefaultParagraphFont"/>
    <w:rsid w:val="00C45932"/>
  </w:style>
  <w:style w:type="paragraph" w:styleId="Header">
    <w:name w:val="header"/>
    <w:basedOn w:val="Normal"/>
    <w:rsid w:val="00C45932"/>
    <w:pPr>
      <w:tabs>
        <w:tab w:val="center" w:pos="4320"/>
        <w:tab w:val="right" w:pos="8640"/>
      </w:tabs>
    </w:pPr>
    <w:rPr>
      <w:sz w:val="40"/>
      <w:szCs w:val="40"/>
    </w:rPr>
  </w:style>
  <w:style w:type="table" w:styleId="TableGrid">
    <w:name w:val="Table Grid"/>
    <w:basedOn w:val="TableNormal"/>
    <w:rsid w:val="00C4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2D3F"/>
    <w:rPr>
      <w:rFonts w:ascii="Tahoma" w:hAnsi="Tahoma"/>
      <w:sz w:val="16"/>
      <w:szCs w:val="16"/>
      <w:lang w:val="x-none" w:eastAsia="x-none"/>
    </w:rPr>
  </w:style>
  <w:style w:type="character" w:customStyle="1" w:styleId="BalloonTextChar">
    <w:name w:val="Balloon Text Char"/>
    <w:link w:val="BalloonText"/>
    <w:rsid w:val="00872D3F"/>
    <w:rPr>
      <w:rFonts w:ascii="Tahoma" w:hAnsi="Tahoma" w:cs="Tahoma"/>
      <w:sz w:val="16"/>
      <w:szCs w:val="16"/>
    </w:rPr>
  </w:style>
  <w:style w:type="paragraph" w:customStyle="1" w:styleId="ColorfulList-Accent11">
    <w:name w:val="Colorful List - Accent 11"/>
    <w:basedOn w:val="Normal"/>
    <w:uiPriority w:val="34"/>
    <w:qFormat/>
    <w:rsid w:val="00713214"/>
    <w:pPr>
      <w:spacing w:after="200" w:line="276"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A31025"/>
    <w:pPr>
      <w:widowControl w:val="0"/>
    </w:pPr>
    <w:rPr>
      <w:rFonts w:ascii="Calibri" w:eastAsia="Calibri" w:hAnsi="Calibri"/>
      <w:sz w:val="22"/>
      <w:szCs w:val="22"/>
    </w:rPr>
  </w:style>
  <w:style w:type="paragraph" w:styleId="BodyText">
    <w:name w:val="Body Text"/>
    <w:basedOn w:val="Normal"/>
    <w:link w:val="BodyTextChar"/>
    <w:uiPriority w:val="1"/>
    <w:unhideWhenUsed/>
    <w:qFormat/>
    <w:rsid w:val="00305A30"/>
    <w:pPr>
      <w:spacing w:after="120"/>
    </w:pPr>
    <w:rPr>
      <w:lang w:val="x-none"/>
    </w:rPr>
  </w:style>
  <w:style w:type="character" w:customStyle="1" w:styleId="BodyTextChar">
    <w:name w:val="Body Text Char"/>
    <w:link w:val="BodyText"/>
    <w:uiPriority w:val="1"/>
    <w:rsid w:val="00305A30"/>
    <w:rPr>
      <w:sz w:val="24"/>
      <w:szCs w:val="24"/>
      <w:lang w:eastAsia="en-US"/>
    </w:rPr>
  </w:style>
  <w:style w:type="character" w:styleId="CommentReference">
    <w:name w:val="annotation reference"/>
    <w:rsid w:val="00CE2248"/>
    <w:rPr>
      <w:sz w:val="16"/>
      <w:szCs w:val="16"/>
    </w:rPr>
  </w:style>
  <w:style w:type="paragraph" w:styleId="CommentText">
    <w:name w:val="annotation text"/>
    <w:basedOn w:val="Normal"/>
    <w:link w:val="CommentTextChar"/>
    <w:rsid w:val="00CE2248"/>
    <w:rPr>
      <w:sz w:val="20"/>
      <w:szCs w:val="20"/>
    </w:rPr>
  </w:style>
  <w:style w:type="character" w:customStyle="1" w:styleId="CommentTextChar">
    <w:name w:val="Comment Text Char"/>
    <w:link w:val="CommentText"/>
    <w:rsid w:val="00CE2248"/>
    <w:rPr>
      <w:lang w:val="en-US" w:eastAsia="en-US"/>
    </w:rPr>
  </w:style>
  <w:style w:type="paragraph" w:styleId="CommentSubject">
    <w:name w:val="annotation subject"/>
    <w:basedOn w:val="CommentText"/>
    <w:next w:val="CommentText"/>
    <w:link w:val="CommentSubjectChar"/>
    <w:rsid w:val="00CE2248"/>
    <w:rPr>
      <w:b/>
      <w:bCs/>
    </w:rPr>
  </w:style>
  <w:style w:type="character" w:customStyle="1" w:styleId="CommentSubjectChar">
    <w:name w:val="Comment Subject Char"/>
    <w:link w:val="CommentSubject"/>
    <w:rsid w:val="00CE2248"/>
    <w:rPr>
      <w:b/>
      <w:bCs/>
      <w:lang w:val="en-US" w:eastAsia="en-US"/>
    </w:rPr>
  </w:style>
  <w:style w:type="character" w:customStyle="1" w:styleId="FooterChar">
    <w:name w:val="Footer Char"/>
    <w:link w:val="Footer"/>
    <w:uiPriority w:val="99"/>
    <w:locked/>
    <w:rsid w:val="004819CF"/>
    <w:rPr>
      <w:sz w:val="40"/>
      <w:szCs w:val="40"/>
      <w:lang w:val="en-US"/>
    </w:rPr>
  </w:style>
  <w:style w:type="numbering" w:customStyle="1" w:styleId="Style1">
    <w:name w:val="Style1"/>
    <w:rsid w:val="00C862F0"/>
    <w:pPr>
      <w:numPr>
        <w:numId w:val="18"/>
      </w:numPr>
    </w:pPr>
  </w:style>
  <w:style w:type="paragraph" w:styleId="ListParagraph">
    <w:name w:val="List Paragraph"/>
    <w:basedOn w:val="Normal"/>
    <w:uiPriority w:val="1"/>
    <w:qFormat/>
    <w:rsid w:val="00875A4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1319">
      <w:bodyDiv w:val="1"/>
      <w:marLeft w:val="0"/>
      <w:marRight w:val="0"/>
      <w:marTop w:val="0"/>
      <w:marBottom w:val="0"/>
      <w:divBdr>
        <w:top w:val="none" w:sz="0" w:space="0" w:color="auto"/>
        <w:left w:val="none" w:sz="0" w:space="0" w:color="auto"/>
        <w:bottom w:val="none" w:sz="0" w:space="0" w:color="auto"/>
        <w:right w:val="none" w:sz="0" w:space="0" w:color="auto"/>
      </w:divBdr>
    </w:div>
    <w:div w:id="351148918">
      <w:bodyDiv w:val="1"/>
      <w:marLeft w:val="0"/>
      <w:marRight w:val="0"/>
      <w:marTop w:val="0"/>
      <w:marBottom w:val="0"/>
      <w:divBdr>
        <w:top w:val="none" w:sz="0" w:space="0" w:color="auto"/>
        <w:left w:val="none" w:sz="0" w:space="0" w:color="auto"/>
        <w:bottom w:val="none" w:sz="0" w:space="0" w:color="auto"/>
        <w:right w:val="none" w:sz="0" w:space="0" w:color="auto"/>
      </w:divBdr>
    </w:div>
    <w:div w:id="1026636590">
      <w:bodyDiv w:val="1"/>
      <w:marLeft w:val="0"/>
      <w:marRight w:val="0"/>
      <w:marTop w:val="0"/>
      <w:marBottom w:val="0"/>
      <w:divBdr>
        <w:top w:val="none" w:sz="0" w:space="0" w:color="auto"/>
        <w:left w:val="none" w:sz="0" w:space="0" w:color="auto"/>
        <w:bottom w:val="none" w:sz="0" w:space="0" w:color="auto"/>
        <w:right w:val="none" w:sz="0" w:space="0" w:color="auto"/>
      </w:divBdr>
    </w:div>
    <w:div w:id="18751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amsar.org/sites/default/files/documents/library/ramsar_rules_of_procedure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6B21-9C95-4100-90CB-3A35DA05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9208</Characters>
  <Application>Microsoft Office Word</Application>
  <DocSecurity>4</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SC40-4 Briefing SC members</vt:lpstr>
      <vt:lpstr>Doc SC40-4 Briefing SC members</vt:lpstr>
    </vt:vector>
  </TitlesOfParts>
  <Company>IUCN</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SC40-4 Briefing SC members</dc:title>
  <dc:creator>IUCN</dc:creator>
  <cp:lastModifiedBy>Ramsar\JenningsE</cp:lastModifiedBy>
  <cp:revision>2</cp:revision>
  <cp:lastPrinted>2015-08-27T04:04:00Z</cp:lastPrinted>
  <dcterms:created xsi:type="dcterms:W3CDTF">2015-08-28T10:23:00Z</dcterms:created>
  <dcterms:modified xsi:type="dcterms:W3CDTF">2015-08-28T10:23:00Z</dcterms:modified>
</cp:coreProperties>
</file>