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E9" w:rsidRPr="005A747C"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rPr>
      </w:pPr>
      <w:r w:rsidRPr="005A747C">
        <w:rPr>
          <w:rFonts w:ascii="Calibri" w:hAnsi="Calibri"/>
          <w:bCs/>
        </w:rPr>
        <w:t>CONVENTION ON WETLANDS (Ramsar, Iran, 1971)</w:t>
      </w:r>
    </w:p>
    <w:p w:rsidR="004036E9" w:rsidRPr="005A747C"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rPr>
      </w:pPr>
      <w:r w:rsidRPr="005A747C">
        <w:rPr>
          <w:rFonts w:ascii="Calibri" w:hAnsi="Calibri"/>
          <w:bCs/>
        </w:rPr>
        <w:t>51</w:t>
      </w:r>
      <w:r w:rsidRPr="005A747C">
        <w:rPr>
          <w:rFonts w:ascii="Calibri" w:hAnsi="Calibri"/>
          <w:bCs/>
          <w:vertAlign w:val="superscript"/>
        </w:rPr>
        <w:t>st</w:t>
      </w:r>
      <w:r w:rsidRPr="005A747C">
        <w:rPr>
          <w:rFonts w:ascii="Calibri" w:hAnsi="Calibri"/>
          <w:bCs/>
        </w:rPr>
        <w:t xml:space="preserve"> Meeting of the Standing Committee</w:t>
      </w:r>
    </w:p>
    <w:p w:rsidR="004036E9" w:rsidRPr="006F7C16" w:rsidRDefault="004036E9" w:rsidP="004036E9">
      <w:pPr>
        <w:pBdr>
          <w:top w:val="single" w:sz="12" w:space="0" w:color="auto" w:shadow="1"/>
          <w:left w:val="single" w:sz="12" w:space="4" w:color="auto" w:shadow="1"/>
          <w:bottom w:val="single" w:sz="12" w:space="1" w:color="auto" w:shadow="1"/>
          <w:right w:val="single" w:sz="12" w:space="0" w:color="auto" w:shadow="1"/>
        </w:pBdr>
        <w:ind w:right="2792"/>
        <w:rPr>
          <w:rFonts w:ascii="Calibri" w:hAnsi="Calibri"/>
          <w:bCs/>
          <w:lang w:val="de-CH"/>
        </w:rPr>
      </w:pPr>
      <w:r w:rsidRPr="006F7C16">
        <w:rPr>
          <w:rFonts w:ascii="Calibri" w:hAnsi="Calibri"/>
          <w:bCs/>
          <w:lang w:val="de-CH"/>
        </w:rPr>
        <w:t>Gland, Switzerland, 23-27 November 2015</w:t>
      </w:r>
    </w:p>
    <w:p w:rsidR="00FB3ADD" w:rsidRPr="006F7C16" w:rsidRDefault="00FB3ADD" w:rsidP="004036E9">
      <w:pPr>
        <w:pStyle w:val="Heading1"/>
        <w:jc w:val="right"/>
        <w:rPr>
          <w:rFonts w:ascii="Calibri" w:hAnsi="Calibri"/>
          <w:sz w:val="28"/>
          <w:szCs w:val="28"/>
          <w:lang w:val="de-CH"/>
        </w:rPr>
      </w:pPr>
    </w:p>
    <w:p w:rsidR="004036E9" w:rsidRPr="006F7C16" w:rsidRDefault="00FB3ADD" w:rsidP="004036E9">
      <w:pPr>
        <w:pStyle w:val="Heading1"/>
        <w:jc w:val="right"/>
        <w:rPr>
          <w:rFonts w:ascii="Calibri" w:hAnsi="Calibri"/>
          <w:sz w:val="28"/>
          <w:szCs w:val="28"/>
          <w:lang w:val="de-CH"/>
        </w:rPr>
      </w:pPr>
      <w:r w:rsidRPr="006F7C16">
        <w:rPr>
          <w:rFonts w:ascii="Calibri" w:hAnsi="Calibri"/>
          <w:sz w:val="28"/>
          <w:szCs w:val="28"/>
          <w:lang w:val="de-CH"/>
        </w:rPr>
        <w:t>SC51 INF.DOC.03</w:t>
      </w:r>
    </w:p>
    <w:p w:rsidR="00FB3ADD" w:rsidRPr="006F7C16" w:rsidRDefault="00FB3ADD" w:rsidP="004036E9">
      <w:pPr>
        <w:jc w:val="center"/>
        <w:rPr>
          <w:rFonts w:ascii="Calibri" w:hAnsi="Calibri"/>
          <w:b/>
          <w:sz w:val="28"/>
          <w:szCs w:val="28"/>
          <w:lang w:val="de-CH"/>
        </w:rPr>
      </w:pPr>
    </w:p>
    <w:p w:rsidR="004036E9" w:rsidRPr="00FB3ADD" w:rsidRDefault="004036E9" w:rsidP="004036E9">
      <w:pPr>
        <w:jc w:val="center"/>
        <w:rPr>
          <w:rFonts w:ascii="Calibri" w:hAnsi="Calibri"/>
          <w:b/>
          <w:sz w:val="28"/>
          <w:szCs w:val="28"/>
        </w:rPr>
      </w:pPr>
      <w:r w:rsidRPr="00FB3ADD">
        <w:rPr>
          <w:rFonts w:ascii="Calibri" w:hAnsi="Calibri"/>
          <w:b/>
          <w:sz w:val="28"/>
          <w:szCs w:val="28"/>
        </w:rPr>
        <w:t>Briefing for new members on the roles and responsibilities of the Standing Committee Chairs and members</w:t>
      </w:r>
    </w:p>
    <w:p w:rsidR="004036E9" w:rsidRPr="00FB3ADD" w:rsidRDefault="004036E9" w:rsidP="004036E9">
      <w:pPr>
        <w:jc w:val="center"/>
        <w:rPr>
          <w:rFonts w:ascii="Calibri" w:hAnsi="Calibri"/>
          <w:b/>
          <w:sz w:val="28"/>
          <w:szCs w:val="28"/>
        </w:rPr>
      </w:pPr>
    </w:p>
    <w:p w:rsidR="00FB3ADD" w:rsidRPr="00456EB9" w:rsidRDefault="004036E9" w:rsidP="00FB3ADD">
      <w:pPr>
        <w:pBdr>
          <w:top w:val="single" w:sz="4" w:space="1" w:color="auto"/>
          <w:left w:val="single" w:sz="4" w:space="4" w:color="auto"/>
          <w:bottom w:val="single" w:sz="4" w:space="6" w:color="auto"/>
          <w:right w:val="single" w:sz="4" w:space="4" w:color="auto"/>
        </w:pBdr>
        <w:rPr>
          <w:rFonts w:ascii="Calibri" w:hAnsi="Calibri"/>
          <w:b/>
          <w:sz w:val="22"/>
          <w:szCs w:val="22"/>
        </w:rPr>
      </w:pPr>
      <w:r w:rsidRPr="00456EB9">
        <w:rPr>
          <w:rFonts w:ascii="Calibri" w:hAnsi="Calibri"/>
          <w:b/>
          <w:sz w:val="22"/>
          <w:szCs w:val="22"/>
        </w:rPr>
        <w:t xml:space="preserve">Action requested: </w:t>
      </w:r>
    </w:p>
    <w:p w:rsidR="004036E9" w:rsidRPr="00456EB9" w:rsidRDefault="004036E9" w:rsidP="00FB3ADD">
      <w:pPr>
        <w:pBdr>
          <w:top w:val="single" w:sz="4" w:space="1" w:color="auto"/>
          <w:left w:val="single" w:sz="4" w:space="4" w:color="auto"/>
          <w:bottom w:val="single" w:sz="4" w:space="6" w:color="auto"/>
          <w:right w:val="single" w:sz="4" w:space="4" w:color="auto"/>
        </w:pBdr>
        <w:rPr>
          <w:rFonts w:ascii="Calibri" w:hAnsi="Calibri"/>
          <w:b/>
          <w:sz w:val="22"/>
          <w:szCs w:val="22"/>
        </w:rPr>
      </w:pPr>
      <w:r w:rsidRPr="00456EB9">
        <w:rPr>
          <w:rFonts w:ascii="Calibri" w:hAnsi="Calibri"/>
          <w:sz w:val="22"/>
          <w:szCs w:val="22"/>
        </w:rPr>
        <w:t>The Standing Committee is invited to make use of this background document and its suggestions, to help guide them in the conduct of their meetings.</w:t>
      </w:r>
    </w:p>
    <w:p w:rsidR="00051BE9" w:rsidRDefault="00051BE9" w:rsidP="004036E9">
      <w:pPr>
        <w:ind w:left="540" w:hanging="540"/>
        <w:rPr>
          <w:rFonts w:ascii="Calibri" w:hAnsi="Calibri"/>
        </w:rPr>
      </w:pPr>
    </w:p>
    <w:p w:rsidR="004036E9" w:rsidRPr="00C862F0" w:rsidRDefault="004036E9" w:rsidP="00C862F0">
      <w:pPr>
        <w:numPr>
          <w:ilvl w:val="0"/>
          <w:numId w:val="21"/>
        </w:numPr>
        <w:ind w:left="426" w:hanging="426"/>
        <w:rPr>
          <w:rFonts w:ascii="Calibri" w:hAnsi="Calibri"/>
          <w:sz w:val="22"/>
          <w:szCs w:val="22"/>
        </w:rPr>
      </w:pPr>
      <w:r w:rsidRPr="00C862F0">
        <w:rPr>
          <w:rFonts w:ascii="Calibri" w:hAnsi="Calibri"/>
          <w:sz w:val="22"/>
          <w:szCs w:val="22"/>
        </w:rPr>
        <w:t xml:space="preserve">The Standing Committee of the Ramsar Convention was established by Resolution 3.3 (Regina, 1987) to oversee Convention affairs and the activities of the Secretariat between ordinary meetings of the Conference of the Contracting Parties (COP), within the framework set by the COP at each of its meetings. </w:t>
      </w:r>
    </w:p>
    <w:p w:rsidR="004036E9" w:rsidRPr="00C862F0" w:rsidRDefault="004036E9" w:rsidP="00C862F0">
      <w:pPr>
        <w:ind w:left="426" w:hanging="426"/>
        <w:rPr>
          <w:rFonts w:ascii="Calibri" w:hAnsi="Calibri"/>
          <w:sz w:val="22"/>
          <w:szCs w:val="22"/>
        </w:rPr>
      </w:pPr>
    </w:p>
    <w:p w:rsidR="004036E9" w:rsidRPr="00C862F0" w:rsidRDefault="004036E9" w:rsidP="00FB3ADD">
      <w:pPr>
        <w:numPr>
          <w:ilvl w:val="0"/>
          <w:numId w:val="21"/>
        </w:numPr>
        <w:ind w:left="426" w:hanging="426"/>
        <w:rPr>
          <w:rFonts w:ascii="Calibri" w:hAnsi="Calibri"/>
          <w:sz w:val="22"/>
          <w:szCs w:val="22"/>
        </w:rPr>
      </w:pPr>
      <w:r w:rsidRPr="00C862F0">
        <w:rPr>
          <w:rFonts w:ascii="Calibri" w:hAnsi="Calibri"/>
          <w:sz w:val="22"/>
          <w:szCs w:val="22"/>
        </w:rPr>
        <w:t xml:space="preserve">The regional composition, functions, and responsibilities of the Standing Committee and its members are governed by Resolution XII.4 (2015), which supersedes the former arrangements set out in Resolution VII.1 (1999) and Resolution XI.19 (2012). </w:t>
      </w:r>
    </w:p>
    <w:p w:rsidR="004036E9" w:rsidRPr="00C862F0" w:rsidRDefault="004036E9" w:rsidP="00FB3ADD">
      <w:pPr>
        <w:ind w:left="426" w:hanging="426"/>
        <w:rPr>
          <w:rFonts w:ascii="Calibri" w:hAnsi="Calibri"/>
          <w:sz w:val="22"/>
          <w:szCs w:val="22"/>
        </w:rPr>
      </w:pPr>
    </w:p>
    <w:p w:rsidR="00C862F0" w:rsidRPr="00C862F0" w:rsidRDefault="004036E9" w:rsidP="006F7C16">
      <w:pPr>
        <w:pStyle w:val="BodyText"/>
        <w:widowControl w:val="0"/>
        <w:numPr>
          <w:ilvl w:val="0"/>
          <w:numId w:val="21"/>
        </w:numPr>
        <w:spacing w:after="0"/>
        <w:ind w:left="426" w:right="178" w:hanging="426"/>
        <w:rPr>
          <w:rFonts w:ascii="Calibri" w:hAnsi="Calibri"/>
          <w:sz w:val="22"/>
          <w:szCs w:val="22"/>
          <w:lang w:val="en-GB"/>
        </w:rPr>
      </w:pPr>
      <w:r w:rsidRPr="00C862F0">
        <w:rPr>
          <w:rFonts w:ascii="Calibri" w:hAnsi="Calibri"/>
          <w:sz w:val="22"/>
          <w:szCs w:val="22"/>
        </w:rPr>
        <w:t xml:space="preserve">The Standing Committee, as a subsidiary body of the Conference of the Parties, will be governed, </w:t>
      </w:r>
      <w:r w:rsidRPr="00C862F0">
        <w:rPr>
          <w:rFonts w:ascii="Calibri" w:hAnsi="Calibri"/>
          <w:i/>
          <w:sz w:val="22"/>
          <w:szCs w:val="22"/>
        </w:rPr>
        <w:t>mutatis mutandis</w:t>
      </w:r>
      <w:r w:rsidRPr="00C862F0">
        <w:rPr>
          <w:rFonts w:ascii="Calibri" w:hAnsi="Calibri"/>
          <w:sz w:val="22"/>
          <w:szCs w:val="22"/>
        </w:rPr>
        <w:t xml:space="preserve">, by the Rules of Procedure for meetings of the Convention (see </w:t>
      </w:r>
      <w:hyperlink r:id="rId9" w:history="1">
        <w:r w:rsidR="00FB3ADD" w:rsidRPr="00C26D9C">
          <w:rPr>
            <w:rStyle w:val="Hyperlink"/>
            <w:rFonts w:ascii="Calibri" w:hAnsi="Calibri"/>
            <w:sz w:val="22"/>
            <w:szCs w:val="22"/>
          </w:rPr>
          <w:t>www.ramsar.org/sites/default/files/documents/library/ramsar_rules_of_procedure_e.pdf</w:t>
        </w:r>
      </w:hyperlink>
      <w:r w:rsidR="00FB3ADD">
        <w:rPr>
          <w:rFonts w:ascii="Calibri" w:hAnsi="Calibri"/>
          <w:sz w:val="22"/>
          <w:szCs w:val="22"/>
          <w:lang w:val="en-GB"/>
        </w:rPr>
        <w:t>).</w:t>
      </w:r>
    </w:p>
    <w:p w:rsidR="00C862F0" w:rsidRPr="00C862F0" w:rsidRDefault="00C862F0" w:rsidP="00C862F0">
      <w:pPr>
        <w:pStyle w:val="BodyText"/>
        <w:widowControl w:val="0"/>
        <w:spacing w:after="0"/>
        <w:ind w:left="426" w:right="178" w:hanging="426"/>
        <w:rPr>
          <w:rFonts w:ascii="Calibri" w:hAnsi="Calibri"/>
          <w:sz w:val="22"/>
          <w:szCs w:val="22"/>
          <w:lang w:val="en-GB"/>
        </w:rPr>
      </w:pPr>
    </w:p>
    <w:p w:rsidR="004036E9" w:rsidRPr="00C862F0" w:rsidRDefault="004036E9" w:rsidP="006F7C16">
      <w:pPr>
        <w:pStyle w:val="BodyText"/>
        <w:widowControl w:val="0"/>
        <w:numPr>
          <w:ilvl w:val="0"/>
          <w:numId w:val="21"/>
        </w:numPr>
        <w:spacing w:after="0"/>
        <w:ind w:left="426" w:right="178" w:hanging="426"/>
        <w:rPr>
          <w:rFonts w:ascii="Calibri" w:hAnsi="Calibri"/>
          <w:color w:val="000000"/>
          <w:sz w:val="22"/>
          <w:szCs w:val="22"/>
        </w:rPr>
      </w:pPr>
      <w:r w:rsidRPr="00C862F0">
        <w:rPr>
          <w:rFonts w:ascii="Calibri" w:hAnsi="Calibri"/>
          <w:sz w:val="22"/>
          <w:szCs w:val="22"/>
        </w:rPr>
        <w:t>Resolution XII.4 adopted revised texts on the composition, roles, and responsibilities of the Ramsar Standing Committee and its appended list of Contracting Parties and non-Contracting Parties belonging to the six Ramsar regional groups</w:t>
      </w:r>
      <w:r w:rsidRPr="00C862F0">
        <w:rPr>
          <w:rFonts w:ascii="Calibri" w:hAnsi="Calibri"/>
          <w:color w:val="000000"/>
          <w:sz w:val="22"/>
          <w:szCs w:val="22"/>
        </w:rPr>
        <w:t xml:space="preserve">. </w:t>
      </w:r>
    </w:p>
    <w:p w:rsidR="004036E9" w:rsidRPr="00C862F0" w:rsidRDefault="004036E9" w:rsidP="006F7C16">
      <w:pPr>
        <w:ind w:left="426" w:hanging="426"/>
        <w:rPr>
          <w:rFonts w:ascii="Calibri" w:hAnsi="Calibri"/>
          <w:color w:val="000000"/>
          <w:sz w:val="22"/>
          <w:szCs w:val="22"/>
        </w:rPr>
      </w:pPr>
    </w:p>
    <w:p w:rsidR="004036E9" w:rsidRPr="006F7C16" w:rsidRDefault="004036E9" w:rsidP="006F7C16">
      <w:pPr>
        <w:pStyle w:val="BodyText"/>
        <w:widowControl w:val="0"/>
        <w:numPr>
          <w:ilvl w:val="0"/>
          <w:numId w:val="21"/>
        </w:numPr>
        <w:spacing w:after="0"/>
        <w:ind w:left="426" w:right="178" w:hanging="426"/>
        <w:rPr>
          <w:rFonts w:ascii="Calibri" w:hAnsi="Calibri"/>
          <w:sz w:val="22"/>
          <w:szCs w:val="22"/>
        </w:rPr>
      </w:pPr>
      <w:r w:rsidRPr="006F7C16">
        <w:rPr>
          <w:rFonts w:ascii="Calibri" w:hAnsi="Calibri"/>
          <w:sz w:val="22"/>
          <w:szCs w:val="22"/>
        </w:rPr>
        <w:t xml:space="preserve">Annex 4 of Resolution XII.4 also adopted an indicative schedule for Standing Committee intersessional meetings post-2015, as follows (based </w:t>
      </w:r>
      <w:r w:rsidRPr="00C862F0">
        <w:rPr>
          <w:rFonts w:ascii="Calibri" w:hAnsi="Calibri"/>
          <w:sz w:val="22"/>
          <w:szCs w:val="22"/>
        </w:rPr>
        <w:t>upon future cycles being three calendar years, with the meetings of the Conference of the Parties in May/June of the final year of each cycle)</w:t>
      </w:r>
      <w:r w:rsidRPr="006F7C16">
        <w:rPr>
          <w:rFonts w:ascii="Calibri" w:hAnsi="Calibri"/>
          <w:sz w:val="22"/>
          <w:szCs w:val="22"/>
        </w:rPr>
        <w:t>:</w:t>
      </w:r>
    </w:p>
    <w:p w:rsidR="004036E9" w:rsidRPr="00C862F0" w:rsidRDefault="004036E9" w:rsidP="00C862F0">
      <w:pPr>
        <w:ind w:left="426" w:hanging="567"/>
        <w:rPr>
          <w:rFonts w:ascii="Calibri" w:eastAsia="Garamond" w:hAnsi="Calibri" w:cs="Garamond"/>
          <w:sz w:val="22"/>
          <w:szCs w:val="22"/>
        </w:rPr>
      </w:pPr>
    </w:p>
    <w:tbl>
      <w:tblPr>
        <w:tblW w:w="9138" w:type="dxa"/>
        <w:tblInd w:w="94" w:type="dxa"/>
        <w:tblLayout w:type="fixed"/>
        <w:tblCellMar>
          <w:top w:w="57" w:type="dxa"/>
          <w:left w:w="57" w:type="dxa"/>
          <w:bottom w:w="57" w:type="dxa"/>
          <w:right w:w="57" w:type="dxa"/>
        </w:tblCellMar>
        <w:tblLook w:val="01E0" w:firstRow="1" w:lastRow="1" w:firstColumn="1" w:lastColumn="1" w:noHBand="0" w:noVBand="0"/>
      </w:tblPr>
      <w:tblGrid>
        <w:gridCol w:w="2798"/>
        <w:gridCol w:w="3325"/>
        <w:gridCol w:w="3015"/>
      </w:tblGrid>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jc w:val="both"/>
              <w:rPr>
                <w:rFonts w:ascii="Calibri" w:hAnsi="Calibri"/>
                <w:sz w:val="22"/>
                <w:szCs w:val="22"/>
              </w:rPr>
            </w:pP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General timelines, post-2015</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2016-2018 triennium</w:t>
            </w:r>
          </w:p>
        </w:tc>
      </w:tr>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First</w:t>
            </w:r>
            <w:r w:rsidRPr="00C862F0">
              <w:rPr>
                <w:b/>
                <w:position w:val="10"/>
              </w:rPr>
              <w:t xml:space="preserve"> </w:t>
            </w:r>
            <w:r w:rsidRPr="00C862F0">
              <w:rPr>
                <w:b/>
              </w:rPr>
              <w:t>full meeting</w:t>
            </w: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t>6 months after COP</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rsidP="00C862F0">
            <w:pPr>
              <w:pStyle w:val="TableParagraph"/>
              <w:rPr>
                <w:rFonts w:eastAsia="Garamond" w:cs="Garamond"/>
              </w:rPr>
            </w:pPr>
            <w:r w:rsidRPr="00C862F0">
              <w:rPr>
                <w:rFonts w:eastAsia="Garamond" w:cs="Garamond"/>
                <w:b/>
                <w:bCs/>
              </w:rPr>
              <w:t xml:space="preserve">SC51 </w:t>
            </w:r>
            <w:r w:rsidRPr="00C862F0">
              <w:rPr>
                <w:rFonts w:eastAsia="Garamond" w:cs="Garamond"/>
              </w:rPr>
              <w:t>– November 2015</w:t>
            </w:r>
          </w:p>
        </w:tc>
      </w:tr>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Second</w:t>
            </w:r>
            <w:r w:rsidRPr="00C862F0">
              <w:rPr>
                <w:b/>
                <w:position w:val="10"/>
              </w:rPr>
              <w:t xml:space="preserve"> </w:t>
            </w:r>
            <w:r w:rsidRPr="00C862F0">
              <w:rPr>
                <w:b/>
              </w:rPr>
              <w:t>full meeting</w:t>
            </w: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t>20 months after COP</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rFonts w:eastAsia="Garamond" w:cs="Garamond"/>
                <w:b/>
                <w:bCs/>
              </w:rPr>
              <w:t xml:space="preserve">SC52 </w:t>
            </w:r>
            <w:r w:rsidRPr="00C862F0">
              <w:rPr>
                <w:rFonts w:eastAsia="Garamond" w:cs="Garamond"/>
              </w:rPr>
              <w:t>– February 2017</w:t>
            </w:r>
          </w:p>
        </w:tc>
      </w:tr>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 xml:space="preserve">Subgroup on COP </w:t>
            </w:r>
            <w:r w:rsidRPr="00C862F0">
              <w:t>(if</w:t>
            </w:r>
            <w:r w:rsidRPr="00C862F0">
              <w:rPr>
                <w:w w:val="99"/>
              </w:rPr>
              <w:t xml:space="preserve"> </w:t>
            </w:r>
            <w:r w:rsidRPr="00C862F0">
              <w:t>required)</w:t>
            </w: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t>1 year before COP</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rFonts w:eastAsia="Garamond" w:cs="Garamond"/>
                <w:b/>
                <w:bCs/>
              </w:rPr>
              <w:t xml:space="preserve">Subgroup on COP13 </w:t>
            </w:r>
            <w:r w:rsidRPr="00C862F0">
              <w:rPr>
                <w:rFonts w:eastAsia="Garamond" w:cs="Garamond"/>
              </w:rPr>
              <w:t>(if</w:t>
            </w:r>
            <w:r w:rsidRPr="00C862F0">
              <w:rPr>
                <w:rFonts w:eastAsia="Garamond" w:cs="Garamond"/>
                <w:w w:val="99"/>
              </w:rPr>
              <w:t xml:space="preserve"> </w:t>
            </w:r>
            <w:r w:rsidRPr="00C862F0">
              <w:rPr>
                <w:rFonts w:eastAsia="Garamond" w:cs="Garamond"/>
              </w:rPr>
              <w:t xml:space="preserve">required) </w:t>
            </w:r>
            <w:r w:rsidRPr="00C862F0">
              <w:rPr>
                <w:rFonts w:eastAsia="Garamond" w:cs="Garamond"/>
                <w:bCs/>
              </w:rPr>
              <w:t>–</w:t>
            </w:r>
            <w:r w:rsidRPr="00C862F0">
              <w:rPr>
                <w:rFonts w:eastAsia="Garamond" w:cs="Garamond"/>
                <w:b/>
                <w:bCs/>
              </w:rPr>
              <w:t xml:space="preserve"> </w:t>
            </w:r>
            <w:r w:rsidRPr="00C862F0">
              <w:rPr>
                <w:rFonts w:eastAsia="Garamond" w:cs="Garamond"/>
              </w:rPr>
              <w:t>June 2017</w:t>
            </w:r>
          </w:p>
        </w:tc>
      </w:tr>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Third</w:t>
            </w:r>
            <w:r w:rsidRPr="00C862F0">
              <w:rPr>
                <w:b/>
                <w:position w:val="10"/>
              </w:rPr>
              <w:t xml:space="preserve"> </w:t>
            </w:r>
            <w:r w:rsidRPr="00C862F0">
              <w:rPr>
                <w:b/>
              </w:rPr>
              <w:t>full meeting</w:t>
            </w: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t>5 months before COP</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rFonts w:eastAsia="Garamond" w:cs="Garamond"/>
                <w:b/>
                <w:bCs/>
              </w:rPr>
              <w:t xml:space="preserve">SC53 </w:t>
            </w:r>
            <w:r w:rsidRPr="00C862F0">
              <w:rPr>
                <w:rFonts w:eastAsia="Garamond" w:cs="Garamond"/>
                <w:bCs/>
              </w:rPr>
              <w:t xml:space="preserve">– </w:t>
            </w:r>
            <w:r w:rsidRPr="00C862F0">
              <w:rPr>
                <w:rFonts w:eastAsia="Garamond" w:cs="Garamond"/>
              </w:rPr>
              <w:t>January 2018</w:t>
            </w:r>
          </w:p>
        </w:tc>
      </w:tr>
      <w:tr w:rsidR="004036E9" w:rsidRPr="00C862F0" w:rsidTr="006F7C16">
        <w:tc>
          <w:tcPr>
            <w:tcW w:w="2798"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b/>
              </w:rPr>
              <w:t>Pre-COP meeting</w:t>
            </w:r>
          </w:p>
        </w:tc>
        <w:tc>
          <w:tcPr>
            <w:tcW w:w="3325" w:type="dxa"/>
            <w:tcBorders>
              <w:top w:val="single" w:sz="6" w:space="0" w:color="000000"/>
              <w:left w:val="single" w:sz="6" w:space="0" w:color="000000"/>
              <w:bottom w:val="single" w:sz="6" w:space="0" w:color="000000"/>
              <w:right w:val="single" w:sz="6" w:space="0" w:color="000000"/>
            </w:tcBorders>
          </w:tcPr>
          <w:p w:rsidR="004036E9" w:rsidRPr="00C862F0" w:rsidRDefault="004036E9" w:rsidP="004036E9">
            <w:pPr>
              <w:pStyle w:val="TableParagraph"/>
              <w:rPr>
                <w:rFonts w:eastAsia="Garamond" w:cs="Garamond"/>
              </w:rPr>
            </w:pPr>
            <w:r w:rsidRPr="00C862F0">
              <w:t>Immediately prior to COP, at</w:t>
            </w:r>
            <w:r w:rsidRPr="00C862F0">
              <w:rPr>
                <w:w w:val="99"/>
              </w:rPr>
              <w:t xml:space="preserve"> </w:t>
            </w:r>
            <w:r w:rsidRPr="00C862F0">
              <w:t>COP venue</w:t>
            </w:r>
          </w:p>
        </w:tc>
        <w:tc>
          <w:tcPr>
            <w:tcW w:w="3015" w:type="dxa"/>
            <w:tcBorders>
              <w:top w:val="single" w:sz="6" w:space="0" w:color="000000"/>
              <w:left w:val="single" w:sz="6" w:space="0" w:color="000000"/>
              <w:bottom w:val="single" w:sz="6" w:space="0" w:color="000000"/>
              <w:right w:val="single" w:sz="6" w:space="0" w:color="000000"/>
            </w:tcBorders>
          </w:tcPr>
          <w:p w:rsidR="004036E9" w:rsidRPr="00C862F0" w:rsidRDefault="004036E9">
            <w:pPr>
              <w:pStyle w:val="TableParagraph"/>
              <w:rPr>
                <w:rFonts w:eastAsia="Garamond" w:cs="Garamond"/>
              </w:rPr>
            </w:pPr>
            <w:r w:rsidRPr="00C862F0">
              <w:rPr>
                <w:rFonts w:eastAsia="Garamond" w:cs="Garamond"/>
                <w:b/>
                <w:bCs/>
              </w:rPr>
              <w:t xml:space="preserve">SC54 </w:t>
            </w:r>
            <w:r w:rsidRPr="00C862F0">
              <w:rPr>
                <w:rFonts w:eastAsia="Garamond" w:cs="Garamond"/>
                <w:bCs/>
              </w:rPr>
              <w:t xml:space="preserve">– </w:t>
            </w:r>
            <w:r w:rsidRPr="00C862F0">
              <w:rPr>
                <w:rFonts w:eastAsia="Garamond" w:cs="Garamond"/>
              </w:rPr>
              <w:t>June 2018</w:t>
            </w:r>
          </w:p>
        </w:tc>
      </w:tr>
    </w:tbl>
    <w:p w:rsidR="004036E9" w:rsidRPr="00C862F0" w:rsidRDefault="004036E9" w:rsidP="004036E9">
      <w:pPr>
        <w:rPr>
          <w:rFonts w:ascii="Calibri" w:hAnsi="Calibri"/>
          <w:sz w:val="22"/>
          <w:szCs w:val="22"/>
        </w:rPr>
      </w:pPr>
    </w:p>
    <w:p w:rsidR="004036E9" w:rsidRPr="006F7C16" w:rsidRDefault="004036E9" w:rsidP="006F7C16">
      <w:pPr>
        <w:pStyle w:val="BodyText"/>
        <w:widowControl w:val="0"/>
        <w:numPr>
          <w:ilvl w:val="0"/>
          <w:numId w:val="21"/>
        </w:numPr>
        <w:spacing w:after="0"/>
        <w:ind w:left="426" w:right="178" w:hanging="426"/>
        <w:rPr>
          <w:rFonts w:ascii="Calibri" w:hAnsi="Calibri"/>
          <w:sz w:val="22"/>
          <w:szCs w:val="22"/>
        </w:rPr>
      </w:pPr>
      <w:r w:rsidRPr="006F7C16">
        <w:rPr>
          <w:rFonts w:ascii="Calibri" w:hAnsi="Calibri"/>
          <w:sz w:val="22"/>
          <w:szCs w:val="22"/>
        </w:rPr>
        <w:t xml:space="preserve">Also relevant to the work of the Standing Committee are </w:t>
      </w:r>
      <w:r w:rsidRPr="00C862F0">
        <w:rPr>
          <w:rFonts w:ascii="Calibri" w:hAnsi="Calibri"/>
          <w:sz w:val="22"/>
          <w:szCs w:val="22"/>
        </w:rPr>
        <w:t xml:space="preserve">Resolution IX.24 (2005), which </w:t>
      </w:r>
      <w:r w:rsidRPr="00C862F0">
        <w:rPr>
          <w:rFonts w:ascii="Calibri" w:hAnsi="Calibri"/>
          <w:sz w:val="22"/>
          <w:szCs w:val="22"/>
        </w:rPr>
        <w:lastRenderedPageBreak/>
        <w:t>established a Management Working Group reporting to the Standing Committee and the Conference of the Parties; and Resolution X.4 (2008), which established a Transition Committee of the Management Working Group.  In Resolutions XI.19 and XII.4, the Parties recognized that aspects of the work of those groups are also embodied in the roles and responsibilities of the Standing Committee itself, and it was noted that intersessional Standing Committee oversight of the Secretariat is now conducted on its behalf between meetings of the Standing Committee by its Executive Team (Chair, Vice Chair, and Chair of Subgroup on Finance) with the Secretary General.</w:t>
      </w:r>
    </w:p>
    <w:p w:rsidR="004036E9" w:rsidRDefault="004036E9" w:rsidP="004036E9">
      <w:pPr>
        <w:ind w:left="540" w:hanging="540"/>
        <w:rPr>
          <w:rFonts w:ascii="Calibri" w:hAnsi="Calibri"/>
          <w:color w:val="000000"/>
          <w:sz w:val="22"/>
          <w:szCs w:val="22"/>
        </w:rPr>
      </w:pPr>
    </w:p>
    <w:p w:rsidR="004036E9" w:rsidRPr="005A747C" w:rsidRDefault="004036E9" w:rsidP="004036E9">
      <w:pPr>
        <w:ind w:left="540" w:hanging="540"/>
        <w:rPr>
          <w:rFonts w:ascii="Calibri" w:hAnsi="Calibri"/>
          <w:b/>
          <w:sz w:val="22"/>
          <w:szCs w:val="22"/>
        </w:rPr>
      </w:pPr>
      <w:r w:rsidRPr="005A747C">
        <w:rPr>
          <w:rFonts w:ascii="Calibri" w:hAnsi="Calibri"/>
          <w:b/>
          <w:sz w:val="22"/>
          <w:szCs w:val="22"/>
        </w:rPr>
        <w:t>Functions of the Standing Committee</w:t>
      </w:r>
    </w:p>
    <w:p w:rsidR="00C862F0" w:rsidRPr="005A747C" w:rsidRDefault="00C862F0" w:rsidP="004036E9">
      <w:pPr>
        <w:ind w:left="540" w:hanging="540"/>
        <w:rPr>
          <w:rFonts w:ascii="Calibri" w:hAnsi="Calibri"/>
          <w:b/>
          <w:sz w:val="22"/>
          <w:szCs w:val="22"/>
        </w:rPr>
      </w:pPr>
    </w:p>
    <w:p w:rsidR="004036E9" w:rsidRPr="005A747C" w:rsidRDefault="004036E9" w:rsidP="006F7C16">
      <w:pPr>
        <w:numPr>
          <w:ilvl w:val="0"/>
          <w:numId w:val="21"/>
        </w:numPr>
        <w:ind w:left="426" w:hanging="426"/>
        <w:rPr>
          <w:rFonts w:ascii="Calibri" w:hAnsi="Calibri"/>
          <w:sz w:val="22"/>
          <w:szCs w:val="22"/>
        </w:rPr>
      </w:pPr>
      <w:r w:rsidRPr="005A747C">
        <w:rPr>
          <w:rFonts w:ascii="Calibri" w:hAnsi="Calibri"/>
          <w:sz w:val="22"/>
          <w:szCs w:val="22"/>
        </w:rPr>
        <w:t>In Resolution XII.4 Annex 1, para. 19, the Parties updated the functions of the Standing Committee, which are to:</w:t>
      </w:r>
    </w:p>
    <w:p w:rsidR="004036E9" w:rsidRDefault="004036E9" w:rsidP="004036E9">
      <w:pPr>
        <w:pStyle w:val="BodyText"/>
        <w:widowControl w:val="0"/>
        <w:spacing w:after="0"/>
        <w:ind w:right="178"/>
        <w:rPr>
          <w:rFonts w:ascii="Calibri" w:hAnsi="Calibri"/>
          <w:sz w:val="22"/>
          <w:szCs w:val="22"/>
        </w:rPr>
      </w:pPr>
    </w:p>
    <w:p w:rsidR="004036E9" w:rsidRDefault="004036E9" w:rsidP="006F7C16">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carry out, between one ordinary meeting of the Conference of the Parties and the next, such interim activity on behalf of the Conference as may be</w:t>
      </w:r>
      <w:r>
        <w:rPr>
          <w:rFonts w:ascii="Calibri" w:hAnsi="Calibri"/>
          <w:w w:val="99"/>
          <w:sz w:val="22"/>
          <w:szCs w:val="22"/>
        </w:rPr>
        <w:t xml:space="preserve"> </w:t>
      </w:r>
      <w:r>
        <w:rPr>
          <w:rFonts w:ascii="Calibri" w:hAnsi="Calibri"/>
          <w:sz w:val="22"/>
          <w:szCs w:val="22"/>
        </w:rPr>
        <w:t>necessary, giving priority to matters on which the Conference has previously</w:t>
      </w:r>
      <w:r>
        <w:rPr>
          <w:rFonts w:ascii="Calibri" w:hAnsi="Calibri"/>
          <w:w w:val="99"/>
          <w:sz w:val="22"/>
          <w:szCs w:val="22"/>
        </w:rPr>
        <w:t xml:space="preserve"> </w:t>
      </w:r>
      <w:r>
        <w:rPr>
          <w:rFonts w:ascii="Calibri" w:hAnsi="Calibri"/>
          <w:sz w:val="22"/>
          <w:szCs w:val="22"/>
        </w:rPr>
        <w:t>recorded its approval and noting that the Standing Committee is not mandated either to take decisions that would normally be taken by the Conference of the Contracting Parties or to amend any decision taken by the Conference of the Parties;</w:t>
      </w:r>
    </w:p>
    <w:p w:rsidR="004036E9" w:rsidRDefault="004036E9" w:rsidP="00FB3ADD">
      <w:pPr>
        <w:pStyle w:val="BodyText"/>
        <w:widowControl w:val="0"/>
        <w:spacing w:after="0"/>
        <w:ind w:left="851" w:right="178"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 xml:space="preserve">make preparations on issues, including </w:t>
      </w:r>
      <w:r>
        <w:rPr>
          <w:rFonts w:ascii="Calibri" w:hAnsi="Calibri"/>
          <w:i/>
          <w:sz w:val="22"/>
          <w:szCs w:val="22"/>
        </w:rPr>
        <w:t>inter alia</w:t>
      </w:r>
      <w:r>
        <w:rPr>
          <w:rFonts w:ascii="Calibri" w:hAnsi="Calibri"/>
          <w:sz w:val="22"/>
          <w:szCs w:val="22"/>
        </w:rPr>
        <w:t xml:space="preserve"> draft Resolutions and Recommendations, for consideration at the next COP;</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supervise, as a representative of the Conference of the Parties, the implementation of activities by the Secretariat, the execution of the Secretariat’s budget, and conduct of the Secretariat’s programmes;</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provide guidance and advice to the Secretariat on the implementation of the Convention, on the preparation of meetings, and on any other matters relating to the exercise of its functions brought to it by the Secretariat;</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act as Conference Bureau at COPs in accordance with the Rules of Procedure;</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establish subgroups as necessary to facilitate the carrying out of its functions;</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promote regional and international cooperation for the conservation and wise use of wetlands;</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approve the work plan of the Scientific and Technical Review Panel (STRP) on the basis of the decisions of the COP, receive the reports of the STRP on the progress made with its implementation, and provide guidance for its future development;</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adopt for each triennium the Operational Guidelines for the Small Grants Fund for Wetlands Conservation and Wise Use and decide on the allocation of funds;</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review each triennium the criteria for the Ramsar Wetland Conservation Award established by Resolution VI.18 and select the laureates; and</w:t>
      </w:r>
    </w:p>
    <w:p w:rsidR="004036E9" w:rsidRDefault="004036E9" w:rsidP="00FB3ADD">
      <w:pPr>
        <w:pStyle w:val="BodyText"/>
        <w:widowControl w:val="0"/>
        <w:tabs>
          <w:tab w:val="left" w:pos="851"/>
        </w:tabs>
        <w:spacing w:after="0"/>
        <w:ind w:left="851" w:right="-45" w:hanging="425"/>
        <w:rPr>
          <w:rFonts w:ascii="Calibri" w:hAnsi="Calibri"/>
          <w:sz w:val="22"/>
          <w:szCs w:val="22"/>
        </w:rPr>
      </w:pPr>
    </w:p>
    <w:p w:rsidR="004036E9" w:rsidRDefault="004036E9" w:rsidP="00FB3ADD">
      <w:pPr>
        <w:pStyle w:val="BodyText"/>
        <w:widowControl w:val="0"/>
        <w:numPr>
          <w:ilvl w:val="0"/>
          <w:numId w:val="23"/>
        </w:numPr>
        <w:tabs>
          <w:tab w:val="left" w:pos="851"/>
        </w:tabs>
        <w:spacing w:after="0"/>
        <w:ind w:left="851" w:right="-45" w:hanging="425"/>
        <w:rPr>
          <w:rFonts w:ascii="Calibri" w:hAnsi="Calibri"/>
          <w:sz w:val="22"/>
          <w:szCs w:val="22"/>
        </w:rPr>
      </w:pPr>
      <w:r>
        <w:rPr>
          <w:rFonts w:ascii="Calibri" w:hAnsi="Calibri"/>
          <w:sz w:val="22"/>
          <w:szCs w:val="22"/>
        </w:rPr>
        <w:t>report to the COP on the activities it has carried out between ordinary meetings of the Conference.</w:t>
      </w:r>
    </w:p>
    <w:p w:rsidR="00051BE9" w:rsidRDefault="00051BE9" w:rsidP="004036E9">
      <w:pPr>
        <w:rPr>
          <w:rFonts w:ascii="Calibri" w:hAnsi="Calibri"/>
          <w:b/>
          <w:sz w:val="22"/>
          <w:szCs w:val="22"/>
        </w:rPr>
      </w:pPr>
    </w:p>
    <w:p w:rsidR="004036E9" w:rsidRPr="005A747C" w:rsidRDefault="004036E9" w:rsidP="004036E9">
      <w:pPr>
        <w:rPr>
          <w:rFonts w:ascii="Calibri" w:hAnsi="Calibri"/>
          <w:b/>
          <w:sz w:val="22"/>
          <w:szCs w:val="22"/>
        </w:rPr>
      </w:pPr>
      <w:r w:rsidRPr="005A747C">
        <w:rPr>
          <w:rFonts w:ascii="Calibri" w:hAnsi="Calibri"/>
          <w:b/>
          <w:sz w:val="22"/>
          <w:szCs w:val="22"/>
        </w:rPr>
        <w:t>Tasks of Contracting Parties elected as Regional Representatives in the Standing Committee (from Resolution XII.4, Annex 3)</w:t>
      </w:r>
    </w:p>
    <w:p w:rsidR="00C862F0" w:rsidRPr="005A747C" w:rsidRDefault="00C862F0" w:rsidP="004036E9">
      <w:pPr>
        <w:rPr>
          <w:rFonts w:ascii="Calibri" w:hAnsi="Calibri"/>
          <w:b/>
          <w:sz w:val="22"/>
          <w:szCs w:val="22"/>
        </w:rPr>
      </w:pPr>
    </w:p>
    <w:p w:rsidR="004036E9" w:rsidRPr="00305A30" w:rsidRDefault="004036E9" w:rsidP="006F7C16">
      <w:pPr>
        <w:numPr>
          <w:ilvl w:val="0"/>
          <w:numId w:val="21"/>
        </w:numPr>
        <w:ind w:left="426" w:hanging="426"/>
        <w:rPr>
          <w:rFonts w:ascii="Calibri" w:hAnsi="Calibri"/>
          <w:sz w:val="22"/>
          <w:szCs w:val="22"/>
        </w:rPr>
      </w:pPr>
      <w:r w:rsidRPr="00305A30">
        <w:rPr>
          <w:rFonts w:ascii="Calibri" w:hAnsi="Calibri"/>
          <w:sz w:val="22"/>
          <w:szCs w:val="22"/>
        </w:rPr>
        <w:t>The Contracting Parties that have accepted to be elected as Regional Representatives on the</w:t>
      </w:r>
      <w:r w:rsidRPr="006F7C16">
        <w:rPr>
          <w:rFonts w:ascii="Calibri" w:hAnsi="Calibri"/>
          <w:sz w:val="22"/>
          <w:szCs w:val="22"/>
        </w:rPr>
        <w:t xml:space="preserve"> </w:t>
      </w:r>
      <w:r w:rsidRPr="00305A30">
        <w:rPr>
          <w:rFonts w:ascii="Calibri" w:hAnsi="Calibri"/>
          <w:sz w:val="22"/>
          <w:szCs w:val="22"/>
        </w:rPr>
        <w:t>Standing Committee have the following tasks:</w:t>
      </w:r>
    </w:p>
    <w:p w:rsidR="004036E9" w:rsidRPr="00305A30" w:rsidRDefault="004036E9" w:rsidP="004036E9">
      <w:pPr>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designate their delegates to the Standing Committee taking into account their significant responsibilities as Regional Representatives, and to make every effort that their delegates or their substitutes attend all meetings of the Committee.</w:t>
      </w:r>
    </w:p>
    <w:p w:rsidR="004036E9" w:rsidRPr="000C0B79" w:rsidRDefault="004036E9" w:rsidP="00FB3ADD">
      <w:pPr>
        <w:tabs>
          <w:tab w:val="left" w:pos="851"/>
        </w:tabs>
        <w:ind w:left="851" w:hanging="425"/>
        <w:rPr>
          <w:rFonts w:ascii="Calibri" w:eastAsia="Garamond" w:hAnsi="Calibri" w:cs="Garamond"/>
          <w:sz w:val="22"/>
          <w:szCs w:val="22"/>
          <w:lang w:val="en-GB"/>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When there is more than one Regional Representative in a regional group, to maintain regular contacts and consultations with the other Regional Representative(s).</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maintain regular contacts and consultations with the Contracting Parties in their regional group, and to use the opportunities of travel within their regions and of attending</w:t>
      </w:r>
      <w:r>
        <w:rPr>
          <w:rFonts w:ascii="Calibri" w:hAnsi="Calibri"/>
          <w:w w:val="99"/>
          <w:sz w:val="22"/>
          <w:szCs w:val="22"/>
        </w:rPr>
        <w:t xml:space="preserve"> </w:t>
      </w:r>
      <w:r>
        <w:rPr>
          <w:rFonts w:ascii="Calibri" w:hAnsi="Calibri"/>
          <w:sz w:val="22"/>
          <w:szCs w:val="22"/>
        </w:rPr>
        <w:t>regional or international meetings to consult about issues related to the Convention and to promote its objectives. To this effect, when there is more than one Regional Representative,</w:t>
      </w:r>
      <w:r>
        <w:rPr>
          <w:rFonts w:ascii="Calibri" w:hAnsi="Calibri"/>
          <w:w w:val="99"/>
          <w:sz w:val="22"/>
          <w:szCs w:val="22"/>
        </w:rPr>
        <w:t xml:space="preserve"> </w:t>
      </w:r>
      <w:r>
        <w:rPr>
          <w:rFonts w:ascii="Calibri" w:hAnsi="Calibri"/>
          <w:sz w:val="22"/>
          <w:szCs w:val="22"/>
        </w:rPr>
        <w:t>they will agree among themselves which Contracting Parties will be the responsibility of</w:t>
      </w:r>
      <w:r>
        <w:rPr>
          <w:rFonts w:ascii="Calibri" w:hAnsi="Calibri"/>
          <w:w w:val="99"/>
          <w:sz w:val="22"/>
          <w:szCs w:val="22"/>
        </w:rPr>
        <w:t xml:space="preserve"> </w:t>
      </w:r>
      <w:r>
        <w:rPr>
          <w:rFonts w:ascii="Calibri" w:hAnsi="Calibri"/>
          <w:sz w:val="22"/>
          <w:szCs w:val="22"/>
        </w:rPr>
        <w:t>each Regional Representative.</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solicit the opinions of the Contracting Parties in their regional group before meetings</w:t>
      </w:r>
      <w:r>
        <w:rPr>
          <w:rFonts w:ascii="Calibri" w:hAnsi="Calibri"/>
          <w:w w:val="99"/>
          <w:sz w:val="22"/>
          <w:szCs w:val="22"/>
        </w:rPr>
        <w:t xml:space="preserve"> </w:t>
      </w:r>
      <w:r>
        <w:rPr>
          <w:rFonts w:ascii="Calibri" w:hAnsi="Calibri"/>
          <w:sz w:val="22"/>
          <w:szCs w:val="22"/>
        </w:rPr>
        <w:t>of the Standing Committee.</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advise the Secretariat in setting the agenda of regional meetings.</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assume additional responsibilities by serving as members of the subgroups established</w:t>
      </w:r>
      <w:r>
        <w:rPr>
          <w:rFonts w:ascii="Calibri" w:hAnsi="Calibri"/>
          <w:w w:val="99"/>
          <w:sz w:val="22"/>
          <w:szCs w:val="22"/>
        </w:rPr>
        <w:t xml:space="preserve"> </w:t>
      </w:r>
      <w:r>
        <w:rPr>
          <w:rFonts w:ascii="Calibri" w:hAnsi="Calibri"/>
          <w:sz w:val="22"/>
          <w:szCs w:val="22"/>
        </w:rPr>
        <w:t>by the Standing Committee.</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To provide advice as requested by the Chairperson and/or the chairs of subgroups and/or the Secretariat of the Convention.</w:t>
      </w:r>
    </w:p>
    <w:p w:rsidR="004036E9" w:rsidRDefault="004036E9" w:rsidP="00FB3ADD">
      <w:pPr>
        <w:tabs>
          <w:tab w:val="left" w:pos="851"/>
        </w:tabs>
        <w:ind w:left="851" w:hanging="425"/>
        <w:rPr>
          <w:rFonts w:ascii="Calibri" w:eastAsia="Garamond" w:hAnsi="Calibri" w:cs="Garamond"/>
          <w:sz w:val="22"/>
          <w:szCs w:val="22"/>
        </w:rPr>
      </w:pPr>
    </w:p>
    <w:p w:rsidR="004036E9" w:rsidRDefault="004036E9" w:rsidP="00FB3ADD">
      <w:pPr>
        <w:pStyle w:val="BodyText"/>
        <w:widowControl w:val="0"/>
        <w:numPr>
          <w:ilvl w:val="0"/>
          <w:numId w:val="22"/>
        </w:numPr>
        <w:tabs>
          <w:tab w:val="left" w:pos="851"/>
        </w:tabs>
        <w:spacing w:after="0"/>
        <w:ind w:left="851" w:hanging="425"/>
        <w:rPr>
          <w:rFonts w:ascii="Calibri" w:hAnsi="Calibri"/>
          <w:sz w:val="22"/>
          <w:szCs w:val="22"/>
        </w:rPr>
      </w:pPr>
      <w:r>
        <w:rPr>
          <w:rFonts w:ascii="Calibri" w:hAnsi="Calibri"/>
          <w:sz w:val="22"/>
          <w:szCs w:val="22"/>
        </w:rPr>
        <w:t>In the regions concerned, to make deliberate efforts to encourage other countries to join the Convention.</w:t>
      </w:r>
    </w:p>
    <w:p w:rsidR="004036E9" w:rsidRPr="005A747C" w:rsidRDefault="004036E9" w:rsidP="004036E9">
      <w:pPr>
        <w:pStyle w:val="ColorfulList-Accent11"/>
        <w:spacing w:after="0" w:line="240" w:lineRule="auto"/>
        <w:ind w:left="1134" w:hanging="567"/>
        <w:rPr>
          <w:lang w:val="en-GB"/>
        </w:rPr>
      </w:pPr>
    </w:p>
    <w:p w:rsidR="004036E9" w:rsidRPr="005A747C" w:rsidRDefault="00FB3ADD" w:rsidP="006F7C16">
      <w:pPr>
        <w:numPr>
          <w:ilvl w:val="0"/>
          <w:numId w:val="21"/>
        </w:numPr>
        <w:ind w:left="426" w:hanging="426"/>
        <w:rPr>
          <w:rFonts w:ascii="Calibri" w:hAnsi="Calibri"/>
          <w:sz w:val="22"/>
          <w:szCs w:val="22"/>
        </w:rPr>
      </w:pPr>
      <w:r>
        <w:rPr>
          <w:rFonts w:ascii="Calibri" w:hAnsi="Calibri"/>
          <w:sz w:val="22"/>
          <w:szCs w:val="22"/>
        </w:rPr>
        <w:t>F</w:t>
      </w:r>
      <w:r w:rsidR="004036E9" w:rsidRPr="005A747C">
        <w:rPr>
          <w:rFonts w:ascii="Calibri" w:hAnsi="Calibri"/>
          <w:sz w:val="22"/>
          <w:szCs w:val="22"/>
        </w:rPr>
        <w:t xml:space="preserve">ollowing consultations in accordance with </w:t>
      </w:r>
      <w:r>
        <w:rPr>
          <w:rFonts w:ascii="Calibri" w:hAnsi="Calibri"/>
          <w:sz w:val="22"/>
          <w:szCs w:val="22"/>
        </w:rPr>
        <w:t xml:space="preserve">point 8.c. </w:t>
      </w:r>
      <w:r w:rsidR="004036E9" w:rsidRPr="005A747C">
        <w:rPr>
          <w:rFonts w:ascii="Calibri" w:hAnsi="Calibri"/>
          <w:sz w:val="22"/>
          <w:szCs w:val="22"/>
        </w:rPr>
        <w:t>above, Standing Committee members’ responsibilities for regular contacts and consultations with other Contracting Parties have been agreed as follows:</w:t>
      </w:r>
    </w:p>
    <w:p w:rsidR="004036E9" w:rsidRPr="005A747C" w:rsidRDefault="004036E9" w:rsidP="004036E9">
      <w:pPr>
        <w:ind w:left="567" w:hanging="567"/>
        <w:rPr>
          <w:rFonts w:ascii="Calibri" w:hAnsi="Calibri"/>
          <w:sz w:val="22"/>
          <w:szCs w:val="22"/>
        </w:rPr>
      </w:pPr>
    </w:p>
    <w:p w:rsidR="00565A0C" w:rsidRPr="00A04D4F" w:rsidRDefault="00565A0C" w:rsidP="006F7C16">
      <w:pPr>
        <w:pBdr>
          <w:top w:val="single" w:sz="4" w:space="1" w:color="auto"/>
          <w:left w:val="single" w:sz="4" w:space="2" w:color="auto"/>
          <w:bottom w:val="single" w:sz="4" w:space="1" w:color="auto"/>
          <w:right w:val="single" w:sz="4" w:space="4" w:color="auto"/>
        </w:pBdr>
        <w:shd w:val="clear" w:color="95B3D7" w:fill="B8CCE4"/>
        <w:rPr>
          <w:rFonts w:ascii="Calibri" w:hAnsi="Calibri" w:cs="Calibri"/>
          <w:color w:val="000000"/>
          <w:sz w:val="22"/>
          <w:szCs w:val="22"/>
        </w:rPr>
      </w:pPr>
      <w:r w:rsidRPr="00A04D4F">
        <w:rPr>
          <w:rStyle w:val="Strong"/>
          <w:rFonts w:ascii="Calibri" w:hAnsi="Calibri" w:cs="Calibri"/>
          <w:color w:val="000000"/>
          <w:sz w:val="22"/>
          <w:szCs w:val="22"/>
        </w:rPr>
        <w:t>Africa</w:t>
      </w:r>
      <w:r w:rsidRPr="00A04D4F">
        <w:rPr>
          <w:rFonts w:ascii="Calibri" w:hAnsi="Calibri" w:cs="Calibri"/>
          <w:color w:val="000000"/>
          <w:sz w:val="22"/>
          <w:szCs w:val="22"/>
        </w:rPr>
        <w:t xml:space="preserve">: </w:t>
      </w:r>
      <w:r w:rsidRPr="00A04D4F">
        <w:rPr>
          <w:rFonts w:ascii="Calibri" w:hAnsi="Calibri" w:cs="Calibri"/>
          <w:b/>
          <w:color w:val="000000"/>
          <w:sz w:val="22"/>
          <w:szCs w:val="22"/>
        </w:rPr>
        <w:t>Democratic Republic of Congo, Kenya, Senegal, Seychelles, and Tunisia</w:t>
      </w:r>
      <w:r w:rsidRPr="00A04D4F">
        <w:rPr>
          <w:rFonts w:ascii="Calibri" w:hAnsi="Calibri" w:cs="Calibri"/>
          <w:color w:val="000000"/>
          <w:sz w:val="22"/>
          <w:szCs w:val="22"/>
        </w:rPr>
        <w:t xml:space="preserve"> (Alternate members: Central African Republic, Uganda, Mali, Botswana and Egypt)</w:t>
      </w:r>
    </w:p>
    <w:p w:rsidR="00565A0C" w:rsidRPr="00A04D4F" w:rsidRDefault="00565A0C" w:rsidP="00565A0C">
      <w:pPr>
        <w:ind w:left="567"/>
        <w:rPr>
          <w:rFonts w:ascii="Calibri" w:hAnsi="Calibri" w:cs="Calibri"/>
          <w:b/>
          <w:color w:val="000000"/>
          <w:sz w:val="22"/>
          <w:szCs w:val="22"/>
        </w:rPr>
      </w:pPr>
    </w:p>
    <w:p w:rsidR="00565A0C" w:rsidRPr="00A04D4F" w:rsidRDefault="00565A0C" w:rsidP="00FB3ADD">
      <w:pPr>
        <w:ind w:left="426"/>
        <w:rPr>
          <w:rFonts w:ascii="Calibri" w:hAnsi="Calibri" w:cs="Calibri"/>
          <w:color w:val="000000"/>
          <w:sz w:val="22"/>
          <w:szCs w:val="22"/>
        </w:rPr>
      </w:pPr>
      <w:r w:rsidRPr="00A04D4F">
        <w:rPr>
          <w:rFonts w:ascii="Calibri" w:hAnsi="Calibri" w:cs="Calibri"/>
          <w:b/>
          <w:color w:val="000000"/>
          <w:sz w:val="22"/>
          <w:szCs w:val="22"/>
        </w:rPr>
        <w:t>Democratic Republic of Congo</w:t>
      </w:r>
      <w:r w:rsidRPr="00A04D4F">
        <w:rPr>
          <w:rFonts w:ascii="Calibri" w:hAnsi="Calibri" w:cs="Calibri"/>
          <w:color w:val="000000"/>
          <w:sz w:val="22"/>
          <w:szCs w:val="22"/>
        </w:rPr>
        <w:t xml:space="preserve"> represents: Cameroon, Central African Republic (Alternate), Chad, Congo, Equatorial Guinea, Gabon, and Sao Tome and Principe</w:t>
      </w:r>
    </w:p>
    <w:p w:rsidR="00565A0C" w:rsidRPr="00A04D4F" w:rsidRDefault="00565A0C" w:rsidP="00FB3ADD">
      <w:pPr>
        <w:ind w:left="426"/>
        <w:rPr>
          <w:rFonts w:ascii="Calibri" w:hAnsi="Calibri" w:cs="Calibri"/>
          <w:b/>
          <w:color w:val="000000"/>
          <w:sz w:val="22"/>
          <w:szCs w:val="22"/>
        </w:rPr>
      </w:pPr>
    </w:p>
    <w:p w:rsidR="00565A0C" w:rsidRPr="00A04D4F" w:rsidRDefault="00565A0C" w:rsidP="00FB3ADD">
      <w:pPr>
        <w:ind w:left="426"/>
        <w:rPr>
          <w:rFonts w:ascii="Calibri" w:hAnsi="Calibri" w:cs="Calibri"/>
          <w:color w:val="000000"/>
          <w:sz w:val="22"/>
          <w:szCs w:val="22"/>
        </w:rPr>
      </w:pPr>
      <w:r w:rsidRPr="00A04D4F">
        <w:rPr>
          <w:rFonts w:ascii="Calibri" w:hAnsi="Calibri" w:cs="Calibri"/>
          <w:b/>
          <w:color w:val="000000"/>
          <w:sz w:val="22"/>
          <w:szCs w:val="22"/>
        </w:rPr>
        <w:t xml:space="preserve">Kenya </w:t>
      </w:r>
      <w:r w:rsidRPr="00A04D4F">
        <w:rPr>
          <w:rFonts w:ascii="Calibri" w:hAnsi="Calibri" w:cs="Calibri"/>
          <w:color w:val="000000"/>
          <w:sz w:val="22"/>
          <w:szCs w:val="22"/>
        </w:rPr>
        <w:t xml:space="preserve">represents: Djibouti, Burundi, Rwanda, Uganda (Alternate) </w:t>
      </w:r>
      <w:r w:rsidR="00051BE9">
        <w:rPr>
          <w:rFonts w:ascii="Calibri" w:hAnsi="Calibri" w:cs="Calibri"/>
          <w:color w:val="000000"/>
          <w:sz w:val="22"/>
          <w:szCs w:val="22"/>
        </w:rPr>
        <w:t>and United Republic of Tanzania</w:t>
      </w:r>
    </w:p>
    <w:p w:rsidR="00565A0C" w:rsidRPr="00A04D4F" w:rsidRDefault="00565A0C" w:rsidP="00FB3ADD">
      <w:pPr>
        <w:ind w:left="426"/>
        <w:rPr>
          <w:rFonts w:ascii="Calibri" w:hAnsi="Calibri" w:cs="Calibri"/>
          <w:color w:val="000000"/>
          <w:sz w:val="22"/>
          <w:szCs w:val="22"/>
        </w:rPr>
      </w:pPr>
    </w:p>
    <w:p w:rsidR="00565A0C" w:rsidRPr="006F7C16" w:rsidRDefault="00565A0C" w:rsidP="00FB3ADD">
      <w:pPr>
        <w:ind w:left="426"/>
        <w:rPr>
          <w:rFonts w:ascii="Calibri" w:hAnsi="Calibri" w:cs="Calibri"/>
          <w:color w:val="000000"/>
          <w:sz w:val="22"/>
          <w:szCs w:val="22"/>
          <w:lang w:val="es-ES"/>
        </w:rPr>
      </w:pPr>
      <w:r w:rsidRPr="006F7C16">
        <w:rPr>
          <w:rFonts w:ascii="Calibri" w:hAnsi="Calibri" w:cs="Calibri"/>
          <w:b/>
          <w:color w:val="000000"/>
          <w:sz w:val="22"/>
          <w:szCs w:val="22"/>
          <w:lang w:val="es-ES"/>
        </w:rPr>
        <w:t>Senegal</w:t>
      </w:r>
      <w:r w:rsidRPr="006F7C16">
        <w:rPr>
          <w:rFonts w:ascii="Calibri" w:hAnsi="Calibri" w:cs="Calibri"/>
          <w:color w:val="000000"/>
          <w:sz w:val="22"/>
          <w:szCs w:val="22"/>
          <w:lang w:val="es-ES"/>
        </w:rPr>
        <w:t xml:space="preserve"> represents: Benin, Burkina Faso, Cabo Verde, Côte d’Ivoire, Gambia, Ghana, Guinea, Guinea-Bissau, Liberia, Mali (Alternate), Mauritania, Niger, Nigeria, Sierra Leone and Togo</w:t>
      </w:r>
    </w:p>
    <w:p w:rsidR="00565A0C" w:rsidRPr="006F7C16" w:rsidRDefault="00565A0C" w:rsidP="00FB3ADD">
      <w:pPr>
        <w:ind w:left="426"/>
        <w:rPr>
          <w:rFonts w:ascii="Calibri" w:hAnsi="Calibri" w:cs="Calibri"/>
          <w:color w:val="000000"/>
          <w:sz w:val="22"/>
          <w:szCs w:val="22"/>
          <w:lang w:val="es-ES"/>
        </w:rPr>
      </w:pPr>
    </w:p>
    <w:p w:rsidR="00565A0C" w:rsidRPr="006F7C16" w:rsidRDefault="00565A0C" w:rsidP="00FB3ADD">
      <w:pPr>
        <w:ind w:left="426"/>
        <w:rPr>
          <w:rFonts w:ascii="Calibri" w:hAnsi="Calibri" w:cs="Calibri"/>
          <w:color w:val="000000"/>
          <w:sz w:val="22"/>
          <w:szCs w:val="22"/>
          <w:lang w:val="es-ES"/>
        </w:rPr>
      </w:pPr>
      <w:r w:rsidRPr="006F7C16">
        <w:rPr>
          <w:rFonts w:ascii="Calibri" w:hAnsi="Calibri" w:cs="Calibri"/>
          <w:b/>
          <w:color w:val="000000"/>
          <w:sz w:val="22"/>
          <w:szCs w:val="22"/>
          <w:lang w:val="es-ES"/>
        </w:rPr>
        <w:lastRenderedPageBreak/>
        <w:t>Seychelles</w:t>
      </w:r>
      <w:r w:rsidRPr="006F7C16">
        <w:rPr>
          <w:rFonts w:ascii="Calibri" w:hAnsi="Calibri" w:cs="Calibri"/>
          <w:color w:val="000000"/>
          <w:sz w:val="22"/>
          <w:szCs w:val="22"/>
          <w:lang w:val="es-ES"/>
        </w:rPr>
        <w:t xml:space="preserve"> represents: Botswana (Alternate), Comoros, Lesotho, Madagascar, Malawi, Mauritius, Mozambique, Namibia, South Africa, Swaziland, Zambia and Zimbabwe</w:t>
      </w:r>
    </w:p>
    <w:p w:rsidR="00565A0C" w:rsidRPr="006F7C16" w:rsidRDefault="00565A0C" w:rsidP="00FB3ADD">
      <w:pPr>
        <w:ind w:left="426"/>
        <w:rPr>
          <w:rFonts w:ascii="Calibri" w:hAnsi="Calibri" w:cs="Calibri"/>
          <w:color w:val="000000"/>
          <w:sz w:val="22"/>
          <w:szCs w:val="22"/>
          <w:lang w:val="es-ES"/>
        </w:rPr>
      </w:pPr>
    </w:p>
    <w:p w:rsidR="00565A0C" w:rsidRPr="006F7C16" w:rsidRDefault="00565A0C" w:rsidP="00FB3ADD">
      <w:pPr>
        <w:ind w:left="426"/>
        <w:rPr>
          <w:rFonts w:ascii="Calibri" w:hAnsi="Calibri" w:cs="Calibri"/>
          <w:color w:val="000000"/>
          <w:sz w:val="22"/>
          <w:szCs w:val="22"/>
          <w:lang w:val="es-ES"/>
        </w:rPr>
      </w:pPr>
      <w:r w:rsidRPr="006F7C16">
        <w:rPr>
          <w:rFonts w:ascii="Calibri" w:hAnsi="Calibri" w:cs="Calibri"/>
          <w:b/>
          <w:color w:val="000000"/>
          <w:sz w:val="22"/>
          <w:szCs w:val="22"/>
          <w:lang w:val="es-ES"/>
        </w:rPr>
        <w:t>Tunisia</w:t>
      </w:r>
      <w:r w:rsidRPr="006F7C16">
        <w:rPr>
          <w:rFonts w:ascii="Calibri" w:hAnsi="Calibri" w:cs="Calibri"/>
          <w:color w:val="000000"/>
          <w:sz w:val="22"/>
          <w:szCs w:val="22"/>
          <w:lang w:val="es-ES"/>
        </w:rPr>
        <w:t xml:space="preserve"> represents: Algeria, Egypt (Alternate), Libya, Morocco, Sudan and South Sudan</w:t>
      </w:r>
    </w:p>
    <w:p w:rsidR="004036E9" w:rsidRPr="006F7C16" w:rsidRDefault="004036E9" w:rsidP="004036E9">
      <w:pPr>
        <w:ind w:left="567"/>
        <w:rPr>
          <w:rFonts w:ascii="Calibri" w:hAnsi="Calibri" w:cs="Calibri"/>
          <w:sz w:val="22"/>
          <w:szCs w:val="22"/>
          <w:lang w:val="es-ES"/>
        </w:rPr>
      </w:pPr>
    </w:p>
    <w:p w:rsidR="004036E9" w:rsidRPr="005A747C" w:rsidRDefault="004036E9"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rPr>
      </w:pPr>
      <w:r w:rsidRPr="005A747C">
        <w:rPr>
          <w:rStyle w:val="Strong"/>
          <w:rFonts w:ascii="Calibri" w:hAnsi="Calibri" w:cs="Calibri"/>
          <w:sz w:val="22"/>
          <w:szCs w:val="22"/>
        </w:rPr>
        <w:t>Asia</w:t>
      </w:r>
      <w:r w:rsidRPr="005A747C">
        <w:rPr>
          <w:rFonts w:ascii="Calibri" w:hAnsi="Calibri" w:cs="Calibri"/>
          <w:sz w:val="22"/>
          <w:szCs w:val="22"/>
        </w:rPr>
        <w:t xml:space="preserve">: </w:t>
      </w:r>
      <w:r w:rsidR="00D43D8E">
        <w:rPr>
          <w:rFonts w:ascii="Calibri" w:hAnsi="Calibri" w:cs="Calibri"/>
          <w:b/>
          <w:sz w:val="22"/>
          <w:szCs w:val="22"/>
        </w:rPr>
        <w:t>Nepal</w:t>
      </w:r>
      <w:r w:rsidRPr="005A747C">
        <w:rPr>
          <w:rFonts w:ascii="Calibri" w:hAnsi="Calibri" w:cs="Calibri"/>
          <w:b/>
          <w:sz w:val="22"/>
          <w:szCs w:val="22"/>
        </w:rPr>
        <w:t xml:space="preserve">, Republic of Korea, and </w:t>
      </w:r>
      <w:r w:rsidR="00D43D8E">
        <w:rPr>
          <w:rFonts w:ascii="Calibri" w:hAnsi="Calibri" w:cs="Calibri"/>
          <w:b/>
          <w:sz w:val="22"/>
          <w:szCs w:val="22"/>
        </w:rPr>
        <w:t>Iraq</w:t>
      </w:r>
      <w:r w:rsidRPr="005A747C">
        <w:rPr>
          <w:rFonts w:ascii="Calibri" w:hAnsi="Calibri" w:cs="Calibri"/>
          <w:sz w:val="22"/>
          <w:szCs w:val="22"/>
        </w:rPr>
        <w:t xml:space="preserve"> (Alternate members: </w:t>
      </w:r>
      <w:r w:rsidR="00D43D8E">
        <w:rPr>
          <w:rFonts w:ascii="Calibri" w:hAnsi="Calibri" w:cs="Calibri"/>
          <w:sz w:val="22"/>
          <w:szCs w:val="22"/>
        </w:rPr>
        <w:t>Viet Nam, Japan and Bahrain</w:t>
      </w:r>
      <w:r w:rsidRPr="005A747C">
        <w:rPr>
          <w:rFonts w:ascii="Calibri" w:hAnsi="Calibri" w:cs="Calibri"/>
          <w:sz w:val="22"/>
          <w:szCs w:val="22"/>
        </w:rPr>
        <w:t>)</w:t>
      </w:r>
    </w:p>
    <w:p w:rsidR="004036E9" w:rsidRPr="005A747C" w:rsidRDefault="004036E9" w:rsidP="004036E9">
      <w:pPr>
        <w:ind w:left="567"/>
        <w:rPr>
          <w:rFonts w:ascii="Calibri" w:hAnsi="Calibri" w:cs="Calibri"/>
          <w:b/>
          <w:sz w:val="22"/>
          <w:szCs w:val="22"/>
        </w:rPr>
      </w:pPr>
    </w:p>
    <w:p w:rsidR="004036E9" w:rsidRPr="005A747C" w:rsidRDefault="00D43D8E" w:rsidP="00FB3ADD">
      <w:pPr>
        <w:ind w:left="426"/>
        <w:rPr>
          <w:rFonts w:ascii="Calibri" w:hAnsi="Calibri" w:cs="Calibri"/>
          <w:sz w:val="22"/>
          <w:szCs w:val="22"/>
        </w:rPr>
      </w:pPr>
      <w:r>
        <w:rPr>
          <w:rFonts w:ascii="Calibri" w:hAnsi="Calibri" w:cs="Calibri"/>
          <w:b/>
          <w:sz w:val="22"/>
          <w:szCs w:val="22"/>
        </w:rPr>
        <w:t>Nepal</w:t>
      </w:r>
      <w:r w:rsidR="004036E9" w:rsidRPr="005A747C">
        <w:rPr>
          <w:rFonts w:ascii="Calibri" w:hAnsi="Calibri" w:cs="Calibri"/>
          <w:sz w:val="22"/>
          <w:szCs w:val="22"/>
        </w:rPr>
        <w:t xml:space="preserve"> represents</w:t>
      </w:r>
      <w:r>
        <w:rPr>
          <w:rFonts w:ascii="Calibri" w:hAnsi="Calibri" w:cs="Calibri"/>
          <w:sz w:val="22"/>
          <w:szCs w:val="22"/>
        </w:rPr>
        <w:t xml:space="preserve"> </w:t>
      </w:r>
      <w:r w:rsidR="004036E9" w:rsidRPr="005A747C">
        <w:rPr>
          <w:rFonts w:ascii="Calibri" w:hAnsi="Calibri" w:cs="Calibri"/>
          <w:sz w:val="22"/>
          <w:szCs w:val="22"/>
        </w:rPr>
        <w:t xml:space="preserve">: South and Southeast Asia </w:t>
      </w:r>
      <w:r>
        <w:rPr>
          <w:rFonts w:ascii="Calibri" w:hAnsi="Calibri" w:cs="Calibri"/>
          <w:sz w:val="22"/>
          <w:szCs w:val="22"/>
        </w:rPr>
        <w:t>: Bangladesh, Bhutan, Cambodia, India, Indonesia, Lao PDR, Malaysia, Myanmar, Pakistan, Philippines, Sri Lanka, Thailand and Viet Nam (Alternate)</w:t>
      </w:r>
    </w:p>
    <w:p w:rsidR="004036E9" w:rsidRPr="005A747C" w:rsidRDefault="004036E9" w:rsidP="00FB3ADD">
      <w:pPr>
        <w:ind w:left="426"/>
        <w:rPr>
          <w:rFonts w:ascii="Calibri" w:hAnsi="Calibri" w:cs="Calibri"/>
          <w:sz w:val="22"/>
          <w:szCs w:val="22"/>
        </w:rPr>
      </w:pPr>
    </w:p>
    <w:p w:rsidR="004036E9" w:rsidRPr="005A747C" w:rsidRDefault="004036E9" w:rsidP="00FB3ADD">
      <w:pPr>
        <w:ind w:left="426"/>
        <w:rPr>
          <w:rFonts w:ascii="Calibri" w:hAnsi="Calibri" w:cs="Calibri"/>
          <w:sz w:val="22"/>
          <w:szCs w:val="22"/>
        </w:rPr>
      </w:pPr>
      <w:r w:rsidRPr="005A747C">
        <w:rPr>
          <w:rFonts w:ascii="Calibri" w:hAnsi="Calibri" w:cs="Calibri"/>
          <w:b/>
          <w:sz w:val="22"/>
          <w:szCs w:val="22"/>
        </w:rPr>
        <w:t>Republic of Korea</w:t>
      </w:r>
      <w:r w:rsidRPr="005A747C">
        <w:rPr>
          <w:rFonts w:ascii="Calibri" w:hAnsi="Calibri" w:cs="Calibri"/>
          <w:sz w:val="22"/>
          <w:szCs w:val="22"/>
        </w:rPr>
        <w:t xml:space="preserve"> represents</w:t>
      </w:r>
      <w:r w:rsidR="00D43D8E">
        <w:rPr>
          <w:rFonts w:ascii="Calibri" w:hAnsi="Calibri" w:cs="Calibri"/>
          <w:sz w:val="22"/>
          <w:szCs w:val="22"/>
        </w:rPr>
        <w:t xml:space="preserve"> </w:t>
      </w:r>
      <w:r w:rsidRPr="005A747C">
        <w:rPr>
          <w:rFonts w:ascii="Calibri" w:hAnsi="Calibri" w:cs="Calibri"/>
          <w:sz w:val="22"/>
          <w:szCs w:val="22"/>
        </w:rPr>
        <w:t>: East Asia</w:t>
      </w:r>
      <w:r w:rsidR="00D43D8E">
        <w:rPr>
          <w:rFonts w:ascii="Calibri" w:hAnsi="Calibri" w:cs="Calibri"/>
          <w:sz w:val="22"/>
          <w:szCs w:val="22"/>
        </w:rPr>
        <w:t xml:space="preserve"> : China, Japan (Alternate) and Mongolia</w:t>
      </w:r>
    </w:p>
    <w:p w:rsidR="004036E9" w:rsidRPr="005A747C" w:rsidRDefault="004036E9" w:rsidP="00FB3ADD">
      <w:pPr>
        <w:ind w:left="426"/>
        <w:rPr>
          <w:rFonts w:ascii="Calibri" w:hAnsi="Calibri" w:cs="Calibri"/>
          <w:sz w:val="22"/>
          <w:szCs w:val="22"/>
        </w:rPr>
      </w:pPr>
    </w:p>
    <w:p w:rsidR="004036E9" w:rsidRPr="005A747C" w:rsidRDefault="00D43D8E" w:rsidP="00FB3ADD">
      <w:pPr>
        <w:ind w:left="426"/>
        <w:rPr>
          <w:rFonts w:ascii="Calibri" w:hAnsi="Calibri" w:cs="Calibri"/>
          <w:sz w:val="22"/>
          <w:szCs w:val="22"/>
        </w:rPr>
      </w:pPr>
      <w:r>
        <w:rPr>
          <w:rFonts w:ascii="Calibri" w:hAnsi="Calibri" w:cs="Calibri"/>
          <w:b/>
          <w:sz w:val="22"/>
          <w:szCs w:val="22"/>
        </w:rPr>
        <w:t>Iraq</w:t>
      </w:r>
      <w:r w:rsidR="004036E9" w:rsidRPr="005A747C">
        <w:rPr>
          <w:rFonts w:ascii="Calibri" w:hAnsi="Calibri" w:cs="Calibri"/>
          <w:sz w:val="22"/>
          <w:szCs w:val="22"/>
        </w:rPr>
        <w:t xml:space="preserve"> represents: Central and West Asia</w:t>
      </w:r>
      <w:r>
        <w:rPr>
          <w:rFonts w:ascii="Calibri" w:hAnsi="Calibri" w:cs="Calibri"/>
          <w:sz w:val="22"/>
          <w:szCs w:val="22"/>
        </w:rPr>
        <w:t xml:space="preserve"> : Bahrain (Alternate), Iran (Islamic Republic of), Jordan, Kazakhstan, Kuwait, Kyrgyzstan, Lebanon, Oman, Syrian Arab Republic, Tajikistan, Turkmenistan, U</w:t>
      </w:r>
      <w:r w:rsidR="00565A0C">
        <w:rPr>
          <w:rFonts w:ascii="Calibri" w:hAnsi="Calibri" w:cs="Calibri"/>
          <w:sz w:val="22"/>
          <w:szCs w:val="22"/>
        </w:rPr>
        <w:t>nited Arab Emirates, Uzbekistan and</w:t>
      </w:r>
      <w:r>
        <w:rPr>
          <w:rFonts w:ascii="Calibri" w:hAnsi="Calibri" w:cs="Calibri"/>
          <w:sz w:val="22"/>
          <w:szCs w:val="22"/>
        </w:rPr>
        <w:t xml:space="preserve"> Yemen</w:t>
      </w:r>
    </w:p>
    <w:p w:rsidR="004036E9" w:rsidRPr="005A747C" w:rsidRDefault="004036E9" w:rsidP="004036E9">
      <w:pPr>
        <w:ind w:left="567"/>
        <w:rPr>
          <w:rFonts w:ascii="Calibri" w:hAnsi="Calibri" w:cs="Calibri"/>
          <w:sz w:val="22"/>
          <w:szCs w:val="22"/>
        </w:rPr>
      </w:pPr>
    </w:p>
    <w:p w:rsidR="004036E9" w:rsidRPr="005A747C" w:rsidRDefault="004036E9"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rPr>
      </w:pPr>
      <w:r w:rsidRPr="005A747C">
        <w:rPr>
          <w:rStyle w:val="Strong"/>
          <w:rFonts w:ascii="Calibri" w:hAnsi="Calibri" w:cs="Calibri"/>
          <w:sz w:val="22"/>
          <w:szCs w:val="22"/>
        </w:rPr>
        <w:t>Europe</w:t>
      </w:r>
      <w:r w:rsidRPr="005A747C">
        <w:rPr>
          <w:rFonts w:ascii="Calibri" w:hAnsi="Calibri" w:cs="Calibri"/>
          <w:sz w:val="22"/>
          <w:szCs w:val="22"/>
        </w:rPr>
        <w:t xml:space="preserve">: </w:t>
      </w:r>
      <w:r w:rsidR="0086049B">
        <w:rPr>
          <w:rFonts w:ascii="Calibri" w:hAnsi="Calibri" w:cs="Calibri"/>
          <w:b/>
          <w:sz w:val="22"/>
          <w:szCs w:val="22"/>
        </w:rPr>
        <w:t>Armenia, Azerbaijan, Estonia</w:t>
      </w:r>
      <w:r w:rsidRPr="005A747C">
        <w:rPr>
          <w:rFonts w:ascii="Calibri" w:hAnsi="Calibri" w:cs="Calibri"/>
          <w:b/>
          <w:sz w:val="22"/>
          <w:szCs w:val="22"/>
        </w:rPr>
        <w:t>, and Romania</w:t>
      </w:r>
      <w:r w:rsidRPr="005A747C">
        <w:rPr>
          <w:rFonts w:ascii="Calibri" w:hAnsi="Calibri" w:cs="Calibri"/>
          <w:sz w:val="22"/>
          <w:szCs w:val="22"/>
        </w:rPr>
        <w:t xml:space="preserve"> (Alternate member</w:t>
      </w:r>
      <w:r w:rsidR="0086049B">
        <w:rPr>
          <w:rFonts w:ascii="Calibri" w:hAnsi="Calibri" w:cs="Calibri"/>
          <w:sz w:val="22"/>
          <w:szCs w:val="22"/>
        </w:rPr>
        <w:t>s</w:t>
      </w:r>
      <w:r w:rsidRPr="005A747C">
        <w:rPr>
          <w:rFonts w:ascii="Calibri" w:hAnsi="Calibri" w:cs="Calibri"/>
          <w:sz w:val="22"/>
          <w:szCs w:val="22"/>
        </w:rPr>
        <w:t xml:space="preserve">: </w:t>
      </w:r>
      <w:r w:rsidR="0086049B">
        <w:rPr>
          <w:rFonts w:ascii="Calibri" w:hAnsi="Calibri" w:cs="Calibri"/>
          <w:sz w:val="22"/>
          <w:szCs w:val="22"/>
        </w:rPr>
        <w:t>France, Russian Federation, Ukraine</w:t>
      </w:r>
      <w:r w:rsidRPr="005A747C">
        <w:rPr>
          <w:rFonts w:ascii="Calibri" w:hAnsi="Calibri" w:cs="Calibri"/>
          <w:sz w:val="22"/>
          <w:szCs w:val="22"/>
        </w:rPr>
        <w:t>)</w:t>
      </w:r>
    </w:p>
    <w:p w:rsidR="004036E9" w:rsidRPr="005A747C" w:rsidRDefault="004036E9" w:rsidP="004036E9">
      <w:pPr>
        <w:ind w:left="567"/>
        <w:rPr>
          <w:rFonts w:ascii="Calibri" w:hAnsi="Calibri" w:cs="Calibri"/>
          <w:b/>
          <w:sz w:val="22"/>
          <w:szCs w:val="22"/>
        </w:rPr>
      </w:pPr>
    </w:p>
    <w:p w:rsidR="004036E9" w:rsidRPr="005A747C" w:rsidRDefault="0086049B" w:rsidP="00FB3ADD">
      <w:pPr>
        <w:ind w:left="426"/>
        <w:rPr>
          <w:rFonts w:ascii="Calibri" w:hAnsi="Calibri" w:cs="Calibri"/>
          <w:sz w:val="22"/>
          <w:szCs w:val="22"/>
        </w:rPr>
      </w:pPr>
      <w:r>
        <w:rPr>
          <w:rFonts w:ascii="Calibri" w:hAnsi="Calibri" w:cs="Calibri"/>
          <w:b/>
          <w:sz w:val="22"/>
          <w:szCs w:val="22"/>
        </w:rPr>
        <w:t>Armen</w:t>
      </w:r>
      <w:r w:rsidR="004036E9" w:rsidRPr="005A747C">
        <w:rPr>
          <w:rFonts w:ascii="Calibri" w:hAnsi="Calibri" w:cs="Calibri"/>
          <w:b/>
          <w:sz w:val="22"/>
          <w:szCs w:val="22"/>
        </w:rPr>
        <w:t>ia</w:t>
      </w:r>
      <w:r w:rsidR="004036E9" w:rsidRPr="005A747C">
        <w:rPr>
          <w:rFonts w:ascii="Calibri" w:hAnsi="Calibri" w:cs="Calibri"/>
          <w:sz w:val="22"/>
          <w:szCs w:val="22"/>
        </w:rPr>
        <w:t xml:space="preserve"> represents: </w:t>
      </w:r>
      <w:r>
        <w:rPr>
          <w:rFonts w:ascii="Calibri" w:hAnsi="Calibri" w:cs="Calibri"/>
          <w:sz w:val="22"/>
          <w:szCs w:val="22"/>
        </w:rPr>
        <w:t xml:space="preserve">Belarus, Croatia, Cyprus, Georgia, </w:t>
      </w:r>
      <w:r w:rsidR="004036E9" w:rsidRPr="005A747C">
        <w:rPr>
          <w:rFonts w:ascii="Calibri" w:hAnsi="Calibri" w:cs="Calibri"/>
          <w:sz w:val="22"/>
          <w:szCs w:val="22"/>
        </w:rPr>
        <w:t xml:space="preserve"> Greece, </w:t>
      </w:r>
      <w:r>
        <w:rPr>
          <w:rFonts w:ascii="Calibri" w:hAnsi="Calibri" w:cs="Calibri"/>
          <w:sz w:val="22"/>
          <w:szCs w:val="22"/>
        </w:rPr>
        <w:t xml:space="preserve">Iceland, </w:t>
      </w:r>
      <w:r w:rsidR="004036E9" w:rsidRPr="005A747C">
        <w:rPr>
          <w:rFonts w:ascii="Calibri" w:hAnsi="Calibri" w:cs="Calibri"/>
          <w:sz w:val="22"/>
          <w:szCs w:val="22"/>
        </w:rPr>
        <w:t xml:space="preserve">Montenegro, </w:t>
      </w:r>
      <w:r>
        <w:rPr>
          <w:rFonts w:ascii="Calibri" w:hAnsi="Calibri" w:cs="Calibri"/>
          <w:sz w:val="22"/>
          <w:szCs w:val="22"/>
        </w:rPr>
        <w:t xml:space="preserve">Norway, Russian Federation, </w:t>
      </w:r>
      <w:r w:rsidR="004036E9" w:rsidRPr="005A747C">
        <w:rPr>
          <w:rFonts w:ascii="Calibri" w:hAnsi="Calibri" w:cs="Calibri"/>
          <w:sz w:val="22"/>
          <w:szCs w:val="22"/>
        </w:rPr>
        <w:t xml:space="preserve">Serbia and </w:t>
      </w:r>
      <w:r>
        <w:rPr>
          <w:rFonts w:ascii="Calibri" w:hAnsi="Calibri" w:cs="Calibri"/>
          <w:sz w:val="22"/>
          <w:szCs w:val="22"/>
        </w:rPr>
        <w:t>Ukraine</w:t>
      </w:r>
    </w:p>
    <w:p w:rsidR="004036E9" w:rsidRPr="005A747C" w:rsidRDefault="004036E9" w:rsidP="00FB3ADD">
      <w:pPr>
        <w:ind w:left="426"/>
        <w:rPr>
          <w:rFonts w:ascii="Calibri" w:hAnsi="Calibri" w:cs="Calibri"/>
          <w:sz w:val="22"/>
          <w:szCs w:val="22"/>
        </w:rPr>
      </w:pPr>
    </w:p>
    <w:p w:rsidR="004036E9" w:rsidRPr="005A747C" w:rsidRDefault="0086049B" w:rsidP="00FB3ADD">
      <w:pPr>
        <w:ind w:left="426"/>
        <w:rPr>
          <w:rFonts w:ascii="Calibri" w:hAnsi="Calibri" w:cs="Calibri"/>
          <w:sz w:val="22"/>
          <w:szCs w:val="22"/>
        </w:rPr>
      </w:pPr>
      <w:r>
        <w:rPr>
          <w:rFonts w:ascii="Calibri" w:hAnsi="Calibri" w:cs="Calibri"/>
          <w:b/>
          <w:sz w:val="22"/>
          <w:szCs w:val="22"/>
        </w:rPr>
        <w:t>Azerbaijan</w:t>
      </w:r>
      <w:r w:rsidR="004036E9" w:rsidRPr="005A747C">
        <w:rPr>
          <w:rFonts w:ascii="Calibri" w:hAnsi="Calibri" w:cs="Calibri"/>
          <w:sz w:val="22"/>
          <w:szCs w:val="22"/>
        </w:rPr>
        <w:t xml:space="preserve"> represents: </w:t>
      </w:r>
      <w:r>
        <w:rPr>
          <w:rFonts w:ascii="Calibri" w:hAnsi="Calibri" w:cs="Calibri"/>
          <w:sz w:val="22"/>
          <w:szCs w:val="22"/>
        </w:rPr>
        <w:t>Albania, Bosnia and Herzegovina, Czech Republic,</w:t>
      </w:r>
      <w:r w:rsidR="00A757F0">
        <w:rPr>
          <w:rFonts w:ascii="Calibri" w:hAnsi="Calibri" w:cs="Calibri"/>
          <w:sz w:val="22"/>
          <w:szCs w:val="22"/>
        </w:rPr>
        <w:t xml:space="preserve"> Israel, Liechtenstein, Poland, Slovakia, The former Yugoslav Republic of Macedonia, Turkey and the United Kingdom </w:t>
      </w:r>
    </w:p>
    <w:p w:rsidR="004036E9" w:rsidRPr="005A747C" w:rsidRDefault="004036E9" w:rsidP="00FB3ADD">
      <w:pPr>
        <w:ind w:left="426"/>
        <w:rPr>
          <w:rFonts w:ascii="Calibri" w:hAnsi="Calibri" w:cs="Calibri"/>
          <w:sz w:val="22"/>
          <w:szCs w:val="22"/>
        </w:rPr>
      </w:pPr>
    </w:p>
    <w:p w:rsidR="004036E9" w:rsidRPr="005A747C" w:rsidRDefault="00A757F0" w:rsidP="00FB3ADD">
      <w:pPr>
        <w:ind w:left="426"/>
        <w:rPr>
          <w:rFonts w:ascii="Calibri" w:hAnsi="Calibri" w:cs="Calibri"/>
          <w:sz w:val="22"/>
          <w:szCs w:val="22"/>
        </w:rPr>
      </w:pPr>
      <w:r>
        <w:rPr>
          <w:rFonts w:ascii="Calibri" w:hAnsi="Calibri" w:cs="Calibri"/>
          <w:b/>
          <w:sz w:val="22"/>
          <w:szCs w:val="22"/>
        </w:rPr>
        <w:t>Estonia</w:t>
      </w:r>
      <w:r w:rsidR="004036E9" w:rsidRPr="005A747C">
        <w:rPr>
          <w:rFonts w:ascii="Calibri" w:hAnsi="Calibri" w:cs="Calibri"/>
          <w:sz w:val="22"/>
          <w:szCs w:val="22"/>
        </w:rPr>
        <w:t xml:space="preserve"> represents: </w:t>
      </w:r>
      <w:r>
        <w:rPr>
          <w:rFonts w:ascii="Calibri" w:hAnsi="Calibri" w:cs="Calibri"/>
          <w:sz w:val="22"/>
          <w:szCs w:val="22"/>
        </w:rPr>
        <w:t>Austria, Belgium, Denmark, Fin</w:t>
      </w:r>
      <w:r w:rsidR="00072983">
        <w:rPr>
          <w:rFonts w:ascii="Calibri" w:hAnsi="Calibri" w:cs="Calibri"/>
          <w:sz w:val="22"/>
          <w:szCs w:val="22"/>
        </w:rPr>
        <w:t>l</w:t>
      </w:r>
      <w:r>
        <w:rPr>
          <w:rFonts w:ascii="Calibri" w:hAnsi="Calibri" w:cs="Calibri"/>
          <w:sz w:val="22"/>
          <w:szCs w:val="22"/>
        </w:rPr>
        <w:t>and,</w:t>
      </w:r>
      <w:r w:rsidR="004036E9" w:rsidRPr="005A747C">
        <w:rPr>
          <w:rFonts w:ascii="Calibri" w:hAnsi="Calibri" w:cs="Calibri"/>
          <w:sz w:val="22"/>
          <w:szCs w:val="22"/>
        </w:rPr>
        <w:t xml:space="preserve"> Germany, I</w:t>
      </w:r>
      <w:r>
        <w:rPr>
          <w:rFonts w:ascii="Calibri" w:hAnsi="Calibri" w:cs="Calibri"/>
          <w:sz w:val="22"/>
          <w:szCs w:val="22"/>
        </w:rPr>
        <w:t>r</w:t>
      </w:r>
      <w:r w:rsidR="004036E9" w:rsidRPr="005A747C">
        <w:rPr>
          <w:rFonts w:ascii="Calibri" w:hAnsi="Calibri" w:cs="Calibri"/>
          <w:sz w:val="22"/>
          <w:szCs w:val="22"/>
        </w:rPr>
        <w:t xml:space="preserve">eland, Latvia, Lithuania, </w:t>
      </w:r>
      <w:r>
        <w:rPr>
          <w:rFonts w:ascii="Calibri" w:hAnsi="Calibri" w:cs="Calibri"/>
          <w:sz w:val="22"/>
          <w:szCs w:val="22"/>
        </w:rPr>
        <w:t xml:space="preserve">Luxemburg, Netherlands and </w:t>
      </w:r>
      <w:r w:rsidR="004036E9" w:rsidRPr="005A747C">
        <w:rPr>
          <w:rFonts w:ascii="Calibri" w:hAnsi="Calibri" w:cs="Calibri"/>
          <w:sz w:val="22"/>
          <w:szCs w:val="22"/>
        </w:rPr>
        <w:t xml:space="preserve">Sweden </w:t>
      </w:r>
    </w:p>
    <w:p w:rsidR="004036E9" w:rsidRPr="005A747C" w:rsidRDefault="004036E9" w:rsidP="00FB3ADD">
      <w:pPr>
        <w:ind w:left="426"/>
        <w:rPr>
          <w:rFonts w:ascii="Calibri" w:hAnsi="Calibri" w:cs="Calibri"/>
          <w:sz w:val="22"/>
          <w:szCs w:val="22"/>
        </w:rPr>
      </w:pPr>
    </w:p>
    <w:p w:rsidR="004036E9" w:rsidRPr="005A747C" w:rsidRDefault="00A757F0" w:rsidP="00FB3ADD">
      <w:pPr>
        <w:ind w:left="426"/>
        <w:rPr>
          <w:rFonts w:ascii="Calibri" w:hAnsi="Calibri" w:cs="Calibri"/>
          <w:sz w:val="22"/>
          <w:szCs w:val="22"/>
        </w:rPr>
      </w:pPr>
      <w:r>
        <w:rPr>
          <w:rFonts w:ascii="Calibri" w:hAnsi="Calibri" w:cs="Calibri"/>
          <w:b/>
          <w:sz w:val="22"/>
          <w:szCs w:val="22"/>
        </w:rPr>
        <w:t>Romania</w:t>
      </w:r>
      <w:r w:rsidR="004036E9" w:rsidRPr="005A747C">
        <w:rPr>
          <w:rFonts w:ascii="Calibri" w:hAnsi="Calibri" w:cs="Calibri"/>
          <w:sz w:val="22"/>
          <w:szCs w:val="22"/>
        </w:rPr>
        <w:t xml:space="preserve"> represents: Andorra, </w:t>
      </w:r>
      <w:r>
        <w:rPr>
          <w:rFonts w:ascii="Calibri" w:hAnsi="Calibri" w:cs="Calibri"/>
          <w:sz w:val="22"/>
          <w:szCs w:val="22"/>
        </w:rPr>
        <w:t xml:space="preserve">Bulgaria, France, Hungary, Italy, Malta, </w:t>
      </w:r>
      <w:r w:rsidR="004036E9" w:rsidRPr="005A747C">
        <w:rPr>
          <w:rFonts w:ascii="Calibri" w:hAnsi="Calibri" w:cs="Calibri"/>
          <w:sz w:val="22"/>
          <w:szCs w:val="22"/>
        </w:rPr>
        <w:t xml:space="preserve">Monaco, Portugal, </w:t>
      </w:r>
      <w:r>
        <w:rPr>
          <w:rFonts w:ascii="Calibri" w:hAnsi="Calibri" w:cs="Calibri"/>
          <w:sz w:val="22"/>
          <w:szCs w:val="22"/>
        </w:rPr>
        <w:t xml:space="preserve">Republic of Moldova, Slovenia and </w:t>
      </w:r>
      <w:r w:rsidR="004036E9" w:rsidRPr="005A747C">
        <w:rPr>
          <w:rFonts w:ascii="Calibri" w:hAnsi="Calibri" w:cs="Calibri"/>
          <w:sz w:val="22"/>
          <w:szCs w:val="22"/>
        </w:rPr>
        <w:t>Spain</w:t>
      </w:r>
    </w:p>
    <w:p w:rsidR="004036E9" w:rsidRPr="005A747C" w:rsidRDefault="004036E9" w:rsidP="00FB3ADD">
      <w:pPr>
        <w:ind w:left="426"/>
        <w:rPr>
          <w:rFonts w:ascii="Calibri" w:hAnsi="Calibri" w:cs="Calibri"/>
          <w:sz w:val="22"/>
          <w:szCs w:val="22"/>
        </w:rPr>
      </w:pPr>
    </w:p>
    <w:p w:rsidR="004036E9" w:rsidRPr="005A747C" w:rsidRDefault="004036E9" w:rsidP="00FB3ADD">
      <w:pPr>
        <w:ind w:left="426"/>
        <w:rPr>
          <w:rFonts w:ascii="Calibri" w:hAnsi="Calibri" w:cs="Calibri"/>
          <w:sz w:val="22"/>
          <w:szCs w:val="22"/>
        </w:rPr>
      </w:pPr>
      <w:r w:rsidRPr="005A747C">
        <w:rPr>
          <w:rFonts w:ascii="Calibri" w:hAnsi="Calibri" w:cs="Calibri"/>
          <w:b/>
          <w:sz w:val="22"/>
          <w:szCs w:val="22"/>
        </w:rPr>
        <w:t xml:space="preserve">Switzerland </w:t>
      </w:r>
      <w:r w:rsidRPr="005A747C">
        <w:rPr>
          <w:rFonts w:ascii="Calibri" w:hAnsi="Calibri" w:cs="Calibri"/>
          <w:sz w:val="22"/>
          <w:szCs w:val="22"/>
        </w:rPr>
        <w:t>(Permanent Observer in all meetings)</w:t>
      </w:r>
    </w:p>
    <w:p w:rsidR="004036E9" w:rsidRPr="005A747C" w:rsidRDefault="004036E9" w:rsidP="004036E9">
      <w:pPr>
        <w:ind w:left="567"/>
        <w:rPr>
          <w:rFonts w:ascii="Calibri" w:hAnsi="Calibri" w:cs="Calibri"/>
          <w:sz w:val="22"/>
          <w:szCs w:val="22"/>
        </w:rPr>
      </w:pPr>
    </w:p>
    <w:p w:rsidR="00565A0C" w:rsidRPr="006F7C16" w:rsidRDefault="00565A0C"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es-ES"/>
        </w:rPr>
      </w:pPr>
      <w:r w:rsidRPr="006F7C16">
        <w:rPr>
          <w:rStyle w:val="Strong"/>
          <w:rFonts w:ascii="Calibri" w:hAnsi="Calibri" w:cs="Calibri"/>
          <w:sz w:val="22"/>
          <w:szCs w:val="22"/>
          <w:lang w:val="es-ES"/>
        </w:rPr>
        <w:t xml:space="preserve">Latin America and the Caribbean </w:t>
      </w:r>
      <w:r w:rsidRPr="006F7C16">
        <w:rPr>
          <w:rFonts w:ascii="Calibri" w:hAnsi="Calibri" w:cs="Calibri"/>
          <w:sz w:val="22"/>
          <w:szCs w:val="22"/>
          <w:lang w:val="es-ES"/>
        </w:rPr>
        <w:t>: Colombia, Honduras and Suriname (Alternate members: Argentina, Costa Rica and Cuba)</w:t>
      </w:r>
    </w:p>
    <w:p w:rsidR="00565A0C" w:rsidRPr="006F7C16" w:rsidRDefault="00565A0C" w:rsidP="00565A0C">
      <w:pPr>
        <w:ind w:left="567"/>
        <w:rPr>
          <w:rFonts w:ascii="Calibri" w:hAnsi="Calibri" w:cs="Calibri"/>
          <w:b/>
          <w:sz w:val="22"/>
          <w:szCs w:val="22"/>
          <w:lang w:val="es-ES"/>
        </w:rPr>
      </w:pPr>
    </w:p>
    <w:p w:rsidR="00565A0C" w:rsidRPr="006F7C16" w:rsidRDefault="00565A0C" w:rsidP="00FB3ADD">
      <w:pPr>
        <w:ind w:left="426"/>
        <w:rPr>
          <w:rFonts w:ascii="Calibri" w:hAnsi="Calibri" w:cs="Calibri"/>
          <w:sz w:val="22"/>
          <w:szCs w:val="22"/>
          <w:lang w:val="es-ES"/>
        </w:rPr>
      </w:pPr>
      <w:r w:rsidRPr="006F7C16">
        <w:rPr>
          <w:rFonts w:ascii="Calibri" w:hAnsi="Calibri" w:cs="Calibri"/>
          <w:b/>
          <w:sz w:val="22"/>
          <w:szCs w:val="22"/>
          <w:lang w:val="es-ES"/>
        </w:rPr>
        <w:t>Colombia</w:t>
      </w:r>
      <w:r w:rsidRPr="006F7C16">
        <w:rPr>
          <w:rFonts w:ascii="Calibri" w:hAnsi="Calibri" w:cs="Calibri"/>
          <w:sz w:val="22"/>
          <w:szCs w:val="22"/>
          <w:lang w:val="es-ES"/>
        </w:rPr>
        <w:t xml:space="preserve"> represents: Argentina (Alternate), Bolivia, Brazil, Ecuador, Paraguay, Peru, Uruguay and Venezuela   </w:t>
      </w:r>
    </w:p>
    <w:p w:rsidR="00565A0C" w:rsidRPr="006F7C16" w:rsidRDefault="00565A0C" w:rsidP="00FB3ADD">
      <w:pPr>
        <w:ind w:left="426"/>
        <w:rPr>
          <w:rFonts w:ascii="Calibri" w:hAnsi="Calibri" w:cs="Calibri"/>
          <w:sz w:val="22"/>
          <w:szCs w:val="22"/>
          <w:lang w:val="es-ES"/>
        </w:rPr>
      </w:pPr>
    </w:p>
    <w:p w:rsidR="00565A0C" w:rsidRPr="005A747C" w:rsidRDefault="00565A0C" w:rsidP="00FB3ADD">
      <w:pPr>
        <w:ind w:left="426"/>
        <w:rPr>
          <w:rFonts w:ascii="Calibri" w:hAnsi="Calibri" w:cs="Calibri"/>
          <w:sz w:val="22"/>
          <w:szCs w:val="22"/>
          <w:lang w:val="es-ES"/>
        </w:rPr>
      </w:pPr>
      <w:r>
        <w:rPr>
          <w:rFonts w:ascii="Calibri" w:hAnsi="Calibri" w:cs="Calibri"/>
          <w:b/>
          <w:sz w:val="22"/>
          <w:szCs w:val="22"/>
          <w:lang w:val="es-ES"/>
        </w:rPr>
        <w:t>Suriname</w:t>
      </w:r>
      <w:r w:rsidRPr="005A747C">
        <w:rPr>
          <w:rFonts w:ascii="Calibri" w:hAnsi="Calibri" w:cs="Calibri"/>
          <w:sz w:val="22"/>
          <w:szCs w:val="22"/>
          <w:lang w:val="es-ES"/>
        </w:rPr>
        <w:t xml:space="preserve"> represents: Antigua and Barbuda, Bahamas, Barbados, Belize, </w:t>
      </w:r>
      <w:r>
        <w:rPr>
          <w:rFonts w:ascii="Calibri" w:hAnsi="Calibri" w:cs="Calibri"/>
          <w:sz w:val="22"/>
          <w:szCs w:val="22"/>
          <w:lang w:val="es-ES"/>
        </w:rPr>
        <w:t xml:space="preserve">Cuba (Alternate) </w:t>
      </w:r>
      <w:r w:rsidRPr="005A747C">
        <w:rPr>
          <w:rFonts w:ascii="Calibri" w:hAnsi="Calibri" w:cs="Calibri"/>
          <w:sz w:val="22"/>
          <w:szCs w:val="22"/>
          <w:lang w:val="es-ES"/>
        </w:rPr>
        <w:t>Dominican Republic, Grenada, Jam</w:t>
      </w:r>
      <w:r w:rsidR="00114794">
        <w:rPr>
          <w:rFonts w:ascii="Calibri" w:hAnsi="Calibri" w:cs="Calibri"/>
          <w:sz w:val="22"/>
          <w:szCs w:val="22"/>
          <w:lang w:val="es-ES"/>
        </w:rPr>
        <w:t>aica</w:t>
      </w:r>
      <w:r w:rsidRPr="005A747C">
        <w:rPr>
          <w:rFonts w:ascii="Calibri" w:hAnsi="Calibri" w:cs="Calibri"/>
          <w:sz w:val="22"/>
          <w:szCs w:val="22"/>
          <w:lang w:val="es-ES"/>
        </w:rPr>
        <w:t>, Saint Lucia</w:t>
      </w:r>
      <w:r w:rsidR="00454B65">
        <w:rPr>
          <w:rFonts w:ascii="Calibri" w:hAnsi="Calibri" w:cs="Calibri"/>
          <w:sz w:val="22"/>
          <w:szCs w:val="22"/>
          <w:lang w:val="es-ES"/>
        </w:rPr>
        <w:t>,</w:t>
      </w:r>
      <w:r w:rsidRPr="005A747C">
        <w:rPr>
          <w:rFonts w:ascii="Calibri" w:hAnsi="Calibri" w:cs="Calibri"/>
          <w:sz w:val="22"/>
          <w:szCs w:val="22"/>
          <w:lang w:val="es-ES"/>
        </w:rPr>
        <w:t xml:space="preserve"> and Trinidad &amp; Tobago</w:t>
      </w:r>
    </w:p>
    <w:p w:rsidR="00565A0C" w:rsidRPr="005A747C" w:rsidRDefault="00565A0C" w:rsidP="00FB3ADD">
      <w:pPr>
        <w:ind w:left="426"/>
        <w:rPr>
          <w:rFonts w:ascii="Calibri" w:hAnsi="Calibri" w:cs="Calibri"/>
          <w:sz w:val="22"/>
          <w:szCs w:val="22"/>
          <w:lang w:val="es-ES"/>
        </w:rPr>
      </w:pPr>
    </w:p>
    <w:p w:rsidR="00565A0C" w:rsidRPr="005A747C" w:rsidRDefault="00565A0C" w:rsidP="00FB3ADD">
      <w:pPr>
        <w:ind w:left="426"/>
        <w:rPr>
          <w:rFonts w:ascii="Calibri" w:hAnsi="Calibri" w:cs="Calibri"/>
          <w:sz w:val="22"/>
          <w:szCs w:val="22"/>
          <w:lang w:val="es-ES"/>
        </w:rPr>
      </w:pPr>
      <w:r>
        <w:rPr>
          <w:rFonts w:ascii="Calibri" w:hAnsi="Calibri" w:cs="Calibri"/>
          <w:b/>
          <w:sz w:val="22"/>
          <w:szCs w:val="22"/>
          <w:lang w:val="es-ES"/>
        </w:rPr>
        <w:t>Honduras</w:t>
      </w:r>
      <w:r w:rsidRPr="005A747C">
        <w:rPr>
          <w:rFonts w:ascii="Calibri" w:hAnsi="Calibri" w:cs="Calibri"/>
          <w:sz w:val="22"/>
          <w:szCs w:val="22"/>
          <w:lang w:val="es-ES"/>
        </w:rPr>
        <w:t xml:space="preserve"> represents: Costa Rica (Alternate), El Salvador, </w:t>
      </w:r>
      <w:r w:rsidR="00114794">
        <w:rPr>
          <w:rFonts w:ascii="Calibri" w:hAnsi="Calibri" w:cs="Calibri"/>
          <w:sz w:val="22"/>
          <w:szCs w:val="22"/>
          <w:lang w:val="es-ES"/>
        </w:rPr>
        <w:t>Guatemala, Nicaragua</w:t>
      </w:r>
      <w:r w:rsidRPr="005A747C">
        <w:rPr>
          <w:rFonts w:ascii="Calibri" w:hAnsi="Calibri" w:cs="Calibri"/>
          <w:sz w:val="22"/>
          <w:szCs w:val="22"/>
          <w:lang w:val="es-ES"/>
        </w:rPr>
        <w:t xml:space="preserve"> and Panama </w:t>
      </w:r>
    </w:p>
    <w:p w:rsidR="00565A0C" w:rsidRPr="005A747C" w:rsidRDefault="00565A0C" w:rsidP="00565A0C">
      <w:pPr>
        <w:ind w:left="567"/>
        <w:rPr>
          <w:rFonts w:ascii="Calibri" w:hAnsi="Calibri" w:cs="Calibri"/>
          <w:sz w:val="22"/>
          <w:szCs w:val="22"/>
          <w:lang w:val="es-ES"/>
        </w:rPr>
      </w:pPr>
    </w:p>
    <w:p w:rsidR="00565A0C" w:rsidRPr="006471C7" w:rsidRDefault="00565A0C"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en-GB"/>
        </w:rPr>
      </w:pPr>
      <w:r w:rsidRPr="006471C7">
        <w:rPr>
          <w:rStyle w:val="Strong"/>
          <w:rFonts w:ascii="Calibri" w:hAnsi="Calibri" w:cs="Calibri"/>
          <w:sz w:val="22"/>
          <w:szCs w:val="22"/>
          <w:lang w:val="en-GB"/>
        </w:rPr>
        <w:t>North America</w:t>
      </w:r>
      <w:r w:rsidRPr="006471C7">
        <w:rPr>
          <w:rFonts w:ascii="Calibri" w:hAnsi="Calibri" w:cs="Calibri"/>
          <w:sz w:val="22"/>
          <w:szCs w:val="22"/>
          <w:lang w:val="en-GB"/>
        </w:rPr>
        <w:t xml:space="preserve">: </w:t>
      </w:r>
      <w:r>
        <w:rPr>
          <w:rFonts w:ascii="Calibri" w:hAnsi="Calibri" w:cs="Calibri"/>
          <w:sz w:val="22"/>
          <w:szCs w:val="22"/>
          <w:lang w:val="en-GB"/>
        </w:rPr>
        <w:t>United States of America</w:t>
      </w:r>
      <w:r w:rsidRPr="006471C7">
        <w:rPr>
          <w:rFonts w:ascii="Calibri" w:hAnsi="Calibri" w:cs="Calibri"/>
          <w:sz w:val="22"/>
          <w:szCs w:val="22"/>
          <w:lang w:val="en-GB"/>
        </w:rPr>
        <w:t xml:space="preserve"> (Alternate member: </w:t>
      </w:r>
      <w:r>
        <w:rPr>
          <w:rFonts w:ascii="Calibri" w:hAnsi="Calibri" w:cs="Calibri"/>
          <w:sz w:val="22"/>
          <w:szCs w:val="22"/>
          <w:lang w:val="en-GB"/>
        </w:rPr>
        <w:t>Canada</w:t>
      </w:r>
      <w:r w:rsidRPr="006471C7">
        <w:rPr>
          <w:rFonts w:ascii="Calibri" w:hAnsi="Calibri" w:cs="Calibri"/>
          <w:sz w:val="22"/>
          <w:szCs w:val="22"/>
          <w:lang w:val="en-GB"/>
        </w:rPr>
        <w:t>)</w:t>
      </w:r>
    </w:p>
    <w:p w:rsidR="00565A0C" w:rsidRPr="006471C7" w:rsidRDefault="00565A0C" w:rsidP="00565A0C">
      <w:pPr>
        <w:ind w:left="567"/>
        <w:rPr>
          <w:rFonts w:ascii="Calibri" w:hAnsi="Calibri" w:cs="Calibri"/>
          <w:b/>
          <w:sz w:val="22"/>
          <w:szCs w:val="22"/>
          <w:lang w:val="en-GB"/>
        </w:rPr>
      </w:pPr>
    </w:p>
    <w:p w:rsidR="00565A0C" w:rsidRPr="005A747C" w:rsidRDefault="00565A0C" w:rsidP="006F7C16">
      <w:pPr>
        <w:ind w:left="426"/>
        <w:rPr>
          <w:rFonts w:ascii="Calibri" w:hAnsi="Calibri" w:cs="Calibri"/>
          <w:sz w:val="22"/>
          <w:szCs w:val="22"/>
        </w:rPr>
      </w:pPr>
      <w:r>
        <w:rPr>
          <w:rFonts w:ascii="Calibri" w:hAnsi="Calibri" w:cs="Calibri"/>
          <w:b/>
          <w:sz w:val="22"/>
          <w:szCs w:val="22"/>
        </w:rPr>
        <w:t>United States of America</w:t>
      </w:r>
      <w:r w:rsidRPr="005A747C">
        <w:rPr>
          <w:rFonts w:ascii="Calibri" w:hAnsi="Calibri" w:cs="Calibri"/>
          <w:sz w:val="22"/>
          <w:szCs w:val="22"/>
        </w:rPr>
        <w:t xml:space="preserve"> represents: </w:t>
      </w:r>
      <w:r>
        <w:rPr>
          <w:rFonts w:ascii="Calibri" w:hAnsi="Calibri" w:cs="Calibri"/>
          <w:sz w:val="22"/>
          <w:szCs w:val="22"/>
        </w:rPr>
        <w:t xml:space="preserve">Canada (Alternate) and  </w:t>
      </w:r>
      <w:r w:rsidRPr="005A747C">
        <w:rPr>
          <w:rFonts w:ascii="Calibri" w:hAnsi="Calibri" w:cs="Calibri"/>
          <w:sz w:val="22"/>
          <w:szCs w:val="22"/>
        </w:rPr>
        <w:t xml:space="preserve">Mexico </w:t>
      </w:r>
    </w:p>
    <w:p w:rsidR="004036E9" w:rsidRPr="005A747C" w:rsidRDefault="004036E9" w:rsidP="004036E9">
      <w:pPr>
        <w:ind w:left="567"/>
        <w:rPr>
          <w:rFonts w:ascii="Calibri" w:hAnsi="Calibri" w:cs="Calibri"/>
          <w:sz w:val="22"/>
          <w:szCs w:val="22"/>
        </w:rPr>
      </w:pPr>
    </w:p>
    <w:p w:rsidR="00114794" w:rsidRPr="006F7C16" w:rsidRDefault="00114794" w:rsidP="006F7C16">
      <w:pPr>
        <w:pBdr>
          <w:top w:val="single" w:sz="4" w:space="1" w:color="auto"/>
          <w:left w:val="single" w:sz="4" w:space="4" w:color="auto"/>
          <w:bottom w:val="single" w:sz="4" w:space="1" w:color="auto"/>
          <w:right w:val="single" w:sz="4" w:space="4" w:color="auto"/>
        </w:pBdr>
        <w:shd w:val="clear" w:color="auto" w:fill="B8CCE4"/>
        <w:rPr>
          <w:rFonts w:ascii="Calibri" w:hAnsi="Calibri" w:cs="Calibri"/>
          <w:sz w:val="22"/>
          <w:szCs w:val="22"/>
          <w:lang w:val="it-IT"/>
        </w:rPr>
      </w:pPr>
      <w:r w:rsidRPr="006F7C16">
        <w:rPr>
          <w:rStyle w:val="Strong"/>
          <w:rFonts w:ascii="Calibri" w:hAnsi="Calibri" w:cs="Calibri"/>
          <w:sz w:val="22"/>
          <w:szCs w:val="22"/>
          <w:lang w:val="it-IT"/>
        </w:rPr>
        <w:t>Oceania</w:t>
      </w:r>
      <w:r w:rsidRPr="006F7C16">
        <w:rPr>
          <w:rFonts w:ascii="Calibri" w:hAnsi="Calibri" w:cs="Calibri"/>
          <w:sz w:val="22"/>
          <w:szCs w:val="22"/>
          <w:lang w:val="it-IT"/>
        </w:rPr>
        <w:t xml:space="preserve">: Australia (Alternate member: Samoa) </w:t>
      </w:r>
    </w:p>
    <w:p w:rsidR="00114794" w:rsidRPr="006F7C16" w:rsidRDefault="00114794" w:rsidP="00114794">
      <w:pPr>
        <w:ind w:left="567"/>
        <w:rPr>
          <w:rFonts w:ascii="Calibri" w:hAnsi="Calibri" w:cs="Calibri"/>
          <w:b/>
          <w:sz w:val="22"/>
          <w:szCs w:val="22"/>
          <w:lang w:val="it-IT"/>
        </w:rPr>
      </w:pPr>
    </w:p>
    <w:p w:rsidR="00114794" w:rsidRPr="005A747C" w:rsidRDefault="00114794" w:rsidP="006F7C16">
      <w:pPr>
        <w:ind w:left="426"/>
        <w:rPr>
          <w:rFonts w:ascii="Calibri" w:hAnsi="Calibri"/>
          <w:sz w:val="22"/>
          <w:szCs w:val="22"/>
        </w:rPr>
      </w:pPr>
      <w:r>
        <w:rPr>
          <w:rFonts w:ascii="Calibri" w:hAnsi="Calibri" w:cs="Calibri"/>
          <w:b/>
          <w:sz w:val="22"/>
          <w:szCs w:val="22"/>
        </w:rPr>
        <w:lastRenderedPageBreak/>
        <w:t>Australia</w:t>
      </w:r>
      <w:r w:rsidRPr="005A747C">
        <w:rPr>
          <w:rFonts w:ascii="Calibri" w:hAnsi="Calibri" w:cs="Calibri"/>
          <w:sz w:val="22"/>
          <w:szCs w:val="22"/>
        </w:rPr>
        <w:t xml:space="preserve"> represents: </w:t>
      </w:r>
      <w:r>
        <w:rPr>
          <w:rFonts w:ascii="Calibri" w:hAnsi="Calibri" w:cs="Calibri"/>
          <w:sz w:val="22"/>
          <w:szCs w:val="22"/>
        </w:rPr>
        <w:t xml:space="preserve">Fiji, Kiribati, </w:t>
      </w:r>
      <w:r w:rsidRPr="005A747C">
        <w:rPr>
          <w:rFonts w:ascii="Calibri" w:hAnsi="Calibri" w:cs="Calibri"/>
          <w:sz w:val="22"/>
          <w:szCs w:val="22"/>
        </w:rPr>
        <w:t>Marshall Islands, New Zealand, Palau</w:t>
      </w:r>
      <w:r>
        <w:rPr>
          <w:rFonts w:ascii="Calibri" w:hAnsi="Calibri" w:cs="Calibri"/>
          <w:sz w:val="22"/>
          <w:szCs w:val="22"/>
        </w:rPr>
        <w:t>, Papua New Guinea</w:t>
      </w:r>
      <w:r w:rsidRPr="005A747C">
        <w:rPr>
          <w:rFonts w:ascii="Calibri" w:hAnsi="Calibri" w:cs="Calibri"/>
          <w:sz w:val="22"/>
          <w:szCs w:val="22"/>
        </w:rPr>
        <w:t xml:space="preserve"> and Samoa</w:t>
      </w:r>
      <w:r>
        <w:rPr>
          <w:rFonts w:ascii="Calibri" w:hAnsi="Calibri" w:cs="Calibri"/>
          <w:sz w:val="22"/>
          <w:szCs w:val="22"/>
        </w:rPr>
        <w:t xml:space="preserve"> (Alternate)</w:t>
      </w:r>
    </w:p>
    <w:p w:rsidR="004036E9" w:rsidRPr="005A747C" w:rsidRDefault="004036E9" w:rsidP="004036E9">
      <w:pPr>
        <w:ind w:left="567"/>
        <w:rPr>
          <w:rFonts w:ascii="Calibri" w:hAnsi="Calibri"/>
          <w:sz w:val="22"/>
          <w:szCs w:val="22"/>
        </w:rPr>
      </w:pPr>
      <w:bookmarkStart w:id="0" w:name="_GoBack"/>
      <w:bookmarkEnd w:id="0"/>
    </w:p>
    <w:sectPr w:rsidR="004036E9" w:rsidRPr="005A747C" w:rsidSect="004036E9">
      <w:footerReference w:type="default" r:id="rId10"/>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51" w:rsidRDefault="009A0151">
      <w:r>
        <w:separator/>
      </w:r>
    </w:p>
  </w:endnote>
  <w:endnote w:type="continuationSeparator" w:id="0">
    <w:p w:rsidR="009A0151" w:rsidRDefault="009A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DD" w:rsidRPr="006F7C16" w:rsidRDefault="00FB3ADD" w:rsidP="006F7C16">
    <w:pPr>
      <w:tabs>
        <w:tab w:val="center" w:pos="4680"/>
        <w:tab w:val="right" w:pos="9072"/>
      </w:tabs>
      <w:jc w:val="both"/>
      <w:rPr>
        <w:rFonts w:ascii="Calibri" w:hAnsi="Calibri"/>
        <w:sz w:val="20"/>
        <w:szCs w:val="20"/>
        <w:lang w:val="en-GB"/>
      </w:rPr>
    </w:pPr>
    <w:r w:rsidRPr="00FB3ADD">
      <w:rPr>
        <w:rFonts w:ascii="Calibri" w:hAnsi="Calibri"/>
        <w:sz w:val="20"/>
        <w:szCs w:val="20"/>
        <w:lang w:val="x-none" w:eastAsia="x-none"/>
      </w:rPr>
      <w:t>SC51</w:t>
    </w:r>
    <w:r>
      <w:rPr>
        <w:rFonts w:ascii="Calibri" w:hAnsi="Calibri"/>
        <w:sz w:val="20"/>
        <w:szCs w:val="20"/>
        <w:lang w:val="en-GB" w:eastAsia="x-none"/>
      </w:rPr>
      <w:t>-Inf.Doc.03</w:t>
    </w:r>
    <w:r w:rsidRPr="00FB3ADD">
      <w:rPr>
        <w:rFonts w:ascii="Calibri" w:hAnsi="Calibri"/>
        <w:sz w:val="20"/>
        <w:szCs w:val="20"/>
        <w:lang w:val="x-none" w:eastAsia="x-none"/>
      </w:rPr>
      <w:tab/>
    </w:r>
    <w:r w:rsidRPr="00FB3ADD">
      <w:rPr>
        <w:rFonts w:ascii="Calibri" w:hAnsi="Calibri"/>
        <w:sz w:val="20"/>
        <w:szCs w:val="20"/>
        <w:lang w:val="x-none" w:eastAsia="x-none"/>
      </w:rPr>
      <w:tab/>
    </w:r>
    <w:r w:rsidRPr="00FB3ADD">
      <w:rPr>
        <w:rFonts w:ascii="Calibri" w:hAnsi="Calibri"/>
        <w:sz w:val="20"/>
        <w:szCs w:val="20"/>
        <w:lang w:val="x-none" w:eastAsia="x-none"/>
      </w:rPr>
      <w:fldChar w:fldCharType="begin"/>
    </w:r>
    <w:r w:rsidRPr="00FB3ADD">
      <w:rPr>
        <w:rFonts w:ascii="Calibri" w:hAnsi="Calibri"/>
        <w:sz w:val="20"/>
        <w:szCs w:val="20"/>
        <w:lang w:val="x-none" w:eastAsia="x-none"/>
      </w:rPr>
      <w:instrText xml:space="preserve"> PAGE   \* MERGEFORMAT </w:instrText>
    </w:r>
    <w:r w:rsidRPr="00FB3ADD">
      <w:rPr>
        <w:rFonts w:ascii="Calibri" w:hAnsi="Calibri"/>
        <w:sz w:val="20"/>
        <w:szCs w:val="20"/>
        <w:lang w:val="x-none" w:eastAsia="x-none"/>
      </w:rPr>
      <w:fldChar w:fldCharType="separate"/>
    </w:r>
    <w:r w:rsidR="00072983">
      <w:rPr>
        <w:rFonts w:ascii="Calibri" w:hAnsi="Calibri"/>
        <w:noProof/>
        <w:sz w:val="20"/>
        <w:szCs w:val="20"/>
        <w:lang w:val="x-none" w:eastAsia="x-none"/>
      </w:rPr>
      <w:t>3</w:t>
    </w:r>
    <w:r w:rsidRPr="00FB3ADD">
      <w:rPr>
        <w:rFonts w:ascii="Calibri" w:hAnsi="Calibri"/>
        <w:sz w:val="20"/>
        <w:szCs w:val="20"/>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51" w:rsidRDefault="009A0151">
      <w:r>
        <w:separator/>
      </w:r>
    </w:p>
  </w:footnote>
  <w:footnote w:type="continuationSeparator" w:id="0">
    <w:p w:rsidR="009A0151" w:rsidRDefault="009A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74"/>
    <w:multiLevelType w:val="multilevel"/>
    <w:tmpl w:val="09FAFA48"/>
    <w:lvl w:ilvl="0">
      <w:start w:val="1"/>
      <w:numFmt w:val="decimal"/>
      <w:lvlText w:val="%1."/>
      <w:lvlJc w:val="left"/>
      <w:pPr>
        <w:tabs>
          <w:tab w:val="num" w:pos="720"/>
        </w:tabs>
        <w:ind w:left="720" w:hanging="360"/>
      </w:pPr>
    </w:lvl>
    <w:lvl w:ilvl="1">
      <w:start w:val="13"/>
      <w:numFmt w:val="bullet"/>
      <w:lvlText w:val="-"/>
      <w:lvlJc w:val="left"/>
      <w:pPr>
        <w:tabs>
          <w:tab w:val="num" w:pos="1440"/>
        </w:tabs>
        <w:ind w:left="1440" w:hanging="360"/>
      </w:pPr>
      <w:rPr>
        <w:rFonts w:ascii="Trebuchet MS" w:eastAsia="Times New Roman" w:hAnsi="Trebuchet MS" w:cs="Times New Roman" w:hint="default"/>
      </w:rPr>
    </w:lvl>
    <w:lvl w:ilvl="2">
      <w:start w:val="1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A664E"/>
    <w:multiLevelType w:val="hybridMultilevel"/>
    <w:tmpl w:val="32368EF8"/>
    <w:lvl w:ilvl="0" w:tplc="7C205390">
      <w:start w:val="1"/>
      <w:numFmt w:val="bullet"/>
      <w:lvlText w:val=""/>
      <w:lvlJc w:val="left"/>
      <w:pPr>
        <w:tabs>
          <w:tab w:val="num" w:pos="1107"/>
        </w:tabs>
        <w:ind w:left="1107" w:firstLine="567"/>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7502E03"/>
    <w:multiLevelType w:val="hybridMultilevel"/>
    <w:tmpl w:val="C444200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E8D"/>
    <w:multiLevelType w:val="hybridMultilevel"/>
    <w:tmpl w:val="43BAAA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297BB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A64A22"/>
    <w:multiLevelType w:val="hybridMultilevel"/>
    <w:tmpl w:val="E25C9C22"/>
    <w:lvl w:ilvl="0" w:tplc="954858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98F2AE0"/>
    <w:multiLevelType w:val="hybridMultilevel"/>
    <w:tmpl w:val="23B2D456"/>
    <w:lvl w:ilvl="0" w:tplc="08090001">
      <w:start w:val="1"/>
      <w:numFmt w:val="bullet"/>
      <w:lvlText w:val=""/>
      <w:lvlJc w:val="left"/>
      <w:pPr>
        <w:ind w:left="667" w:hanging="567"/>
      </w:pPr>
      <w:rPr>
        <w:rFonts w:ascii="Symbol" w:hAnsi="Symbol"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7">
    <w:nsid w:val="1B0A73F4"/>
    <w:multiLevelType w:val="hybridMultilevel"/>
    <w:tmpl w:val="F8DCDC2E"/>
    <w:lvl w:ilvl="0" w:tplc="954858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12B2D2F"/>
    <w:multiLevelType w:val="hybridMultilevel"/>
    <w:tmpl w:val="665E9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F56882"/>
    <w:multiLevelType w:val="hybridMultilevel"/>
    <w:tmpl w:val="90128086"/>
    <w:lvl w:ilvl="0" w:tplc="81EA6E4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310E2402"/>
    <w:multiLevelType w:val="hybridMultilevel"/>
    <w:tmpl w:val="09FAFA48"/>
    <w:lvl w:ilvl="0" w:tplc="0409000F">
      <w:start w:val="1"/>
      <w:numFmt w:val="decimal"/>
      <w:lvlText w:val="%1."/>
      <w:lvlJc w:val="left"/>
      <w:pPr>
        <w:tabs>
          <w:tab w:val="num" w:pos="720"/>
        </w:tabs>
        <w:ind w:left="720" w:hanging="360"/>
      </w:pPr>
    </w:lvl>
    <w:lvl w:ilvl="1" w:tplc="32D8E5F8">
      <w:start w:val="13"/>
      <w:numFmt w:val="bullet"/>
      <w:lvlText w:val="-"/>
      <w:lvlJc w:val="left"/>
      <w:pPr>
        <w:tabs>
          <w:tab w:val="num" w:pos="1440"/>
        </w:tabs>
        <w:ind w:left="1440" w:hanging="360"/>
      </w:pPr>
      <w:rPr>
        <w:rFonts w:ascii="Trebuchet MS" w:eastAsia="Times New Roman" w:hAnsi="Trebuchet MS" w:cs="Times New Roman" w:hint="default"/>
      </w:rPr>
    </w:lvl>
    <w:lvl w:ilvl="2" w:tplc="2E8C3964">
      <w:start w:val="1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0D4233"/>
    <w:multiLevelType w:val="multilevel"/>
    <w:tmpl w:val="32368EF8"/>
    <w:lvl w:ilvl="0">
      <w:start w:val="1"/>
      <w:numFmt w:val="bullet"/>
      <w:lvlText w:val=""/>
      <w:lvlJc w:val="left"/>
      <w:pPr>
        <w:tabs>
          <w:tab w:val="num" w:pos="1107"/>
        </w:tabs>
        <w:ind w:left="1107" w:firstLine="567"/>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5510FBD"/>
    <w:multiLevelType w:val="singleLevel"/>
    <w:tmpl w:val="D9ECC834"/>
    <w:lvl w:ilvl="0">
      <w:start w:val="1"/>
      <w:numFmt w:val="decimal"/>
      <w:lvlText w:val="%1."/>
      <w:legacy w:legacy="1" w:legacySpace="0" w:legacyIndent="360"/>
      <w:lvlJc w:val="left"/>
      <w:rPr>
        <w:rFonts w:ascii="Arial" w:hAnsi="Arial" w:cs="Wingdings" w:hint="default"/>
      </w:rPr>
    </w:lvl>
  </w:abstractNum>
  <w:abstractNum w:abstractNumId="13">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14">
    <w:nsid w:val="5C5D1822"/>
    <w:multiLevelType w:val="multilevel"/>
    <w:tmpl w:val="665E9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7C2071"/>
    <w:multiLevelType w:val="multilevel"/>
    <w:tmpl w:val="0809001D"/>
    <w:numStyleLink w:val="Style1"/>
  </w:abstractNum>
  <w:abstractNum w:abstractNumId="17">
    <w:nsid w:val="6C7E7174"/>
    <w:multiLevelType w:val="hybridMultilevel"/>
    <w:tmpl w:val="A16AE702"/>
    <w:lvl w:ilvl="0" w:tplc="08090019">
      <w:start w:val="1"/>
      <w:numFmt w:val="lowerLetter"/>
      <w:lvlText w:val="%1."/>
      <w:lvlJc w:val="left"/>
      <w:pPr>
        <w:ind w:left="667" w:hanging="567"/>
      </w:pPr>
      <w:rPr>
        <w:rFonts w:hint="default"/>
        <w:spacing w:val="0"/>
        <w:w w:val="100"/>
        <w:sz w:val="22"/>
        <w:szCs w:val="22"/>
      </w:rPr>
    </w:lvl>
    <w:lvl w:ilvl="1" w:tplc="A55663FC">
      <w:start w:val="1"/>
      <w:numFmt w:val="bullet"/>
      <w:lvlText w:val="•"/>
      <w:lvlJc w:val="left"/>
      <w:pPr>
        <w:ind w:left="1525" w:hanging="567"/>
      </w:pPr>
    </w:lvl>
    <w:lvl w:ilvl="2" w:tplc="4CD034D8">
      <w:start w:val="1"/>
      <w:numFmt w:val="bullet"/>
      <w:lvlText w:val="•"/>
      <w:lvlJc w:val="left"/>
      <w:pPr>
        <w:ind w:left="2383" w:hanging="567"/>
      </w:pPr>
    </w:lvl>
    <w:lvl w:ilvl="3" w:tplc="ACB87D50">
      <w:start w:val="1"/>
      <w:numFmt w:val="bullet"/>
      <w:lvlText w:val="•"/>
      <w:lvlJc w:val="left"/>
      <w:pPr>
        <w:ind w:left="3241" w:hanging="567"/>
      </w:pPr>
    </w:lvl>
    <w:lvl w:ilvl="4" w:tplc="E51E65C4">
      <w:start w:val="1"/>
      <w:numFmt w:val="bullet"/>
      <w:lvlText w:val="•"/>
      <w:lvlJc w:val="left"/>
      <w:pPr>
        <w:ind w:left="4099" w:hanging="567"/>
      </w:pPr>
    </w:lvl>
    <w:lvl w:ilvl="5" w:tplc="8154EB6E">
      <w:start w:val="1"/>
      <w:numFmt w:val="bullet"/>
      <w:lvlText w:val="•"/>
      <w:lvlJc w:val="left"/>
      <w:pPr>
        <w:ind w:left="4958" w:hanging="567"/>
      </w:pPr>
    </w:lvl>
    <w:lvl w:ilvl="6" w:tplc="700297E4">
      <w:start w:val="1"/>
      <w:numFmt w:val="bullet"/>
      <w:lvlText w:val="•"/>
      <w:lvlJc w:val="left"/>
      <w:pPr>
        <w:ind w:left="5816" w:hanging="567"/>
      </w:pPr>
    </w:lvl>
    <w:lvl w:ilvl="7" w:tplc="8DE65D10">
      <w:start w:val="1"/>
      <w:numFmt w:val="bullet"/>
      <w:lvlText w:val="•"/>
      <w:lvlJc w:val="left"/>
      <w:pPr>
        <w:ind w:left="6674" w:hanging="567"/>
      </w:pPr>
    </w:lvl>
    <w:lvl w:ilvl="8" w:tplc="992E0FDE">
      <w:start w:val="1"/>
      <w:numFmt w:val="bullet"/>
      <w:lvlText w:val="•"/>
      <w:lvlJc w:val="left"/>
      <w:pPr>
        <w:ind w:left="7532" w:hanging="567"/>
      </w:pPr>
    </w:lvl>
  </w:abstractNum>
  <w:abstractNum w:abstractNumId="18">
    <w:nsid w:val="6FA71F51"/>
    <w:multiLevelType w:val="hybridMultilevel"/>
    <w:tmpl w:val="36C6CA52"/>
    <w:lvl w:ilvl="0" w:tplc="08090019">
      <w:start w:val="1"/>
      <w:numFmt w:val="lowerLetter"/>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19">
    <w:nsid w:val="75853660"/>
    <w:multiLevelType w:val="hybridMultilevel"/>
    <w:tmpl w:val="894CBC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B792FEB"/>
    <w:multiLevelType w:val="hybridMultilevel"/>
    <w:tmpl w:val="CBFAB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E60BF9"/>
    <w:multiLevelType w:val="hybridMultilevel"/>
    <w:tmpl w:val="1EA63574"/>
    <w:lvl w:ilvl="0" w:tplc="08090019">
      <w:start w:val="1"/>
      <w:numFmt w:val="lowerLetter"/>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num w:numId="1">
    <w:abstractNumId w:val="12"/>
  </w:num>
  <w:num w:numId="2">
    <w:abstractNumId w:val="20"/>
  </w:num>
  <w:num w:numId="3">
    <w:abstractNumId w:val="3"/>
  </w:num>
  <w:num w:numId="4">
    <w:abstractNumId w:val="5"/>
  </w:num>
  <w:num w:numId="5">
    <w:abstractNumId w:val="7"/>
  </w:num>
  <w:num w:numId="6">
    <w:abstractNumId w:val="10"/>
  </w:num>
  <w:num w:numId="7">
    <w:abstractNumId w:val="19"/>
  </w:num>
  <w:num w:numId="8">
    <w:abstractNumId w:val="1"/>
  </w:num>
  <w:num w:numId="9">
    <w:abstractNumId w:val="9"/>
  </w:num>
  <w:num w:numId="10">
    <w:abstractNumId w:val="11"/>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21"/>
  </w:num>
  <w:num w:numId="16">
    <w:abstractNumId w:val="6"/>
  </w:num>
  <w:num w:numId="17">
    <w:abstractNumId w:val="15"/>
  </w:num>
  <w:num w:numId="18">
    <w:abstractNumId w:val="4"/>
  </w:num>
  <w:num w:numId="19">
    <w:abstractNumId w:val="16"/>
  </w:num>
  <w:num w:numId="20">
    <w:abstractNumId w:val="8"/>
  </w:num>
  <w:num w:numId="21">
    <w:abstractNumId w:val="14"/>
  </w:num>
  <w:num w:numId="22">
    <w:abstractNumId w:val="17"/>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41"/>
    <w:rsid w:val="00051BE9"/>
    <w:rsid w:val="00072983"/>
    <w:rsid w:val="00114794"/>
    <w:rsid w:val="00390F41"/>
    <w:rsid w:val="004036E9"/>
    <w:rsid w:val="00454B65"/>
    <w:rsid w:val="00456EB9"/>
    <w:rsid w:val="00565A0C"/>
    <w:rsid w:val="006F7C16"/>
    <w:rsid w:val="00737A9A"/>
    <w:rsid w:val="0086049B"/>
    <w:rsid w:val="00956A24"/>
    <w:rsid w:val="009A0151"/>
    <w:rsid w:val="00A04D4F"/>
    <w:rsid w:val="00A757F0"/>
    <w:rsid w:val="00AE572E"/>
    <w:rsid w:val="00C862F0"/>
    <w:rsid w:val="00D43D8E"/>
    <w:rsid w:val="00FB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D3734"/>
    <w:pPr>
      <w:keepNext/>
      <w:jc w:val="center"/>
      <w:outlineLvl w:val="0"/>
    </w:pPr>
    <w:rPr>
      <w:rFonts w:ascii="Univers" w:hAnsi="Univer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0C0F"/>
    <w:rPr>
      <w:b/>
      <w:bCs/>
    </w:rPr>
  </w:style>
  <w:style w:type="character" w:styleId="Hyperlink">
    <w:name w:val="Hyperlink"/>
    <w:rsid w:val="00C45932"/>
    <w:rPr>
      <w:color w:val="0000FF"/>
      <w:u w:val="single"/>
    </w:rPr>
  </w:style>
  <w:style w:type="paragraph" w:styleId="Footer">
    <w:name w:val="footer"/>
    <w:basedOn w:val="Normal"/>
    <w:link w:val="FooterChar"/>
    <w:uiPriority w:val="99"/>
    <w:rsid w:val="00C45932"/>
    <w:pPr>
      <w:tabs>
        <w:tab w:val="center" w:pos="4320"/>
        <w:tab w:val="right" w:pos="8640"/>
      </w:tabs>
    </w:pPr>
    <w:rPr>
      <w:sz w:val="40"/>
      <w:szCs w:val="40"/>
      <w:lang w:eastAsia="x-none"/>
    </w:rPr>
  </w:style>
  <w:style w:type="character" w:styleId="PageNumber">
    <w:name w:val="page number"/>
    <w:basedOn w:val="DefaultParagraphFont"/>
    <w:rsid w:val="00C45932"/>
  </w:style>
  <w:style w:type="paragraph" w:styleId="Header">
    <w:name w:val="header"/>
    <w:basedOn w:val="Normal"/>
    <w:rsid w:val="00C45932"/>
    <w:pPr>
      <w:tabs>
        <w:tab w:val="center" w:pos="4320"/>
        <w:tab w:val="right" w:pos="8640"/>
      </w:tabs>
    </w:pPr>
    <w:rPr>
      <w:sz w:val="40"/>
      <w:szCs w:val="40"/>
    </w:rPr>
  </w:style>
  <w:style w:type="table" w:styleId="TableGrid">
    <w:name w:val="Table Grid"/>
    <w:basedOn w:val="TableNormal"/>
    <w:rsid w:val="00C4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2D3F"/>
    <w:rPr>
      <w:rFonts w:ascii="Tahoma" w:hAnsi="Tahoma"/>
      <w:sz w:val="16"/>
      <w:szCs w:val="16"/>
      <w:lang w:val="x-none" w:eastAsia="x-none"/>
    </w:rPr>
  </w:style>
  <w:style w:type="character" w:customStyle="1" w:styleId="BalloonTextChar">
    <w:name w:val="Balloon Text Char"/>
    <w:link w:val="BalloonText"/>
    <w:rsid w:val="00872D3F"/>
    <w:rPr>
      <w:rFonts w:ascii="Tahoma" w:hAnsi="Tahoma" w:cs="Tahoma"/>
      <w:sz w:val="16"/>
      <w:szCs w:val="16"/>
    </w:rPr>
  </w:style>
  <w:style w:type="paragraph" w:customStyle="1" w:styleId="ColorfulList-Accent11">
    <w:name w:val="Colorful List - Accent 11"/>
    <w:basedOn w:val="Normal"/>
    <w:uiPriority w:val="34"/>
    <w:qFormat/>
    <w:rsid w:val="00713214"/>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A31025"/>
    <w:pPr>
      <w:widowControl w:val="0"/>
    </w:pPr>
    <w:rPr>
      <w:rFonts w:ascii="Calibri" w:eastAsia="Calibri" w:hAnsi="Calibri"/>
      <w:sz w:val="22"/>
      <w:szCs w:val="22"/>
    </w:rPr>
  </w:style>
  <w:style w:type="paragraph" w:styleId="BodyText">
    <w:name w:val="Body Text"/>
    <w:basedOn w:val="Normal"/>
    <w:link w:val="BodyTextChar"/>
    <w:uiPriority w:val="1"/>
    <w:unhideWhenUsed/>
    <w:qFormat/>
    <w:rsid w:val="00305A30"/>
    <w:pPr>
      <w:spacing w:after="120"/>
    </w:pPr>
    <w:rPr>
      <w:lang w:val="x-none"/>
    </w:rPr>
  </w:style>
  <w:style w:type="character" w:customStyle="1" w:styleId="BodyTextChar">
    <w:name w:val="Body Text Char"/>
    <w:link w:val="BodyText"/>
    <w:uiPriority w:val="1"/>
    <w:rsid w:val="00305A30"/>
    <w:rPr>
      <w:sz w:val="24"/>
      <w:szCs w:val="24"/>
      <w:lang w:eastAsia="en-US"/>
    </w:rPr>
  </w:style>
  <w:style w:type="character" w:styleId="CommentReference">
    <w:name w:val="annotation reference"/>
    <w:rsid w:val="00CE2248"/>
    <w:rPr>
      <w:sz w:val="16"/>
      <w:szCs w:val="16"/>
    </w:rPr>
  </w:style>
  <w:style w:type="paragraph" w:styleId="CommentText">
    <w:name w:val="annotation text"/>
    <w:basedOn w:val="Normal"/>
    <w:link w:val="CommentTextChar"/>
    <w:rsid w:val="00CE2248"/>
    <w:rPr>
      <w:sz w:val="20"/>
      <w:szCs w:val="20"/>
    </w:rPr>
  </w:style>
  <w:style w:type="character" w:customStyle="1" w:styleId="CommentTextChar">
    <w:name w:val="Comment Text Char"/>
    <w:link w:val="CommentText"/>
    <w:rsid w:val="00CE2248"/>
    <w:rPr>
      <w:lang w:val="en-US" w:eastAsia="en-US"/>
    </w:rPr>
  </w:style>
  <w:style w:type="paragraph" w:styleId="CommentSubject">
    <w:name w:val="annotation subject"/>
    <w:basedOn w:val="CommentText"/>
    <w:next w:val="CommentText"/>
    <w:link w:val="CommentSubjectChar"/>
    <w:rsid w:val="00CE2248"/>
    <w:rPr>
      <w:b/>
      <w:bCs/>
    </w:rPr>
  </w:style>
  <w:style w:type="character" w:customStyle="1" w:styleId="CommentSubjectChar">
    <w:name w:val="Comment Subject Char"/>
    <w:link w:val="CommentSubject"/>
    <w:rsid w:val="00CE2248"/>
    <w:rPr>
      <w:b/>
      <w:bCs/>
      <w:lang w:val="en-US" w:eastAsia="en-US"/>
    </w:rPr>
  </w:style>
  <w:style w:type="character" w:customStyle="1" w:styleId="FooterChar">
    <w:name w:val="Footer Char"/>
    <w:link w:val="Footer"/>
    <w:uiPriority w:val="99"/>
    <w:locked/>
    <w:rsid w:val="004819CF"/>
    <w:rPr>
      <w:sz w:val="40"/>
      <w:szCs w:val="40"/>
      <w:lang w:val="en-US"/>
    </w:rPr>
  </w:style>
  <w:style w:type="numbering" w:customStyle="1" w:styleId="Style1">
    <w:name w:val="Style1"/>
    <w:rsid w:val="00C862F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D3734"/>
    <w:pPr>
      <w:keepNext/>
      <w:jc w:val="center"/>
      <w:outlineLvl w:val="0"/>
    </w:pPr>
    <w:rPr>
      <w:rFonts w:ascii="Univers" w:hAnsi="Univer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C0C0F"/>
    <w:rPr>
      <w:b/>
      <w:bCs/>
    </w:rPr>
  </w:style>
  <w:style w:type="character" w:styleId="Hyperlink">
    <w:name w:val="Hyperlink"/>
    <w:rsid w:val="00C45932"/>
    <w:rPr>
      <w:color w:val="0000FF"/>
      <w:u w:val="single"/>
    </w:rPr>
  </w:style>
  <w:style w:type="paragraph" w:styleId="Footer">
    <w:name w:val="footer"/>
    <w:basedOn w:val="Normal"/>
    <w:link w:val="FooterChar"/>
    <w:uiPriority w:val="99"/>
    <w:rsid w:val="00C45932"/>
    <w:pPr>
      <w:tabs>
        <w:tab w:val="center" w:pos="4320"/>
        <w:tab w:val="right" w:pos="8640"/>
      </w:tabs>
    </w:pPr>
    <w:rPr>
      <w:sz w:val="40"/>
      <w:szCs w:val="40"/>
      <w:lang w:eastAsia="x-none"/>
    </w:rPr>
  </w:style>
  <w:style w:type="character" w:styleId="PageNumber">
    <w:name w:val="page number"/>
    <w:basedOn w:val="DefaultParagraphFont"/>
    <w:rsid w:val="00C45932"/>
  </w:style>
  <w:style w:type="paragraph" w:styleId="Header">
    <w:name w:val="header"/>
    <w:basedOn w:val="Normal"/>
    <w:rsid w:val="00C45932"/>
    <w:pPr>
      <w:tabs>
        <w:tab w:val="center" w:pos="4320"/>
        <w:tab w:val="right" w:pos="8640"/>
      </w:tabs>
    </w:pPr>
    <w:rPr>
      <w:sz w:val="40"/>
      <w:szCs w:val="40"/>
    </w:rPr>
  </w:style>
  <w:style w:type="table" w:styleId="TableGrid">
    <w:name w:val="Table Grid"/>
    <w:basedOn w:val="TableNormal"/>
    <w:rsid w:val="00C4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2D3F"/>
    <w:rPr>
      <w:rFonts w:ascii="Tahoma" w:hAnsi="Tahoma"/>
      <w:sz w:val="16"/>
      <w:szCs w:val="16"/>
      <w:lang w:val="x-none" w:eastAsia="x-none"/>
    </w:rPr>
  </w:style>
  <w:style w:type="character" w:customStyle="1" w:styleId="BalloonTextChar">
    <w:name w:val="Balloon Text Char"/>
    <w:link w:val="BalloonText"/>
    <w:rsid w:val="00872D3F"/>
    <w:rPr>
      <w:rFonts w:ascii="Tahoma" w:hAnsi="Tahoma" w:cs="Tahoma"/>
      <w:sz w:val="16"/>
      <w:szCs w:val="16"/>
    </w:rPr>
  </w:style>
  <w:style w:type="paragraph" w:customStyle="1" w:styleId="ColorfulList-Accent11">
    <w:name w:val="Colorful List - Accent 11"/>
    <w:basedOn w:val="Normal"/>
    <w:uiPriority w:val="34"/>
    <w:qFormat/>
    <w:rsid w:val="00713214"/>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A31025"/>
    <w:pPr>
      <w:widowControl w:val="0"/>
    </w:pPr>
    <w:rPr>
      <w:rFonts w:ascii="Calibri" w:eastAsia="Calibri" w:hAnsi="Calibri"/>
      <w:sz w:val="22"/>
      <w:szCs w:val="22"/>
    </w:rPr>
  </w:style>
  <w:style w:type="paragraph" w:styleId="BodyText">
    <w:name w:val="Body Text"/>
    <w:basedOn w:val="Normal"/>
    <w:link w:val="BodyTextChar"/>
    <w:uiPriority w:val="1"/>
    <w:unhideWhenUsed/>
    <w:qFormat/>
    <w:rsid w:val="00305A30"/>
    <w:pPr>
      <w:spacing w:after="120"/>
    </w:pPr>
    <w:rPr>
      <w:lang w:val="x-none"/>
    </w:rPr>
  </w:style>
  <w:style w:type="character" w:customStyle="1" w:styleId="BodyTextChar">
    <w:name w:val="Body Text Char"/>
    <w:link w:val="BodyText"/>
    <w:uiPriority w:val="1"/>
    <w:rsid w:val="00305A30"/>
    <w:rPr>
      <w:sz w:val="24"/>
      <w:szCs w:val="24"/>
      <w:lang w:eastAsia="en-US"/>
    </w:rPr>
  </w:style>
  <w:style w:type="character" w:styleId="CommentReference">
    <w:name w:val="annotation reference"/>
    <w:rsid w:val="00CE2248"/>
    <w:rPr>
      <w:sz w:val="16"/>
      <w:szCs w:val="16"/>
    </w:rPr>
  </w:style>
  <w:style w:type="paragraph" w:styleId="CommentText">
    <w:name w:val="annotation text"/>
    <w:basedOn w:val="Normal"/>
    <w:link w:val="CommentTextChar"/>
    <w:rsid w:val="00CE2248"/>
    <w:rPr>
      <w:sz w:val="20"/>
      <w:szCs w:val="20"/>
    </w:rPr>
  </w:style>
  <w:style w:type="character" w:customStyle="1" w:styleId="CommentTextChar">
    <w:name w:val="Comment Text Char"/>
    <w:link w:val="CommentText"/>
    <w:rsid w:val="00CE2248"/>
    <w:rPr>
      <w:lang w:val="en-US" w:eastAsia="en-US"/>
    </w:rPr>
  </w:style>
  <w:style w:type="paragraph" w:styleId="CommentSubject">
    <w:name w:val="annotation subject"/>
    <w:basedOn w:val="CommentText"/>
    <w:next w:val="CommentText"/>
    <w:link w:val="CommentSubjectChar"/>
    <w:rsid w:val="00CE2248"/>
    <w:rPr>
      <w:b/>
      <w:bCs/>
    </w:rPr>
  </w:style>
  <w:style w:type="character" w:customStyle="1" w:styleId="CommentSubjectChar">
    <w:name w:val="Comment Subject Char"/>
    <w:link w:val="CommentSubject"/>
    <w:rsid w:val="00CE2248"/>
    <w:rPr>
      <w:b/>
      <w:bCs/>
      <w:lang w:val="en-US" w:eastAsia="en-US"/>
    </w:rPr>
  </w:style>
  <w:style w:type="character" w:customStyle="1" w:styleId="FooterChar">
    <w:name w:val="Footer Char"/>
    <w:link w:val="Footer"/>
    <w:uiPriority w:val="99"/>
    <w:locked/>
    <w:rsid w:val="004819CF"/>
    <w:rPr>
      <w:sz w:val="40"/>
      <w:szCs w:val="40"/>
      <w:lang w:val="en-US"/>
    </w:rPr>
  </w:style>
  <w:style w:type="numbering" w:customStyle="1" w:styleId="Style1">
    <w:name w:val="Style1"/>
    <w:rsid w:val="00C862F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319">
      <w:bodyDiv w:val="1"/>
      <w:marLeft w:val="0"/>
      <w:marRight w:val="0"/>
      <w:marTop w:val="0"/>
      <w:marBottom w:val="0"/>
      <w:divBdr>
        <w:top w:val="none" w:sz="0" w:space="0" w:color="auto"/>
        <w:left w:val="none" w:sz="0" w:space="0" w:color="auto"/>
        <w:bottom w:val="none" w:sz="0" w:space="0" w:color="auto"/>
        <w:right w:val="none" w:sz="0" w:space="0" w:color="auto"/>
      </w:divBdr>
    </w:div>
    <w:div w:id="351148918">
      <w:bodyDiv w:val="1"/>
      <w:marLeft w:val="0"/>
      <w:marRight w:val="0"/>
      <w:marTop w:val="0"/>
      <w:marBottom w:val="0"/>
      <w:divBdr>
        <w:top w:val="none" w:sz="0" w:space="0" w:color="auto"/>
        <w:left w:val="none" w:sz="0" w:space="0" w:color="auto"/>
        <w:bottom w:val="none" w:sz="0" w:space="0" w:color="auto"/>
        <w:right w:val="none" w:sz="0" w:space="0" w:color="auto"/>
      </w:divBdr>
    </w:div>
    <w:div w:id="1026636590">
      <w:bodyDiv w:val="1"/>
      <w:marLeft w:val="0"/>
      <w:marRight w:val="0"/>
      <w:marTop w:val="0"/>
      <w:marBottom w:val="0"/>
      <w:divBdr>
        <w:top w:val="none" w:sz="0" w:space="0" w:color="auto"/>
        <w:left w:val="none" w:sz="0" w:space="0" w:color="auto"/>
        <w:bottom w:val="none" w:sz="0" w:space="0" w:color="auto"/>
        <w:right w:val="none" w:sz="0" w:space="0" w:color="auto"/>
      </w:divBdr>
    </w:div>
    <w:div w:id="18751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ramsar_rules_of_procedur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C7C2-8DBA-4F3B-8196-CD64528D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8524</Characters>
  <Application>Microsoft Office Word</Application>
  <DocSecurity>0</DocSecurity>
  <Lines>947</Lines>
  <Paragraphs>994</Paragraphs>
  <ScaleCrop>false</ScaleCrop>
  <HeadingPairs>
    <vt:vector size="2" baseType="variant">
      <vt:variant>
        <vt:lpstr>Title</vt:lpstr>
      </vt:variant>
      <vt:variant>
        <vt:i4>1</vt:i4>
      </vt:variant>
    </vt:vector>
  </HeadingPairs>
  <TitlesOfParts>
    <vt:vector size="1" baseType="lpstr">
      <vt:lpstr>Doc SC40-4 Briefing SC members</vt:lpstr>
    </vt:vector>
  </TitlesOfParts>
  <Company>IUCN</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SC40-4 Briefing SC members</dc:title>
  <dc:creator>IUCN</dc:creator>
  <cp:lastModifiedBy>Ramsar\JenningsE</cp:lastModifiedBy>
  <cp:revision>4</cp:revision>
  <cp:lastPrinted>2013-04-08T08:55:00Z</cp:lastPrinted>
  <dcterms:created xsi:type="dcterms:W3CDTF">2015-08-20T13:32:00Z</dcterms:created>
  <dcterms:modified xsi:type="dcterms:W3CDTF">2015-09-03T13:31:00Z</dcterms:modified>
</cp:coreProperties>
</file>