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76587" w14:textId="77777777" w:rsidR="007D3C50" w:rsidRPr="00E50BD5" w:rsidRDefault="006F4830" w:rsidP="006F4830">
      <w:pPr>
        <w:pBdr>
          <w:top w:val="single" w:sz="12" w:space="0" w:color="auto" w:shadow="1"/>
          <w:left w:val="single" w:sz="12" w:space="4" w:color="auto" w:shadow="1"/>
          <w:bottom w:val="single" w:sz="12" w:space="0" w:color="auto" w:shadow="1"/>
          <w:right w:val="single" w:sz="12" w:space="0" w:color="auto" w:shadow="1"/>
        </w:pBdr>
        <w:spacing w:after="0"/>
        <w:ind w:right="2790"/>
        <w:rPr>
          <w:rFonts w:cstheme="minorHAnsi"/>
          <w:bCs/>
          <w:sz w:val="24"/>
          <w:szCs w:val="24"/>
          <w:lang w:val="es-ES_tradnl"/>
        </w:rPr>
      </w:pPr>
      <w:r w:rsidRPr="00E50BD5">
        <w:rPr>
          <w:rFonts w:cstheme="minorHAnsi"/>
          <w:bCs/>
          <w:sz w:val="24"/>
          <w:szCs w:val="24"/>
          <w:lang w:val="es-ES_tradnl"/>
        </w:rPr>
        <w:t>CONVENCIÓN SOBRE LOS HUMEDALES (Ramsar, Irán, 1971)</w:t>
      </w:r>
    </w:p>
    <w:p w14:paraId="203015E8" w14:textId="7C812B7C" w:rsidR="006F4830" w:rsidRPr="00E50BD5" w:rsidRDefault="006F4830" w:rsidP="006F4830">
      <w:pPr>
        <w:pBdr>
          <w:top w:val="single" w:sz="12" w:space="0" w:color="auto" w:shadow="1"/>
          <w:left w:val="single" w:sz="12" w:space="4" w:color="auto" w:shadow="1"/>
          <w:bottom w:val="single" w:sz="12" w:space="0" w:color="auto" w:shadow="1"/>
          <w:right w:val="single" w:sz="12" w:space="0" w:color="auto" w:shadow="1"/>
        </w:pBdr>
        <w:spacing w:after="0"/>
        <w:ind w:right="2790"/>
        <w:rPr>
          <w:rFonts w:cstheme="minorHAnsi"/>
          <w:bCs/>
          <w:sz w:val="24"/>
          <w:szCs w:val="24"/>
          <w:lang w:val="es-ES_tradnl"/>
        </w:rPr>
      </w:pPr>
      <w:r w:rsidRPr="00E50BD5">
        <w:rPr>
          <w:rFonts w:cstheme="minorHAnsi"/>
          <w:bCs/>
          <w:sz w:val="24"/>
          <w:szCs w:val="24"/>
          <w:lang w:val="es-ES_tradnl"/>
        </w:rPr>
        <w:t>51</w:t>
      </w:r>
      <w:r w:rsidR="00F125D3" w:rsidRPr="00E50BD5">
        <w:rPr>
          <w:rFonts w:cstheme="minorHAnsi"/>
          <w:bCs/>
          <w:sz w:val="24"/>
          <w:szCs w:val="24"/>
          <w:lang w:val="es-ES_tradnl"/>
        </w:rPr>
        <w:t>ª</w:t>
      </w:r>
      <w:r w:rsidRPr="00E50BD5">
        <w:rPr>
          <w:rFonts w:cstheme="minorHAnsi"/>
          <w:bCs/>
          <w:sz w:val="24"/>
          <w:szCs w:val="24"/>
          <w:lang w:val="es-ES_tradnl"/>
        </w:rPr>
        <w:t xml:space="preserve"> Reunión del Comité Permanente </w:t>
      </w:r>
    </w:p>
    <w:p w14:paraId="6FC53AEC" w14:textId="026E34B4" w:rsidR="006F4830" w:rsidRPr="00E50BD5" w:rsidRDefault="006F4830" w:rsidP="006F4830">
      <w:pPr>
        <w:pBdr>
          <w:top w:val="single" w:sz="12" w:space="0" w:color="auto" w:shadow="1"/>
          <w:left w:val="single" w:sz="12" w:space="4" w:color="auto" w:shadow="1"/>
          <w:bottom w:val="single" w:sz="12" w:space="0" w:color="auto" w:shadow="1"/>
          <w:right w:val="single" w:sz="12" w:space="0" w:color="auto" w:shadow="1"/>
        </w:pBdr>
        <w:spacing w:after="0"/>
        <w:ind w:right="2790"/>
        <w:rPr>
          <w:rFonts w:cstheme="minorHAnsi"/>
          <w:bCs/>
          <w:sz w:val="24"/>
          <w:szCs w:val="24"/>
          <w:lang w:val="es-ES_tradnl"/>
        </w:rPr>
      </w:pPr>
      <w:r w:rsidRPr="00E50BD5">
        <w:rPr>
          <w:rFonts w:cstheme="minorHAnsi"/>
          <w:bCs/>
          <w:sz w:val="24"/>
          <w:szCs w:val="24"/>
          <w:lang w:val="es-ES_tradnl"/>
        </w:rPr>
        <w:t>Gland, Suiza, 23 a 27 de noviembre de 2015</w:t>
      </w:r>
    </w:p>
    <w:p w14:paraId="5D80A329" w14:textId="77777777" w:rsidR="003D6AB7" w:rsidRPr="007D3C50" w:rsidRDefault="003D6AB7" w:rsidP="003D6AB7">
      <w:pPr>
        <w:spacing w:after="0" w:line="240" w:lineRule="auto"/>
        <w:rPr>
          <w:rFonts w:eastAsia="Times New Roman" w:cs="Times New Roman"/>
          <w:sz w:val="28"/>
          <w:szCs w:val="28"/>
          <w:lang w:val="es-ES_tradnl" w:eastAsia="en-GB"/>
        </w:rPr>
      </w:pPr>
    </w:p>
    <w:p w14:paraId="2B004193" w14:textId="77777777" w:rsidR="003D6AB7" w:rsidRPr="007D3C50" w:rsidRDefault="003D6AB7" w:rsidP="003D6AB7">
      <w:pPr>
        <w:spacing w:after="0" w:line="240" w:lineRule="auto"/>
        <w:jc w:val="right"/>
        <w:rPr>
          <w:rFonts w:eastAsia="Times New Roman" w:cstheme="minorHAnsi"/>
          <w:b/>
          <w:sz w:val="28"/>
          <w:szCs w:val="28"/>
          <w:lang w:val="es-ES_tradnl" w:eastAsia="en-GB"/>
        </w:rPr>
      </w:pPr>
      <w:r w:rsidRPr="007D3C50">
        <w:rPr>
          <w:rFonts w:eastAsia="Times New Roman" w:cstheme="minorHAnsi"/>
          <w:b/>
          <w:sz w:val="28"/>
          <w:szCs w:val="28"/>
          <w:lang w:val="es-ES_tradnl" w:eastAsia="en-GB"/>
        </w:rPr>
        <w:t>SC51-22</w:t>
      </w:r>
    </w:p>
    <w:p w14:paraId="43E06A89" w14:textId="77777777" w:rsidR="00DD25C7" w:rsidRPr="007D3C50" w:rsidRDefault="00DD25C7" w:rsidP="004B7853">
      <w:pPr>
        <w:spacing w:after="0" w:line="240" w:lineRule="auto"/>
        <w:jc w:val="center"/>
        <w:rPr>
          <w:rFonts w:cs="Times New Roman"/>
          <w:b/>
          <w:sz w:val="28"/>
          <w:szCs w:val="28"/>
          <w:lang w:val="es-ES_tradnl"/>
        </w:rPr>
      </w:pPr>
    </w:p>
    <w:p w14:paraId="1363E436" w14:textId="16B4D0ED" w:rsidR="0012096C" w:rsidRPr="007D3C50" w:rsidRDefault="00A13C4C" w:rsidP="004B7853">
      <w:pPr>
        <w:spacing w:after="0" w:line="240" w:lineRule="auto"/>
        <w:jc w:val="center"/>
        <w:rPr>
          <w:rFonts w:cs="Times New Roman"/>
          <w:b/>
          <w:sz w:val="28"/>
          <w:szCs w:val="28"/>
          <w:lang w:val="es-ES_tradnl"/>
        </w:rPr>
      </w:pPr>
      <w:r w:rsidRPr="007D3C50">
        <w:rPr>
          <w:rFonts w:cs="Times New Roman"/>
          <w:b/>
          <w:sz w:val="28"/>
          <w:szCs w:val="28"/>
          <w:lang w:val="es-ES_tradnl"/>
        </w:rPr>
        <w:t>Situación</w:t>
      </w:r>
      <w:r w:rsidR="006F4830" w:rsidRPr="007D3C50">
        <w:rPr>
          <w:rFonts w:cs="Times New Roman"/>
          <w:b/>
          <w:sz w:val="28"/>
          <w:szCs w:val="28"/>
          <w:lang w:val="es-ES_tradnl"/>
        </w:rPr>
        <w:t xml:space="preserve"> del Fondo de Pequeñas Subvenciones </w:t>
      </w:r>
      <w:r w:rsidR="00B262DC" w:rsidRPr="007D3C50">
        <w:rPr>
          <w:rFonts w:cs="Times New Roman"/>
          <w:b/>
          <w:sz w:val="28"/>
          <w:szCs w:val="28"/>
          <w:lang w:val="es-ES_tradnl"/>
        </w:rPr>
        <w:t xml:space="preserve">y </w:t>
      </w:r>
      <w:r w:rsidRPr="007D3C50">
        <w:rPr>
          <w:rFonts w:cs="Times New Roman"/>
          <w:b/>
          <w:sz w:val="28"/>
          <w:szCs w:val="28"/>
          <w:lang w:val="es-ES_tradnl"/>
        </w:rPr>
        <w:t>r</w:t>
      </w:r>
      <w:r w:rsidR="00B262DC" w:rsidRPr="007D3C50">
        <w:rPr>
          <w:rFonts w:cs="Times New Roman"/>
          <w:b/>
          <w:sz w:val="28"/>
          <w:szCs w:val="28"/>
          <w:lang w:val="es-ES_tradnl"/>
        </w:rPr>
        <w:t>ecomendaciones</w:t>
      </w:r>
      <w:r w:rsidRPr="007D3C50">
        <w:rPr>
          <w:rFonts w:cs="Times New Roman"/>
          <w:b/>
          <w:sz w:val="28"/>
          <w:szCs w:val="28"/>
          <w:lang w:val="es-ES_tradnl"/>
        </w:rPr>
        <w:t xml:space="preserve"> para el futuro</w:t>
      </w:r>
    </w:p>
    <w:p w14:paraId="7A36A84E" w14:textId="77777777" w:rsidR="004B7853" w:rsidRPr="007D3C50" w:rsidRDefault="004B7853" w:rsidP="004B7853">
      <w:pPr>
        <w:spacing w:after="0" w:line="240" w:lineRule="auto"/>
        <w:jc w:val="center"/>
        <w:rPr>
          <w:rFonts w:cs="Times New Roman"/>
          <w:b/>
          <w:sz w:val="28"/>
          <w:szCs w:val="28"/>
          <w:lang w:val="es-ES_tradnl"/>
        </w:rPr>
      </w:pPr>
    </w:p>
    <w:p w14:paraId="1DE3BD7C" w14:textId="77777777" w:rsidR="00550503" w:rsidRPr="007D3C50" w:rsidRDefault="004B7853" w:rsidP="00550503">
      <w:pPr>
        <w:spacing w:after="0" w:line="240" w:lineRule="auto"/>
        <w:rPr>
          <w:rFonts w:ascii="Times New Roman" w:hAnsi="Times New Roman" w:cs="Times New Roman"/>
          <w:lang w:val="es-ES_tradnl"/>
        </w:rPr>
      </w:pPr>
      <w:r w:rsidRPr="007D3C50">
        <w:rPr>
          <w:rFonts w:ascii="Times New Roman" w:hAnsi="Times New Roman" w:cs="Times New Roman"/>
          <w:noProof/>
          <w:lang w:eastAsia="en-GB"/>
        </w:rPr>
        <mc:AlternateContent>
          <mc:Choice Requires="wps">
            <w:drawing>
              <wp:inline distT="0" distB="0" distL="0" distR="0" wp14:anchorId="57518BA0" wp14:editId="1EB3A96C">
                <wp:extent cx="5676900" cy="781291"/>
                <wp:effectExtent l="0" t="0" r="38100" b="317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81291"/>
                        </a:xfrm>
                        <a:prstGeom prst="rect">
                          <a:avLst/>
                        </a:prstGeom>
                        <a:solidFill>
                          <a:srgbClr val="FFFFFF"/>
                        </a:solidFill>
                        <a:ln w="9525">
                          <a:solidFill>
                            <a:srgbClr val="000000"/>
                          </a:solidFill>
                          <a:miter lim="800000"/>
                          <a:headEnd/>
                          <a:tailEnd/>
                        </a:ln>
                      </wps:spPr>
                      <wps:txbx>
                        <w:txbxContent>
                          <w:p w14:paraId="3294BF5E" w14:textId="1C979AA1" w:rsidR="00F125D3" w:rsidRPr="007D3C50" w:rsidRDefault="00F125D3" w:rsidP="00C570F9">
                            <w:pPr>
                              <w:pStyle w:val="Default"/>
                              <w:rPr>
                                <w:rFonts w:asciiTheme="minorHAnsi" w:eastAsia="Times New Roman" w:hAnsiTheme="minorHAnsi" w:cs="Times New Roman"/>
                                <w:color w:val="auto"/>
                                <w:sz w:val="22"/>
                                <w:szCs w:val="22"/>
                                <w:lang w:val="es-ES_tradnl" w:eastAsia="en-GB"/>
                              </w:rPr>
                            </w:pPr>
                            <w:r w:rsidRPr="007D3C50">
                              <w:rPr>
                                <w:rFonts w:asciiTheme="minorHAnsi" w:eastAsia="Times New Roman" w:hAnsiTheme="minorHAnsi" w:cs="Times New Roman"/>
                                <w:b/>
                                <w:color w:val="auto"/>
                                <w:sz w:val="22"/>
                                <w:szCs w:val="22"/>
                                <w:lang w:val="es-ES_tradnl" w:eastAsia="en-GB"/>
                              </w:rPr>
                              <w:t>Acción solicitada:</w:t>
                            </w:r>
                            <w:r w:rsidRPr="007D3C50">
                              <w:rPr>
                                <w:rFonts w:asciiTheme="minorHAnsi" w:eastAsia="Times New Roman" w:hAnsiTheme="minorHAnsi" w:cs="Times New Roman"/>
                                <w:color w:val="auto"/>
                                <w:sz w:val="22"/>
                                <w:szCs w:val="22"/>
                                <w:lang w:val="es-ES_tradnl" w:eastAsia="en-GB"/>
                              </w:rPr>
                              <w:t xml:space="preserve"> </w:t>
                            </w:r>
                          </w:p>
                          <w:p w14:paraId="64B443AC" w14:textId="77777777" w:rsidR="00F07A48" w:rsidRDefault="00F07A48" w:rsidP="00F07A48">
                            <w:pPr>
                              <w:pStyle w:val="Default"/>
                              <w:rPr>
                                <w:rFonts w:asciiTheme="minorHAnsi" w:eastAsia="Times New Roman" w:hAnsiTheme="minorHAnsi" w:cs="Times New Roman"/>
                                <w:color w:val="auto"/>
                                <w:sz w:val="22"/>
                                <w:szCs w:val="22"/>
                                <w:lang w:val="es-ES_tradnl" w:eastAsia="en-GB"/>
                              </w:rPr>
                            </w:pPr>
                            <w:r>
                              <w:rPr>
                                <w:rFonts w:asciiTheme="minorHAnsi" w:eastAsia="Times New Roman" w:hAnsiTheme="minorHAnsi" w:cs="Times New Roman"/>
                                <w:color w:val="auto"/>
                                <w:sz w:val="22"/>
                                <w:szCs w:val="22"/>
                                <w:lang w:val="es-ES_tradnl" w:eastAsia="en-GB"/>
                              </w:rPr>
                              <w:t xml:space="preserve">Se invita al Comité Permanente a proporcionar orientaciones sobre nuevas fórmulas para vincular el Fondo de Pequeñas Subvenciones a un mecanismo de financiación directa y coherente. </w:t>
                            </w:r>
                          </w:p>
                          <w:p w14:paraId="7B4E3092" w14:textId="77777777" w:rsidR="00F125D3" w:rsidRPr="00E50BD5" w:rsidRDefault="00F125D3" w:rsidP="00AB3999">
                            <w:pPr>
                              <w:rPr>
                                <w:rFonts w:ascii="Times New Roman" w:hAnsi="Times New Roman" w:cs="Times New Roman"/>
                                <w:lang w:val="es-ES"/>
                              </w:rPr>
                            </w:pPr>
                            <w:bookmarkStart w:id="0" w:name="_GoBack"/>
                            <w:bookmarkEnd w:id="0"/>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WsIwIAAEY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">
                <v:textbox>
                  <w:txbxContent>
                    <w:p w14:paraId="3294BF5E" w14:textId="1C979AA1" w:rsidR="00F125D3" w:rsidRPr="007D3C50" w:rsidRDefault="00F125D3" w:rsidP="00C570F9">
                      <w:pPr>
                        <w:pStyle w:val="Default"/>
                        <w:rPr>
                          <w:rFonts w:asciiTheme="minorHAnsi" w:eastAsia="Times New Roman" w:hAnsiTheme="minorHAnsi" w:cs="Times New Roman"/>
                          <w:color w:val="auto"/>
                          <w:sz w:val="22"/>
                          <w:szCs w:val="22"/>
                          <w:lang w:val="es-ES_tradnl" w:eastAsia="en-GB"/>
                        </w:rPr>
                      </w:pPr>
                      <w:r w:rsidRPr="007D3C50">
                        <w:rPr>
                          <w:rFonts w:asciiTheme="minorHAnsi" w:eastAsia="Times New Roman" w:hAnsiTheme="minorHAnsi" w:cs="Times New Roman"/>
                          <w:b/>
                          <w:color w:val="auto"/>
                          <w:sz w:val="22"/>
                          <w:szCs w:val="22"/>
                          <w:lang w:val="es-ES_tradnl" w:eastAsia="en-GB"/>
                        </w:rPr>
                        <w:t>Acción solicitada:</w:t>
                      </w:r>
                      <w:r w:rsidRPr="007D3C50">
                        <w:rPr>
                          <w:rFonts w:asciiTheme="minorHAnsi" w:eastAsia="Times New Roman" w:hAnsiTheme="minorHAnsi" w:cs="Times New Roman"/>
                          <w:color w:val="auto"/>
                          <w:sz w:val="22"/>
                          <w:szCs w:val="22"/>
                          <w:lang w:val="es-ES_tradnl" w:eastAsia="en-GB"/>
                        </w:rPr>
                        <w:t xml:space="preserve"> </w:t>
                      </w:r>
                    </w:p>
                    <w:p w14:paraId="64B443AC" w14:textId="77777777" w:rsidR="00F07A48" w:rsidRDefault="00F07A48" w:rsidP="00F07A48">
                      <w:pPr>
                        <w:pStyle w:val="Default"/>
                        <w:rPr>
                          <w:rFonts w:asciiTheme="minorHAnsi" w:eastAsia="Times New Roman" w:hAnsiTheme="minorHAnsi" w:cs="Times New Roman"/>
                          <w:color w:val="auto"/>
                          <w:sz w:val="22"/>
                          <w:szCs w:val="22"/>
                          <w:lang w:val="es-ES_tradnl" w:eastAsia="en-GB"/>
                        </w:rPr>
                      </w:pPr>
                      <w:r>
                        <w:rPr>
                          <w:rFonts w:asciiTheme="minorHAnsi" w:eastAsia="Times New Roman" w:hAnsiTheme="minorHAnsi" w:cs="Times New Roman"/>
                          <w:color w:val="auto"/>
                          <w:sz w:val="22"/>
                          <w:szCs w:val="22"/>
                          <w:lang w:val="es-ES_tradnl" w:eastAsia="en-GB"/>
                        </w:rPr>
                        <w:t xml:space="preserve">Se invita al Comité Permanente a proporcionar orientaciones sobre nuevas fórmulas para vincular el Fondo de Pequeñas Subvenciones a un mecanismo de financiación directa y coherente. </w:t>
                      </w:r>
                    </w:p>
                    <w:p w14:paraId="7B4E3092" w14:textId="77777777" w:rsidR="00F125D3" w:rsidRPr="00E50BD5" w:rsidRDefault="00F125D3" w:rsidP="00AB3999">
                      <w:pPr>
                        <w:rPr>
                          <w:rFonts w:ascii="Times New Roman" w:hAnsi="Times New Roman" w:cs="Times New Roman"/>
                          <w:lang w:val="es-ES"/>
                        </w:rPr>
                      </w:pPr>
                      <w:bookmarkStart w:id="1" w:name="_GoBack"/>
                      <w:bookmarkEnd w:id="1"/>
                    </w:p>
                  </w:txbxContent>
                </v:textbox>
                <w10:anchorlock/>
              </v:shape>
            </w:pict>
          </mc:Fallback>
        </mc:AlternateContent>
      </w:r>
    </w:p>
    <w:p w14:paraId="44E90F58" w14:textId="77777777" w:rsidR="00D24FE1" w:rsidRPr="007D3C50" w:rsidRDefault="00D24FE1" w:rsidP="003D6AB7">
      <w:pPr>
        <w:spacing w:after="0" w:line="240" w:lineRule="auto"/>
        <w:rPr>
          <w:rFonts w:cs="Times New Roman"/>
          <w:b/>
          <w:lang w:val="es-ES_tradnl"/>
        </w:rPr>
      </w:pPr>
    </w:p>
    <w:p w14:paraId="3BFE7FE1" w14:textId="2840A295" w:rsidR="003F09D4" w:rsidRPr="007D3C50" w:rsidRDefault="00800861" w:rsidP="003D6AB7">
      <w:pPr>
        <w:spacing w:after="0" w:line="240" w:lineRule="auto"/>
        <w:rPr>
          <w:rFonts w:cs="Times New Roman"/>
          <w:b/>
          <w:lang w:val="es-ES_tradnl"/>
        </w:rPr>
      </w:pPr>
      <w:r w:rsidRPr="007D3C50">
        <w:rPr>
          <w:rFonts w:cs="Times New Roman"/>
          <w:b/>
          <w:lang w:val="es-ES_tradnl"/>
        </w:rPr>
        <w:t>Introduc</w:t>
      </w:r>
      <w:r w:rsidR="00B262DC" w:rsidRPr="007D3C50">
        <w:rPr>
          <w:rFonts w:cs="Times New Roman"/>
          <w:b/>
          <w:lang w:val="es-ES_tradnl"/>
        </w:rPr>
        <w:t>ción</w:t>
      </w:r>
    </w:p>
    <w:p w14:paraId="2D7CBD92" w14:textId="77777777" w:rsidR="00800861" w:rsidRPr="007D3C50" w:rsidRDefault="00800861" w:rsidP="003D6AB7">
      <w:pPr>
        <w:spacing w:after="0" w:line="240" w:lineRule="auto"/>
        <w:rPr>
          <w:rFonts w:cs="Times New Roman"/>
          <w:lang w:val="es-ES_tradnl"/>
        </w:rPr>
      </w:pPr>
    </w:p>
    <w:p w14:paraId="258153EC" w14:textId="18C7F379" w:rsidR="00AB3999" w:rsidRPr="007D3C50" w:rsidRDefault="005E432F" w:rsidP="003D6AB7">
      <w:pPr>
        <w:pStyle w:val="ListParagraph"/>
        <w:numPr>
          <w:ilvl w:val="0"/>
          <w:numId w:val="13"/>
        </w:numPr>
        <w:spacing w:after="0" w:line="240" w:lineRule="auto"/>
        <w:ind w:left="426" w:hanging="426"/>
        <w:rPr>
          <w:rFonts w:cs="Times New Roman"/>
          <w:lang w:val="es-ES_tradnl"/>
        </w:rPr>
      </w:pPr>
      <w:r w:rsidRPr="007D3C50">
        <w:rPr>
          <w:rFonts w:cs="Times New Roman"/>
          <w:lang w:val="es-ES_tradnl"/>
        </w:rPr>
        <w:t xml:space="preserve">Durante 25 años, se ha fomentado la aplicación de la Convención de Ramsar a través de </w:t>
      </w:r>
      <w:r w:rsidR="0071151D" w:rsidRPr="007D3C50">
        <w:rPr>
          <w:rFonts w:cs="Times New Roman"/>
          <w:lang w:val="es-ES_tradnl"/>
        </w:rPr>
        <w:t>subvenciones</w:t>
      </w:r>
      <w:r w:rsidRPr="007D3C50">
        <w:rPr>
          <w:rFonts w:cs="Times New Roman"/>
          <w:lang w:val="es-ES_tradnl"/>
        </w:rPr>
        <w:t xml:space="preserve"> financiadas por las Partes Contratantes</w:t>
      </w:r>
      <w:r w:rsidR="0071151D" w:rsidRPr="007D3C50">
        <w:rPr>
          <w:rFonts w:cs="Times New Roman"/>
          <w:lang w:val="es-ES_tradnl"/>
        </w:rPr>
        <w:t xml:space="preserve"> en la Convención</w:t>
      </w:r>
      <w:r w:rsidRPr="007D3C50">
        <w:rPr>
          <w:rFonts w:cs="Times New Roman"/>
          <w:lang w:val="es-ES_tradnl"/>
        </w:rPr>
        <w:t xml:space="preserve"> y facilitadas por la Secretaría de Ramsar. </w:t>
      </w:r>
      <w:r w:rsidR="0071151D" w:rsidRPr="007D3C50">
        <w:rPr>
          <w:rFonts w:cs="Times New Roman"/>
          <w:lang w:val="es-ES_tradnl"/>
        </w:rPr>
        <w:t xml:space="preserve">El Fondo de Pequeñas Subvenciones (FPS) es uno de los tres fondos de subvenciones establecidos por Ramsar, junto con el </w:t>
      </w:r>
      <w:r w:rsidR="0071151D" w:rsidRPr="00F125D3">
        <w:rPr>
          <w:rFonts w:cs="Times New Roman"/>
          <w:lang w:val="es-ES_tradnl"/>
        </w:rPr>
        <w:t xml:space="preserve">Fondo Suizo </w:t>
      </w:r>
      <w:r w:rsidR="00772559" w:rsidRPr="00F125D3">
        <w:rPr>
          <w:rFonts w:cs="Times New Roman"/>
          <w:lang w:val="es-ES_tradnl"/>
        </w:rPr>
        <w:t xml:space="preserve">para África </w:t>
      </w:r>
      <w:r w:rsidR="00A51F6A">
        <w:rPr>
          <w:rFonts w:cs="Times New Roman"/>
          <w:lang w:val="es-ES_tradnl"/>
        </w:rPr>
        <w:t>(</w:t>
      </w:r>
      <w:r w:rsidR="00A51F6A" w:rsidRPr="00E50BD5">
        <w:rPr>
          <w:rFonts w:cs="Times New Roman"/>
          <w:i/>
          <w:lang w:val="es-ES"/>
        </w:rPr>
        <w:t>Swiss Grants for Africa</w:t>
      </w:r>
      <w:r w:rsidR="00A51F6A" w:rsidRPr="00E50BD5">
        <w:rPr>
          <w:rFonts w:cs="Times New Roman"/>
          <w:lang w:val="es-ES"/>
        </w:rPr>
        <w:t xml:space="preserve">, en inglés) </w:t>
      </w:r>
      <w:r w:rsidR="00772559" w:rsidRPr="00F125D3">
        <w:rPr>
          <w:rFonts w:cs="Times New Roman"/>
          <w:lang w:val="es-ES_tradnl"/>
        </w:rPr>
        <w:t>y el Fondo Humedales para el Futuro</w:t>
      </w:r>
      <w:r w:rsidR="00A51F6A">
        <w:rPr>
          <w:rFonts w:cs="Times New Roman"/>
          <w:lang w:val="es-ES_tradnl"/>
        </w:rPr>
        <w:t xml:space="preserve"> (</w:t>
      </w:r>
      <w:r w:rsidR="00A51F6A" w:rsidRPr="00E50BD5">
        <w:rPr>
          <w:rFonts w:cs="Times New Roman"/>
          <w:i/>
          <w:lang w:val="es-ES"/>
        </w:rPr>
        <w:t>Wetlands for the Future Fund</w:t>
      </w:r>
      <w:r w:rsidR="00A51F6A" w:rsidRPr="00E50BD5">
        <w:rPr>
          <w:rFonts w:cs="Times New Roman"/>
          <w:lang w:val="es-ES"/>
        </w:rPr>
        <w:t>, en inglés)</w:t>
      </w:r>
      <w:r w:rsidR="00F125D3">
        <w:rPr>
          <w:rFonts w:cs="Times New Roman"/>
          <w:lang w:val="es-ES_tradnl"/>
        </w:rPr>
        <w:t>,</w:t>
      </w:r>
      <w:r w:rsidR="00772559" w:rsidRPr="00F125D3">
        <w:rPr>
          <w:rFonts w:cs="Times New Roman"/>
          <w:lang w:val="es-ES_tradnl"/>
        </w:rPr>
        <w:t xml:space="preserve"> </w:t>
      </w:r>
      <w:r w:rsidR="00847E0C" w:rsidRPr="007D3C50">
        <w:rPr>
          <w:rFonts w:cs="Times New Roman"/>
          <w:lang w:val="es-ES_tradnl"/>
        </w:rPr>
        <w:t xml:space="preserve">que está financiado por </w:t>
      </w:r>
      <w:r w:rsidR="00772559" w:rsidRPr="007D3C50">
        <w:rPr>
          <w:rFonts w:cs="Times New Roman"/>
          <w:lang w:val="es-ES_tradnl"/>
        </w:rPr>
        <w:t xml:space="preserve">los Estados Unidos de América. </w:t>
      </w:r>
      <w:r w:rsidRPr="007D3C50">
        <w:rPr>
          <w:rFonts w:cs="Times New Roman"/>
          <w:lang w:val="es-ES_tradnl"/>
        </w:rPr>
        <w:t xml:space="preserve">El Fondo de Pequeñas Subvenciones es el único fondo </w:t>
      </w:r>
      <w:r w:rsidR="00D1113C" w:rsidRPr="007D3C50">
        <w:rPr>
          <w:rFonts w:cs="Times New Roman"/>
          <w:lang w:val="es-ES_tradnl"/>
        </w:rPr>
        <w:t>de donaciones formado por múltiples donantes.</w:t>
      </w:r>
    </w:p>
    <w:p w14:paraId="6D7D3BF4" w14:textId="77777777" w:rsidR="00AB3999" w:rsidRPr="007D3C50" w:rsidRDefault="00AB3999" w:rsidP="003D6AB7">
      <w:pPr>
        <w:pStyle w:val="ListParagraph"/>
        <w:spacing w:after="0" w:line="240" w:lineRule="auto"/>
        <w:ind w:left="426" w:hanging="426"/>
        <w:rPr>
          <w:rFonts w:cs="Times New Roman"/>
          <w:lang w:val="es-ES_tradnl"/>
        </w:rPr>
      </w:pPr>
    </w:p>
    <w:p w14:paraId="7871FAD2" w14:textId="3D3D48B3" w:rsidR="00FE3CD3" w:rsidRPr="007D3C50" w:rsidRDefault="005E432F" w:rsidP="00DD25C7">
      <w:pPr>
        <w:pStyle w:val="ListParagraph"/>
        <w:numPr>
          <w:ilvl w:val="0"/>
          <w:numId w:val="13"/>
        </w:numPr>
        <w:spacing w:after="0" w:line="240" w:lineRule="auto"/>
        <w:ind w:left="426" w:hanging="426"/>
        <w:rPr>
          <w:rFonts w:cs="Times New Roman"/>
          <w:lang w:val="es-ES_tradnl"/>
        </w:rPr>
      </w:pPr>
      <w:r w:rsidRPr="007D3C50">
        <w:rPr>
          <w:rFonts w:cs="Times New Roman"/>
          <w:lang w:val="es-ES_tradnl"/>
        </w:rPr>
        <w:t>E</w:t>
      </w:r>
      <w:r w:rsidR="00DA4B44" w:rsidRPr="007D3C50">
        <w:rPr>
          <w:rFonts w:cs="Times New Roman"/>
          <w:lang w:val="es-ES_tradnl"/>
        </w:rPr>
        <w:t>n 2012,</w:t>
      </w:r>
      <w:r w:rsidRPr="007D3C50">
        <w:rPr>
          <w:rFonts w:cs="Times New Roman"/>
          <w:lang w:val="es-ES_tradnl"/>
        </w:rPr>
        <w:t xml:space="preserve"> la</w:t>
      </w:r>
      <w:r w:rsidR="00DA4B44" w:rsidRPr="007D3C50">
        <w:rPr>
          <w:rFonts w:cs="Times New Roman"/>
          <w:lang w:val="es-ES_tradnl"/>
        </w:rPr>
        <w:t xml:space="preserve"> </w:t>
      </w:r>
      <w:r w:rsidR="004724E4" w:rsidRPr="007D3C50">
        <w:rPr>
          <w:rFonts w:cs="Times New Roman"/>
          <w:lang w:val="es-ES_tradnl"/>
        </w:rPr>
        <w:t>Resolu</w:t>
      </w:r>
      <w:r w:rsidRPr="007D3C50">
        <w:rPr>
          <w:rFonts w:cs="Times New Roman"/>
          <w:lang w:val="es-ES_tradnl"/>
        </w:rPr>
        <w:t xml:space="preserve">ción </w:t>
      </w:r>
      <w:r w:rsidR="004724E4" w:rsidRPr="007D3C50">
        <w:rPr>
          <w:rFonts w:cs="Times New Roman"/>
          <w:lang w:val="es-ES_tradnl"/>
        </w:rPr>
        <w:t xml:space="preserve">XI.2 </w:t>
      </w:r>
      <w:r w:rsidRPr="007D3C50">
        <w:rPr>
          <w:rFonts w:cs="Times New Roman"/>
          <w:lang w:val="es-ES_tradnl"/>
        </w:rPr>
        <w:t xml:space="preserve">sobre </w:t>
      </w:r>
      <w:r w:rsidR="002809DE" w:rsidRPr="007D3C50">
        <w:rPr>
          <w:rFonts w:cs="Times New Roman"/>
          <w:i/>
          <w:lang w:val="es-ES_tradnl"/>
        </w:rPr>
        <w:t>Cuestiones f</w:t>
      </w:r>
      <w:r w:rsidR="00A5234D" w:rsidRPr="007D3C50">
        <w:rPr>
          <w:rFonts w:cs="Times New Roman"/>
          <w:i/>
          <w:lang w:val="es-ES_tradnl"/>
        </w:rPr>
        <w:t>inancieras y p</w:t>
      </w:r>
      <w:r w:rsidRPr="007D3C50">
        <w:rPr>
          <w:rFonts w:cs="Times New Roman"/>
          <w:i/>
          <w:lang w:val="es-ES_tradnl"/>
        </w:rPr>
        <w:t>resupuestarias</w:t>
      </w:r>
      <w:r w:rsidRPr="007D3C50">
        <w:rPr>
          <w:rFonts w:cs="Times New Roman"/>
          <w:lang w:val="es-ES_tradnl"/>
        </w:rPr>
        <w:t xml:space="preserve"> </w:t>
      </w:r>
      <w:r w:rsidR="00713C51" w:rsidRPr="007D3C50">
        <w:rPr>
          <w:rFonts w:cs="Times New Roman"/>
          <w:lang w:val="es-ES_tradnl"/>
        </w:rPr>
        <w:t xml:space="preserve">alentó a que se incrementaran </w:t>
      </w:r>
      <w:r w:rsidRPr="007D3C50">
        <w:rPr>
          <w:rFonts w:cs="Times New Roman"/>
          <w:lang w:val="es-ES_tradnl"/>
        </w:rPr>
        <w:t xml:space="preserve">las contribuciones voluntarias al </w:t>
      </w:r>
      <w:r w:rsidR="00713C51" w:rsidRPr="007D3C50">
        <w:rPr>
          <w:rFonts w:cs="Times New Roman"/>
          <w:lang w:val="es-ES_tradnl"/>
        </w:rPr>
        <w:t>FPS</w:t>
      </w:r>
      <w:r w:rsidR="004724E4" w:rsidRPr="007D3C50">
        <w:rPr>
          <w:rFonts w:cs="Times New Roman"/>
          <w:lang w:val="es-ES_tradnl"/>
        </w:rPr>
        <w:t xml:space="preserve"> </w:t>
      </w:r>
      <w:r w:rsidRPr="007D3C50">
        <w:rPr>
          <w:rFonts w:cs="Times New Roman"/>
          <w:lang w:val="es-ES_tradnl"/>
        </w:rPr>
        <w:t>y reafirmó la convicción de las Partes Contratantes de</w:t>
      </w:r>
      <w:r w:rsidR="00713C51" w:rsidRPr="007D3C50">
        <w:rPr>
          <w:rFonts w:cs="Times New Roman"/>
          <w:lang w:val="es-ES_tradnl"/>
        </w:rPr>
        <w:t xml:space="preserve">l gran </w:t>
      </w:r>
      <w:r w:rsidR="00A14741" w:rsidRPr="007D3C50">
        <w:rPr>
          <w:rFonts w:cs="Times New Roman"/>
          <w:lang w:val="es-ES_tradnl"/>
        </w:rPr>
        <w:t>valor</w:t>
      </w:r>
      <w:r w:rsidR="00713C51" w:rsidRPr="007D3C50">
        <w:rPr>
          <w:rFonts w:cs="Times New Roman"/>
          <w:lang w:val="es-ES_tradnl"/>
        </w:rPr>
        <w:t xml:space="preserve"> que ten</w:t>
      </w:r>
      <w:r w:rsidR="00A14741" w:rsidRPr="007D3C50">
        <w:rPr>
          <w:rFonts w:cs="Times New Roman"/>
          <w:lang w:val="es-ES_tradnl"/>
        </w:rPr>
        <w:t>ía</w:t>
      </w:r>
      <w:r w:rsidR="0012735E" w:rsidRPr="007D3C50">
        <w:rPr>
          <w:rFonts w:cs="Times New Roman"/>
          <w:lang w:val="es-ES_tradnl"/>
        </w:rPr>
        <w:t xml:space="preserve"> dicho fondo</w:t>
      </w:r>
      <w:r w:rsidR="00713C51" w:rsidRPr="007D3C50">
        <w:rPr>
          <w:rFonts w:cs="Times New Roman"/>
          <w:lang w:val="es-ES_tradnl"/>
        </w:rPr>
        <w:t xml:space="preserve">. </w:t>
      </w:r>
      <w:r w:rsidRPr="007D3C50">
        <w:rPr>
          <w:rFonts w:cs="Times New Roman"/>
          <w:lang w:val="es-ES_tradnl"/>
        </w:rPr>
        <w:t xml:space="preserve">No obstante, </w:t>
      </w:r>
      <w:r w:rsidR="00713C51" w:rsidRPr="007D3C50">
        <w:rPr>
          <w:rFonts w:cs="Times New Roman"/>
          <w:lang w:val="es-ES_tradnl"/>
        </w:rPr>
        <w:t xml:space="preserve">actualmente </w:t>
      </w:r>
      <w:r w:rsidR="002809DE" w:rsidRPr="007D3C50">
        <w:rPr>
          <w:rFonts w:cs="Times New Roman"/>
          <w:lang w:val="es-ES_tradnl"/>
        </w:rPr>
        <w:t xml:space="preserve">el </w:t>
      </w:r>
      <w:r w:rsidR="00F125D3">
        <w:rPr>
          <w:rFonts w:cs="Times New Roman"/>
          <w:lang w:val="es-ES_tradnl"/>
        </w:rPr>
        <w:t>FPS</w:t>
      </w:r>
      <w:r w:rsidR="002809DE" w:rsidRPr="007D3C50">
        <w:rPr>
          <w:rFonts w:cs="Times New Roman"/>
          <w:lang w:val="es-ES_tradnl"/>
        </w:rPr>
        <w:t xml:space="preserve"> no está activo debido a la falta de contribuciones voluntarias. Mediante la Decisión </w:t>
      </w:r>
      <w:r w:rsidR="00FE3CD3" w:rsidRPr="007D3C50">
        <w:rPr>
          <w:rFonts w:cs="Times New Roman"/>
          <w:lang w:val="es-ES_tradnl"/>
        </w:rPr>
        <w:t>SC47-16</w:t>
      </w:r>
      <w:r w:rsidR="00DD25C7" w:rsidRPr="007D3C50">
        <w:rPr>
          <w:rFonts w:cs="Times New Roman"/>
          <w:lang w:val="es-ES_tradnl"/>
        </w:rPr>
        <w:t>,</w:t>
      </w:r>
      <w:r w:rsidR="00FE3CD3" w:rsidRPr="007D3C50">
        <w:rPr>
          <w:rFonts w:cs="Times New Roman"/>
          <w:lang w:val="es-ES_tradnl"/>
        </w:rPr>
        <w:t xml:space="preserve"> </w:t>
      </w:r>
      <w:r w:rsidR="002809DE" w:rsidRPr="007D3C50">
        <w:rPr>
          <w:rFonts w:cs="Times New Roman"/>
          <w:lang w:val="es-ES_tradnl"/>
        </w:rPr>
        <w:t xml:space="preserve">el Comité Permanente solicitó un documento informativo sobre el futuro del FPS. El presente informe responde a dicha petición. </w:t>
      </w:r>
    </w:p>
    <w:p w14:paraId="47B03BCE" w14:textId="77777777" w:rsidR="008B7384" w:rsidRPr="007D3C50" w:rsidRDefault="008B7384" w:rsidP="003D6AB7">
      <w:pPr>
        <w:pStyle w:val="ListParagraph"/>
        <w:spacing w:after="0" w:line="240" w:lineRule="auto"/>
        <w:ind w:left="426" w:hanging="426"/>
        <w:rPr>
          <w:rFonts w:cs="Times New Roman"/>
          <w:lang w:val="es-ES_tradnl"/>
        </w:rPr>
      </w:pPr>
    </w:p>
    <w:p w14:paraId="4EF32EDE" w14:textId="0A468DB4" w:rsidR="0035071D" w:rsidRPr="007D3C50" w:rsidRDefault="00A5234D" w:rsidP="00DD25C7">
      <w:pPr>
        <w:pStyle w:val="Default"/>
        <w:numPr>
          <w:ilvl w:val="0"/>
          <w:numId w:val="13"/>
        </w:numPr>
        <w:ind w:left="426" w:hanging="426"/>
        <w:rPr>
          <w:rFonts w:asciiTheme="minorHAnsi" w:hAnsiTheme="minorHAnsi"/>
          <w:lang w:val="es-ES_tradnl"/>
        </w:rPr>
      </w:pPr>
      <w:r w:rsidRPr="007D3C50">
        <w:rPr>
          <w:rFonts w:asciiTheme="minorHAnsi" w:hAnsiTheme="minorHAnsi" w:cs="Times New Roman"/>
          <w:color w:val="auto"/>
          <w:sz w:val="22"/>
          <w:szCs w:val="22"/>
          <w:lang w:val="es-ES_tradnl"/>
        </w:rPr>
        <w:t>En l</w:t>
      </w:r>
      <w:r w:rsidR="002809DE" w:rsidRPr="007D3C50">
        <w:rPr>
          <w:rFonts w:asciiTheme="minorHAnsi" w:hAnsiTheme="minorHAnsi" w:cs="Times New Roman"/>
          <w:color w:val="auto"/>
          <w:sz w:val="22"/>
          <w:szCs w:val="22"/>
          <w:lang w:val="es-ES_tradnl"/>
        </w:rPr>
        <w:t xml:space="preserve">a </w:t>
      </w:r>
      <w:r w:rsidR="0035071D" w:rsidRPr="007D3C50">
        <w:rPr>
          <w:rFonts w:asciiTheme="minorHAnsi" w:hAnsiTheme="minorHAnsi" w:cs="Times New Roman"/>
          <w:color w:val="auto"/>
          <w:sz w:val="22"/>
          <w:szCs w:val="22"/>
          <w:lang w:val="es-ES_tradnl"/>
        </w:rPr>
        <w:t>Resolu</w:t>
      </w:r>
      <w:r w:rsidR="002809DE" w:rsidRPr="007D3C50">
        <w:rPr>
          <w:rFonts w:asciiTheme="minorHAnsi" w:hAnsiTheme="minorHAnsi" w:cs="Times New Roman"/>
          <w:color w:val="auto"/>
          <w:sz w:val="22"/>
          <w:szCs w:val="22"/>
          <w:lang w:val="es-ES_tradnl"/>
        </w:rPr>
        <w:t>ción</w:t>
      </w:r>
      <w:r w:rsidR="0035071D" w:rsidRPr="007D3C50">
        <w:rPr>
          <w:rFonts w:asciiTheme="minorHAnsi" w:hAnsiTheme="minorHAnsi" w:cs="Times New Roman"/>
          <w:color w:val="auto"/>
          <w:sz w:val="22"/>
          <w:szCs w:val="22"/>
          <w:lang w:val="es-ES_tradnl"/>
        </w:rPr>
        <w:t xml:space="preserve"> XII.1</w:t>
      </w:r>
      <w:r w:rsidR="00DD25C7" w:rsidRPr="007D3C50">
        <w:rPr>
          <w:rFonts w:asciiTheme="minorHAnsi" w:hAnsiTheme="minorHAnsi" w:cs="Times New Roman"/>
          <w:color w:val="auto"/>
          <w:sz w:val="22"/>
          <w:szCs w:val="22"/>
          <w:lang w:val="es-ES_tradnl"/>
        </w:rPr>
        <w:t xml:space="preserve">, </w:t>
      </w:r>
      <w:r w:rsidR="002809DE" w:rsidRPr="007D3C50">
        <w:rPr>
          <w:rFonts w:asciiTheme="minorHAnsi" w:hAnsiTheme="minorHAnsi" w:cs="Times New Roman"/>
          <w:color w:val="auto"/>
          <w:sz w:val="22"/>
          <w:szCs w:val="22"/>
          <w:lang w:val="es-ES_tradnl"/>
        </w:rPr>
        <w:t xml:space="preserve">también relativa a </w:t>
      </w:r>
      <w:r w:rsidR="002809DE" w:rsidRPr="007D3C50">
        <w:rPr>
          <w:rFonts w:asciiTheme="minorHAnsi" w:hAnsiTheme="minorHAnsi" w:cs="Times New Roman"/>
          <w:i/>
          <w:color w:val="auto"/>
          <w:sz w:val="22"/>
          <w:szCs w:val="22"/>
          <w:lang w:val="es-ES_tradnl"/>
        </w:rPr>
        <w:t>Cuestiones financieras y presupuestarias</w:t>
      </w:r>
      <w:r w:rsidR="00DD25C7" w:rsidRPr="007D3C50">
        <w:rPr>
          <w:rFonts w:asciiTheme="minorHAnsi" w:hAnsiTheme="minorHAnsi" w:cs="Times New Roman"/>
          <w:color w:val="auto"/>
          <w:sz w:val="22"/>
          <w:szCs w:val="22"/>
          <w:lang w:val="es-ES_tradnl"/>
        </w:rPr>
        <w:t xml:space="preserve">, </w:t>
      </w:r>
      <w:r w:rsidR="002809DE" w:rsidRPr="007D3C50">
        <w:rPr>
          <w:rFonts w:asciiTheme="minorHAnsi" w:hAnsiTheme="minorHAnsi" w:cs="Times New Roman"/>
          <w:color w:val="auto"/>
          <w:sz w:val="22"/>
          <w:szCs w:val="22"/>
          <w:lang w:val="es-ES_tradnl"/>
        </w:rPr>
        <w:t>la Conferencia de las Partes</w:t>
      </w:r>
      <w:r w:rsidR="0035071D" w:rsidRPr="007D3C50">
        <w:rPr>
          <w:rFonts w:asciiTheme="minorHAnsi" w:hAnsiTheme="minorHAnsi" w:cs="Times New Roman"/>
          <w:color w:val="auto"/>
          <w:sz w:val="22"/>
          <w:szCs w:val="22"/>
          <w:lang w:val="es-ES_tradnl"/>
        </w:rPr>
        <w:t>:</w:t>
      </w:r>
      <w:r w:rsidR="0035071D" w:rsidRPr="007D3C50">
        <w:rPr>
          <w:rFonts w:asciiTheme="minorHAnsi" w:hAnsiTheme="minorHAnsi" w:cs="Times New Roman"/>
          <w:lang w:val="es-ES_tradnl"/>
        </w:rPr>
        <w:t xml:space="preserve"> </w:t>
      </w:r>
    </w:p>
    <w:p w14:paraId="6259DD1A" w14:textId="77777777" w:rsidR="00212633" w:rsidRPr="007D3C50" w:rsidRDefault="00212633" w:rsidP="003D6AB7">
      <w:pPr>
        <w:pStyle w:val="Default"/>
        <w:rPr>
          <w:rFonts w:asciiTheme="minorHAnsi" w:hAnsiTheme="minorHAnsi"/>
          <w:lang w:val="es-ES_tradnl"/>
        </w:rPr>
      </w:pPr>
    </w:p>
    <w:p w14:paraId="47F10D5C" w14:textId="1966F9F0" w:rsidR="00A5234D" w:rsidRPr="007D3C50" w:rsidRDefault="00A5234D" w:rsidP="00A5234D">
      <w:pPr>
        <w:pStyle w:val="ListParagraph"/>
        <w:spacing w:after="0" w:line="240" w:lineRule="auto"/>
        <w:ind w:left="851" w:right="521"/>
        <w:rPr>
          <w:rFonts w:cs="Times New Roman"/>
          <w:i/>
          <w:lang w:val="es-ES_tradnl"/>
        </w:rPr>
      </w:pPr>
      <w:r w:rsidRPr="007D3C50">
        <w:rPr>
          <w:rFonts w:cs="Times New Roman"/>
          <w:i/>
          <w:lang w:val="es-ES_tradnl"/>
        </w:rPr>
        <w:t>REAFIRMA su convencimiento de que el Fondo de Pequeñas Subvenciones de la Convención es enormemente valioso para la aplicación de la Convención e INSTA a las Partes y otras entidades a encontrar 1.000.000 francos suizos a lo largo del próximo trienio (Anexo 3) para asegurar el funcionamiento eficaz de ese programa;</w:t>
      </w:r>
    </w:p>
    <w:p w14:paraId="1E8F25BC" w14:textId="77777777" w:rsidR="00A5234D" w:rsidRPr="007D3C50" w:rsidRDefault="00A5234D" w:rsidP="00A5234D">
      <w:pPr>
        <w:pStyle w:val="ListParagraph"/>
        <w:spacing w:after="0" w:line="240" w:lineRule="auto"/>
        <w:ind w:left="851" w:right="521"/>
        <w:rPr>
          <w:rFonts w:cs="Times New Roman"/>
          <w:i/>
          <w:lang w:val="es-ES_tradnl"/>
        </w:rPr>
      </w:pPr>
    </w:p>
    <w:p w14:paraId="3556C3AB" w14:textId="77777777" w:rsidR="00A5234D" w:rsidRPr="007D3C50" w:rsidRDefault="00A5234D" w:rsidP="00A5234D">
      <w:pPr>
        <w:pStyle w:val="ListParagraph"/>
        <w:spacing w:after="0" w:line="240" w:lineRule="auto"/>
        <w:ind w:left="851" w:right="521"/>
        <w:rPr>
          <w:rFonts w:cs="Times New Roman"/>
          <w:i/>
          <w:lang w:val="es-ES_tradnl"/>
        </w:rPr>
      </w:pPr>
      <w:r w:rsidRPr="007D3C50">
        <w:rPr>
          <w:rFonts w:cs="Times New Roman"/>
          <w:i/>
          <w:lang w:val="es-ES_tradnl"/>
        </w:rPr>
        <w:t xml:space="preserve">PIDE que el Comité Permanente examine el funcionamiento del programa durante el trienio y llegue a una conclusión definitiva sobre si las Partes deben continuar el Fondo de Pequeñas Subvenciones o ponerle fin, y presente dicha conclusión para su examen por la 13ª reunión de la Conferencia de las Partes Contratantes; </w:t>
      </w:r>
    </w:p>
    <w:p w14:paraId="1089D330" w14:textId="77777777" w:rsidR="00FE3CD3" w:rsidRPr="007D3C50" w:rsidRDefault="00FE3CD3" w:rsidP="003D6AB7">
      <w:pPr>
        <w:spacing w:after="0" w:line="240" w:lineRule="auto"/>
        <w:rPr>
          <w:rFonts w:cs="Times New Roman"/>
          <w:lang w:val="es-ES_tradnl"/>
        </w:rPr>
      </w:pPr>
    </w:p>
    <w:p w14:paraId="127786F9" w14:textId="542FD409" w:rsidR="00C75633" w:rsidRPr="007D3C50" w:rsidRDefault="000316E0"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Este documento resume </w:t>
      </w:r>
      <w:r w:rsidR="00847E0C" w:rsidRPr="007D3C50">
        <w:rPr>
          <w:rFonts w:asciiTheme="minorHAnsi" w:hAnsiTheme="minorHAnsi" w:cs="Times New Roman"/>
          <w:sz w:val="22"/>
          <w:szCs w:val="22"/>
          <w:lang w:val="es-ES_tradnl"/>
        </w:rPr>
        <w:t xml:space="preserve">la situación </w:t>
      </w:r>
      <w:r w:rsidRPr="007D3C50">
        <w:rPr>
          <w:rFonts w:asciiTheme="minorHAnsi" w:hAnsiTheme="minorHAnsi" w:cs="Times New Roman"/>
          <w:sz w:val="22"/>
          <w:szCs w:val="22"/>
          <w:lang w:val="es-ES_tradnl"/>
        </w:rPr>
        <w:t xml:space="preserve">del FPS y las opciones y recomendaciones para el futuro del mismo. </w:t>
      </w:r>
    </w:p>
    <w:p w14:paraId="0E81AA38" w14:textId="77777777" w:rsidR="00D17B0B" w:rsidRPr="007D3C50" w:rsidRDefault="00D17B0B" w:rsidP="003D6AB7">
      <w:pPr>
        <w:spacing w:after="0" w:line="240" w:lineRule="auto"/>
        <w:rPr>
          <w:rFonts w:cs="Times New Roman"/>
          <w:lang w:val="es-ES_tradnl"/>
        </w:rPr>
      </w:pPr>
    </w:p>
    <w:p w14:paraId="2D53139E" w14:textId="77777777" w:rsidR="007D3C50" w:rsidRDefault="007D3C50" w:rsidP="003D6AB7">
      <w:pPr>
        <w:spacing w:after="0" w:line="240" w:lineRule="auto"/>
        <w:rPr>
          <w:rFonts w:cs="Times New Roman"/>
          <w:b/>
          <w:lang w:val="es-ES_tradnl"/>
        </w:rPr>
      </w:pPr>
    </w:p>
    <w:p w14:paraId="67245223" w14:textId="77777777" w:rsidR="007D3C50" w:rsidRDefault="007D3C50" w:rsidP="003D6AB7">
      <w:pPr>
        <w:spacing w:after="0" w:line="240" w:lineRule="auto"/>
        <w:rPr>
          <w:rFonts w:cs="Times New Roman"/>
          <w:b/>
          <w:lang w:val="es-ES_tradnl"/>
        </w:rPr>
      </w:pPr>
    </w:p>
    <w:p w14:paraId="080319CB" w14:textId="7BB9FB9F" w:rsidR="00D17B0B" w:rsidRDefault="000316E0" w:rsidP="003D6AB7">
      <w:pPr>
        <w:spacing w:after="0" w:line="240" w:lineRule="auto"/>
        <w:rPr>
          <w:rFonts w:cs="Times New Roman"/>
          <w:b/>
          <w:lang w:val="es-ES_tradnl"/>
        </w:rPr>
      </w:pPr>
      <w:r w:rsidRPr="007D3C50">
        <w:rPr>
          <w:rFonts w:cs="Times New Roman"/>
          <w:b/>
          <w:lang w:val="es-ES_tradnl"/>
        </w:rPr>
        <w:t xml:space="preserve">Antecedentes y </w:t>
      </w:r>
      <w:r w:rsidR="00847E0C" w:rsidRPr="007D3C50">
        <w:rPr>
          <w:rFonts w:cs="Times New Roman"/>
          <w:b/>
          <w:lang w:val="es-ES_tradnl"/>
        </w:rPr>
        <w:t>situación actual</w:t>
      </w:r>
      <w:r w:rsidRPr="007D3C50">
        <w:rPr>
          <w:rFonts w:cs="Times New Roman"/>
          <w:b/>
          <w:lang w:val="es-ES_tradnl"/>
        </w:rPr>
        <w:t xml:space="preserve"> de los fondos de subvenciones de Ramsar </w:t>
      </w:r>
    </w:p>
    <w:p w14:paraId="776FFC53" w14:textId="77777777" w:rsidR="007D3C50" w:rsidRPr="007D3C50" w:rsidRDefault="007D3C50" w:rsidP="003D6AB7">
      <w:pPr>
        <w:spacing w:after="0" w:line="240" w:lineRule="auto"/>
        <w:rPr>
          <w:rFonts w:cs="Times New Roman"/>
          <w:lang w:val="es-ES_tradnl"/>
        </w:rPr>
      </w:pPr>
    </w:p>
    <w:p w14:paraId="7A012861" w14:textId="0ABBC16E" w:rsidR="00370287" w:rsidRDefault="000316E0"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Desde </w:t>
      </w:r>
      <w:r w:rsidR="00370287" w:rsidRPr="007D3C50">
        <w:rPr>
          <w:rFonts w:asciiTheme="minorHAnsi" w:hAnsiTheme="minorHAnsi" w:cs="Times New Roman"/>
          <w:sz w:val="22"/>
          <w:szCs w:val="22"/>
          <w:lang w:val="es-ES_tradnl"/>
        </w:rPr>
        <w:t xml:space="preserve">1991, </w:t>
      </w:r>
      <w:r w:rsidRPr="007D3C50">
        <w:rPr>
          <w:rFonts w:asciiTheme="minorHAnsi" w:hAnsiTheme="minorHAnsi" w:cs="Times New Roman"/>
          <w:sz w:val="22"/>
          <w:szCs w:val="22"/>
          <w:lang w:val="es-ES_tradnl"/>
        </w:rPr>
        <w:t xml:space="preserve">el FPS, anteriormente el "Fondo para la Conservación de los Humedales", ha financiado una amplia gama de actividades relacionadas con la Convención. Ha aportado un total de más de </w:t>
      </w:r>
      <w:r w:rsidR="00DA4B44" w:rsidRPr="007D3C50">
        <w:rPr>
          <w:rFonts w:asciiTheme="minorHAnsi" w:hAnsiTheme="minorHAnsi" w:cs="Times New Roman"/>
          <w:sz w:val="22"/>
          <w:szCs w:val="22"/>
          <w:lang w:val="es-ES_tradnl"/>
        </w:rPr>
        <w:t>8</w:t>
      </w:r>
      <w:r w:rsidRPr="007D3C50">
        <w:rPr>
          <w:rFonts w:asciiTheme="minorHAnsi" w:hAnsiTheme="minorHAnsi" w:cs="Times New Roman"/>
          <w:sz w:val="22"/>
          <w:szCs w:val="22"/>
          <w:lang w:val="es-ES_tradnl"/>
        </w:rPr>
        <w:t>.</w:t>
      </w:r>
      <w:r w:rsidR="00DA4B44" w:rsidRPr="007D3C50">
        <w:rPr>
          <w:rFonts w:asciiTheme="minorHAnsi" w:hAnsiTheme="minorHAnsi" w:cs="Times New Roman"/>
          <w:sz w:val="22"/>
          <w:szCs w:val="22"/>
          <w:lang w:val="es-ES_tradnl"/>
        </w:rPr>
        <w:t>000</w:t>
      </w:r>
      <w:r w:rsidRPr="007D3C50">
        <w:rPr>
          <w:rFonts w:asciiTheme="minorHAnsi" w:hAnsiTheme="minorHAnsi" w:cs="Times New Roman"/>
          <w:sz w:val="22"/>
          <w:szCs w:val="22"/>
          <w:lang w:val="es-ES_tradnl"/>
        </w:rPr>
        <w:t>.</w:t>
      </w:r>
      <w:r w:rsidR="00DA4B44" w:rsidRPr="007D3C50">
        <w:rPr>
          <w:rFonts w:asciiTheme="minorHAnsi" w:hAnsiTheme="minorHAnsi" w:cs="Times New Roman"/>
          <w:sz w:val="22"/>
          <w:szCs w:val="22"/>
          <w:lang w:val="es-ES_tradnl"/>
        </w:rPr>
        <w:t>000</w:t>
      </w:r>
      <w:r w:rsidR="00370287" w:rsidRPr="007D3C5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 xml:space="preserve">francos suizos a </w:t>
      </w:r>
      <w:r w:rsidR="00370287" w:rsidRPr="007D3C50">
        <w:rPr>
          <w:rFonts w:asciiTheme="minorHAnsi" w:hAnsiTheme="minorHAnsi" w:cs="Times New Roman"/>
          <w:sz w:val="22"/>
          <w:szCs w:val="22"/>
          <w:lang w:val="es-ES_tradnl"/>
        </w:rPr>
        <w:t>240 pro</w:t>
      </w:r>
      <w:r w:rsidRPr="007D3C50">
        <w:rPr>
          <w:rFonts w:asciiTheme="minorHAnsi" w:hAnsiTheme="minorHAnsi" w:cs="Times New Roman"/>
          <w:sz w:val="22"/>
          <w:szCs w:val="22"/>
          <w:lang w:val="es-ES_tradnl"/>
        </w:rPr>
        <w:t xml:space="preserve">yectos en </w:t>
      </w:r>
      <w:r w:rsidR="00370287" w:rsidRPr="007D3C50">
        <w:rPr>
          <w:rFonts w:asciiTheme="minorHAnsi" w:hAnsiTheme="minorHAnsi" w:cs="Times New Roman"/>
          <w:sz w:val="22"/>
          <w:szCs w:val="22"/>
          <w:lang w:val="es-ES_tradnl"/>
        </w:rPr>
        <w:t xml:space="preserve">110 </w:t>
      </w:r>
      <w:r w:rsidRPr="007D3C50">
        <w:rPr>
          <w:rFonts w:asciiTheme="minorHAnsi" w:hAnsiTheme="minorHAnsi" w:cs="Times New Roman"/>
          <w:sz w:val="22"/>
          <w:szCs w:val="22"/>
          <w:lang w:val="es-ES_tradnl"/>
        </w:rPr>
        <w:t>países.</w:t>
      </w:r>
      <w:r w:rsidR="00370287" w:rsidRPr="007D3C5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Está basado en contribuciones voluntarias de las Partes Contratantes. Es</w:t>
      </w:r>
      <w:r w:rsidR="0012735E" w:rsidRPr="007D3C50">
        <w:rPr>
          <w:rFonts w:asciiTheme="minorHAnsi" w:hAnsiTheme="minorHAnsi" w:cs="Times New Roman"/>
          <w:sz w:val="22"/>
          <w:szCs w:val="22"/>
          <w:lang w:val="es-ES_tradnl"/>
        </w:rPr>
        <w:t>tá</w:t>
      </w:r>
      <w:r w:rsidRPr="007D3C50">
        <w:rPr>
          <w:rFonts w:asciiTheme="minorHAnsi" w:hAnsiTheme="minorHAnsi" w:cs="Times New Roman"/>
          <w:sz w:val="22"/>
          <w:szCs w:val="22"/>
          <w:lang w:val="es-ES_tradnl"/>
        </w:rPr>
        <w:t xml:space="preserve"> gestionado por la Secretaría e incluye un servicio de asesoramiento, </w:t>
      </w:r>
      <w:r w:rsidR="00847E0C" w:rsidRPr="007D3C50">
        <w:rPr>
          <w:rFonts w:asciiTheme="minorHAnsi" w:hAnsiTheme="minorHAnsi" w:cs="Times New Roman"/>
          <w:sz w:val="22"/>
          <w:szCs w:val="22"/>
          <w:lang w:val="es-ES_tradnl"/>
        </w:rPr>
        <w:t xml:space="preserve">la </w:t>
      </w:r>
      <w:r w:rsidRPr="007D3C50">
        <w:rPr>
          <w:rFonts w:asciiTheme="minorHAnsi" w:hAnsiTheme="minorHAnsi" w:cs="Times New Roman"/>
          <w:sz w:val="22"/>
          <w:szCs w:val="22"/>
          <w:lang w:val="es-ES_tradnl"/>
        </w:rPr>
        <w:t>supervisión de</w:t>
      </w:r>
      <w:r w:rsidR="0012735E" w:rsidRPr="007D3C50">
        <w:rPr>
          <w:rFonts w:asciiTheme="minorHAnsi" w:hAnsiTheme="minorHAnsi" w:cs="Times New Roman"/>
          <w:sz w:val="22"/>
          <w:szCs w:val="22"/>
          <w:lang w:val="es-ES_tradnl"/>
        </w:rPr>
        <w:t xml:space="preserve"> </w:t>
      </w:r>
      <w:r w:rsidR="00847E0C" w:rsidRPr="007D3C50">
        <w:rPr>
          <w:rFonts w:asciiTheme="minorHAnsi" w:hAnsiTheme="minorHAnsi" w:cs="Times New Roman"/>
          <w:sz w:val="22"/>
          <w:szCs w:val="22"/>
          <w:lang w:val="es-ES_tradnl"/>
        </w:rPr>
        <w:t xml:space="preserve">los </w:t>
      </w:r>
      <w:r w:rsidRPr="007D3C50">
        <w:rPr>
          <w:rFonts w:asciiTheme="minorHAnsi" w:hAnsiTheme="minorHAnsi" w:cs="Times New Roman"/>
          <w:sz w:val="22"/>
          <w:szCs w:val="22"/>
          <w:lang w:val="es-ES_tradnl"/>
        </w:rPr>
        <w:t>proyecto</w:t>
      </w:r>
      <w:r w:rsidR="0012735E" w:rsidRPr="007D3C50">
        <w:rPr>
          <w:rFonts w:asciiTheme="minorHAnsi" w:hAnsiTheme="minorHAnsi" w:cs="Times New Roman"/>
          <w:sz w:val="22"/>
          <w:szCs w:val="22"/>
          <w:lang w:val="es-ES_tradnl"/>
        </w:rPr>
        <w:t>s</w:t>
      </w:r>
      <w:r w:rsidRPr="007D3C50">
        <w:rPr>
          <w:rFonts w:asciiTheme="minorHAnsi" w:hAnsiTheme="minorHAnsi" w:cs="Times New Roman"/>
          <w:sz w:val="22"/>
          <w:szCs w:val="22"/>
          <w:lang w:val="es-ES_tradnl"/>
        </w:rPr>
        <w:t xml:space="preserve"> y</w:t>
      </w:r>
      <w:r w:rsidR="0012735E" w:rsidRPr="007D3C50">
        <w:rPr>
          <w:rFonts w:asciiTheme="minorHAnsi" w:hAnsiTheme="minorHAnsi" w:cs="Times New Roman"/>
          <w:sz w:val="22"/>
          <w:szCs w:val="22"/>
          <w:lang w:val="es-ES_tradnl"/>
        </w:rPr>
        <w:t xml:space="preserve"> </w:t>
      </w:r>
      <w:r w:rsidR="00847E0C" w:rsidRPr="007D3C50">
        <w:rPr>
          <w:rFonts w:asciiTheme="minorHAnsi" w:hAnsiTheme="minorHAnsi" w:cs="Times New Roman"/>
          <w:sz w:val="22"/>
          <w:szCs w:val="22"/>
          <w:lang w:val="es-ES_tradnl"/>
        </w:rPr>
        <w:t xml:space="preserve">el </w:t>
      </w:r>
      <w:r w:rsidR="0012735E" w:rsidRPr="007D3C50">
        <w:rPr>
          <w:rFonts w:asciiTheme="minorHAnsi" w:hAnsiTheme="minorHAnsi" w:cs="Times New Roman"/>
          <w:sz w:val="22"/>
          <w:szCs w:val="22"/>
          <w:lang w:val="es-ES_tradnl"/>
        </w:rPr>
        <w:t>proceso de clasificación de</w:t>
      </w:r>
      <w:r w:rsidRPr="007D3C50">
        <w:rPr>
          <w:rFonts w:asciiTheme="minorHAnsi" w:hAnsiTheme="minorHAnsi" w:cs="Times New Roman"/>
          <w:sz w:val="22"/>
          <w:szCs w:val="22"/>
          <w:lang w:val="es-ES_tradnl"/>
        </w:rPr>
        <w:t xml:space="preserve"> proyecto</w:t>
      </w:r>
      <w:r w:rsidR="0012735E" w:rsidRPr="007D3C50">
        <w:rPr>
          <w:rFonts w:asciiTheme="minorHAnsi" w:hAnsiTheme="minorHAnsi" w:cs="Times New Roman"/>
          <w:sz w:val="22"/>
          <w:szCs w:val="22"/>
          <w:lang w:val="es-ES_tradnl"/>
        </w:rPr>
        <w:t>s</w:t>
      </w:r>
      <w:r w:rsidRPr="007D3C50">
        <w:rPr>
          <w:rFonts w:asciiTheme="minorHAnsi" w:hAnsiTheme="minorHAnsi" w:cs="Times New Roman"/>
          <w:sz w:val="22"/>
          <w:szCs w:val="22"/>
          <w:lang w:val="es-ES_tradnl"/>
        </w:rPr>
        <w:t xml:space="preserve">. </w:t>
      </w:r>
      <w:r w:rsidR="005F014E" w:rsidRPr="007D3C50">
        <w:rPr>
          <w:rFonts w:asciiTheme="minorHAnsi" w:hAnsiTheme="minorHAnsi" w:cs="Times New Roman"/>
          <w:sz w:val="22"/>
          <w:szCs w:val="22"/>
          <w:lang w:val="es-ES_tradnl"/>
        </w:rPr>
        <w:t>Los lineamientos operativos y la selección de proyectos fueron aprobados por el Comité Permanente. Los Lineamientos Operativos</w:t>
      </w:r>
      <w:r w:rsidR="00641CE0">
        <w:rPr>
          <w:rFonts w:asciiTheme="minorHAnsi" w:hAnsiTheme="minorHAnsi" w:cs="Times New Roman"/>
          <w:sz w:val="22"/>
          <w:szCs w:val="22"/>
          <w:lang w:val="es-ES_tradnl"/>
        </w:rPr>
        <w:t xml:space="preserve"> </w:t>
      </w:r>
      <w:r w:rsidR="00370287" w:rsidRPr="007D3C50">
        <w:rPr>
          <w:rFonts w:asciiTheme="minorHAnsi" w:hAnsiTheme="minorHAnsi" w:cs="Times New Roman"/>
          <w:sz w:val="22"/>
          <w:szCs w:val="22"/>
          <w:lang w:val="es-ES_tradnl"/>
        </w:rPr>
        <w:t>(</w:t>
      </w:r>
      <w:hyperlink r:id="rId9" w:history="1">
        <w:r w:rsidR="005F014E" w:rsidRPr="00E50BD5">
          <w:rPr>
            <w:rStyle w:val="Hyperlink"/>
            <w:rFonts w:asciiTheme="minorHAnsi" w:hAnsiTheme="minorHAnsi" w:cs="Times New Roman"/>
            <w:sz w:val="22"/>
            <w:szCs w:val="22"/>
            <w:lang w:val="es-ES_tradnl"/>
          </w:rPr>
          <w:t>enlace aquí</w:t>
        </w:r>
      </w:hyperlink>
      <w:r w:rsidR="00370287" w:rsidRPr="007D3C50">
        <w:rPr>
          <w:rFonts w:asciiTheme="minorHAnsi" w:hAnsiTheme="minorHAnsi" w:cs="Times New Roman"/>
          <w:sz w:val="22"/>
          <w:szCs w:val="22"/>
          <w:lang w:val="es-ES_tradnl"/>
        </w:rPr>
        <w:t xml:space="preserve">) </w:t>
      </w:r>
      <w:r w:rsidR="005F014E" w:rsidRPr="007D3C50">
        <w:rPr>
          <w:rFonts w:asciiTheme="minorHAnsi" w:hAnsiTheme="minorHAnsi" w:cs="Times New Roman"/>
          <w:sz w:val="22"/>
          <w:szCs w:val="22"/>
          <w:lang w:val="es-ES_tradnl"/>
        </w:rPr>
        <w:t>se centran en tres áreas</w:t>
      </w:r>
      <w:r w:rsidR="00370287" w:rsidRPr="007D3C50">
        <w:rPr>
          <w:rFonts w:asciiTheme="minorHAnsi" w:hAnsiTheme="minorHAnsi" w:cs="Times New Roman"/>
          <w:sz w:val="22"/>
          <w:szCs w:val="22"/>
          <w:lang w:val="es-ES_tradnl"/>
        </w:rPr>
        <w:t>:</w:t>
      </w:r>
      <w:r w:rsidR="00641CE0">
        <w:rPr>
          <w:rFonts w:asciiTheme="minorHAnsi" w:hAnsiTheme="minorHAnsi" w:cs="Times New Roman"/>
          <w:sz w:val="22"/>
          <w:szCs w:val="22"/>
          <w:lang w:val="es-ES_tradnl"/>
        </w:rPr>
        <w:t xml:space="preserve"> </w:t>
      </w:r>
    </w:p>
    <w:p w14:paraId="1E3006C6" w14:textId="77777777" w:rsidR="007D3C50" w:rsidRPr="007D3C50" w:rsidRDefault="007D3C50" w:rsidP="007D3C50">
      <w:pPr>
        <w:pStyle w:val="Default"/>
        <w:ind w:left="426"/>
        <w:rPr>
          <w:rFonts w:asciiTheme="minorHAnsi" w:hAnsiTheme="minorHAnsi" w:cs="Times New Roman"/>
          <w:sz w:val="22"/>
          <w:szCs w:val="22"/>
          <w:lang w:val="es-ES_tradnl"/>
        </w:rPr>
      </w:pPr>
    </w:p>
    <w:p w14:paraId="12CF6979" w14:textId="613C5405" w:rsidR="005F014E" w:rsidRPr="007D3C50" w:rsidRDefault="00370287" w:rsidP="005F014E">
      <w:pPr>
        <w:pStyle w:val="ListParagraph"/>
        <w:numPr>
          <w:ilvl w:val="0"/>
          <w:numId w:val="36"/>
        </w:numPr>
        <w:spacing w:after="0" w:line="240" w:lineRule="auto"/>
        <w:ind w:left="851" w:hanging="425"/>
        <w:rPr>
          <w:rFonts w:cs="Times New Roman"/>
          <w:lang w:val="es-ES_tradnl"/>
        </w:rPr>
      </w:pPr>
      <w:r w:rsidRPr="007D3C50">
        <w:rPr>
          <w:rFonts w:cs="Times New Roman"/>
          <w:lang w:val="es-ES_tradnl"/>
        </w:rPr>
        <w:t>Pro</w:t>
      </w:r>
      <w:r w:rsidR="005F014E" w:rsidRPr="007D3C50">
        <w:rPr>
          <w:rFonts w:cs="Times New Roman"/>
          <w:lang w:val="es-ES_tradnl"/>
        </w:rPr>
        <w:t>yectos que contribuyan claramente a la ejecución del Plan Estratégico;</w:t>
      </w:r>
    </w:p>
    <w:p w14:paraId="03A5DFB9" w14:textId="77777777" w:rsidR="005F014E" w:rsidRPr="007D3C50" w:rsidRDefault="005F014E" w:rsidP="005F014E">
      <w:pPr>
        <w:spacing w:after="0" w:line="240" w:lineRule="auto"/>
        <w:ind w:left="1440"/>
        <w:rPr>
          <w:rFonts w:cs="Times New Roman"/>
          <w:lang w:val="es-ES_tradnl"/>
        </w:rPr>
      </w:pPr>
    </w:p>
    <w:p w14:paraId="597AF012" w14:textId="5548EC54" w:rsidR="005F014E" w:rsidRPr="007D3C50" w:rsidRDefault="005F014E" w:rsidP="005F014E">
      <w:pPr>
        <w:pStyle w:val="ListParagraph"/>
        <w:numPr>
          <w:ilvl w:val="0"/>
          <w:numId w:val="36"/>
        </w:numPr>
        <w:spacing w:after="0" w:line="240" w:lineRule="auto"/>
        <w:ind w:left="851" w:hanging="425"/>
        <w:rPr>
          <w:rFonts w:cs="Times New Roman"/>
          <w:lang w:val="es-ES_tradnl"/>
        </w:rPr>
      </w:pPr>
      <w:r w:rsidRPr="007D3C50">
        <w:rPr>
          <w:rFonts w:cs="Times New Roman"/>
          <w:lang w:val="es-ES_tradnl"/>
        </w:rPr>
        <w:t>Asistencia de emergencia relacionada con la conservación de</w:t>
      </w:r>
      <w:r w:rsidR="00DB5B3F" w:rsidRPr="007D3C50">
        <w:rPr>
          <w:rFonts w:cs="Times New Roman"/>
          <w:lang w:val="es-ES_tradnl"/>
        </w:rPr>
        <w:t xml:space="preserve"> </w:t>
      </w:r>
      <w:r w:rsidRPr="007D3C50">
        <w:rPr>
          <w:rFonts w:cs="Times New Roman"/>
          <w:lang w:val="es-ES_tradnl"/>
        </w:rPr>
        <w:t>l</w:t>
      </w:r>
      <w:r w:rsidR="00DB5B3F" w:rsidRPr="007D3C50">
        <w:rPr>
          <w:rFonts w:cs="Times New Roman"/>
          <w:lang w:val="es-ES_tradnl"/>
        </w:rPr>
        <w:t>as</w:t>
      </w:r>
      <w:r w:rsidRPr="007D3C50">
        <w:rPr>
          <w:rFonts w:cs="Times New Roman"/>
          <w:lang w:val="es-ES_tradnl"/>
        </w:rPr>
        <w:t xml:space="preserve"> caracter</w:t>
      </w:r>
      <w:r w:rsidR="00DB5B3F" w:rsidRPr="007D3C50">
        <w:rPr>
          <w:rFonts w:cs="Times New Roman"/>
          <w:lang w:val="es-ES_tradnl"/>
        </w:rPr>
        <w:t>ísticas ecológicas d</w:t>
      </w:r>
      <w:r w:rsidRPr="007D3C50">
        <w:rPr>
          <w:rFonts w:cs="Times New Roman"/>
          <w:lang w:val="es-ES_tradnl"/>
        </w:rPr>
        <w:t>e los sitios Ramsar;</w:t>
      </w:r>
    </w:p>
    <w:p w14:paraId="143018F2" w14:textId="77777777" w:rsidR="005F014E" w:rsidRPr="007D3C50" w:rsidRDefault="005F014E" w:rsidP="005F014E">
      <w:pPr>
        <w:spacing w:after="0" w:line="240" w:lineRule="auto"/>
        <w:ind w:left="1440"/>
        <w:rPr>
          <w:rFonts w:cs="Times New Roman"/>
          <w:lang w:val="es-ES_tradnl"/>
        </w:rPr>
      </w:pPr>
    </w:p>
    <w:p w14:paraId="086647E8" w14:textId="62D67872" w:rsidR="00370287" w:rsidRPr="007D3C50" w:rsidRDefault="005F014E" w:rsidP="005F014E">
      <w:pPr>
        <w:pStyle w:val="ListParagraph"/>
        <w:numPr>
          <w:ilvl w:val="0"/>
          <w:numId w:val="36"/>
        </w:numPr>
        <w:spacing w:after="0" w:line="240" w:lineRule="auto"/>
        <w:ind w:left="851" w:hanging="425"/>
        <w:rPr>
          <w:rFonts w:cs="Times New Roman"/>
          <w:lang w:val="es-ES_tradnl"/>
        </w:rPr>
      </w:pPr>
      <w:r w:rsidRPr="007D3C50">
        <w:rPr>
          <w:rFonts w:cs="Times New Roman"/>
          <w:lang w:val="es-ES_tradnl"/>
        </w:rPr>
        <w:t xml:space="preserve">Asistencia para que los países que no son Partes Contratantes puedan avanzar hacia su adhesión a la Convención; </w:t>
      </w:r>
    </w:p>
    <w:p w14:paraId="56E148AD" w14:textId="77777777" w:rsidR="000B4C27" w:rsidRPr="007D3C50" w:rsidRDefault="000B4C27" w:rsidP="000B4C27">
      <w:pPr>
        <w:pStyle w:val="ListParagraph"/>
        <w:spacing w:after="0" w:line="240" w:lineRule="auto"/>
        <w:ind w:left="851"/>
        <w:rPr>
          <w:rFonts w:cs="Times New Roman"/>
          <w:lang w:val="es-ES_tradnl"/>
        </w:rPr>
      </w:pPr>
    </w:p>
    <w:p w14:paraId="24FA534F" w14:textId="77777777" w:rsidR="00370287" w:rsidRPr="007D3C50" w:rsidRDefault="00370287" w:rsidP="003D6AB7">
      <w:pPr>
        <w:pStyle w:val="ListParagraph"/>
        <w:spacing w:after="0" w:line="240" w:lineRule="auto"/>
        <w:ind w:left="2160"/>
        <w:rPr>
          <w:rFonts w:cs="Times New Roman"/>
          <w:lang w:val="es-ES_tradnl"/>
        </w:rPr>
      </w:pPr>
    </w:p>
    <w:p w14:paraId="057B418A" w14:textId="4ECC93AC" w:rsidR="00787A7C" w:rsidRDefault="00D664DB"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Creado en </w:t>
      </w:r>
      <w:r w:rsidR="003F09D4" w:rsidRPr="007D3C50">
        <w:rPr>
          <w:rFonts w:asciiTheme="minorHAnsi" w:hAnsiTheme="minorHAnsi" w:cs="Times New Roman"/>
          <w:sz w:val="22"/>
          <w:szCs w:val="22"/>
          <w:lang w:val="es-ES_tradnl"/>
        </w:rPr>
        <w:t xml:space="preserve">1989, </w:t>
      </w:r>
      <w:r w:rsidRPr="007D3C50">
        <w:rPr>
          <w:rFonts w:asciiTheme="minorHAnsi" w:hAnsiTheme="minorHAnsi" w:cs="Times New Roman"/>
          <w:sz w:val="22"/>
          <w:szCs w:val="22"/>
          <w:lang w:val="es-ES_tradnl"/>
        </w:rPr>
        <w:t xml:space="preserve">el </w:t>
      </w:r>
      <w:r w:rsidR="00847E0C" w:rsidRPr="006066B1">
        <w:rPr>
          <w:rFonts w:asciiTheme="minorHAnsi" w:hAnsiTheme="minorHAnsi" w:cs="Times New Roman"/>
          <w:sz w:val="22"/>
          <w:szCs w:val="22"/>
          <w:lang w:val="es-ES_tradnl"/>
        </w:rPr>
        <w:t>Fondo Suizo para África</w:t>
      </w:r>
      <w:r w:rsidR="007D3C5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 xml:space="preserve">ha facilitado apoyo financiero a 90 proyectos </w:t>
      </w:r>
      <w:r w:rsidR="0012735E" w:rsidRPr="007D3C50">
        <w:rPr>
          <w:rFonts w:asciiTheme="minorHAnsi" w:hAnsiTheme="minorHAnsi" w:cs="Times New Roman"/>
          <w:sz w:val="22"/>
          <w:szCs w:val="22"/>
          <w:lang w:val="es-ES_tradnl"/>
        </w:rPr>
        <w:t>enfocados hacia</w:t>
      </w:r>
      <w:r w:rsidRPr="007D3C50">
        <w:rPr>
          <w:rFonts w:asciiTheme="minorHAnsi" w:hAnsiTheme="minorHAnsi" w:cs="Times New Roman"/>
          <w:sz w:val="22"/>
          <w:szCs w:val="22"/>
          <w:lang w:val="es-ES_tradnl"/>
        </w:rPr>
        <w:t xml:space="preserve"> la conservación y uso racional de los humedales en más de 40 países de África.</w:t>
      </w:r>
      <w:r w:rsidR="00641CE0">
        <w:rPr>
          <w:rFonts w:asciiTheme="minorHAnsi" w:hAnsiTheme="minorHAnsi" w:cs="Times New Roman"/>
          <w:sz w:val="22"/>
          <w:szCs w:val="22"/>
          <w:lang w:val="es-ES_tradnl"/>
        </w:rPr>
        <w:t xml:space="preserve"> </w:t>
      </w:r>
      <w:r w:rsidR="00E86663" w:rsidRPr="007D3C50">
        <w:rPr>
          <w:rFonts w:asciiTheme="minorHAnsi" w:hAnsiTheme="minorHAnsi" w:cs="Times New Roman"/>
          <w:sz w:val="22"/>
          <w:szCs w:val="22"/>
          <w:lang w:val="es-ES_tradnl"/>
        </w:rPr>
        <w:t xml:space="preserve">Se financia mediante una contribución voluntaria </w:t>
      </w:r>
      <w:r w:rsidR="00D1113C" w:rsidRPr="007D3C50">
        <w:rPr>
          <w:rFonts w:asciiTheme="minorHAnsi" w:hAnsiTheme="minorHAnsi" w:cs="Times New Roman"/>
          <w:sz w:val="22"/>
          <w:szCs w:val="22"/>
          <w:lang w:val="es-ES_tradnl"/>
        </w:rPr>
        <w:t>que aporta</w:t>
      </w:r>
      <w:r w:rsidR="00E86663" w:rsidRPr="007D3C50">
        <w:rPr>
          <w:rFonts w:asciiTheme="minorHAnsi" w:hAnsiTheme="minorHAnsi" w:cs="Times New Roman"/>
          <w:sz w:val="22"/>
          <w:szCs w:val="22"/>
          <w:lang w:val="es-ES_tradnl"/>
        </w:rPr>
        <w:t xml:space="preserve"> Suiza</w:t>
      </w:r>
      <w:r w:rsidR="00D1113C" w:rsidRPr="007D3C50">
        <w:rPr>
          <w:rFonts w:asciiTheme="minorHAnsi" w:hAnsiTheme="minorHAnsi" w:cs="Times New Roman"/>
          <w:sz w:val="22"/>
          <w:szCs w:val="22"/>
          <w:lang w:val="es-ES_tradnl"/>
        </w:rPr>
        <w:t xml:space="preserve"> </w:t>
      </w:r>
      <w:r w:rsidR="0012735E" w:rsidRPr="007D3C50">
        <w:rPr>
          <w:rFonts w:asciiTheme="minorHAnsi" w:hAnsiTheme="minorHAnsi" w:cs="Times New Roman"/>
          <w:sz w:val="22"/>
          <w:szCs w:val="22"/>
          <w:lang w:val="es-ES_tradnl"/>
        </w:rPr>
        <w:t>independientemente</w:t>
      </w:r>
      <w:r w:rsidR="00D1113C" w:rsidRPr="007D3C50">
        <w:rPr>
          <w:rFonts w:asciiTheme="minorHAnsi" w:hAnsiTheme="minorHAnsi" w:cs="Times New Roman"/>
          <w:sz w:val="22"/>
          <w:szCs w:val="22"/>
          <w:lang w:val="es-ES_tradnl"/>
        </w:rPr>
        <w:t xml:space="preserve"> de su contribución anual al presupuesto básico de la Convención. </w:t>
      </w:r>
      <w:r w:rsidR="00E86663" w:rsidRPr="007D3C50">
        <w:rPr>
          <w:rFonts w:asciiTheme="minorHAnsi" w:hAnsiTheme="minorHAnsi" w:cs="Times New Roman"/>
          <w:sz w:val="22"/>
          <w:szCs w:val="22"/>
          <w:lang w:val="es-ES_tradnl"/>
        </w:rPr>
        <w:t>E</w:t>
      </w:r>
      <w:r w:rsidR="003F09D4" w:rsidRPr="007D3C50">
        <w:rPr>
          <w:rFonts w:asciiTheme="minorHAnsi" w:hAnsiTheme="minorHAnsi" w:cs="Times New Roman"/>
          <w:sz w:val="22"/>
          <w:szCs w:val="22"/>
          <w:lang w:val="es-ES_tradnl"/>
        </w:rPr>
        <w:t>n 2014,</w:t>
      </w:r>
      <w:r w:rsidR="00370287" w:rsidRPr="007D3C50">
        <w:rPr>
          <w:rFonts w:asciiTheme="minorHAnsi" w:hAnsiTheme="minorHAnsi" w:cs="Times New Roman"/>
          <w:sz w:val="22"/>
          <w:szCs w:val="22"/>
          <w:lang w:val="es-ES_tradnl"/>
        </w:rPr>
        <w:t xml:space="preserve"> </w:t>
      </w:r>
      <w:r w:rsidR="00E86663" w:rsidRPr="007D3C50">
        <w:rPr>
          <w:rFonts w:asciiTheme="minorHAnsi" w:hAnsiTheme="minorHAnsi" w:cs="Times New Roman"/>
          <w:sz w:val="22"/>
          <w:szCs w:val="22"/>
          <w:lang w:val="es-ES_tradnl"/>
        </w:rPr>
        <w:t>por ejemplo</w:t>
      </w:r>
      <w:r w:rsidR="00DD25C7" w:rsidRPr="007D3C50">
        <w:rPr>
          <w:rFonts w:asciiTheme="minorHAnsi" w:hAnsiTheme="minorHAnsi" w:cs="Times New Roman"/>
          <w:sz w:val="22"/>
          <w:szCs w:val="22"/>
          <w:lang w:val="es-ES_tradnl"/>
        </w:rPr>
        <w:t>,</w:t>
      </w:r>
      <w:r w:rsidR="00370287" w:rsidRPr="007D3C50">
        <w:rPr>
          <w:rFonts w:asciiTheme="minorHAnsi" w:hAnsiTheme="minorHAnsi" w:cs="Times New Roman"/>
          <w:sz w:val="22"/>
          <w:szCs w:val="22"/>
          <w:lang w:val="es-ES_tradnl"/>
        </w:rPr>
        <w:t xml:space="preserve"> </w:t>
      </w:r>
      <w:r w:rsidR="00E86663" w:rsidRPr="007D3C50">
        <w:rPr>
          <w:rFonts w:asciiTheme="minorHAnsi" w:hAnsiTheme="minorHAnsi" w:cs="Times New Roman"/>
          <w:sz w:val="22"/>
          <w:szCs w:val="22"/>
          <w:lang w:val="es-ES_tradnl"/>
        </w:rPr>
        <w:t xml:space="preserve">se destinó </w:t>
      </w:r>
      <w:r w:rsidR="00D1113C" w:rsidRPr="007D3C50">
        <w:rPr>
          <w:rFonts w:asciiTheme="minorHAnsi" w:hAnsiTheme="minorHAnsi" w:cs="Times New Roman"/>
          <w:sz w:val="22"/>
          <w:szCs w:val="22"/>
          <w:lang w:val="es-ES_tradnl"/>
        </w:rPr>
        <w:t>el importe total de una donación de 90.000 francos suizos al FPS a patrocinar la participación de delegados africanos en la reunión preparatoria de la COP en Túnez.</w:t>
      </w:r>
      <w:r w:rsidR="00641CE0">
        <w:rPr>
          <w:rFonts w:asciiTheme="minorHAnsi" w:hAnsiTheme="minorHAnsi" w:cs="Times New Roman"/>
          <w:sz w:val="22"/>
          <w:szCs w:val="22"/>
          <w:lang w:val="es-ES_tradnl"/>
        </w:rPr>
        <w:t xml:space="preserve"> </w:t>
      </w:r>
      <w:r w:rsidR="00D1113C" w:rsidRPr="007D3C50">
        <w:rPr>
          <w:rFonts w:asciiTheme="minorHAnsi" w:hAnsiTheme="minorHAnsi" w:cs="Times New Roman"/>
          <w:sz w:val="22"/>
          <w:szCs w:val="22"/>
          <w:lang w:val="es-ES_tradnl"/>
        </w:rPr>
        <w:t xml:space="preserve">En 2015, una donación de 115.000 francos suizos </w:t>
      </w:r>
      <w:r w:rsidR="00F125D3">
        <w:rPr>
          <w:rFonts w:asciiTheme="minorHAnsi" w:hAnsiTheme="minorHAnsi" w:cs="Times New Roman"/>
          <w:sz w:val="22"/>
          <w:szCs w:val="22"/>
          <w:lang w:val="es-ES_tradnl"/>
        </w:rPr>
        <w:t>al FPS fue empleada</w:t>
      </w:r>
      <w:r w:rsidR="00847E0C" w:rsidRPr="007D3C50">
        <w:rPr>
          <w:rFonts w:asciiTheme="minorHAnsi" w:hAnsiTheme="minorHAnsi" w:cs="Times New Roman"/>
          <w:sz w:val="22"/>
          <w:szCs w:val="22"/>
          <w:lang w:val="es-ES_tradnl"/>
        </w:rPr>
        <w:t xml:space="preserve"> </w:t>
      </w:r>
      <w:r w:rsidR="00D1113C" w:rsidRPr="007D3C50">
        <w:rPr>
          <w:rFonts w:asciiTheme="minorHAnsi" w:hAnsiTheme="minorHAnsi" w:cs="Times New Roman"/>
          <w:sz w:val="22"/>
          <w:szCs w:val="22"/>
          <w:lang w:val="es-ES_tradnl"/>
        </w:rPr>
        <w:t>íntegramente para patrocinar la asistencia de delegados africanos a la COP12 en el Uruguay.</w:t>
      </w:r>
      <w:r w:rsidR="00641CE0">
        <w:rPr>
          <w:rFonts w:asciiTheme="minorHAnsi" w:hAnsiTheme="minorHAnsi" w:cs="Times New Roman"/>
          <w:sz w:val="22"/>
          <w:szCs w:val="22"/>
          <w:lang w:val="es-ES_tradnl"/>
        </w:rPr>
        <w:t xml:space="preserve"> </w:t>
      </w:r>
      <w:r w:rsidR="00D1113C" w:rsidRPr="007D3C50">
        <w:rPr>
          <w:rFonts w:asciiTheme="minorHAnsi" w:hAnsiTheme="minorHAnsi" w:cs="Times New Roman"/>
          <w:sz w:val="22"/>
          <w:szCs w:val="22"/>
          <w:lang w:val="es-ES_tradnl"/>
        </w:rPr>
        <w:t xml:space="preserve">Este fondo está gestionado por la Secretaría y los proyectos son aprobados por Suiza. </w:t>
      </w:r>
    </w:p>
    <w:p w14:paraId="3487AE33" w14:textId="77777777" w:rsidR="00787A7C" w:rsidRDefault="00787A7C" w:rsidP="00787A7C">
      <w:pPr>
        <w:pStyle w:val="Default"/>
        <w:ind w:left="426"/>
        <w:rPr>
          <w:rFonts w:asciiTheme="minorHAnsi" w:hAnsiTheme="minorHAnsi" w:cs="Times New Roman"/>
          <w:sz w:val="22"/>
          <w:szCs w:val="22"/>
          <w:lang w:val="es-ES_tradnl"/>
        </w:rPr>
      </w:pPr>
    </w:p>
    <w:p w14:paraId="1E273273" w14:textId="648DF1F2" w:rsidR="003F09D4" w:rsidRPr="007D3C50" w:rsidRDefault="00D1113C"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Desde</w:t>
      </w:r>
      <w:r w:rsidR="003F09D4" w:rsidRPr="007D3C50">
        <w:rPr>
          <w:rFonts w:asciiTheme="minorHAnsi" w:hAnsiTheme="minorHAnsi" w:cs="Times New Roman"/>
          <w:sz w:val="22"/>
          <w:szCs w:val="22"/>
          <w:lang w:val="es-ES_tradnl"/>
        </w:rPr>
        <w:t xml:space="preserve"> 1997, </w:t>
      </w:r>
      <w:r w:rsidR="0012735E" w:rsidRPr="007D3C50">
        <w:rPr>
          <w:rFonts w:asciiTheme="minorHAnsi" w:hAnsiTheme="minorHAnsi" w:cs="Times New Roman"/>
          <w:sz w:val="22"/>
          <w:szCs w:val="22"/>
          <w:lang w:val="es-ES_tradnl"/>
        </w:rPr>
        <w:t xml:space="preserve">el </w:t>
      </w:r>
      <w:r w:rsidR="0012735E" w:rsidRPr="006066B1">
        <w:rPr>
          <w:rFonts w:asciiTheme="minorHAnsi" w:hAnsiTheme="minorHAnsi" w:cs="Times New Roman"/>
          <w:sz w:val="22"/>
          <w:szCs w:val="22"/>
          <w:lang w:val="es-ES_tradnl"/>
        </w:rPr>
        <w:t>Fondo Humedales para el Futuro</w:t>
      </w:r>
      <w:r w:rsidR="00195DD8" w:rsidRPr="007D3C50">
        <w:rPr>
          <w:rFonts w:asciiTheme="minorHAnsi" w:hAnsiTheme="minorHAnsi" w:cs="Times New Roman"/>
          <w:sz w:val="22"/>
          <w:szCs w:val="22"/>
          <w:lang w:val="es-ES_tradnl"/>
        </w:rPr>
        <w:t xml:space="preserve"> ha</w:t>
      </w:r>
      <w:r w:rsidRPr="007D3C50">
        <w:rPr>
          <w:rFonts w:asciiTheme="minorHAnsi" w:hAnsiTheme="minorHAnsi" w:cs="Times New Roman"/>
          <w:sz w:val="22"/>
          <w:szCs w:val="22"/>
          <w:lang w:val="es-ES_tradnl"/>
        </w:rPr>
        <w:t xml:space="preserve"> sido financiado a través de una contribución voluntaria de Estados Unidos, basada en un Memorando de Entendimiento. Hasta ahora, ha proporcionado apoyo financie</w:t>
      </w:r>
      <w:r w:rsidR="007D3C50">
        <w:rPr>
          <w:rFonts w:asciiTheme="minorHAnsi" w:hAnsiTheme="minorHAnsi" w:cs="Times New Roman"/>
          <w:sz w:val="22"/>
          <w:szCs w:val="22"/>
          <w:lang w:val="es-ES_tradnl"/>
        </w:rPr>
        <w:t>ro a 290 proyectos en América Latina y el Cari</w:t>
      </w:r>
      <w:r w:rsidRPr="007D3C50">
        <w:rPr>
          <w:rFonts w:asciiTheme="minorHAnsi" w:hAnsiTheme="minorHAnsi" w:cs="Times New Roman"/>
          <w:sz w:val="22"/>
          <w:szCs w:val="22"/>
          <w:lang w:val="es-ES_tradnl"/>
        </w:rPr>
        <w:t xml:space="preserve">be, 83 de los cuales fueron para apoyar actividades en </w:t>
      </w:r>
      <w:r w:rsidR="00847E0C" w:rsidRPr="007D3C50">
        <w:rPr>
          <w:rFonts w:asciiTheme="minorHAnsi" w:hAnsiTheme="minorHAnsi" w:cs="Times New Roman"/>
          <w:sz w:val="22"/>
          <w:szCs w:val="22"/>
          <w:lang w:val="es-ES_tradnl"/>
        </w:rPr>
        <w:t>Sitios de Ramsar</w:t>
      </w:r>
      <w:r w:rsidR="0079772A" w:rsidRPr="007D3C50">
        <w:rPr>
          <w:rFonts w:asciiTheme="minorHAnsi" w:hAnsiTheme="minorHAnsi" w:cs="Times New Roman"/>
          <w:sz w:val="22"/>
          <w:szCs w:val="22"/>
          <w:lang w:val="es-ES_tradnl"/>
        </w:rPr>
        <w:t>.</w:t>
      </w:r>
      <w:r w:rsidR="00DD25C7" w:rsidRPr="007D3C5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El fondo está enfocado especialmente hacia la capacitación y la formación y las donaciones</w:t>
      </w:r>
      <w:r w:rsidR="00847E0C" w:rsidRPr="007D3C50">
        <w:rPr>
          <w:rFonts w:asciiTheme="minorHAnsi" w:hAnsiTheme="minorHAnsi" w:cs="Times New Roman"/>
          <w:sz w:val="22"/>
          <w:szCs w:val="22"/>
          <w:lang w:val="es-ES_tradnl"/>
        </w:rPr>
        <w:t xml:space="preserve"> para</w:t>
      </w:r>
      <w:r w:rsidRPr="007D3C50">
        <w:rPr>
          <w:rFonts w:asciiTheme="minorHAnsi" w:hAnsiTheme="minorHAnsi" w:cs="Times New Roman"/>
          <w:sz w:val="22"/>
          <w:szCs w:val="22"/>
          <w:lang w:val="es-ES_tradnl"/>
        </w:rPr>
        <w:t xml:space="preserve"> 2015 </w:t>
      </w:r>
      <w:r w:rsidR="00847E0C" w:rsidRPr="007D3C50">
        <w:rPr>
          <w:rFonts w:asciiTheme="minorHAnsi" w:hAnsiTheme="minorHAnsi" w:cs="Times New Roman"/>
          <w:sz w:val="22"/>
          <w:szCs w:val="22"/>
          <w:lang w:val="es-ES_tradnl"/>
        </w:rPr>
        <w:t>alcanzan</w:t>
      </w:r>
      <w:r w:rsidRPr="007D3C50">
        <w:rPr>
          <w:rFonts w:asciiTheme="minorHAnsi" w:hAnsiTheme="minorHAnsi" w:cs="Times New Roman"/>
          <w:sz w:val="22"/>
          <w:szCs w:val="22"/>
          <w:lang w:val="es-ES_tradnl"/>
        </w:rPr>
        <w:t xml:space="preserve"> aproximadamente 107.000 francos suizos. </w:t>
      </w:r>
    </w:p>
    <w:p w14:paraId="60C731D4" w14:textId="77777777" w:rsidR="000B4D4F" w:rsidRPr="007D3C50" w:rsidRDefault="000B4D4F" w:rsidP="003D6AB7">
      <w:pPr>
        <w:pStyle w:val="ListParagraph"/>
        <w:spacing w:after="0" w:line="240" w:lineRule="auto"/>
        <w:ind w:left="426" w:hanging="426"/>
        <w:rPr>
          <w:rFonts w:cs="Times New Roman"/>
          <w:lang w:val="es-ES_tradnl"/>
        </w:rPr>
      </w:pPr>
    </w:p>
    <w:p w14:paraId="54CF79DE" w14:textId="39102261" w:rsidR="00E00A22" w:rsidRPr="007D3C50" w:rsidRDefault="00687D32"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El G</w:t>
      </w:r>
      <w:r w:rsidR="00D1113C" w:rsidRPr="007D3C50">
        <w:rPr>
          <w:rFonts w:asciiTheme="minorHAnsi" w:hAnsiTheme="minorHAnsi" w:cs="Times New Roman"/>
          <w:sz w:val="22"/>
          <w:szCs w:val="22"/>
          <w:lang w:val="es-ES_tradnl"/>
        </w:rPr>
        <w:t>ráfico</w:t>
      </w:r>
      <w:r w:rsidR="00641CE0">
        <w:rPr>
          <w:rFonts w:asciiTheme="minorHAnsi" w:hAnsiTheme="minorHAnsi" w:cs="Times New Roman"/>
          <w:sz w:val="22"/>
          <w:szCs w:val="22"/>
          <w:lang w:val="es-ES_tradnl"/>
        </w:rPr>
        <w:t xml:space="preserve"> </w:t>
      </w:r>
      <w:r w:rsidR="00DA4B44" w:rsidRPr="007D3C50">
        <w:rPr>
          <w:rFonts w:asciiTheme="minorHAnsi" w:hAnsiTheme="minorHAnsi" w:cs="Times New Roman"/>
          <w:sz w:val="22"/>
          <w:szCs w:val="22"/>
          <w:lang w:val="es-ES_tradnl"/>
        </w:rPr>
        <w:t>1</w:t>
      </w:r>
      <w:r w:rsidR="00C570F9" w:rsidRPr="007D3C50">
        <w:rPr>
          <w:rFonts w:asciiTheme="minorHAnsi" w:hAnsiTheme="minorHAnsi" w:cs="Times New Roman"/>
          <w:sz w:val="22"/>
          <w:szCs w:val="22"/>
          <w:lang w:val="es-ES_tradnl"/>
        </w:rPr>
        <w:t xml:space="preserve"> </w:t>
      </w:r>
      <w:r w:rsidR="00D1113C" w:rsidRPr="007D3C50">
        <w:rPr>
          <w:rFonts w:asciiTheme="minorHAnsi" w:hAnsiTheme="minorHAnsi" w:cs="Times New Roman"/>
          <w:sz w:val="22"/>
          <w:szCs w:val="22"/>
          <w:lang w:val="es-ES_tradnl"/>
        </w:rPr>
        <w:t>muestra que las contribucione</w:t>
      </w:r>
      <w:r w:rsidR="005D3CCF" w:rsidRPr="007D3C50">
        <w:rPr>
          <w:rFonts w:asciiTheme="minorHAnsi" w:hAnsiTheme="minorHAnsi" w:cs="Times New Roman"/>
          <w:sz w:val="22"/>
          <w:szCs w:val="22"/>
          <w:lang w:val="es-ES_tradnl"/>
        </w:rPr>
        <w:t xml:space="preserve">s voluntarias al </w:t>
      </w:r>
      <w:r w:rsidR="00D1113C" w:rsidRPr="007D3C50">
        <w:rPr>
          <w:rFonts w:asciiTheme="minorHAnsi" w:hAnsiTheme="minorHAnsi" w:cs="Times New Roman"/>
          <w:sz w:val="22"/>
          <w:szCs w:val="22"/>
          <w:lang w:val="es-ES_tradnl"/>
        </w:rPr>
        <w:t>F</w:t>
      </w:r>
      <w:r w:rsidR="005D3CCF" w:rsidRPr="007D3C50">
        <w:rPr>
          <w:rFonts w:asciiTheme="minorHAnsi" w:hAnsiTheme="minorHAnsi" w:cs="Times New Roman"/>
          <w:sz w:val="22"/>
          <w:szCs w:val="22"/>
          <w:lang w:val="es-ES_tradnl"/>
        </w:rPr>
        <w:t>P</w:t>
      </w:r>
      <w:r w:rsidR="00D1113C" w:rsidRPr="007D3C50">
        <w:rPr>
          <w:rFonts w:asciiTheme="minorHAnsi" w:hAnsiTheme="minorHAnsi" w:cs="Times New Roman"/>
          <w:sz w:val="22"/>
          <w:szCs w:val="22"/>
          <w:lang w:val="es-ES_tradnl"/>
        </w:rPr>
        <w:t xml:space="preserve">S han variado considerablemente a lo largo del tiempo, y la última ocasión en que el FPS logró alcanzar </w:t>
      </w:r>
      <w:r w:rsidR="005D3CCF" w:rsidRPr="007D3C50">
        <w:rPr>
          <w:rFonts w:asciiTheme="minorHAnsi" w:hAnsiTheme="minorHAnsi" w:cs="Times New Roman"/>
          <w:sz w:val="22"/>
          <w:szCs w:val="22"/>
          <w:lang w:val="es-ES_tradnl"/>
        </w:rPr>
        <w:t>el</w:t>
      </w:r>
      <w:r w:rsidR="00D1113C" w:rsidRPr="007D3C50">
        <w:rPr>
          <w:rFonts w:asciiTheme="minorHAnsi" w:hAnsiTheme="minorHAnsi" w:cs="Times New Roman"/>
          <w:sz w:val="22"/>
          <w:szCs w:val="22"/>
          <w:lang w:val="es-ES_tradnl"/>
        </w:rPr>
        <w:t xml:space="preserve"> objetivo de </w:t>
      </w:r>
      <w:r w:rsidR="005D3CCF" w:rsidRPr="007D3C50">
        <w:rPr>
          <w:rFonts w:asciiTheme="minorHAnsi" w:hAnsiTheme="minorHAnsi" w:cs="Times New Roman"/>
          <w:sz w:val="22"/>
          <w:szCs w:val="22"/>
          <w:lang w:val="es-ES_tradnl"/>
        </w:rPr>
        <w:t>recaud</w:t>
      </w:r>
      <w:r w:rsidR="00D1113C" w:rsidRPr="007D3C50">
        <w:rPr>
          <w:rFonts w:asciiTheme="minorHAnsi" w:hAnsiTheme="minorHAnsi" w:cs="Times New Roman"/>
          <w:sz w:val="22"/>
          <w:szCs w:val="22"/>
          <w:lang w:val="es-ES_tradnl"/>
        </w:rPr>
        <w:t xml:space="preserve">ar 1.000.000 francos suizos fue en 1997. </w:t>
      </w:r>
      <w:r w:rsidRPr="007D3C50">
        <w:rPr>
          <w:rFonts w:asciiTheme="minorHAnsi" w:hAnsiTheme="minorHAnsi" w:cs="Times New Roman"/>
          <w:sz w:val="22"/>
          <w:szCs w:val="22"/>
          <w:lang w:val="es-ES_tradnl"/>
        </w:rPr>
        <w:t xml:space="preserve">El Cuadro </w:t>
      </w:r>
      <w:r w:rsidR="00370287" w:rsidRPr="007D3C50">
        <w:rPr>
          <w:rFonts w:asciiTheme="minorHAnsi" w:hAnsiTheme="minorHAnsi" w:cs="Times New Roman"/>
          <w:sz w:val="22"/>
          <w:szCs w:val="22"/>
          <w:lang w:val="es-ES_tradnl"/>
        </w:rPr>
        <w:t>1</w:t>
      </w:r>
      <w:r w:rsidR="00E00A22" w:rsidRPr="007D3C5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muestra el número de proyectos financiados y los países donantes a partir del año 2002.</w:t>
      </w:r>
      <w:r w:rsidR="007D3C5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No se han realizado convocatorias de nuevas propuestas para el FPS desde el ciclo</w:t>
      </w:r>
      <w:r w:rsidR="00641CE0">
        <w:rPr>
          <w:rFonts w:asciiTheme="minorHAnsi" w:hAnsiTheme="minorHAnsi" w:cs="Times New Roman"/>
          <w:sz w:val="22"/>
          <w:szCs w:val="22"/>
          <w:lang w:val="es-ES_tradnl"/>
        </w:rPr>
        <w:t xml:space="preserve"> </w:t>
      </w:r>
      <w:r w:rsidR="00980104" w:rsidRPr="007D3C50">
        <w:rPr>
          <w:rFonts w:asciiTheme="minorHAnsi" w:hAnsiTheme="minorHAnsi" w:cs="Times New Roman"/>
          <w:sz w:val="22"/>
          <w:szCs w:val="22"/>
          <w:lang w:val="es-ES_tradnl"/>
        </w:rPr>
        <w:t xml:space="preserve">2010-2011 </w:t>
      </w:r>
      <w:r w:rsidRPr="007D3C50">
        <w:rPr>
          <w:rFonts w:asciiTheme="minorHAnsi" w:hAnsiTheme="minorHAnsi" w:cs="Times New Roman"/>
          <w:sz w:val="22"/>
          <w:szCs w:val="22"/>
          <w:lang w:val="es-ES_tradnl"/>
        </w:rPr>
        <w:t xml:space="preserve">debido a la falta de fondos y al número excesivo de proyectos clasificados como prioritarios a la espera de financiación. Actualmente, no hay fondos disponibles en el FPS para proyectos nuevos. </w:t>
      </w:r>
    </w:p>
    <w:p w14:paraId="36830A0C" w14:textId="77777777" w:rsidR="008B7384" w:rsidRPr="007D3C50" w:rsidRDefault="008B7384" w:rsidP="003D6AB7">
      <w:pPr>
        <w:pStyle w:val="Default"/>
        <w:rPr>
          <w:rFonts w:asciiTheme="minorHAnsi" w:hAnsiTheme="minorHAnsi" w:cs="Times New Roman"/>
          <w:sz w:val="22"/>
          <w:szCs w:val="22"/>
          <w:lang w:val="es-ES_tradnl"/>
        </w:rPr>
      </w:pPr>
    </w:p>
    <w:p w14:paraId="753AF869" w14:textId="77777777" w:rsidR="007D3C50" w:rsidRDefault="007D3C50" w:rsidP="003D6AB7">
      <w:pPr>
        <w:spacing w:after="0" w:line="240" w:lineRule="auto"/>
        <w:rPr>
          <w:rFonts w:cs="Times New Roman"/>
          <w:lang w:val="es-ES_tradnl"/>
        </w:rPr>
      </w:pPr>
    </w:p>
    <w:p w14:paraId="7258DB03" w14:textId="77777777" w:rsidR="007D3C50" w:rsidRDefault="007D3C50" w:rsidP="003D6AB7">
      <w:pPr>
        <w:spacing w:after="0" w:line="240" w:lineRule="auto"/>
        <w:rPr>
          <w:rFonts w:cs="Times New Roman"/>
          <w:lang w:val="es-ES_tradnl"/>
        </w:rPr>
      </w:pPr>
    </w:p>
    <w:p w14:paraId="55D7007E" w14:textId="77777777" w:rsidR="007D3C50" w:rsidRDefault="007D3C50" w:rsidP="003D6AB7">
      <w:pPr>
        <w:spacing w:after="0" w:line="240" w:lineRule="auto"/>
        <w:rPr>
          <w:rFonts w:cs="Times New Roman"/>
          <w:lang w:val="es-ES_tradnl"/>
        </w:rPr>
      </w:pPr>
    </w:p>
    <w:p w14:paraId="343ACC19" w14:textId="77777777" w:rsidR="007D3C50" w:rsidRDefault="007D3C50" w:rsidP="003D6AB7">
      <w:pPr>
        <w:spacing w:after="0" w:line="240" w:lineRule="auto"/>
        <w:rPr>
          <w:rFonts w:cs="Times New Roman"/>
          <w:lang w:val="es-ES_tradnl"/>
        </w:rPr>
      </w:pPr>
    </w:p>
    <w:p w14:paraId="4EB4AB41" w14:textId="77777777" w:rsidR="007D3C50" w:rsidRDefault="007D3C50" w:rsidP="003D6AB7">
      <w:pPr>
        <w:spacing w:after="0" w:line="240" w:lineRule="auto"/>
        <w:rPr>
          <w:rFonts w:cs="Times New Roman"/>
          <w:lang w:val="es-ES_tradnl"/>
        </w:rPr>
      </w:pPr>
    </w:p>
    <w:p w14:paraId="041AC418" w14:textId="77777777" w:rsidR="007D3C50" w:rsidRDefault="007D3C50" w:rsidP="003D6AB7">
      <w:pPr>
        <w:spacing w:after="0" w:line="240" w:lineRule="auto"/>
        <w:rPr>
          <w:rFonts w:cs="Times New Roman"/>
          <w:lang w:val="es-ES_tradnl"/>
        </w:rPr>
      </w:pPr>
    </w:p>
    <w:p w14:paraId="11E17A47" w14:textId="77777777" w:rsidR="007D3C50" w:rsidRDefault="007D3C50" w:rsidP="003D6AB7">
      <w:pPr>
        <w:spacing w:after="0" w:line="240" w:lineRule="auto"/>
        <w:rPr>
          <w:rFonts w:cs="Times New Roman"/>
          <w:lang w:val="es-ES_tradnl"/>
        </w:rPr>
      </w:pPr>
    </w:p>
    <w:p w14:paraId="121CBA0E" w14:textId="77777777" w:rsidR="007D3C50" w:rsidRDefault="007D3C50" w:rsidP="003D6AB7">
      <w:pPr>
        <w:spacing w:after="0" w:line="240" w:lineRule="auto"/>
        <w:rPr>
          <w:rFonts w:cs="Times New Roman"/>
          <w:lang w:val="es-ES_tradnl"/>
        </w:rPr>
      </w:pPr>
    </w:p>
    <w:p w14:paraId="5C254460" w14:textId="3C5BA1D8" w:rsidR="008B7384" w:rsidRPr="007D3C50" w:rsidRDefault="00E86663" w:rsidP="003D6AB7">
      <w:pPr>
        <w:spacing w:after="0" w:line="240" w:lineRule="auto"/>
        <w:rPr>
          <w:rFonts w:cs="Times New Roman"/>
          <w:lang w:val="es-ES_tradnl"/>
        </w:rPr>
      </w:pPr>
      <w:r w:rsidRPr="007D3C50">
        <w:rPr>
          <w:rFonts w:cs="Times New Roman"/>
          <w:lang w:val="es-ES_tradnl"/>
        </w:rPr>
        <w:t>Gráfico</w:t>
      </w:r>
      <w:r w:rsidR="008B7384" w:rsidRPr="007D3C50">
        <w:rPr>
          <w:rFonts w:cs="Times New Roman"/>
          <w:lang w:val="es-ES_tradnl"/>
        </w:rPr>
        <w:t xml:space="preserve"> 1.</w:t>
      </w:r>
      <w:r w:rsidR="00DD25C7" w:rsidRPr="007D3C50">
        <w:rPr>
          <w:rFonts w:cs="Times New Roman"/>
          <w:lang w:val="es-ES_tradnl"/>
        </w:rPr>
        <w:t xml:space="preserve"> </w:t>
      </w:r>
      <w:r w:rsidRPr="007D3C50">
        <w:rPr>
          <w:rFonts w:cs="Times New Roman"/>
          <w:lang w:val="es-ES_tradnl"/>
        </w:rPr>
        <w:t xml:space="preserve">Importe acumulado de contribuciones anuales voluntarias al Fondo de Pequeñas Subvenciones </w:t>
      </w:r>
    </w:p>
    <w:p w14:paraId="1CBD04CC" w14:textId="77777777" w:rsidR="000B4C27" w:rsidRPr="007D3C50" w:rsidRDefault="000B4C27" w:rsidP="003D6AB7">
      <w:pPr>
        <w:spacing w:after="0" w:line="240" w:lineRule="auto"/>
        <w:rPr>
          <w:rFonts w:cs="Times New Roman"/>
          <w:lang w:val="es-ES_tradnl"/>
        </w:rPr>
      </w:pPr>
    </w:p>
    <w:p w14:paraId="1A6DCB7F" w14:textId="77777777" w:rsidR="0035071D" w:rsidRPr="007D3C50" w:rsidRDefault="00575043" w:rsidP="003D6AB7">
      <w:pPr>
        <w:spacing w:after="0" w:line="240" w:lineRule="auto"/>
        <w:rPr>
          <w:rFonts w:cs="Times New Roman"/>
          <w:lang w:val="es-ES_tradnl"/>
        </w:rPr>
      </w:pPr>
      <w:r w:rsidRPr="007D3C50">
        <w:rPr>
          <w:noProof/>
          <w:lang w:eastAsia="en-GB"/>
        </w:rPr>
        <w:drawing>
          <wp:inline distT="0" distB="0" distL="0" distR="0" wp14:anchorId="6A5DD34D" wp14:editId="2C80189A">
            <wp:extent cx="5822830" cy="2682815"/>
            <wp:effectExtent l="0" t="0" r="26035" b="22860"/>
            <wp:docPr id="2" name="Chart 2" title="CHF"/>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1A70C4" w14:textId="77777777" w:rsidR="007D3C50" w:rsidRDefault="007D3C50" w:rsidP="003D6AB7">
      <w:pPr>
        <w:spacing w:after="0" w:line="240" w:lineRule="auto"/>
        <w:rPr>
          <w:rFonts w:cs="Times New Roman"/>
          <w:lang w:val="es-ES_tradnl"/>
        </w:rPr>
      </w:pPr>
    </w:p>
    <w:p w14:paraId="01248242" w14:textId="3B34D856" w:rsidR="00370287" w:rsidRPr="007D3C50" w:rsidRDefault="005E432F" w:rsidP="003D6AB7">
      <w:pPr>
        <w:spacing w:after="0" w:line="240" w:lineRule="auto"/>
        <w:rPr>
          <w:rFonts w:cs="Times New Roman"/>
          <w:lang w:val="es-ES_tradnl"/>
        </w:rPr>
      </w:pPr>
      <w:r w:rsidRPr="007D3C50">
        <w:rPr>
          <w:rFonts w:cs="Times New Roman"/>
          <w:lang w:val="es-ES_tradnl"/>
        </w:rPr>
        <w:t xml:space="preserve">Cuadro </w:t>
      </w:r>
      <w:r w:rsidR="008B7384" w:rsidRPr="007D3C50">
        <w:rPr>
          <w:rFonts w:cs="Times New Roman"/>
          <w:lang w:val="es-ES_tradnl"/>
        </w:rPr>
        <w:t>1.</w:t>
      </w:r>
      <w:r w:rsidR="00DD25C7" w:rsidRPr="007D3C50">
        <w:rPr>
          <w:rFonts w:cs="Times New Roman"/>
          <w:lang w:val="es-ES_tradnl"/>
        </w:rPr>
        <w:t xml:space="preserve"> </w:t>
      </w:r>
      <w:r w:rsidR="00370287" w:rsidRPr="007D3C50">
        <w:rPr>
          <w:rFonts w:cs="Times New Roman"/>
          <w:lang w:val="es-ES_tradnl"/>
        </w:rPr>
        <w:t>Provisi</w:t>
      </w:r>
      <w:r w:rsidRPr="007D3C50">
        <w:rPr>
          <w:rFonts w:cs="Times New Roman"/>
          <w:lang w:val="es-ES_tradnl"/>
        </w:rPr>
        <w:t>ón de fondos al</w:t>
      </w:r>
      <w:r w:rsidR="0012735E" w:rsidRPr="007D3C50">
        <w:rPr>
          <w:rFonts w:cs="Times New Roman"/>
          <w:lang w:val="es-ES_tradnl"/>
        </w:rPr>
        <w:t xml:space="preserve"> Fondo de Pequeñas Subvenciones</w:t>
      </w:r>
      <w:r w:rsidRPr="007D3C50">
        <w:rPr>
          <w:rFonts w:cs="Times New Roman"/>
          <w:lang w:val="es-ES_tradnl"/>
        </w:rPr>
        <w:t xml:space="preserve"> </w:t>
      </w:r>
      <w:r w:rsidR="0012735E" w:rsidRPr="007D3C50">
        <w:rPr>
          <w:rFonts w:cs="Times New Roman"/>
          <w:lang w:val="es-ES_tradnl"/>
        </w:rPr>
        <w:t xml:space="preserve">por año </w:t>
      </w:r>
      <w:r w:rsidRPr="007D3C50">
        <w:rPr>
          <w:rFonts w:cs="Times New Roman"/>
          <w:lang w:val="es-ES_tradnl"/>
        </w:rPr>
        <w:t xml:space="preserve">y número de proyectos financiados </w:t>
      </w:r>
    </w:p>
    <w:tbl>
      <w:tblPr>
        <w:tblW w:w="9036" w:type="dxa"/>
        <w:tblInd w:w="93" w:type="dxa"/>
        <w:tblLayout w:type="fixed"/>
        <w:tblCellMar>
          <w:top w:w="28" w:type="dxa"/>
          <w:left w:w="57" w:type="dxa"/>
          <w:bottom w:w="28" w:type="dxa"/>
          <w:right w:w="57" w:type="dxa"/>
        </w:tblCellMar>
        <w:tblLook w:val="04A0" w:firstRow="1" w:lastRow="0" w:firstColumn="1" w:lastColumn="0" w:noHBand="0" w:noVBand="1"/>
      </w:tblPr>
      <w:tblGrid>
        <w:gridCol w:w="866"/>
        <w:gridCol w:w="1199"/>
        <w:gridCol w:w="2460"/>
        <w:gridCol w:w="1251"/>
        <w:gridCol w:w="3260"/>
      </w:tblGrid>
      <w:tr w:rsidR="008B7384" w:rsidRPr="00195653" w14:paraId="12E5FBA4" w14:textId="77777777" w:rsidTr="00150BA4">
        <w:trPr>
          <w:tblHead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2FEBFE" w14:textId="755C2605" w:rsidR="008B7384" w:rsidRPr="007D3C50" w:rsidRDefault="006F4830" w:rsidP="006F4830">
            <w:pPr>
              <w:spacing w:after="0" w:line="240" w:lineRule="auto"/>
              <w:jc w:val="center"/>
              <w:rPr>
                <w:rFonts w:eastAsia="Times New Roman" w:cs="Arial"/>
                <w:b/>
                <w:bCs/>
                <w:sz w:val="20"/>
                <w:szCs w:val="20"/>
                <w:lang w:val="es-ES_tradnl" w:eastAsia="en-GB"/>
              </w:rPr>
            </w:pPr>
            <w:r w:rsidRPr="007D3C50">
              <w:rPr>
                <w:rFonts w:eastAsia="Times New Roman" w:cs="Arial"/>
                <w:b/>
                <w:bCs/>
                <w:sz w:val="20"/>
                <w:szCs w:val="20"/>
                <w:lang w:val="es-ES_tradnl" w:eastAsia="en-GB"/>
              </w:rPr>
              <w:t>Ciclo anual del FPS</w:t>
            </w:r>
          </w:p>
        </w:tc>
        <w:tc>
          <w:tcPr>
            <w:tcW w:w="1199" w:type="dxa"/>
            <w:tcBorders>
              <w:top w:val="single" w:sz="4" w:space="0" w:color="auto"/>
              <w:left w:val="nil"/>
              <w:bottom w:val="single" w:sz="4" w:space="0" w:color="auto"/>
              <w:right w:val="single" w:sz="4" w:space="0" w:color="auto"/>
            </w:tcBorders>
            <w:shd w:val="clear" w:color="auto" w:fill="D9D9D9"/>
            <w:vAlign w:val="center"/>
            <w:hideMark/>
          </w:tcPr>
          <w:p w14:paraId="177D48F7" w14:textId="7CCC9769" w:rsidR="008B7384" w:rsidRPr="007D3C50" w:rsidRDefault="005E432F" w:rsidP="005E432F">
            <w:pPr>
              <w:spacing w:after="0" w:line="240" w:lineRule="auto"/>
              <w:jc w:val="center"/>
              <w:rPr>
                <w:rFonts w:eastAsia="Times New Roman" w:cs="Arial"/>
                <w:b/>
                <w:bCs/>
                <w:sz w:val="20"/>
                <w:szCs w:val="20"/>
                <w:lang w:val="es-ES_tradnl" w:eastAsia="en-GB"/>
              </w:rPr>
            </w:pPr>
            <w:r w:rsidRPr="007D3C50">
              <w:rPr>
                <w:rFonts w:eastAsia="Times New Roman" w:cs="Arial"/>
                <w:b/>
                <w:bCs/>
                <w:sz w:val="20"/>
                <w:szCs w:val="20"/>
                <w:lang w:val="es-ES_tradnl" w:eastAsia="en-GB"/>
              </w:rPr>
              <w:t>Fondos netos recibidos para proyectos</w:t>
            </w:r>
            <w:r w:rsidR="008B7384" w:rsidRPr="007D3C50">
              <w:rPr>
                <w:rFonts w:eastAsia="Times New Roman" w:cs="Arial"/>
                <w:b/>
                <w:bCs/>
                <w:sz w:val="20"/>
                <w:szCs w:val="20"/>
                <w:lang w:val="es-ES_tradnl" w:eastAsia="en-GB"/>
              </w:rPr>
              <w:t xml:space="preserve"> (CHF)</w:t>
            </w:r>
          </w:p>
        </w:tc>
        <w:tc>
          <w:tcPr>
            <w:tcW w:w="2460" w:type="dxa"/>
            <w:tcBorders>
              <w:top w:val="single" w:sz="4" w:space="0" w:color="auto"/>
              <w:left w:val="nil"/>
              <w:bottom w:val="single" w:sz="4" w:space="0" w:color="auto"/>
              <w:right w:val="single" w:sz="4" w:space="0" w:color="auto"/>
            </w:tcBorders>
            <w:shd w:val="clear" w:color="auto" w:fill="D9D9D9"/>
            <w:vAlign w:val="center"/>
            <w:hideMark/>
          </w:tcPr>
          <w:p w14:paraId="3C64EF77" w14:textId="4FD99433" w:rsidR="008B7384" w:rsidRPr="007D3C50" w:rsidRDefault="0012735E" w:rsidP="003D6AB7">
            <w:pPr>
              <w:spacing w:after="0" w:line="240" w:lineRule="auto"/>
              <w:jc w:val="center"/>
              <w:rPr>
                <w:rFonts w:eastAsia="Times New Roman" w:cs="Arial"/>
                <w:b/>
                <w:bCs/>
                <w:sz w:val="20"/>
                <w:szCs w:val="20"/>
                <w:lang w:val="es-ES_tradnl" w:eastAsia="en-GB"/>
              </w:rPr>
            </w:pPr>
            <w:r w:rsidRPr="007D3C50">
              <w:rPr>
                <w:rFonts w:eastAsia="Times New Roman" w:cs="Arial"/>
                <w:b/>
                <w:bCs/>
                <w:sz w:val="20"/>
                <w:szCs w:val="20"/>
                <w:lang w:val="es-ES_tradnl" w:eastAsia="en-GB"/>
              </w:rPr>
              <w:t>Países y organizacio</w:t>
            </w:r>
            <w:r w:rsidR="005E432F" w:rsidRPr="007D3C50">
              <w:rPr>
                <w:rFonts w:eastAsia="Times New Roman" w:cs="Arial"/>
                <w:b/>
                <w:bCs/>
                <w:sz w:val="20"/>
                <w:szCs w:val="20"/>
                <w:lang w:val="es-ES_tradnl" w:eastAsia="en-GB"/>
              </w:rPr>
              <w:t>n</w:t>
            </w:r>
            <w:r w:rsidRPr="007D3C50">
              <w:rPr>
                <w:rFonts w:eastAsia="Times New Roman" w:cs="Arial"/>
                <w:b/>
                <w:bCs/>
                <w:sz w:val="20"/>
                <w:szCs w:val="20"/>
                <w:lang w:val="es-ES_tradnl" w:eastAsia="en-GB"/>
              </w:rPr>
              <w:t>es</w:t>
            </w:r>
            <w:r w:rsidR="005E432F" w:rsidRPr="007D3C50">
              <w:rPr>
                <w:rFonts w:eastAsia="Times New Roman" w:cs="Arial"/>
                <w:b/>
                <w:bCs/>
                <w:sz w:val="20"/>
                <w:szCs w:val="20"/>
                <w:lang w:val="es-ES_tradnl" w:eastAsia="en-GB"/>
              </w:rPr>
              <w:t xml:space="preserve"> donantes</w:t>
            </w:r>
          </w:p>
        </w:tc>
        <w:tc>
          <w:tcPr>
            <w:tcW w:w="1251" w:type="dxa"/>
            <w:tcBorders>
              <w:top w:val="single" w:sz="4" w:space="0" w:color="auto"/>
              <w:left w:val="nil"/>
              <w:bottom w:val="single" w:sz="4" w:space="0" w:color="auto"/>
              <w:right w:val="single" w:sz="4" w:space="0" w:color="auto"/>
            </w:tcBorders>
            <w:shd w:val="clear" w:color="auto" w:fill="D9D9D9"/>
            <w:vAlign w:val="center"/>
            <w:hideMark/>
          </w:tcPr>
          <w:p w14:paraId="074389DE" w14:textId="0E2EB07A" w:rsidR="008B7384" w:rsidRPr="007D3C50" w:rsidRDefault="008B7384" w:rsidP="005E432F">
            <w:pPr>
              <w:spacing w:after="0" w:line="240" w:lineRule="auto"/>
              <w:jc w:val="center"/>
              <w:rPr>
                <w:rFonts w:eastAsia="Times New Roman" w:cs="Arial"/>
                <w:b/>
                <w:bCs/>
                <w:sz w:val="20"/>
                <w:szCs w:val="20"/>
                <w:lang w:val="es-ES_tradnl" w:eastAsia="en-GB"/>
              </w:rPr>
            </w:pPr>
            <w:r w:rsidRPr="007D3C50">
              <w:rPr>
                <w:rFonts w:eastAsia="Times New Roman" w:cs="Arial"/>
                <w:b/>
                <w:bCs/>
                <w:sz w:val="20"/>
                <w:szCs w:val="20"/>
                <w:lang w:val="es-ES_tradnl" w:eastAsia="en-GB"/>
              </w:rPr>
              <w:t>N</w:t>
            </w:r>
            <w:r w:rsidR="005E432F" w:rsidRPr="007D3C50">
              <w:rPr>
                <w:rFonts w:eastAsia="Times New Roman" w:cs="Arial"/>
                <w:b/>
                <w:bCs/>
                <w:sz w:val="20"/>
                <w:szCs w:val="20"/>
                <w:lang w:val="es-ES_tradnl" w:eastAsia="en-GB"/>
              </w:rPr>
              <w:t>úmero de</w:t>
            </w:r>
            <w:r w:rsidR="00641CE0">
              <w:rPr>
                <w:rFonts w:eastAsia="Times New Roman" w:cs="Arial"/>
                <w:b/>
                <w:bCs/>
                <w:sz w:val="20"/>
                <w:szCs w:val="20"/>
                <w:lang w:val="es-ES_tradnl" w:eastAsia="en-GB"/>
              </w:rPr>
              <w:t xml:space="preserve"> </w:t>
            </w:r>
            <w:r w:rsidRPr="007D3C50">
              <w:rPr>
                <w:rFonts w:eastAsia="Times New Roman" w:cs="Arial"/>
                <w:b/>
                <w:bCs/>
                <w:sz w:val="20"/>
                <w:szCs w:val="20"/>
                <w:lang w:val="es-ES_tradnl" w:eastAsia="en-GB"/>
              </w:rPr>
              <w:t>pro</w:t>
            </w:r>
            <w:r w:rsidR="005E432F" w:rsidRPr="007D3C50">
              <w:rPr>
                <w:rFonts w:eastAsia="Times New Roman" w:cs="Arial"/>
                <w:b/>
                <w:bCs/>
                <w:sz w:val="20"/>
                <w:szCs w:val="20"/>
                <w:lang w:val="es-ES_tradnl" w:eastAsia="en-GB"/>
              </w:rPr>
              <w:t>y</w:t>
            </w:r>
            <w:r w:rsidRPr="007D3C50">
              <w:rPr>
                <w:rFonts w:eastAsia="Times New Roman" w:cs="Arial"/>
                <w:b/>
                <w:bCs/>
                <w:sz w:val="20"/>
                <w:szCs w:val="20"/>
                <w:lang w:val="es-ES_tradnl" w:eastAsia="en-GB"/>
              </w:rPr>
              <w:t>ect</w:t>
            </w:r>
            <w:r w:rsidR="005E432F" w:rsidRPr="007D3C50">
              <w:rPr>
                <w:rFonts w:eastAsia="Times New Roman" w:cs="Arial"/>
                <w:b/>
                <w:bCs/>
                <w:sz w:val="20"/>
                <w:szCs w:val="20"/>
                <w:lang w:val="es-ES_tradnl" w:eastAsia="en-GB"/>
              </w:rPr>
              <w:t>o</w:t>
            </w:r>
            <w:r w:rsidRPr="007D3C50">
              <w:rPr>
                <w:rFonts w:eastAsia="Times New Roman" w:cs="Arial"/>
                <w:b/>
                <w:bCs/>
                <w:sz w:val="20"/>
                <w:szCs w:val="20"/>
                <w:lang w:val="es-ES_tradnl" w:eastAsia="en-GB"/>
              </w:rPr>
              <w:t>s f</w:t>
            </w:r>
            <w:r w:rsidR="005E432F" w:rsidRPr="007D3C50">
              <w:rPr>
                <w:rFonts w:eastAsia="Times New Roman" w:cs="Arial"/>
                <w:b/>
                <w:bCs/>
                <w:sz w:val="20"/>
                <w:szCs w:val="20"/>
                <w:lang w:val="es-ES_tradnl" w:eastAsia="en-GB"/>
              </w:rPr>
              <w:t>inanciados</w:t>
            </w:r>
          </w:p>
        </w:tc>
        <w:tc>
          <w:tcPr>
            <w:tcW w:w="3260" w:type="dxa"/>
            <w:tcBorders>
              <w:top w:val="single" w:sz="4" w:space="0" w:color="auto"/>
              <w:left w:val="nil"/>
              <w:bottom w:val="single" w:sz="4" w:space="0" w:color="auto"/>
              <w:right w:val="single" w:sz="4" w:space="0" w:color="auto"/>
            </w:tcBorders>
            <w:shd w:val="clear" w:color="auto" w:fill="D9D9D9"/>
            <w:vAlign w:val="center"/>
            <w:hideMark/>
          </w:tcPr>
          <w:p w14:paraId="450CB0C3" w14:textId="3966A810" w:rsidR="008B7384" w:rsidRPr="007D3C50" w:rsidRDefault="008B7384" w:rsidP="006F4830">
            <w:pPr>
              <w:spacing w:after="0" w:line="240" w:lineRule="auto"/>
              <w:jc w:val="center"/>
              <w:rPr>
                <w:rFonts w:eastAsia="Times New Roman" w:cs="Arial"/>
                <w:b/>
                <w:bCs/>
                <w:sz w:val="20"/>
                <w:szCs w:val="20"/>
                <w:lang w:val="es-ES_tradnl" w:eastAsia="en-GB"/>
              </w:rPr>
            </w:pPr>
            <w:r w:rsidRPr="007D3C50">
              <w:rPr>
                <w:rFonts w:eastAsia="Times New Roman" w:cs="Arial"/>
                <w:b/>
                <w:bCs/>
                <w:sz w:val="20"/>
                <w:szCs w:val="20"/>
                <w:lang w:val="es-ES_tradnl" w:eastAsia="en-GB"/>
              </w:rPr>
              <w:t>L</w:t>
            </w:r>
            <w:r w:rsidR="006F4830" w:rsidRPr="007D3C50">
              <w:rPr>
                <w:rFonts w:eastAsia="Times New Roman" w:cs="Arial"/>
                <w:b/>
                <w:bCs/>
                <w:sz w:val="20"/>
                <w:szCs w:val="20"/>
                <w:lang w:val="es-ES_tradnl" w:eastAsia="en-GB"/>
              </w:rPr>
              <w:t>ugar de los proyectos financiados</w:t>
            </w:r>
          </w:p>
        </w:tc>
      </w:tr>
      <w:tr w:rsidR="008B7384" w:rsidRPr="00195653" w14:paraId="413E1CB8"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1BF36B0B"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2002</w:t>
            </w:r>
          </w:p>
        </w:tc>
        <w:tc>
          <w:tcPr>
            <w:tcW w:w="1199" w:type="dxa"/>
            <w:tcBorders>
              <w:top w:val="nil"/>
              <w:left w:val="nil"/>
              <w:bottom w:val="single" w:sz="4" w:space="0" w:color="auto"/>
              <w:right w:val="single" w:sz="4" w:space="0" w:color="auto"/>
            </w:tcBorders>
            <w:hideMark/>
          </w:tcPr>
          <w:p w14:paraId="645E3BC4" w14:textId="324A4BB3"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574</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854</w:t>
            </w:r>
          </w:p>
        </w:tc>
        <w:tc>
          <w:tcPr>
            <w:tcW w:w="2460" w:type="dxa"/>
            <w:tcBorders>
              <w:top w:val="nil"/>
              <w:left w:val="nil"/>
              <w:bottom w:val="single" w:sz="4" w:space="0" w:color="auto"/>
              <w:right w:val="single" w:sz="4" w:space="0" w:color="auto"/>
            </w:tcBorders>
            <w:hideMark/>
          </w:tcPr>
          <w:p w14:paraId="0E27C5F1" w14:textId="27632D3F" w:rsidR="008B7384" w:rsidRPr="007D3C50" w:rsidRDefault="008B7384" w:rsidP="005E432F">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xml:space="preserve">Austria, </w:t>
            </w:r>
            <w:r w:rsidR="005E432F" w:rsidRPr="007D3C50">
              <w:rPr>
                <w:rFonts w:eastAsia="Times New Roman" w:cs="Arial"/>
                <w:sz w:val="20"/>
                <w:szCs w:val="20"/>
                <w:lang w:val="es-ES_tradnl" w:eastAsia="en-GB"/>
              </w:rPr>
              <w:t>España, Estados Unidos de Amér</w:t>
            </w:r>
            <w:r w:rsidR="007D3C50">
              <w:rPr>
                <w:rFonts w:eastAsia="Times New Roman" w:cs="Arial"/>
                <w:sz w:val="20"/>
                <w:szCs w:val="20"/>
                <w:lang w:val="es-ES_tradnl" w:eastAsia="en-GB"/>
              </w:rPr>
              <w:t>ica, Japón, Reino Unido, Suecia</w:t>
            </w:r>
          </w:p>
        </w:tc>
        <w:tc>
          <w:tcPr>
            <w:tcW w:w="1251" w:type="dxa"/>
            <w:tcBorders>
              <w:top w:val="nil"/>
              <w:left w:val="nil"/>
              <w:bottom w:val="single" w:sz="4" w:space="0" w:color="auto"/>
              <w:right w:val="single" w:sz="4" w:space="0" w:color="auto"/>
            </w:tcBorders>
            <w:hideMark/>
          </w:tcPr>
          <w:p w14:paraId="26E16C12"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17</w:t>
            </w:r>
          </w:p>
        </w:tc>
        <w:tc>
          <w:tcPr>
            <w:tcW w:w="3260" w:type="dxa"/>
            <w:tcBorders>
              <w:top w:val="nil"/>
              <w:left w:val="nil"/>
              <w:bottom w:val="single" w:sz="4" w:space="0" w:color="auto"/>
              <w:right w:val="single" w:sz="4" w:space="0" w:color="auto"/>
            </w:tcBorders>
            <w:hideMark/>
          </w:tcPr>
          <w:p w14:paraId="30FBA6E3" w14:textId="53A04160" w:rsidR="008B7384" w:rsidRPr="007D3C50" w:rsidRDefault="008B7384" w:rsidP="005E6675">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xml:space="preserve">Congo, Gambia </w:t>
            </w:r>
            <w:r w:rsidR="00C04188" w:rsidRPr="007D3C50">
              <w:rPr>
                <w:rFonts w:eastAsia="Times New Roman" w:cs="Arial"/>
                <w:sz w:val="20"/>
                <w:szCs w:val="20"/>
                <w:lang w:val="es-ES_tradnl" w:eastAsia="en-GB"/>
              </w:rPr>
              <w:t>y</w:t>
            </w:r>
            <w:r w:rsidR="00155BC8"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Senegal, Kenya, Mauri</w:t>
            </w:r>
            <w:r w:rsidR="005E6675" w:rsidRPr="007D3C50">
              <w:rPr>
                <w:rFonts w:eastAsia="Times New Roman" w:cs="Arial"/>
                <w:sz w:val="20"/>
                <w:szCs w:val="20"/>
                <w:lang w:val="es-ES_tradnl" w:eastAsia="en-GB"/>
              </w:rPr>
              <w:t>cio</w:t>
            </w:r>
            <w:r w:rsidRPr="007D3C50">
              <w:rPr>
                <w:rFonts w:eastAsia="Times New Roman" w:cs="Arial"/>
                <w:sz w:val="20"/>
                <w:szCs w:val="20"/>
                <w:lang w:val="es-ES_tradnl" w:eastAsia="en-GB"/>
              </w:rPr>
              <w:t>, Sierra Leon</w:t>
            </w:r>
            <w:r w:rsidR="005E6675" w:rsidRPr="007D3C50">
              <w:rPr>
                <w:rFonts w:eastAsia="Times New Roman" w:cs="Arial"/>
                <w:sz w:val="20"/>
                <w:szCs w:val="20"/>
                <w:lang w:val="es-ES_tradnl" w:eastAsia="en-GB"/>
              </w:rPr>
              <w:t>a</w:t>
            </w:r>
            <w:r w:rsidRPr="007D3C50">
              <w:rPr>
                <w:rFonts w:eastAsia="Times New Roman" w:cs="Arial"/>
                <w:sz w:val="20"/>
                <w:szCs w:val="20"/>
                <w:lang w:val="es-ES_tradnl" w:eastAsia="en-GB"/>
              </w:rPr>
              <w:t>, Sri Lanka, Tailand</w:t>
            </w:r>
            <w:r w:rsidR="005E6675" w:rsidRPr="007D3C50">
              <w:rPr>
                <w:rFonts w:eastAsia="Times New Roman" w:cs="Arial"/>
                <w:sz w:val="20"/>
                <w:szCs w:val="20"/>
                <w:lang w:val="es-ES_tradnl" w:eastAsia="en-GB"/>
              </w:rPr>
              <w:t>ia</w:t>
            </w:r>
            <w:r w:rsidRPr="007D3C50">
              <w:rPr>
                <w:rFonts w:eastAsia="Times New Roman" w:cs="Arial"/>
                <w:sz w:val="20"/>
                <w:szCs w:val="20"/>
                <w:lang w:val="es-ES_tradnl" w:eastAsia="en-GB"/>
              </w:rPr>
              <w:t>, Armenia, Bulgaria, Croa</w:t>
            </w:r>
            <w:r w:rsidR="005E6675" w:rsidRPr="007D3C50">
              <w:rPr>
                <w:rFonts w:eastAsia="Times New Roman" w:cs="Arial"/>
                <w:sz w:val="20"/>
                <w:szCs w:val="20"/>
                <w:lang w:val="es-ES_tradnl" w:eastAsia="en-GB"/>
              </w:rPr>
              <w:t>c</w:t>
            </w:r>
            <w:r w:rsidRPr="007D3C50">
              <w:rPr>
                <w:rFonts w:eastAsia="Times New Roman" w:cs="Arial"/>
                <w:sz w:val="20"/>
                <w:szCs w:val="20"/>
                <w:lang w:val="es-ES_tradnl" w:eastAsia="en-GB"/>
              </w:rPr>
              <w:t>ia,</w:t>
            </w:r>
            <w:r w:rsidR="00DD25C7"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Chile, Costa Rica, Cuba, M</w:t>
            </w:r>
            <w:r w:rsidR="005E6675" w:rsidRPr="007D3C50">
              <w:rPr>
                <w:rFonts w:eastAsia="Times New Roman" w:cs="Arial"/>
                <w:sz w:val="20"/>
                <w:szCs w:val="20"/>
                <w:lang w:val="es-ES_tradnl" w:eastAsia="en-GB"/>
              </w:rPr>
              <w:t>é</w:t>
            </w:r>
            <w:r w:rsidRPr="007D3C50">
              <w:rPr>
                <w:rFonts w:eastAsia="Times New Roman" w:cs="Arial"/>
                <w:sz w:val="20"/>
                <w:szCs w:val="20"/>
                <w:lang w:val="es-ES_tradnl" w:eastAsia="en-GB"/>
              </w:rPr>
              <w:t>xico, Uruguay, Fiji, Palau</w:t>
            </w:r>
          </w:p>
        </w:tc>
      </w:tr>
      <w:tr w:rsidR="008B7384" w:rsidRPr="00195653" w14:paraId="3A8E9BBD"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06E098E9"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2003</w:t>
            </w:r>
          </w:p>
        </w:tc>
        <w:tc>
          <w:tcPr>
            <w:tcW w:w="1199" w:type="dxa"/>
            <w:tcBorders>
              <w:top w:val="nil"/>
              <w:left w:val="nil"/>
              <w:bottom w:val="single" w:sz="4" w:space="0" w:color="auto"/>
              <w:right w:val="single" w:sz="4" w:space="0" w:color="auto"/>
            </w:tcBorders>
            <w:hideMark/>
          </w:tcPr>
          <w:p w14:paraId="7156E2DB" w14:textId="6E597242"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341</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885</w:t>
            </w:r>
          </w:p>
        </w:tc>
        <w:tc>
          <w:tcPr>
            <w:tcW w:w="2460" w:type="dxa"/>
            <w:tcBorders>
              <w:top w:val="nil"/>
              <w:left w:val="nil"/>
              <w:bottom w:val="single" w:sz="4" w:space="0" w:color="auto"/>
              <w:right w:val="single" w:sz="4" w:space="0" w:color="auto"/>
            </w:tcBorders>
            <w:hideMark/>
          </w:tcPr>
          <w:p w14:paraId="2D49DEF3" w14:textId="2F1F8D05" w:rsidR="008B7384" w:rsidRPr="007D3C50" w:rsidRDefault="0030773C" w:rsidP="00B262DC">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xml:space="preserve">Alemania, </w:t>
            </w:r>
            <w:r w:rsidR="008B7384" w:rsidRPr="007D3C50">
              <w:rPr>
                <w:rFonts w:eastAsia="Times New Roman" w:cs="Arial"/>
                <w:sz w:val="20"/>
                <w:szCs w:val="20"/>
                <w:lang w:val="es-ES_tradnl" w:eastAsia="en-GB"/>
              </w:rPr>
              <w:t>Austria, B</w:t>
            </w:r>
            <w:r w:rsidRPr="007D3C50">
              <w:rPr>
                <w:rFonts w:eastAsia="Times New Roman" w:cs="Arial"/>
                <w:sz w:val="20"/>
                <w:szCs w:val="20"/>
                <w:lang w:val="es-ES_tradnl" w:eastAsia="en-GB"/>
              </w:rPr>
              <w:t>élgica</w:t>
            </w:r>
            <w:r w:rsidR="008B7384" w:rsidRPr="007D3C50">
              <w:rPr>
                <w:rFonts w:eastAsia="Times New Roman" w:cs="Arial"/>
                <w:sz w:val="20"/>
                <w:szCs w:val="20"/>
                <w:lang w:val="es-ES_tradnl" w:eastAsia="en-GB"/>
              </w:rPr>
              <w:t>, D</w:t>
            </w:r>
            <w:r w:rsidRPr="007D3C50">
              <w:rPr>
                <w:rFonts w:eastAsia="Times New Roman" w:cs="Arial"/>
                <w:sz w:val="20"/>
                <w:szCs w:val="20"/>
                <w:lang w:val="es-ES_tradnl" w:eastAsia="en-GB"/>
              </w:rPr>
              <w:t>inamarca</w:t>
            </w:r>
            <w:r w:rsidR="008B7384" w:rsidRPr="007D3C50">
              <w:rPr>
                <w:rFonts w:eastAsia="Times New Roman" w:cs="Arial"/>
                <w:sz w:val="20"/>
                <w:szCs w:val="20"/>
                <w:lang w:val="es-ES_tradnl" w:eastAsia="en-GB"/>
              </w:rPr>
              <w:t>, Ir</w:t>
            </w:r>
            <w:r w:rsidRPr="007D3C50">
              <w:rPr>
                <w:rFonts w:eastAsia="Times New Roman" w:cs="Arial"/>
                <w:sz w:val="20"/>
                <w:szCs w:val="20"/>
                <w:lang w:val="es-ES_tradnl" w:eastAsia="en-GB"/>
              </w:rPr>
              <w:t>á</w:t>
            </w:r>
            <w:r w:rsidR="008B7384" w:rsidRPr="007D3C50">
              <w:rPr>
                <w:rFonts w:eastAsia="Times New Roman" w:cs="Arial"/>
                <w:sz w:val="20"/>
                <w:szCs w:val="20"/>
                <w:lang w:val="es-ES_tradnl" w:eastAsia="en-GB"/>
              </w:rPr>
              <w:t>n, Ital</w:t>
            </w:r>
            <w:r w:rsidRPr="007D3C50">
              <w:rPr>
                <w:rFonts w:eastAsia="Times New Roman" w:cs="Arial"/>
                <w:sz w:val="20"/>
                <w:szCs w:val="20"/>
                <w:lang w:val="es-ES_tradnl" w:eastAsia="en-GB"/>
              </w:rPr>
              <w:t>ia</w:t>
            </w:r>
            <w:r w:rsidR="008B7384" w:rsidRPr="007D3C50">
              <w:rPr>
                <w:rFonts w:eastAsia="Times New Roman" w:cs="Arial"/>
                <w:sz w:val="20"/>
                <w:szCs w:val="20"/>
                <w:lang w:val="es-ES_tradnl" w:eastAsia="en-GB"/>
              </w:rPr>
              <w:t>, Jap</w:t>
            </w:r>
            <w:r w:rsidRPr="007D3C50">
              <w:rPr>
                <w:rFonts w:eastAsia="Times New Roman" w:cs="Arial"/>
                <w:sz w:val="20"/>
                <w:szCs w:val="20"/>
                <w:lang w:val="es-ES_tradnl" w:eastAsia="en-GB"/>
              </w:rPr>
              <w:t>ó</w:t>
            </w:r>
            <w:r w:rsidR="008B7384" w:rsidRPr="007D3C50">
              <w:rPr>
                <w:rFonts w:eastAsia="Times New Roman" w:cs="Arial"/>
                <w:sz w:val="20"/>
                <w:szCs w:val="20"/>
                <w:lang w:val="es-ES_tradnl" w:eastAsia="en-GB"/>
              </w:rPr>
              <w:t xml:space="preserve">n, </w:t>
            </w:r>
            <w:r w:rsidRPr="007D3C50">
              <w:rPr>
                <w:rFonts w:eastAsia="Times New Roman" w:cs="Arial"/>
                <w:sz w:val="20"/>
                <w:szCs w:val="20"/>
                <w:lang w:val="es-ES_tradnl" w:eastAsia="en-GB"/>
              </w:rPr>
              <w:t>Reino Unido, Suecia,</w:t>
            </w:r>
            <w:r w:rsidR="008B7384" w:rsidRPr="007D3C50">
              <w:rPr>
                <w:rFonts w:eastAsia="Times New Roman" w:cs="Arial"/>
                <w:sz w:val="20"/>
                <w:szCs w:val="20"/>
                <w:lang w:val="es-ES_tradnl" w:eastAsia="en-GB"/>
              </w:rPr>
              <w:t xml:space="preserve"> </w:t>
            </w:r>
            <w:r w:rsidR="00B262DC" w:rsidRPr="007D3C50">
              <w:rPr>
                <w:rFonts w:eastAsia="Times New Roman" w:cs="Arial"/>
                <w:sz w:val="20"/>
                <w:szCs w:val="20"/>
                <w:lang w:val="es-ES_tradnl" w:eastAsia="en-GB"/>
              </w:rPr>
              <w:t xml:space="preserve">Programa de Aguas Vivas del </w:t>
            </w:r>
            <w:r w:rsidR="008B7384" w:rsidRPr="007D3C50">
              <w:rPr>
                <w:rFonts w:eastAsia="Times New Roman" w:cs="Arial"/>
                <w:sz w:val="20"/>
                <w:szCs w:val="20"/>
                <w:lang w:val="es-ES_tradnl" w:eastAsia="en-GB"/>
              </w:rPr>
              <w:t xml:space="preserve">WWF </w:t>
            </w:r>
          </w:p>
        </w:tc>
        <w:tc>
          <w:tcPr>
            <w:tcW w:w="1251" w:type="dxa"/>
            <w:tcBorders>
              <w:top w:val="nil"/>
              <w:left w:val="nil"/>
              <w:bottom w:val="single" w:sz="4" w:space="0" w:color="auto"/>
              <w:right w:val="single" w:sz="4" w:space="0" w:color="auto"/>
            </w:tcBorders>
            <w:hideMark/>
          </w:tcPr>
          <w:p w14:paraId="05FADFA1"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9</w:t>
            </w:r>
          </w:p>
        </w:tc>
        <w:tc>
          <w:tcPr>
            <w:tcW w:w="3260" w:type="dxa"/>
            <w:tcBorders>
              <w:top w:val="nil"/>
              <w:left w:val="nil"/>
              <w:bottom w:val="single" w:sz="4" w:space="0" w:color="auto"/>
              <w:right w:val="single" w:sz="4" w:space="0" w:color="auto"/>
            </w:tcBorders>
            <w:hideMark/>
          </w:tcPr>
          <w:p w14:paraId="0461E4AE" w14:textId="3A0943C1" w:rsidR="008B7384" w:rsidRPr="007D3C50" w:rsidRDefault="008B7384" w:rsidP="00534C12">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xml:space="preserve">Nigeria, Kenya, </w:t>
            </w:r>
            <w:r w:rsidR="005E6675" w:rsidRPr="007D3C50">
              <w:rPr>
                <w:rFonts w:eastAsia="Times New Roman" w:cs="Arial"/>
                <w:sz w:val="20"/>
                <w:szCs w:val="20"/>
                <w:lang w:val="es-ES_tradnl" w:eastAsia="en-GB"/>
              </w:rPr>
              <w:t xml:space="preserve">RDP </w:t>
            </w:r>
            <w:r w:rsidRPr="007D3C50">
              <w:rPr>
                <w:rFonts w:eastAsia="Times New Roman" w:cs="Arial"/>
                <w:sz w:val="20"/>
                <w:szCs w:val="20"/>
                <w:lang w:val="es-ES_tradnl" w:eastAsia="en-GB"/>
              </w:rPr>
              <w:t>Lao, Rep</w:t>
            </w:r>
            <w:r w:rsidR="005E6675" w:rsidRPr="007D3C50">
              <w:rPr>
                <w:rFonts w:eastAsia="Times New Roman" w:cs="Arial"/>
                <w:sz w:val="20"/>
                <w:szCs w:val="20"/>
                <w:lang w:val="es-ES_tradnl" w:eastAsia="en-GB"/>
              </w:rPr>
              <w:t>ú</w:t>
            </w:r>
            <w:r w:rsidRPr="007D3C50">
              <w:rPr>
                <w:rFonts w:eastAsia="Times New Roman" w:cs="Arial"/>
                <w:sz w:val="20"/>
                <w:szCs w:val="20"/>
                <w:lang w:val="es-ES_tradnl" w:eastAsia="en-GB"/>
              </w:rPr>
              <w:t>blic</w:t>
            </w:r>
            <w:r w:rsidR="005E6675" w:rsidRPr="007D3C50">
              <w:rPr>
                <w:rFonts w:eastAsia="Times New Roman" w:cs="Arial"/>
                <w:sz w:val="20"/>
                <w:szCs w:val="20"/>
                <w:lang w:val="es-ES_tradnl" w:eastAsia="en-GB"/>
              </w:rPr>
              <w:t>a Kirguisa</w:t>
            </w:r>
            <w:r w:rsidRPr="007D3C50">
              <w:rPr>
                <w:rFonts w:eastAsia="Times New Roman" w:cs="Arial"/>
                <w:sz w:val="20"/>
                <w:szCs w:val="20"/>
                <w:lang w:val="es-ES_tradnl" w:eastAsia="en-GB"/>
              </w:rPr>
              <w:t>, Rep</w:t>
            </w:r>
            <w:r w:rsidR="005E6675" w:rsidRPr="007D3C50">
              <w:rPr>
                <w:rFonts w:eastAsia="Times New Roman" w:cs="Arial"/>
                <w:sz w:val="20"/>
                <w:szCs w:val="20"/>
                <w:lang w:val="es-ES_tradnl" w:eastAsia="en-GB"/>
              </w:rPr>
              <w:t>ú</w:t>
            </w:r>
            <w:r w:rsidRPr="007D3C50">
              <w:rPr>
                <w:rFonts w:eastAsia="Times New Roman" w:cs="Arial"/>
                <w:sz w:val="20"/>
                <w:szCs w:val="20"/>
                <w:lang w:val="es-ES_tradnl" w:eastAsia="en-GB"/>
              </w:rPr>
              <w:t>blic</w:t>
            </w:r>
            <w:r w:rsidR="005E6675" w:rsidRPr="007D3C50">
              <w:rPr>
                <w:rFonts w:eastAsia="Times New Roman" w:cs="Arial"/>
                <w:sz w:val="20"/>
                <w:szCs w:val="20"/>
                <w:lang w:val="es-ES_tradnl" w:eastAsia="en-GB"/>
              </w:rPr>
              <w:t>a de</w:t>
            </w:r>
            <w:r w:rsidRPr="007D3C50">
              <w:rPr>
                <w:rFonts w:eastAsia="Times New Roman" w:cs="Arial"/>
                <w:sz w:val="20"/>
                <w:szCs w:val="20"/>
                <w:lang w:val="es-ES_tradnl" w:eastAsia="en-GB"/>
              </w:rPr>
              <w:t xml:space="preserve"> Moldova, Bahamas, Guatemala, </w:t>
            </w:r>
            <w:r w:rsidR="00534C12" w:rsidRPr="007D3C50">
              <w:rPr>
                <w:rFonts w:eastAsia="Times New Roman" w:cs="Arial"/>
                <w:sz w:val="20"/>
                <w:szCs w:val="20"/>
                <w:lang w:val="es-ES_tradnl" w:eastAsia="en-GB"/>
              </w:rPr>
              <w:t xml:space="preserve">Islas </w:t>
            </w:r>
            <w:r w:rsidRPr="007D3C50">
              <w:rPr>
                <w:rFonts w:eastAsia="Times New Roman" w:cs="Arial"/>
                <w:sz w:val="20"/>
                <w:szCs w:val="20"/>
                <w:lang w:val="es-ES_tradnl" w:eastAsia="en-GB"/>
              </w:rPr>
              <w:t>Marshall, Tonga</w:t>
            </w:r>
          </w:p>
        </w:tc>
      </w:tr>
      <w:tr w:rsidR="008B7384" w:rsidRPr="00195653" w14:paraId="768E7960"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0BF961CD"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2004</w:t>
            </w:r>
          </w:p>
        </w:tc>
        <w:tc>
          <w:tcPr>
            <w:tcW w:w="1199" w:type="dxa"/>
            <w:tcBorders>
              <w:top w:val="nil"/>
              <w:left w:val="nil"/>
              <w:bottom w:val="single" w:sz="4" w:space="0" w:color="auto"/>
              <w:right w:val="single" w:sz="4" w:space="0" w:color="auto"/>
            </w:tcBorders>
            <w:hideMark/>
          </w:tcPr>
          <w:p w14:paraId="7929BB87" w14:textId="10792739"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281</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040</w:t>
            </w:r>
          </w:p>
        </w:tc>
        <w:tc>
          <w:tcPr>
            <w:tcW w:w="2460" w:type="dxa"/>
            <w:tcBorders>
              <w:top w:val="nil"/>
              <w:left w:val="nil"/>
              <w:bottom w:val="single" w:sz="4" w:space="0" w:color="auto"/>
              <w:right w:val="single" w:sz="4" w:space="0" w:color="auto"/>
            </w:tcBorders>
            <w:hideMark/>
          </w:tcPr>
          <w:p w14:paraId="510C23E0" w14:textId="22CB9B69" w:rsidR="008B7384" w:rsidRPr="007D3C50" w:rsidRDefault="008B7384" w:rsidP="0030773C">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Austria, Jap</w:t>
            </w:r>
            <w:r w:rsidR="0030773C" w:rsidRPr="007D3C50">
              <w:rPr>
                <w:rFonts w:eastAsia="Times New Roman" w:cs="Arial"/>
                <w:sz w:val="20"/>
                <w:szCs w:val="20"/>
                <w:lang w:val="es-ES_tradnl" w:eastAsia="en-GB"/>
              </w:rPr>
              <w:t>ó</w:t>
            </w:r>
            <w:r w:rsidRPr="007D3C50">
              <w:rPr>
                <w:rFonts w:eastAsia="Times New Roman" w:cs="Arial"/>
                <w:sz w:val="20"/>
                <w:szCs w:val="20"/>
                <w:lang w:val="es-ES_tradnl" w:eastAsia="en-GB"/>
              </w:rPr>
              <w:t xml:space="preserve">n, </w:t>
            </w:r>
            <w:r w:rsidR="0030773C" w:rsidRPr="007D3C50">
              <w:rPr>
                <w:rFonts w:eastAsia="Times New Roman" w:cs="Arial"/>
                <w:sz w:val="20"/>
                <w:szCs w:val="20"/>
                <w:lang w:val="es-ES_tradnl" w:eastAsia="en-GB"/>
              </w:rPr>
              <w:t>Reino Unido, Suecia</w:t>
            </w:r>
          </w:p>
        </w:tc>
        <w:tc>
          <w:tcPr>
            <w:tcW w:w="1251" w:type="dxa"/>
            <w:tcBorders>
              <w:top w:val="nil"/>
              <w:left w:val="nil"/>
              <w:bottom w:val="single" w:sz="4" w:space="0" w:color="auto"/>
              <w:right w:val="single" w:sz="4" w:space="0" w:color="auto"/>
            </w:tcBorders>
            <w:hideMark/>
          </w:tcPr>
          <w:p w14:paraId="59C92FB3"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11</w:t>
            </w:r>
          </w:p>
        </w:tc>
        <w:tc>
          <w:tcPr>
            <w:tcW w:w="3260" w:type="dxa"/>
            <w:tcBorders>
              <w:top w:val="nil"/>
              <w:left w:val="nil"/>
              <w:bottom w:val="single" w:sz="4" w:space="0" w:color="auto"/>
              <w:right w:val="single" w:sz="4" w:space="0" w:color="auto"/>
            </w:tcBorders>
            <w:hideMark/>
          </w:tcPr>
          <w:p w14:paraId="1637D260" w14:textId="379F9F71" w:rsidR="008B7384" w:rsidRPr="007D3C50" w:rsidRDefault="008B7384" w:rsidP="005D3CCF">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Lesotho, Liberia, India, Kaza</w:t>
            </w:r>
            <w:r w:rsidR="00534C12" w:rsidRPr="007D3C50">
              <w:rPr>
                <w:rFonts w:eastAsia="Times New Roman" w:cs="Arial"/>
                <w:sz w:val="20"/>
                <w:szCs w:val="20"/>
                <w:lang w:val="es-ES_tradnl" w:eastAsia="en-GB"/>
              </w:rPr>
              <w:t>jstán</w:t>
            </w:r>
            <w:r w:rsidRPr="007D3C50">
              <w:rPr>
                <w:rFonts w:eastAsia="Times New Roman" w:cs="Arial"/>
                <w:sz w:val="20"/>
                <w:szCs w:val="20"/>
                <w:lang w:val="es-ES_tradnl" w:eastAsia="en-GB"/>
              </w:rPr>
              <w:t>, Malasia, Tailand</w:t>
            </w:r>
            <w:r w:rsidR="00534C12" w:rsidRPr="007D3C50">
              <w:rPr>
                <w:rFonts w:eastAsia="Times New Roman" w:cs="Arial"/>
                <w:sz w:val="20"/>
                <w:szCs w:val="20"/>
                <w:lang w:val="es-ES_tradnl" w:eastAsia="en-GB"/>
              </w:rPr>
              <w:t>ia</w:t>
            </w:r>
            <w:r w:rsidRPr="007D3C50">
              <w:rPr>
                <w:rFonts w:eastAsia="Times New Roman" w:cs="Arial"/>
                <w:sz w:val="20"/>
                <w:szCs w:val="20"/>
                <w:lang w:val="es-ES_tradnl" w:eastAsia="en-GB"/>
              </w:rPr>
              <w:t xml:space="preserve">, </w:t>
            </w:r>
            <w:r w:rsidR="00534C12" w:rsidRPr="007D3C50">
              <w:rPr>
                <w:rFonts w:eastAsia="Times New Roman" w:cs="Arial"/>
                <w:sz w:val="20"/>
                <w:szCs w:val="20"/>
                <w:lang w:val="es-ES_tradnl" w:eastAsia="en-GB"/>
              </w:rPr>
              <w:t>Es</w:t>
            </w:r>
            <w:r w:rsidRPr="007D3C50">
              <w:rPr>
                <w:rFonts w:eastAsia="Times New Roman" w:cs="Arial"/>
                <w:sz w:val="20"/>
                <w:szCs w:val="20"/>
                <w:lang w:val="es-ES_tradnl" w:eastAsia="en-GB"/>
              </w:rPr>
              <w:t xml:space="preserve">lovenia, Jamaica, Nicaragua, Samoa, </w:t>
            </w:r>
            <w:r w:rsidR="005D3CCF" w:rsidRPr="007D3C50">
              <w:rPr>
                <w:rFonts w:eastAsia="Times New Roman" w:cs="Arial"/>
                <w:sz w:val="20"/>
                <w:szCs w:val="20"/>
                <w:lang w:val="es-ES_tradnl" w:eastAsia="en-GB"/>
              </w:rPr>
              <w:t>proyecto en áreas del sureste de Asia</w:t>
            </w:r>
          </w:p>
        </w:tc>
      </w:tr>
      <w:tr w:rsidR="008B7384" w:rsidRPr="00195653" w14:paraId="49D844A0"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52D3432C"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2005</w:t>
            </w:r>
          </w:p>
        </w:tc>
        <w:tc>
          <w:tcPr>
            <w:tcW w:w="1199" w:type="dxa"/>
            <w:tcBorders>
              <w:top w:val="nil"/>
              <w:left w:val="nil"/>
              <w:bottom w:val="single" w:sz="4" w:space="0" w:color="auto"/>
              <w:right w:val="single" w:sz="4" w:space="0" w:color="auto"/>
            </w:tcBorders>
            <w:hideMark/>
          </w:tcPr>
          <w:p w14:paraId="0DC4CD06" w14:textId="32BF092A"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196</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602</w:t>
            </w:r>
          </w:p>
        </w:tc>
        <w:tc>
          <w:tcPr>
            <w:tcW w:w="2460" w:type="dxa"/>
            <w:tcBorders>
              <w:top w:val="nil"/>
              <w:left w:val="nil"/>
              <w:bottom w:val="single" w:sz="4" w:space="0" w:color="auto"/>
              <w:right w:val="single" w:sz="4" w:space="0" w:color="auto"/>
            </w:tcBorders>
            <w:hideMark/>
          </w:tcPr>
          <w:p w14:paraId="51FA1115" w14:textId="78D6820C" w:rsidR="008B7384" w:rsidRPr="007D3C50" w:rsidRDefault="0030773C" w:rsidP="0030773C">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Japó</w:t>
            </w:r>
            <w:r w:rsidR="007D3C50">
              <w:rPr>
                <w:rFonts w:eastAsia="Times New Roman" w:cs="Arial"/>
                <w:sz w:val="20"/>
                <w:szCs w:val="20"/>
                <w:lang w:val="es-ES_tradnl" w:eastAsia="en-GB"/>
              </w:rPr>
              <w:t xml:space="preserve">n, </w:t>
            </w:r>
            <w:r w:rsidRPr="007D3C50">
              <w:rPr>
                <w:rFonts w:eastAsia="Times New Roman" w:cs="Arial"/>
                <w:sz w:val="20"/>
                <w:szCs w:val="20"/>
                <w:lang w:val="es-ES_tradnl" w:eastAsia="en-GB"/>
              </w:rPr>
              <w:t xml:space="preserve">Reino Unido, Suecia </w:t>
            </w:r>
          </w:p>
        </w:tc>
        <w:tc>
          <w:tcPr>
            <w:tcW w:w="1251" w:type="dxa"/>
            <w:tcBorders>
              <w:top w:val="nil"/>
              <w:left w:val="nil"/>
              <w:bottom w:val="single" w:sz="4" w:space="0" w:color="auto"/>
              <w:right w:val="single" w:sz="4" w:space="0" w:color="auto"/>
            </w:tcBorders>
            <w:hideMark/>
          </w:tcPr>
          <w:p w14:paraId="016E2B6C"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6</w:t>
            </w:r>
          </w:p>
        </w:tc>
        <w:tc>
          <w:tcPr>
            <w:tcW w:w="3260" w:type="dxa"/>
            <w:tcBorders>
              <w:top w:val="nil"/>
              <w:left w:val="nil"/>
              <w:bottom w:val="single" w:sz="4" w:space="0" w:color="auto"/>
              <w:right w:val="single" w:sz="4" w:space="0" w:color="auto"/>
            </w:tcBorders>
            <w:hideMark/>
          </w:tcPr>
          <w:p w14:paraId="7A848B13" w14:textId="44DCDC76" w:rsidR="008B7384" w:rsidRPr="007D3C50" w:rsidRDefault="008B7384" w:rsidP="00534C12">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Ghana, Ta</w:t>
            </w:r>
            <w:r w:rsidR="00534C12" w:rsidRPr="007D3C50">
              <w:rPr>
                <w:rFonts w:eastAsia="Times New Roman" w:cs="Arial"/>
                <w:sz w:val="20"/>
                <w:szCs w:val="20"/>
                <w:lang w:val="es-ES_tradnl" w:eastAsia="en-GB"/>
              </w:rPr>
              <w:t>y</w:t>
            </w:r>
            <w:r w:rsidRPr="007D3C50">
              <w:rPr>
                <w:rFonts w:eastAsia="Times New Roman" w:cs="Arial"/>
                <w:sz w:val="20"/>
                <w:szCs w:val="20"/>
                <w:lang w:val="es-ES_tradnl" w:eastAsia="en-GB"/>
              </w:rPr>
              <w:t>ikist</w:t>
            </w:r>
            <w:r w:rsidR="00534C12" w:rsidRPr="007D3C50">
              <w:rPr>
                <w:rFonts w:eastAsia="Times New Roman" w:cs="Arial"/>
                <w:sz w:val="20"/>
                <w:szCs w:val="20"/>
                <w:lang w:val="es-ES_tradnl" w:eastAsia="en-GB"/>
              </w:rPr>
              <w:t>á</w:t>
            </w:r>
            <w:r w:rsidRPr="007D3C50">
              <w:rPr>
                <w:rFonts w:eastAsia="Times New Roman" w:cs="Arial"/>
                <w:sz w:val="20"/>
                <w:szCs w:val="20"/>
                <w:lang w:val="es-ES_tradnl" w:eastAsia="en-GB"/>
              </w:rPr>
              <w:t>n, Jordan</w:t>
            </w:r>
            <w:r w:rsidR="00534C12" w:rsidRPr="007D3C50">
              <w:rPr>
                <w:rFonts w:eastAsia="Times New Roman" w:cs="Arial"/>
                <w:sz w:val="20"/>
                <w:szCs w:val="20"/>
                <w:lang w:val="es-ES_tradnl" w:eastAsia="en-GB"/>
              </w:rPr>
              <w:t>ia</w:t>
            </w:r>
            <w:r w:rsidRPr="007D3C50">
              <w:rPr>
                <w:rFonts w:eastAsia="Times New Roman" w:cs="Arial"/>
                <w:sz w:val="20"/>
                <w:szCs w:val="20"/>
                <w:lang w:val="es-ES_tradnl" w:eastAsia="en-GB"/>
              </w:rPr>
              <w:t xml:space="preserve">, Bosnia </w:t>
            </w:r>
            <w:r w:rsidR="00534C12" w:rsidRPr="007D3C50">
              <w:rPr>
                <w:rFonts w:eastAsia="Times New Roman" w:cs="Arial"/>
                <w:sz w:val="20"/>
                <w:szCs w:val="20"/>
                <w:lang w:val="es-ES_tradnl" w:eastAsia="en-GB"/>
              </w:rPr>
              <w:t>y</w:t>
            </w:r>
            <w:r w:rsidR="00155BC8"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Herzegovina, Suriname, Bra</w:t>
            </w:r>
            <w:r w:rsidR="00534C12" w:rsidRPr="007D3C50">
              <w:rPr>
                <w:rFonts w:eastAsia="Times New Roman" w:cs="Arial"/>
                <w:sz w:val="20"/>
                <w:szCs w:val="20"/>
                <w:lang w:val="es-ES_tradnl" w:eastAsia="en-GB"/>
              </w:rPr>
              <w:t>s</w:t>
            </w:r>
            <w:r w:rsidRPr="007D3C50">
              <w:rPr>
                <w:rFonts w:eastAsia="Times New Roman" w:cs="Arial"/>
                <w:sz w:val="20"/>
                <w:szCs w:val="20"/>
                <w:lang w:val="es-ES_tradnl" w:eastAsia="en-GB"/>
              </w:rPr>
              <w:t>il</w:t>
            </w:r>
          </w:p>
        </w:tc>
      </w:tr>
      <w:tr w:rsidR="008B7384" w:rsidRPr="00195653" w14:paraId="4867ED39"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08CD82B9"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2006</w:t>
            </w:r>
          </w:p>
        </w:tc>
        <w:tc>
          <w:tcPr>
            <w:tcW w:w="1199" w:type="dxa"/>
            <w:tcBorders>
              <w:top w:val="nil"/>
              <w:left w:val="nil"/>
              <w:bottom w:val="single" w:sz="4" w:space="0" w:color="auto"/>
              <w:right w:val="single" w:sz="4" w:space="0" w:color="auto"/>
            </w:tcBorders>
            <w:hideMark/>
          </w:tcPr>
          <w:p w14:paraId="4F1CA974" w14:textId="680282CA"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361</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740</w:t>
            </w:r>
          </w:p>
        </w:tc>
        <w:tc>
          <w:tcPr>
            <w:tcW w:w="2460" w:type="dxa"/>
            <w:tcBorders>
              <w:top w:val="nil"/>
              <w:left w:val="nil"/>
              <w:bottom w:val="single" w:sz="4" w:space="0" w:color="auto"/>
              <w:right w:val="single" w:sz="4" w:space="0" w:color="auto"/>
            </w:tcBorders>
            <w:hideMark/>
          </w:tcPr>
          <w:p w14:paraId="07DA4AD2" w14:textId="14E0218A" w:rsidR="007D3C50" w:rsidRDefault="008B7384" w:rsidP="00831AC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Jap</w:t>
            </w:r>
            <w:r w:rsidR="00534C12" w:rsidRPr="007D3C50">
              <w:rPr>
                <w:rFonts w:eastAsia="Times New Roman" w:cs="Arial"/>
                <w:sz w:val="20"/>
                <w:szCs w:val="20"/>
                <w:lang w:val="es-ES_tradnl" w:eastAsia="en-GB"/>
              </w:rPr>
              <w:t>ó</w:t>
            </w:r>
            <w:r w:rsidRPr="007D3C50">
              <w:rPr>
                <w:rFonts w:eastAsia="Times New Roman" w:cs="Arial"/>
                <w:sz w:val="20"/>
                <w:szCs w:val="20"/>
                <w:lang w:val="es-ES_tradnl" w:eastAsia="en-GB"/>
              </w:rPr>
              <w:t>n, Nor</w:t>
            </w:r>
            <w:r w:rsidR="00534C12" w:rsidRPr="007D3C50">
              <w:rPr>
                <w:rFonts w:eastAsia="Times New Roman" w:cs="Arial"/>
                <w:sz w:val="20"/>
                <w:szCs w:val="20"/>
                <w:lang w:val="es-ES_tradnl" w:eastAsia="en-GB"/>
              </w:rPr>
              <w:t>uega</w:t>
            </w:r>
            <w:r w:rsidRPr="007D3C50">
              <w:rPr>
                <w:rFonts w:eastAsia="Times New Roman" w:cs="Arial"/>
                <w:sz w:val="20"/>
                <w:szCs w:val="20"/>
                <w:lang w:val="es-ES_tradnl" w:eastAsia="en-GB"/>
              </w:rPr>
              <w:t xml:space="preserve">, </w:t>
            </w:r>
            <w:r w:rsidR="00831AC0" w:rsidRPr="007D3C50">
              <w:rPr>
                <w:rFonts w:eastAsia="Times New Roman" w:cs="Arial"/>
                <w:sz w:val="20"/>
                <w:szCs w:val="20"/>
                <w:lang w:val="es-ES_tradnl" w:eastAsia="en-GB"/>
              </w:rPr>
              <w:t>Reino Unido</w:t>
            </w:r>
            <w:r w:rsidR="007D3C50">
              <w:rPr>
                <w:rFonts w:eastAsia="Times New Roman" w:cs="Arial"/>
                <w:sz w:val="20"/>
                <w:szCs w:val="20"/>
                <w:lang w:val="es-ES_tradnl" w:eastAsia="en-GB"/>
              </w:rPr>
              <w:t>,</w:t>
            </w:r>
            <w:r w:rsidR="00831AC0" w:rsidRPr="007D3C50">
              <w:rPr>
                <w:rFonts w:eastAsia="Times New Roman" w:cs="Arial"/>
                <w:sz w:val="20"/>
                <w:szCs w:val="20"/>
                <w:lang w:val="es-ES_tradnl" w:eastAsia="en-GB"/>
              </w:rPr>
              <w:t xml:space="preserve"> </w:t>
            </w:r>
            <w:r w:rsidR="007D3C50" w:rsidRPr="007D3C50">
              <w:rPr>
                <w:rFonts w:eastAsia="Times New Roman" w:cs="Arial"/>
                <w:sz w:val="20"/>
                <w:szCs w:val="20"/>
                <w:lang w:val="es-ES_tradnl" w:eastAsia="en-GB"/>
              </w:rPr>
              <w:t xml:space="preserve">República Checa, </w:t>
            </w:r>
          </w:p>
          <w:p w14:paraId="199DB477" w14:textId="5B30F4DE" w:rsidR="008B7384" w:rsidRPr="007D3C50" w:rsidRDefault="008B7384" w:rsidP="00831AC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S</w:t>
            </w:r>
            <w:r w:rsidR="00534C12" w:rsidRPr="007D3C50">
              <w:rPr>
                <w:rFonts w:eastAsia="Times New Roman" w:cs="Arial"/>
                <w:sz w:val="20"/>
                <w:szCs w:val="20"/>
                <w:lang w:val="es-ES_tradnl" w:eastAsia="en-GB"/>
              </w:rPr>
              <w:t>uecia</w:t>
            </w:r>
            <w:r w:rsidR="006066B1">
              <w:rPr>
                <w:rFonts w:eastAsia="Times New Roman" w:cs="Arial"/>
                <w:sz w:val="20"/>
                <w:szCs w:val="20"/>
                <w:lang w:val="es-ES_tradnl" w:eastAsia="en-GB"/>
              </w:rPr>
              <w:t xml:space="preserve"> – SIDA</w:t>
            </w:r>
          </w:p>
        </w:tc>
        <w:tc>
          <w:tcPr>
            <w:tcW w:w="1251" w:type="dxa"/>
            <w:tcBorders>
              <w:top w:val="nil"/>
              <w:left w:val="nil"/>
              <w:bottom w:val="single" w:sz="4" w:space="0" w:color="auto"/>
              <w:right w:val="single" w:sz="4" w:space="0" w:color="auto"/>
            </w:tcBorders>
            <w:hideMark/>
          </w:tcPr>
          <w:p w14:paraId="5220ED3B"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15</w:t>
            </w:r>
          </w:p>
        </w:tc>
        <w:tc>
          <w:tcPr>
            <w:tcW w:w="3260" w:type="dxa"/>
            <w:tcBorders>
              <w:top w:val="nil"/>
              <w:left w:val="nil"/>
              <w:bottom w:val="single" w:sz="4" w:space="0" w:color="auto"/>
              <w:right w:val="single" w:sz="4" w:space="0" w:color="auto"/>
            </w:tcBorders>
            <w:hideMark/>
          </w:tcPr>
          <w:p w14:paraId="5439CC85" w14:textId="656EA3BD" w:rsidR="008B7384" w:rsidRPr="007D3C50" w:rsidRDefault="008B7384" w:rsidP="00BA050D">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xml:space="preserve">Benin </w:t>
            </w:r>
            <w:r w:rsidR="00534C12" w:rsidRPr="007D3C50">
              <w:rPr>
                <w:rFonts w:eastAsia="Times New Roman" w:cs="Arial"/>
                <w:sz w:val="20"/>
                <w:szCs w:val="20"/>
                <w:lang w:val="es-ES_tradnl" w:eastAsia="en-GB"/>
              </w:rPr>
              <w:t>y</w:t>
            </w:r>
            <w:r w:rsidR="00155BC8"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 xml:space="preserve">Togo, Burkina Faso, Kenya, Madagascar, </w:t>
            </w:r>
            <w:r w:rsidR="00155BC8" w:rsidRPr="007D3C50">
              <w:rPr>
                <w:rFonts w:eastAsia="Times New Roman" w:cs="Arial"/>
                <w:sz w:val="20"/>
                <w:szCs w:val="20"/>
                <w:lang w:val="es-ES_tradnl" w:eastAsia="en-GB"/>
              </w:rPr>
              <w:t>Rep</w:t>
            </w:r>
            <w:r w:rsidR="00534C12" w:rsidRPr="007D3C50">
              <w:rPr>
                <w:rFonts w:eastAsia="Times New Roman" w:cs="Arial"/>
                <w:sz w:val="20"/>
                <w:szCs w:val="20"/>
                <w:lang w:val="es-ES_tradnl" w:eastAsia="en-GB"/>
              </w:rPr>
              <w:t>ú</w:t>
            </w:r>
            <w:r w:rsidR="00155BC8" w:rsidRPr="007D3C50">
              <w:rPr>
                <w:rFonts w:eastAsia="Times New Roman" w:cs="Arial"/>
                <w:sz w:val="20"/>
                <w:szCs w:val="20"/>
                <w:lang w:val="es-ES_tradnl" w:eastAsia="en-GB"/>
              </w:rPr>
              <w:t>blic</w:t>
            </w:r>
            <w:r w:rsidR="00534C12" w:rsidRPr="007D3C50">
              <w:rPr>
                <w:rFonts w:eastAsia="Times New Roman" w:cs="Arial"/>
                <w:sz w:val="20"/>
                <w:szCs w:val="20"/>
                <w:lang w:val="es-ES_tradnl" w:eastAsia="en-GB"/>
              </w:rPr>
              <w:t>a</w:t>
            </w:r>
            <w:r w:rsidR="00155BC8" w:rsidRPr="007D3C50">
              <w:rPr>
                <w:rFonts w:eastAsia="Times New Roman" w:cs="Arial"/>
                <w:sz w:val="20"/>
                <w:szCs w:val="20"/>
                <w:lang w:val="es-ES_tradnl" w:eastAsia="en-GB"/>
              </w:rPr>
              <w:t xml:space="preserve"> </w:t>
            </w:r>
            <w:r w:rsidR="00534C12" w:rsidRPr="007D3C50">
              <w:rPr>
                <w:rFonts w:eastAsia="Times New Roman" w:cs="Arial"/>
                <w:sz w:val="20"/>
                <w:szCs w:val="20"/>
                <w:lang w:val="es-ES_tradnl" w:eastAsia="en-GB"/>
              </w:rPr>
              <w:t>del</w:t>
            </w:r>
            <w:r w:rsidR="00155BC8"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Congo, Rep</w:t>
            </w:r>
            <w:r w:rsidR="00534C12" w:rsidRPr="007D3C50">
              <w:rPr>
                <w:rFonts w:eastAsia="Times New Roman" w:cs="Arial"/>
                <w:sz w:val="20"/>
                <w:szCs w:val="20"/>
                <w:lang w:val="es-ES_tradnl" w:eastAsia="en-GB"/>
              </w:rPr>
              <w:t>ú</w:t>
            </w:r>
            <w:r w:rsidRPr="007D3C50">
              <w:rPr>
                <w:rFonts w:eastAsia="Times New Roman" w:cs="Arial"/>
                <w:sz w:val="20"/>
                <w:szCs w:val="20"/>
                <w:lang w:val="es-ES_tradnl" w:eastAsia="en-GB"/>
              </w:rPr>
              <w:t>blic</w:t>
            </w:r>
            <w:r w:rsidR="00534C12" w:rsidRPr="007D3C50">
              <w:rPr>
                <w:rFonts w:eastAsia="Times New Roman" w:cs="Arial"/>
                <w:sz w:val="20"/>
                <w:szCs w:val="20"/>
                <w:lang w:val="es-ES_tradnl" w:eastAsia="en-GB"/>
              </w:rPr>
              <w:t>a Kirguisa</w:t>
            </w:r>
            <w:r w:rsidRPr="007D3C50">
              <w:rPr>
                <w:rFonts w:eastAsia="Times New Roman" w:cs="Arial"/>
                <w:sz w:val="20"/>
                <w:szCs w:val="20"/>
                <w:lang w:val="es-ES_tradnl" w:eastAsia="en-GB"/>
              </w:rPr>
              <w:t>, Nepal, Viet</w:t>
            </w:r>
            <w:r w:rsidR="00534C12" w:rsidRPr="007D3C50">
              <w:rPr>
                <w:rFonts w:eastAsia="Times New Roman" w:cs="Arial"/>
                <w:sz w:val="20"/>
                <w:szCs w:val="20"/>
                <w:lang w:val="es-ES_tradnl" w:eastAsia="en-GB"/>
              </w:rPr>
              <w:t xml:space="preserve"> N</w:t>
            </w:r>
            <w:r w:rsidRPr="007D3C50">
              <w:rPr>
                <w:rFonts w:eastAsia="Times New Roman" w:cs="Arial"/>
                <w:sz w:val="20"/>
                <w:szCs w:val="20"/>
                <w:lang w:val="es-ES_tradnl" w:eastAsia="en-GB"/>
              </w:rPr>
              <w:t>am, Armenia, Rep</w:t>
            </w:r>
            <w:r w:rsidR="00534C12" w:rsidRPr="007D3C50">
              <w:rPr>
                <w:rFonts w:eastAsia="Times New Roman" w:cs="Arial"/>
                <w:sz w:val="20"/>
                <w:szCs w:val="20"/>
                <w:lang w:val="es-ES_tradnl" w:eastAsia="en-GB"/>
              </w:rPr>
              <w:t>ú</w:t>
            </w:r>
            <w:r w:rsidRPr="007D3C50">
              <w:rPr>
                <w:rFonts w:eastAsia="Times New Roman" w:cs="Arial"/>
                <w:sz w:val="20"/>
                <w:szCs w:val="20"/>
                <w:lang w:val="es-ES_tradnl" w:eastAsia="en-GB"/>
              </w:rPr>
              <w:t>blic</w:t>
            </w:r>
            <w:r w:rsidR="00534C12" w:rsidRPr="007D3C50">
              <w:rPr>
                <w:rFonts w:eastAsia="Times New Roman" w:cs="Arial"/>
                <w:sz w:val="20"/>
                <w:szCs w:val="20"/>
                <w:lang w:val="es-ES_tradnl" w:eastAsia="en-GB"/>
              </w:rPr>
              <w:t>a</w:t>
            </w:r>
            <w:r w:rsidRPr="007D3C50">
              <w:rPr>
                <w:rFonts w:eastAsia="Times New Roman" w:cs="Arial"/>
                <w:sz w:val="20"/>
                <w:szCs w:val="20"/>
                <w:lang w:val="es-ES_tradnl" w:eastAsia="en-GB"/>
              </w:rPr>
              <w:t xml:space="preserve"> </w:t>
            </w:r>
            <w:r w:rsidR="00534C12" w:rsidRPr="007D3C50">
              <w:rPr>
                <w:rFonts w:eastAsia="Times New Roman" w:cs="Arial"/>
                <w:sz w:val="20"/>
                <w:szCs w:val="20"/>
                <w:lang w:val="es-ES_tradnl" w:eastAsia="en-GB"/>
              </w:rPr>
              <w:t>de</w:t>
            </w:r>
            <w:r w:rsidRPr="007D3C50">
              <w:rPr>
                <w:rFonts w:eastAsia="Times New Roman" w:cs="Arial"/>
                <w:sz w:val="20"/>
                <w:szCs w:val="20"/>
                <w:lang w:val="es-ES_tradnl" w:eastAsia="en-GB"/>
              </w:rPr>
              <w:t xml:space="preserve"> Moldova, Antigua </w:t>
            </w:r>
            <w:r w:rsidR="00534C12" w:rsidRPr="007D3C50">
              <w:rPr>
                <w:rFonts w:eastAsia="Times New Roman" w:cs="Arial"/>
                <w:sz w:val="20"/>
                <w:szCs w:val="20"/>
                <w:lang w:val="es-ES_tradnl" w:eastAsia="en-GB"/>
              </w:rPr>
              <w:t>y</w:t>
            </w:r>
            <w:r w:rsidR="00155BC8"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Barbuda, Ecuador, Nicaragua, Panam</w:t>
            </w:r>
            <w:r w:rsidR="00831AC0" w:rsidRPr="007D3C50">
              <w:rPr>
                <w:rFonts w:eastAsia="Times New Roman" w:cs="Arial"/>
                <w:sz w:val="20"/>
                <w:szCs w:val="20"/>
                <w:lang w:val="es-ES_tradnl" w:eastAsia="en-GB"/>
              </w:rPr>
              <w:t>á</w:t>
            </w:r>
            <w:r w:rsidRPr="007D3C50">
              <w:rPr>
                <w:rFonts w:eastAsia="Times New Roman" w:cs="Arial"/>
                <w:sz w:val="20"/>
                <w:szCs w:val="20"/>
                <w:lang w:val="es-ES_tradnl" w:eastAsia="en-GB"/>
              </w:rPr>
              <w:t>, Kiribati</w:t>
            </w:r>
          </w:p>
        </w:tc>
      </w:tr>
      <w:tr w:rsidR="008B7384" w:rsidRPr="00195653" w14:paraId="3CEFA2D7"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5604748E"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lastRenderedPageBreak/>
              <w:t>2007</w:t>
            </w:r>
          </w:p>
        </w:tc>
        <w:tc>
          <w:tcPr>
            <w:tcW w:w="1199" w:type="dxa"/>
            <w:tcBorders>
              <w:top w:val="nil"/>
              <w:left w:val="nil"/>
              <w:bottom w:val="single" w:sz="4" w:space="0" w:color="auto"/>
              <w:right w:val="single" w:sz="4" w:space="0" w:color="auto"/>
            </w:tcBorders>
            <w:hideMark/>
          </w:tcPr>
          <w:p w14:paraId="03F8450E" w14:textId="608C7CAC"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163</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598</w:t>
            </w:r>
          </w:p>
        </w:tc>
        <w:tc>
          <w:tcPr>
            <w:tcW w:w="2460" w:type="dxa"/>
            <w:tcBorders>
              <w:top w:val="nil"/>
              <w:left w:val="nil"/>
              <w:bottom w:val="single" w:sz="4" w:space="0" w:color="auto"/>
              <w:right w:val="single" w:sz="4" w:space="0" w:color="auto"/>
            </w:tcBorders>
            <w:hideMark/>
          </w:tcPr>
          <w:p w14:paraId="667DD8EA" w14:textId="727B039F" w:rsidR="008B7384" w:rsidRPr="007D3C50" w:rsidRDefault="00831AC0" w:rsidP="006066B1">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República Checa, Japón, Suecia</w:t>
            </w:r>
            <w:r w:rsidR="006066B1">
              <w:rPr>
                <w:rFonts w:eastAsia="Times New Roman" w:cs="Arial"/>
                <w:sz w:val="20"/>
                <w:szCs w:val="20"/>
                <w:lang w:val="es-ES_tradnl" w:eastAsia="en-GB"/>
              </w:rPr>
              <w:t xml:space="preserve"> – SIDA</w:t>
            </w:r>
            <w:r w:rsidRPr="007D3C50">
              <w:rPr>
                <w:rFonts w:eastAsia="Times New Roman" w:cs="Arial"/>
                <w:sz w:val="20"/>
                <w:szCs w:val="20"/>
                <w:lang w:val="es-ES_tradnl" w:eastAsia="en-GB"/>
              </w:rPr>
              <w:t xml:space="preserve"> </w:t>
            </w:r>
          </w:p>
        </w:tc>
        <w:tc>
          <w:tcPr>
            <w:tcW w:w="1251" w:type="dxa"/>
            <w:tcBorders>
              <w:top w:val="nil"/>
              <w:left w:val="nil"/>
              <w:bottom w:val="single" w:sz="4" w:space="0" w:color="auto"/>
              <w:right w:val="single" w:sz="4" w:space="0" w:color="auto"/>
            </w:tcBorders>
            <w:hideMark/>
          </w:tcPr>
          <w:p w14:paraId="04F77702"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5</w:t>
            </w:r>
          </w:p>
        </w:tc>
        <w:tc>
          <w:tcPr>
            <w:tcW w:w="3260" w:type="dxa"/>
            <w:tcBorders>
              <w:top w:val="nil"/>
              <w:left w:val="nil"/>
              <w:bottom w:val="single" w:sz="4" w:space="0" w:color="auto"/>
              <w:right w:val="single" w:sz="4" w:space="0" w:color="auto"/>
            </w:tcBorders>
            <w:hideMark/>
          </w:tcPr>
          <w:p w14:paraId="249D2DB8"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Malawi, China, Moldova, Colombia, Fiji</w:t>
            </w:r>
          </w:p>
        </w:tc>
      </w:tr>
      <w:tr w:rsidR="008B7384" w:rsidRPr="00195653" w14:paraId="071B3E42"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5046F862"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2008</w:t>
            </w:r>
          </w:p>
        </w:tc>
        <w:tc>
          <w:tcPr>
            <w:tcW w:w="1199" w:type="dxa"/>
            <w:tcBorders>
              <w:top w:val="nil"/>
              <w:left w:val="nil"/>
              <w:bottom w:val="single" w:sz="4" w:space="0" w:color="auto"/>
              <w:right w:val="single" w:sz="4" w:space="0" w:color="auto"/>
            </w:tcBorders>
            <w:hideMark/>
          </w:tcPr>
          <w:p w14:paraId="4DB39F1E" w14:textId="3D50713B"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184</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783</w:t>
            </w:r>
          </w:p>
        </w:tc>
        <w:tc>
          <w:tcPr>
            <w:tcW w:w="2460" w:type="dxa"/>
            <w:tcBorders>
              <w:top w:val="nil"/>
              <w:left w:val="nil"/>
              <w:bottom w:val="single" w:sz="4" w:space="0" w:color="auto"/>
              <w:right w:val="single" w:sz="4" w:space="0" w:color="auto"/>
            </w:tcBorders>
            <w:hideMark/>
          </w:tcPr>
          <w:p w14:paraId="7EEC21BA" w14:textId="15C3CA9A" w:rsidR="008B7384" w:rsidRPr="007D3C50" w:rsidRDefault="008B7384" w:rsidP="006F483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Austria, Hung</w:t>
            </w:r>
            <w:r w:rsidR="005E432F" w:rsidRPr="007D3C50">
              <w:rPr>
                <w:rFonts w:eastAsia="Times New Roman" w:cs="Arial"/>
                <w:sz w:val="20"/>
                <w:szCs w:val="20"/>
                <w:lang w:val="es-ES_tradnl" w:eastAsia="en-GB"/>
              </w:rPr>
              <w:t>ría,</w:t>
            </w:r>
            <w:r w:rsidRPr="007D3C50">
              <w:rPr>
                <w:rFonts w:eastAsia="Times New Roman" w:cs="Arial"/>
                <w:sz w:val="20"/>
                <w:szCs w:val="20"/>
                <w:lang w:val="es-ES_tradnl" w:eastAsia="en-GB"/>
              </w:rPr>
              <w:t xml:space="preserve"> Ital</w:t>
            </w:r>
            <w:r w:rsidR="005E432F" w:rsidRPr="007D3C50">
              <w:rPr>
                <w:rFonts w:eastAsia="Times New Roman" w:cs="Arial"/>
                <w:sz w:val="20"/>
                <w:szCs w:val="20"/>
                <w:lang w:val="es-ES_tradnl" w:eastAsia="en-GB"/>
              </w:rPr>
              <w:t>ia</w:t>
            </w:r>
            <w:r w:rsidRPr="007D3C50">
              <w:rPr>
                <w:rFonts w:eastAsia="Times New Roman" w:cs="Arial"/>
                <w:sz w:val="20"/>
                <w:szCs w:val="20"/>
                <w:lang w:val="es-ES_tradnl" w:eastAsia="en-GB"/>
              </w:rPr>
              <w:t>, Jap</w:t>
            </w:r>
            <w:r w:rsidR="005E432F" w:rsidRPr="007D3C50">
              <w:rPr>
                <w:rFonts w:eastAsia="Times New Roman" w:cs="Arial"/>
                <w:sz w:val="20"/>
                <w:szCs w:val="20"/>
                <w:lang w:val="es-ES_tradnl" w:eastAsia="en-GB"/>
              </w:rPr>
              <w:t>ó</w:t>
            </w:r>
            <w:r w:rsidRPr="007D3C50">
              <w:rPr>
                <w:rFonts w:eastAsia="Times New Roman" w:cs="Arial"/>
                <w:sz w:val="20"/>
                <w:szCs w:val="20"/>
                <w:lang w:val="es-ES_tradnl" w:eastAsia="en-GB"/>
              </w:rPr>
              <w:t xml:space="preserve">n, </w:t>
            </w:r>
            <w:r w:rsidR="00155BC8" w:rsidRPr="007D3C50">
              <w:rPr>
                <w:rFonts w:eastAsia="Times New Roman" w:cs="Arial"/>
                <w:sz w:val="20"/>
                <w:szCs w:val="20"/>
                <w:lang w:val="es-ES_tradnl" w:eastAsia="en-GB"/>
              </w:rPr>
              <w:t>R</w:t>
            </w:r>
            <w:r w:rsidR="007D3C50">
              <w:rPr>
                <w:rFonts w:eastAsia="Times New Roman" w:cs="Arial"/>
                <w:sz w:val="20"/>
                <w:szCs w:val="20"/>
                <w:lang w:val="es-ES_tradnl" w:eastAsia="en-GB"/>
              </w:rPr>
              <w:t>epú</w:t>
            </w:r>
            <w:r w:rsidR="006F4830" w:rsidRPr="007D3C50">
              <w:rPr>
                <w:rFonts w:eastAsia="Times New Roman" w:cs="Arial"/>
                <w:sz w:val="20"/>
                <w:szCs w:val="20"/>
                <w:lang w:val="es-ES_tradnl" w:eastAsia="en-GB"/>
              </w:rPr>
              <w:t>blica de C</w:t>
            </w:r>
            <w:r w:rsidRPr="007D3C50">
              <w:rPr>
                <w:rFonts w:eastAsia="Times New Roman" w:cs="Arial"/>
                <w:sz w:val="20"/>
                <w:szCs w:val="20"/>
                <w:lang w:val="es-ES_tradnl" w:eastAsia="en-GB"/>
              </w:rPr>
              <w:t>orea</w:t>
            </w:r>
          </w:p>
        </w:tc>
        <w:tc>
          <w:tcPr>
            <w:tcW w:w="1251" w:type="dxa"/>
            <w:tcBorders>
              <w:top w:val="nil"/>
              <w:left w:val="nil"/>
              <w:bottom w:val="single" w:sz="4" w:space="0" w:color="auto"/>
              <w:right w:val="single" w:sz="4" w:space="0" w:color="auto"/>
            </w:tcBorders>
            <w:hideMark/>
          </w:tcPr>
          <w:p w14:paraId="43D6E8FC"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8</w:t>
            </w:r>
          </w:p>
        </w:tc>
        <w:tc>
          <w:tcPr>
            <w:tcW w:w="3260" w:type="dxa"/>
            <w:tcBorders>
              <w:top w:val="nil"/>
              <w:left w:val="nil"/>
              <w:bottom w:val="single" w:sz="4" w:space="0" w:color="auto"/>
              <w:right w:val="single" w:sz="4" w:space="0" w:color="auto"/>
            </w:tcBorders>
            <w:hideMark/>
          </w:tcPr>
          <w:p w14:paraId="26B4F4AC" w14:textId="2F2CCF31" w:rsidR="008B7384" w:rsidRPr="007D3C50" w:rsidRDefault="008B7384" w:rsidP="00831AC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Ca</w:t>
            </w:r>
            <w:r w:rsidR="00831AC0" w:rsidRPr="007D3C50">
              <w:rPr>
                <w:rFonts w:eastAsia="Times New Roman" w:cs="Arial"/>
                <w:sz w:val="20"/>
                <w:szCs w:val="20"/>
                <w:lang w:val="es-ES_tradnl" w:eastAsia="en-GB"/>
              </w:rPr>
              <w:t>bo</w:t>
            </w:r>
            <w:r w:rsidRPr="007D3C50">
              <w:rPr>
                <w:rFonts w:eastAsia="Times New Roman" w:cs="Arial"/>
                <w:sz w:val="20"/>
                <w:szCs w:val="20"/>
                <w:lang w:val="es-ES_tradnl" w:eastAsia="en-GB"/>
              </w:rPr>
              <w:t xml:space="preserve"> Verde, Nepal, Tur</w:t>
            </w:r>
            <w:r w:rsidR="00831AC0" w:rsidRPr="007D3C50">
              <w:rPr>
                <w:rFonts w:eastAsia="Times New Roman" w:cs="Arial"/>
                <w:sz w:val="20"/>
                <w:szCs w:val="20"/>
                <w:lang w:val="es-ES_tradnl" w:eastAsia="en-GB"/>
              </w:rPr>
              <w:t>quía</w:t>
            </w:r>
            <w:r w:rsidRPr="007D3C50">
              <w:rPr>
                <w:rFonts w:eastAsia="Times New Roman" w:cs="Arial"/>
                <w:sz w:val="20"/>
                <w:szCs w:val="20"/>
                <w:lang w:val="es-ES_tradnl" w:eastAsia="en-GB"/>
              </w:rPr>
              <w:t>, Chile, Bangladesh, Albania, Camer</w:t>
            </w:r>
            <w:r w:rsidR="00831AC0" w:rsidRPr="007D3C50">
              <w:rPr>
                <w:rFonts w:eastAsia="Times New Roman" w:cs="Arial"/>
                <w:sz w:val="20"/>
                <w:szCs w:val="20"/>
                <w:lang w:val="es-ES_tradnl" w:eastAsia="en-GB"/>
              </w:rPr>
              <w:t>ú</w:t>
            </w:r>
            <w:r w:rsidRPr="007D3C50">
              <w:rPr>
                <w:rFonts w:eastAsia="Times New Roman" w:cs="Arial"/>
                <w:sz w:val="20"/>
                <w:szCs w:val="20"/>
                <w:lang w:val="es-ES_tradnl" w:eastAsia="en-GB"/>
              </w:rPr>
              <w:t xml:space="preserve">n, </w:t>
            </w:r>
            <w:r w:rsidR="00831AC0" w:rsidRPr="007D3C50">
              <w:rPr>
                <w:rFonts w:eastAsia="Times New Roman" w:cs="Arial"/>
                <w:sz w:val="20"/>
                <w:szCs w:val="20"/>
                <w:lang w:val="es-ES_tradnl" w:eastAsia="en-GB"/>
              </w:rPr>
              <w:t xml:space="preserve">Islas </w:t>
            </w:r>
            <w:r w:rsidRPr="007D3C50">
              <w:rPr>
                <w:rFonts w:eastAsia="Times New Roman" w:cs="Arial"/>
                <w:sz w:val="20"/>
                <w:szCs w:val="20"/>
                <w:lang w:val="es-ES_tradnl" w:eastAsia="en-GB"/>
              </w:rPr>
              <w:t xml:space="preserve">Marshall </w:t>
            </w:r>
          </w:p>
        </w:tc>
      </w:tr>
      <w:tr w:rsidR="008B7384" w:rsidRPr="00195653" w14:paraId="36941795"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3B30204D"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2009</w:t>
            </w:r>
          </w:p>
        </w:tc>
        <w:tc>
          <w:tcPr>
            <w:tcW w:w="1199" w:type="dxa"/>
            <w:tcBorders>
              <w:top w:val="nil"/>
              <w:left w:val="nil"/>
              <w:bottom w:val="single" w:sz="4" w:space="0" w:color="auto"/>
              <w:right w:val="single" w:sz="4" w:space="0" w:color="auto"/>
            </w:tcBorders>
            <w:hideMark/>
          </w:tcPr>
          <w:p w14:paraId="4053F7E6" w14:textId="651549AA"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235</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962</w:t>
            </w:r>
          </w:p>
        </w:tc>
        <w:tc>
          <w:tcPr>
            <w:tcW w:w="2460" w:type="dxa"/>
            <w:tcBorders>
              <w:top w:val="nil"/>
              <w:left w:val="nil"/>
              <w:bottom w:val="single" w:sz="4" w:space="0" w:color="auto"/>
              <w:right w:val="single" w:sz="4" w:space="0" w:color="auto"/>
            </w:tcBorders>
            <w:hideMark/>
          </w:tcPr>
          <w:p w14:paraId="705A08CB" w14:textId="0D763F3F" w:rsidR="008B7384" w:rsidRPr="007D3C50" w:rsidRDefault="006F4830" w:rsidP="007D3C5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xml:space="preserve">Alemania, </w:t>
            </w:r>
            <w:r w:rsidR="007D3C50" w:rsidRPr="007D3C50">
              <w:rPr>
                <w:rFonts w:eastAsia="Times New Roman" w:cs="Arial"/>
                <w:sz w:val="20"/>
                <w:szCs w:val="20"/>
                <w:lang w:val="es-ES_tradnl" w:eastAsia="en-GB"/>
              </w:rPr>
              <w:t xml:space="preserve">Corea, </w:t>
            </w:r>
            <w:r w:rsidRPr="007D3C50">
              <w:rPr>
                <w:rFonts w:eastAsia="Times New Roman" w:cs="Arial"/>
                <w:sz w:val="20"/>
                <w:szCs w:val="20"/>
                <w:lang w:val="es-ES_tradnl" w:eastAsia="en-GB"/>
              </w:rPr>
              <w:t>Japón, Mauricio, Suecia</w:t>
            </w:r>
            <w:r w:rsidR="008B7384" w:rsidRPr="007D3C50">
              <w:rPr>
                <w:rFonts w:eastAsia="Times New Roman" w:cs="Arial"/>
                <w:sz w:val="20"/>
                <w:szCs w:val="20"/>
                <w:lang w:val="es-ES_tradnl" w:eastAsia="en-GB"/>
              </w:rPr>
              <w:t>; Danone</w:t>
            </w:r>
          </w:p>
        </w:tc>
        <w:tc>
          <w:tcPr>
            <w:tcW w:w="1251" w:type="dxa"/>
            <w:tcBorders>
              <w:top w:val="nil"/>
              <w:left w:val="nil"/>
              <w:bottom w:val="single" w:sz="4" w:space="0" w:color="auto"/>
              <w:right w:val="single" w:sz="4" w:space="0" w:color="auto"/>
            </w:tcBorders>
            <w:hideMark/>
          </w:tcPr>
          <w:p w14:paraId="49105692"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7</w:t>
            </w:r>
          </w:p>
        </w:tc>
        <w:tc>
          <w:tcPr>
            <w:tcW w:w="3260" w:type="dxa"/>
            <w:tcBorders>
              <w:top w:val="nil"/>
              <w:left w:val="nil"/>
              <w:bottom w:val="single" w:sz="4" w:space="0" w:color="auto"/>
              <w:right w:val="single" w:sz="4" w:space="0" w:color="auto"/>
            </w:tcBorders>
            <w:hideMark/>
          </w:tcPr>
          <w:p w14:paraId="12D5FE93" w14:textId="540134DC" w:rsidR="008B7384" w:rsidRPr="007D3C50" w:rsidRDefault="008B7384" w:rsidP="006F483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M</w:t>
            </w:r>
            <w:r w:rsidR="00831AC0" w:rsidRPr="007D3C50">
              <w:rPr>
                <w:rFonts w:eastAsia="Times New Roman" w:cs="Arial"/>
                <w:sz w:val="20"/>
                <w:szCs w:val="20"/>
                <w:lang w:val="es-ES_tradnl" w:eastAsia="en-GB"/>
              </w:rPr>
              <w:t>arruecos</w:t>
            </w:r>
            <w:r w:rsidRPr="007D3C50">
              <w:rPr>
                <w:rFonts w:eastAsia="Times New Roman" w:cs="Arial"/>
                <w:sz w:val="20"/>
                <w:szCs w:val="20"/>
                <w:lang w:val="es-ES_tradnl" w:eastAsia="en-GB"/>
              </w:rPr>
              <w:t>, Mal</w:t>
            </w:r>
            <w:r w:rsidR="00831AC0" w:rsidRPr="007D3C50">
              <w:rPr>
                <w:rFonts w:eastAsia="Times New Roman" w:cs="Arial"/>
                <w:sz w:val="20"/>
                <w:szCs w:val="20"/>
                <w:lang w:val="es-ES_tradnl" w:eastAsia="en-GB"/>
              </w:rPr>
              <w:t>í</w:t>
            </w:r>
            <w:r w:rsidRPr="007D3C50">
              <w:rPr>
                <w:rFonts w:eastAsia="Times New Roman" w:cs="Arial"/>
                <w:sz w:val="20"/>
                <w:szCs w:val="20"/>
                <w:lang w:val="es-ES_tradnl" w:eastAsia="en-GB"/>
              </w:rPr>
              <w:t>, Rep</w:t>
            </w:r>
            <w:r w:rsidR="005E432F" w:rsidRPr="007D3C50">
              <w:rPr>
                <w:rFonts w:eastAsia="Times New Roman" w:cs="Arial"/>
                <w:sz w:val="20"/>
                <w:szCs w:val="20"/>
                <w:lang w:val="es-ES_tradnl" w:eastAsia="en-GB"/>
              </w:rPr>
              <w:t>ú</w:t>
            </w:r>
            <w:r w:rsidRPr="007D3C50">
              <w:rPr>
                <w:rFonts w:eastAsia="Times New Roman" w:cs="Arial"/>
                <w:sz w:val="20"/>
                <w:szCs w:val="20"/>
                <w:lang w:val="es-ES_tradnl" w:eastAsia="en-GB"/>
              </w:rPr>
              <w:t>blic</w:t>
            </w:r>
            <w:r w:rsidR="005E432F" w:rsidRPr="007D3C50">
              <w:rPr>
                <w:rFonts w:eastAsia="Times New Roman" w:cs="Arial"/>
                <w:sz w:val="20"/>
                <w:szCs w:val="20"/>
                <w:lang w:val="es-ES_tradnl" w:eastAsia="en-GB"/>
              </w:rPr>
              <w:t>a</w:t>
            </w:r>
            <w:r w:rsidRPr="007D3C50">
              <w:rPr>
                <w:rFonts w:eastAsia="Times New Roman" w:cs="Arial"/>
                <w:sz w:val="20"/>
                <w:szCs w:val="20"/>
                <w:lang w:val="es-ES_tradnl" w:eastAsia="en-GB"/>
              </w:rPr>
              <w:t xml:space="preserve"> </w:t>
            </w:r>
            <w:r w:rsidR="006F4830" w:rsidRPr="007D3C50">
              <w:rPr>
                <w:rFonts w:eastAsia="Times New Roman" w:cs="Arial"/>
                <w:sz w:val="20"/>
                <w:szCs w:val="20"/>
                <w:lang w:val="es-ES_tradnl" w:eastAsia="en-GB"/>
              </w:rPr>
              <w:t>del</w:t>
            </w:r>
            <w:r w:rsidRPr="007D3C50">
              <w:rPr>
                <w:rFonts w:eastAsia="Times New Roman" w:cs="Arial"/>
                <w:sz w:val="20"/>
                <w:szCs w:val="20"/>
                <w:lang w:val="es-ES_tradnl" w:eastAsia="en-GB"/>
              </w:rPr>
              <w:t xml:space="preserve"> Congo, Uruguay, Uzbekist</w:t>
            </w:r>
            <w:r w:rsidR="006F4830" w:rsidRPr="007D3C50">
              <w:rPr>
                <w:rFonts w:eastAsia="Times New Roman" w:cs="Arial"/>
                <w:sz w:val="20"/>
                <w:szCs w:val="20"/>
                <w:lang w:val="es-ES_tradnl" w:eastAsia="en-GB"/>
              </w:rPr>
              <w:t>á</w:t>
            </w:r>
            <w:r w:rsidRPr="007D3C50">
              <w:rPr>
                <w:rFonts w:eastAsia="Times New Roman" w:cs="Arial"/>
                <w:sz w:val="20"/>
                <w:szCs w:val="20"/>
                <w:lang w:val="es-ES_tradnl" w:eastAsia="en-GB"/>
              </w:rPr>
              <w:t>n, Viet</w:t>
            </w:r>
            <w:r w:rsidR="00155BC8" w:rsidRPr="007D3C50">
              <w:rPr>
                <w:rFonts w:eastAsia="Times New Roman" w:cs="Arial"/>
                <w:sz w:val="20"/>
                <w:szCs w:val="20"/>
                <w:lang w:val="es-ES_tradnl" w:eastAsia="en-GB"/>
              </w:rPr>
              <w:t xml:space="preserve"> N</w:t>
            </w:r>
            <w:r w:rsidRPr="007D3C50">
              <w:rPr>
                <w:rFonts w:eastAsia="Times New Roman" w:cs="Arial"/>
                <w:sz w:val="20"/>
                <w:szCs w:val="20"/>
                <w:lang w:val="es-ES_tradnl" w:eastAsia="en-GB"/>
              </w:rPr>
              <w:t>am</w:t>
            </w:r>
          </w:p>
        </w:tc>
      </w:tr>
      <w:tr w:rsidR="008B7384" w:rsidRPr="007D3C50" w14:paraId="2F725D05"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6A598239" w14:textId="77777777" w:rsidR="008B7384" w:rsidRPr="007D3C50" w:rsidRDefault="008B7384" w:rsidP="00155BC8">
            <w:pPr>
              <w:spacing w:after="0" w:line="240" w:lineRule="auto"/>
              <w:rPr>
                <w:rFonts w:eastAsia="Times New Roman" w:cs="Arial"/>
                <w:b/>
                <w:bCs/>
                <w:sz w:val="20"/>
                <w:szCs w:val="20"/>
                <w:lang w:val="es-ES_tradnl" w:eastAsia="en-GB"/>
              </w:rPr>
            </w:pPr>
            <w:bookmarkStart w:id="2" w:name="RANGE!A10"/>
            <w:r w:rsidRPr="007D3C50">
              <w:rPr>
                <w:rFonts w:eastAsia="Times New Roman" w:cs="Arial"/>
                <w:b/>
                <w:bCs/>
                <w:sz w:val="20"/>
                <w:szCs w:val="20"/>
                <w:lang w:val="es-ES_tradnl" w:eastAsia="en-GB"/>
              </w:rPr>
              <w:t>2010</w:t>
            </w:r>
            <w:bookmarkEnd w:id="2"/>
          </w:p>
        </w:tc>
        <w:tc>
          <w:tcPr>
            <w:tcW w:w="1199" w:type="dxa"/>
            <w:tcBorders>
              <w:top w:val="nil"/>
              <w:left w:val="nil"/>
              <w:bottom w:val="single" w:sz="4" w:space="0" w:color="auto"/>
              <w:right w:val="single" w:sz="4" w:space="0" w:color="auto"/>
            </w:tcBorders>
            <w:hideMark/>
          </w:tcPr>
          <w:p w14:paraId="06E5AF69" w14:textId="4D55B5E9"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110</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232</w:t>
            </w:r>
          </w:p>
        </w:tc>
        <w:tc>
          <w:tcPr>
            <w:tcW w:w="2460" w:type="dxa"/>
            <w:tcBorders>
              <w:top w:val="nil"/>
              <w:left w:val="nil"/>
              <w:bottom w:val="single" w:sz="4" w:space="0" w:color="auto"/>
              <w:right w:val="single" w:sz="4" w:space="0" w:color="auto"/>
            </w:tcBorders>
            <w:hideMark/>
          </w:tcPr>
          <w:p w14:paraId="3486F56F" w14:textId="1D5B0DC3" w:rsidR="008B7384" w:rsidRPr="007D3C50" w:rsidRDefault="008B7384" w:rsidP="006F483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Bangladesh, Jap</w:t>
            </w:r>
            <w:r w:rsidR="006F4830" w:rsidRPr="007D3C50">
              <w:rPr>
                <w:rFonts w:eastAsia="Times New Roman" w:cs="Arial"/>
                <w:sz w:val="20"/>
                <w:szCs w:val="20"/>
                <w:lang w:val="es-ES_tradnl" w:eastAsia="en-GB"/>
              </w:rPr>
              <w:t>ó</w:t>
            </w:r>
            <w:r w:rsidRPr="007D3C50">
              <w:rPr>
                <w:rFonts w:eastAsia="Times New Roman" w:cs="Arial"/>
                <w:sz w:val="20"/>
                <w:szCs w:val="20"/>
                <w:lang w:val="es-ES_tradnl" w:eastAsia="en-GB"/>
              </w:rPr>
              <w:t>n, Nor</w:t>
            </w:r>
            <w:r w:rsidR="006F4830" w:rsidRPr="007D3C50">
              <w:rPr>
                <w:rFonts w:eastAsia="Times New Roman" w:cs="Arial"/>
                <w:sz w:val="20"/>
                <w:szCs w:val="20"/>
                <w:lang w:val="es-ES_tradnl" w:eastAsia="en-GB"/>
              </w:rPr>
              <w:t>uega</w:t>
            </w:r>
          </w:p>
        </w:tc>
        <w:tc>
          <w:tcPr>
            <w:tcW w:w="1251" w:type="dxa"/>
            <w:tcBorders>
              <w:top w:val="nil"/>
              <w:left w:val="nil"/>
              <w:bottom w:val="single" w:sz="4" w:space="0" w:color="auto"/>
              <w:right w:val="single" w:sz="4" w:space="0" w:color="auto"/>
            </w:tcBorders>
            <w:hideMark/>
          </w:tcPr>
          <w:p w14:paraId="38827632"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3</w:t>
            </w:r>
          </w:p>
        </w:tc>
        <w:tc>
          <w:tcPr>
            <w:tcW w:w="3260" w:type="dxa"/>
            <w:tcBorders>
              <w:top w:val="nil"/>
              <w:left w:val="nil"/>
              <w:bottom w:val="single" w:sz="4" w:space="0" w:color="auto"/>
              <w:right w:val="single" w:sz="4" w:space="0" w:color="auto"/>
            </w:tcBorders>
            <w:hideMark/>
          </w:tcPr>
          <w:p w14:paraId="7FFD31F4" w14:textId="2E93B682"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Guinea</w:t>
            </w:r>
            <w:r w:rsidR="006F4830" w:rsidRPr="007D3C50">
              <w:rPr>
                <w:rFonts w:eastAsia="Times New Roman" w:cs="Arial"/>
                <w:sz w:val="20"/>
                <w:szCs w:val="20"/>
                <w:lang w:val="es-ES_tradnl" w:eastAsia="en-GB"/>
              </w:rPr>
              <w:t>-</w:t>
            </w:r>
            <w:r w:rsidRPr="007D3C50">
              <w:rPr>
                <w:rFonts w:eastAsia="Times New Roman" w:cs="Arial"/>
                <w:sz w:val="20"/>
                <w:szCs w:val="20"/>
                <w:lang w:val="es-ES_tradnl" w:eastAsia="en-GB"/>
              </w:rPr>
              <w:t>Bissau, Cambo</w:t>
            </w:r>
            <w:r w:rsidR="006F4830" w:rsidRPr="007D3C50">
              <w:rPr>
                <w:rFonts w:eastAsia="Times New Roman" w:cs="Arial"/>
                <w:sz w:val="20"/>
                <w:szCs w:val="20"/>
                <w:lang w:val="es-ES_tradnl" w:eastAsia="en-GB"/>
              </w:rPr>
              <w:t>y</w:t>
            </w:r>
            <w:r w:rsidRPr="007D3C50">
              <w:rPr>
                <w:rFonts w:eastAsia="Times New Roman" w:cs="Arial"/>
                <w:sz w:val="20"/>
                <w:szCs w:val="20"/>
                <w:lang w:val="es-ES_tradnl" w:eastAsia="en-GB"/>
              </w:rPr>
              <w:t>a, Nepal</w:t>
            </w:r>
          </w:p>
        </w:tc>
      </w:tr>
      <w:tr w:rsidR="008B7384" w:rsidRPr="007D3C50" w14:paraId="519170B7"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51675A90"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2011</w:t>
            </w:r>
          </w:p>
        </w:tc>
        <w:tc>
          <w:tcPr>
            <w:tcW w:w="1199" w:type="dxa"/>
            <w:tcBorders>
              <w:top w:val="nil"/>
              <w:left w:val="nil"/>
              <w:bottom w:val="single" w:sz="4" w:space="0" w:color="auto"/>
              <w:right w:val="single" w:sz="4" w:space="0" w:color="auto"/>
            </w:tcBorders>
            <w:hideMark/>
          </w:tcPr>
          <w:p w14:paraId="050A26AD" w14:textId="77777777"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0</w:t>
            </w:r>
          </w:p>
        </w:tc>
        <w:tc>
          <w:tcPr>
            <w:tcW w:w="2460" w:type="dxa"/>
            <w:tcBorders>
              <w:top w:val="nil"/>
              <w:left w:val="nil"/>
              <w:bottom w:val="single" w:sz="4" w:space="0" w:color="auto"/>
              <w:right w:val="single" w:sz="4" w:space="0" w:color="auto"/>
            </w:tcBorders>
            <w:hideMark/>
          </w:tcPr>
          <w:p w14:paraId="717A5E96"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1251" w:type="dxa"/>
            <w:tcBorders>
              <w:top w:val="nil"/>
              <w:left w:val="nil"/>
              <w:bottom w:val="single" w:sz="4" w:space="0" w:color="auto"/>
              <w:right w:val="single" w:sz="4" w:space="0" w:color="auto"/>
            </w:tcBorders>
            <w:hideMark/>
          </w:tcPr>
          <w:p w14:paraId="7E8B92FB"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3260" w:type="dxa"/>
            <w:tcBorders>
              <w:top w:val="nil"/>
              <w:left w:val="nil"/>
              <w:bottom w:val="single" w:sz="4" w:space="0" w:color="auto"/>
              <w:right w:val="single" w:sz="4" w:space="0" w:color="auto"/>
            </w:tcBorders>
            <w:hideMark/>
          </w:tcPr>
          <w:p w14:paraId="4B929601"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w:t>
            </w:r>
          </w:p>
        </w:tc>
      </w:tr>
      <w:tr w:rsidR="008B7384" w:rsidRPr="007D3C50" w14:paraId="4FFF7F85"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539DF9D7"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2012</w:t>
            </w:r>
          </w:p>
        </w:tc>
        <w:tc>
          <w:tcPr>
            <w:tcW w:w="1199" w:type="dxa"/>
            <w:tcBorders>
              <w:top w:val="nil"/>
              <w:left w:val="nil"/>
              <w:bottom w:val="single" w:sz="4" w:space="0" w:color="auto"/>
              <w:right w:val="single" w:sz="4" w:space="0" w:color="auto"/>
            </w:tcBorders>
            <w:hideMark/>
          </w:tcPr>
          <w:p w14:paraId="6E869361" w14:textId="73CD5E3C"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289</w:t>
            </w:r>
            <w:r w:rsidR="005E432F" w:rsidRPr="007D3C50">
              <w:rPr>
                <w:rFonts w:eastAsia="Times New Roman" w:cs="Arial"/>
                <w:sz w:val="20"/>
                <w:szCs w:val="20"/>
                <w:lang w:val="es-ES_tradnl" w:eastAsia="en-GB"/>
              </w:rPr>
              <w:t>.</w:t>
            </w:r>
            <w:r w:rsidRPr="007D3C50">
              <w:rPr>
                <w:rFonts w:eastAsia="Times New Roman" w:cs="Arial"/>
                <w:sz w:val="20"/>
                <w:szCs w:val="20"/>
                <w:lang w:val="es-ES_tradnl" w:eastAsia="en-GB"/>
              </w:rPr>
              <w:t>510</w:t>
            </w:r>
          </w:p>
        </w:tc>
        <w:tc>
          <w:tcPr>
            <w:tcW w:w="2460" w:type="dxa"/>
            <w:tcBorders>
              <w:top w:val="nil"/>
              <w:left w:val="nil"/>
              <w:bottom w:val="single" w:sz="4" w:space="0" w:color="auto"/>
              <w:right w:val="single" w:sz="4" w:space="0" w:color="auto"/>
            </w:tcBorders>
            <w:hideMark/>
          </w:tcPr>
          <w:p w14:paraId="3BD0EE1E" w14:textId="1773E18B" w:rsidR="008B7384" w:rsidRPr="007D3C50" w:rsidRDefault="00641CE0" w:rsidP="00641CE0">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Canadá</w:t>
            </w:r>
            <w:r w:rsidR="008B7384" w:rsidRPr="007D3C50">
              <w:rPr>
                <w:rFonts w:eastAsia="Times New Roman" w:cs="Arial"/>
                <w:sz w:val="20"/>
                <w:szCs w:val="20"/>
                <w:lang w:val="es-ES_tradnl" w:eastAsia="en-GB"/>
              </w:rPr>
              <w:t>, Jap</w:t>
            </w:r>
            <w:r w:rsidR="006F4830" w:rsidRPr="007D3C50">
              <w:rPr>
                <w:rFonts w:eastAsia="Times New Roman" w:cs="Arial"/>
                <w:sz w:val="20"/>
                <w:szCs w:val="20"/>
                <w:lang w:val="es-ES_tradnl" w:eastAsia="en-GB"/>
              </w:rPr>
              <w:t>ó</w:t>
            </w:r>
            <w:r w:rsidR="008B7384" w:rsidRPr="007D3C50">
              <w:rPr>
                <w:rFonts w:eastAsia="Times New Roman" w:cs="Arial"/>
                <w:sz w:val="20"/>
                <w:szCs w:val="20"/>
                <w:lang w:val="es-ES_tradnl" w:eastAsia="en-GB"/>
              </w:rPr>
              <w:t xml:space="preserve">n, </w:t>
            </w:r>
            <w:r w:rsidRPr="007D3C50">
              <w:rPr>
                <w:rFonts w:eastAsia="Times New Roman" w:cs="Arial"/>
                <w:sz w:val="20"/>
                <w:szCs w:val="20"/>
                <w:lang w:val="es-ES_tradnl" w:eastAsia="en-GB"/>
              </w:rPr>
              <w:t>Noruega</w:t>
            </w:r>
          </w:p>
        </w:tc>
        <w:tc>
          <w:tcPr>
            <w:tcW w:w="1251" w:type="dxa"/>
            <w:tcBorders>
              <w:top w:val="nil"/>
              <w:left w:val="nil"/>
              <w:bottom w:val="single" w:sz="4" w:space="0" w:color="auto"/>
              <w:right w:val="single" w:sz="4" w:space="0" w:color="auto"/>
            </w:tcBorders>
            <w:hideMark/>
          </w:tcPr>
          <w:p w14:paraId="594BD4BB"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7</w:t>
            </w:r>
          </w:p>
        </w:tc>
        <w:tc>
          <w:tcPr>
            <w:tcW w:w="3260" w:type="dxa"/>
            <w:tcBorders>
              <w:top w:val="nil"/>
              <w:left w:val="nil"/>
              <w:bottom w:val="single" w:sz="4" w:space="0" w:color="auto"/>
              <w:right w:val="single" w:sz="4" w:space="0" w:color="auto"/>
            </w:tcBorders>
            <w:hideMark/>
          </w:tcPr>
          <w:p w14:paraId="4D2CEFFC" w14:textId="13AD69F8"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Beli</w:t>
            </w:r>
            <w:r w:rsidR="005E432F" w:rsidRPr="007D3C50">
              <w:rPr>
                <w:rFonts w:eastAsia="Times New Roman" w:cs="Arial"/>
                <w:sz w:val="20"/>
                <w:szCs w:val="20"/>
                <w:lang w:val="es-ES_tradnl" w:eastAsia="en-GB"/>
              </w:rPr>
              <w:t>c</w:t>
            </w:r>
            <w:r w:rsidRPr="007D3C50">
              <w:rPr>
                <w:rFonts w:eastAsia="Times New Roman" w:cs="Arial"/>
                <w:sz w:val="20"/>
                <w:szCs w:val="20"/>
                <w:lang w:val="es-ES_tradnl" w:eastAsia="en-GB"/>
              </w:rPr>
              <w:t>e,</w:t>
            </w:r>
            <w:r w:rsidR="005E432F"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Ghana, Belar</w:t>
            </w:r>
            <w:r w:rsidR="006F4830" w:rsidRPr="007D3C50">
              <w:rPr>
                <w:rFonts w:eastAsia="Times New Roman" w:cs="Arial"/>
                <w:sz w:val="20"/>
                <w:szCs w:val="20"/>
                <w:lang w:val="es-ES_tradnl" w:eastAsia="en-GB"/>
              </w:rPr>
              <w:t>ú</w:t>
            </w:r>
            <w:r w:rsidRPr="007D3C50">
              <w:rPr>
                <w:rFonts w:eastAsia="Times New Roman" w:cs="Arial"/>
                <w:sz w:val="20"/>
                <w:szCs w:val="20"/>
                <w:lang w:val="es-ES_tradnl" w:eastAsia="en-GB"/>
              </w:rPr>
              <w:t>s,</w:t>
            </w:r>
            <w:r w:rsidR="005E432F" w:rsidRPr="007D3C50">
              <w:rPr>
                <w:rFonts w:eastAsia="Times New Roman" w:cs="Arial"/>
                <w:sz w:val="20"/>
                <w:szCs w:val="20"/>
                <w:lang w:val="es-ES_tradnl" w:eastAsia="en-GB"/>
              </w:rPr>
              <w:t xml:space="preserve"> </w:t>
            </w:r>
            <w:r w:rsidRPr="007D3C50">
              <w:rPr>
                <w:rFonts w:eastAsia="Times New Roman" w:cs="Arial"/>
                <w:sz w:val="20"/>
                <w:szCs w:val="20"/>
                <w:lang w:val="es-ES_tradnl" w:eastAsia="en-GB"/>
              </w:rPr>
              <w:t xml:space="preserve">Moldova, Uganda, </w:t>
            </w:r>
            <w:r w:rsidR="005D3CCF" w:rsidRPr="007D3C50">
              <w:rPr>
                <w:rFonts w:eastAsia="Times New Roman" w:cs="Arial"/>
                <w:sz w:val="20"/>
                <w:szCs w:val="20"/>
                <w:lang w:val="es-ES_tradnl" w:eastAsia="en-GB"/>
              </w:rPr>
              <w:t xml:space="preserve">RDP </w:t>
            </w:r>
            <w:r w:rsidRPr="007D3C50">
              <w:rPr>
                <w:rFonts w:eastAsia="Times New Roman" w:cs="Arial"/>
                <w:sz w:val="20"/>
                <w:szCs w:val="20"/>
                <w:lang w:val="es-ES_tradnl" w:eastAsia="en-GB"/>
              </w:rPr>
              <w:t>Lao, Georgia</w:t>
            </w:r>
          </w:p>
        </w:tc>
      </w:tr>
      <w:tr w:rsidR="008B7384" w:rsidRPr="007D3C50" w14:paraId="6CE4111D"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17CBFD84"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2013</w:t>
            </w:r>
          </w:p>
        </w:tc>
        <w:tc>
          <w:tcPr>
            <w:tcW w:w="1199" w:type="dxa"/>
            <w:tcBorders>
              <w:top w:val="nil"/>
              <w:left w:val="nil"/>
              <w:bottom w:val="single" w:sz="4" w:space="0" w:color="auto"/>
              <w:right w:val="single" w:sz="4" w:space="0" w:color="auto"/>
            </w:tcBorders>
            <w:hideMark/>
          </w:tcPr>
          <w:p w14:paraId="07C96F86" w14:textId="77777777"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2460" w:type="dxa"/>
            <w:tcBorders>
              <w:top w:val="nil"/>
              <w:left w:val="nil"/>
              <w:bottom w:val="single" w:sz="4" w:space="0" w:color="auto"/>
              <w:right w:val="single" w:sz="4" w:space="0" w:color="auto"/>
            </w:tcBorders>
            <w:hideMark/>
          </w:tcPr>
          <w:p w14:paraId="55C80E7E"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w:t>
            </w:r>
          </w:p>
        </w:tc>
        <w:tc>
          <w:tcPr>
            <w:tcW w:w="1251" w:type="dxa"/>
            <w:tcBorders>
              <w:top w:val="nil"/>
              <w:left w:val="nil"/>
              <w:bottom w:val="single" w:sz="4" w:space="0" w:color="auto"/>
              <w:right w:val="single" w:sz="4" w:space="0" w:color="auto"/>
            </w:tcBorders>
            <w:hideMark/>
          </w:tcPr>
          <w:p w14:paraId="76E0D50E"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1</w:t>
            </w:r>
          </w:p>
        </w:tc>
        <w:tc>
          <w:tcPr>
            <w:tcW w:w="3260" w:type="dxa"/>
            <w:tcBorders>
              <w:top w:val="nil"/>
              <w:left w:val="nil"/>
              <w:bottom w:val="single" w:sz="4" w:space="0" w:color="auto"/>
              <w:right w:val="single" w:sz="4" w:space="0" w:color="auto"/>
            </w:tcBorders>
            <w:hideMark/>
          </w:tcPr>
          <w:p w14:paraId="2A5A7FC2"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Ecuador</w:t>
            </w:r>
          </w:p>
        </w:tc>
      </w:tr>
      <w:tr w:rsidR="008B7384" w:rsidRPr="007D3C50" w14:paraId="32D3099A"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047164FF"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2014</w:t>
            </w:r>
          </w:p>
        </w:tc>
        <w:tc>
          <w:tcPr>
            <w:tcW w:w="1199" w:type="dxa"/>
            <w:tcBorders>
              <w:top w:val="nil"/>
              <w:left w:val="nil"/>
              <w:bottom w:val="single" w:sz="4" w:space="0" w:color="auto"/>
              <w:right w:val="single" w:sz="4" w:space="0" w:color="auto"/>
            </w:tcBorders>
            <w:hideMark/>
          </w:tcPr>
          <w:p w14:paraId="0D3C4E00" w14:textId="77777777"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2460" w:type="dxa"/>
            <w:tcBorders>
              <w:top w:val="nil"/>
              <w:left w:val="nil"/>
              <w:bottom w:val="single" w:sz="4" w:space="0" w:color="auto"/>
              <w:right w:val="single" w:sz="4" w:space="0" w:color="auto"/>
            </w:tcBorders>
            <w:hideMark/>
          </w:tcPr>
          <w:p w14:paraId="5D8914CA"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1251" w:type="dxa"/>
            <w:tcBorders>
              <w:top w:val="nil"/>
              <w:left w:val="nil"/>
              <w:bottom w:val="single" w:sz="4" w:space="0" w:color="auto"/>
              <w:right w:val="single" w:sz="4" w:space="0" w:color="auto"/>
            </w:tcBorders>
            <w:hideMark/>
          </w:tcPr>
          <w:p w14:paraId="6EEF6B76"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0</w:t>
            </w:r>
          </w:p>
        </w:tc>
        <w:tc>
          <w:tcPr>
            <w:tcW w:w="3260" w:type="dxa"/>
            <w:tcBorders>
              <w:top w:val="nil"/>
              <w:left w:val="nil"/>
              <w:bottom w:val="single" w:sz="4" w:space="0" w:color="auto"/>
              <w:right w:val="single" w:sz="4" w:space="0" w:color="auto"/>
            </w:tcBorders>
            <w:hideMark/>
          </w:tcPr>
          <w:p w14:paraId="71FA8526"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 </w:t>
            </w:r>
          </w:p>
        </w:tc>
      </w:tr>
      <w:tr w:rsidR="008B7384" w:rsidRPr="007D3C50" w14:paraId="547243F0"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65242A17"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2015</w:t>
            </w:r>
          </w:p>
        </w:tc>
        <w:tc>
          <w:tcPr>
            <w:tcW w:w="1199" w:type="dxa"/>
            <w:tcBorders>
              <w:top w:val="nil"/>
              <w:left w:val="nil"/>
              <w:bottom w:val="single" w:sz="4" w:space="0" w:color="auto"/>
              <w:right w:val="single" w:sz="4" w:space="0" w:color="auto"/>
            </w:tcBorders>
            <w:hideMark/>
          </w:tcPr>
          <w:p w14:paraId="376FA9B2" w14:textId="77777777"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2460" w:type="dxa"/>
            <w:tcBorders>
              <w:top w:val="nil"/>
              <w:left w:val="nil"/>
              <w:bottom w:val="single" w:sz="4" w:space="0" w:color="auto"/>
              <w:right w:val="single" w:sz="4" w:space="0" w:color="auto"/>
            </w:tcBorders>
            <w:hideMark/>
          </w:tcPr>
          <w:p w14:paraId="51CDD65F"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w:t>
            </w:r>
          </w:p>
        </w:tc>
        <w:tc>
          <w:tcPr>
            <w:tcW w:w="1251" w:type="dxa"/>
            <w:tcBorders>
              <w:top w:val="nil"/>
              <w:left w:val="nil"/>
              <w:bottom w:val="single" w:sz="4" w:space="0" w:color="auto"/>
              <w:right w:val="single" w:sz="4" w:space="0" w:color="auto"/>
            </w:tcBorders>
            <w:hideMark/>
          </w:tcPr>
          <w:p w14:paraId="60A5EA01"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0</w:t>
            </w:r>
          </w:p>
        </w:tc>
        <w:tc>
          <w:tcPr>
            <w:tcW w:w="3260" w:type="dxa"/>
            <w:tcBorders>
              <w:top w:val="nil"/>
              <w:left w:val="nil"/>
              <w:bottom w:val="single" w:sz="4" w:space="0" w:color="auto"/>
              <w:right w:val="single" w:sz="4" w:space="0" w:color="auto"/>
            </w:tcBorders>
            <w:hideMark/>
          </w:tcPr>
          <w:p w14:paraId="580F0CFE"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w:t>
            </w:r>
          </w:p>
        </w:tc>
      </w:tr>
      <w:tr w:rsidR="008B7384" w:rsidRPr="007D3C50" w14:paraId="5BAAAC99" w14:textId="77777777" w:rsidTr="0012735E">
        <w:tc>
          <w:tcPr>
            <w:tcW w:w="866" w:type="dxa"/>
            <w:tcBorders>
              <w:top w:val="nil"/>
              <w:left w:val="single" w:sz="4" w:space="0" w:color="auto"/>
              <w:bottom w:val="single" w:sz="4" w:space="0" w:color="auto"/>
              <w:right w:val="single" w:sz="4" w:space="0" w:color="auto"/>
            </w:tcBorders>
            <w:shd w:val="clear" w:color="auto" w:fill="D9D9D9"/>
            <w:hideMark/>
          </w:tcPr>
          <w:p w14:paraId="3EA53BF5" w14:textId="77777777" w:rsidR="008B7384" w:rsidRPr="007D3C50" w:rsidRDefault="008B7384" w:rsidP="00155BC8">
            <w:pPr>
              <w:spacing w:after="0" w:line="240" w:lineRule="auto"/>
              <w:rPr>
                <w:rFonts w:eastAsia="Times New Roman" w:cs="Arial"/>
                <w:b/>
                <w:bCs/>
                <w:sz w:val="20"/>
                <w:szCs w:val="20"/>
                <w:lang w:val="es-ES_tradnl" w:eastAsia="en-GB"/>
              </w:rPr>
            </w:pPr>
            <w:r w:rsidRPr="007D3C50">
              <w:rPr>
                <w:rFonts w:eastAsia="Times New Roman" w:cs="Arial"/>
                <w:b/>
                <w:bCs/>
                <w:sz w:val="20"/>
                <w:szCs w:val="20"/>
                <w:lang w:val="es-ES_tradnl" w:eastAsia="en-GB"/>
              </w:rPr>
              <w:t>TOTAL</w:t>
            </w:r>
          </w:p>
        </w:tc>
        <w:tc>
          <w:tcPr>
            <w:tcW w:w="1199" w:type="dxa"/>
            <w:tcBorders>
              <w:top w:val="nil"/>
              <w:left w:val="nil"/>
              <w:bottom w:val="single" w:sz="4" w:space="0" w:color="auto"/>
              <w:right w:val="single" w:sz="4" w:space="0" w:color="auto"/>
            </w:tcBorders>
            <w:hideMark/>
          </w:tcPr>
          <w:p w14:paraId="63FA03D0" w14:textId="365DEE52" w:rsidR="008B7384" w:rsidRPr="007D3C50" w:rsidRDefault="008B7384" w:rsidP="00155BC8">
            <w:pPr>
              <w:spacing w:after="0" w:line="240" w:lineRule="auto"/>
              <w:jc w:val="right"/>
              <w:rPr>
                <w:rFonts w:eastAsia="Times New Roman" w:cs="Arial"/>
                <w:sz w:val="20"/>
                <w:szCs w:val="20"/>
                <w:lang w:val="es-ES_tradnl" w:eastAsia="en-GB"/>
              </w:rPr>
            </w:pPr>
            <w:r w:rsidRPr="007D3C50">
              <w:rPr>
                <w:rFonts w:cs="Arial"/>
                <w:sz w:val="20"/>
                <w:szCs w:val="20"/>
                <w:lang w:val="es-ES_tradnl"/>
              </w:rPr>
              <w:t>2</w:t>
            </w:r>
            <w:r w:rsidR="005E432F" w:rsidRPr="007D3C50">
              <w:rPr>
                <w:rFonts w:cs="Arial"/>
                <w:sz w:val="20"/>
                <w:szCs w:val="20"/>
                <w:lang w:val="es-ES_tradnl"/>
              </w:rPr>
              <w:t>.</w:t>
            </w:r>
            <w:r w:rsidRPr="007D3C50">
              <w:rPr>
                <w:rFonts w:cs="Arial"/>
                <w:sz w:val="20"/>
                <w:szCs w:val="20"/>
                <w:lang w:val="es-ES_tradnl"/>
              </w:rPr>
              <w:t>740</w:t>
            </w:r>
            <w:r w:rsidR="005E432F" w:rsidRPr="007D3C50">
              <w:rPr>
                <w:rFonts w:cs="Arial"/>
                <w:sz w:val="20"/>
                <w:szCs w:val="20"/>
                <w:lang w:val="es-ES_tradnl"/>
              </w:rPr>
              <w:t>.</w:t>
            </w:r>
            <w:r w:rsidRPr="007D3C50">
              <w:rPr>
                <w:rFonts w:cs="Arial"/>
                <w:sz w:val="20"/>
                <w:szCs w:val="20"/>
                <w:lang w:val="es-ES_tradnl"/>
              </w:rPr>
              <w:t>206</w:t>
            </w:r>
          </w:p>
        </w:tc>
        <w:tc>
          <w:tcPr>
            <w:tcW w:w="2460" w:type="dxa"/>
            <w:tcBorders>
              <w:top w:val="nil"/>
              <w:left w:val="nil"/>
              <w:bottom w:val="single" w:sz="4" w:space="0" w:color="auto"/>
              <w:right w:val="single" w:sz="4" w:space="0" w:color="auto"/>
            </w:tcBorders>
            <w:hideMark/>
          </w:tcPr>
          <w:p w14:paraId="09712C4A"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12+1</w:t>
            </w:r>
          </w:p>
        </w:tc>
        <w:tc>
          <w:tcPr>
            <w:tcW w:w="1251" w:type="dxa"/>
            <w:tcBorders>
              <w:top w:val="nil"/>
              <w:left w:val="nil"/>
              <w:bottom w:val="single" w:sz="4" w:space="0" w:color="auto"/>
              <w:right w:val="single" w:sz="4" w:space="0" w:color="auto"/>
            </w:tcBorders>
            <w:hideMark/>
          </w:tcPr>
          <w:p w14:paraId="55BCD1AC" w14:textId="77777777" w:rsidR="008B7384" w:rsidRPr="007D3C50" w:rsidRDefault="008B7384" w:rsidP="00155BC8">
            <w:pPr>
              <w:spacing w:after="0" w:line="240" w:lineRule="auto"/>
              <w:jc w:val="center"/>
              <w:rPr>
                <w:rFonts w:eastAsia="Times New Roman" w:cs="Arial"/>
                <w:sz w:val="20"/>
                <w:szCs w:val="20"/>
                <w:lang w:val="es-ES_tradnl" w:eastAsia="en-GB"/>
              </w:rPr>
            </w:pPr>
            <w:r w:rsidRPr="007D3C50">
              <w:rPr>
                <w:rFonts w:eastAsia="Times New Roman" w:cs="Arial"/>
                <w:sz w:val="20"/>
                <w:szCs w:val="20"/>
                <w:lang w:val="es-ES_tradnl" w:eastAsia="en-GB"/>
              </w:rPr>
              <w:t>89</w:t>
            </w:r>
          </w:p>
        </w:tc>
        <w:tc>
          <w:tcPr>
            <w:tcW w:w="3260" w:type="dxa"/>
            <w:tcBorders>
              <w:top w:val="nil"/>
              <w:left w:val="nil"/>
              <w:bottom w:val="single" w:sz="4" w:space="0" w:color="auto"/>
              <w:right w:val="single" w:sz="4" w:space="0" w:color="auto"/>
            </w:tcBorders>
            <w:hideMark/>
          </w:tcPr>
          <w:p w14:paraId="47C49591" w14:textId="77777777" w:rsidR="008B7384" w:rsidRPr="007D3C50" w:rsidRDefault="008B7384" w:rsidP="00155BC8">
            <w:pPr>
              <w:spacing w:after="0" w:line="240" w:lineRule="auto"/>
              <w:rPr>
                <w:rFonts w:eastAsia="Times New Roman" w:cs="Arial"/>
                <w:sz w:val="20"/>
                <w:szCs w:val="20"/>
                <w:lang w:val="es-ES_tradnl" w:eastAsia="en-GB"/>
              </w:rPr>
            </w:pPr>
            <w:r w:rsidRPr="007D3C50">
              <w:rPr>
                <w:rFonts w:eastAsia="Times New Roman" w:cs="Arial"/>
                <w:sz w:val="20"/>
                <w:szCs w:val="20"/>
                <w:lang w:val="es-ES_tradnl" w:eastAsia="en-GB"/>
              </w:rPr>
              <w:t>-</w:t>
            </w:r>
          </w:p>
        </w:tc>
      </w:tr>
    </w:tbl>
    <w:p w14:paraId="3DAC4A04" w14:textId="77777777" w:rsidR="000B4C27" w:rsidRPr="007D3C50" w:rsidRDefault="000B4C27" w:rsidP="000B4C27">
      <w:pPr>
        <w:spacing w:after="0" w:line="240" w:lineRule="auto"/>
        <w:rPr>
          <w:rFonts w:cs="Times New Roman"/>
          <w:b/>
          <w:lang w:val="es-ES_tradnl"/>
        </w:rPr>
      </w:pPr>
    </w:p>
    <w:p w14:paraId="15A04C87" w14:textId="77777777" w:rsidR="000B4D4F" w:rsidRPr="007D3C50" w:rsidRDefault="000B4D4F" w:rsidP="000B4C27">
      <w:pPr>
        <w:spacing w:after="0" w:line="240" w:lineRule="auto"/>
        <w:rPr>
          <w:lang w:val="es-ES_tradnl"/>
        </w:rPr>
      </w:pPr>
    </w:p>
    <w:p w14:paraId="41A49F0D" w14:textId="7729AE9F" w:rsidR="0020244D" w:rsidRPr="007D3C50" w:rsidRDefault="00E86663"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El FPS normalmente recibe un número de solicitudes y de propuestas de calidad muy superior al que se pueda atender con los fondos disponibles.</w:t>
      </w:r>
      <w:r w:rsidR="00641CE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 xml:space="preserve">Asimismo, la demanda </w:t>
      </w:r>
      <w:r w:rsidR="00714072" w:rsidRPr="007D3C50">
        <w:rPr>
          <w:rFonts w:asciiTheme="minorHAnsi" w:hAnsiTheme="minorHAnsi" w:cs="Times New Roman"/>
          <w:sz w:val="22"/>
          <w:szCs w:val="22"/>
          <w:lang w:val="es-ES_tradnl"/>
        </w:rPr>
        <w:t xml:space="preserve">que tiene la </w:t>
      </w:r>
      <w:r w:rsidRPr="007D3C50">
        <w:rPr>
          <w:rFonts w:asciiTheme="minorHAnsi" w:hAnsiTheme="minorHAnsi" w:cs="Times New Roman"/>
          <w:sz w:val="22"/>
          <w:szCs w:val="22"/>
          <w:lang w:val="es-ES_tradnl"/>
        </w:rPr>
        <w:t>Secretaría para</w:t>
      </w:r>
      <w:r w:rsidR="00714072" w:rsidRPr="007D3C50">
        <w:rPr>
          <w:rFonts w:asciiTheme="minorHAnsi" w:hAnsiTheme="minorHAnsi" w:cs="Times New Roman"/>
          <w:sz w:val="22"/>
          <w:szCs w:val="22"/>
          <w:lang w:val="es-ES_tradnl"/>
        </w:rPr>
        <w:t xml:space="preserve"> prestar servicios de asesoramiento y de evaluación y clasificación de proyectos</w:t>
      </w:r>
      <w:r w:rsidRPr="007D3C50">
        <w:rPr>
          <w:rFonts w:asciiTheme="minorHAnsi" w:hAnsiTheme="minorHAnsi" w:cs="Times New Roman"/>
          <w:sz w:val="22"/>
          <w:szCs w:val="22"/>
          <w:lang w:val="es-ES_tradnl"/>
        </w:rPr>
        <w:t xml:space="preserve"> </w:t>
      </w:r>
      <w:r w:rsidR="005D3CCF" w:rsidRPr="007D3C50">
        <w:rPr>
          <w:rFonts w:asciiTheme="minorHAnsi" w:hAnsiTheme="minorHAnsi" w:cs="Times New Roman"/>
          <w:sz w:val="22"/>
          <w:szCs w:val="22"/>
          <w:lang w:val="es-ES_tradnl"/>
        </w:rPr>
        <w:t>ha sido de</w:t>
      </w:r>
      <w:r w:rsidR="00714072" w:rsidRPr="007D3C50">
        <w:rPr>
          <w:rFonts w:asciiTheme="minorHAnsi" w:hAnsiTheme="minorHAnsi" w:cs="Times New Roman"/>
          <w:sz w:val="22"/>
          <w:szCs w:val="22"/>
          <w:lang w:val="es-ES_tradnl"/>
        </w:rPr>
        <w:t xml:space="preserve">sproporcionadamente elevada en comparación con los fondos disponibles. </w:t>
      </w:r>
    </w:p>
    <w:p w14:paraId="63767E8D" w14:textId="77777777" w:rsidR="00C570F9" w:rsidRPr="007D3C50" w:rsidRDefault="00C570F9" w:rsidP="003D6AB7">
      <w:pPr>
        <w:pStyle w:val="Default"/>
        <w:ind w:left="426" w:hanging="426"/>
        <w:rPr>
          <w:rFonts w:asciiTheme="minorHAnsi" w:hAnsiTheme="minorHAnsi" w:cs="Times New Roman"/>
          <w:sz w:val="22"/>
          <w:szCs w:val="22"/>
          <w:lang w:val="es-ES_tradnl"/>
        </w:rPr>
      </w:pPr>
    </w:p>
    <w:p w14:paraId="53E1D657" w14:textId="194A0B72" w:rsidR="00DB579B" w:rsidRPr="007D3C50" w:rsidRDefault="00053C1B"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Desde</w:t>
      </w:r>
      <w:r w:rsidR="00F125D3">
        <w:rPr>
          <w:rFonts w:asciiTheme="minorHAnsi" w:hAnsiTheme="minorHAnsi" w:cs="Times New Roman"/>
          <w:sz w:val="22"/>
          <w:szCs w:val="22"/>
          <w:lang w:val="es-ES_tradnl"/>
        </w:rPr>
        <w:t xml:space="preserve"> </w:t>
      </w:r>
      <w:r w:rsidR="004930AE" w:rsidRPr="007D3C50">
        <w:rPr>
          <w:rFonts w:asciiTheme="minorHAnsi" w:hAnsiTheme="minorHAnsi" w:cs="Times New Roman"/>
          <w:sz w:val="22"/>
          <w:szCs w:val="22"/>
          <w:lang w:val="es-ES_tradnl"/>
        </w:rPr>
        <w:t xml:space="preserve">2010, </w:t>
      </w:r>
      <w:r w:rsidRPr="007D3C50">
        <w:rPr>
          <w:rFonts w:asciiTheme="minorHAnsi" w:hAnsiTheme="minorHAnsi" w:cs="Times New Roman"/>
          <w:sz w:val="22"/>
          <w:szCs w:val="22"/>
          <w:lang w:val="es-ES_tradnl"/>
        </w:rPr>
        <w:t xml:space="preserve">los informes de la Secretaría al Comité Permanente han </w:t>
      </w:r>
      <w:r w:rsidR="0012735E" w:rsidRPr="007D3C50">
        <w:rPr>
          <w:rFonts w:asciiTheme="minorHAnsi" w:hAnsiTheme="minorHAnsi" w:cs="Times New Roman"/>
          <w:sz w:val="22"/>
          <w:szCs w:val="22"/>
          <w:lang w:val="es-ES_tradnl"/>
        </w:rPr>
        <w:t>señal</w:t>
      </w:r>
      <w:r w:rsidRPr="007D3C50">
        <w:rPr>
          <w:rFonts w:asciiTheme="minorHAnsi" w:hAnsiTheme="minorHAnsi" w:cs="Times New Roman"/>
          <w:sz w:val="22"/>
          <w:szCs w:val="22"/>
          <w:lang w:val="es-ES_tradnl"/>
        </w:rPr>
        <w:t xml:space="preserve">ado el reto que supone </w:t>
      </w:r>
      <w:r w:rsidR="005D3CCF" w:rsidRPr="007D3C50">
        <w:rPr>
          <w:rFonts w:asciiTheme="minorHAnsi" w:hAnsiTheme="minorHAnsi" w:cs="Times New Roman"/>
          <w:sz w:val="22"/>
          <w:szCs w:val="22"/>
          <w:lang w:val="es-ES_tradnl"/>
        </w:rPr>
        <w:t xml:space="preserve">recaudación </w:t>
      </w:r>
      <w:r w:rsidRPr="007D3C50">
        <w:rPr>
          <w:rFonts w:asciiTheme="minorHAnsi" w:hAnsiTheme="minorHAnsi" w:cs="Times New Roman"/>
          <w:sz w:val="22"/>
          <w:szCs w:val="22"/>
          <w:lang w:val="es-ES_tradnl"/>
        </w:rPr>
        <w:t>de fondos para el FPS y se han adoptado medidas importantes</w:t>
      </w:r>
      <w:r w:rsidR="00E9663D" w:rsidRPr="007D3C50">
        <w:rPr>
          <w:rFonts w:asciiTheme="minorHAnsi" w:hAnsiTheme="minorHAnsi" w:cs="Times New Roman"/>
          <w:sz w:val="22"/>
          <w:szCs w:val="22"/>
          <w:lang w:val="es-ES_tradnl"/>
        </w:rPr>
        <w:t xml:space="preserve"> para dinamizar el fondo, entre ellas</w:t>
      </w:r>
      <w:r w:rsidR="00F622C4" w:rsidRPr="007D3C50">
        <w:rPr>
          <w:rFonts w:asciiTheme="minorHAnsi" w:hAnsiTheme="minorHAnsi" w:cs="Times New Roman"/>
          <w:sz w:val="22"/>
          <w:szCs w:val="22"/>
          <w:lang w:val="es-ES_tradnl"/>
        </w:rPr>
        <w:t xml:space="preserve"> un nuevo formato de presentación de la cartera de proyectos financiados por el FPS, en el que</w:t>
      </w:r>
      <w:r w:rsidR="00641CE0">
        <w:rPr>
          <w:rFonts w:asciiTheme="minorHAnsi" w:hAnsiTheme="minorHAnsi" w:cs="Times New Roman"/>
          <w:sz w:val="22"/>
          <w:szCs w:val="22"/>
          <w:lang w:val="es-ES_tradnl"/>
        </w:rPr>
        <w:t xml:space="preserve"> </w:t>
      </w:r>
      <w:r w:rsidR="00F622C4" w:rsidRPr="007D3C50">
        <w:rPr>
          <w:rFonts w:asciiTheme="minorHAnsi" w:hAnsiTheme="minorHAnsi" w:cs="Times New Roman"/>
          <w:sz w:val="22"/>
          <w:szCs w:val="22"/>
          <w:lang w:val="es-ES_tradnl"/>
        </w:rPr>
        <w:t xml:space="preserve">se muestran proyectos específicos y se destacan los "proyectos estrella" de alta calidad para los donantes potenciales. </w:t>
      </w:r>
    </w:p>
    <w:p w14:paraId="19E8AFC2" w14:textId="77777777" w:rsidR="00C570F9" w:rsidRPr="007D3C50" w:rsidRDefault="00C570F9" w:rsidP="003D6AB7">
      <w:pPr>
        <w:pStyle w:val="ListParagraph"/>
        <w:spacing w:after="0" w:line="240" w:lineRule="auto"/>
        <w:ind w:left="426" w:hanging="426"/>
        <w:rPr>
          <w:rFonts w:cs="Times New Roman"/>
          <w:lang w:val="es-ES_tradnl"/>
        </w:rPr>
      </w:pPr>
    </w:p>
    <w:p w14:paraId="0EAB6B63" w14:textId="3BFD0D26" w:rsidR="000B4D4F" w:rsidRPr="007D3C50" w:rsidRDefault="00F622C4" w:rsidP="00155BC8">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En la </w:t>
      </w:r>
      <w:r w:rsidR="00155BC8" w:rsidRPr="007D3C50">
        <w:rPr>
          <w:rFonts w:asciiTheme="minorHAnsi" w:hAnsiTheme="minorHAnsi" w:cs="Times New Roman"/>
          <w:sz w:val="22"/>
          <w:szCs w:val="22"/>
          <w:lang w:val="es-ES_tradnl"/>
        </w:rPr>
        <w:t>d</w:t>
      </w:r>
      <w:r w:rsidR="00FA5FA9" w:rsidRPr="007D3C50">
        <w:rPr>
          <w:rFonts w:asciiTheme="minorHAnsi" w:hAnsiTheme="minorHAnsi" w:cs="Times New Roman"/>
          <w:sz w:val="22"/>
          <w:szCs w:val="22"/>
          <w:lang w:val="es-ES_tradnl"/>
        </w:rPr>
        <w:t>ecisi</w:t>
      </w:r>
      <w:r w:rsidRPr="007D3C50">
        <w:rPr>
          <w:rFonts w:asciiTheme="minorHAnsi" w:hAnsiTheme="minorHAnsi" w:cs="Times New Roman"/>
          <w:sz w:val="22"/>
          <w:szCs w:val="22"/>
          <w:lang w:val="es-ES_tradnl"/>
        </w:rPr>
        <w:t>ó</w:t>
      </w:r>
      <w:r w:rsidR="00FA5FA9" w:rsidRPr="007D3C50">
        <w:rPr>
          <w:rFonts w:asciiTheme="minorHAnsi" w:hAnsiTheme="minorHAnsi" w:cs="Times New Roman"/>
          <w:sz w:val="22"/>
          <w:szCs w:val="22"/>
          <w:lang w:val="es-ES_tradnl"/>
        </w:rPr>
        <w:t>n SC48</w:t>
      </w:r>
      <w:r w:rsidR="00155BC8" w:rsidRPr="007D3C50">
        <w:rPr>
          <w:rFonts w:asciiTheme="minorHAnsi" w:hAnsiTheme="minorHAnsi" w:cs="Times New Roman"/>
          <w:sz w:val="22"/>
          <w:szCs w:val="22"/>
          <w:lang w:val="es-ES_tradnl"/>
        </w:rPr>
        <w:t>-</w:t>
      </w:r>
      <w:r w:rsidR="00FA5FA9" w:rsidRPr="007D3C50">
        <w:rPr>
          <w:rFonts w:asciiTheme="minorHAnsi" w:hAnsiTheme="minorHAnsi" w:cs="Times New Roman"/>
          <w:sz w:val="22"/>
          <w:szCs w:val="22"/>
          <w:lang w:val="es-ES_tradnl"/>
        </w:rPr>
        <w:t>12</w:t>
      </w:r>
      <w:r w:rsidRPr="007D3C50">
        <w:rPr>
          <w:rFonts w:asciiTheme="minorHAnsi" w:hAnsiTheme="minorHAnsi" w:cs="Times New Roman"/>
          <w:sz w:val="22"/>
          <w:szCs w:val="22"/>
          <w:lang w:val="es-ES_tradnl"/>
        </w:rPr>
        <w:t xml:space="preserve">, el Comité Permanente </w:t>
      </w:r>
      <w:r w:rsidR="00733B51" w:rsidRPr="007D3C50">
        <w:rPr>
          <w:rFonts w:asciiTheme="minorHAnsi" w:hAnsiTheme="minorHAnsi" w:cs="Times New Roman"/>
          <w:sz w:val="22"/>
          <w:szCs w:val="22"/>
          <w:lang w:val="es-ES_tradnl"/>
        </w:rPr>
        <w:t>pidió a la Secretaría que no realizara una convocatoria</w:t>
      </w:r>
      <w:r w:rsidR="00641CE0">
        <w:rPr>
          <w:rFonts w:asciiTheme="minorHAnsi" w:hAnsiTheme="minorHAnsi" w:cs="Times New Roman"/>
          <w:sz w:val="22"/>
          <w:szCs w:val="22"/>
          <w:lang w:val="es-ES_tradnl"/>
        </w:rPr>
        <w:t xml:space="preserve"> </w:t>
      </w:r>
      <w:r w:rsidR="00733B51" w:rsidRPr="007D3C50">
        <w:rPr>
          <w:rFonts w:asciiTheme="minorHAnsi" w:hAnsiTheme="minorHAnsi" w:cs="Times New Roman"/>
          <w:sz w:val="22"/>
          <w:szCs w:val="22"/>
          <w:lang w:val="es-ES_tradnl"/>
        </w:rPr>
        <w:t>de</w:t>
      </w:r>
      <w:r w:rsidR="0012735E" w:rsidRPr="007D3C50">
        <w:rPr>
          <w:rFonts w:asciiTheme="minorHAnsi" w:hAnsiTheme="minorHAnsi" w:cs="Times New Roman"/>
          <w:sz w:val="22"/>
          <w:szCs w:val="22"/>
          <w:lang w:val="es-ES_tradnl"/>
        </w:rPr>
        <w:t xml:space="preserve"> propuestas para el FPS en 2015</w:t>
      </w:r>
      <w:r w:rsidR="00733B51" w:rsidRPr="007D3C50">
        <w:rPr>
          <w:rFonts w:asciiTheme="minorHAnsi" w:hAnsiTheme="minorHAnsi" w:cs="Times New Roman"/>
          <w:sz w:val="22"/>
          <w:szCs w:val="22"/>
          <w:lang w:val="es-ES_tradnl"/>
        </w:rPr>
        <w:t xml:space="preserve"> debido a la </w:t>
      </w:r>
      <w:r w:rsidR="0030773C" w:rsidRPr="007D3C50">
        <w:rPr>
          <w:rFonts w:asciiTheme="minorHAnsi" w:hAnsiTheme="minorHAnsi" w:cs="Times New Roman"/>
          <w:sz w:val="22"/>
          <w:szCs w:val="22"/>
          <w:lang w:val="es-ES_tradnl"/>
        </w:rPr>
        <w:t xml:space="preserve">falta de recursos. </w:t>
      </w:r>
    </w:p>
    <w:p w14:paraId="61437A7F" w14:textId="77777777" w:rsidR="000B4D4F" w:rsidRPr="007D3C50" w:rsidRDefault="000B4D4F" w:rsidP="003D6AB7">
      <w:pPr>
        <w:pStyle w:val="ListParagraph"/>
        <w:spacing w:after="0" w:line="240" w:lineRule="auto"/>
        <w:ind w:left="426" w:hanging="426"/>
        <w:rPr>
          <w:rFonts w:cs="Times New Roman"/>
          <w:lang w:val="es-ES_tradnl"/>
        </w:rPr>
      </w:pPr>
    </w:p>
    <w:p w14:paraId="74BF498D" w14:textId="13C60B50" w:rsidR="00071E52" w:rsidRPr="007D3C50" w:rsidRDefault="00733B51"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Una revisión actual de los informes de la Secretaría revela que los retos relativos al FPS posiblemente sean los siguientes: </w:t>
      </w:r>
    </w:p>
    <w:p w14:paraId="6975AA3E" w14:textId="77777777" w:rsidR="00155BC8" w:rsidRPr="007D3C50" w:rsidRDefault="00155BC8" w:rsidP="00155BC8">
      <w:pPr>
        <w:pStyle w:val="ListParagraph"/>
        <w:rPr>
          <w:rFonts w:cs="Times New Roman"/>
          <w:lang w:val="es-ES_tradnl"/>
        </w:rPr>
      </w:pPr>
    </w:p>
    <w:p w14:paraId="62110ED2" w14:textId="1796E651" w:rsidR="00DF6919" w:rsidRPr="006066B1" w:rsidRDefault="005E6D84" w:rsidP="00155BC8">
      <w:pPr>
        <w:pStyle w:val="ListParagraph"/>
        <w:numPr>
          <w:ilvl w:val="0"/>
          <w:numId w:val="38"/>
        </w:numPr>
        <w:spacing w:after="0" w:line="240" w:lineRule="auto"/>
        <w:ind w:left="851" w:hanging="425"/>
        <w:rPr>
          <w:rFonts w:cs="Times New Roman"/>
          <w:lang w:val="es-ES_tradnl"/>
        </w:rPr>
      </w:pPr>
      <w:r w:rsidRPr="007D3C50">
        <w:rPr>
          <w:rFonts w:cs="Times New Roman"/>
          <w:lang w:val="es-ES_tradnl"/>
        </w:rPr>
        <w:t xml:space="preserve">Como fondo formado por múltiples donantes, el FPS carece de promotor. En comparación, el </w:t>
      </w:r>
      <w:r w:rsidRPr="006066B1">
        <w:rPr>
          <w:rFonts w:cs="Times New Roman"/>
          <w:lang w:val="es-ES_tradnl"/>
        </w:rPr>
        <w:t xml:space="preserve">Fondo Humedales para el Futuro ha tenido financiación constante </w:t>
      </w:r>
      <w:r w:rsidR="005D3CCF" w:rsidRPr="006066B1">
        <w:rPr>
          <w:rFonts w:cs="Times New Roman"/>
          <w:lang w:val="es-ES_tradnl"/>
        </w:rPr>
        <w:t xml:space="preserve">por parte </w:t>
      </w:r>
      <w:r w:rsidRPr="006066B1">
        <w:rPr>
          <w:rFonts w:cs="Times New Roman"/>
          <w:lang w:val="es-ES_tradnl"/>
        </w:rPr>
        <w:t>de los Estados Unidos de América</w:t>
      </w:r>
      <w:r w:rsidR="0012735E" w:rsidRPr="006066B1">
        <w:rPr>
          <w:rFonts w:cs="Times New Roman"/>
          <w:lang w:val="es-ES_tradnl"/>
        </w:rPr>
        <w:t>,</w:t>
      </w:r>
      <w:r w:rsidRPr="006066B1">
        <w:rPr>
          <w:rFonts w:cs="Times New Roman"/>
          <w:lang w:val="es-ES_tradnl"/>
        </w:rPr>
        <w:t xml:space="preserve"> y el Fondo Suizo para África siempre ha </w:t>
      </w:r>
      <w:r w:rsidR="005D3CCF" w:rsidRPr="006066B1">
        <w:rPr>
          <w:rFonts w:cs="Times New Roman"/>
          <w:lang w:val="es-ES_tradnl"/>
        </w:rPr>
        <w:t>estado</w:t>
      </w:r>
      <w:r w:rsidRPr="006066B1">
        <w:rPr>
          <w:rFonts w:cs="Times New Roman"/>
          <w:lang w:val="es-ES_tradnl"/>
        </w:rPr>
        <w:t xml:space="preserve"> financiado por Suiza</w:t>
      </w:r>
      <w:r w:rsidR="00DF6919" w:rsidRPr="006066B1">
        <w:rPr>
          <w:rFonts w:cs="Times New Roman"/>
          <w:lang w:val="es-ES_tradnl"/>
        </w:rPr>
        <w:t>.</w:t>
      </w:r>
    </w:p>
    <w:p w14:paraId="4372899F" w14:textId="77777777" w:rsidR="00155BC8" w:rsidRPr="007D3C50" w:rsidRDefault="00155BC8" w:rsidP="00155BC8">
      <w:pPr>
        <w:pStyle w:val="ListParagraph"/>
        <w:spacing w:after="0" w:line="240" w:lineRule="auto"/>
        <w:ind w:left="851"/>
        <w:rPr>
          <w:rFonts w:cs="Times New Roman"/>
          <w:lang w:val="es-ES_tradnl"/>
        </w:rPr>
      </w:pPr>
    </w:p>
    <w:p w14:paraId="1C1671DB" w14:textId="4D26735F" w:rsidR="006A3C56" w:rsidRPr="007D3C50" w:rsidRDefault="005E6D84" w:rsidP="00155BC8">
      <w:pPr>
        <w:pStyle w:val="ListParagraph"/>
        <w:numPr>
          <w:ilvl w:val="0"/>
          <w:numId w:val="38"/>
        </w:numPr>
        <w:spacing w:after="0" w:line="240" w:lineRule="auto"/>
        <w:ind w:left="851" w:hanging="425"/>
        <w:rPr>
          <w:rFonts w:cs="Times New Roman"/>
          <w:lang w:val="es-ES_tradnl"/>
        </w:rPr>
      </w:pPr>
      <w:r w:rsidRPr="007D3C50">
        <w:rPr>
          <w:rFonts w:cs="Times New Roman"/>
          <w:lang w:val="es-ES_tradnl"/>
        </w:rPr>
        <w:t xml:space="preserve">Hasta ahora, el apoyo por parte del sector privado y de fundaciones privadas no ha sido significativo, posiblemente </w:t>
      </w:r>
      <w:r w:rsidR="00276ECA" w:rsidRPr="007D3C50">
        <w:rPr>
          <w:rFonts w:cs="Times New Roman"/>
          <w:lang w:val="es-ES_tradnl"/>
        </w:rPr>
        <w:t>por</w:t>
      </w:r>
      <w:r w:rsidRPr="007D3C50">
        <w:rPr>
          <w:rFonts w:cs="Times New Roman"/>
          <w:lang w:val="es-ES_tradnl"/>
        </w:rPr>
        <w:t xml:space="preserve">que </w:t>
      </w:r>
      <w:r w:rsidR="00276ECA" w:rsidRPr="007D3C50">
        <w:rPr>
          <w:rFonts w:cs="Times New Roman"/>
          <w:lang w:val="es-ES_tradnl"/>
        </w:rPr>
        <w:t xml:space="preserve">no se han explicado lo suficiente </w:t>
      </w:r>
      <w:r w:rsidRPr="007D3C50">
        <w:rPr>
          <w:rFonts w:cs="Times New Roman"/>
          <w:lang w:val="es-ES_tradnl"/>
        </w:rPr>
        <w:t xml:space="preserve">los incentivos </w:t>
      </w:r>
      <w:r w:rsidR="00276ECA" w:rsidRPr="007D3C50">
        <w:rPr>
          <w:rFonts w:cs="Times New Roman"/>
          <w:lang w:val="es-ES_tradnl"/>
        </w:rPr>
        <w:t>que supone</w:t>
      </w:r>
      <w:r w:rsidR="00A51F6A">
        <w:rPr>
          <w:rFonts w:cs="Times New Roman"/>
          <w:lang w:val="es-ES_tradnl"/>
        </w:rPr>
        <w:t>n</w:t>
      </w:r>
      <w:r w:rsidR="00276ECA" w:rsidRPr="007D3C50">
        <w:rPr>
          <w:rFonts w:cs="Times New Roman"/>
          <w:lang w:val="es-ES_tradnl"/>
        </w:rPr>
        <w:t xml:space="preserve"> </w:t>
      </w:r>
      <w:r w:rsidRPr="007D3C50">
        <w:rPr>
          <w:rFonts w:cs="Times New Roman"/>
          <w:lang w:val="es-ES_tradnl"/>
        </w:rPr>
        <w:t>para</w:t>
      </w:r>
      <w:r w:rsidR="00276ECA" w:rsidRPr="007D3C50">
        <w:rPr>
          <w:rFonts w:cs="Times New Roman"/>
          <w:lang w:val="es-ES_tradnl"/>
        </w:rPr>
        <w:t xml:space="preserve"> los donantes financiar un paquete de proyectos a través de Ramsar.</w:t>
      </w:r>
      <w:r w:rsidR="00641CE0">
        <w:rPr>
          <w:rFonts w:cs="Times New Roman"/>
          <w:lang w:val="es-ES_tradnl"/>
        </w:rPr>
        <w:t xml:space="preserve"> </w:t>
      </w:r>
      <w:r w:rsidR="00276ECA" w:rsidRPr="007D3C50">
        <w:rPr>
          <w:rFonts w:cs="Times New Roman"/>
          <w:lang w:val="es-ES_tradnl"/>
        </w:rPr>
        <w:t>Al FPS le falta un proceso que incentive la donación continuada y</w:t>
      </w:r>
      <w:r w:rsidR="0012735E" w:rsidRPr="007D3C50">
        <w:rPr>
          <w:rFonts w:cs="Times New Roman"/>
          <w:lang w:val="es-ES_tradnl"/>
        </w:rPr>
        <w:t xml:space="preserve"> a</w:t>
      </w:r>
      <w:r w:rsidR="00276ECA" w:rsidRPr="007D3C50">
        <w:rPr>
          <w:rFonts w:cs="Times New Roman"/>
          <w:lang w:val="es-ES_tradnl"/>
        </w:rPr>
        <w:t>unque la presentación de una cartera de proyectos cuidadosamente seleccionados y la petic</w:t>
      </w:r>
      <w:r w:rsidR="0012735E" w:rsidRPr="007D3C50">
        <w:rPr>
          <w:rFonts w:cs="Times New Roman"/>
          <w:lang w:val="es-ES_tradnl"/>
        </w:rPr>
        <w:t>ión de contribuciones voluntaria</w:t>
      </w:r>
      <w:r w:rsidR="00276ECA" w:rsidRPr="007D3C50">
        <w:rPr>
          <w:rFonts w:cs="Times New Roman"/>
          <w:lang w:val="es-ES_tradnl"/>
        </w:rPr>
        <w:t xml:space="preserve">s para proyectos individuales ha conseguido financiación puntual, no ha llegado a </w:t>
      </w:r>
      <w:r w:rsidR="00276ECA" w:rsidRPr="007D3C50">
        <w:rPr>
          <w:rFonts w:cs="Times New Roman"/>
          <w:lang w:val="es-ES_tradnl"/>
        </w:rPr>
        <w:lastRenderedPageBreak/>
        <w:t xml:space="preserve">crear un incentivo suficiente como para lograr una continuidad de las contribuciones al FPS. </w:t>
      </w:r>
    </w:p>
    <w:p w14:paraId="241A90EA" w14:textId="77777777" w:rsidR="00155BC8" w:rsidRPr="007D3C50" w:rsidRDefault="00155BC8" w:rsidP="00155BC8">
      <w:pPr>
        <w:pStyle w:val="ListParagraph"/>
        <w:rPr>
          <w:rFonts w:cs="Times New Roman"/>
          <w:lang w:val="es-ES_tradnl"/>
        </w:rPr>
      </w:pPr>
    </w:p>
    <w:p w14:paraId="2A3616E2" w14:textId="70203D92" w:rsidR="006A553D" w:rsidRPr="007D3C50" w:rsidRDefault="00276ECA" w:rsidP="00155BC8">
      <w:pPr>
        <w:pStyle w:val="ListParagraph"/>
        <w:numPr>
          <w:ilvl w:val="0"/>
          <w:numId w:val="38"/>
        </w:numPr>
        <w:spacing w:after="0" w:line="240" w:lineRule="auto"/>
        <w:ind w:left="851" w:hanging="425"/>
        <w:rPr>
          <w:rFonts w:cs="Times New Roman"/>
          <w:lang w:val="es-ES_tradnl"/>
        </w:rPr>
      </w:pPr>
      <w:r w:rsidRPr="007D3C50">
        <w:rPr>
          <w:rFonts w:cs="Times New Roman"/>
          <w:lang w:val="es-ES_tradnl"/>
        </w:rPr>
        <w:t>En algunos casos, lo que buscan los donantes son proyectos de mayor envergadura para poder consolidar recursos y conseguir mayores impactos</w:t>
      </w:r>
      <w:r w:rsidR="006A553D" w:rsidRPr="007D3C50">
        <w:rPr>
          <w:rFonts w:cs="Times New Roman"/>
          <w:lang w:val="es-ES_tradnl"/>
        </w:rPr>
        <w:t>.</w:t>
      </w:r>
      <w:r w:rsidR="00DD25C7" w:rsidRPr="007D3C50">
        <w:rPr>
          <w:rFonts w:cs="Times New Roman"/>
          <w:lang w:val="es-ES_tradnl"/>
        </w:rPr>
        <w:t xml:space="preserve"> </w:t>
      </w:r>
    </w:p>
    <w:p w14:paraId="7818A694" w14:textId="77777777" w:rsidR="00C71598" w:rsidRPr="007D3C50" w:rsidRDefault="00C71598" w:rsidP="003D6AB7">
      <w:pPr>
        <w:pStyle w:val="ListParagraph"/>
        <w:spacing w:after="0" w:line="240" w:lineRule="auto"/>
        <w:ind w:left="3240"/>
        <w:rPr>
          <w:rFonts w:cs="Times New Roman"/>
          <w:lang w:val="es-ES_tradnl"/>
        </w:rPr>
      </w:pPr>
    </w:p>
    <w:p w14:paraId="78A1D100" w14:textId="77777777" w:rsidR="007D3C50" w:rsidRDefault="007D3C50" w:rsidP="003D6AB7">
      <w:pPr>
        <w:spacing w:after="0" w:line="240" w:lineRule="auto"/>
        <w:rPr>
          <w:rFonts w:cs="Times New Roman"/>
          <w:b/>
          <w:lang w:val="es-ES_tradnl"/>
        </w:rPr>
      </w:pPr>
    </w:p>
    <w:p w14:paraId="64BB6ABC" w14:textId="1FE6EC6C" w:rsidR="00A9488C" w:rsidRPr="007D3C50" w:rsidRDefault="00A9488C" w:rsidP="003D6AB7">
      <w:pPr>
        <w:spacing w:after="0" w:line="240" w:lineRule="auto"/>
        <w:rPr>
          <w:rFonts w:cs="Times New Roman"/>
          <w:lang w:val="es-ES_tradnl"/>
        </w:rPr>
      </w:pPr>
      <w:r w:rsidRPr="007D3C50">
        <w:rPr>
          <w:rFonts w:cs="Times New Roman"/>
          <w:b/>
          <w:lang w:val="es-ES_tradnl"/>
        </w:rPr>
        <w:t>Reform</w:t>
      </w:r>
      <w:r w:rsidR="00276ECA" w:rsidRPr="007D3C50">
        <w:rPr>
          <w:rFonts w:cs="Times New Roman"/>
          <w:b/>
          <w:lang w:val="es-ES_tradnl"/>
        </w:rPr>
        <w:t>ulación del Fondo de Pequeñas Subvenciones</w:t>
      </w:r>
    </w:p>
    <w:p w14:paraId="04FA8897" w14:textId="77777777" w:rsidR="00831129" w:rsidRPr="007D3C50" w:rsidRDefault="00831129" w:rsidP="003D6AB7">
      <w:pPr>
        <w:spacing w:after="0" w:line="240" w:lineRule="auto"/>
        <w:ind w:firstLine="165"/>
        <w:rPr>
          <w:rFonts w:cs="Times New Roman"/>
          <w:lang w:val="es-ES_tradnl"/>
        </w:rPr>
      </w:pPr>
    </w:p>
    <w:p w14:paraId="1A56B79D" w14:textId="2D9577D9" w:rsidR="00FA5FA9" w:rsidRPr="007D3C50" w:rsidRDefault="00284A3F"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L</w:t>
      </w:r>
      <w:r w:rsidR="00276ECA" w:rsidRPr="007D3C50">
        <w:rPr>
          <w:rFonts w:asciiTheme="minorHAnsi" w:hAnsiTheme="minorHAnsi" w:cs="Times New Roman"/>
          <w:sz w:val="22"/>
          <w:szCs w:val="22"/>
          <w:lang w:val="es-ES_tradnl"/>
        </w:rPr>
        <w:t xml:space="preserve">os informes facilitados a los sucesivos Comités Permanentes </w:t>
      </w:r>
      <w:r w:rsidR="00A14741" w:rsidRPr="007D3C50">
        <w:rPr>
          <w:rFonts w:asciiTheme="minorHAnsi" w:hAnsiTheme="minorHAnsi" w:cs="Times New Roman"/>
          <w:sz w:val="22"/>
          <w:szCs w:val="22"/>
          <w:lang w:val="es-ES_tradnl"/>
        </w:rPr>
        <w:t xml:space="preserve">sobre el funcionamiento del Fondo de Pequeñas Subvenciones </w:t>
      </w:r>
      <w:r w:rsidRPr="007D3C50">
        <w:rPr>
          <w:rFonts w:asciiTheme="minorHAnsi" w:hAnsiTheme="minorHAnsi" w:cs="Times New Roman"/>
          <w:sz w:val="22"/>
          <w:szCs w:val="22"/>
          <w:lang w:val="es-ES_tradnl"/>
        </w:rPr>
        <w:t xml:space="preserve">indican </w:t>
      </w:r>
      <w:r w:rsidR="00276ECA" w:rsidRPr="007D3C50">
        <w:rPr>
          <w:rFonts w:asciiTheme="minorHAnsi" w:hAnsiTheme="minorHAnsi" w:cs="Times New Roman"/>
          <w:sz w:val="22"/>
          <w:szCs w:val="22"/>
          <w:lang w:val="es-ES_tradnl"/>
        </w:rPr>
        <w:t xml:space="preserve">que </w:t>
      </w:r>
      <w:r w:rsidR="00A14741" w:rsidRPr="007D3C50">
        <w:rPr>
          <w:rFonts w:asciiTheme="minorHAnsi" w:hAnsiTheme="minorHAnsi" w:cs="Times New Roman"/>
          <w:sz w:val="22"/>
          <w:szCs w:val="22"/>
          <w:lang w:val="es-ES_tradnl"/>
        </w:rPr>
        <w:t>los países lo consideran como un fondo que aporta un valor significativo. Los proyectos financiados han conseguido result</w:t>
      </w:r>
      <w:r w:rsidR="00A51F6A">
        <w:rPr>
          <w:rFonts w:asciiTheme="minorHAnsi" w:hAnsiTheme="minorHAnsi" w:cs="Times New Roman"/>
          <w:sz w:val="22"/>
          <w:szCs w:val="22"/>
          <w:lang w:val="es-ES_tradnl"/>
        </w:rPr>
        <w:t>ados efectivos sobre el terreno.</w:t>
      </w:r>
    </w:p>
    <w:p w14:paraId="0BCEC2B4" w14:textId="77777777" w:rsidR="00FA5FA9" w:rsidRPr="007D3C50" w:rsidRDefault="00FA5FA9" w:rsidP="003D6AB7">
      <w:pPr>
        <w:pStyle w:val="ListParagraph"/>
        <w:spacing w:after="0" w:line="240" w:lineRule="auto"/>
        <w:ind w:left="426" w:hanging="426"/>
        <w:rPr>
          <w:rFonts w:cs="Times New Roman"/>
          <w:lang w:val="es-ES_tradnl"/>
        </w:rPr>
      </w:pPr>
    </w:p>
    <w:p w14:paraId="16101D81" w14:textId="3961CB07" w:rsidR="007516FC" w:rsidRPr="007D3C50" w:rsidRDefault="0077380C"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Del examen somero de otros Fondos de Pequeñas Subvenciones existentes </w:t>
      </w:r>
      <w:r w:rsidR="00FA5FA9" w:rsidRPr="007D3C50">
        <w:rPr>
          <w:rFonts w:asciiTheme="minorHAnsi" w:hAnsiTheme="minorHAnsi" w:cs="Times New Roman"/>
          <w:sz w:val="22"/>
          <w:szCs w:val="22"/>
          <w:lang w:val="es-ES_tradnl"/>
        </w:rPr>
        <w:t>(</w:t>
      </w:r>
      <w:r w:rsidRPr="007D3C50">
        <w:rPr>
          <w:rFonts w:asciiTheme="minorHAnsi" w:hAnsiTheme="minorHAnsi" w:cs="Times New Roman"/>
          <w:sz w:val="22"/>
          <w:szCs w:val="22"/>
          <w:lang w:val="es-ES_tradnl"/>
        </w:rPr>
        <w:t>por ejemplo,</w:t>
      </w:r>
      <w:r w:rsidR="00641CE0">
        <w:rPr>
          <w:rFonts w:asciiTheme="minorHAnsi" w:hAnsiTheme="minorHAnsi" w:cs="Times New Roman"/>
          <w:sz w:val="22"/>
          <w:szCs w:val="22"/>
          <w:lang w:val="es-ES_tradnl"/>
        </w:rPr>
        <w:t xml:space="preserve"> </w:t>
      </w:r>
      <w:r w:rsidRPr="007D3C50">
        <w:rPr>
          <w:rFonts w:asciiTheme="minorHAnsi" w:hAnsiTheme="minorHAnsi" w:cs="Times New Roman"/>
          <w:sz w:val="22"/>
          <w:szCs w:val="22"/>
          <w:lang w:val="es-ES_tradnl"/>
        </w:rPr>
        <w:t>el FMAM, el FIDA,</w:t>
      </w:r>
      <w:r w:rsidR="00C23C6B" w:rsidRPr="007D3C50">
        <w:rPr>
          <w:rFonts w:asciiTheme="minorHAnsi" w:hAnsiTheme="minorHAnsi" w:cs="Times New Roman"/>
          <w:sz w:val="22"/>
          <w:szCs w:val="22"/>
          <w:lang w:val="es-ES_tradnl"/>
        </w:rPr>
        <w:t xml:space="preserve"> </w:t>
      </w:r>
      <w:r w:rsidR="00284A3F" w:rsidRPr="007D3C50">
        <w:rPr>
          <w:rFonts w:asciiTheme="minorHAnsi" w:hAnsiTheme="minorHAnsi" w:cs="Times New Roman"/>
          <w:sz w:val="22"/>
          <w:szCs w:val="22"/>
          <w:lang w:val="es-ES_tradnl"/>
        </w:rPr>
        <w:t xml:space="preserve">fondos del </w:t>
      </w:r>
      <w:r w:rsidR="00FA5FA9" w:rsidRPr="007D3C50">
        <w:rPr>
          <w:rFonts w:asciiTheme="minorHAnsi" w:hAnsiTheme="minorHAnsi" w:cs="Times New Roman"/>
          <w:sz w:val="22"/>
          <w:szCs w:val="22"/>
          <w:lang w:val="es-ES_tradnl"/>
        </w:rPr>
        <w:t xml:space="preserve">KfW, </w:t>
      </w:r>
      <w:r w:rsidRPr="007D3C50">
        <w:rPr>
          <w:rFonts w:asciiTheme="minorHAnsi" w:hAnsiTheme="minorHAnsi" w:cs="Times New Roman"/>
          <w:sz w:val="22"/>
          <w:szCs w:val="22"/>
          <w:lang w:val="es-ES_tradnl"/>
        </w:rPr>
        <w:t>otros fondos de pequeñas subvenciones de la Convención de Ramsar,</w:t>
      </w:r>
      <w:r w:rsidR="00FA5FA9" w:rsidRPr="007D3C50">
        <w:rPr>
          <w:rFonts w:asciiTheme="minorHAnsi" w:hAnsiTheme="minorHAnsi" w:cs="Times New Roman"/>
          <w:sz w:val="22"/>
          <w:szCs w:val="22"/>
          <w:lang w:val="es-ES_tradnl"/>
        </w:rPr>
        <w:t xml:space="preserve"> etc.) s</w:t>
      </w:r>
      <w:r w:rsidRPr="007D3C50">
        <w:rPr>
          <w:rFonts w:asciiTheme="minorHAnsi" w:hAnsiTheme="minorHAnsi" w:cs="Times New Roman"/>
          <w:sz w:val="22"/>
          <w:szCs w:val="22"/>
          <w:lang w:val="es-ES_tradnl"/>
        </w:rPr>
        <w:t>e desprende que cuando los donantes tienen incentivos adicionales para aportar fondos, tales como la oportunidad de participar en las decisiones relativas al gasto</w:t>
      </w:r>
      <w:r w:rsidR="00A51F6A" w:rsidRPr="00A51F6A">
        <w:rPr>
          <w:rFonts w:asciiTheme="minorHAnsi" w:hAnsiTheme="minorHAnsi" w:cs="Times New Roman"/>
          <w:sz w:val="22"/>
          <w:szCs w:val="22"/>
          <w:lang w:val="es-ES_tradnl"/>
        </w:rPr>
        <w:t xml:space="preserve"> </w:t>
      </w:r>
      <w:r w:rsidR="00A51F6A" w:rsidRPr="007D3C50">
        <w:rPr>
          <w:rFonts w:asciiTheme="minorHAnsi" w:hAnsiTheme="minorHAnsi" w:cs="Times New Roman"/>
          <w:sz w:val="22"/>
          <w:szCs w:val="22"/>
          <w:lang w:val="es-ES_tradnl"/>
        </w:rPr>
        <w:t>e influir sobre</w:t>
      </w:r>
      <w:r w:rsidR="00A51F6A">
        <w:rPr>
          <w:rFonts w:asciiTheme="minorHAnsi" w:hAnsiTheme="minorHAnsi" w:cs="Times New Roman"/>
          <w:sz w:val="22"/>
          <w:szCs w:val="22"/>
          <w:lang w:val="es-ES_tradnl"/>
        </w:rPr>
        <w:t xml:space="preserve"> ellas</w:t>
      </w:r>
      <w:r w:rsidRPr="007D3C50">
        <w:rPr>
          <w:rFonts w:asciiTheme="minorHAnsi" w:hAnsiTheme="minorHAnsi" w:cs="Times New Roman"/>
          <w:sz w:val="22"/>
          <w:szCs w:val="22"/>
          <w:lang w:val="es-ES_tradnl"/>
        </w:rPr>
        <w:t xml:space="preserve">, </w:t>
      </w:r>
      <w:r w:rsidR="0012735E" w:rsidRPr="007D3C50">
        <w:rPr>
          <w:rFonts w:asciiTheme="minorHAnsi" w:hAnsiTheme="minorHAnsi" w:cs="Times New Roman"/>
          <w:sz w:val="22"/>
          <w:szCs w:val="22"/>
          <w:lang w:val="es-ES_tradnl"/>
        </w:rPr>
        <w:t xml:space="preserve">hay mayor probabilidad de </w:t>
      </w:r>
      <w:r w:rsidR="00284A3F" w:rsidRPr="007D3C50">
        <w:rPr>
          <w:rFonts w:asciiTheme="minorHAnsi" w:hAnsiTheme="minorHAnsi" w:cs="Times New Roman"/>
          <w:sz w:val="22"/>
          <w:szCs w:val="22"/>
          <w:lang w:val="es-ES_tradnl"/>
        </w:rPr>
        <w:t xml:space="preserve">que </w:t>
      </w:r>
      <w:r w:rsidRPr="007D3C50">
        <w:rPr>
          <w:rFonts w:asciiTheme="minorHAnsi" w:hAnsiTheme="minorHAnsi" w:cs="Times New Roman"/>
          <w:sz w:val="22"/>
          <w:szCs w:val="22"/>
          <w:lang w:val="es-ES_tradnl"/>
        </w:rPr>
        <w:t>aporten fondos.</w:t>
      </w:r>
      <w:r w:rsidR="00641CE0">
        <w:rPr>
          <w:rFonts w:asciiTheme="minorHAnsi" w:hAnsiTheme="minorHAnsi" w:cs="Times New Roman"/>
          <w:sz w:val="22"/>
          <w:szCs w:val="22"/>
          <w:lang w:val="es-ES_tradnl"/>
        </w:rPr>
        <w:t xml:space="preserve"> </w:t>
      </w:r>
    </w:p>
    <w:p w14:paraId="0348947D" w14:textId="77777777" w:rsidR="007516FC" w:rsidRPr="007D3C50" w:rsidRDefault="007516FC" w:rsidP="003D6AB7">
      <w:pPr>
        <w:pStyle w:val="ListParagraph"/>
        <w:spacing w:after="0" w:line="240" w:lineRule="auto"/>
        <w:ind w:left="426" w:hanging="426"/>
        <w:rPr>
          <w:rFonts w:cs="Times New Roman"/>
          <w:lang w:val="es-ES_tradnl"/>
        </w:rPr>
      </w:pPr>
    </w:p>
    <w:p w14:paraId="127542D9" w14:textId="3440267C" w:rsidR="007516FC" w:rsidRPr="007D3C50" w:rsidRDefault="0012735E"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Los factores que contribuyen a</w:t>
      </w:r>
      <w:r w:rsidR="0077380C" w:rsidRPr="007D3C50">
        <w:rPr>
          <w:rFonts w:asciiTheme="minorHAnsi" w:hAnsiTheme="minorHAnsi" w:cs="Times New Roman"/>
          <w:sz w:val="22"/>
          <w:szCs w:val="22"/>
          <w:lang w:val="es-ES_tradnl"/>
        </w:rPr>
        <w:t>l éxito de otros fondos de pequeñas subvenciones</w:t>
      </w:r>
      <w:r w:rsidRPr="007D3C50">
        <w:rPr>
          <w:rFonts w:asciiTheme="minorHAnsi" w:hAnsiTheme="minorHAnsi" w:cs="Times New Roman"/>
          <w:sz w:val="22"/>
          <w:szCs w:val="22"/>
          <w:lang w:val="es-ES_tradnl"/>
        </w:rPr>
        <w:t>,</w:t>
      </w:r>
      <w:r w:rsidR="0077380C" w:rsidRPr="007D3C50">
        <w:rPr>
          <w:rFonts w:asciiTheme="minorHAnsi" w:hAnsiTheme="minorHAnsi" w:cs="Times New Roman"/>
          <w:sz w:val="22"/>
          <w:szCs w:val="22"/>
          <w:lang w:val="es-ES_tradnl"/>
        </w:rPr>
        <w:t xml:space="preserve"> tales como los de</w:t>
      </w:r>
      <w:r w:rsidR="00284A3F" w:rsidRPr="007D3C50">
        <w:rPr>
          <w:rFonts w:asciiTheme="minorHAnsi" w:hAnsiTheme="minorHAnsi" w:cs="Times New Roman"/>
          <w:sz w:val="22"/>
          <w:szCs w:val="22"/>
          <w:lang w:val="es-ES_tradnl"/>
        </w:rPr>
        <w:t>l</w:t>
      </w:r>
      <w:r w:rsidR="0077380C" w:rsidRPr="007D3C50">
        <w:rPr>
          <w:rFonts w:asciiTheme="minorHAnsi" w:hAnsiTheme="minorHAnsi" w:cs="Times New Roman"/>
          <w:sz w:val="22"/>
          <w:szCs w:val="22"/>
          <w:lang w:val="es-ES_tradnl"/>
        </w:rPr>
        <w:t xml:space="preserve"> KfW, </w:t>
      </w:r>
      <w:r w:rsidRPr="007D3C50">
        <w:rPr>
          <w:rFonts w:asciiTheme="minorHAnsi" w:hAnsiTheme="minorHAnsi" w:cs="Times New Roman"/>
          <w:sz w:val="22"/>
          <w:szCs w:val="22"/>
          <w:lang w:val="es-ES_tradnl"/>
        </w:rPr>
        <w:t>el FMAM, etc., se po</w:t>
      </w:r>
      <w:r w:rsidR="00382DA3" w:rsidRPr="007D3C50">
        <w:rPr>
          <w:rFonts w:asciiTheme="minorHAnsi" w:hAnsiTheme="minorHAnsi" w:cs="Times New Roman"/>
          <w:sz w:val="22"/>
          <w:szCs w:val="22"/>
          <w:lang w:val="es-ES_tradnl"/>
        </w:rPr>
        <w:t xml:space="preserve">drían resumir en un documento </w:t>
      </w:r>
      <w:r w:rsidRPr="007D3C50">
        <w:rPr>
          <w:rFonts w:asciiTheme="minorHAnsi" w:hAnsiTheme="minorHAnsi" w:cs="Times New Roman"/>
          <w:sz w:val="22"/>
          <w:szCs w:val="22"/>
          <w:lang w:val="es-ES_tradnl"/>
        </w:rPr>
        <w:t>breve</w:t>
      </w:r>
      <w:r w:rsidR="00382DA3" w:rsidRPr="007D3C50">
        <w:rPr>
          <w:rFonts w:asciiTheme="minorHAnsi" w:hAnsiTheme="minorHAnsi" w:cs="Times New Roman"/>
          <w:sz w:val="22"/>
          <w:szCs w:val="22"/>
          <w:lang w:val="es-ES_tradnl"/>
        </w:rPr>
        <w:t xml:space="preserve"> en el que se recomendase el posible nicho más apropiado para el FPS de la Convención de Ramsar. </w:t>
      </w:r>
    </w:p>
    <w:p w14:paraId="37924498" w14:textId="77777777" w:rsidR="00071E52" w:rsidRPr="007D3C50" w:rsidRDefault="00071E52" w:rsidP="003D6AB7">
      <w:pPr>
        <w:spacing w:after="0" w:line="240" w:lineRule="auto"/>
        <w:ind w:left="426" w:hanging="426"/>
        <w:rPr>
          <w:rFonts w:cs="Times New Roman"/>
          <w:lang w:val="es-ES_tradnl"/>
        </w:rPr>
      </w:pPr>
    </w:p>
    <w:p w14:paraId="015E49D3" w14:textId="181A5740" w:rsidR="00B27B99" w:rsidRPr="007D3C50" w:rsidRDefault="00382DA3" w:rsidP="003D6AB7">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Una posibilidad sería que el Grup</w:t>
      </w:r>
      <w:r w:rsidR="00A51F6A">
        <w:rPr>
          <w:rFonts w:asciiTheme="minorHAnsi" w:hAnsiTheme="minorHAnsi" w:cs="Times New Roman"/>
          <w:sz w:val="22"/>
          <w:szCs w:val="22"/>
          <w:lang w:val="es-ES_tradnl"/>
        </w:rPr>
        <w:t>o de t</w:t>
      </w:r>
      <w:r w:rsidRPr="007D3C50">
        <w:rPr>
          <w:rFonts w:asciiTheme="minorHAnsi" w:hAnsiTheme="minorHAnsi" w:cs="Times New Roman"/>
          <w:sz w:val="22"/>
          <w:szCs w:val="22"/>
          <w:lang w:val="es-ES_tradnl"/>
        </w:rPr>
        <w:t xml:space="preserve">rabajo sobre </w:t>
      </w:r>
      <w:r w:rsidR="00A51F6A">
        <w:rPr>
          <w:rFonts w:asciiTheme="minorHAnsi" w:hAnsiTheme="minorHAnsi" w:cs="Times New Roman"/>
          <w:sz w:val="22"/>
          <w:szCs w:val="22"/>
          <w:lang w:val="es-ES_tradnl"/>
        </w:rPr>
        <w:t>la movilización de r</w:t>
      </w:r>
      <w:r w:rsidR="00CF52B3" w:rsidRPr="007D3C50">
        <w:rPr>
          <w:rFonts w:asciiTheme="minorHAnsi" w:hAnsiTheme="minorHAnsi" w:cs="Times New Roman"/>
          <w:sz w:val="22"/>
          <w:szCs w:val="22"/>
          <w:lang w:val="es-ES_tradnl"/>
        </w:rPr>
        <w:t>ecu</w:t>
      </w:r>
      <w:r w:rsidR="00B3546B" w:rsidRPr="007D3C50">
        <w:rPr>
          <w:rFonts w:asciiTheme="minorHAnsi" w:hAnsiTheme="minorHAnsi" w:cs="Times New Roman"/>
          <w:sz w:val="22"/>
          <w:szCs w:val="22"/>
          <w:lang w:val="es-ES_tradnl"/>
        </w:rPr>
        <w:t>rsos orientase a la Secretaría respecto de</w:t>
      </w:r>
      <w:r w:rsidR="00CF52B3" w:rsidRPr="007D3C50">
        <w:rPr>
          <w:rFonts w:asciiTheme="minorHAnsi" w:hAnsiTheme="minorHAnsi" w:cs="Times New Roman"/>
          <w:sz w:val="22"/>
          <w:szCs w:val="22"/>
          <w:lang w:val="es-ES_tradnl"/>
        </w:rPr>
        <w:t xml:space="preserve"> la forma de </w:t>
      </w:r>
      <w:r w:rsidR="00B3546B" w:rsidRPr="007D3C50">
        <w:rPr>
          <w:rFonts w:asciiTheme="minorHAnsi" w:hAnsiTheme="minorHAnsi" w:cs="Times New Roman"/>
          <w:sz w:val="22"/>
          <w:szCs w:val="22"/>
          <w:lang w:val="es-ES_tradnl"/>
        </w:rPr>
        <w:t>conseguir</w:t>
      </w:r>
      <w:r w:rsidR="00E63728" w:rsidRPr="007D3C50">
        <w:rPr>
          <w:rFonts w:asciiTheme="minorHAnsi" w:hAnsiTheme="minorHAnsi" w:cs="Times New Roman"/>
          <w:sz w:val="22"/>
          <w:szCs w:val="22"/>
          <w:lang w:val="es-ES_tradnl"/>
        </w:rPr>
        <w:t xml:space="preserve"> que el FPS sea más atractivo para donantes y tenga mayor rel</w:t>
      </w:r>
      <w:r w:rsidR="00B3546B" w:rsidRPr="007D3C50">
        <w:rPr>
          <w:rFonts w:asciiTheme="minorHAnsi" w:hAnsiTheme="minorHAnsi" w:cs="Times New Roman"/>
          <w:sz w:val="22"/>
          <w:szCs w:val="22"/>
          <w:lang w:val="es-ES_tradnl"/>
        </w:rPr>
        <w:t>evancia actualmente, y presentase</w:t>
      </w:r>
      <w:r w:rsidR="00E63728" w:rsidRPr="007D3C50">
        <w:rPr>
          <w:rFonts w:asciiTheme="minorHAnsi" w:hAnsiTheme="minorHAnsi" w:cs="Times New Roman"/>
          <w:sz w:val="22"/>
          <w:szCs w:val="22"/>
          <w:lang w:val="es-ES_tradnl"/>
        </w:rPr>
        <w:t xml:space="preserve"> sus recomendaciones a la </w:t>
      </w:r>
      <w:r w:rsidR="00E63728" w:rsidRPr="00A51F6A">
        <w:rPr>
          <w:rFonts w:asciiTheme="minorHAnsi" w:hAnsiTheme="minorHAnsi" w:cs="Times New Roman"/>
          <w:sz w:val="22"/>
          <w:szCs w:val="22"/>
          <w:lang w:val="es-ES_tradnl"/>
        </w:rPr>
        <w:t>52ª</w:t>
      </w:r>
      <w:r w:rsidR="00E63728" w:rsidRPr="007D3C50">
        <w:rPr>
          <w:rFonts w:asciiTheme="minorHAnsi" w:hAnsiTheme="minorHAnsi" w:cs="Times New Roman"/>
          <w:sz w:val="22"/>
          <w:szCs w:val="22"/>
          <w:lang w:val="es-ES_tradnl"/>
        </w:rPr>
        <w:t xml:space="preserve"> reunión del Comité P</w:t>
      </w:r>
      <w:r w:rsidR="00B3546B" w:rsidRPr="007D3C50">
        <w:rPr>
          <w:rFonts w:asciiTheme="minorHAnsi" w:hAnsiTheme="minorHAnsi" w:cs="Times New Roman"/>
          <w:sz w:val="22"/>
          <w:szCs w:val="22"/>
          <w:lang w:val="es-ES_tradnl"/>
        </w:rPr>
        <w:t>ermanente</w:t>
      </w:r>
      <w:r w:rsidR="001E0719" w:rsidRPr="007D3C50">
        <w:rPr>
          <w:rFonts w:asciiTheme="minorHAnsi" w:hAnsiTheme="minorHAnsi" w:cs="Times New Roman"/>
          <w:sz w:val="22"/>
          <w:szCs w:val="22"/>
          <w:lang w:val="es-ES_tradnl"/>
        </w:rPr>
        <w:t>. La propuesta podría plantear</w:t>
      </w:r>
      <w:r w:rsidR="00A51F6A">
        <w:rPr>
          <w:rFonts w:asciiTheme="minorHAnsi" w:hAnsiTheme="minorHAnsi" w:cs="Times New Roman"/>
          <w:sz w:val="22"/>
          <w:szCs w:val="22"/>
          <w:lang w:val="es-ES_tradnl"/>
        </w:rPr>
        <w:t xml:space="preserve"> lo siguiente</w:t>
      </w:r>
      <w:r w:rsidR="00E63728" w:rsidRPr="007D3C50">
        <w:rPr>
          <w:rFonts w:asciiTheme="minorHAnsi" w:hAnsiTheme="minorHAnsi" w:cs="Times New Roman"/>
          <w:sz w:val="22"/>
          <w:szCs w:val="22"/>
          <w:lang w:val="es-ES_tradnl"/>
        </w:rPr>
        <w:t xml:space="preserve">: </w:t>
      </w:r>
    </w:p>
    <w:p w14:paraId="1942C586" w14:textId="77777777" w:rsidR="00DB579B" w:rsidRPr="007D3C50" w:rsidRDefault="00DB579B" w:rsidP="003D6AB7">
      <w:pPr>
        <w:pStyle w:val="ListParagraph"/>
        <w:spacing w:after="0" w:line="240" w:lineRule="auto"/>
        <w:ind w:left="426" w:hanging="426"/>
        <w:rPr>
          <w:rFonts w:cs="Times New Roman"/>
          <w:lang w:val="es-ES_tradnl"/>
        </w:rPr>
      </w:pPr>
    </w:p>
    <w:p w14:paraId="31A05D0E" w14:textId="3D6CFEDA" w:rsidR="001F51AB" w:rsidRDefault="00284A3F" w:rsidP="00155BC8">
      <w:pPr>
        <w:pStyle w:val="ListParagraph"/>
        <w:numPr>
          <w:ilvl w:val="0"/>
          <w:numId w:val="39"/>
        </w:numPr>
        <w:spacing w:after="0" w:line="240" w:lineRule="auto"/>
        <w:ind w:left="851" w:hanging="425"/>
        <w:rPr>
          <w:rFonts w:cs="Times New Roman"/>
          <w:lang w:val="es-ES_tradnl"/>
        </w:rPr>
      </w:pPr>
      <w:r w:rsidRPr="007D3C50">
        <w:rPr>
          <w:rFonts w:cs="Times New Roman"/>
          <w:lang w:val="es-ES_tradnl"/>
        </w:rPr>
        <w:t>Vincular el FPS a</w:t>
      </w:r>
      <w:r w:rsidR="00E63728" w:rsidRPr="007D3C50">
        <w:rPr>
          <w:rFonts w:cs="Times New Roman"/>
          <w:lang w:val="es-ES_tradnl"/>
        </w:rPr>
        <w:t xml:space="preserve"> las prioridades establecidas en el </w:t>
      </w:r>
      <w:r w:rsidR="00A51F6A">
        <w:rPr>
          <w:rFonts w:cs="Times New Roman"/>
          <w:lang w:val="es-ES_tradnl"/>
        </w:rPr>
        <w:t xml:space="preserve">Cuarto </w:t>
      </w:r>
      <w:r w:rsidR="00E63728" w:rsidRPr="007D3C50">
        <w:rPr>
          <w:rFonts w:cs="Times New Roman"/>
          <w:lang w:val="es-ES_tradnl"/>
        </w:rPr>
        <w:t>Plan Estratégico. De este modo, se recuperaría la importancia estratégica del fondo</w:t>
      </w:r>
      <w:r w:rsidRPr="007D3C50">
        <w:rPr>
          <w:rFonts w:cs="Times New Roman"/>
          <w:lang w:val="es-ES_tradnl"/>
        </w:rPr>
        <w:t>,</w:t>
      </w:r>
      <w:r w:rsidR="00E63728" w:rsidRPr="007D3C50">
        <w:rPr>
          <w:rFonts w:cs="Times New Roman"/>
          <w:lang w:val="es-ES_tradnl"/>
        </w:rPr>
        <w:t xml:space="preserve"> al alinearlo con las prioridades</w:t>
      </w:r>
      <w:r w:rsidR="007D3C50">
        <w:rPr>
          <w:rFonts w:cs="Times New Roman"/>
          <w:lang w:val="es-ES_tradnl"/>
        </w:rPr>
        <w:t xml:space="preserve"> </w:t>
      </w:r>
      <w:r w:rsidR="00E63728" w:rsidRPr="007D3C50">
        <w:rPr>
          <w:rFonts w:cs="Times New Roman"/>
          <w:lang w:val="es-ES_tradnl"/>
        </w:rPr>
        <w:t>establecidas más recientemente por</w:t>
      </w:r>
      <w:r w:rsidR="005851D1" w:rsidRPr="007D3C50">
        <w:rPr>
          <w:rFonts w:cs="Times New Roman"/>
          <w:lang w:val="es-ES_tradnl"/>
        </w:rPr>
        <w:t xml:space="preserve"> las Partes Contratantes. Podría resultar de interés enfocar la captación y/o asignaciones de fondos para el FPS en</w:t>
      </w:r>
      <w:r w:rsidR="00641CE0">
        <w:rPr>
          <w:rFonts w:cs="Times New Roman"/>
          <w:lang w:val="es-ES_tradnl"/>
        </w:rPr>
        <w:t xml:space="preserve"> </w:t>
      </w:r>
      <w:r w:rsidR="005851D1" w:rsidRPr="007D3C50">
        <w:rPr>
          <w:rFonts w:cs="Times New Roman"/>
          <w:lang w:val="es-ES_tradnl"/>
        </w:rPr>
        <w:t xml:space="preserve">algunas metas ilustrativas tales como: </w:t>
      </w:r>
    </w:p>
    <w:p w14:paraId="72DBE003" w14:textId="77777777" w:rsidR="007D3C50" w:rsidRPr="007D3C50" w:rsidRDefault="007D3C50" w:rsidP="007D3C50">
      <w:pPr>
        <w:spacing w:after="0" w:line="240" w:lineRule="auto"/>
        <w:ind w:left="720"/>
        <w:rPr>
          <w:rFonts w:cs="Times New Roman"/>
          <w:lang w:val="es-ES_tradnl"/>
        </w:rPr>
      </w:pPr>
    </w:p>
    <w:p w14:paraId="2B42683A" w14:textId="48C7BD50" w:rsidR="007B32BC" w:rsidRPr="007D3C50" w:rsidRDefault="00420168" w:rsidP="00C60D6B">
      <w:pPr>
        <w:pStyle w:val="ListParagraph"/>
        <w:numPr>
          <w:ilvl w:val="1"/>
          <w:numId w:val="21"/>
        </w:numPr>
        <w:spacing w:after="0" w:line="240" w:lineRule="auto"/>
        <w:ind w:left="1276" w:hanging="425"/>
        <w:rPr>
          <w:rFonts w:cs="Times New Roman"/>
          <w:lang w:val="es-ES_tradnl"/>
        </w:rPr>
      </w:pPr>
      <w:r w:rsidRPr="007D3C50">
        <w:rPr>
          <w:rFonts w:cs="Times New Roman"/>
          <w:lang w:val="es-ES_tradnl"/>
        </w:rPr>
        <w:t>Meta</w:t>
      </w:r>
      <w:r w:rsidR="00D9447B" w:rsidRPr="007D3C50">
        <w:rPr>
          <w:rFonts w:cs="Times New Roman"/>
          <w:lang w:val="es-ES_tradnl"/>
        </w:rPr>
        <w:t xml:space="preserve"> 4:</w:t>
      </w:r>
      <w:r w:rsidR="00DD25C7" w:rsidRPr="007D3C50">
        <w:rPr>
          <w:rFonts w:cs="Times New Roman"/>
          <w:lang w:val="es-ES_tradnl"/>
        </w:rPr>
        <w:t xml:space="preserve"> </w:t>
      </w:r>
      <w:r w:rsidR="007B32BC" w:rsidRPr="007D3C50">
        <w:rPr>
          <w:rFonts w:cs="Times New Roman"/>
          <w:lang w:val="es-ES_tradnl"/>
        </w:rPr>
        <w:t>Se han identificado y priorizado especies exóticas invasoras y vías de entrada de las mismas, se han controlado o erradicado las especies prioritarias y se preparan y aplican medidas de manejo para evitar su introducción y establecimiento.</w:t>
      </w:r>
    </w:p>
    <w:p w14:paraId="3AA70241" w14:textId="77777777" w:rsidR="000B4C27" w:rsidRPr="007D3C50" w:rsidRDefault="000B4C27" w:rsidP="000B4C27">
      <w:pPr>
        <w:pStyle w:val="ListParagraph"/>
        <w:spacing w:after="0" w:line="240" w:lineRule="auto"/>
        <w:ind w:left="1276"/>
        <w:rPr>
          <w:rFonts w:cs="Times New Roman"/>
          <w:lang w:val="es-ES_tradnl"/>
        </w:rPr>
      </w:pPr>
    </w:p>
    <w:p w14:paraId="51AE158E" w14:textId="1A991930" w:rsidR="007B32BC" w:rsidRDefault="005851D1" w:rsidP="005851D1">
      <w:pPr>
        <w:pStyle w:val="ListParagraph"/>
        <w:numPr>
          <w:ilvl w:val="1"/>
          <w:numId w:val="21"/>
        </w:numPr>
        <w:spacing w:after="0" w:line="240" w:lineRule="auto"/>
        <w:ind w:left="1276" w:hanging="425"/>
        <w:rPr>
          <w:rFonts w:cs="Times New Roman"/>
          <w:lang w:val="es-ES_tradnl"/>
        </w:rPr>
      </w:pPr>
      <w:r w:rsidRPr="007D3C50">
        <w:rPr>
          <w:rFonts w:cs="Times New Roman"/>
          <w:lang w:val="es-ES_tradnl"/>
        </w:rPr>
        <w:t>Meta</w:t>
      </w:r>
      <w:r w:rsidR="00D9447B" w:rsidRPr="007D3C50">
        <w:rPr>
          <w:rFonts w:cs="Times New Roman"/>
          <w:lang w:val="es-ES_tradnl"/>
        </w:rPr>
        <w:t xml:space="preserve"> 7: </w:t>
      </w:r>
      <w:r w:rsidR="007B32BC" w:rsidRPr="007D3C50">
        <w:rPr>
          <w:rFonts w:cs="Times New Roman"/>
          <w:lang w:val="es-ES_tradnl"/>
        </w:rPr>
        <w:t>Se hace frente a las amenazas de los sitios con riesgo de pérdida de características ecológicas.</w:t>
      </w:r>
    </w:p>
    <w:p w14:paraId="3494B54B" w14:textId="77777777" w:rsidR="007D3C50" w:rsidRPr="007D3C50" w:rsidRDefault="007D3C50" w:rsidP="007D3C50">
      <w:pPr>
        <w:spacing w:after="0" w:line="240" w:lineRule="auto"/>
        <w:rPr>
          <w:rFonts w:cs="Times New Roman"/>
          <w:lang w:val="es-ES_tradnl"/>
        </w:rPr>
      </w:pPr>
    </w:p>
    <w:p w14:paraId="1A6154E8" w14:textId="78267515" w:rsidR="00420168" w:rsidRPr="007D3C50" w:rsidRDefault="005851D1" w:rsidP="00C60D6B">
      <w:pPr>
        <w:pStyle w:val="ListParagraph"/>
        <w:numPr>
          <w:ilvl w:val="1"/>
          <w:numId w:val="21"/>
        </w:numPr>
        <w:spacing w:after="0" w:line="240" w:lineRule="auto"/>
        <w:ind w:left="1276" w:hanging="425"/>
        <w:rPr>
          <w:rFonts w:cs="Times New Roman"/>
          <w:lang w:val="es-ES_tradnl"/>
        </w:rPr>
      </w:pPr>
      <w:r w:rsidRPr="007D3C50">
        <w:rPr>
          <w:rFonts w:cs="Times New Roman"/>
          <w:lang w:val="es-ES_tradnl"/>
        </w:rPr>
        <w:t>Meta</w:t>
      </w:r>
      <w:r w:rsidR="00D9447B" w:rsidRPr="007D3C50">
        <w:rPr>
          <w:rFonts w:cs="Times New Roman"/>
          <w:lang w:val="es-ES_tradnl"/>
        </w:rPr>
        <w:t xml:space="preserve"> </w:t>
      </w:r>
      <w:r w:rsidR="00195653">
        <w:rPr>
          <w:rFonts w:cs="Times New Roman"/>
          <w:lang w:val="es-ES_tradnl"/>
        </w:rPr>
        <w:t>12</w:t>
      </w:r>
      <w:r w:rsidR="00D9447B" w:rsidRPr="007D3C50">
        <w:rPr>
          <w:rFonts w:cs="Times New Roman"/>
          <w:lang w:val="es-ES_tradnl"/>
        </w:rPr>
        <w:t xml:space="preserve">: </w:t>
      </w:r>
      <w:r w:rsidR="00420168" w:rsidRPr="007D3C50">
        <w:rPr>
          <w:rFonts w:cs="Times New Roman"/>
          <w:lang w:val="es-ES_tradnl"/>
        </w:rPr>
        <w:t>Los humedales degradados están en proceso de restauración o se han restaurado, otorgando prioridad a los humedales importantes para la conservación de la biodiversidad, la reducción del riesgo de desastres, los medios de vida y/o la mitigación del cambio climático y la adaptación al mismo.</w:t>
      </w:r>
    </w:p>
    <w:p w14:paraId="79AC7073" w14:textId="77777777" w:rsidR="00D24FE1" w:rsidRPr="007D3C50" w:rsidRDefault="00D24FE1" w:rsidP="003D6AB7">
      <w:pPr>
        <w:pStyle w:val="ListParagraph"/>
        <w:spacing w:after="0" w:line="240" w:lineRule="auto"/>
        <w:ind w:left="1800"/>
        <w:rPr>
          <w:rFonts w:cs="Times New Roman"/>
          <w:lang w:val="es-ES_tradnl"/>
        </w:rPr>
      </w:pPr>
    </w:p>
    <w:p w14:paraId="6762D81F" w14:textId="4860DEAF" w:rsidR="007516FC" w:rsidRPr="007D3C50" w:rsidRDefault="00C60D6B" w:rsidP="00155BC8">
      <w:pPr>
        <w:pStyle w:val="ListParagraph"/>
        <w:numPr>
          <w:ilvl w:val="0"/>
          <w:numId w:val="39"/>
        </w:numPr>
        <w:spacing w:after="0" w:line="240" w:lineRule="auto"/>
        <w:ind w:left="851" w:hanging="425"/>
        <w:rPr>
          <w:rFonts w:cs="Times New Roman"/>
          <w:lang w:val="es-ES_tradnl"/>
        </w:rPr>
      </w:pPr>
      <w:r w:rsidRPr="007D3C50">
        <w:rPr>
          <w:rFonts w:cs="Times New Roman"/>
          <w:lang w:val="es-ES_tradnl"/>
        </w:rPr>
        <w:t xml:space="preserve">Hacer publicidad del FPS basada en las prioridades compartidas entre Ramsar y los donantes potenciales en un área que genere valor significativo para la sociedad. Por ejemplo, el FPS se podría presentar como: </w:t>
      </w:r>
    </w:p>
    <w:p w14:paraId="560A1047" w14:textId="77777777" w:rsidR="000B4C27" w:rsidRPr="007D3C50" w:rsidRDefault="000B4C27" w:rsidP="000B4C27">
      <w:pPr>
        <w:pStyle w:val="ListParagraph"/>
        <w:spacing w:after="0" w:line="240" w:lineRule="auto"/>
        <w:ind w:left="851"/>
        <w:rPr>
          <w:rFonts w:cs="Times New Roman"/>
          <w:lang w:val="es-ES_tradnl"/>
        </w:rPr>
      </w:pPr>
    </w:p>
    <w:p w14:paraId="5B1F46AA" w14:textId="1979D920" w:rsidR="007516FC" w:rsidRPr="007D3C50" w:rsidRDefault="00E0654D" w:rsidP="003D6AB7">
      <w:pPr>
        <w:pStyle w:val="ListParagraph"/>
        <w:numPr>
          <w:ilvl w:val="1"/>
          <w:numId w:val="21"/>
        </w:numPr>
        <w:spacing w:after="0" w:line="240" w:lineRule="auto"/>
        <w:ind w:left="1276" w:hanging="425"/>
        <w:rPr>
          <w:rFonts w:cs="Times New Roman"/>
          <w:lang w:val="es-ES_tradnl"/>
        </w:rPr>
      </w:pPr>
      <w:r w:rsidRPr="007D3C50">
        <w:rPr>
          <w:rFonts w:cs="Times New Roman"/>
          <w:lang w:val="es-ES_tradnl"/>
        </w:rPr>
        <w:lastRenderedPageBreak/>
        <w:t xml:space="preserve">una oportunidad para que </w:t>
      </w:r>
      <w:r w:rsidR="00C60D6B" w:rsidRPr="007D3C50">
        <w:rPr>
          <w:rFonts w:cs="Times New Roman"/>
          <w:lang w:val="es-ES_tradnl"/>
        </w:rPr>
        <w:t>el sector de las bebidas</w:t>
      </w:r>
      <w:r w:rsidR="00B10FE9" w:rsidRPr="007D3C50">
        <w:rPr>
          <w:rFonts w:cs="Times New Roman"/>
          <w:lang w:val="es-ES_tradnl"/>
        </w:rPr>
        <w:t xml:space="preserve"> </w:t>
      </w:r>
      <w:r w:rsidR="00C359F5" w:rsidRPr="007D3C50">
        <w:rPr>
          <w:rFonts w:cs="Times New Roman"/>
          <w:lang w:val="es-ES_tradnl"/>
        </w:rPr>
        <w:t>prote</w:t>
      </w:r>
      <w:r w:rsidR="00C60D6B" w:rsidRPr="007D3C50">
        <w:rPr>
          <w:rFonts w:cs="Times New Roman"/>
          <w:lang w:val="es-ES_tradnl"/>
        </w:rPr>
        <w:t xml:space="preserve">ja los humedales de las cabeceras </w:t>
      </w:r>
      <w:r w:rsidR="00A51F6A">
        <w:rPr>
          <w:rFonts w:cs="Times New Roman"/>
          <w:lang w:val="es-ES_tradnl"/>
        </w:rPr>
        <w:t xml:space="preserve">de las cuencas </w:t>
      </w:r>
      <w:r w:rsidR="00C60D6B" w:rsidRPr="007D3C50">
        <w:rPr>
          <w:rFonts w:cs="Times New Roman"/>
          <w:lang w:val="es-ES_tradnl"/>
        </w:rPr>
        <w:t>que son importantes para</w:t>
      </w:r>
      <w:r w:rsidR="001E0719" w:rsidRPr="007D3C50">
        <w:rPr>
          <w:rFonts w:cs="Times New Roman"/>
          <w:lang w:val="es-ES_tradnl"/>
        </w:rPr>
        <w:t xml:space="preserve"> el </w:t>
      </w:r>
      <w:r w:rsidRPr="007D3C50">
        <w:rPr>
          <w:rFonts w:cs="Times New Roman"/>
          <w:lang w:val="es-ES_tradnl"/>
        </w:rPr>
        <w:t>suministro de agua potable</w:t>
      </w:r>
      <w:r w:rsidR="000B4C27" w:rsidRPr="007D3C50">
        <w:rPr>
          <w:rFonts w:cs="Times New Roman"/>
          <w:lang w:val="es-ES_tradnl"/>
        </w:rPr>
        <w:t xml:space="preserve">; </w:t>
      </w:r>
      <w:r w:rsidR="00C359F5" w:rsidRPr="007D3C50">
        <w:rPr>
          <w:rFonts w:cs="Times New Roman"/>
          <w:lang w:val="es-ES_tradnl"/>
        </w:rPr>
        <w:t xml:space="preserve">o </w:t>
      </w:r>
    </w:p>
    <w:p w14:paraId="59E6BD8D" w14:textId="77777777" w:rsidR="000B4C27" w:rsidRPr="007D3C50" w:rsidRDefault="000B4C27" w:rsidP="000B4C27">
      <w:pPr>
        <w:pStyle w:val="ListParagraph"/>
        <w:spacing w:after="0" w:line="240" w:lineRule="auto"/>
        <w:ind w:left="1276"/>
        <w:rPr>
          <w:rFonts w:cs="Times New Roman"/>
          <w:lang w:val="es-ES_tradnl"/>
        </w:rPr>
      </w:pPr>
    </w:p>
    <w:p w14:paraId="0402A33E" w14:textId="0934B94A" w:rsidR="00D24FE1" w:rsidRPr="007D3C50" w:rsidRDefault="00E0654D" w:rsidP="003D6AB7">
      <w:pPr>
        <w:pStyle w:val="ListParagraph"/>
        <w:numPr>
          <w:ilvl w:val="1"/>
          <w:numId w:val="21"/>
        </w:numPr>
        <w:spacing w:after="0" w:line="240" w:lineRule="auto"/>
        <w:ind w:left="1276" w:hanging="425"/>
        <w:rPr>
          <w:rFonts w:cs="Times New Roman"/>
          <w:lang w:val="es-ES_tradnl"/>
        </w:rPr>
      </w:pPr>
      <w:r w:rsidRPr="007D3C50">
        <w:rPr>
          <w:rFonts w:cs="Times New Roman"/>
          <w:lang w:val="es-ES_tradnl"/>
        </w:rPr>
        <w:t>una oportunidad para fomentar la resil</w:t>
      </w:r>
      <w:r w:rsidR="00FE1FEF" w:rsidRPr="007D3C50">
        <w:rPr>
          <w:rFonts w:cs="Times New Roman"/>
          <w:lang w:val="es-ES_tradnl"/>
        </w:rPr>
        <w:t>i</w:t>
      </w:r>
      <w:r w:rsidRPr="007D3C50">
        <w:rPr>
          <w:rFonts w:cs="Times New Roman"/>
          <w:lang w:val="es-ES_tradnl"/>
        </w:rPr>
        <w:t>encia</w:t>
      </w:r>
      <w:r w:rsidR="00FE1FEF" w:rsidRPr="007D3C50">
        <w:rPr>
          <w:rFonts w:cs="Times New Roman"/>
          <w:lang w:val="es-ES_tradnl"/>
        </w:rPr>
        <w:t xml:space="preserve"> de las costas que beneficia tanto a comunidades como a la</w:t>
      </w:r>
      <w:r w:rsidR="00A51F6A">
        <w:rPr>
          <w:rFonts w:cs="Times New Roman"/>
          <w:lang w:val="es-ES_tradnl"/>
        </w:rPr>
        <w:t>s</w:t>
      </w:r>
      <w:r w:rsidR="00FE1FEF" w:rsidRPr="007D3C50">
        <w:rPr>
          <w:rFonts w:cs="Times New Roman"/>
          <w:lang w:val="es-ES_tradnl"/>
        </w:rPr>
        <w:t xml:space="preserve"> infraestructura</w:t>
      </w:r>
      <w:r w:rsidR="00A51F6A">
        <w:rPr>
          <w:rFonts w:cs="Times New Roman"/>
          <w:lang w:val="es-ES_tradnl"/>
        </w:rPr>
        <w:t>s</w:t>
      </w:r>
      <w:r w:rsidR="00FE1FEF" w:rsidRPr="007D3C50">
        <w:rPr>
          <w:rFonts w:cs="Times New Roman"/>
          <w:lang w:val="es-ES_tradnl"/>
        </w:rPr>
        <w:t xml:space="preserve"> del sector privado y los activos de ingeniería.</w:t>
      </w:r>
      <w:r w:rsidRPr="007D3C50">
        <w:rPr>
          <w:rFonts w:cs="Times New Roman"/>
          <w:lang w:val="es-ES_tradnl"/>
        </w:rPr>
        <w:t xml:space="preserve"> </w:t>
      </w:r>
    </w:p>
    <w:p w14:paraId="743D2CE7" w14:textId="77777777" w:rsidR="00575043" w:rsidRPr="007D3C50" w:rsidRDefault="00575043" w:rsidP="003D6AB7">
      <w:pPr>
        <w:pStyle w:val="ListParagraph"/>
        <w:spacing w:after="0" w:line="240" w:lineRule="auto"/>
        <w:rPr>
          <w:rFonts w:cs="Times New Roman"/>
          <w:lang w:val="es-ES_tradnl"/>
        </w:rPr>
      </w:pPr>
    </w:p>
    <w:p w14:paraId="69F0A0A3" w14:textId="0520FEC0" w:rsidR="00575043" w:rsidRPr="007D3C50" w:rsidRDefault="00575043" w:rsidP="00155BC8">
      <w:pPr>
        <w:pStyle w:val="ListParagraph"/>
        <w:numPr>
          <w:ilvl w:val="0"/>
          <w:numId w:val="39"/>
        </w:numPr>
        <w:spacing w:after="0" w:line="240" w:lineRule="auto"/>
        <w:ind w:left="851" w:hanging="425"/>
        <w:rPr>
          <w:rFonts w:cs="Times New Roman"/>
          <w:lang w:val="es-ES_tradnl"/>
        </w:rPr>
      </w:pPr>
      <w:r w:rsidRPr="007D3C50">
        <w:rPr>
          <w:rFonts w:cs="Times New Roman"/>
          <w:lang w:val="es-ES_tradnl"/>
        </w:rPr>
        <w:t>Identif</w:t>
      </w:r>
      <w:r w:rsidR="005004E4" w:rsidRPr="007D3C50">
        <w:rPr>
          <w:rFonts w:cs="Times New Roman"/>
          <w:lang w:val="es-ES_tradnl"/>
        </w:rPr>
        <w:t>icar oportunidades específicas para que el FPS cumpla el propósito definido</w:t>
      </w:r>
      <w:r w:rsidR="001E0719" w:rsidRPr="007D3C50">
        <w:rPr>
          <w:rFonts w:cs="Times New Roman"/>
          <w:lang w:val="es-ES_tradnl"/>
        </w:rPr>
        <w:t xml:space="preserve"> en los lineamientos originales, concretamente, </w:t>
      </w:r>
      <w:r w:rsidR="005004E4" w:rsidRPr="007D3C50">
        <w:rPr>
          <w:rFonts w:cs="Times New Roman"/>
          <w:lang w:val="es-ES_tradnl"/>
        </w:rPr>
        <w:t xml:space="preserve">que los fondos deberían destinarse a ayudar a los </w:t>
      </w:r>
      <w:r w:rsidR="00F93ED6" w:rsidRPr="007D3C50">
        <w:rPr>
          <w:rFonts w:cs="Times New Roman"/>
          <w:lang w:val="es-ES_tradnl"/>
        </w:rPr>
        <w:t>beneficiarios a hacer los preparativos necesarios para captar fondos de otras fuentes para financiar iniciativas a mayor escala. Esto supondrí</w:t>
      </w:r>
      <w:r w:rsidR="001E0719" w:rsidRPr="007D3C50">
        <w:rPr>
          <w:rFonts w:cs="Times New Roman"/>
          <w:lang w:val="es-ES_tradnl"/>
        </w:rPr>
        <w:t xml:space="preserve">a un cambio de enfoque del FPS que </w:t>
      </w:r>
      <w:r w:rsidR="00F93ED6" w:rsidRPr="007D3C50">
        <w:rPr>
          <w:rFonts w:cs="Times New Roman"/>
          <w:lang w:val="es-ES_tradnl"/>
        </w:rPr>
        <w:t xml:space="preserve">pasaría de financiar pequeños proyectos sobre el terreno a financiar la preparación de propuestas para fondos importantes como el FMAM o los </w:t>
      </w:r>
      <w:r w:rsidR="00284A3F" w:rsidRPr="007D3C50">
        <w:rPr>
          <w:rFonts w:cs="Times New Roman"/>
          <w:lang w:val="es-ES_tradnl"/>
        </w:rPr>
        <w:t xml:space="preserve">de los </w:t>
      </w:r>
      <w:r w:rsidR="00F93ED6" w:rsidRPr="007D3C50">
        <w:rPr>
          <w:rFonts w:cs="Times New Roman"/>
          <w:lang w:val="es-ES_tradnl"/>
        </w:rPr>
        <w:t xml:space="preserve">bancos multilaterales de desarrollo </w:t>
      </w:r>
      <w:r w:rsidR="00A968E9" w:rsidRPr="007D3C50">
        <w:rPr>
          <w:rFonts w:cs="Times New Roman"/>
          <w:lang w:val="es-ES_tradnl"/>
        </w:rPr>
        <w:t>(</w:t>
      </w:r>
      <w:r w:rsidR="00F93ED6" w:rsidRPr="007D3C50">
        <w:rPr>
          <w:rFonts w:cs="Times New Roman"/>
          <w:lang w:val="es-ES_tradnl"/>
        </w:rPr>
        <w:t>Banco Africano de Desarrollo, Banco Asiático de Desarrollo</w:t>
      </w:r>
      <w:r w:rsidR="00351679" w:rsidRPr="007D3C50">
        <w:rPr>
          <w:rFonts w:cs="Times New Roman"/>
          <w:lang w:val="es-ES_tradnl"/>
        </w:rPr>
        <w:t>,</w:t>
      </w:r>
      <w:r w:rsidR="00A968E9" w:rsidRPr="007D3C50">
        <w:rPr>
          <w:rFonts w:cs="Times New Roman"/>
          <w:lang w:val="es-ES_tradnl"/>
        </w:rPr>
        <w:t xml:space="preserve"> etc</w:t>
      </w:r>
      <w:r w:rsidR="000B4C27" w:rsidRPr="007D3C50">
        <w:rPr>
          <w:rFonts w:cs="Times New Roman"/>
          <w:lang w:val="es-ES_tradnl"/>
        </w:rPr>
        <w:t>.</w:t>
      </w:r>
      <w:r w:rsidR="00A968E9" w:rsidRPr="007D3C50">
        <w:rPr>
          <w:rFonts w:cs="Times New Roman"/>
          <w:lang w:val="es-ES_tradnl"/>
        </w:rPr>
        <w:t>).</w:t>
      </w:r>
    </w:p>
    <w:p w14:paraId="4F4F7DD5" w14:textId="77777777" w:rsidR="001F51AB" w:rsidRPr="007D3C50" w:rsidRDefault="001F51AB" w:rsidP="008B7384">
      <w:pPr>
        <w:spacing w:after="0" w:line="240" w:lineRule="auto"/>
        <w:rPr>
          <w:rFonts w:cs="Times New Roman"/>
          <w:lang w:val="es-ES_tradnl"/>
        </w:rPr>
      </w:pPr>
    </w:p>
    <w:p w14:paraId="379B2E72" w14:textId="6FA33AC3" w:rsidR="00CD1CFA" w:rsidRPr="007D3C50" w:rsidRDefault="00687D32" w:rsidP="002E20AC">
      <w:pPr>
        <w:pStyle w:val="Default"/>
        <w:numPr>
          <w:ilvl w:val="0"/>
          <w:numId w:val="13"/>
        </w:numPr>
        <w:ind w:left="426" w:hanging="426"/>
        <w:rPr>
          <w:rFonts w:asciiTheme="minorHAnsi" w:hAnsiTheme="minorHAnsi" w:cs="Times New Roman"/>
          <w:sz w:val="22"/>
          <w:szCs w:val="22"/>
          <w:lang w:val="es-ES_tradnl"/>
        </w:rPr>
      </w:pPr>
      <w:r w:rsidRPr="007D3C50">
        <w:rPr>
          <w:rFonts w:asciiTheme="minorHAnsi" w:hAnsiTheme="minorHAnsi" w:cs="Times New Roman"/>
          <w:sz w:val="22"/>
          <w:szCs w:val="22"/>
          <w:lang w:val="es-ES_tradnl"/>
        </w:rPr>
        <w:t xml:space="preserve">La Secretaría quisiera proponer que la cuestión del Fondo de Pequeñas Subvenciones sea un punto permanente del orden del día de todas las reuniones del Comité Permanente que se celebren durante el trienio, </w:t>
      </w:r>
      <w:r w:rsidR="00351679" w:rsidRPr="007D3C50">
        <w:rPr>
          <w:rFonts w:asciiTheme="minorHAnsi" w:hAnsiTheme="minorHAnsi" w:cs="Times New Roman"/>
          <w:sz w:val="22"/>
          <w:szCs w:val="22"/>
          <w:lang w:val="es-ES_tradnl"/>
        </w:rPr>
        <w:t xml:space="preserve">y </w:t>
      </w:r>
      <w:r w:rsidR="00C04188" w:rsidRPr="007D3C50">
        <w:rPr>
          <w:rFonts w:asciiTheme="minorHAnsi" w:hAnsiTheme="minorHAnsi" w:cs="Times New Roman"/>
          <w:sz w:val="22"/>
          <w:szCs w:val="22"/>
          <w:lang w:val="es-ES_tradnl"/>
        </w:rPr>
        <w:t>así dedicarle la atención enfocada y constante que permita tomar decisiones con conocimiento de causa acerca del futuro del FPS durante la COP13.</w:t>
      </w:r>
      <w:r w:rsidR="00641CE0">
        <w:rPr>
          <w:rFonts w:asciiTheme="minorHAnsi" w:hAnsiTheme="minorHAnsi" w:cs="Times New Roman"/>
          <w:sz w:val="22"/>
          <w:szCs w:val="22"/>
          <w:lang w:val="es-ES_tradnl"/>
        </w:rPr>
        <w:t xml:space="preserve"> </w:t>
      </w:r>
    </w:p>
    <w:sectPr w:rsidR="00CD1CFA" w:rsidRPr="007D3C50" w:rsidSect="003D6AB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6CE5A" w14:textId="77777777" w:rsidR="00F125D3" w:rsidRDefault="00F125D3" w:rsidP="005F35E5">
      <w:pPr>
        <w:spacing w:after="0" w:line="240" w:lineRule="auto"/>
      </w:pPr>
      <w:r>
        <w:separator/>
      </w:r>
    </w:p>
  </w:endnote>
  <w:endnote w:type="continuationSeparator" w:id="0">
    <w:p w14:paraId="2F114A10" w14:textId="77777777" w:rsidR="00F125D3" w:rsidRDefault="00F125D3" w:rsidP="005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946664"/>
      <w:docPartObj>
        <w:docPartGallery w:val="Page Numbers (Bottom of Page)"/>
        <w:docPartUnique/>
      </w:docPartObj>
    </w:sdtPr>
    <w:sdtEndPr/>
    <w:sdtContent>
      <w:p w14:paraId="1E92B41F" w14:textId="77777777" w:rsidR="00F125D3" w:rsidRPr="003D6AB7" w:rsidRDefault="00F125D3" w:rsidP="003D6AB7">
        <w:pPr>
          <w:pStyle w:val="Footer"/>
          <w:tabs>
            <w:tab w:val="clear" w:pos="4513"/>
            <w:tab w:val="clear" w:pos="9026"/>
            <w:tab w:val="right" w:pos="9072"/>
          </w:tabs>
          <w:rPr>
            <w:sz w:val="20"/>
            <w:szCs w:val="20"/>
          </w:rPr>
        </w:pPr>
        <w:r>
          <w:rPr>
            <w:sz w:val="20"/>
            <w:szCs w:val="20"/>
          </w:rPr>
          <w:t>SC51-22</w:t>
        </w:r>
        <w:r>
          <w:rPr>
            <w:sz w:val="20"/>
            <w:szCs w:val="20"/>
          </w:rPr>
          <w:tab/>
        </w:r>
        <w:r w:rsidRPr="00FD503E">
          <w:rPr>
            <w:sz w:val="20"/>
            <w:szCs w:val="20"/>
          </w:rPr>
          <w:fldChar w:fldCharType="begin"/>
        </w:r>
        <w:r w:rsidRPr="00FD503E">
          <w:rPr>
            <w:sz w:val="20"/>
            <w:szCs w:val="20"/>
          </w:rPr>
          <w:instrText xml:space="preserve"> PAGE   \* MERGEFORMAT </w:instrText>
        </w:r>
        <w:r w:rsidRPr="00FD503E">
          <w:rPr>
            <w:sz w:val="20"/>
            <w:szCs w:val="20"/>
          </w:rPr>
          <w:fldChar w:fldCharType="separate"/>
        </w:r>
        <w:r w:rsidR="00F07A48">
          <w:rPr>
            <w:noProof/>
            <w:sz w:val="20"/>
            <w:szCs w:val="20"/>
          </w:rPr>
          <w:t>2</w:t>
        </w:r>
        <w:r w:rsidRPr="00FD503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C8770" w14:textId="77777777" w:rsidR="00F125D3" w:rsidRDefault="00F125D3" w:rsidP="005F35E5">
      <w:pPr>
        <w:spacing w:after="0" w:line="240" w:lineRule="auto"/>
      </w:pPr>
      <w:r>
        <w:separator/>
      </w:r>
    </w:p>
  </w:footnote>
  <w:footnote w:type="continuationSeparator" w:id="0">
    <w:p w14:paraId="456996F9" w14:textId="77777777" w:rsidR="00F125D3" w:rsidRDefault="00F125D3" w:rsidP="005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1F"/>
    <w:multiLevelType w:val="hybridMultilevel"/>
    <w:tmpl w:val="9B8CE818"/>
    <w:lvl w:ilvl="0" w:tplc="14CAD4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17EB7"/>
    <w:multiLevelType w:val="hybridMultilevel"/>
    <w:tmpl w:val="1CE290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017D6"/>
    <w:multiLevelType w:val="hybridMultilevel"/>
    <w:tmpl w:val="5E429B40"/>
    <w:lvl w:ilvl="0" w:tplc="08090019">
      <w:start w:val="1"/>
      <w:numFmt w:val="lowerLetter"/>
      <w:lvlText w:val="%1."/>
      <w:lvlJc w:val="left"/>
      <w:pPr>
        <w:ind w:left="1800" w:hanging="360"/>
      </w:pPr>
      <w:rPr>
        <w:rFonts w:hint="default"/>
        <w:sz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26F5E19"/>
    <w:multiLevelType w:val="hybridMultilevel"/>
    <w:tmpl w:val="1658B578"/>
    <w:lvl w:ilvl="0" w:tplc="148A6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26FA6"/>
    <w:multiLevelType w:val="hybridMultilevel"/>
    <w:tmpl w:val="E146D9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93F2A4B"/>
    <w:multiLevelType w:val="hybridMultilevel"/>
    <w:tmpl w:val="8EA84BD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846A5"/>
    <w:multiLevelType w:val="hybridMultilevel"/>
    <w:tmpl w:val="E5C2D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E657A"/>
    <w:multiLevelType w:val="hybridMultilevel"/>
    <w:tmpl w:val="E026A642"/>
    <w:lvl w:ilvl="0" w:tplc="5F6645F8">
      <w:start w:val="10"/>
      <w:numFmt w:val="decimal"/>
      <w:lvlText w:val="%1."/>
      <w:lvlJc w:val="left"/>
      <w:pPr>
        <w:ind w:left="1794"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8">
    <w:nsid w:val="202D186A"/>
    <w:multiLevelType w:val="hybridMultilevel"/>
    <w:tmpl w:val="AB94ED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nsid w:val="248F2981"/>
    <w:multiLevelType w:val="hybridMultilevel"/>
    <w:tmpl w:val="C806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537FE"/>
    <w:multiLevelType w:val="hybridMultilevel"/>
    <w:tmpl w:val="865E2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C628E"/>
    <w:multiLevelType w:val="hybridMultilevel"/>
    <w:tmpl w:val="52169E0C"/>
    <w:lvl w:ilvl="0" w:tplc="14CAD4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F63118"/>
    <w:multiLevelType w:val="hybridMultilevel"/>
    <w:tmpl w:val="468242BC"/>
    <w:lvl w:ilvl="0" w:tplc="08090019">
      <w:start w:val="1"/>
      <w:numFmt w:val="lowerLetter"/>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B7E15C1"/>
    <w:multiLevelType w:val="hybridMultilevel"/>
    <w:tmpl w:val="28A0CE36"/>
    <w:lvl w:ilvl="0" w:tplc="D1FAF0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05F2E24"/>
    <w:multiLevelType w:val="hybridMultilevel"/>
    <w:tmpl w:val="BEC621DA"/>
    <w:lvl w:ilvl="0" w:tplc="14CAD4DA">
      <w:start w:val="1"/>
      <w:numFmt w:val="upperRoman"/>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40D451B2"/>
    <w:multiLevelType w:val="hybridMultilevel"/>
    <w:tmpl w:val="B40809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5ED4A54"/>
    <w:multiLevelType w:val="hybridMultilevel"/>
    <w:tmpl w:val="864EC862"/>
    <w:lvl w:ilvl="0" w:tplc="344CA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0168BA"/>
    <w:multiLevelType w:val="hybridMultilevel"/>
    <w:tmpl w:val="1B5E34C0"/>
    <w:lvl w:ilvl="0" w:tplc="1284BF96">
      <w:start w:val="1"/>
      <w:numFmt w:val="upp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F87B38"/>
    <w:multiLevelType w:val="hybridMultilevel"/>
    <w:tmpl w:val="EB14F2F0"/>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E87780"/>
    <w:multiLevelType w:val="hybridMultilevel"/>
    <w:tmpl w:val="4F724BD0"/>
    <w:lvl w:ilvl="0" w:tplc="B81C8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FB51A5B"/>
    <w:multiLevelType w:val="hybridMultilevel"/>
    <w:tmpl w:val="798A3BD6"/>
    <w:lvl w:ilvl="0" w:tplc="0809000F">
      <w:start w:val="1"/>
      <w:numFmt w:val="decimal"/>
      <w:lvlText w:val="%1."/>
      <w:lvlJc w:val="left"/>
      <w:pPr>
        <w:ind w:left="2160" w:hanging="720"/>
      </w:pPr>
      <w:rPr>
        <w:rFonts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1">
    <w:nsid w:val="511727EC"/>
    <w:multiLevelType w:val="hybridMultilevel"/>
    <w:tmpl w:val="94E4777A"/>
    <w:lvl w:ilvl="0" w:tplc="0809000F">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146347C"/>
    <w:multiLevelType w:val="hybridMultilevel"/>
    <w:tmpl w:val="5DCA6B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4B9753C"/>
    <w:multiLevelType w:val="hybridMultilevel"/>
    <w:tmpl w:val="C1CC6090"/>
    <w:lvl w:ilvl="0" w:tplc="DA72F8B6">
      <w:start w:val="1"/>
      <w:numFmt w:val="lowerRoman"/>
      <w:lvlText w:val="%1."/>
      <w:lvlJc w:val="left"/>
      <w:pPr>
        <w:ind w:left="1800" w:hanging="360"/>
      </w:pPr>
      <w:rPr>
        <w:rFonts w:hint="default"/>
        <w:sz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552D5BD2"/>
    <w:multiLevelType w:val="hybridMultilevel"/>
    <w:tmpl w:val="AE846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9B6D45"/>
    <w:multiLevelType w:val="hybridMultilevel"/>
    <w:tmpl w:val="B202ABF2"/>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037B39"/>
    <w:multiLevelType w:val="hybridMultilevel"/>
    <w:tmpl w:val="12883A2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BBE589D"/>
    <w:multiLevelType w:val="hybridMultilevel"/>
    <w:tmpl w:val="72663D40"/>
    <w:lvl w:ilvl="0" w:tplc="08090003">
      <w:start w:val="1"/>
      <w:numFmt w:val="bullet"/>
      <w:lvlText w:val="o"/>
      <w:lvlJc w:val="left"/>
      <w:pPr>
        <w:ind w:left="2160" w:hanging="720"/>
      </w:pPr>
      <w:rPr>
        <w:rFonts w:ascii="Courier New" w:hAnsi="Courier New" w:cs="Courier New"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8">
    <w:nsid w:val="5CAE4944"/>
    <w:multiLevelType w:val="hybridMultilevel"/>
    <w:tmpl w:val="F9EC968A"/>
    <w:lvl w:ilvl="0" w:tplc="08090011">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CCD5BFD"/>
    <w:multiLevelType w:val="hybridMultilevel"/>
    <w:tmpl w:val="A692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1F7D56"/>
    <w:multiLevelType w:val="hybridMultilevel"/>
    <w:tmpl w:val="1EFADF3E"/>
    <w:lvl w:ilvl="0" w:tplc="14CAD4D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9A62C6"/>
    <w:multiLevelType w:val="hybridMultilevel"/>
    <w:tmpl w:val="B202ABF2"/>
    <w:lvl w:ilvl="0" w:tplc="0809000F">
      <w:start w:val="1"/>
      <w:numFmt w:val="decimal"/>
      <w:lvlText w:val="%1."/>
      <w:lvlJc w:val="left"/>
      <w:pPr>
        <w:ind w:left="1572" w:hanging="720"/>
      </w:pPr>
      <w:rPr>
        <w:rFonts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nsid w:val="60E86FD3"/>
    <w:multiLevelType w:val="hybridMultilevel"/>
    <w:tmpl w:val="5D32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D858B4"/>
    <w:multiLevelType w:val="hybridMultilevel"/>
    <w:tmpl w:val="660425DE"/>
    <w:lvl w:ilvl="0" w:tplc="08090001">
      <w:start w:val="1"/>
      <w:numFmt w:val="bullet"/>
      <w:lvlText w:val=""/>
      <w:lvlJc w:val="left"/>
      <w:pPr>
        <w:ind w:left="2160" w:hanging="720"/>
      </w:pPr>
      <w:rPr>
        <w:rFonts w:ascii="Symbol" w:hAnsi="Symbol"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34">
    <w:nsid w:val="647B05B5"/>
    <w:multiLevelType w:val="hybridMultilevel"/>
    <w:tmpl w:val="4C467B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5927013"/>
    <w:multiLevelType w:val="hybridMultilevel"/>
    <w:tmpl w:val="AB6C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B70C07"/>
    <w:multiLevelType w:val="hybridMultilevel"/>
    <w:tmpl w:val="47E212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6EA15444"/>
    <w:multiLevelType w:val="hybridMultilevel"/>
    <w:tmpl w:val="DEDC4DF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F6E6125"/>
    <w:multiLevelType w:val="hybridMultilevel"/>
    <w:tmpl w:val="001ECF70"/>
    <w:lvl w:ilvl="0" w:tplc="300A5CC8">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9"/>
  </w:num>
  <w:num w:numId="3">
    <w:abstractNumId w:val="10"/>
  </w:num>
  <w:num w:numId="4">
    <w:abstractNumId w:val="35"/>
  </w:num>
  <w:num w:numId="5">
    <w:abstractNumId w:val="19"/>
  </w:num>
  <w:num w:numId="6">
    <w:abstractNumId w:val="9"/>
  </w:num>
  <w:num w:numId="7">
    <w:abstractNumId w:val="36"/>
  </w:num>
  <w:num w:numId="8">
    <w:abstractNumId w:val="11"/>
  </w:num>
  <w:num w:numId="9">
    <w:abstractNumId w:val="37"/>
  </w:num>
  <w:num w:numId="10">
    <w:abstractNumId w:val="13"/>
  </w:num>
  <w:num w:numId="11">
    <w:abstractNumId w:val="16"/>
  </w:num>
  <w:num w:numId="12">
    <w:abstractNumId w:val="0"/>
  </w:num>
  <w:num w:numId="13">
    <w:abstractNumId w:val="31"/>
  </w:num>
  <w:num w:numId="14">
    <w:abstractNumId w:val="26"/>
  </w:num>
  <w:num w:numId="15">
    <w:abstractNumId w:val="34"/>
  </w:num>
  <w:num w:numId="16">
    <w:abstractNumId w:val="4"/>
  </w:num>
  <w:num w:numId="17">
    <w:abstractNumId w:val="14"/>
  </w:num>
  <w:num w:numId="18">
    <w:abstractNumId w:val="30"/>
  </w:num>
  <w:num w:numId="19">
    <w:abstractNumId w:val="38"/>
  </w:num>
  <w:num w:numId="20">
    <w:abstractNumId w:val="8"/>
  </w:num>
  <w:num w:numId="21">
    <w:abstractNumId w:val="17"/>
  </w:num>
  <w:num w:numId="22">
    <w:abstractNumId w:val="15"/>
  </w:num>
  <w:num w:numId="23">
    <w:abstractNumId w:val="18"/>
  </w:num>
  <w:num w:numId="24">
    <w:abstractNumId w:val="1"/>
  </w:num>
  <w:num w:numId="25">
    <w:abstractNumId w:val="5"/>
  </w:num>
  <w:num w:numId="26">
    <w:abstractNumId w:val="20"/>
  </w:num>
  <w:num w:numId="27">
    <w:abstractNumId w:val="27"/>
  </w:num>
  <w:num w:numId="28">
    <w:abstractNumId w:val="21"/>
  </w:num>
  <w:num w:numId="29">
    <w:abstractNumId w:val="28"/>
  </w:num>
  <w:num w:numId="30">
    <w:abstractNumId w:val="25"/>
  </w:num>
  <w:num w:numId="31">
    <w:abstractNumId w:val="7"/>
  </w:num>
  <w:num w:numId="32">
    <w:abstractNumId w:val="22"/>
  </w:num>
  <w:num w:numId="33">
    <w:abstractNumId w:val="24"/>
  </w:num>
  <w:num w:numId="34">
    <w:abstractNumId w:val="32"/>
  </w:num>
  <w:num w:numId="35">
    <w:abstractNumId w:val="6"/>
  </w:num>
  <w:num w:numId="36">
    <w:abstractNumId w:val="33"/>
  </w:num>
  <w:num w:numId="37">
    <w:abstractNumId w:val="23"/>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29"/>
    <w:rsid w:val="0001303B"/>
    <w:rsid w:val="0001432D"/>
    <w:rsid w:val="000167A4"/>
    <w:rsid w:val="000316E0"/>
    <w:rsid w:val="00045EC7"/>
    <w:rsid w:val="00053C1B"/>
    <w:rsid w:val="00071E52"/>
    <w:rsid w:val="000B4C27"/>
    <w:rsid w:val="000B4D4F"/>
    <w:rsid w:val="000D39B3"/>
    <w:rsid w:val="000D4093"/>
    <w:rsid w:val="000D40A3"/>
    <w:rsid w:val="000E4110"/>
    <w:rsid w:val="001055DC"/>
    <w:rsid w:val="0012096C"/>
    <w:rsid w:val="0012735E"/>
    <w:rsid w:val="00150BA4"/>
    <w:rsid w:val="00155BC8"/>
    <w:rsid w:val="00164ECC"/>
    <w:rsid w:val="00195653"/>
    <w:rsid w:val="00195DD8"/>
    <w:rsid w:val="001A7660"/>
    <w:rsid w:val="001B00EB"/>
    <w:rsid w:val="001E0719"/>
    <w:rsid w:val="001F51AB"/>
    <w:rsid w:val="0020244D"/>
    <w:rsid w:val="00212633"/>
    <w:rsid w:val="00276ECA"/>
    <w:rsid w:val="002809DE"/>
    <w:rsid w:val="002829A1"/>
    <w:rsid w:val="002838E1"/>
    <w:rsid w:val="00284A3F"/>
    <w:rsid w:val="00295556"/>
    <w:rsid w:val="002A3754"/>
    <w:rsid w:val="002C756B"/>
    <w:rsid w:val="002E20AC"/>
    <w:rsid w:val="0030773C"/>
    <w:rsid w:val="0035071D"/>
    <w:rsid w:val="00351679"/>
    <w:rsid w:val="003651A6"/>
    <w:rsid w:val="00370287"/>
    <w:rsid w:val="00382DA3"/>
    <w:rsid w:val="003B250F"/>
    <w:rsid w:val="003B2991"/>
    <w:rsid w:val="003D6AB7"/>
    <w:rsid w:val="003F09D4"/>
    <w:rsid w:val="003F3972"/>
    <w:rsid w:val="003F4FE1"/>
    <w:rsid w:val="00413513"/>
    <w:rsid w:val="00420168"/>
    <w:rsid w:val="004261B9"/>
    <w:rsid w:val="00433FA9"/>
    <w:rsid w:val="00434C2A"/>
    <w:rsid w:val="004724E4"/>
    <w:rsid w:val="004930AE"/>
    <w:rsid w:val="004B09CE"/>
    <w:rsid w:val="004B57D6"/>
    <w:rsid w:val="004B7853"/>
    <w:rsid w:val="005004E4"/>
    <w:rsid w:val="00534C12"/>
    <w:rsid w:val="00550503"/>
    <w:rsid w:val="00556C08"/>
    <w:rsid w:val="00570DEA"/>
    <w:rsid w:val="00575043"/>
    <w:rsid w:val="00583434"/>
    <w:rsid w:val="005851D1"/>
    <w:rsid w:val="005D3CCF"/>
    <w:rsid w:val="005E432F"/>
    <w:rsid w:val="005E6675"/>
    <w:rsid w:val="005E6D84"/>
    <w:rsid w:val="005F014E"/>
    <w:rsid w:val="005F35E5"/>
    <w:rsid w:val="0060186E"/>
    <w:rsid w:val="006066B1"/>
    <w:rsid w:val="00641CE0"/>
    <w:rsid w:val="00665F0B"/>
    <w:rsid w:val="00687D32"/>
    <w:rsid w:val="006A3C56"/>
    <w:rsid w:val="006A553D"/>
    <w:rsid w:val="006C7C91"/>
    <w:rsid w:val="006D405D"/>
    <w:rsid w:val="006F4830"/>
    <w:rsid w:val="0071151D"/>
    <w:rsid w:val="0071198F"/>
    <w:rsid w:val="00713C51"/>
    <w:rsid w:val="00714072"/>
    <w:rsid w:val="00720A95"/>
    <w:rsid w:val="00733B51"/>
    <w:rsid w:val="007516FC"/>
    <w:rsid w:val="00772559"/>
    <w:rsid w:val="0077380C"/>
    <w:rsid w:val="007860A9"/>
    <w:rsid w:val="00787A7C"/>
    <w:rsid w:val="0079772A"/>
    <w:rsid w:val="007B32BC"/>
    <w:rsid w:val="007C7D7D"/>
    <w:rsid w:val="007D3C50"/>
    <w:rsid w:val="00800861"/>
    <w:rsid w:val="00831129"/>
    <w:rsid w:val="00831AC0"/>
    <w:rsid w:val="00847E0C"/>
    <w:rsid w:val="00856877"/>
    <w:rsid w:val="008732A1"/>
    <w:rsid w:val="00874D0E"/>
    <w:rsid w:val="008B7384"/>
    <w:rsid w:val="008E645F"/>
    <w:rsid w:val="00906808"/>
    <w:rsid w:val="00924E1A"/>
    <w:rsid w:val="00937E1A"/>
    <w:rsid w:val="00960F5A"/>
    <w:rsid w:val="00963090"/>
    <w:rsid w:val="00980104"/>
    <w:rsid w:val="00987A86"/>
    <w:rsid w:val="009D3B8E"/>
    <w:rsid w:val="009D735D"/>
    <w:rsid w:val="00A006C4"/>
    <w:rsid w:val="00A13C4C"/>
    <w:rsid w:val="00A14741"/>
    <w:rsid w:val="00A455A4"/>
    <w:rsid w:val="00A51F6A"/>
    <w:rsid w:val="00A5234D"/>
    <w:rsid w:val="00A9488C"/>
    <w:rsid w:val="00A968E9"/>
    <w:rsid w:val="00AB27C1"/>
    <w:rsid w:val="00AB3999"/>
    <w:rsid w:val="00AD18A1"/>
    <w:rsid w:val="00B01C5F"/>
    <w:rsid w:val="00B10FE9"/>
    <w:rsid w:val="00B262DC"/>
    <w:rsid w:val="00B26692"/>
    <w:rsid w:val="00B27B99"/>
    <w:rsid w:val="00B3546B"/>
    <w:rsid w:val="00B90CD7"/>
    <w:rsid w:val="00BA025C"/>
    <w:rsid w:val="00BA050D"/>
    <w:rsid w:val="00BB66E7"/>
    <w:rsid w:val="00BE17FD"/>
    <w:rsid w:val="00C04188"/>
    <w:rsid w:val="00C23C6B"/>
    <w:rsid w:val="00C359F5"/>
    <w:rsid w:val="00C570F9"/>
    <w:rsid w:val="00C60D6B"/>
    <w:rsid w:val="00C71598"/>
    <w:rsid w:val="00C75633"/>
    <w:rsid w:val="00CD02E3"/>
    <w:rsid w:val="00CD1CFA"/>
    <w:rsid w:val="00CD238B"/>
    <w:rsid w:val="00CE2AE4"/>
    <w:rsid w:val="00CF52B3"/>
    <w:rsid w:val="00D035FB"/>
    <w:rsid w:val="00D1113C"/>
    <w:rsid w:val="00D15D47"/>
    <w:rsid w:val="00D17B0B"/>
    <w:rsid w:val="00D210F0"/>
    <w:rsid w:val="00D24FE1"/>
    <w:rsid w:val="00D3760C"/>
    <w:rsid w:val="00D664DB"/>
    <w:rsid w:val="00D93619"/>
    <w:rsid w:val="00D9447B"/>
    <w:rsid w:val="00D977D0"/>
    <w:rsid w:val="00DA4B44"/>
    <w:rsid w:val="00DB3183"/>
    <w:rsid w:val="00DB579B"/>
    <w:rsid w:val="00DB5B3F"/>
    <w:rsid w:val="00DD25C7"/>
    <w:rsid w:val="00DF1BAC"/>
    <w:rsid w:val="00DF6919"/>
    <w:rsid w:val="00E00A22"/>
    <w:rsid w:val="00E0654D"/>
    <w:rsid w:val="00E24DAC"/>
    <w:rsid w:val="00E50BD5"/>
    <w:rsid w:val="00E5689C"/>
    <w:rsid w:val="00E63728"/>
    <w:rsid w:val="00E802DD"/>
    <w:rsid w:val="00E86663"/>
    <w:rsid w:val="00E9663D"/>
    <w:rsid w:val="00EB0DF7"/>
    <w:rsid w:val="00ED395B"/>
    <w:rsid w:val="00F07A48"/>
    <w:rsid w:val="00F125D3"/>
    <w:rsid w:val="00F46E7E"/>
    <w:rsid w:val="00F622C4"/>
    <w:rsid w:val="00F93ED6"/>
    <w:rsid w:val="00F96F40"/>
    <w:rsid w:val="00FA5FA9"/>
    <w:rsid w:val="00FB692D"/>
    <w:rsid w:val="00FE1FEF"/>
    <w:rsid w:val="00FE3CD3"/>
    <w:rsid w:val="00FF07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C5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8B"/>
    <w:pPr>
      <w:ind w:left="720"/>
      <w:contextualSpacing/>
    </w:pPr>
  </w:style>
  <w:style w:type="character" w:styleId="CommentReference">
    <w:name w:val="annotation reference"/>
    <w:basedOn w:val="DefaultParagraphFont"/>
    <w:uiPriority w:val="99"/>
    <w:semiHidden/>
    <w:unhideWhenUsed/>
    <w:rsid w:val="003F4FE1"/>
    <w:rPr>
      <w:sz w:val="16"/>
      <w:szCs w:val="16"/>
    </w:rPr>
  </w:style>
  <w:style w:type="paragraph" w:styleId="CommentText">
    <w:name w:val="annotation text"/>
    <w:basedOn w:val="Normal"/>
    <w:link w:val="CommentTextChar"/>
    <w:uiPriority w:val="99"/>
    <w:semiHidden/>
    <w:unhideWhenUsed/>
    <w:rsid w:val="003F4FE1"/>
    <w:pPr>
      <w:spacing w:line="240" w:lineRule="auto"/>
    </w:pPr>
    <w:rPr>
      <w:sz w:val="20"/>
      <w:szCs w:val="20"/>
    </w:rPr>
  </w:style>
  <w:style w:type="character" w:customStyle="1" w:styleId="CommentTextChar">
    <w:name w:val="Comment Text Char"/>
    <w:basedOn w:val="DefaultParagraphFont"/>
    <w:link w:val="CommentText"/>
    <w:uiPriority w:val="99"/>
    <w:semiHidden/>
    <w:rsid w:val="003F4FE1"/>
    <w:rPr>
      <w:sz w:val="20"/>
      <w:szCs w:val="20"/>
    </w:rPr>
  </w:style>
  <w:style w:type="paragraph" w:styleId="CommentSubject">
    <w:name w:val="annotation subject"/>
    <w:basedOn w:val="CommentText"/>
    <w:next w:val="CommentText"/>
    <w:link w:val="CommentSubjectChar"/>
    <w:uiPriority w:val="99"/>
    <w:semiHidden/>
    <w:unhideWhenUsed/>
    <w:rsid w:val="003F4FE1"/>
    <w:rPr>
      <w:b/>
      <w:bCs/>
    </w:rPr>
  </w:style>
  <w:style w:type="character" w:customStyle="1" w:styleId="CommentSubjectChar">
    <w:name w:val="Comment Subject Char"/>
    <w:basedOn w:val="CommentTextChar"/>
    <w:link w:val="CommentSubject"/>
    <w:uiPriority w:val="99"/>
    <w:semiHidden/>
    <w:rsid w:val="003F4FE1"/>
    <w:rPr>
      <w:b/>
      <w:bCs/>
      <w:sz w:val="20"/>
      <w:szCs w:val="20"/>
    </w:rPr>
  </w:style>
  <w:style w:type="paragraph" w:styleId="BalloonText">
    <w:name w:val="Balloon Text"/>
    <w:basedOn w:val="Normal"/>
    <w:link w:val="BalloonTextChar"/>
    <w:uiPriority w:val="99"/>
    <w:semiHidden/>
    <w:unhideWhenUsed/>
    <w:rsid w:val="003F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E1"/>
    <w:rPr>
      <w:rFonts w:ascii="Tahoma" w:hAnsi="Tahoma" w:cs="Tahoma"/>
      <w:sz w:val="16"/>
      <w:szCs w:val="16"/>
    </w:rPr>
  </w:style>
  <w:style w:type="character" w:styleId="Hyperlink">
    <w:name w:val="Hyperlink"/>
    <w:basedOn w:val="DefaultParagraphFont"/>
    <w:uiPriority w:val="99"/>
    <w:unhideWhenUsed/>
    <w:rsid w:val="004724E4"/>
    <w:rPr>
      <w:color w:val="0000FF" w:themeColor="hyperlink"/>
      <w:u w:val="single"/>
    </w:rPr>
  </w:style>
  <w:style w:type="paragraph" w:styleId="FootnoteText">
    <w:name w:val="footnote text"/>
    <w:basedOn w:val="Normal"/>
    <w:link w:val="FootnoteTextChar"/>
    <w:semiHidden/>
    <w:rsid w:val="005F35E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35E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F35E5"/>
    <w:rPr>
      <w:rFonts w:cs="Times New Roman"/>
      <w:vertAlign w:val="superscript"/>
    </w:rPr>
  </w:style>
  <w:style w:type="table" w:styleId="TableGrid">
    <w:name w:val="Table Grid"/>
    <w:basedOn w:val="TableNormal"/>
    <w:rsid w:val="004135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F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B7"/>
  </w:style>
  <w:style w:type="paragraph" w:styleId="Footer">
    <w:name w:val="footer"/>
    <w:basedOn w:val="Normal"/>
    <w:link w:val="FooterChar"/>
    <w:uiPriority w:val="99"/>
    <w:unhideWhenUsed/>
    <w:rsid w:val="003D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B7"/>
  </w:style>
  <w:style w:type="character" w:styleId="FollowedHyperlink">
    <w:name w:val="FollowedHyperlink"/>
    <w:basedOn w:val="DefaultParagraphFont"/>
    <w:uiPriority w:val="99"/>
    <w:semiHidden/>
    <w:unhideWhenUsed/>
    <w:rsid w:val="005F014E"/>
    <w:rPr>
      <w:color w:val="800080" w:themeColor="followedHyperlink"/>
      <w:u w:val="single"/>
    </w:rPr>
  </w:style>
  <w:style w:type="paragraph" w:styleId="Revision">
    <w:name w:val="Revision"/>
    <w:hidden/>
    <w:uiPriority w:val="99"/>
    <w:semiHidden/>
    <w:rsid w:val="00641C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8B"/>
    <w:pPr>
      <w:ind w:left="720"/>
      <w:contextualSpacing/>
    </w:pPr>
  </w:style>
  <w:style w:type="character" w:styleId="CommentReference">
    <w:name w:val="annotation reference"/>
    <w:basedOn w:val="DefaultParagraphFont"/>
    <w:uiPriority w:val="99"/>
    <w:semiHidden/>
    <w:unhideWhenUsed/>
    <w:rsid w:val="003F4FE1"/>
    <w:rPr>
      <w:sz w:val="16"/>
      <w:szCs w:val="16"/>
    </w:rPr>
  </w:style>
  <w:style w:type="paragraph" w:styleId="CommentText">
    <w:name w:val="annotation text"/>
    <w:basedOn w:val="Normal"/>
    <w:link w:val="CommentTextChar"/>
    <w:uiPriority w:val="99"/>
    <w:semiHidden/>
    <w:unhideWhenUsed/>
    <w:rsid w:val="003F4FE1"/>
    <w:pPr>
      <w:spacing w:line="240" w:lineRule="auto"/>
    </w:pPr>
    <w:rPr>
      <w:sz w:val="20"/>
      <w:szCs w:val="20"/>
    </w:rPr>
  </w:style>
  <w:style w:type="character" w:customStyle="1" w:styleId="CommentTextChar">
    <w:name w:val="Comment Text Char"/>
    <w:basedOn w:val="DefaultParagraphFont"/>
    <w:link w:val="CommentText"/>
    <w:uiPriority w:val="99"/>
    <w:semiHidden/>
    <w:rsid w:val="003F4FE1"/>
    <w:rPr>
      <w:sz w:val="20"/>
      <w:szCs w:val="20"/>
    </w:rPr>
  </w:style>
  <w:style w:type="paragraph" w:styleId="CommentSubject">
    <w:name w:val="annotation subject"/>
    <w:basedOn w:val="CommentText"/>
    <w:next w:val="CommentText"/>
    <w:link w:val="CommentSubjectChar"/>
    <w:uiPriority w:val="99"/>
    <w:semiHidden/>
    <w:unhideWhenUsed/>
    <w:rsid w:val="003F4FE1"/>
    <w:rPr>
      <w:b/>
      <w:bCs/>
    </w:rPr>
  </w:style>
  <w:style w:type="character" w:customStyle="1" w:styleId="CommentSubjectChar">
    <w:name w:val="Comment Subject Char"/>
    <w:basedOn w:val="CommentTextChar"/>
    <w:link w:val="CommentSubject"/>
    <w:uiPriority w:val="99"/>
    <w:semiHidden/>
    <w:rsid w:val="003F4FE1"/>
    <w:rPr>
      <w:b/>
      <w:bCs/>
      <w:sz w:val="20"/>
      <w:szCs w:val="20"/>
    </w:rPr>
  </w:style>
  <w:style w:type="paragraph" w:styleId="BalloonText">
    <w:name w:val="Balloon Text"/>
    <w:basedOn w:val="Normal"/>
    <w:link w:val="BalloonTextChar"/>
    <w:uiPriority w:val="99"/>
    <w:semiHidden/>
    <w:unhideWhenUsed/>
    <w:rsid w:val="003F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E1"/>
    <w:rPr>
      <w:rFonts w:ascii="Tahoma" w:hAnsi="Tahoma" w:cs="Tahoma"/>
      <w:sz w:val="16"/>
      <w:szCs w:val="16"/>
    </w:rPr>
  </w:style>
  <w:style w:type="character" w:styleId="Hyperlink">
    <w:name w:val="Hyperlink"/>
    <w:basedOn w:val="DefaultParagraphFont"/>
    <w:uiPriority w:val="99"/>
    <w:unhideWhenUsed/>
    <w:rsid w:val="004724E4"/>
    <w:rPr>
      <w:color w:val="0000FF" w:themeColor="hyperlink"/>
      <w:u w:val="single"/>
    </w:rPr>
  </w:style>
  <w:style w:type="paragraph" w:styleId="FootnoteText">
    <w:name w:val="footnote text"/>
    <w:basedOn w:val="Normal"/>
    <w:link w:val="FootnoteTextChar"/>
    <w:semiHidden/>
    <w:rsid w:val="005F35E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35E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F35E5"/>
    <w:rPr>
      <w:rFonts w:cs="Times New Roman"/>
      <w:vertAlign w:val="superscript"/>
    </w:rPr>
  </w:style>
  <w:style w:type="table" w:styleId="TableGrid">
    <w:name w:val="Table Grid"/>
    <w:basedOn w:val="TableNormal"/>
    <w:rsid w:val="004135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F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B7"/>
  </w:style>
  <w:style w:type="paragraph" w:styleId="Footer">
    <w:name w:val="footer"/>
    <w:basedOn w:val="Normal"/>
    <w:link w:val="FooterChar"/>
    <w:uiPriority w:val="99"/>
    <w:unhideWhenUsed/>
    <w:rsid w:val="003D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B7"/>
  </w:style>
  <w:style w:type="character" w:styleId="FollowedHyperlink">
    <w:name w:val="FollowedHyperlink"/>
    <w:basedOn w:val="DefaultParagraphFont"/>
    <w:uiPriority w:val="99"/>
    <w:semiHidden/>
    <w:unhideWhenUsed/>
    <w:rsid w:val="005F014E"/>
    <w:rPr>
      <w:color w:val="800080" w:themeColor="followedHyperlink"/>
      <w:u w:val="single"/>
    </w:rPr>
  </w:style>
  <w:style w:type="paragraph" w:styleId="Revision">
    <w:name w:val="Revision"/>
    <w:hidden/>
    <w:uiPriority w:val="99"/>
    <w:semiHidden/>
    <w:rsid w:val="00641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470">
      <w:bodyDiv w:val="1"/>
      <w:marLeft w:val="0"/>
      <w:marRight w:val="0"/>
      <w:marTop w:val="0"/>
      <w:marBottom w:val="0"/>
      <w:divBdr>
        <w:top w:val="none" w:sz="0" w:space="0" w:color="auto"/>
        <w:left w:val="none" w:sz="0" w:space="0" w:color="auto"/>
        <w:bottom w:val="none" w:sz="0" w:space="0" w:color="auto"/>
        <w:right w:val="none" w:sz="0" w:space="0" w:color="auto"/>
      </w:divBdr>
    </w:div>
    <w:div w:id="605115722">
      <w:bodyDiv w:val="1"/>
      <w:marLeft w:val="0"/>
      <w:marRight w:val="0"/>
      <w:marTop w:val="0"/>
      <w:marBottom w:val="0"/>
      <w:divBdr>
        <w:top w:val="none" w:sz="0" w:space="0" w:color="auto"/>
        <w:left w:val="none" w:sz="0" w:space="0" w:color="auto"/>
        <w:bottom w:val="none" w:sz="0" w:space="0" w:color="auto"/>
        <w:right w:val="none" w:sz="0" w:space="0" w:color="auto"/>
      </w:divBdr>
    </w:div>
    <w:div w:id="798691408">
      <w:bodyDiv w:val="1"/>
      <w:marLeft w:val="0"/>
      <w:marRight w:val="0"/>
      <w:marTop w:val="0"/>
      <w:marBottom w:val="0"/>
      <w:divBdr>
        <w:top w:val="none" w:sz="0" w:space="0" w:color="auto"/>
        <w:left w:val="none" w:sz="0" w:space="0" w:color="auto"/>
        <w:bottom w:val="none" w:sz="0" w:space="0" w:color="auto"/>
        <w:right w:val="none" w:sz="0" w:space="0" w:color="auto"/>
      </w:divBdr>
    </w:div>
    <w:div w:id="839933224">
      <w:bodyDiv w:val="1"/>
      <w:marLeft w:val="0"/>
      <w:marRight w:val="0"/>
      <w:marTop w:val="0"/>
      <w:marBottom w:val="0"/>
      <w:divBdr>
        <w:top w:val="none" w:sz="0" w:space="0" w:color="auto"/>
        <w:left w:val="none" w:sz="0" w:space="0" w:color="auto"/>
        <w:bottom w:val="none" w:sz="0" w:space="0" w:color="auto"/>
        <w:right w:val="none" w:sz="0" w:space="0" w:color="auto"/>
      </w:divBdr>
    </w:div>
    <w:div w:id="1140222806">
      <w:bodyDiv w:val="1"/>
      <w:marLeft w:val="0"/>
      <w:marRight w:val="0"/>
      <w:marTop w:val="0"/>
      <w:marBottom w:val="0"/>
      <w:divBdr>
        <w:top w:val="none" w:sz="0" w:space="0" w:color="auto"/>
        <w:left w:val="none" w:sz="0" w:space="0" w:color="auto"/>
        <w:bottom w:val="none" w:sz="0" w:space="0" w:color="auto"/>
        <w:right w:val="none" w:sz="0" w:space="0" w:color="auto"/>
      </w:divBdr>
    </w:div>
    <w:div w:id="1200624497">
      <w:bodyDiv w:val="1"/>
      <w:marLeft w:val="0"/>
      <w:marRight w:val="0"/>
      <w:marTop w:val="0"/>
      <w:marBottom w:val="0"/>
      <w:divBdr>
        <w:top w:val="none" w:sz="0" w:space="0" w:color="auto"/>
        <w:left w:val="none" w:sz="0" w:space="0" w:color="auto"/>
        <w:bottom w:val="none" w:sz="0" w:space="0" w:color="auto"/>
        <w:right w:val="none" w:sz="0" w:space="0" w:color="auto"/>
      </w:divBdr>
    </w:div>
    <w:div w:id="1448546289">
      <w:bodyDiv w:val="1"/>
      <w:marLeft w:val="0"/>
      <w:marRight w:val="0"/>
      <w:marTop w:val="0"/>
      <w:marBottom w:val="0"/>
      <w:divBdr>
        <w:top w:val="none" w:sz="0" w:space="0" w:color="auto"/>
        <w:left w:val="none" w:sz="0" w:space="0" w:color="auto"/>
        <w:bottom w:val="none" w:sz="0" w:space="0" w:color="auto"/>
        <w:right w:val="none" w:sz="0" w:space="0" w:color="auto"/>
      </w:divBdr>
    </w:div>
    <w:div w:id="1554999575">
      <w:bodyDiv w:val="1"/>
      <w:marLeft w:val="0"/>
      <w:marRight w:val="0"/>
      <w:marTop w:val="0"/>
      <w:marBottom w:val="0"/>
      <w:divBdr>
        <w:top w:val="none" w:sz="0" w:space="0" w:color="auto"/>
        <w:left w:val="none" w:sz="0" w:space="0" w:color="auto"/>
        <w:bottom w:val="none" w:sz="0" w:space="0" w:color="auto"/>
        <w:right w:val="none" w:sz="0" w:space="0" w:color="auto"/>
      </w:divBdr>
    </w:div>
    <w:div w:id="1572931697">
      <w:bodyDiv w:val="1"/>
      <w:marLeft w:val="0"/>
      <w:marRight w:val="0"/>
      <w:marTop w:val="0"/>
      <w:marBottom w:val="0"/>
      <w:divBdr>
        <w:top w:val="none" w:sz="0" w:space="0" w:color="auto"/>
        <w:left w:val="none" w:sz="0" w:space="0" w:color="auto"/>
        <w:bottom w:val="none" w:sz="0" w:space="0" w:color="auto"/>
        <w:right w:val="none" w:sz="0" w:space="0" w:color="auto"/>
      </w:divBdr>
    </w:div>
    <w:div w:id="1672173338">
      <w:bodyDiv w:val="1"/>
      <w:marLeft w:val="0"/>
      <w:marRight w:val="0"/>
      <w:marTop w:val="0"/>
      <w:marBottom w:val="0"/>
      <w:divBdr>
        <w:top w:val="none" w:sz="0" w:space="0" w:color="auto"/>
        <w:left w:val="none" w:sz="0" w:space="0" w:color="auto"/>
        <w:bottom w:val="none" w:sz="0" w:space="0" w:color="auto"/>
        <w:right w:val="none" w:sz="0" w:space="0" w:color="auto"/>
      </w:divBdr>
    </w:div>
    <w:div w:id="1839230631">
      <w:bodyDiv w:val="1"/>
      <w:marLeft w:val="0"/>
      <w:marRight w:val="0"/>
      <w:marTop w:val="0"/>
      <w:marBottom w:val="0"/>
      <w:divBdr>
        <w:top w:val="none" w:sz="0" w:space="0" w:color="auto"/>
        <w:left w:val="none" w:sz="0" w:space="0" w:color="auto"/>
        <w:bottom w:val="none" w:sz="0" w:space="0" w:color="auto"/>
        <w:right w:val="none" w:sz="0" w:space="0" w:color="auto"/>
      </w:divBdr>
    </w:div>
    <w:div w:id="1905526015">
      <w:bodyDiv w:val="1"/>
      <w:marLeft w:val="0"/>
      <w:marRight w:val="0"/>
      <w:marTop w:val="0"/>
      <w:marBottom w:val="0"/>
      <w:divBdr>
        <w:top w:val="none" w:sz="0" w:space="0" w:color="auto"/>
        <w:left w:val="none" w:sz="0" w:space="0" w:color="auto"/>
        <w:bottom w:val="none" w:sz="0" w:space="0" w:color="auto"/>
        <w:right w:val="none" w:sz="0" w:space="0" w:color="auto"/>
      </w:divBdr>
    </w:div>
    <w:div w:id="1908299729">
      <w:bodyDiv w:val="1"/>
      <w:marLeft w:val="0"/>
      <w:marRight w:val="0"/>
      <w:marTop w:val="0"/>
      <w:marBottom w:val="0"/>
      <w:divBdr>
        <w:top w:val="none" w:sz="0" w:space="0" w:color="auto"/>
        <w:left w:val="none" w:sz="0" w:space="0" w:color="auto"/>
        <w:bottom w:val="none" w:sz="0" w:space="0" w:color="auto"/>
        <w:right w:val="none" w:sz="0" w:space="0" w:color="auto"/>
      </w:divBdr>
    </w:div>
    <w:div w:id="20006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ramsar.org/sites/default/files/documents/library/sgf_guidelines_2009_12_s.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scatterChart>
        <c:scatterStyle val="lineMarker"/>
        <c:varyColors val="0"/>
        <c:ser>
          <c:idx val="0"/>
          <c:order val="0"/>
          <c:tx>
            <c:strRef>
              <c:f>'Table 1'!$B$33:$B$34</c:f>
              <c:strCache>
                <c:ptCount val="1"/>
                <c:pt idx="0">
                  <c:v>Final Total allocated  CHF</c:v>
                </c:pt>
              </c:strCache>
            </c:strRef>
          </c:tx>
          <c:dPt>
            <c:idx val="11"/>
            <c:bubble3D val="0"/>
            <c:spPr>
              <a:ln cap="sq"/>
            </c:spPr>
          </c:dPt>
          <c:xVal>
            <c:numRef>
              <c:f>'Table 1'!$A$35:$A$60</c:f>
              <c:numCache>
                <c:formatCode>General</c:formatCode>
                <c:ptCount val="26"/>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xVal>
          <c:yVal>
            <c:numRef>
              <c:f>'Table 1'!$B$35:$B$60</c:f>
              <c:numCache>
                <c:formatCode>#,##0</c:formatCode>
                <c:ptCount val="26"/>
                <c:pt idx="1">
                  <c:v>200025</c:v>
                </c:pt>
                <c:pt idx="2">
                  <c:v>280566</c:v>
                </c:pt>
                <c:pt idx="3">
                  <c:v>469880</c:v>
                </c:pt>
                <c:pt idx="4">
                  <c:v>371360</c:v>
                </c:pt>
                <c:pt idx="5">
                  <c:v>346530</c:v>
                </c:pt>
                <c:pt idx="6">
                  <c:v>403150</c:v>
                </c:pt>
                <c:pt idx="7">
                  <c:v>1064840</c:v>
                </c:pt>
                <c:pt idx="8">
                  <c:v>679470</c:v>
                </c:pt>
                <c:pt idx="9">
                  <c:v>602297</c:v>
                </c:pt>
                <c:pt idx="10">
                  <c:v>420166</c:v>
                </c:pt>
                <c:pt idx="11">
                  <c:v>332807</c:v>
                </c:pt>
                <c:pt idx="12">
                  <c:v>683503</c:v>
                </c:pt>
                <c:pt idx="13">
                  <c:v>341885</c:v>
                </c:pt>
                <c:pt idx="14">
                  <c:v>400235</c:v>
                </c:pt>
                <c:pt idx="15">
                  <c:v>200602</c:v>
                </c:pt>
                <c:pt idx="16">
                  <c:v>445060</c:v>
                </c:pt>
                <c:pt idx="17">
                  <c:v>211619</c:v>
                </c:pt>
                <c:pt idx="18">
                  <c:v>286207</c:v>
                </c:pt>
                <c:pt idx="19">
                  <c:v>256881</c:v>
                </c:pt>
                <c:pt idx="20">
                  <c:v>110232</c:v>
                </c:pt>
                <c:pt idx="21" formatCode="General">
                  <c:v>0</c:v>
                </c:pt>
                <c:pt idx="22">
                  <c:v>289510</c:v>
                </c:pt>
                <c:pt idx="23">
                  <c:v>10413</c:v>
                </c:pt>
                <c:pt idx="24" formatCode="General">
                  <c:v>0</c:v>
                </c:pt>
                <c:pt idx="25" formatCode="General">
                  <c:v>0</c:v>
                </c:pt>
              </c:numCache>
            </c:numRef>
          </c:yVal>
          <c:smooth val="0"/>
        </c:ser>
        <c:dLbls>
          <c:showLegendKey val="0"/>
          <c:showVal val="0"/>
          <c:showCatName val="0"/>
          <c:showSerName val="0"/>
          <c:showPercent val="0"/>
          <c:showBubbleSize val="0"/>
        </c:dLbls>
        <c:axId val="38766272"/>
        <c:axId val="38766848"/>
      </c:scatterChart>
      <c:valAx>
        <c:axId val="38766272"/>
        <c:scaling>
          <c:orientation val="minMax"/>
          <c:max val="2015"/>
          <c:min val="1990"/>
        </c:scaling>
        <c:delete val="0"/>
        <c:axPos val="b"/>
        <c:numFmt formatCode="General" sourceLinked="0"/>
        <c:majorTickMark val="out"/>
        <c:minorTickMark val="none"/>
        <c:tickLblPos val="nextTo"/>
        <c:crossAx val="38766848"/>
        <c:crossesAt val="0"/>
        <c:crossBetween val="midCat"/>
      </c:valAx>
      <c:valAx>
        <c:axId val="38766848"/>
        <c:scaling>
          <c:orientation val="minMax"/>
        </c:scaling>
        <c:delete val="0"/>
        <c:axPos val="l"/>
        <c:majorGridlines>
          <c:spPr>
            <a:effectLst>
              <a:outerShdw blurRad="50800" dist="38100" dir="5400000" algn="t" rotWithShape="0">
                <a:prstClr val="black">
                  <a:alpha val="40000"/>
                </a:prstClr>
              </a:outerShdw>
            </a:effectLst>
          </c:spPr>
        </c:majorGridlines>
        <c:numFmt formatCode="#,##0.00" sourceLinked="0"/>
        <c:majorTickMark val="out"/>
        <c:minorTickMark val="none"/>
        <c:tickLblPos val="nextTo"/>
        <c:crossAx val="38766272"/>
        <c:crosses val="autoZero"/>
        <c:crossBetween val="midCat"/>
      </c:valAx>
      <c:spPr>
        <a:solidFill>
          <a:schemeClr val="accent1">
            <a:alpha val="11000"/>
          </a:schemeClr>
        </a:solidFill>
        <a:ln>
          <a:solidFill>
            <a:schemeClr val="tx1">
              <a:alpha val="68000"/>
            </a:schemeClr>
          </a:solidFill>
        </a:ln>
        <a:effectLst>
          <a:outerShdw blurRad="50800" dist="38100" dir="2700000" algn="tl" rotWithShape="0">
            <a:prstClr val="black">
              <a:alpha val="40000"/>
            </a:prstClr>
          </a:outerShdw>
        </a:effectLst>
        <a:scene3d>
          <a:camera prst="orthographicFront"/>
          <a:lightRig rig="threePt" dir="t"/>
        </a:scene3d>
        <a:sp3d>
          <a:bevelT prst="relaxedInset"/>
        </a:sp3d>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0.02894</cdr:x>
      <cdr:y>0.01461</cdr:y>
    </cdr:from>
    <cdr:to>
      <cdr:x>0.13658</cdr:x>
      <cdr:y>0.1098</cdr:y>
    </cdr:to>
    <cdr:sp macro="" textlink="">
      <cdr:nvSpPr>
        <cdr:cNvPr id="2" name="TextBox 1"/>
        <cdr:cNvSpPr txBox="1"/>
      </cdr:nvSpPr>
      <cdr:spPr>
        <a:xfrm xmlns:a="http://schemas.openxmlformats.org/drawingml/2006/main">
          <a:off x="165870" y="41821"/>
          <a:ext cx="616940" cy="2725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CHF</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CB40-5DA4-4A4E-B4BA-61B255B5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Ramsar\CadmusR</dc:creator>
  <cp:lastModifiedBy>Ramsar\JenningsE</cp:lastModifiedBy>
  <cp:revision>2</cp:revision>
  <cp:lastPrinted>2015-08-23T08:39:00Z</cp:lastPrinted>
  <dcterms:created xsi:type="dcterms:W3CDTF">2015-08-25T13:53:00Z</dcterms:created>
  <dcterms:modified xsi:type="dcterms:W3CDTF">2015-08-25T13:53:00Z</dcterms:modified>
</cp:coreProperties>
</file>