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B7" w:rsidRPr="00C05474" w:rsidRDefault="00BE7404" w:rsidP="003D6AB7">
      <w:pPr>
        <w:pBdr>
          <w:top w:val="single" w:sz="12" w:space="0" w:color="auto" w:shadow="1"/>
          <w:left w:val="single" w:sz="12" w:space="4" w:color="auto" w:shadow="1"/>
          <w:bottom w:val="single" w:sz="12" w:space="1" w:color="auto" w:shadow="1"/>
          <w:right w:val="single" w:sz="12" w:space="0" w:color="auto" w:shadow="1"/>
        </w:pBdr>
        <w:ind w:right="2792"/>
        <w:rPr>
          <w:rFonts w:asciiTheme="minorHAnsi" w:eastAsia="Times New Roman" w:hAnsiTheme="minorHAnsi" w:cstheme="minorHAnsi"/>
          <w:bCs/>
          <w:szCs w:val="20"/>
          <w:lang w:val="fr-FR"/>
        </w:rPr>
      </w:pPr>
      <w:r w:rsidRPr="00C05474">
        <w:rPr>
          <w:rFonts w:asciiTheme="minorHAnsi" w:eastAsia="Times New Roman" w:hAnsiTheme="minorHAnsi" w:cstheme="minorHAnsi"/>
          <w:bCs/>
          <w:lang w:val="fr-FR"/>
        </w:rPr>
        <w:t>CONVENTION SUR LES ZONES HUMIDES</w:t>
      </w:r>
      <w:r w:rsidRPr="00C05474">
        <w:rPr>
          <w:rFonts w:asciiTheme="minorHAnsi" w:eastAsia="Times New Roman" w:hAnsiTheme="minorHAnsi" w:cstheme="minorHAnsi"/>
          <w:bCs/>
          <w:szCs w:val="20"/>
          <w:lang w:val="fr-FR"/>
        </w:rPr>
        <w:t xml:space="preserve"> </w:t>
      </w:r>
      <w:r w:rsidR="003D6AB7" w:rsidRPr="00C05474">
        <w:rPr>
          <w:rFonts w:asciiTheme="minorHAnsi" w:eastAsia="Times New Roman" w:hAnsiTheme="minorHAnsi" w:cstheme="minorHAnsi"/>
          <w:bCs/>
          <w:szCs w:val="20"/>
          <w:lang w:val="fr-FR"/>
        </w:rPr>
        <w:t>(Ramsar, Iran, 1971)</w:t>
      </w:r>
    </w:p>
    <w:p w:rsidR="00E9302A" w:rsidRPr="00C05474" w:rsidRDefault="00E9302A" w:rsidP="00E9302A">
      <w:pPr>
        <w:pBdr>
          <w:top w:val="single" w:sz="12" w:space="0" w:color="auto" w:shadow="1"/>
          <w:left w:val="single" w:sz="12" w:space="4" w:color="auto" w:shadow="1"/>
          <w:bottom w:val="single" w:sz="12" w:space="1" w:color="auto" w:shadow="1"/>
          <w:right w:val="single" w:sz="12" w:space="0" w:color="auto" w:shadow="1"/>
        </w:pBdr>
        <w:ind w:right="2792"/>
        <w:rPr>
          <w:rFonts w:asciiTheme="minorHAnsi" w:eastAsia="Times New Roman" w:hAnsiTheme="minorHAnsi" w:cstheme="minorHAnsi"/>
          <w:bCs/>
          <w:szCs w:val="20"/>
          <w:lang w:val="fr-FR"/>
        </w:rPr>
      </w:pPr>
      <w:r w:rsidRPr="00C05474">
        <w:rPr>
          <w:rFonts w:asciiTheme="minorHAnsi" w:eastAsia="Times New Roman" w:hAnsiTheme="minorHAnsi" w:cstheme="minorHAnsi"/>
          <w:bCs/>
          <w:szCs w:val="20"/>
          <w:lang w:val="fr-FR"/>
        </w:rPr>
        <w:t>51</w:t>
      </w:r>
      <w:r w:rsidRPr="00C05474">
        <w:rPr>
          <w:rFonts w:asciiTheme="minorHAnsi" w:eastAsia="Times New Roman" w:hAnsiTheme="minorHAnsi" w:cstheme="minorHAnsi"/>
          <w:bCs/>
          <w:szCs w:val="20"/>
          <w:vertAlign w:val="superscript"/>
          <w:lang w:val="fr-FR"/>
        </w:rPr>
        <w:t>e</w:t>
      </w:r>
      <w:r w:rsidRPr="00C05474">
        <w:rPr>
          <w:rFonts w:asciiTheme="minorHAnsi" w:eastAsia="Times New Roman" w:hAnsiTheme="minorHAnsi" w:cstheme="minorHAnsi"/>
          <w:bCs/>
          <w:szCs w:val="20"/>
          <w:lang w:val="fr-FR"/>
        </w:rPr>
        <w:t xml:space="preserve"> Réunion du Comité permanent</w:t>
      </w:r>
    </w:p>
    <w:p w:rsidR="003D6AB7" w:rsidRPr="00C05474" w:rsidRDefault="00E9302A" w:rsidP="00E9302A">
      <w:pPr>
        <w:pBdr>
          <w:top w:val="single" w:sz="12" w:space="0" w:color="auto" w:shadow="1"/>
          <w:left w:val="single" w:sz="12" w:space="4" w:color="auto" w:shadow="1"/>
          <w:bottom w:val="single" w:sz="12" w:space="1" w:color="auto" w:shadow="1"/>
          <w:right w:val="single" w:sz="12" w:space="0" w:color="auto" w:shadow="1"/>
        </w:pBdr>
        <w:ind w:right="2792"/>
        <w:rPr>
          <w:rFonts w:asciiTheme="minorHAnsi" w:eastAsia="Times New Roman" w:hAnsiTheme="minorHAnsi" w:cstheme="minorHAnsi"/>
          <w:bCs/>
          <w:szCs w:val="20"/>
          <w:lang w:val="fr-FR"/>
        </w:rPr>
      </w:pPr>
      <w:r w:rsidRPr="00C05474">
        <w:rPr>
          <w:rFonts w:asciiTheme="minorHAnsi" w:eastAsia="Times New Roman" w:hAnsiTheme="minorHAnsi" w:cstheme="minorHAnsi"/>
          <w:bCs/>
          <w:szCs w:val="20"/>
          <w:lang w:val="fr-FR"/>
        </w:rPr>
        <w:t>Gland, Suisse, 23</w:t>
      </w:r>
      <w:r w:rsidR="00994B4F" w:rsidRPr="00C05474">
        <w:rPr>
          <w:rFonts w:asciiTheme="minorHAnsi" w:eastAsia="Times New Roman" w:hAnsiTheme="minorHAnsi" w:cstheme="minorHAnsi"/>
          <w:bCs/>
          <w:szCs w:val="20"/>
          <w:lang w:val="fr-FR"/>
        </w:rPr>
        <w:t xml:space="preserve"> au </w:t>
      </w:r>
      <w:r w:rsidRPr="00C05474">
        <w:rPr>
          <w:rFonts w:asciiTheme="minorHAnsi" w:eastAsia="Times New Roman" w:hAnsiTheme="minorHAnsi" w:cstheme="minorHAnsi"/>
          <w:bCs/>
          <w:szCs w:val="20"/>
          <w:lang w:val="fr-FR"/>
        </w:rPr>
        <w:t>27 novembre 2015</w:t>
      </w:r>
    </w:p>
    <w:p w:rsidR="003D6AB7" w:rsidRPr="00C05474" w:rsidRDefault="003D6AB7" w:rsidP="003D6AB7">
      <w:pPr>
        <w:rPr>
          <w:rFonts w:asciiTheme="minorHAnsi" w:eastAsia="Times New Roman" w:hAnsiTheme="minorHAnsi"/>
          <w:sz w:val="28"/>
          <w:szCs w:val="28"/>
          <w:lang w:val="fr-FR"/>
        </w:rPr>
      </w:pPr>
    </w:p>
    <w:p w:rsidR="003D6AB7" w:rsidRPr="00C05474" w:rsidRDefault="003D6AB7" w:rsidP="003D6AB7">
      <w:pPr>
        <w:jc w:val="right"/>
        <w:rPr>
          <w:rFonts w:asciiTheme="minorHAnsi" w:eastAsia="Times New Roman" w:hAnsiTheme="minorHAnsi" w:cstheme="minorHAnsi"/>
          <w:b/>
          <w:sz w:val="28"/>
          <w:szCs w:val="28"/>
          <w:lang w:val="fr-FR"/>
        </w:rPr>
      </w:pPr>
      <w:r w:rsidRPr="00C05474">
        <w:rPr>
          <w:rFonts w:asciiTheme="minorHAnsi" w:eastAsia="Times New Roman" w:hAnsiTheme="minorHAnsi" w:cstheme="minorHAnsi"/>
          <w:b/>
          <w:sz w:val="28"/>
          <w:szCs w:val="28"/>
          <w:lang w:val="fr-FR"/>
        </w:rPr>
        <w:t>SC51-22</w:t>
      </w:r>
    </w:p>
    <w:p w:rsidR="00DD25C7" w:rsidRPr="00C05474" w:rsidRDefault="00DD25C7" w:rsidP="004B7853">
      <w:pPr>
        <w:jc w:val="center"/>
        <w:rPr>
          <w:rFonts w:asciiTheme="minorHAnsi" w:hAnsiTheme="minorHAnsi"/>
          <w:b/>
          <w:sz w:val="28"/>
          <w:szCs w:val="28"/>
          <w:lang w:val="fr-FR"/>
        </w:rPr>
      </w:pPr>
    </w:p>
    <w:p w:rsidR="0012096C" w:rsidRPr="00C05474" w:rsidRDefault="00E9302A" w:rsidP="004B7853">
      <w:pPr>
        <w:jc w:val="center"/>
        <w:rPr>
          <w:rFonts w:asciiTheme="minorHAnsi" w:hAnsiTheme="minorHAnsi"/>
          <w:b/>
          <w:sz w:val="28"/>
          <w:szCs w:val="28"/>
          <w:lang w:val="fr-FR"/>
        </w:rPr>
      </w:pPr>
      <w:r w:rsidRPr="00C05474">
        <w:rPr>
          <w:rFonts w:asciiTheme="minorHAnsi" w:hAnsiTheme="minorHAnsi"/>
          <w:b/>
          <w:sz w:val="28"/>
          <w:szCs w:val="28"/>
          <w:lang w:val="fr-FR"/>
        </w:rPr>
        <w:t>État du Fonds de petites subventions et re</w:t>
      </w:r>
      <w:r w:rsidR="004B09CE" w:rsidRPr="00C05474">
        <w:rPr>
          <w:rFonts w:asciiTheme="minorHAnsi" w:hAnsiTheme="minorHAnsi"/>
          <w:b/>
          <w:sz w:val="28"/>
          <w:szCs w:val="28"/>
          <w:lang w:val="fr-FR"/>
        </w:rPr>
        <w:t>comm</w:t>
      </w:r>
      <w:r w:rsidRPr="00C05474">
        <w:rPr>
          <w:rFonts w:asciiTheme="minorHAnsi" w:hAnsiTheme="minorHAnsi"/>
          <w:b/>
          <w:sz w:val="28"/>
          <w:szCs w:val="28"/>
          <w:lang w:val="fr-FR"/>
        </w:rPr>
        <w:t>andations</w:t>
      </w:r>
    </w:p>
    <w:p w:rsidR="004B7853" w:rsidRPr="00BA51D9" w:rsidRDefault="004B7853" w:rsidP="004B7853">
      <w:pPr>
        <w:jc w:val="center"/>
        <w:rPr>
          <w:b/>
          <w:sz w:val="28"/>
          <w:szCs w:val="28"/>
          <w:lang w:val="fr-FR"/>
        </w:rPr>
      </w:pPr>
    </w:p>
    <w:p w:rsidR="00550503" w:rsidRPr="00BA51D9" w:rsidRDefault="004B7853" w:rsidP="00550503">
      <w:pPr>
        <w:rPr>
          <w:lang w:val="fr-FR"/>
        </w:rPr>
      </w:pPr>
      <w:r w:rsidRPr="00BA51D9">
        <w:rPr>
          <w:noProof/>
        </w:rPr>
        <mc:AlternateContent>
          <mc:Choice Requires="wps">
            <w:drawing>
              <wp:inline distT="0" distB="0" distL="0" distR="0" wp14:anchorId="4524B95C" wp14:editId="2CE7E4DA">
                <wp:extent cx="5676900" cy="669851"/>
                <wp:effectExtent l="0" t="0" r="19050" b="1651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69851"/>
                        </a:xfrm>
                        <a:prstGeom prst="rect">
                          <a:avLst/>
                        </a:prstGeom>
                        <a:solidFill>
                          <a:srgbClr val="FFFFFF"/>
                        </a:solidFill>
                        <a:ln w="9525">
                          <a:solidFill>
                            <a:srgbClr val="000000"/>
                          </a:solidFill>
                          <a:miter lim="800000"/>
                          <a:headEnd/>
                          <a:tailEnd/>
                        </a:ln>
                      </wps:spPr>
                      <wps:txbx>
                        <w:txbxContent>
                          <w:p w:rsidR="003D6AB7" w:rsidRPr="00E9302A" w:rsidRDefault="004B7853" w:rsidP="00C570F9">
                            <w:pPr>
                              <w:pStyle w:val="Default"/>
                              <w:rPr>
                                <w:rFonts w:asciiTheme="minorHAnsi" w:eastAsia="Times New Roman" w:hAnsiTheme="minorHAnsi" w:cs="Times New Roman"/>
                                <w:color w:val="auto"/>
                                <w:sz w:val="22"/>
                                <w:szCs w:val="22"/>
                                <w:lang w:val="fr-FR" w:eastAsia="en-GB"/>
                              </w:rPr>
                            </w:pPr>
                            <w:r w:rsidRPr="00E9302A">
                              <w:rPr>
                                <w:rFonts w:asciiTheme="minorHAnsi" w:eastAsia="Times New Roman" w:hAnsiTheme="minorHAnsi" w:cs="Times New Roman"/>
                                <w:b/>
                                <w:color w:val="auto"/>
                                <w:sz w:val="22"/>
                                <w:szCs w:val="22"/>
                                <w:lang w:val="fr-FR" w:eastAsia="en-GB"/>
                              </w:rPr>
                              <w:t xml:space="preserve">Action </w:t>
                            </w:r>
                            <w:r w:rsidR="00E9302A" w:rsidRPr="00E9302A">
                              <w:rPr>
                                <w:rFonts w:asciiTheme="minorHAnsi" w:eastAsia="Times New Roman" w:hAnsiTheme="minorHAnsi" w:cs="Times New Roman"/>
                                <w:b/>
                                <w:color w:val="auto"/>
                                <w:sz w:val="22"/>
                                <w:szCs w:val="22"/>
                                <w:lang w:val="fr-FR" w:eastAsia="en-GB"/>
                              </w:rPr>
                              <w:t xml:space="preserve">requise </w:t>
                            </w:r>
                            <w:r w:rsidRPr="00E9302A">
                              <w:rPr>
                                <w:rFonts w:asciiTheme="minorHAnsi" w:eastAsia="Times New Roman" w:hAnsiTheme="minorHAnsi" w:cs="Times New Roman"/>
                                <w:b/>
                                <w:color w:val="auto"/>
                                <w:sz w:val="22"/>
                                <w:szCs w:val="22"/>
                                <w:lang w:val="fr-FR" w:eastAsia="en-GB"/>
                              </w:rPr>
                              <w:t>:</w:t>
                            </w:r>
                            <w:r w:rsidR="00DD25C7" w:rsidRPr="00E9302A">
                              <w:rPr>
                                <w:rFonts w:asciiTheme="minorHAnsi" w:eastAsia="Times New Roman" w:hAnsiTheme="minorHAnsi" w:cs="Times New Roman"/>
                                <w:color w:val="auto"/>
                                <w:sz w:val="22"/>
                                <w:szCs w:val="22"/>
                                <w:lang w:val="fr-FR" w:eastAsia="en-GB"/>
                              </w:rPr>
                              <w:t xml:space="preserve"> </w:t>
                            </w:r>
                          </w:p>
                          <w:p w:rsidR="00F97B2A" w:rsidRDefault="00F97B2A" w:rsidP="00F97B2A">
                            <w:pPr>
                              <w:shd w:val="clear" w:color="auto" w:fill="FFFFFF"/>
                              <w:rPr>
                                <w:rFonts w:eastAsia="Times New Roman"/>
                                <w:color w:val="000000"/>
                              </w:rPr>
                            </w:pPr>
                            <w:r>
                              <w:rPr>
                                <w:rFonts w:asciiTheme="minorHAnsi" w:eastAsia="Times New Roman" w:hAnsiTheme="minorHAnsi"/>
                                <w:sz w:val="22"/>
                                <w:szCs w:val="22"/>
                                <w:lang w:val="fr-FR"/>
                              </w:rPr>
                              <w:t>Le Comité permanent est invité à fournir des orientations sur les réformes du Fonds de petites subventions et à le relier à un mécanisme de financement direct et cohérent. </w:t>
                            </w:r>
                          </w:p>
                          <w:p w:rsidR="00AB3999" w:rsidRPr="00E9302A" w:rsidRDefault="00AB3999" w:rsidP="00AB3999">
                            <w:pPr>
                              <w:rPr>
                                <w:lang w:val="fr-CH"/>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7pt;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">
                <v:textbox>
                  <w:txbxContent>
                    <w:p w:rsidR="003D6AB7" w:rsidRPr="00E9302A" w:rsidRDefault="004B7853" w:rsidP="00C570F9">
                      <w:pPr>
                        <w:pStyle w:val="Default"/>
                        <w:rPr>
                          <w:rFonts w:asciiTheme="minorHAnsi" w:eastAsia="Times New Roman" w:hAnsiTheme="minorHAnsi" w:cs="Times New Roman"/>
                          <w:color w:val="auto"/>
                          <w:sz w:val="22"/>
                          <w:szCs w:val="22"/>
                          <w:lang w:val="fr-FR" w:eastAsia="en-GB"/>
                        </w:rPr>
                      </w:pPr>
                      <w:r w:rsidRPr="00E9302A">
                        <w:rPr>
                          <w:rFonts w:asciiTheme="minorHAnsi" w:eastAsia="Times New Roman" w:hAnsiTheme="minorHAnsi" w:cs="Times New Roman"/>
                          <w:b/>
                          <w:color w:val="auto"/>
                          <w:sz w:val="22"/>
                          <w:szCs w:val="22"/>
                          <w:lang w:val="fr-FR" w:eastAsia="en-GB"/>
                        </w:rPr>
                        <w:t xml:space="preserve">Action </w:t>
                      </w:r>
                      <w:r w:rsidR="00E9302A" w:rsidRPr="00E9302A">
                        <w:rPr>
                          <w:rFonts w:asciiTheme="minorHAnsi" w:eastAsia="Times New Roman" w:hAnsiTheme="minorHAnsi" w:cs="Times New Roman"/>
                          <w:b/>
                          <w:color w:val="auto"/>
                          <w:sz w:val="22"/>
                          <w:szCs w:val="22"/>
                          <w:lang w:val="fr-FR" w:eastAsia="en-GB"/>
                        </w:rPr>
                        <w:t xml:space="preserve">requise </w:t>
                      </w:r>
                      <w:r w:rsidRPr="00E9302A">
                        <w:rPr>
                          <w:rFonts w:asciiTheme="minorHAnsi" w:eastAsia="Times New Roman" w:hAnsiTheme="minorHAnsi" w:cs="Times New Roman"/>
                          <w:b/>
                          <w:color w:val="auto"/>
                          <w:sz w:val="22"/>
                          <w:szCs w:val="22"/>
                          <w:lang w:val="fr-FR" w:eastAsia="en-GB"/>
                        </w:rPr>
                        <w:t>:</w:t>
                      </w:r>
                      <w:r w:rsidR="00DD25C7" w:rsidRPr="00E9302A">
                        <w:rPr>
                          <w:rFonts w:asciiTheme="minorHAnsi" w:eastAsia="Times New Roman" w:hAnsiTheme="minorHAnsi" w:cs="Times New Roman"/>
                          <w:color w:val="auto"/>
                          <w:sz w:val="22"/>
                          <w:szCs w:val="22"/>
                          <w:lang w:val="fr-FR" w:eastAsia="en-GB"/>
                        </w:rPr>
                        <w:t xml:space="preserve"> </w:t>
                      </w:r>
                    </w:p>
                    <w:p w:rsidR="00F97B2A" w:rsidRDefault="00F97B2A" w:rsidP="00F97B2A">
                      <w:pPr>
                        <w:shd w:val="clear" w:color="auto" w:fill="FFFFFF"/>
                        <w:rPr>
                          <w:rFonts w:eastAsia="Times New Roman"/>
                          <w:color w:val="000000"/>
                        </w:rPr>
                      </w:pPr>
                      <w:r>
                        <w:rPr>
                          <w:rFonts w:asciiTheme="minorHAnsi" w:eastAsia="Times New Roman" w:hAnsiTheme="minorHAnsi"/>
                          <w:sz w:val="22"/>
                          <w:szCs w:val="22"/>
                          <w:lang w:val="fr-FR"/>
                        </w:rPr>
                        <w:t>Le Comité permanent est invité à fournir des orientations sur les réformes du Fonds de petites subventions et à le relier à un mécanisme de financement direct et cohérent. </w:t>
                      </w:r>
                    </w:p>
                    <w:p w:rsidR="00AB3999" w:rsidRPr="00E9302A" w:rsidRDefault="00AB3999" w:rsidP="00AB3999">
                      <w:pPr>
                        <w:rPr>
                          <w:lang w:val="fr-CH"/>
                        </w:rPr>
                      </w:pPr>
                      <w:bookmarkStart w:id="1" w:name="_GoBack"/>
                      <w:bookmarkEnd w:id="1"/>
                    </w:p>
                  </w:txbxContent>
                </v:textbox>
                <w10:anchorlock/>
              </v:shape>
            </w:pict>
          </mc:Fallback>
        </mc:AlternateContent>
      </w:r>
    </w:p>
    <w:p w:rsidR="00D24FE1" w:rsidRPr="00BA51D9" w:rsidRDefault="00D24FE1" w:rsidP="003D6AB7">
      <w:pPr>
        <w:rPr>
          <w:b/>
          <w:lang w:val="fr-FR"/>
        </w:rPr>
      </w:pPr>
    </w:p>
    <w:p w:rsidR="003F09D4" w:rsidRPr="00BA51D9" w:rsidRDefault="00800861" w:rsidP="003D6AB7">
      <w:pPr>
        <w:rPr>
          <w:b/>
          <w:lang w:val="fr-FR"/>
        </w:rPr>
      </w:pPr>
      <w:r w:rsidRPr="00BA51D9">
        <w:rPr>
          <w:b/>
          <w:lang w:val="fr-FR"/>
        </w:rPr>
        <w:t>Introduction</w:t>
      </w:r>
    </w:p>
    <w:p w:rsidR="00800861" w:rsidRPr="00BA51D9" w:rsidRDefault="00800861" w:rsidP="003D6AB7">
      <w:pPr>
        <w:rPr>
          <w:lang w:val="fr-FR"/>
        </w:rPr>
      </w:pPr>
    </w:p>
    <w:p w:rsidR="00AB3999" w:rsidRPr="00BA51D9" w:rsidRDefault="00BA51D9" w:rsidP="003D6AB7">
      <w:pPr>
        <w:pStyle w:val="ListParagraph"/>
        <w:numPr>
          <w:ilvl w:val="0"/>
          <w:numId w:val="13"/>
        </w:numPr>
        <w:spacing w:after="0" w:line="240" w:lineRule="auto"/>
        <w:ind w:left="426" w:hanging="426"/>
        <w:rPr>
          <w:rFonts w:cs="Times New Roman"/>
          <w:lang w:val="fr-FR"/>
        </w:rPr>
      </w:pPr>
      <w:r w:rsidRPr="00BA51D9">
        <w:rPr>
          <w:rFonts w:cs="Times New Roman"/>
          <w:lang w:val="fr-FR"/>
        </w:rPr>
        <w:t>Depuis</w:t>
      </w:r>
      <w:r w:rsidR="0079772A" w:rsidRPr="00BA51D9">
        <w:rPr>
          <w:rFonts w:cs="Times New Roman"/>
          <w:lang w:val="fr-FR"/>
        </w:rPr>
        <w:t xml:space="preserve"> </w:t>
      </w:r>
      <w:r w:rsidR="003D6AB7" w:rsidRPr="00BA51D9">
        <w:rPr>
          <w:rFonts w:cs="Times New Roman"/>
          <w:lang w:val="fr-FR"/>
        </w:rPr>
        <w:t>25</w:t>
      </w:r>
      <w:r w:rsidR="00994B4F" w:rsidRPr="00BA51D9">
        <w:rPr>
          <w:rFonts w:cs="Times New Roman"/>
          <w:lang w:val="fr-FR"/>
        </w:rPr>
        <w:t> ans, la mise en œuvre de la Convention de Ramsar a été renforcée par des subventions, soutenue par les Parties contractantes à la Convention et facilitée par le Secrétariat Ramsar. Le Fonds Ramsar de petites subve</w:t>
      </w:r>
      <w:bookmarkStart w:id="0" w:name="_GoBack"/>
      <w:bookmarkEnd w:id="0"/>
      <w:r w:rsidR="00994B4F" w:rsidRPr="00BA51D9">
        <w:rPr>
          <w:rFonts w:cs="Times New Roman"/>
          <w:lang w:val="fr-FR"/>
        </w:rPr>
        <w:t xml:space="preserve">ntions (FPS) est l’un des trois fonds de subvention Ramsar établis avec la Subvention suisse pour l’Afrique (SSA) et le Fonds </w:t>
      </w:r>
      <w:r w:rsidR="00DA4B44" w:rsidRPr="00BA51D9">
        <w:rPr>
          <w:rFonts w:cs="Times New Roman"/>
          <w:lang w:val="fr-FR"/>
        </w:rPr>
        <w:t xml:space="preserve">Wetlands for the Future (WFF) </w:t>
      </w:r>
      <w:r w:rsidR="00994B4F" w:rsidRPr="00BA51D9">
        <w:rPr>
          <w:rFonts w:cs="Times New Roman"/>
          <w:lang w:val="fr-FR"/>
        </w:rPr>
        <w:t>soutenu par les États</w:t>
      </w:r>
      <w:r w:rsidR="00994B4F" w:rsidRPr="00BA51D9">
        <w:rPr>
          <w:rFonts w:cs="Times New Roman"/>
          <w:lang w:val="fr-FR"/>
        </w:rPr>
        <w:noBreakHyphen/>
        <w:t>Unis d’</w:t>
      </w:r>
      <w:r w:rsidR="00B22141" w:rsidRPr="00BA51D9">
        <w:rPr>
          <w:rFonts w:cs="Times New Roman"/>
          <w:lang w:val="fr-FR"/>
        </w:rPr>
        <w:t>Amérique. Le Fonds de petites subventions est le seul fonds de subvention</w:t>
      </w:r>
      <w:r w:rsidRPr="00BA51D9">
        <w:rPr>
          <w:rFonts w:cs="Times New Roman"/>
          <w:lang w:val="fr-FR"/>
        </w:rPr>
        <w:t>s</w:t>
      </w:r>
      <w:r w:rsidR="00B22141" w:rsidRPr="00BA51D9">
        <w:rPr>
          <w:rFonts w:cs="Times New Roman"/>
          <w:lang w:val="fr-FR"/>
        </w:rPr>
        <w:t xml:space="preserve"> pluridonateurs</w:t>
      </w:r>
      <w:r w:rsidRPr="00BA51D9">
        <w:rPr>
          <w:rFonts w:cs="Times New Roman"/>
          <w:lang w:val="fr-FR"/>
        </w:rPr>
        <w:t xml:space="preserve"> de Ramsar</w:t>
      </w:r>
      <w:r w:rsidR="00B22141" w:rsidRPr="00BA51D9">
        <w:rPr>
          <w:rFonts w:cs="Times New Roman"/>
          <w:lang w:val="fr-FR"/>
        </w:rPr>
        <w:t xml:space="preserve">. </w:t>
      </w:r>
    </w:p>
    <w:p w:rsidR="00AB3999" w:rsidRPr="00BA51D9" w:rsidRDefault="00AB3999" w:rsidP="003D6AB7">
      <w:pPr>
        <w:pStyle w:val="ListParagraph"/>
        <w:spacing w:after="0" w:line="240" w:lineRule="auto"/>
        <w:ind w:left="426" w:hanging="426"/>
        <w:rPr>
          <w:rFonts w:cs="Times New Roman"/>
          <w:lang w:val="fr-FR"/>
        </w:rPr>
      </w:pPr>
    </w:p>
    <w:p w:rsidR="00FE3CD3" w:rsidRPr="00BA51D9" w:rsidRDefault="00B22141" w:rsidP="00DD25C7">
      <w:pPr>
        <w:pStyle w:val="ListParagraph"/>
        <w:numPr>
          <w:ilvl w:val="0"/>
          <w:numId w:val="13"/>
        </w:numPr>
        <w:spacing w:after="0" w:line="240" w:lineRule="auto"/>
        <w:ind w:left="426" w:hanging="426"/>
        <w:rPr>
          <w:rFonts w:cs="Times New Roman"/>
          <w:lang w:val="fr-FR"/>
        </w:rPr>
      </w:pPr>
      <w:r w:rsidRPr="00BA51D9">
        <w:rPr>
          <w:rFonts w:cs="Times New Roman"/>
          <w:lang w:val="fr-FR"/>
        </w:rPr>
        <w:t>E</w:t>
      </w:r>
      <w:r w:rsidR="00DA4B44" w:rsidRPr="00BA51D9">
        <w:rPr>
          <w:rFonts w:cs="Times New Roman"/>
          <w:lang w:val="fr-FR"/>
        </w:rPr>
        <w:t xml:space="preserve">n 2012, </w:t>
      </w:r>
      <w:r w:rsidRPr="00BA51D9">
        <w:rPr>
          <w:rFonts w:cs="Times New Roman"/>
          <w:lang w:val="fr-FR"/>
        </w:rPr>
        <w:t>la Résolution</w:t>
      </w:r>
      <w:r w:rsidR="004724E4" w:rsidRPr="00BA51D9">
        <w:rPr>
          <w:rFonts w:cs="Times New Roman"/>
          <w:lang w:val="fr-FR"/>
        </w:rPr>
        <w:t xml:space="preserve"> XI.2</w:t>
      </w:r>
      <w:r w:rsidR="00E9302A" w:rsidRPr="00BA51D9">
        <w:rPr>
          <w:rFonts w:cs="Times New Roman"/>
          <w:lang w:val="fr-FR"/>
        </w:rPr>
        <w:t>,</w:t>
      </w:r>
      <w:r w:rsidR="00DD25C7" w:rsidRPr="00BA51D9">
        <w:rPr>
          <w:rFonts w:cs="Times New Roman"/>
          <w:lang w:val="fr-FR"/>
        </w:rPr>
        <w:t xml:space="preserve"> </w:t>
      </w:r>
      <w:r w:rsidR="00E9302A" w:rsidRPr="00BA51D9">
        <w:rPr>
          <w:rFonts w:cs="Times New Roman"/>
          <w:i/>
          <w:lang w:val="fr-FR"/>
        </w:rPr>
        <w:t>Questions financières et budgétaires</w:t>
      </w:r>
      <w:r w:rsidRPr="00BA51D9">
        <w:rPr>
          <w:rFonts w:cs="Times New Roman"/>
          <w:lang w:val="fr-FR"/>
        </w:rPr>
        <w:t>,</w:t>
      </w:r>
      <w:r w:rsidR="00DD25C7" w:rsidRPr="00BA51D9">
        <w:rPr>
          <w:rFonts w:cs="Times New Roman"/>
          <w:lang w:val="fr-FR"/>
        </w:rPr>
        <w:t xml:space="preserve"> </w:t>
      </w:r>
      <w:r w:rsidRPr="00BA51D9">
        <w:rPr>
          <w:rFonts w:cs="Times New Roman"/>
          <w:lang w:val="fr-FR"/>
        </w:rPr>
        <w:t xml:space="preserve">encourageait les contributions volontaires au FPS et réaffirmait la conviction des Parties contractantes </w:t>
      </w:r>
      <w:r w:rsidR="00BA51D9" w:rsidRPr="00BA51D9">
        <w:rPr>
          <w:rFonts w:cs="Times New Roman"/>
          <w:lang w:val="fr-FR"/>
        </w:rPr>
        <w:t xml:space="preserve">quant à la grande importance de </w:t>
      </w:r>
      <w:r w:rsidRPr="00BA51D9">
        <w:rPr>
          <w:rFonts w:cs="Times New Roman"/>
          <w:lang w:val="fr-FR"/>
        </w:rPr>
        <w:t xml:space="preserve">ce fonds. Toutefois, le FPS est actuellement inactif faute de contributions volontaires. Dans sa Décision </w:t>
      </w:r>
      <w:r w:rsidR="00FE3CD3" w:rsidRPr="00BA51D9">
        <w:rPr>
          <w:rFonts w:cs="Times New Roman"/>
          <w:lang w:val="fr-FR"/>
        </w:rPr>
        <w:t>SC47-16</w:t>
      </w:r>
      <w:r w:rsidR="00DD25C7" w:rsidRPr="00BA51D9">
        <w:rPr>
          <w:rFonts w:cs="Times New Roman"/>
          <w:lang w:val="fr-FR"/>
        </w:rPr>
        <w:t>,</w:t>
      </w:r>
      <w:r w:rsidR="00FE3CD3" w:rsidRPr="00BA51D9">
        <w:rPr>
          <w:rFonts w:cs="Times New Roman"/>
          <w:lang w:val="fr-FR"/>
        </w:rPr>
        <w:t xml:space="preserve"> </w:t>
      </w:r>
      <w:r w:rsidRPr="00BA51D9">
        <w:rPr>
          <w:rFonts w:cs="Times New Roman"/>
          <w:lang w:val="fr-FR"/>
        </w:rPr>
        <w:t>le Comité permanent demandait un document d’information sur l’avenir du FPS. Le présent rapport répond à cette demande.</w:t>
      </w:r>
    </w:p>
    <w:p w:rsidR="008B7384" w:rsidRPr="00BA51D9" w:rsidRDefault="008B7384" w:rsidP="003D6AB7">
      <w:pPr>
        <w:pStyle w:val="ListParagraph"/>
        <w:spacing w:after="0" w:line="240" w:lineRule="auto"/>
        <w:ind w:left="426" w:hanging="426"/>
        <w:rPr>
          <w:rFonts w:cs="Times New Roman"/>
          <w:lang w:val="fr-FR"/>
        </w:rPr>
      </w:pPr>
    </w:p>
    <w:p w:rsidR="0035071D" w:rsidRPr="00BA51D9" w:rsidRDefault="00E9302A" w:rsidP="00DD25C7">
      <w:pPr>
        <w:pStyle w:val="Default"/>
        <w:numPr>
          <w:ilvl w:val="0"/>
          <w:numId w:val="13"/>
        </w:numPr>
        <w:ind w:left="426" w:hanging="426"/>
        <w:rPr>
          <w:rFonts w:asciiTheme="minorHAnsi" w:hAnsiTheme="minorHAnsi"/>
          <w:lang w:val="fr-FR"/>
        </w:rPr>
      </w:pPr>
      <w:r w:rsidRPr="00BA51D9">
        <w:rPr>
          <w:rFonts w:asciiTheme="minorHAnsi" w:hAnsiTheme="minorHAnsi" w:cs="Times New Roman"/>
          <w:color w:val="auto"/>
          <w:sz w:val="22"/>
          <w:szCs w:val="22"/>
          <w:lang w:val="fr-FR"/>
        </w:rPr>
        <w:t>La Résolution</w:t>
      </w:r>
      <w:r w:rsidR="0035071D" w:rsidRPr="00BA51D9">
        <w:rPr>
          <w:rFonts w:asciiTheme="minorHAnsi" w:hAnsiTheme="minorHAnsi" w:cs="Times New Roman"/>
          <w:color w:val="auto"/>
          <w:sz w:val="22"/>
          <w:szCs w:val="22"/>
          <w:lang w:val="fr-FR"/>
        </w:rPr>
        <w:t xml:space="preserve"> XII.1</w:t>
      </w:r>
      <w:r w:rsidR="00DD25C7" w:rsidRPr="00BA51D9">
        <w:rPr>
          <w:rFonts w:asciiTheme="minorHAnsi" w:hAnsiTheme="minorHAnsi" w:cs="Times New Roman"/>
          <w:color w:val="auto"/>
          <w:sz w:val="22"/>
          <w:szCs w:val="22"/>
          <w:lang w:val="fr-FR"/>
        </w:rPr>
        <w:t xml:space="preserve">, </w:t>
      </w:r>
      <w:r w:rsidRPr="00BA51D9">
        <w:rPr>
          <w:rFonts w:cs="Times New Roman"/>
          <w:i/>
          <w:sz w:val="22"/>
          <w:szCs w:val="22"/>
          <w:lang w:val="fr-FR"/>
        </w:rPr>
        <w:t>Questions financières et budgétaires</w:t>
      </w:r>
      <w:r w:rsidR="00DD25C7" w:rsidRPr="00BA51D9">
        <w:rPr>
          <w:rFonts w:asciiTheme="minorHAnsi" w:hAnsiTheme="minorHAnsi" w:cs="Times New Roman"/>
          <w:color w:val="auto"/>
          <w:sz w:val="22"/>
          <w:szCs w:val="22"/>
          <w:lang w:val="fr-FR"/>
        </w:rPr>
        <w:t xml:space="preserve">, </w:t>
      </w:r>
      <w:r w:rsidR="00543F9A" w:rsidRPr="00BA51D9">
        <w:rPr>
          <w:rFonts w:asciiTheme="minorHAnsi" w:hAnsiTheme="minorHAnsi" w:cs="Times New Roman"/>
          <w:color w:val="auto"/>
          <w:sz w:val="22"/>
          <w:szCs w:val="22"/>
          <w:lang w:val="fr-FR"/>
        </w:rPr>
        <w:t>déclare</w:t>
      </w:r>
      <w:r w:rsidRPr="00BA51D9">
        <w:rPr>
          <w:rFonts w:asciiTheme="minorHAnsi" w:hAnsiTheme="minorHAnsi" w:cs="Times New Roman"/>
          <w:color w:val="auto"/>
          <w:sz w:val="22"/>
          <w:szCs w:val="22"/>
          <w:lang w:val="fr-FR"/>
        </w:rPr>
        <w:t xml:space="preserve"> que la</w:t>
      </w:r>
      <w:r w:rsidR="0035071D" w:rsidRPr="00BA51D9">
        <w:rPr>
          <w:rFonts w:asciiTheme="minorHAnsi" w:hAnsiTheme="minorHAnsi" w:cs="Times New Roman"/>
          <w:color w:val="auto"/>
          <w:sz w:val="22"/>
          <w:szCs w:val="22"/>
          <w:lang w:val="fr-FR"/>
        </w:rPr>
        <w:t xml:space="preserve"> </w:t>
      </w:r>
      <w:r w:rsidRPr="00BA51D9">
        <w:rPr>
          <w:rFonts w:asciiTheme="minorHAnsi" w:hAnsiTheme="minorHAnsi" w:cs="Times New Roman"/>
          <w:color w:val="auto"/>
          <w:sz w:val="22"/>
          <w:szCs w:val="22"/>
          <w:lang w:val="fr-FR"/>
        </w:rPr>
        <w:t>Conférence</w:t>
      </w:r>
      <w:r w:rsidR="0035071D" w:rsidRPr="00BA51D9">
        <w:rPr>
          <w:rFonts w:asciiTheme="minorHAnsi" w:hAnsiTheme="minorHAnsi" w:cs="Times New Roman"/>
          <w:color w:val="auto"/>
          <w:sz w:val="22"/>
          <w:szCs w:val="22"/>
          <w:lang w:val="fr-FR"/>
        </w:rPr>
        <w:t xml:space="preserve"> </w:t>
      </w:r>
      <w:r w:rsidRPr="00BA51D9">
        <w:rPr>
          <w:rFonts w:asciiTheme="minorHAnsi" w:hAnsiTheme="minorHAnsi" w:cs="Times New Roman"/>
          <w:color w:val="auto"/>
          <w:sz w:val="22"/>
          <w:szCs w:val="22"/>
          <w:lang w:val="fr-FR"/>
        </w:rPr>
        <w:t xml:space="preserve">des </w:t>
      </w:r>
      <w:r w:rsidR="0035071D" w:rsidRPr="00BA51D9">
        <w:rPr>
          <w:rFonts w:asciiTheme="minorHAnsi" w:hAnsiTheme="minorHAnsi" w:cs="Times New Roman"/>
          <w:color w:val="auto"/>
          <w:sz w:val="22"/>
          <w:szCs w:val="22"/>
          <w:lang w:val="fr-FR"/>
        </w:rPr>
        <w:t>Parties</w:t>
      </w:r>
      <w:r w:rsidR="00B22141" w:rsidRPr="00BA51D9">
        <w:rPr>
          <w:rFonts w:asciiTheme="minorHAnsi" w:hAnsiTheme="minorHAnsi" w:cs="Times New Roman"/>
          <w:color w:val="auto"/>
          <w:sz w:val="22"/>
          <w:szCs w:val="22"/>
          <w:lang w:val="fr-FR"/>
        </w:rPr>
        <w:t> </w:t>
      </w:r>
      <w:r w:rsidR="0035071D" w:rsidRPr="00BA51D9">
        <w:rPr>
          <w:rFonts w:asciiTheme="minorHAnsi" w:hAnsiTheme="minorHAnsi" w:cs="Times New Roman"/>
          <w:color w:val="auto"/>
          <w:sz w:val="22"/>
          <w:szCs w:val="22"/>
          <w:lang w:val="fr-FR"/>
        </w:rPr>
        <w:t>:</w:t>
      </w:r>
      <w:r w:rsidR="0035071D" w:rsidRPr="00BA51D9">
        <w:rPr>
          <w:rFonts w:asciiTheme="minorHAnsi" w:hAnsiTheme="minorHAnsi" w:cs="Times New Roman"/>
          <w:lang w:val="fr-FR"/>
        </w:rPr>
        <w:t xml:space="preserve"> </w:t>
      </w:r>
    </w:p>
    <w:p w:rsidR="00212633" w:rsidRPr="00BA51D9" w:rsidRDefault="00212633" w:rsidP="003D6AB7">
      <w:pPr>
        <w:pStyle w:val="Default"/>
        <w:rPr>
          <w:rFonts w:asciiTheme="minorHAnsi" w:hAnsiTheme="minorHAnsi"/>
          <w:lang w:val="fr-FR"/>
        </w:rPr>
      </w:pPr>
    </w:p>
    <w:p w:rsidR="00543F9A" w:rsidRPr="00BA51D9" w:rsidRDefault="00543F9A" w:rsidP="00543F9A">
      <w:pPr>
        <w:pStyle w:val="ListParagraph"/>
        <w:spacing w:after="0" w:line="240" w:lineRule="auto"/>
        <w:ind w:left="851" w:right="521"/>
        <w:rPr>
          <w:rFonts w:cs="Times New Roman"/>
          <w:i/>
          <w:lang w:val="fr-FR"/>
        </w:rPr>
      </w:pPr>
      <w:r w:rsidRPr="00BA51D9">
        <w:rPr>
          <w:rFonts w:cs="Times New Roman"/>
          <w:i/>
          <w:lang w:val="fr-FR"/>
        </w:rPr>
        <w:t>RÉAFFIRME sa conviction que le Fonds de petites subventions de la Convention est très important pour la mise en œuvre de la Convention; et PRIE INSTAMMENT les Parties contractantes et autres de trouver 1 000 000</w:t>
      </w:r>
      <w:r w:rsidR="00617FF1" w:rsidRPr="00BA51D9">
        <w:rPr>
          <w:rFonts w:cs="Times New Roman"/>
          <w:i/>
          <w:lang w:val="fr-FR"/>
        </w:rPr>
        <w:t xml:space="preserve"> </w:t>
      </w:r>
      <w:r w:rsidRPr="00BA51D9">
        <w:rPr>
          <w:rFonts w:cs="Times New Roman"/>
          <w:i/>
          <w:lang w:val="fr-FR"/>
        </w:rPr>
        <w:t>CHF au cours de la prochaine période triennale (annexe 3) pour garantir le fonctionnement efficace de ce programme.</w:t>
      </w:r>
    </w:p>
    <w:p w:rsidR="00543F9A" w:rsidRPr="00BA51D9" w:rsidRDefault="00543F9A" w:rsidP="00543F9A">
      <w:pPr>
        <w:pStyle w:val="ListParagraph"/>
        <w:spacing w:after="0" w:line="240" w:lineRule="auto"/>
        <w:ind w:left="851" w:right="521"/>
        <w:rPr>
          <w:rFonts w:cs="Times New Roman"/>
          <w:i/>
          <w:lang w:val="fr-FR"/>
        </w:rPr>
      </w:pPr>
    </w:p>
    <w:p w:rsidR="00212633" w:rsidRPr="00BA51D9" w:rsidRDefault="00543F9A" w:rsidP="00543F9A">
      <w:pPr>
        <w:pStyle w:val="ListParagraph"/>
        <w:spacing w:after="0" w:line="240" w:lineRule="auto"/>
        <w:ind w:left="851" w:right="521"/>
        <w:rPr>
          <w:rFonts w:cs="Times New Roman"/>
          <w:i/>
          <w:lang w:val="fr-FR"/>
        </w:rPr>
      </w:pPr>
      <w:r w:rsidRPr="00BA51D9">
        <w:rPr>
          <w:rFonts w:cs="Times New Roman"/>
          <w:i/>
          <w:lang w:val="fr-FR"/>
        </w:rPr>
        <w:t>DEMANDE au Comité permanent d’examiner le fonctionnement de ce programme durant la période triennale et de décider de manière définitive de la poursuite ou de la cessation du Fonds de petites subventions pour examen à la 13</w:t>
      </w:r>
      <w:r w:rsidRPr="00BA51D9">
        <w:rPr>
          <w:rFonts w:cs="Times New Roman"/>
          <w:i/>
          <w:vertAlign w:val="superscript"/>
          <w:lang w:val="fr-FR"/>
        </w:rPr>
        <w:t>e</w:t>
      </w:r>
      <w:r w:rsidRPr="00BA51D9">
        <w:rPr>
          <w:rFonts w:cs="Times New Roman"/>
          <w:i/>
          <w:lang w:val="fr-FR"/>
        </w:rPr>
        <w:t xml:space="preserve"> Session de la Conférence des Parties contractantes.</w:t>
      </w:r>
    </w:p>
    <w:p w:rsidR="00FE3CD3" w:rsidRPr="00BA51D9" w:rsidRDefault="00FE3CD3" w:rsidP="003D6AB7">
      <w:pPr>
        <w:rPr>
          <w:lang w:val="fr-FR"/>
        </w:rPr>
      </w:pPr>
    </w:p>
    <w:p w:rsidR="00C75633" w:rsidRPr="00BA51D9" w:rsidRDefault="00B22141" w:rsidP="00C57B14">
      <w:pPr>
        <w:pStyle w:val="Default"/>
        <w:widowControl w:val="0"/>
        <w:numPr>
          <w:ilvl w:val="0"/>
          <w:numId w:val="13"/>
        </w:numPr>
        <w:ind w:left="425" w:hanging="425"/>
        <w:rPr>
          <w:rFonts w:asciiTheme="minorHAnsi" w:hAnsiTheme="minorHAnsi" w:cs="Times New Roman"/>
          <w:sz w:val="22"/>
          <w:szCs w:val="22"/>
          <w:lang w:val="fr-FR"/>
        </w:rPr>
      </w:pPr>
      <w:r w:rsidRPr="00BA51D9">
        <w:rPr>
          <w:rFonts w:asciiTheme="minorHAnsi" w:hAnsiTheme="minorHAnsi" w:cs="Times New Roman"/>
          <w:sz w:val="22"/>
          <w:szCs w:val="22"/>
          <w:lang w:val="fr-FR"/>
        </w:rPr>
        <w:t xml:space="preserve">Le présent rapport décrit l’état du FPS, les options et les recommandations. </w:t>
      </w:r>
    </w:p>
    <w:p w:rsidR="00D17B0B" w:rsidRPr="00BA51D9" w:rsidRDefault="00D17B0B" w:rsidP="003D6AB7">
      <w:pPr>
        <w:rPr>
          <w:lang w:val="fr-FR"/>
        </w:rPr>
      </w:pPr>
    </w:p>
    <w:p w:rsidR="00D17B0B" w:rsidRDefault="00DF5C4F" w:rsidP="00C57B14">
      <w:pPr>
        <w:rPr>
          <w:b/>
          <w:lang w:val="fr-FR"/>
        </w:rPr>
      </w:pPr>
      <w:r w:rsidRPr="00BA51D9">
        <w:rPr>
          <w:b/>
          <w:lang w:val="fr-FR"/>
        </w:rPr>
        <w:t xml:space="preserve">Contexte et état des fonds de subvention Ramsar </w:t>
      </w:r>
    </w:p>
    <w:p w:rsidR="00C57B14" w:rsidRPr="00C57B14" w:rsidRDefault="00C57B14" w:rsidP="00C57B14">
      <w:pPr>
        <w:rPr>
          <w:b/>
          <w:lang w:val="fr-FR"/>
        </w:rPr>
      </w:pPr>
    </w:p>
    <w:p w:rsidR="00370287" w:rsidRPr="00BA51D9" w:rsidRDefault="00DF5C4F" w:rsidP="00C57B14">
      <w:pPr>
        <w:pStyle w:val="Default"/>
        <w:numPr>
          <w:ilvl w:val="0"/>
          <w:numId w:val="13"/>
        </w:numPr>
        <w:ind w:left="426" w:hanging="426"/>
        <w:rPr>
          <w:rFonts w:asciiTheme="minorHAnsi" w:hAnsiTheme="minorHAnsi" w:cs="Times New Roman"/>
          <w:sz w:val="22"/>
          <w:szCs w:val="22"/>
          <w:lang w:val="fr-FR"/>
        </w:rPr>
      </w:pPr>
      <w:r w:rsidRPr="00BA51D9">
        <w:rPr>
          <w:rFonts w:asciiTheme="minorHAnsi" w:hAnsiTheme="minorHAnsi" w:cs="Times New Roman"/>
          <w:sz w:val="22"/>
          <w:szCs w:val="22"/>
          <w:lang w:val="fr-FR"/>
        </w:rPr>
        <w:t>Depuis</w:t>
      </w:r>
      <w:r w:rsidR="00370287" w:rsidRPr="00BA51D9">
        <w:rPr>
          <w:rFonts w:asciiTheme="minorHAnsi" w:hAnsiTheme="minorHAnsi" w:cs="Times New Roman"/>
          <w:sz w:val="22"/>
          <w:szCs w:val="22"/>
          <w:lang w:val="fr-FR"/>
        </w:rPr>
        <w:t xml:space="preserve"> 199</w:t>
      </w:r>
      <w:r w:rsidR="00581AF0">
        <w:rPr>
          <w:rFonts w:asciiTheme="minorHAnsi" w:hAnsiTheme="minorHAnsi" w:cs="Times New Roman"/>
          <w:sz w:val="22"/>
          <w:szCs w:val="22"/>
          <w:lang w:val="fr-FR"/>
        </w:rPr>
        <w:t>0</w:t>
      </w:r>
      <w:r w:rsidR="00370287" w:rsidRPr="00BA51D9">
        <w:rPr>
          <w:rFonts w:asciiTheme="minorHAnsi" w:hAnsiTheme="minorHAnsi" w:cs="Times New Roman"/>
          <w:sz w:val="22"/>
          <w:szCs w:val="22"/>
          <w:lang w:val="fr-FR"/>
        </w:rPr>
        <w:t xml:space="preserve">, </w:t>
      </w:r>
      <w:r w:rsidRPr="00BA51D9">
        <w:rPr>
          <w:rFonts w:asciiTheme="minorHAnsi" w:hAnsiTheme="minorHAnsi" w:cs="Times New Roman"/>
          <w:sz w:val="22"/>
          <w:szCs w:val="22"/>
          <w:lang w:val="fr-FR"/>
        </w:rPr>
        <w:t>le FPS</w:t>
      </w:r>
      <w:r w:rsidR="00370287" w:rsidRPr="00BA51D9">
        <w:rPr>
          <w:rFonts w:asciiTheme="minorHAnsi" w:hAnsiTheme="minorHAnsi" w:cs="Times New Roman"/>
          <w:sz w:val="22"/>
          <w:szCs w:val="22"/>
          <w:lang w:val="fr-FR"/>
        </w:rPr>
        <w:t xml:space="preserve">, </w:t>
      </w:r>
      <w:r w:rsidRPr="00BA51D9">
        <w:rPr>
          <w:rFonts w:asciiTheme="minorHAnsi" w:hAnsiTheme="minorHAnsi" w:cs="Times New Roman"/>
          <w:sz w:val="22"/>
          <w:szCs w:val="22"/>
          <w:lang w:val="fr-FR"/>
        </w:rPr>
        <w:t xml:space="preserve">anciennement « Fonds pour la conservation des zones humides », a soutenu une large gamme d’activités liées à la Convention. Il a fourni au total plus de </w:t>
      </w:r>
      <w:r w:rsidR="00DA4B44" w:rsidRPr="00BA51D9">
        <w:rPr>
          <w:rFonts w:asciiTheme="minorHAnsi" w:hAnsiTheme="minorHAnsi" w:cs="Times New Roman"/>
          <w:sz w:val="22"/>
          <w:szCs w:val="22"/>
          <w:lang w:val="fr-FR"/>
        </w:rPr>
        <w:t>8</w:t>
      </w:r>
      <w:r w:rsidRPr="00BA51D9">
        <w:rPr>
          <w:rFonts w:asciiTheme="minorHAnsi" w:hAnsiTheme="minorHAnsi" w:cs="Times New Roman"/>
          <w:sz w:val="22"/>
          <w:szCs w:val="22"/>
          <w:lang w:val="fr-FR"/>
        </w:rPr>
        <w:t> </w:t>
      </w:r>
      <w:r w:rsidR="00DA4B44" w:rsidRPr="00BA51D9">
        <w:rPr>
          <w:rFonts w:asciiTheme="minorHAnsi" w:hAnsiTheme="minorHAnsi" w:cs="Times New Roman"/>
          <w:sz w:val="22"/>
          <w:szCs w:val="22"/>
          <w:lang w:val="fr-FR"/>
        </w:rPr>
        <w:t>000</w:t>
      </w:r>
      <w:r w:rsidRPr="00BA51D9">
        <w:rPr>
          <w:rFonts w:asciiTheme="minorHAnsi" w:hAnsiTheme="minorHAnsi" w:cs="Times New Roman"/>
          <w:sz w:val="22"/>
          <w:szCs w:val="22"/>
          <w:lang w:val="fr-FR"/>
        </w:rPr>
        <w:t> </w:t>
      </w:r>
      <w:r w:rsidR="00DA4B44" w:rsidRPr="00BA51D9">
        <w:rPr>
          <w:rFonts w:asciiTheme="minorHAnsi" w:hAnsiTheme="minorHAnsi" w:cs="Times New Roman"/>
          <w:sz w:val="22"/>
          <w:szCs w:val="22"/>
          <w:lang w:val="fr-FR"/>
        </w:rPr>
        <w:t>000</w:t>
      </w:r>
      <w:r w:rsidRPr="00BA51D9">
        <w:rPr>
          <w:rFonts w:asciiTheme="minorHAnsi" w:hAnsiTheme="minorHAnsi" w:cs="Times New Roman"/>
          <w:sz w:val="22"/>
          <w:szCs w:val="22"/>
          <w:lang w:val="fr-FR"/>
        </w:rPr>
        <w:t> CHF</w:t>
      </w:r>
      <w:r w:rsidR="00370287" w:rsidRPr="00BA51D9">
        <w:rPr>
          <w:rFonts w:asciiTheme="minorHAnsi" w:hAnsiTheme="minorHAnsi" w:cs="Times New Roman"/>
          <w:sz w:val="22"/>
          <w:szCs w:val="22"/>
          <w:lang w:val="fr-FR"/>
        </w:rPr>
        <w:t xml:space="preserve"> </w:t>
      </w:r>
      <w:r w:rsidRPr="00BA51D9">
        <w:rPr>
          <w:rFonts w:asciiTheme="minorHAnsi" w:hAnsiTheme="minorHAnsi" w:cs="Times New Roman"/>
          <w:sz w:val="22"/>
          <w:szCs w:val="22"/>
          <w:lang w:val="fr-FR"/>
        </w:rPr>
        <w:t>à</w:t>
      </w:r>
      <w:r w:rsidR="00370287" w:rsidRPr="00BA51D9">
        <w:rPr>
          <w:rFonts w:asciiTheme="minorHAnsi" w:hAnsiTheme="minorHAnsi" w:cs="Times New Roman"/>
          <w:sz w:val="22"/>
          <w:szCs w:val="22"/>
          <w:lang w:val="fr-FR"/>
        </w:rPr>
        <w:t xml:space="preserve"> 240</w:t>
      </w:r>
      <w:r w:rsidRPr="00BA51D9">
        <w:rPr>
          <w:rFonts w:asciiTheme="minorHAnsi" w:hAnsiTheme="minorHAnsi" w:cs="Times New Roman"/>
          <w:sz w:val="22"/>
          <w:szCs w:val="22"/>
          <w:lang w:val="fr-FR"/>
        </w:rPr>
        <w:t xml:space="preserve"> projets dans 110 pays. Il est </w:t>
      </w:r>
      <w:r w:rsidR="00BA51D9" w:rsidRPr="00BA51D9">
        <w:rPr>
          <w:rFonts w:asciiTheme="minorHAnsi" w:hAnsiTheme="minorHAnsi" w:cs="Times New Roman"/>
          <w:sz w:val="22"/>
          <w:szCs w:val="22"/>
          <w:lang w:val="fr-FR"/>
        </w:rPr>
        <w:t>constitué de</w:t>
      </w:r>
      <w:r w:rsidRPr="00BA51D9">
        <w:rPr>
          <w:rFonts w:asciiTheme="minorHAnsi" w:hAnsiTheme="minorHAnsi" w:cs="Times New Roman"/>
          <w:sz w:val="22"/>
          <w:szCs w:val="22"/>
          <w:lang w:val="fr-FR"/>
        </w:rPr>
        <w:t xml:space="preserve"> contributions volontaires de toutes les Parties contractantes. Il est administré par le Secrétariat, </w:t>
      </w:r>
      <w:r w:rsidR="00BA51D9" w:rsidRPr="00BA51D9">
        <w:rPr>
          <w:rFonts w:asciiTheme="minorHAnsi" w:hAnsiTheme="minorHAnsi" w:cs="Times New Roman"/>
          <w:sz w:val="22"/>
          <w:szCs w:val="22"/>
          <w:lang w:val="fr-FR"/>
        </w:rPr>
        <w:t>qui fournit aussi</w:t>
      </w:r>
      <w:r w:rsidRPr="00BA51D9">
        <w:rPr>
          <w:rFonts w:asciiTheme="minorHAnsi" w:hAnsiTheme="minorHAnsi" w:cs="Times New Roman"/>
          <w:sz w:val="22"/>
          <w:szCs w:val="22"/>
          <w:lang w:val="fr-FR"/>
        </w:rPr>
        <w:t xml:space="preserve"> un service </w:t>
      </w:r>
      <w:r w:rsidRPr="00BA51D9">
        <w:rPr>
          <w:rFonts w:asciiTheme="minorHAnsi" w:hAnsiTheme="minorHAnsi" w:cs="Times New Roman"/>
          <w:sz w:val="22"/>
          <w:szCs w:val="22"/>
          <w:lang w:val="fr-FR"/>
        </w:rPr>
        <w:lastRenderedPageBreak/>
        <w:t xml:space="preserve">consultatif, la supervision des projets et un processus de </w:t>
      </w:r>
      <w:r w:rsidR="00BA51D9" w:rsidRPr="00BA51D9">
        <w:rPr>
          <w:rFonts w:asciiTheme="minorHAnsi" w:hAnsiTheme="minorHAnsi" w:cs="Times New Roman"/>
          <w:sz w:val="22"/>
          <w:szCs w:val="22"/>
          <w:lang w:val="fr-FR"/>
        </w:rPr>
        <w:t>priorisation</w:t>
      </w:r>
      <w:r w:rsidRPr="00BA51D9">
        <w:rPr>
          <w:rFonts w:asciiTheme="minorHAnsi" w:hAnsiTheme="minorHAnsi" w:cs="Times New Roman"/>
          <w:sz w:val="22"/>
          <w:szCs w:val="22"/>
          <w:lang w:val="fr-FR"/>
        </w:rPr>
        <w:t xml:space="preserve"> des projets. Ses Principes opérationnels et la sélection des projets </w:t>
      </w:r>
      <w:r w:rsidR="00BA51D9" w:rsidRPr="00BA51D9">
        <w:rPr>
          <w:rFonts w:asciiTheme="minorHAnsi" w:hAnsiTheme="minorHAnsi" w:cs="Times New Roman"/>
          <w:sz w:val="22"/>
          <w:szCs w:val="22"/>
          <w:lang w:val="fr-FR"/>
        </w:rPr>
        <w:t>s</w:t>
      </w:r>
      <w:r w:rsidRPr="00BA51D9">
        <w:rPr>
          <w:rFonts w:asciiTheme="minorHAnsi" w:hAnsiTheme="minorHAnsi" w:cs="Times New Roman"/>
          <w:sz w:val="22"/>
          <w:szCs w:val="22"/>
          <w:lang w:val="fr-FR"/>
        </w:rPr>
        <w:t xml:space="preserve">ont approuvés par le Comité permanent. Les Principes </w:t>
      </w:r>
      <w:r w:rsidRPr="00C57B14">
        <w:rPr>
          <w:rFonts w:asciiTheme="minorHAnsi" w:hAnsiTheme="minorHAnsi" w:cs="Times New Roman"/>
          <w:sz w:val="22"/>
          <w:szCs w:val="22"/>
          <w:lang w:val="fr-FR"/>
        </w:rPr>
        <w:t xml:space="preserve">opérationnels </w:t>
      </w:r>
      <w:r w:rsidR="00370287" w:rsidRPr="00C57B14">
        <w:rPr>
          <w:rFonts w:asciiTheme="minorHAnsi" w:hAnsiTheme="minorHAnsi" w:cs="Times New Roman"/>
          <w:sz w:val="22"/>
          <w:szCs w:val="22"/>
          <w:lang w:val="fr-FR"/>
        </w:rPr>
        <w:t>(</w:t>
      </w:r>
      <w:hyperlink r:id="rId9" w:history="1">
        <w:r w:rsidR="00370287" w:rsidRPr="00C57B14">
          <w:rPr>
            <w:color w:val="0000FF"/>
            <w:sz w:val="22"/>
            <w:szCs w:val="22"/>
            <w:lang w:val="fr-FR"/>
          </w:rPr>
          <w:t>li</w:t>
        </w:r>
        <w:r w:rsidRPr="00C57B14">
          <w:rPr>
            <w:color w:val="0000FF"/>
            <w:sz w:val="22"/>
            <w:szCs w:val="22"/>
            <w:lang w:val="fr-FR"/>
          </w:rPr>
          <w:t>en</w:t>
        </w:r>
        <w:r w:rsidR="00370287" w:rsidRPr="00C57B14">
          <w:rPr>
            <w:color w:val="0000FF"/>
            <w:sz w:val="22"/>
            <w:szCs w:val="22"/>
            <w:lang w:val="fr-FR"/>
          </w:rPr>
          <w:t xml:space="preserve"> </w:t>
        </w:r>
        <w:r w:rsidRPr="00C57B14">
          <w:rPr>
            <w:color w:val="0000FF"/>
            <w:sz w:val="22"/>
            <w:szCs w:val="22"/>
            <w:lang w:val="fr-FR"/>
          </w:rPr>
          <w:t>ici</w:t>
        </w:r>
      </w:hyperlink>
      <w:r w:rsidR="00370287" w:rsidRPr="00C57B14">
        <w:rPr>
          <w:rFonts w:asciiTheme="minorHAnsi" w:hAnsiTheme="minorHAnsi" w:cs="Times New Roman"/>
          <w:sz w:val="22"/>
          <w:szCs w:val="22"/>
          <w:lang w:val="fr-FR"/>
        </w:rPr>
        <w:t xml:space="preserve">) </w:t>
      </w:r>
      <w:r w:rsidRPr="00C57B14">
        <w:rPr>
          <w:rFonts w:asciiTheme="minorHAnsi" w:hAnsiTheme="minorHAnsi" w:cs="Times New Roman"/>
          <w:sz w:val="22"/>
          <w:szCs w:val="22"/>
          <w:lang w:val="fr-FR"/>
        </w:rPr>
        <w:t>sont a</w:t>
      </w:r>
      <w:r w:rsidRPr="00BA51D9">
        <w:rPr>
          <w:rFonts w:asciiTheme="minorHAnsi" w:hAnsiTheme="minorHAnsi" w:cs="Times New Roman"/>
          <w:sz w:val="22"/>
          <w:szCs w:val="22"/>
          <w:lang w:val="fr-FR"/>
        </w:rPr>
        <w:t>xés sur trois domaines :</w:t>
      </w:r>
      <w:r w:rsidR="00DD25C7" w:rsidRPr="00BA51D9">
        <w:rPr>
          <w:rFonts w:asciiTheme="minorHAnsi" w:hAnsiTheme="minorHAnsi" w:cs="Times New Roman"/>
          <w:sz w:val="22"/>
          <w:szCs w:val="22"/>
          <w:lang w:val="fr-FR"/>
        </w:rPr>
        <w:t xml:space="preserve">   </w:t>
      </w:r>
    </w:p>
    <w:p w:rsidR="00DD25C7" w:rsidRPr="00BA51D9" w:rsidRDefault="00DD25C7" w:rsidP="00DD25C7">
      <w:pPr>
        <w:pStyle w:val="Default"/>
        <w:ind w:left="426"/>
        <w:rPr>
          <w:rFonts w:asciiTheme="minorHAnsi" w:hAnsiTheme="minorHAnsi" w:cs="Times New Roman"/>
          <w:sz w:val="22"/>
          <w:szCs w:val="22"/>
          <w:lang w:val="fr-FR"/>
        </w:rPr>
      </w:pPr>
    </w:p>
    <w:p w:rsidR="00370287" w:rsidRPr="00BA51D9" w:rsidRDefault="00DF5C4F" w:rsidP="003D6AB7">
      <w:pPr>
        <w:pStyle w:val="ListParagraph"/>
        <w:numPr>
          <w:ilvl w:val="0"/>
          <w:numId w:val="36"/>
        </w:numPr>
        <w:spacing w:after="0" w:line="240" w:lineRule="auto"/>
        <w:ind w:left="851" w:hanging="425"/>
        <w:rPr>
          <w:rFonts w:cs="Times New Roman"/>
          <w:lang w:val="fr-FR"/>
        </w:rPr>
      </w:pPr>
      <w:r w:rsidRPr="00BA51D9">
        <w:rPr>
          <w:rFonts w:cs="Times New Roman"/>
          <w:lang w:val="fr-FR"/>
        </w:rPr>
        <w:t xml:space="preserve">les projets qui ont un lien clair avec le Plan stratégique Ramsar; </w:t>
      </w:r>
    </w:p>
    <w:p w:rsidR="000B4C27" w:rsidRPr="00BA51D9" w:rsidRDefault="000B4C27" w:rsidP="000B4C27">
      <w:pPr>
        <w:pStyle w:val="ListParagraph"/>
        <w:spacing w:after="0" w:line="240" w:lineRule="auto"/>
        <w:ind w:left="851"/>
        <w:rPr>
          <w:rFonts w:cs="Times New Roman"/>
          <w:lang w:val="fr-FR"/>
        </w:rPr>
      </w:pPr>
    </w:p>
    <w:p w:rsidR="000B4C27" w:rsidRPr="00BA51D9" w:rsidRDefault="00DF5C4F" w:rsidP="003D6AB7">
      <w:pPr>
        <w:pStyle w:val="ListParagraph"/>
        <w:numPr>
          <w:ilvl w:val="0"/>
          <w:numId w:val="36"/>
        </w:numPr>
        <w:spacing w:after="0" w:line="240" w:lineRule="auto"/>
        <w:ind w:left="851" w:hanging="425"/>
        <w:rPr>
          <w:rFonts w:cs="Times New Roman"/>
          <w:lang w:val="fr-FR"/>
        </w:rPr>
      </w:pPr>
      <w:r w:rsidRPr="00BA51D9">
        <w:rPr>
          <w:rFonts w:cs="Times New Roman"/>
          <w:lang w:val="fr-FR"/>
        </w:rPr>
        <w:t xml:space="preserve">l’aide d’urgence relative au maintien des caractéristiques écologiques de Sites Ramsar; et </w:t>
      </w:r>
    </w:p>
    <w:p w:rsidR="00370287" w:rsidRPr="00BA51D9" w:rsidRDefault="00370287" w:rsidP="000B4C27">
      <w:pPr>
        <w:pStyle w:val="ListParagraph"/>
        <w:spacing w:after="0" w:line="240" w:lineRule="auto"/>
        <w:ind w:left="851"/>
        <w:rPr>
          <w:rFonts w:cs="Times New Roman"/>
          <w:lang w:val="fr-FR"/>
        </w:rPr>
      </w:pPr>
    </w:p>
    <w:p w:rsidR="00370287" w:rsidRPr="00BA51D9" w:rsidRDefault="00DF5C4F" w:rsidP="003D6AB7">
      <w:pPr>
        <w:pStyle w:val="ListParagraph"/>
        <w:numPr>
          <w:ilvl w:val="0"/>
          <w:numId w:val="36"/>
        </w:numPr>
        <w:spacing w:after="0" w:line="240" w:lineRule="auto"/>
        <w:ind w:left="851" w:hanging="425"/>
        <w:rPr>
          <w:rFonts w:cs="Times New Roman"/>
          <w:lang w:val="fr-FR"/>
        </w:rPr>
      </w:pPr>
      <w:r w:rsidRPr="00BA51D9">
        <w:rPr>
          <w:rFonts w:cs="Times New Roman"/>
          <w:lang w:val="fr-FR"/>
        </w:rPr>
        <w:t>une assistance pour permettre à des pays qui ne sont pas Parties contractantes de préparer leur adhésion à la Convention.</w:t>
      </w:r>
      <w:r w:rsidR="00DD25C7" w:rsidRPr="00BA51D9">
        <w:rPr>
          <w:rFonts w:cs="Times New Roman"/>
          <w:lang w:val="fr-FR"/>
        </w:rPr>
        <w:t xml:space="preserve"> </w:t>
      </w:r>
    </w:p>
    <w:p w:rsidR="00370287" w:rsidRPr="00BA51D9" w:rsidRDefault="00370287" w:rsidP="003D6AB7">
      <w:pPr>
        <w:pStyle w:val="ListParagraph"/>
        <w:spacing w:after="0" w:line="240" w:lineRule="auto"/>
        <w:ind w:left="2160"/>
        <w:rPr>
          <w:rFonts w:cs="Times New Roman"/>
          <w:lang w:val="fr-FR"/>
        </w:rPr>
      </w:pPr>
    </w:p>
    <w:p w:rsidR="003F09D4" w:rsidRPr="00BA51D9" w:rsidRDefault="00DF5C4F" w:rsidP="003D6AB7">
      <w:pPr>
        <w:pStyle w:val="Default"/>
        <w:numPr>
          <w:ilvl w:val="0"/>
          <w:numId w:val="13"/>
        </w:numPr>
        <w:ind w:left="426" w:hanging="426"/>
        <w:rPr>
          <w:rFonts w:asciiTheme="minorHAnsi" w:hAnsiTheme="minorHAnsi" w:cs="Times New Roman"/>
          <w:sz w:val="22"/>
          <w:szCs w:val="22"/>
          <w:lang w:val="fr-FR"/>
        </w:rPr>
      </w:pPr>
      <w:r w:rsidRPr="00BA51D9">
        <w:rPr>
          <w:rFonts w:asciiTheme="minorHAnsi" w:hAnsiTheme="minorHAnsi" w:cs="Times New Roman"/>
          <w:sz w:val="22"/>
          <w:szCs w:val="22"/>
          <w:lang w:val="fr-FR"/>
        </w:rPr>
        <w:t>Lancé</w:t>
      </w:r>
      <w:r w:rsidR="00BA51D9" w:rsidRPr="00BA51D9">
        <w:rPr>
          <w:rFonts w:asciiTheme="minorHAnsi" w:hAnsiTheme="minorHAnsi" w:cs="Times New Roman"/>
          <w:sz w:val="22"/>
          <w:szCs w:val="22"/>
          <w:lang w:val="fr-FR"/>
        </w:rPr>
        <w:t>e</w:t>
      </w:r>
      <w:r w:rsidRPr="00BA51D9">
        <w:rPr>
          <w:rFonts w:asciiTheme="minorHAnsi" w:hAnsiTheme="minorHAnsi" w:cs="Times New Roman"/>
          <w:sz w:val="22"/>
          <w:szCs w:val="22"/>
          <w:lang w:val="fr-FR"/>
        </w:rPr>
        <w:t xml:space="preserve"> en </w:t>
      </w:r>
      <w:r w:rsidR="003F09D4" w:rsidRPr="00BA51D9">
        <w:rPr>
          <w:rFonts w:asciiTheme="minorHAnsi" w:hAnsiTheme="minorHAnsi" w:cs="Times New Roman"/>
          <w:sz w:val="22"/>
          <w:szCs w:val="22"/>
          <w:lang w:val="fr-FR"/>
        </w:rPr>
        <w:t xml:space="preserve">1989, </w:t>
      </w:r>
      <w:r w:rsidRPr="00BA51D9">
        <w:rPr>
          <w:rFonts w:asciiTheme="minorHAnsi" w:hAnsiTheme="minorHAnsi" w:cs="Times New Roman"/>
          <w:sz w:val="22"/>
          <w:szCs w:val="22"/>
          <w:lang w:val="fr-FR"/>
        </w:rPr>
        <w:t xml:space="preserve">la Subvention suisse pour l’Afrique (SSA) a </w:t>
      </w:r>
      <w:r w:rsidR="00BA51D9" w:rsidRPr="00BA51D9">
        <w:rPr>
          <w:rFonts w:asciiTheme="minorHAnsi" w:hAnsiTheme="minorHAnsi" w:cs="Times New Roman"/>
          <w:sz w:val="22"/>
          <w:szCs w:val="22"/>
          <w:lang w:val="fr-FR"/>
        </w:rPr>
        <w:t>contribué au financement de</w:t>
      </w:r>
      <w:r w:rsidRPr="00BA51D9">
        <w:rPr>
          <w:rFonts w:asciiTheme="minorHAnsi" w:hAnsiTheme="minorHAnsi" w:cs="Times New Roman"/>
          <w:sz w:val="22"/>
          <w:szCs w:val="22"/>
          <w:lang w:val="fr-FR"/>
        </w:rPr>
        <w:t xml:space="preserve"> 90 projets axés sur la conservation et l’utilisation rationnelle des zones humides dans plus de 40 pays d’Afrique. Elle est financée par une contribution volontaire de la Suisse en plus de ses contributions annuelles au budget administratif de la Convention. En 2014, par exemple, une subvention </w:t>
      </w:r>
      <w:r w:rsidR="00BA51D9" w:rsidRPr="00BA51D9">
        <w:rPr>
          <w:rFonts w:asciiTheme="minorHAnsi" w:hAnsiTheme="minorHAnsi" w:cs="Times New Roman"/>
          <w:sz w:val="22"/>
          <w:szCs w:val="22"/>
          <w:lang w:val="fr-FR"/>
        </w:rPr>
        <w:t>de la</w:t>
      </w:r>
      <w:r w:rsidRPr="00BA51D9">
        <w:rPr>
          <w:rFonts w:asciiTheme="minorHAnsi" w:hAnsiTheme="minorHAnsi" w:cs="Times New Roman"/>
          <w:sz w:val="22"/>
          <w:szCs w:val="22"/>
          <w:lang w:val="fr-FR"/>
        </w:rPr>
        <w:t xml:space="preserve"> SSA</w:t>
      </w:r>
      <w:r w:rsidR="00BA51D9" w:rsidRPr="00BA51D9">
        <w:rPr>
          <w:rFonts w:asciiTheme="minorHAnsi" w:hAnsiTheme="minorHAnsi" w:cs="Times New Roman"/>
          <w:sz w:val="22"/>
          <w:szCs w:val="22"/>
          <w:lang w:val="fr-FR"/>
        </w:rPr>
        <w:t>, d’un montant</w:t>
      </w:r>
      <w:r w:rsidRPr="00BA51D9">
        <w:rPr>
          <w:rFonts w:asciiTheme="minorHAnsi" w:hAnsiTheme="minorHAnsi" w:cs="Times New Roman"/>
          <w:sz w:val="22"/>
          <w:szCs w:val="22"/>
          <w:lang w:val="fr-FR"/>
        </w:rPr>
        <w:t xml:space="preserve"> de </w:t>
      </w:r>
      <w:r w:rsidR="003F09D4" w:rsidRPr="00BA51D9">
        <w:rPr>
          <w:rFonts w:asciiTheme="minorHAnsi" w:hAnsiTheme="minorHAnsi" w:cs="Times New Roman"/>
          <w:sz w:val="22"/>
          <w:szCs w:val="22"/>
          <w:lang w:val="fr-FR"/>
        </w:rPr>
        <w:t>90</w:t>
      </w:r>
      <w:r w:rsidRPr="00BA51D9">
        <w:rPr>
          <w:rFonts w:asciiTheme="minorHAnsi" w:hAnsiTheme="minorHAnsi" w:cs="Times New Roman"/>
          <w:sz w:val="22"/>
          <w:szCs w:val="22"/>
          <w:lang w:val="fr-FR"/>
        </w:rPr>
        <w:t> </w:t>
      </w:r>
      <w:r w:rsidR="003F09D4" w:rsidRPr="00BA51D9">
        <w:rPr>
          <w:rFonts w:asciiTheme="minorHAnsi" w:hAnsiTheme="minorHAnsi" w:cs="Times New Roman"/>
          <w:sz w:val="22"/>
          <w:szCs w:val="22"/>
          <w:lang w:val="fr-FR"/>
        </w:rPr>
        <w:t>000</w:t>
      </w:r>
      <w:r w:rsidRPr="00BA51D9">
        <w:rPr>
          <w:rFonts w:asciiTheme="minorHAnsi" w:hAnsiTheme="minorHAnsi" w:cs="Times New Roman"/>
          <w:sz w:val="22"/>
          <w:szCs w:val="22"/>
          <w:lang w:val="fr-FR"/>
        </w:rPr>
        <w:t> CHF</w:t>
      </w:r>
      <w:r w:rsidR="00BA51D9" w:rsidRPr="00BA51D9">
        <w:rPr>
          <w:rFonts w:asciiTheme="minorHAnsi" w:hAnsiTheme="minorHAnsi" w:cs="Times New Roman"/>
          <w:sz w:val="22"/>
          <w:szCs w:val="22"/>
          <w:lang w:val="fr-FR"/>
        </w:rPr>
        <w:t>,</w:t>
      </w:r>
      <w:r w:rsidRPr="00BA51D9">
        <w:rPr>
          <w:rFonts w:asciiTheme="minorHAnsi" w:hAnsiTheme="minorHAnsi" w:cs="Times New Roman"/>
          <w:sz w:val="22"/>
          <w:szCs w:val="22"/>
          <w:lang w:val="fr-FR"/>
        </w:rPr>
        <w:t xml:space="preserve"> a servi à parrainer la participation de délégués africains à la réunion pré</w:t>
      </w:r>
      <w:r w:rsidRPr="00BA51D9">
        <w:rPr>
          <w:rFonts w:asciiTheme="minorHAnsi" w:hAnsiTheme="minorHAnsi" w:cs="Times New Roman"/>
          <w:sz w:val="22"/>
          <w:szCs w:val="22"/>
          <w:lang w:val="fr-FR"/>
        </w:rPr>
        <w:noBreakHyphen/>
        <w:t>COP en Tunisie. En 2015,</w:t>
      </w:r>
      <w:r w:rsidR="00617FF1" w:rsidRPr="00BA51D9">
        <w:rPr>
          <w:rFonts w:asciiTheme="minorHAnsi" w:hAnsiTheme="minorHAnsi" w:cs="Times New Roman"/>
          <w:sz w:val="22"/>
          <w:szCs w:val="22"/>
          <w:lang w:val="fr-FR"/>
        </w:rPr>
        <w:t xml:space="preserve"> </w:t>
      </w:r>
      <w:r w:rsidRPr="00BA51D9">
        <w:rPr>
          <w:rFonts w:asciiTheme="minorHAnsi" w:hAnsiTheme="minorHAnsi" w:cs="Times New Roman"/>
          <w:sz w:val="22"/>
          <w:szCs w:val="22"/>
          <w:lang w:val="fr-FR"/>
        </w:rPr>
        <w:t xml:space="preserve">une subvention </w:t>
      </w:r>
      <w:r w:rsidR="00BA51D9" w:rsidRPr="00BA51D9">
        <w:rPr>
          <w:rFonts w:asciiTheme="minorHAnsi" w:hAnsiTheme="minorHAnsi" w:cs="Times New Roman"/>
          <w:sz w:val="22"/>
          <w:szCs w:val="22"/>
          <w:lang w:val="fr-FR"/>
        </w:rPr>
        <w:t>de la</w:t>
      </w:r>
      <w:r w:rsidRPr="00BA51D9">
        <w:rPr>
          <w:rFonts w:asciiTheme="minorHAnsi" w:hAnsiTheme="minorHAnsi" w:cs="Times New Roman"/>
          <w:sz w:val="22"/>
          <w:szCs w:val="22"/>
          <w:lang w:val="fr-FR"/>
        </w:rPr>
        <w:t xml:space="preserve"> SSA, de 115 </w:t>
      </w:r>
      <w:r w:rsidR="003F09D4" w:rsidRPr="00BA51D9">
        <w:rPr>
          <w:rFonts w:asciiTheme="minorHAnsi" w:hAnsiTheme="minorHAnsi" w:cs="Times New Roman"/>
          <w:sz w:val="22"/>
          <w:szCs w:val="22"/>
          <w:lang w:val="fr-FR"/>
        </w:rPr>
        <w:t>000</w:t>
      </w:r>
      <w:r w:rsidRPr="00BA51D9">
        <w:rPr>
          <w:rFonts w:asciiTheme="minorHAnsi" w:hAnsiTheme="minorHAnsi" w:cs="Times New Roman"/>
          <w:sz w:val="22"/>
          <w:szCs w:val="22"/>
          <w:lang w:val="fr-FR"/>
        </w:rPr>
        <w:t> CHF, a servi à parrainer la participation de délégués africains à la COP12 en</w:t>
      </w:r>
      <w:r w:rsidR="003F09D4" w:rsidRPr="00BA51D9">
        <w:rPr>
          <w:rFonts w:asciiTheme="minorHAnsi" w:hAnsiTheme="minorHAnsi" w:cs="Times New Roman"/>
          <w:sz w:val="22"/>
          <w:szCs w:val="22"/>
          <w:lang w:val="fr-FR"/>
        </w:rPr>
        <w:t xml:space="preserve"> Uruguay.</w:t>
      </w:r>
      <w:r w:rsidR="00DD25C7" w:rsidRPr="00BA51D9">
        <w:rPr>
          <w:rFonts w:asciiTheme="minorHAnsi" w:hAnsiTheme="minorHAnsi" w:cs="Times New Roman"/>
          <w:sz w:val="22"/>
          <w:szCs w:val="22"/>
          <w:lang w:val="fr-FR"/>
        </w:rPr>
        <w:t xml:space="preserve"> </w:t>
      </w:r>
      <w:r w:rsidRPr="00BA51D9">
        <w:rPr>
          <w:rFonts w:asciiTheme="minorHAnsi" w:hAnsiTheme="minorHAnsi" w:cs="Times New Roman"/>
          <w:sz w:val="22"/>
          <w:szCs w:val="22"/>
          <w:lang w:val="fr-FR"/>
        </w:rPr>
        <w:t xml:space="preserve">Ce fonds est administré par le Secrétariat, la Suisse donnant son accord aux projets. </w:t>
      </w:r>
    </w:p>
    <w:p w:rsidR="003F09D4" w:rsidRPr="00BA51D9" w:rsidRDefault="003F09D4" w:rsidP="003D6AB7">
      <w:pPr>
        <w:ind w:left="426" w:hanging="426"/>
        <w:rPr>
          <w:lang w:val="fr-FR"/>
        </w:rPr>
      </w:pPr>
    </w:p>
    <w:p w:rsidR="003F09D4" w:rsidRPr="00BA51D9" w:rsidRDefault="00DF5C4F" w:rsidP="003D6AB7">
      <w:pPr>
        <w:pStyle w:val="Default"/>
        <w:numPr>
          <w:ilvl w:val="0"/>
          <w:numId w:val="13"/>
        </w:numPr>
        <w:ind w:left="426" w:hanging="426"/>
        <w:rPr>
          <w:rFonts w:asciiTheme="minorHAnsi" w:hAnsiTheme="minorHAnsi" w:cs="Times New Roman"/>
          <w:sz w:val="22"/>
          <w:szCs w:val="22"/>
          <w:lang w:val="fr-FR"/>
        </w:rPr>
      </w:pPr>
      <w:r w:rsidRPr="00BA51D9">
        <w:rPr>
          <w:rFonts w:asciiTheme="minorHAnsi" w:hAnsiTheme="minorHAnsi" w:cs="Times New Roman"/>
          <w:sz w:val="22"/>
          <w:szCs w:val="22"/>
          <w:lang w:val="fr-FR"/>
        </w:rPr>
        <w:t>Depuis</w:t>
      </w:r>
      <w:r w:rsidR="003F09D4" w:rsidRPr="00BA51D9">
        <w:rPr>
          <w:rFonts w:asciiTheme="minorHAnsi" w:hAnsiTheme="minorHAnsi" w:cs="Times New Roman"/>
          <w:sz w:val="22"/>
          <w:szCs w:val="22"/>
          <w:lang w:val="fr-FR"/>
        </w:rPr>
        <w:t xml:space="preserve"> 1997, </w:t>
      </w:r>
      <w:r w:rsidRPr="00BA51D9">
        <w:rPr>
          <w:rFonts w:asciiTheme="minorHAnsi" w:hAnsiTheme="minorHAnsi" w:cs="Times New Roman"/>
          <w:sz w:val="22"/>
          <w:szCs w:val="22"/>
          <w:lang w:val="fr-FR"/>
        </w:rPr>
        <w:t xml:space="preserve">le Fonds </w:t>
      </w:r>
      <w:r w:rsidR="006C7C91" w:rsidRPr="00BA51D9">
        <w:rPr>
          <w:rFonts w:asciiTheme="minorHAnsi" w:hAnsiTheme="minorHAnsi" w:cs="Times New Roman"/>
          <w:sz w:val="22"/>
          <w:szCs w:val="22"/>
          <w:lang w:val="fr-FR"/>
        </w:rPr>
        <w:t xml:space="preserve">Wetlands for the Future </w:t>
      </w:r>
      <w:r w:rsidR="00164ECC" w:rsidRPr="00BA51D9">
        <w:rPr>
          <w:rFonts w:asciiTheme="minorHAnsi" w:hAnsiTheme="minorHAnsi" w:cs="Times New Roman"/>
          <w:sz w:val="22"/>
          <w:szCs w:val="22"/>
          <w:lang w:val="fr-FR"/>
        </w:rPr>
        <w:t>(WFF)</w:t>
      </w:r>
      <w:r w:rsidR="00195DD8" w:rsidRPr="00BA51D9">
        <w:rPr>
          <w:rFonts w:asciiTheme="minorHAnsi" w:hAnsiTheme="minorHAnsi" w:cs="Times New Roman"/>
          <w:sz w:val="22"/>
          <w:szCs w:val="22"/>
          <w:lang w:val="fr-FR"/>
        </w:rPr>
        <w:t xml:space="preserve"> </w:t>
      </w:r>
      <w:r w:rsidRPr="00BA51D9">
        <w:rPr>
          <w:rFonts w:asciiTheme="minorHAnsi" w:hAnsiTheme="minorHAnsi" w:cs="Times New Roman"/>
          <w:sz w:val="22"/>
          <w:szCs w:val="22"/>
          <w:lang w:val="fr-FR"/>
        </w:rPr>
        <w:t>est soutenu par une contribution volontaire des États</w:t>
      </w:r>
      <w:r w:rsidRPr="00BA51D9">
        <w:rPr>
          <w:rFonts w:asciiTheme="minorHAnsi" w:hAnsiTheme="minorHAnsi" w:cs="Times New Roman"/>
          <w:sz w:val="22"/>
          <w:szCs w:val="22"/>
          <w:lang w:val="fr-FR"/>
        </w:rPr>
        <w:noBreakHyphen/>
        <w:t xml:space="preserve">Unis d’Amérique, s’appuyant sur un mémorandum d’accord. Il a, à ce jour, fourni un appui financier à 290 projets en Amérique latine et dans les Caraïbes, dont 83 ont soutenu des activités au sein de Sites Ramsar. Le </w:t>
      </w:r>
      <w:r w:rsidR="00BA51D9" w:rsidRPr="00BA51D9">
        <w:rPr>
          <w:rFonts w:asciiTheme="minorHAnsi" w:hAnsiTheme="minorHAnsi" w:cs="Times New Roman"/>
          <w:sz w:val="22"/>
          <w:szCs w:val="22"/>
          <w:lang w:val="fr-FR"/>
        </w:rPr>
        <w:t>WFF</w:t>
      </w:r>
      <w:r w:rsidRPr="00BA51D9">
        <w:rPr>
          <w:rFonts w:asciiTheme="minorHAnsi" w:hAnsiTheme="minorHAnsi" w:cs="Times New Roman"/>
          <w:sz w:val="22"/>
          <w:szCs w:val="22"/>
          <w:lang w:val="fr-FR"/>
        </w:rPr>
        <w:t xml:space="preserve"> est largement axé sur le renforcement des capacités et la formation</w:t>
      </w:r>
      <w:r w:rsidR="00BA51D9" w:rsidRPr="00BA51D9">
        <w:rPr>
          <w:rFonts w:asciiTheme="minorHAnsi" w:hAnsiTheme="minorHAnsi" w:cs="Times New Roman"/>
          <w:sz w:val="22"/>
          <w:szCs w:val="22"/>
          <w:lang w:val="fr-FR"/>
        </w:rPr>
        <w:t>,</w:t>
      </w:r>
      <w:r w:rsidRPr="00BA51D9">
        <w:rPr>
          <w:rFonts w:asciiTheme="minorHAnsi" w:hAnsiTheme="minorHAnsi" w:cs="Times New Roman"/>
          <w:sz w:val="22"/>
          <w:szCs w:val="22"/>
          <w:lang w:val="fr-FR"/>
        </w:rPr>
        <w:t xml:space="preserve"> avec environ 107 </w:t>
      </w:r>
      <w:r w:rsidR="00164ECC" w:rsidRPr="00BA51D9">
        <w:rPr>
          <w:rFonts w:asciiTheme="minorHAnsi" w:hAnsiTheme="minorHAnsi" w:cs="Times New Roman"/>
          <w:sz w:val="22"/>
          <w:szCs w:val="22"/>
          <w:lang w:val="fr-FR"/>
        </w:rPr>
        <w:t>000</w:t>
      </w:r>
      <w:r w:rsidRPr="00BA51D9">
        <w:rPr>
          <w:rFonts w:asciiTheme="minorHAnsi" w:hAnsiTheme="minorHAnsi" w:cs="Times New Roman"/>
          <w:sz w:val="22"/>
          <w:szCs w:val="22"/>
          <w:lang w:val="fr-FR"/>
        </w:rPr>
        <w:t xml:space="preserve"> CHF </w:t>
      </w:r>
      <w:r w:rsidR="00BA51D9" w:rsidRPr="00BA51D9">
        <w:rPr>
          <w:rFonts w:asciiTheme="minorHAnsi" w:hAnsiTheme="minorHAnsi" w:cs="Times New Roman"/>
          <w:sz w:val="22"/>
          <w:szCs w:val="22"/>
          <w:lang w:val="fr-FR"/>
        </w:rPr>
        <w:t>versés</w:t>
      </w:r>
      <w:r w:rsidRPr="00BA51D9">
        <w:rPr>
          <w:rFonts w:asciiTheme="minorHAnsi" w:hAnsiTheme="minorHAnsi" w:cs="Times New Roman"/>
          <w:sz w:val="22"/>
          <w:szCs w:val="22"/>
          <w:lang w:val="fr-FR"/>
        </w:rPr>
        <w:t xml:space="preserve"> en </w:t>
      </w:r>
      <w:r w:rsidR="00164ECC" w:rsidRPr="00BA51D9">
        <w:rPr>
          <w:rFonts w:asciiTheme="minorHAnsi" w:hAnsiTheme="minorHAnsi" w:cs="Times New Roman"/>
          <w:sz w:val="22"/>
          <w:szCs w:val="22"/>
          <w:lang w:val="fr-FR"/>
        </w:rPr>
        <w:t>2015.</w:t>
      </w:r>
      <w:r w:rsidR="00DD25C7" w:rsidRPr="00BA51D9">
        <w:rPr>
          <w:rFonts w:asciiTheme="minorHAnsi" w:hAnsiTheme="minorHAnsi" w:cs="Times New Roman"/>
          <w:sz w:val="22"/>
          <w:szCs w:val="22"/>
          <w:lang w:val="fr-FR"/>
        </w:rPr>
        <w:t xml:space="preserve"> </w:t>
      </w:r>
    </w:p>
    <w:p w:rsidR="000B4D4F" w:rsidRPr="00BA51D9" w:rsidRDefault="000B4D4F" w:rsidP="003D6AB7">
      <w:pPr>
        <w:pStyle w:val="ListParagraph"/>
        <w:spacing w:after="0" w:line="240" w:lineRule="auto"/>
        <w:ind w:left="426" w:hanging="426"/>
        <w:rPr>
          <w:rFonts w:cs="Times New Roman"/>
          <w:lang w:val="fr-FR"/>
        </w:rPr>
      </w:pPr>
    </w:p>
    <w:p w:rsidR="00E00A22" w:rsidRPr="00BA51D9" w:rsidRDefault="00DF5C4F" w:rsidP="003D6AB7">
      <w:pPr>
        <w:pStyle w:val="Default"/>
        <w:numPr>
          <w:ilvl w:val="0"/>
          <w:numId w:val="13"/>
        </w:numPr>
        <w:ind w:left="426" w:hanging="426"/>
        <w:rPr>
          <w:rFonts w:asciiTheme="minorHAnsi" w:hAnsiTheme="minorHAnsi" w:cs="Times New Roman"/>
          <w:sz w:val="22"/>
          <w:szCs w:val="22"/>
          <w:lang w:val="fr-FR"/>
        </w:rPr>
      </w:pPr>
      <w:r w:rsidRPr="00BA51D9">
        <w:rPr>
          <w:rFonts w:asciiTheme="minorHAnsi" w:hAnsiTheme="minorHAnsi" w:cs="Times New Roman"/>
          <w:sz w:val="22"/>
          <w:szCs w:val="22"/>
          <w:lang w:val="fr-FR"/>
        </w:rPr>
        <w:t>Le graphique </w:t>
      </w:r>
      <w:r w:rsidR="00DA4B44" w:rsidRPr="00BA51D9">
        <w:rPr>
          <w:rFonts w:asciiTheme="minorHAnsi" w:hAnsiTheme="minorHAnsi" w:cs="Times New Roman"/>
          <w:sz w:val="22"/>
          <w:szCs w:val="22"/>
          <w:lang w:val="fr-FR"/>
        </w:rPr>
        <w:t>1</w:t>
      </w:r>
      <w:r w:rsidRPr="00BA51D9">
        <w:rPr>
          <w:rFonts w:asciiTheme="minorHAnsi" w:hAnsiTheme="minorHAnsi" w:cs="Times New Roman"/>
          <w:sz w:val="22"/>
          <w:szCs w:val="22"/>
          <w:lang w:val="fr-FR"/>
        </w:rPr>
        <w:t xml:space="preserve"> ci</w:t>
      </w:r>
      <w:r w:rsidRPr="00BA51D9">
        <w:rPr>
          <w:rFonts w:asciiTheme="minorHAnsi" w:hAnsiTheme="minorHAnsi" w:cs="Times New Roman"/>
          <w:sz w:val="22"/>
          <w:szCs w:val="22"/>
          <w:lang w:val="fr-FR"/>
        </w:rPr>
        <w:noBreakHyphen/>
        <w:t xml:space="preserve">dessous montre que les contributions volontaires au FPS ont fortement varié avec le temps et que c’est en 1997 que le FPS a atteint, pour la dernière fois, son objectif de recevoir </w:t>
      </w:r>
      <w:r w:rsidR="00BA51D9" w:rsidRPr="00BA51D9">
        <w:rPr>
          <w:rFonts w:asciiTheme="minorHAnsi" w:hAnsiTheme="minorHAnsi" w:cs="Times New Roman"/>
          <w:sz w:val="22"/>
          <w:szCs w:val="22"/>
          <w:lang w:val="fr-FR"/>
        </w:rPr>
        <w:t>un</w:t>
      </w:r>
      <w:r w:rsidRPr="00BA51D9">
        <w:rPr>
          <w:rFonts w:asciiTheme="minorHAnsi" w:hAnsiTheme="minorHAnsi" w:cs="Times New Roman"/>
          <w:sz w:val="22"/>
          <w:szCs w:val="22"/>
          <w:lang w:val="fr-FR"/>
        </w:rPr>
        <w:t> </w:t>
      </w:r>
      <w:r w:rsidR="00D17B0B" w:rsidRPr="00BA51D9">
        <w:rPr>
          <w:rFonts w:asciiTheme="minorHAnsi" w:hAnsiTheme="minorHAnsi" w:cs="Times New Roman"/>
          <w:sz w:val="22"/>
          <w:szCs w:val="22"/>
          <w:lang w:val="fr-FR"/>
        </w:rPr>
        <w:t>million</w:t>
      </w:r>
      <w:r w:rsidR="00BA51D9" w:rsidRPr="00BA51D9">
        <w:rPr>
          <w:rFonts w:asciiTheme="minorHAnsi" w:hAnsiTheme="minorHAnsi" w:cs="Times New Roman"/>
          <w:sz w:val="22"/>
          <w:szCs w:val="22"/>
          <w:lang w:val="fr-FR"/>
        </w:rPr>
        <w:t xml:space="preserve"> de francs suisses</w:t>
      </w:r>
      <w:r w:rsidR="00980104" w:rsidRPr="00BA51D9">
        <w:rPr>
          <w:rFonts w:asciiTheme="minorHAnsi" w:hAnsiTheme="minorHAnsi" w:cs="Times New Roman"/>
          <w:sz w:val="22"/>
          <w:szCs w:val="22"/>
          <w:lang w:val="fr-FR"/>
        </w:rPr>
        <w:t>.</w:t>
      </w:r>
      <w:r w:rsidR="00DD25C7" w:rsidRPr="00BA51D9">
        <w:rPr>
          <w:rFonts w:asciiTheme="minorHAnsi" w:hAnsiTheme="minorHAnsi" w:cs="Times New Roman"/>
          <w:sz w:val="22"/>
          <w:szCs w:val="22"/>
          <w:lang w:val="fr-FR"/>
        </w:rPr>
        <w:t xml:space="preserve"> </w:t>
      </w:r>
      <w:r w:rsidRPr="00BA51D9">
        <w:rPr>
          <w:rFonts w:asciiTheme="minorHAnsi" w:hAnsiTheme="minorHAnsi" w:cs="Times New Roman"/>
          <w:sz w:val="22"/>
          <w:szCs w:val="22"/>
          <w:lang w:val="fr-FR"/>
        </w:rPr>
        <w:t>Le tableau </w:t>
      </w:r>
      <w:r w:rsidR="00370287" w:rsidRPr="00BA51D9">
        <w:rPr>
          <w:rFonts w:asciiTheme="minorHAnsi" w:hAnsiTheme="minorHAnsi" w:cs="Times New Roman"/>
          <w:sz w:val="22"/>
          <w:szCs w:val="22"/>
          <w:lang w:val="fr-FR"/>
        </w:rPr>
        <w:t>1</w:t>
      </w:r>
      <w:r w:rsidR="00E00A22" w:rsidRPr="00BA51D9">
        <w:rPr>
          <w:rFonts w:asciiTheme="minorHAnsi" w:hAnsiTheme="minorHAnsi" w:cs="Times New Roman"/>
          <w:sz w:val="22"/>
          <w:szCs w:val="22"/>
          <w:lang w:val="fr-FR"/>
        </w:rPr>
        <w:t xml:space="preserve"> </w:t>
      </w:r>
      <w:r w:rsidRPr="00BA51D9">
        <w:rPr>
          <w:rFonts w:asciiTheme="minorHAnsi" w:hAnsiTheme="minorHAnsi" w:cs="Times New Roman"/>
          <w:sz w:val="22"/>
          <w:szCs w:val="22"/>
          <w:lang w:val="fr-FR"/>
        </w:rPr>
        <w:t>montre le nombre de projets financés et les pays donateurs depuis 2002. Aucun nouvel appel à propositions pour le FPS n’a été fait depuis le cycle de projets de </w:t>
      </w:r>
      <w:r w:rsidR="00980104" w:rsidRPr="00BA51D9">
        <w:rPr>
          <w:rFonts w:asciiTheme="minorHAnsi" w:hAnsiTheme="minorHAnsi" w:cs="Times New Roman"/>
          <w:sz w:val="22"/>
          <w:szCs w:val="22"/>
          <w:lang w:val="fr-FR"/>
        </w:rPr>
        <w:t xml:space="preserve">2010-2011 </w:t>
      </w:r>
      <w:r w:rsidRPr="00BA51D9">
        <w:rPr>
          <w:rFonts w:asciiTheme="minorHAnsi" w:hAnsiTheme="minorHAnsi" w:cs="Times New Roman"/>
          <w:sz w:val="22"/>
          <w:szCs w:val="22"/>
          <w:lang w:val="fr-FR"/>
        </w:rPr>
        <w:t xml:space="preserve">en raison du manque de fonds et d’un </w:t>
      </w:r>
      <w:r w:rsidR="00C20862">
        <w:rPr>
          <w:rFonts w:asciiTheme="minorHAnsi" w:hAnsiTheme="minorHAnsi" w:cs="Times New Roman"/>
          <w:sz w:val="22"/>
          <w:szCs w:val="22"/>
          <w:lang w:val="fr-FR"/>
        </w:rPr>
        <w:t>excédent</w:t>
      </w:r>
      <w:r w:rsidRPr="00BA51D9">
        <w:rPr>
          <w:rFonts w:asciiTheme="minorHAnsi" w:hAnsiTheme="minorHAnsi" w:cs="Times New Roman"/>
          <w:sz w:val="22"/>
          <w:szCs w:val="22"/>
          <w:lang w:val="fr-FR"/>
        </w:rPr>
        <w:t xml:space="preserve"> de projets classés prioritaires en attente de financement. Il n’y a actuellement pas de fonds disponibles dans le </w:t>
      </w:r>
      <w:r w:rsidR="0022192B" w:rsidRPr="00BA51D9">
        <w:rPr>
          <w:rFonts w:asciiTheme="minorHAnsi" w:hAnsiTheme="minorHAnsi" w:cs="Times New Roman"/>
          <w:sz w:val="22"/>
          <w:szCs w:val="22"/>
          <w:lang w:val="fr-FR"/>
        </w:rPr>
        <w:t>FP</w:t>
      </w:r>
      <w:r w:rsidRPr="00BA51D9">
        <w:rPr>
          <w:rFonts w:asciiTheme="minorHAnsi" w:hAnsiTheme="minorHAnsi" w:cs="Times New Roman"/>
          <w:sz w:val="22"/>
          <w:szCs w:val="22"/>
          <w:lang w:val="fr-FR"/>
        </w:rPr>
        <w:t xml:space="preserve">S pour de nouveaux projets. </w:t>
      </w:r>
    </w:p>
    <w:p w:rsidR="008B7384" w:rsidRPr="00BA51D9" w:rsidRDefault="008B7384" w:rsidP="003D6AB7">
      <w:pPr>
        <w:pStyle w:val="Default"/>
        <w:rPr>
          <w:rFonts w:asciiTheme="minorHAnsi" w:hAnsiTheme="minorHAnsi" w:cs="Times New Roman"/>
          <w:sz w:val="22"/>
          <w:szCs w:val="22"/>
          <w:lang w:val="fr-FR"/>
        </w:rPr>
      </w:pPr>
    </w:p>
    <w:p w:rsidR="008B7384" w:rsidRPr="00BA51D9" w:rsidRDefault="00DF5C4F" w:rsidP="00DF5C4F">
      <w:pPr>
        <w:keepNext/>
        <w:keepLines/>
        <w:rPr>
          <w:lang w:val="fr-FR"/>
        </w:rPr>
      </w:pPr>
      <w:r w:rsidRPr="00BA51D9">
        <w:rPr>
          <w:lang w:val="fr-FR"/>
        </w:rPr>
        <w:t>Graphique</w:t>
      </w:r>
      <w:r w:rsidR="008B7384" w:rsidRPr="00BA51D9">
        <w:rPr>
          <w:lang w:val="fr-FR"/>
        </w:rPr>
        <w:t xml:space="preserve"> 1.</w:t>
      </w:r>
      <w:r w:rsidR="00DD25C7" w:rsidRPr="00BA51D9">
        <w:rPr>
          <w:lang w:val="fr-FR"/>
        </w:rPr>
        <w:t xml:space="preserve"> </w:t>
      </w:r>
      <w:r w:rsidR="008B7384" w:rsidRPr="00BA51D9">
        <w:rPr>
          <w:lang w:val="fr-FR"/>
        </w:rPr>
        <w:t>Co</w:t>
      </w:r>
      <w:r w:rsidRPr="00BA51D9">
        <w:rPr>
          <w:lang w:val="fr-FR"/>
        </w:rPr>
        <w:t xml:space="preserve">ntributions volontaires annuelles combinées au Fonds de petites subventions </w:t>
      </w:r>
    </w:p>
    <w:p w:rsidR="000B4C27" w:rsidRPr="00BA51D9" w:rsidRDefault="000B4C27" w:rsidP="00DF5C4F">
      <w:pPr>
        <w:keepNext/>
        <w:keepLines/>
        <w:rPr>
          <w:lang w:val="fr-FR"/>
        </w:rPr>
      </w:pPr>
    </w:p>
    <w:p w:rsidR="0035071D" w:rsidRPr="00BA51D9" w:rsidRDefault="00575043" w:rsidP="00DF5C4F">
      <w:pPr>
        <w:keepNext/>
        <w:keepLines/>
        <w:rPr>
          <w:lang w:val="fr-FR"/>
        </w:rPr>
      </w:pPr>
      <w:r w:rsidRPr="00BA51D9">
        <w:rPr>
          <w:noProof/>
        </w:rPr>
        <w:drawing>
          <wp:inline distT="0" distB="0" distL="0" distR="0" wp14:anchorId="57433E49" wp14:editId="49B94E1C">
            <wp:extent cx="5308600" cy="2451100"/>
            <wp:effectExtent l="0" t="0" r="25400" b="25400"/>
            <wp:docPr id="2" name="Chart 2" title="CHF"/>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5C4F" w:rsidRPr="00BA51D9" w:rsidRDefault="00DF5C4F" w:rsidP="003D6AB7">
      <w:pPr>
        <w:rPr>
          <w:lang w:val="fr-FR"/>
        </w:rPr>
      </w:pPr>
    </w:p>
    <w:p w:rsidR="00370287" w:rsidRPr="00BA51D9" w:rsidRDefault="008B7384" w:rsidP="003D6AB7">
      <w:pPr>
        <w:rPr>
          <w:lang w:val="fr-FR"/>
        </w:rPr>
      </w:pPr>
      <w:r w:rsidRPr="00BA51D9">
        <w:rPr>
          <w:lang w:val="fr-FR"/>
        </w:rPr>
        <w:lastRenderedPageBreak/>
        <w:t>Table</w:t>
      </w:r>
      <w:r w:rsidR="00DF5C4F" w:rsidRPr="00BA51D9">
        <w:rPr>
          <w:lang w:val="fr-FR"/>
        </w:rPr>
        <w:t>au</w:t>
      </w:r>
      <w:r w:rsidRPr="00BA51D9">
        <w:rPr>
          <w:lang w:val="fr-FR"/>
        </w:rPr>
        <w:t xml:space="preserve"> 1.</w:t>
      </w:r>
      <w:r w:rsidR="00DD25C7" w:rsidRPr="00BA51D9">
        <w:rPr>
          <w:lang w:val="fr-FR"/>
        </w:rPr>
        <w:t xml:space="preserve"> </w:t>
      </w:r>
      <w:r w:rsidR="00DF5C4F" w:rsidRPr="00BA51D9">
        <w:rPr>
          <w:lang w:val="fr-FR"/>
        </w:rPr>
        <w:t xml:space="preserve">Apport de fonds par année au Fonds de petites subventions et nombre de projets financés </w:t>
      </w:r>
    </w:p>
    <w:p w:rsidR="000B4C27" w:rsidRPr="00BA51D9" w:rsidRDefault="000B4C27" w:rsidP="003D6AB7">
      <w:pPr>
        <w:rPr>
          <w:lang w:val="fr-FR"/>
        </w:rPr>
      </w:pPr>
    </w:p>
    <w:tbl>
      <w:tblPr>
        <w:tblW w:w="9036" w:type="dxa"/>
        <w:tblInd w:w="93" w:type="dxa"/>
        <w:tblLayout w:type="fixed"/>
        <w:tblCellMar>
          <w:top w:w="28" w:type="dxa"/>
          <w:left w:w="57" w:type="dxa"/>
          <w:bottom w:w="28" w:type="dxa"/>
          <w:right w:w="57" w:type="dxa"/>
        </w:tblCellMar>
        <w:tblLook w:val="04A0" w:firstRow="1" w:lastRow="0" w:firstColumn="1" w:lastColumn="0" w:noHBand="0" w:noVBand="1"/>
      </w:tblPr>
      <w:tblGrid>
        <w:gridCol w:w="866"/>
        <w:gridCol w:w="1199"/>
        <w:gridCol w:w="2460"/>
        <w:gridCol w:w="1019"/>
        <w:gridCol w:w="3492"/>
      </w:tblGrid>
      <w:tr w:rsidR="008B7384" w:rsidRPr="00BA51D9" w:rsidTr="00155BC8">
        <w:tc>
          <w:tcPr>
            <w:tcW w:w="8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7384" w:rsidRPr="00BA51D9" w:rsidRDefault="003C509D" w:rsidP="003D6AB7">
            <w:pPr>
              <w:jc w:val="center"/>
              <w:rPr>
                <w:rFonts w:eastAsia="Times New Roman" w:cs="Arial"/>
                <w:b/>
                <w:bCs/>
                <w:sz w:val="20"/>
                <w:szCs w:val="20"/>
                <w:lang w:val="fr-FR"/>
              </w:rPr>
            </w:pPr>
            <w:r w:rsidRPr="00BA51D9">
              <w:rPr>
                <w:rFonts w:eastAsia="Times New Roman" w:cs="Arial"/>
                <w:b/>
                <w:bCs/>
                <w:sz w:val="20"/>
                <w:szCs w:val="20"/>
                <w:lang w:val="fr-FR"/>
              </w:rPr>
              <w:t>Cycle annuel FPS</w:t>
            </w:r>
          </w:p>
        </w:tc>
        <w:tc>
          <w:tcPr>
            <w:tcW w:w="1199" w:type="dxa"/>
            <w:tcBorders>
              <w:top w:val="single" w:sz="4" w:space="0" w:color="auto"/>
              <w:left w:val="nil"/>
              <w:bottom w:val="single" w:sz="4" w:space="0" w:color="auto"/>
              <w:right w:val="single" w:sz="4" w:space="0" w:color="auto"/>
            </w:tcBorders>
            <w:shd w:val="clear" w:color="auto" w:fill="D9D9D9"/>
            <w:vAlign w:val="center"/>
            <w:hideMark/>
          </w:tcPr>
          <w:p w:rsidR="008B7384" w:rsidRPr="00BA51D9" w:rsidRDefault="003C509D" w:rsidP="003D6AB7">
            <w:pPr>
              <w:jc w:val="center"/>
              <w:rPr>
                <w:rFonts w:eastAsia="Times New Roman" w:cs="Arial"/>
                <w:b/>
                <w:bCs/>
                <w:sz w:val="20"/>
                <w:szCs w:val="20"/>
                <w:lang w:val="fr-FR"/>
              </w:rPr>
            </w:pPr>
            <w:r w:rsidRPr="00BA51D9">
              <w:rPr>
                <w:rFonts w:eastAsia="Times New Roman" w:cs="Arial"/>
                <w:b/>
                <w:bCs/>
                <w:sz w:val="20"/>
                <w:szCs w:val="20"/>
                <w:lang w:val="fr-FR"/>
              </w:rPr>
              <w:t>Fonds nets reçus pour les projets</w:t>
            </w:r>
            <w:r w:rsidR="008B7384" w:rsidRPr="00BA51D9">
              <w:rPr>
                <w:rFonts w:eastAsia="Times New Roman" w:cs="Arial"/>
                <w:b/>
                <w:bCs/>
                <w:sz w:val="20"/>
                <w:szCs w:val="20"/>
                <w:lang w:val="fr-FR"/>
              </w:rPr>
              <w:t xml:space="preserve"> (CHF)</w:t>
            </w:r>
          </w:p>
        </w:tc>
        <w:tc>
          <w:tcPr>
            <w:tcW w:w="2460" w:type="dxa"/>
            <w:tcBorders>
              <w:top w:val="single" w:sz="4" w:space="0" w:color="auto"/>
              <w:left w:val="nil"/>
              <w:bottom w:val="single" w:sz="4" w:space="0" w:color="auto"/>
              <w:right w:val="single" w:sz="4" w:space="0" w:color="auto"/>
            </w:tcBorders>
            <w:shd w:val="clear" w:color="auto" w:fill="D9D9D9"/>
            <w:vAlign w:val="center"/>
            <w:hideMark/>
          </w:tcPr>
          <w:p w:rsidR="008B7384" w:rsidRPr="00BA51D9" w:rsidRDefault="003C509D" w:rsidP="003D6AB7">
            <w:pPr>
              <w:jc w:val="center"/>
              <w:rPr>
                <w:rFonts w:eastAsia="Times New Roman" w:cs="Arial"/>
                <w:b/>
                <w:bCs/>
                <w:sz w:val="20"/>
                <w:szCs w:val="20"/>
                <w:lang w:val="fr-FR"/>
              </w:rPr>
            </w:pPr>
            <w:r w:rsidRPr="00BA51D9">
              <w:rPr>
                <w:rFonts w:eastAsia="Times New Roman" w:cs="Arial"/>
                <w:b/>
                <w:bCs/>
                <w:sz w:val="20"/>
                <w:szCs w:val="20"/>
                <w:lang w:val="fr-FR"/>
              </w:rPr>
              <w:t>Pays et organisations donateurs</w:t>
            </w:r>
          </w:p>
        </w:tc>
        <w:tc>
          <w:tcPr>
            <w:tcW w:w="1019" w:type="dxa"/>
            <w:tcBorders>
              <w:top w:val="single" w:sz="4" w:space="0" w:color="auto"/>
              <w:left w:val="nil"/>
              <w:bottom w:val="single" w:sz="4" w:space="0" w:color="auto"/>
              <w:right w:val="single" w:sz="4" w:space="0" w:color="auto"/>
            </w:tcBorders>
            <w:shd w:val="clear" w:color="auto" w:fill="D9D9D9"/>
            <w:vAlign w:val="center"/>
            <w:hideMark/>
          </w:tcPr>
          <w:p w:rsidR="008B7384" w:rsidRPr="00BA51D9" w:rsidRDefault="003C509D" w:rsidP="003D6AB7">
            <w:pPr>
              <w:jc w:val="center"/>
              <w:rPr>
                <w:rFonts w:eastAsia="Times New Roman" w:cs="Arial"/>
                <w:b/>
                <w:bCs/>
                <w:sz w:val="20"/>
                <w:szCs w:val="20"/>
                <w:lang w:val="fr-FR"/>
              </w:rPr>
            </w:pPr>
            <w:r w:rsidRPr="00BA51D9">
              <w:rPr>
                <w:rFonts w:eastAsia="Times New Roman" w:cs="Arial"/>
                <w:b/>
                <w:bCs/>
                <w:sz w:val="20"/>
                <w:szCs w:val="20"/>
                <w:lang w:val="fr-FR"/>
              </w:rPr>
              <w:t>Nombre de projets financés</w:t>
            </w:r>
          </w:p>
        </w:tc>
        <w:tc>
          <w:tcPr>
            <w:tcW w:w="3492" w:type="dxa"/>
            <w:tcBorders>
              <w:top w:val="single" w:sz="4" w:space="0" w:color="auto"/>
              <w:left w:val="nil"/>
              <w:bottom w:val="single" w:sz="4" w:space="0" w:color="auto"/>
              <w:right w:val="single" w:sz="4" w:space="0" w:color="auto"/>
            </w:tcBorders>
            <w:shd w:val="clear" w:color="auto" w:fill="D9D9D9"/>
            <w:vAlign w:val="center"/>
            <w:hideMark/>
          </w:tcPr>
          <w:p w:rsidR="008B7384" w:rsidRPr="00BA51D9" w:rsidRDefault="003C509D" w:rsidP="003D6AB7">
            <w:pPr>
              <w:jc w:val="center"/>
              <w:rPr>
                <w:rFonts w:eastAsia="Times New Roman" w:cs="Arial"/>
                <w:b/>
                <w:bCs/>
                <w:sz w:val="20"/>
                <w:szCs w:val="20"/>
                <w:lang w:val="fr-FR"/>
              </w:rPr>
            </w:pPr>
            <w:r w:rsidRPr="00BA51D9">
              <w:rPr>
                <w:rFonts w:eastAsia="Times New Roman" w:cs="Arial"/>
                <w:b/>
                <w:bCs/>
                <w:sz w:val="20"/>
                <w:szCs w:val="20"/>
                <w:lang w:val="fr-FR"/>
              </w:rPr>
              <w:t>Localisation des projets financés</w:t>
            </w:r>
          </w:p>
        </w:tc>
      </w:tr>
      <w:tr w:rsidR="008B7384" w:rsidRPr="00C57B14"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BA51D9" w:rsidRDefault="008B7384" w:rsidP="00155BC8">
            <w:pPr>
              <w:rPr>
                <w:rFonts w:eastAsia="Times New Roman" w:cs="Arial"/>
                <w:b/>
                <w:bCs/>
                <w:sz w:val="20"/>
                <w:szCs w:val="20"/>
                <w:lang w:val="fr-FR"/>
              </w:rPr>
            </w:pPr>
            <w:r w:rsidRPr="00BA51D9">
              <w:rPr>
                <w:rFonts w:eastAsia="Times New Roman" w:cs="Arial"/>
                <w:b/>
                <w:bCs/>
                <w:sz w:val="20"/>
                <w:szCs w:val="20"/>
                <w:lang w:val="fr-FR"/>
              </w:rPr>
              <w:t>2002</w:t>
            </w:r>
          </w:p>
        </w:tc>
        <w:tc>
          <w:tcPr>
            <w:tcW w:w="1199" w:type="dxa"/>
            <w:tcBorders>
              <w:top w:val="nil"/>
              <w:left w:val="nil"/>
              <w:bottom w:val="single" w:sz="4" w:space="0" w:color="auto"/>
              <w:right w:val="single" w:sz="4" w:space="0" w:color="auto"/>
            </w:tcBorders>
            <w:hideMark/>
          </w:tcPr>
          <w:p w:rsidR="008B7384" w:rsidRPr="00BA51D9" w:rsidRDefault="008B7384" w:rsidP="00155BC8">
            <w:pPr>
              <w:jc w:val="right"/>
              <w:rPr>
                <w:rFonts w:eastAsia="Times New Roman" w:cs="Arial"/>
                <w:sz w:val="20"/>
                <w:szCs w:val="20"/>
                <w:lang w:val="fr-FR"/>
              </w:rPr>
            </w:pPr>
            <w:r w:rsidRPr="00BA51D9">
              <w:rPr>
                <w:rFonts w:eastAsia="Times New Roman" w:cs="Arial"/>
                <w:sz w:val="20"/>
                <w:szCs w:val="20"/>
                <w:lang w:val="fr-FR"/>
              </w:rPr>
              <w:t>574</w:t>
            </w:r>
            <w:r w:rsidR="003C509D" w:rsidRPr="00BA51D9">
              <w:rPr>
                <w:rFonts w:eastAsia="Times New Roman" w:cs="Arial"/>
                <w:sz w:val="20"/>
                <w:szCs w:val="20"/>
                <w:lang w:val="fr-FR"/>
              </w:rPr>
              <w:t xml:space="preserve"> </w:t>
            </w:r>
            <w:r w:rsidRPr="00BA51D9">
              <w:rPr>
                <w:rFonts w:eastAsia="Times New Roman" w:cs="Arial"/>
                <w:sz w:val="20"/>
                <w:szCs w:val="20"/>
                <w:lang w:val="fr-FR"/>
              </w:rPr>
              <w:t>854</w:t>
            </w:r>
          </w:p>
        </w:tc>
        <w:tc>
          <w:tcPr>
            <w:tcW w:w="2460" w:type="dxa"/>
            <w:tcBorders>
              <w:top w:val="nil"/>
              <w:left w:val="nil"/>
              <w:bottom w:val="single" w:sz="4" w:space="0" w:color="auto"/>
              <w:right w:val="single" w:sz="4" w:space="0" w:color="auto"/>
            </w:tcBorders>
            <w:hideMark/>
          </w:tcPr>
          <w:p w:rsidR="008B7384" w:rsidRPr="00BA51D9" w:rsidRDefault="008B7384" w:rsidP="001F6AEC">
            <w:pPr>
              <w:rPr>
                <w:rFonts w:eastAsia="Times New Roman" w:cs="Arial"/>
                <w:sz w:val="20"/>
                <w:szCs w:val="20"/>
                <w:lang w:val="fr-FR"/>
              </w:rPr>
            </w:pPr>
            <w:r w:rsidRPr="00BA51D9">
              <w:rPr>
                <w:rFonts w:eastAsia="Times New Roman" w:cs="Arial"/>
                <w:sz w:val="20"/>
                <w:szCs w:val="20"/>
                <w:lang w:val="fr-FR"/>
              </w:rPr>
              <w:t>Autr</w:t>
            </w:r>
            <w:r w:rsidR="0038247F" w:rsidRPr="00BA51D9">
              <w:rPr>
                <w:rFonts w:eastAsia="Times New Roman" w:cs="Arial"/>
                <w:sz w:val="20"/>
                <w:szCs w:val="20"/>
                <w:lang w:val="fr-FR"/>
              </w:rPr>
              <w:t>iche</w:t>
            </w:r>
            <w:r w:rsidRPr="00BA51D9">
              <w:rPr>
                <w:rFonts w:eastAsia="Times New Roman" w:cs="Arial"/>
                <w:sz w:val="20"/>
                <w:szCs w:val="20"/>
                <w:lang w:val="fr-FR"/>
              </w:rPr>
              <w:t xml:space="preserve">, </w:t>
            </w:r>
            <w:r w:rsidR="0038247F" w:rsidRPr="00BA51D9">
              <w:rPr>
                <w:rFonts w:eastAsia="Times New Roman" w:cs="Arial"/>
                <w:sz w:val="20"/>
                <w:szCs w:val="20"/>
                <w:lang w:val="fr-FR"/>
              </w:rPr>
              <w:t>Espagne</w:t>
            </w:r>
            <w:r w:rsidRPr="00BA51D9">
              <w:rPr>
                <w:rFonts w:eastAsia="Times New Roman" w:cs="Arial"/>
                <w:sz w:val="20"/>
                <w:szCs w:val="20"/>
                <w:lang w:val="fr-FR"/>
              </w:rPr>
              <w:t xml:space="preserve">, </w:t>
            </w:r>
            <w:r w:rsidR="001F6AEC" w:rsidRPr="00BA51D9">
              <w:rPr>
                <w:rFonts w:eastAsia="Times New Roman" w:cs="Arial"/>
                <w:sz w:val="20"/>
                <w:szCs w:val="20"/>
                <w:lang w:val="fr-FR"/>
              </w:rPr>
              <w:t>États</w:t>
            </w:r>
            <w:r w:rsidR="001F6AEC" w:rsidRPr="00BA51D9">
              <w:rPr>
                <w:rFonts w:eastAsia="Times New Roman" w:cs="Arial"/>
                <w:sz w:val="20"/>
                <w:szCs w:val="20"/>
                <w:lang w:val="fr-FR"/>
              </w:rPr>
              <w:noBreakHyphen/>
              <w:t>Unis d’Amérique, Japon, Royaume</w:t>
            </w:r>
            <w:r w:rsidR="001F6AEC" w:rsidRPr="00BA51D9">
              <w:rPr>
                <w:rFonts w:eastAsia="Times New Roman" w:cs="Arial"/>
                <w:sz w:val="20"/>
                <w:szCs w:val="20"/>
                <w:lang w:val="fr-FR"/>
              </w:rPr>
              <w:noBreakHyphen/>
              <w:t xml:space="preserve">Uni, </w:t>
            </w:r>
            <w:r w:rsidR="0038247F" w:rsidRPr="00BA51D9">
              <w:rPr>
                <w:rFonts w:eastAsia="Times New Roman" w:cs="Arial"/>
                <w:sz w:val="20"/>
                <w:szCs w:val="20"/>
                <w:lang w:val="fr-FR"/>
              </w:rPr>
              <w:t>Suède</w:t>
            </w:r>
            <w:r w:rsidRPr="00BA51D9">
              <w:rPr>
                <w:rFonts w:eastAsia="Times New Roman" w:cs="Arial"/>
                <w:sz w:val="20"/>
                <w:szCs w:val="20"/>
                <w:lang w:val="fr-FR"/>
              </w:rPr>
              <w:t xml:space="preserve"> </w:t>
            </w:r>
          </w:p>
        </w:tc>
        <w:tc>
          <w:tcPr>
            <w:tcW w:w="1019" w:type="dxa"/>
            <w:tcBorders>
              <w:top w:val="nil"/>
              <w:left w:val="nil"/>
              <w:bottom w:val="single" w:sz="4" w:space="0" w:color="auto"/>
              <w:right w:val="single" w:sz="4" w:space="0" w:color="auto"/>
            </w:tcBorders>
            <w:hideMark/>
          </w:tcPr>
          <w:p w:rsidR="008B7384" w:rsidRPr="00BA51D9" w:rsidRDefault="008B7384" w:rsidP="00155BC8">
            <w:pPr>
              <w:jc w:val="center"/>
              <w:rPr>
                <w:rFonts w:eastAsia="Times New Roman" w:cs="Arial"/>
                <w:sz w:val="20"/>
                <w:szCs w:val="20"/>
                <w:lang w:val="fr-FR"/>
              </w:rPr>
            </w:pPr>
            <w:r w:rsidRPr="00BA51D9">
              <w:rPr>
                <w:rFonts w:eastAsia="Times New Roman" w:cs="Arial"/>
                <w:sz w:val="20"/>
                <w:szCs w:val="20"/>
                <w:lang w:val="fr-FR"/>
              </w:rPr>
              <w:t>17</w:t>
            </w:r>
          </w:p>
        </w:tc>
        <w:tc>
          <w:tcPr>
            <w:tcW w:w="3492" w:type="dxa"/>
            <w:tcBorders>
              <w:top w:val="nil"/>
              <w:left w:val="nil"/>
              <w:bottom w:val="single" w:sz="4" w:space="0" w:color="auto"/>
              <w:right w:val="single" w:sz="4" w:space="0" w:color="auto"/>
            </w:tcBorders>
            <w:hideMark/>
          </w:tcPr>
          <w:p w:rsidR="008B7384" w:rsidRPr="00BA51D9" w:rsidRDefault="008B7384" w:rsidP="0038247F">
            <w:pPr>
              <w:rPr>
                <w:rFonts w:eastAsia="Times New Roman" w:cs="Arial"/>
                <w:sz w:val="20"/>
                <w:szCs w:val="20"/>
                <w:lang w:val="fr-FR"/>
              </w:rPr>
            </w:pPr>
            <w:r w:rsidRPr="00BA51D9">
              <w:rPr>
                <w:rFonts w:eastAsia="Times New Roman" w:cs="Arial"/>
                <w:sz w:val="20"/>
                <w:szCs w:val="20"/>
                <w:lang w:val="fr-FR"/>
              </w:rPr>
              <w:t>Congo, Gambi</w:t>
            </w:r>
            <w:r w:rsidR="0038247F" w:rsidRPr="00BA51D9">
              <w:rPr>
                <w:rFonts w:eastAsia="Times New Roman" w:cs="Arial"/>
                <w:sz w:val="20"/>
                <w:szCs w:val="20"/>
                <w:lang w:val="fr-FR"/>
              </w:rPr>
              <w:t>e</w:t>
            </w:r>
            <w:r w:rsidRPr="00BA51D9">
              <w:rPr>
                <w:rFonts w:eastAsia="Times New Roman" w:cs="Arial"/>
                <w:sz w:val="20"/>
                <w:szCs w:val="20"/>
                <w:lang w:val="fr-FR"/>
              </w:rPr>
              <w:t xml:space="preserve"> </w:t>
            </w:r>
            <w:r w:rsidR="0038247F" w:rsidRPr="00BA51D9">
              <w:rPr>
                <w:rFonts w:eastAsia="Times New Roman" w:cs="Arial"/>
                <w:sz w:val="20"/>
                <w:szCs w:val="20"/>
                <w:lang w:val="fr-FR"/>
              </w:rPr>
              <w:t>et</w:t>
            </w:r>
            <w:r w:rsidR="00155BC8" w:rsidRPr="00BA51D9">
              <w:rPr>
                <w:rFonts w:eastAsia="Times New Roman" w:cs="Arial"/>
                <w:sz w:val="20"/>
                <w:szCs w:val="20"/>
                <w:lang w:val="fr-FR"/>
              </w:rPr>
              <w:t xml:space="preserve"> </w:t>
            </w:r>
            <w:r w:rsidR="0038247F" w:rsidRPr="00BA51D9">
              <w:rPr>
                <w:rFonts w:eastAsia="Times New Roman" w:cs="Arial"/>
                <w:sz w:val="20"/>
                <w:szCs w:val="20"/>
                <w:lang w:val="fr-FR"/>
              </w:rPr>
              <w:t>Sénégal</w:t>
            </w:r>
            <w:r w:rsidRPr="00BA51D9">
              <w:rPr>
                <w:rFonts w:eastAsia="Times New Roman" w:cs="Arial"/>
                <w:sz w:val="20"/>
                <w:szCs w:val="20"/>
                <w:lang w:val="fr-FR"/>
              </w:rPr>
              <w:t>, Kenya, Mauri</w:t>
            </w:r>
            <w:r w:rsidR="0038247F" w:rsidRPr="00BA51D9">
              <w:rPr>
                <w:rFonts w:eastAsia="Times New Roman" w:cs="Arial"/>
                <w:sz w:val="20"/>
                <w:szCs w:val="20"/>
                <w:lang w:val="fr-FR"/>
              </w:rPr>
              <w:t>ce</w:t>
            </w:r>
            <w:r w:rsidRPr="00BA51D9">
              <w:rPr>
                <w:rFonts w:eastAsia="Times New Roman" w:cs="Arial"/>
                <w:sz w:val="20"/>
                <w:szCs w:val="20"/>
                <w:lang w:val="fr-FR"/>
              </w:rPr>
              <w:t xml:space="preserve">, Sierra Leone, Sri Lanka, </w:t>
            </w:r>
            <w:r w:rsidR="0038247F" w:rsidRPr="00BA51D9">
              <w:rPr>
                <w:rFonts w:eastAsia="Times New Roman" w:cs="Arial"/>
                <w:sz w:val="20"/>
                <w:szCs w:val="20"/>
                <w:lang w:val="fr-FR"/>
              </w:rPr>
              <w:t>Thaïlande, Arménie</w:t>
            </w:r>
            <w:r w:rsidRPr="00BA51D9">
              <w:rPr>
                <w:rFonts w:eastAsia="Times New Roman" w:cs="Arial"/>
                <w:sz w:val="20"/>
                <w:szCs w:val="20"/>
                <w:lang w:val="fr-FR"/>
              </w:rPr>
              <w:t xml:space="preserve">, </w:t>
            </w:r>
            <w:r w:rsidR="0038247F" w:rsidRPr="00BA51D9">
              <w:rPr>
                <w:rFonts w:eastAsia="Times New Roman" w:cs="Arial"/>
                <w:sz w:val="20"/>
                <w:szCs w:val="20"/>
                <w:lang w:val="fr-FR"/>
              </w:rPr>
              <w:t>Bulgarie</w:t>
            </w:r>
            <w:r w:rsidRPr="00BA51D9">
              <w:rPr>
                <w:rFonts w:eastAsia="Times New Roman" w:cs="Arial"/>
                <w:sz w:val="20"/>
                <w:szCs w:val="20"/>
                <w:lang w:val="fr-FR"/>
              </w:rPr>
              <w:t xml:space="preserve">, </w:t>
            </w:r>
            <w:r w:rsidR="0038247F" w:rsidRPr="00BA51D9">
              <w:rPr>
                <w:rFonts w:eastAsia="Times New Roman" w:cs="Arial"/>
                <w:sz w:val="20"/>
                <w:szCs w:val="20"/>
                <w:lang w:val="fr-FR"/>
              </w:rPr>
              <w:t>Croatie</w:t>
            </w:r>
            <w:r w:rsidRPr="00BA51D9">
              <w:rPr>
                <w:rFonts w:eastAsia="Times New Roman" w:cs="Arial"/>
                <w:sz w:val="20"/>
                <w:szCs w:val="20"/>
                <w:lang w:val="fr-FR"/>
              </w:rPr>
              <w:t>,</w:t>
            </w:r>
            <w:r w:rsidR="00DD25C7" w:rsidRPr="00BA51D9">
              <w:rPr>
                <w:rFonts w:eastAsia="Times New Roman" w:cs="Arial"/>
                <w:sz w:val="20"/>
                <w:szCs w:val="20"/>
                <w:lang w:val="fr-FR"/>
              </w:rPr>
              <w:t xml:space="preserve"> </w:t>
            </w:r>
            <w:r w:rsidRPr="00BA51D9">
              <w:rPr>
                <w:rFonts w:eastAsia="Times New Roman" w:cs="Arial"/>
                <w:sz w:val="20"/>
                <w:szCs w:val="20"/>
                <w:lang w:val="fr-FR"/>
              </w:rPr>
              <w:t>Chil</w:t>
            </w:r>
            <w:r w:rsidR="0038247F" w:rsidRPr="00BA51D9">
              <w:rPr>
                <w:rFonts w:eastAsia="Times New Roman" w:cs="Arial"/>
                <w:sz w:val="20"/>
                <w:szCs w:val="20"/>
                <w:lang w:val="fr-FR"/>
              </w:rPr>
              <w:t>i</w:t>
            </w:r>
            <w:r w:rsidRPr="00BA51D9">
              <w:rPr>
                <w:rFonts w:eastAsia="Times New Roman" w:cs="Arial"/>
                <w:sz w:val="20"/>
                <w:szCs w:val="20"/>
                <w:lang w:val="fr-FR"/>
              </w:rPr>
              <w:t>, Costa Rica, Cuba, Mexi</w:t>
            </w:r>
            <w:r w:rsidR="0038247F" w:rsidRPr="00BA51D9">
              <w:rPr>
                <w:rFonts w:eastAsia="Times New Roman" w:cs="Arial"/>
                <w:sz w:val="20"/>
                <w:szCs w:val="20"/>
                <w:lang w:val="fr-FR"/>
              </w:rPr>
              <w:t>que</w:t>
            </w:r>
            <w:r w:rsidRPr="00BA51D9">
              <w:rPr>
                <w:rFonts w:eastAsia="Times New Roman" w:cs="Arial"/>
                <w:sz w:val="20"/>
                <w:szCs w:val="20"/>
                <w:lang w:val="fr-FR"/>
              </w:rPr>
              <w:t>, Uruguay, Fi</w:t>
            </w:r>
            <w:r w:rsidR="0038247F" w:rsidRPr="00BA51D9">
              <w:rPr>
                <w:rFonts w:eastAsia="Times New Roman" w:cs="Arial"/>
                <w:sz w:val="20"/>
                <w:szCs w:val="20"/>
                <w:lang w:val="fr-FR"/>
              </w:rPr>
              <w:t>d</w:t>
            </w:r>
            <w:r w:rsidRPr="00BA51D9">
              <w:rPr>
                <w:rFonts w:eastAsia="Times New Roman" w:cs="Arial"/>
                <w:sz w:val="20"/>
                <w:szCs w:val="20"/>
                <w:lang w:val="fr-FR"/>
              </w:rPr>
              <w:t>ji, Pala</w:t>
            </w:r>
            <w:r w:rsidR="0038247F" w:rsidRPr="00BA51D9">
              <w:rPr>
                <w:rFonts w:eastAsia="Times New Roman" w:cs="Arial"/>
                <w:sz w:val="20"/>
                <w:szCs w:val="20"/>
                <w:lang w:val="fr-FR"/>
              </w:rPr>
              <w:t>os</w:t>
            </w:r>
          </w:p>
        </w:tc>
      </w:tr>
      <w:tr w:rsidR="008B7384" w:rsidRPr="00C57B14"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BA51D9" w:rsidRDefault="008B7384" w:rsidP="00155BC8">
            <w:pPr>
              <w:rPr>
                <w:rFonts w:eastAsia="Times New Roman" w:cs="Arial"/>
                <w:b/>
                <w:bCs/>
                <w:sz w:val="20"/>
                <w:szCs w:val="20"/>
                <w:lang w:val="fr-FR"/>
              </w:rPr>
            </w:pPr>
            <w:r w:rsidRPr="00BA51D9">
              <w:rPr>
                <w:rFonts w:eastAsia="Times New Roman" w:cs="Arial"/>
                <w:b/>
                <w:bCs/>
                <w:sz w:val="20"/>
                <w:szCs w:val="20"/>
                <w:lang w:val="fr-FR"/>
              </w:rPr>
              <w:t>2003</w:t>
            </w:r>
          </w:p>
        </w:tc>
        <w:tc>
          <w:tcPr>
            <w:tcW w:w="1199" w:type="dxa"/>
            <w:tcBorders>
              <w:top w:val="nil"/>
              <w:left w:val="nil"/>
              <w:bottom w:val="single" w:sz="4" w:space="0" w:color="auto"/>
              <w:right w:val="single" w:sz="4" w:space="0" w:color="auto"/>
            </w:tcBorders>
            <w:hideMark/>
          </w:tcPr>
          <w:p w:rsidR="008B7384" w:rsidRPr="00BA51D9" w:rsidRDefault="008B7384" w:rsidP="00155BC8">
            <w:pPr>
              <w:jc w:val="right"/>
              <w:rPr>
                <w:rFonts w:eastAsia="Times New Roman" w:cs="Arial"/>
                <w:sz w:val="20"/>
                <w:szCs w:val="20"/>
                <w:lang w:val="fr-FR"/>
              </w:rPr>
            </w:pPr>
            <w:r w:rsidRPr="00BA51D9">
              <w:rPr>
                <w:rFonts w:eastAsia="Times New Roman" w:cs="Arial"/>
                <w:sz w:val="20"/>
                <w:szCs w:val="20"/>
                <w:lang w:val="fr-FR"/>
              </w:rPr>
              <w:t>341</w:t>
            </w:r>
            <w:r w:rsidR="003C509D" w:rsidRPr="00BA51D9">
              <w:rPr>
                <w:rFonts w:eastAsia="Times New Roman" w:cs="Arial"/>
                <w:sz w:val="20"/>
                <w:szCs w:val="20"/>
                <w:lang w:val="fr-FR"/>
              </w:rPr>
              <w:t xml:space="preserve"> </w:t>
            </w:r>
            <w:r w:rsidRPr="00BA51D9">
              <w:rPr>
                <w:rFonts w:eastAsia="Times New Roman" w:cs="Arial"/>
                <w:sz w:val="20"/>
                <w:szCs w:val="20"/>
                <w:lang w:val="fr-FR"/>
              </w:rPr>
              <w:t>885</w:t>
            </w:r>
          </w:p>
        </w:tc>
        <w:tc>
          <w:tcPr>
            <w:tcW w:w="2460" w:type="dxa"/>
            <w:tcBorders>
              <w:top w:val="nil"/>
              <w:left w:val="nil"/>
              <w:bottom w:val="single" w:sz="4" w:space="0" w:color="auto"/>
              <w:right w:val="single" w:sz="4" w:space="0" w:color="auto"/>
            </w:tcBorders>
            <w:hideMark/>
          </w:tcPr>
          <w:p w:rsidR="008B7384" w:rsidRPr="00BA51D9" w:rsidRDefault="001F6AEC" w:rsidP="001F6AEC">
            <w:pPr>
              <w:rPr>
                <w:rFonts w:eastAsia="Times New Roman" w:cs="Arial"/>
                <w:sz w:val="20"/>
                <w:szCs w:val="20"/>
                <w:lang w:val="fr-FR"/>
              </w:rPr>
            </w:pPr>
            <w:r w:rsidRPr="00BA51D9">
              <w:rPr>
                <w:rFonts w:eastAsia="Times New Roman" w:cs="Arial"/>
                <w:sz w:val="20"/>
                <w:szCs w:val="20"/>
                <w:lang w:val="fr-FR"/>
              </w:rPr>
              <w:t xml:space="preserve">Allemagne, </w:t>
            </w:r>
            <w:r w:rsidR="008B7384" w:rsidRPr="00BA51D9">
              <w:rPr>
                <w:rFonts w:eastAsia="Times New Roman" w:cs="Arial"/>
                <w:sz w:val="20"/>
                <w:szCs w:val="20"/>
                <w:lang w:val="fr-FR"/>
              </w:rPr>
              <w:t>Au</w:t>
            </w:r>
            <w:r w:rsidR="0038247F" w:rsidRPr="00BA51D9">
              <w:rPr>
                <w:rFonts w:eastAsia="Times New Roman" w:cs="Arial"/>
                <w:sz w:val="20"/>
                <w:szCs w:val="20"/>
                <w:lang w:val="fr-FR"/>
              </w:rPr>
              <w:t>triche</w:t>
            </w:r>
            <w:r w:rsidR="008B7384" w:rsidRPr="00BA51D9">
              <w:rPr>
                <w:rFonts w:eastAsia="Times New Roman" w:cs="Arial"/>
                <w:sz w:val="20"/>
                <w:szCs w:val="20"/>
                <w:lang w:val="fr-FR"/>
              </w:rPr>
              <w:t>, Belgi</w:t>
            </w:r>
            <w:r w:rsidR="0038247F" w:rsidRPr="00BA51D9">
              <w:rPr>
                <w:rFonts w:eastAsia="Times New Roman" w:cs="Arial"/>
                <w:sz w:val="20"/>
                <w:szCs w:val="20"/>
                <w:lang w:val="fr-FR"/>
              </w:rPr>
              <w:t>que</w:t>
            </w:r>
            <w:r w:rsidR="008B7384" w:rsidRPr="00BA51D9">
              <w:rPr>
                <w:rFonts w:eastAsia="Times New Roman" w:cs="Arial"/>
                <w:sz w:val="20"/>
                <w:szCs w:val="20"/>
                <w:lang w:val="fr-FR"/>
              </w:rPr>
              <w:t xml:space="preserve">, </w:t>
            </w:r>
            <w:r w:rsidR="0038247F" w:rsidRPr="00BA51D9">
              <w:rPr>
                <w:rFonts w:eastAsia="Times New Roman" w:cs="Arial"/>
                <w:sz w:val="20"/>
                <w:szCs w:val="20"/>
                <w:lang w:val="fr-FR"/>
              </w:rPr>
              <w:t>Danemark</w:t>
            </w:r>
            <w:r w:rsidR="008B7384" w:rsidRPr="00BA51D9">
              <w:rPr>
                <w:rFonts w:eastAsia="Times New Roman" w:cs="Arial"/>
                <w:sz w:val="20"/>
                <w:szCs w:val="20"/>
                <w:lang w:val="fr-FR"/>
              </w:rPr>
              <w:t xml:space="preserve">, Iran, </w:t>
            </w:r>
            <w:r w:rsidR="0038247F" w:rsidRPr="00BA51D9">
              <w:rPr>
                <w:rFonts w:eastAsia="Times New Roman" w:cs="Arial"/>
                <w:sz w:val="20"/>
                <w:szCs w:val="20"/>
                <w:lang w:val="fr-FR"/>
              </w:rPr>
              <w:t>Italie</w:t>
            </w:r>
            <w:r w:rsidR="008B7384" w:rsidRPr="00BA51D9">
              <w:rPr>
                <w:rFonts w:eastAsia="Times New Roman" w:cs="Arial"/>
                <w:sz w:val="20"/>
                <w:szCs w:val="20"/>
                <w:lang w:val="fr-FR"/>
              </w:rPr>
              <w:t xml:space="preserve">, </w:t>
            </w:r>
            <w:r w:rsidR="0038247F" w:rsidRPr="00BA51D9">
              <w:rPr>
                <w:rFonts w:eastAsia="Times New Roman" w:cs="Arial"/>
                <w:sz w:val="20"/>
                <w:szCs w:val="20"/>
                <w:lang w:val="fr-FR"/>
              </w:rPr>
              <w:t>Japon</w:t>
            </w:r>
            <w:r w:rsidR="008B7384" w:rsidRPr="00BA51D9">
              <w:rPr>
                <w:rFonts w:eastAsia="Times New Roman" w:cs="Arial"/>
                <w:sz w:val="20"/>
                <w:szCs w:val="20"/>
                <w:lang w:val="fr-FR"/>
              </w:rPr>
              <w:t xml:space="preserve">, </w:t>
            </w:r>
            <w:r w:rsidRPr="00BA51D9">
              <w:rPr>
                <w:rFonts w:eastAsia="Times New Roman" w:cs="Arial"/>
                <w:sz w:val="20"/>
                <w:szCs w:val="20"/>
                <w:lang w:val="fr-FR"/>
              </w:rPr>
              <w:t>Royaume</w:t>
            </w:r>
            <w:r w:rsidRPr="00BA51D9">
              <w:rPr>
                <w:rFonts w:eastAsia="Times New Roman" w:cs="Arial"/>
                <w:sz w:val="20"/>
                <w:szCs w:val="20"/>
                <w:lang w:val="fr-FR"/>
              </w:rPr>
              <w:noBreakHyphen/>
              <w:t xml:space="preserve">Uni, </w:t>
            </w:r>
            <w:r w:rsidR="0038247F" w:rsidRPr="00BA51D9">
              <w:rPr>
                <w:rFonts w:eastAsia="Times New Roman" w:cs="Arial"/>
                <w:sz w:val="20"/>
                <w:szCs w:val="20"/>
                <w:lang w:val="fr-FR"/>
              </w:rPr>
              <w:t>Suède</w:t>
            </w:r>
            <w:r w:rsidR="008B7384" w:rsidRPr="00BA51D9">
              <w:rPr>
                <w:rFonts w:eastAsia="Times New Roman" w:cs="Arial"/>
                <w:sz w:val="20"/>
                <w:szCs w:val="20"/>
                <w:lang w:val="fr-FR"/>
              </w:rPr>
              <w:t xml:space="preserve">, </w:t>
            </w:r>
            <w:r w:rsidRPr="00BA51D9">
              <w:rPr>
                <w:rFonts w:eastAsia="Times New Roman" w:cs="Arial"/>
                <w:sz w:val="20"/>
                <w:szCs w:val="20"/>
                <w:lang w:val="fr-FR"/>
              </w:rPr>
              <w:t xml:space="preserve">Prog. Eaux vives du </w:t>
            </w:r>
            <w:r w:rsidR="008B7384" w:rsidRPr="00BA51D9">
              <w:rPr>
                <w:rFonts w:eastAsia="Times New Roman" w:cs="Arial"/>
                <w:sz w:val="20"/>
                <w:szCs w:val="20"/>
                <w:lang w:val="fr-FR"/>
              </w:rPr>
              <w:t xml:space="preserve">WWF </w:t>
            </w:r>
          </w:p>
        </w:tc>
        <w:tc>
          <w:tcPr>
            <w:tcW w:w="1019" w:type="dxa"/>
            <w:tcBorders>
              <w:top w:val="nil"/>
              <w:left w:val="nil"/>
              <w:bottom w:val="single" w:sz="4" w:space="0" w:color="auto"/>
              <w:right w:val="single" w:sz="4" w:space="0" w:color="auto"/>
            </w:tcBorders>
            <w:hideMark/>
          </w:tcPr>
          <w:p w:rsidR="008B7384" w:rsidRPr="00BA51D9" w:rsidRDefault="008B7384" w:rsidP="00155BC8">
            <w:pPr>
              <w:jc w:val="center"/>
              <w:rPr>
                <w:rFonts w:eastAsia="Times New Roman" w:cs="Arial"/>
                <w:sz w:val="20"/>
                <w:szCs w:val="20"/>
                <w:lang w:val="fr-FR"/>
              </w:rPr>
            </w:pPr>
            <w:r w:rsidRPr="00BA51D9">
              <w:rPr>
                <w:rFonts w:eastAsia="Times New Roman" w:cs="Arial"/>
                <w:sz w:val="20"/>
                <w:szCs w:val="20"/>
                <w:lang w:val="fr-FR"/>
              </w:rPr>
              <w:t>9</w:t>
            </w:r>
          </w:p>
        </w:tc>
        <w:tc>
          <w:tcPr>
            <w:tcW w:w="3492" w:type="dxa"/>
            <w:tcBorders>
              <w:top w:val="nil"/>
              <w:left w:val="nil"/>
              <w:bottom w:val="single" w:sz="4" w:space="0" w:color="auto"/>
              <w:right w:val="single" w:sz="4" w:space="0" w:color="auto"/>
            </w:tcBorders>
            <w:hideMark/>
          </w:tcPr>
          <w:p w:rsidR="008B7384" w:rsidRPr="00BA51D9" w:rsidRDefault="008B7384" w:rsidP="001F6AEC">
            <w:pPr>
              <w:rPr>
                <w:rFonts w:eastAsia="Times New Roman" w:cs="Arial"/>
                <w:sz w:val="20"/>
                <w:szCs w:val="20"/>
                <w:lang w:val="fr-FR"/>
              </w:rPr>
            </w:pPr>
            <w:r w:rsidRPr="00BA51D9">
              <w:rPr>
                <w:rFonts w:eastAsia="Times New Roman" w:cs="Arial"/>
                <w:sz w:val="20"/>
                <w:szCs w:val="20"/>
                <w:lang w:val="fr-FR"/>
              </w:rPr>
              <w:t>Nig</w:t>
            </w:r>
            <w:r w:rsidR="0038247F" w:rsidRPr="00BA51D9">
              <w:rPr>
                <w:rFonts w:eastAsia="Times New Roman" w:cs="Arial"/>
                <w:sz w:val="20"/>
                <w:szCs w:val="20"/>
                <w:lang w:val="fr-FR"/>
              </w:rPr>
              <w:t>é</w:t>
            </w:r>
            <w:r w:rsidRPr="00BA51D9">
              <w:rPr>
                <w:rFonts w:eastAsia="Times New Roman" w:cs="Arial"/>
                <w:sz w:val="20"/>
                <w:szCs w:val="20"/>
                <w:lang w:val="fr-FR"/>
              </w:rPr>
              <w:t xml:space="preserve">ria, Kenya, </w:t>
            </w:r>
            <w:r w:rsidR="001F6AEC" w:rsidRPr="00BA51D9">
              <w:rPr>
                <w:rFonts w:eastAsia="Times New Roman" w:cs="Arial"/>
                <w:sz w:val="20"/>
                <w:szCs w:val="20"/>
                <w:lang w:val="fr-FR"/>
              </w:rPr>
              <w:t>RDP lao</w:t>
            </w:r>
            <w:r w:rsidRPr="00BA51D9">
              <w:rPr>
                <w:rFonts w:eastAsia="Times New Roman" w:cs="Arial"/>
                <w:sz w:val="20"/>
                <w:szCs w:val="20"/>
                <w:lang w:val="fr-FR"/>
              </w:rPr>
              <w:t xml:space="preserve">, </w:t>
            </w:r>
            <w:r w:rsidR="001F6AEC" w:rsidRPr="00BA51D9">
              <w:rPr>
                <w:rFonts w:eastAsia="Times New Roman" w:cs="Arial"/>
                <w:sz w:val="20"/>
                <w:szCs w:val="20"/>
                <w:lang w:val="fr-FR"/>
              </w:rPr>
              <w:t xml:space="preserve">République </w:t>
            </w:r>
            <w:r w:rsidR="001F6AEC" w:rsidRPr="00BA51D9">
              <w:rPr>
                <w:rFonts w:eastAsia="Times New Roman"/>
                <w:sz w:val="20"/>
                <w:szCs w:val="20"/>
                <w:lang w:val="fr-FR"/>
              </w:rPr>
              <w:t>kirghize</w:t>
            </w:r>
            <w:r w:rsidRPr="00BA51D9">
              <w:rPr>
                <w:rFonts w:eastAsia="Times New Roman" w:cs="Arial"/>
                <w:sz w:val="20"/>
                <w:szCs w:val="20"/>
                <w:lang w:val="fr-FR"/>
              </w:rPr>
              <w:t xml:space="preserve">, </w:t>
            </w:r>
            <w:r w:rsidR="0038247F" w:rsidRPr="00BA51D9">
              <w:rPr>
                <w:rFonts w:eastAsia="Times New Roman" w:cs="Arial"/>
                <w:sz w:val="20"/>
                <w:szCs w:val="20"/>
                <w:lang w:val="fr-FR"/>
              </w:rPr>
              <w:t>République</w:t>
            </w:r>
            <w:r w:rsidRPr="00BA51D9">
              <w:rPr>
                <w:rFonts w:eastAsia="Times New Roman" w:cs="Arial"/>
                <w:sz w:val="20"/>
                <w:szCs w:val="20"/>
                <w:lang w:val="fr-FR"/>
              </w:rPr>
              <w:t xml:space="preserve"> </w:t>
            </w:r>
            <w:r w:rsidR="0038247F" w:rsidRPr="00BA51D9">
              <w:rPr>
                <w:rFonts w:eastAsia="Times New Roman" w:cs="Arial"/>
                <w:sz w:val="20"/>
                <w:szCs w:val="20"/>
                <w:lang w:val="fr-FR"/>
              </w:rPr>
              <w:t>de</w:t>
            </w:r>
            <w:r w:rsidRPr="00BA51D9">
              <w:rPr>
                <w:rFonts w:eastAsia="Times New Roman" w:cs="Arial"/>
                <w:sz w:val="20"/>
                <w:szCs w:val="20"/>
                <w:lang w:val="fr-FR"/>
              </w:rPr>
              <w:t xml:space="preserve"> Moldova, Bahamas, Guatemala, </w:t>
            </w:r>
            <w:r w:rsidR="001F6AEC" w:rsidRPr="00BA51D9">
              <w:rPr>
                <w:rFonts w:eastAsia="Times New Roman" w:cs="Arial"/>
                <w:sz w:val="20"/>
                <w:szCs w:val="20"/>
                <w:lang w:val="fr-FR"/>
              </w:rPr>
              <w:t xml:space="preserve">Îles </w:t>
            </w:r>
            <w:r w:rsidRPr="00BA51D9">
              <w:rPr>
                <w:rFonts w:eastAsia="Times New Roman" w:cs="Arial"/>
                <w:sz w:val="20"/>
                <w:szCs w:val="20"/>
                <w:lang w:val="fr-FR"/>
              </w:rPr>
              <w:t>Marshall, Tonga</w:t>
            </w:r>
          </w:p>
        </w:tc>
      </w:tr>
      <w:tr w:rsidR="008B7384" w:rsidRPr="00C57B14"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BA51D9" w:rsidRDefault="008B7384" w:rsidP="00155BC8">
            <w:pPr>
              <w:rPr>
                <w:rFonts w:eastAsia="Times New Roman" w:cs="Arial"/>
                <w:b/>
                <w:bCs/>
                <w:sz w:val="20"/>
                <w:szCs w:val="20"/>
                <w:lang w:val="fr-FR"/>
              </w:rPr>
            </w:pPr>
            <w:r w:rsidRPr="00BA51D9">
              <w:rPr>
                <w:rFonts w:eastAsia="Times New Roman" w:cs="Arial"/>
                <w:b/>
                <w:bCs/>
                <w:sz w:val="20"/>
                <w:szCs w:val="20"/>
                <w:lang w:val="fr-FR"/>
              </w:rPr>
              <w:t>2004</w:t>
            </w:r>
          </w:p>
        </w:tc>
        <w:tc>
          <w:tcPr>
            <w:tcW w:w="1199" w:type="dxa"/>
            <w:tcBorders>
              <w:top w:val="nil"/>
              <w:left w:val="nil"/>
              <w:bottom w:val="single" w:sz="4" w:space="0" w:color="auto"/>
              <w:right w:val="single" w:sz="4" w:space="0" w:color="auto"/>
            </w:tcBorders>
            <w:hideMark/>
          </w:tcPr>
          <w:p w:rsidR="008B7384" w:rsidRPr="00BA51D9" w:rsidRDefault="008B7384" w:rsidP="00155BC8">
            <w:pPr>
              <w:jc w:val="right"/>
              <w:rPr>
                <w:rFonts w:eastAsia="Times New Roman" w:cs="Arial"/>
                <w:sz w:val="20"/>
                <w:szCs w:val="20"/>
                <w:lang w:val="fr-FR"/>
              </w:rPr>
            </w:pPr>
            <w:r w:rsidRPr="00BA51D9">
              <w:rPr>
                <w:rFonts w:eastAsia="Times New Roman" w:cs="Arial"/>
                <w:sz w:val="20"/>
                <w:szCs w:val="20"/>
                <w:lang w:val="fr-FR"/>
              </w:rPr>
              <w:t>281</w:t>
            </w:r>
            <w:r w:rsidR="003C509D" w:rsidRPr="00BA51D9">
              <w:rPr>
                <w:rFonts w:eastAsia="Times New Roman" w:cs="Arial"/>
                <w:sz w:val="20"/>
                <w:szCs w:val="20"/>
                <w:lang w:val="fr-FR"/>
              </w:rPr>
              <w:t xml:space="preserve"> </w:t>
            </w:r>
            <w:r w:rsidRPr="00BA51D9">
              <w:rPr>
                <w:rFonts w:eastAsia="Times New Roman" w:cs="Arial"/>
                <w:sz w:val="20"/>
                <w:szCs w:val="20"/>
                <w:lang w:val="fr-FR"/>
              </w:rPr>
              <w:t>040</w:t>
            </w:r>
          </w:p>
        </w:tc>
        <w:tc>
          <w:tcPr>
            <w:tcW w:w="2460" w:type="dxa"/>
            <w:tcBorders>
              <w:top w:val="nil"/>
              <w:left w:val="nil"/>
              <w:bottom w:val="single" w:sz="4" w:space="0" w:color="auto"/>
              <w:right w:val="single" w:sz="4" w:space="0" w:color="auto"/>
            </w:tcBorders>
            <w:hideMark/>
          </w:tcPr>
          <w:p w:rsidR="008B7384" w:rsidRPr="00BA51D9" w:rsidRDefault="0038247F" w:rsidP="001F6AEC">
            <w:pPr>
              <w:rPr>
                <w:rFonts w:eastAsia="Times New Roman" w:cs="Arial"/>
                <w:sz w:val="20"/>
                <w:szCs w:val="20"/>
                <w:lang w:val="fr-FR"/>
              </w:rPr>
            </w:pPr>
            <w:r w:rsidRPr="00BA51D9">
              <w:rPr>
                <w:rFonts w:eastAsia="Times New Roman" w:cs="Arial"/>
                <w:sz w:val="20"/>
                <w:szCs w:val="20"/>
                <w:lang w:val="fr-FR"/>
              </w:rPr>
              <w:t>Autriche</w:t>
            </w:r>
            <w:r w:rsidR="008B7384" w:rsidRPr="00BA51D9">
              <w:rPr>
                <w:rFonts w:eastAsia="Times New Roman" w:cs="Arial"/>
                <w:sz w:val="20"/>
                <w:szCs w:val="20"/>
                <w:lang w:val="fr-FR"/>
              </w:rPr>
              <w:t xml:space="preserve">, </w:t>
            </w:r>
            <w:r w:rsidRPr="00BA51D9">
              <w:rPr>
                <w:rFonts w:eastAsia="Times New Roman" w:cs="Arial"/>
                <w:sz w:val="20"/>
                <w:szCs w:val="20"/>
                <w:lang w:val="fr-FR"/>
              </w:rPr>
              <w:t>Japon</w:t>
            </w:r>
            <w:r w:rsidR="008B7384" w:rsidRPr="00BA51D9">
              <w:rPr>
                <w:rFonts w:eastAsia="Times New Roman" w:cs="Arial"/>
                <w:sz w:val="20"/>
                <w:szCs w:val="20"/>
                <w:lang w:val="fr-FR"/>
              </w:rPr>
              <w:t xml:space="preserve">, </w:t>
            </w:r>
            <w:r w:rsidR="001F6AEC" w:rsidRPr="00BA51D9">
              <w:rPr>
                <w:rFonts w:eastAsia="Times New Roman" w:cs="Arial"/>
                <w:sz w:val="20"/>
                <w:szCs w:val="20"/>
                <w:lang w:val="fr-FR"/>
              </w:rPr>
              <w:t>Royaume</w:t>
            </w:r>
            <w:r w:rsidR="001F6AEC" w:rsidRPr="00BA51D9">
              <w:rPr>
                <w:rFonts w:eastAsia="Times New Roman" w:cs="Arial"/>
                <w:sz w:val="20"/>
                <w:szCs w:val="20"/>
                <w:lang w:val="fr-FR"/>
              </w:rPr>
              <w:noBreakHyphen/>
              <w:t xml:space="preserve">Uni, </w:t>
            </w:r>
            <w:r w:rsidRPr="00BA51D9">
              <w:rPr>
                <w:rFonts w:eastAsia="Times New Roman" w:cs="Arial"/>
                <w:sz w:val="20"/>
                <w:szCs w:val="20"/>
                <w:lang w:val="fr-FR"/>
              </w:rPr>
              <w:t>Suède</w:t>
            </w:r>
          </w:p>
        </w:tc>
        <w:tc>
          <w:tcPr>
            <w:tcW w:w="1019" w:type="dxa"/>
            <w:tcBorders>
              <w:top w:val="nil"/>
              <w:left w:val="nil"/>
              <w:bottom w:val="single" w:sz="4" w:space="0" w:color="auto"/>
              <w:right w:val="single" w:sz="4" w:space="0" w:color="auto"/>
            </w:tcBorders>
            <w:hideMark/>
          </w:tcPr>
          <w:p w:rsidR="008B7384" w:rsidRPr="00BA51D9" w:rsidRDefault="008B7384" w:rsidP="00155BC8">
            <w:pPr>
              <w:jc w:val="center"/>
              <w:rPr>
                <w:rFonts w:eastAsia="Times New Roman" w:cs="Arial"/>
                <w:sz w:val="20"/>
                <w:szCs w:val="20"/>
                <w:lang w:val="fr-FR"/>
              </w:rPr>
            </w:pPr>
            <w:r w:rsidRPr="00BA51D9">
              <w:rPr>
                <w:rFonts w:eastAsia="Times New Roman" w:cs="Arial"/>
                <w:sz w:val="20"/>
                <w:szCs w:val="20"/>
                <w:lang w:val="fr-FR"/>
              </w:rPr>
              <w:t>11</w:t>
            </w:r>
          </w:p>
        </w:tc>
        <w:tc>
          <w:tcPr>
            <w:tcW w:w="3492" w:type="dxa"/>
            <w:tcBorders>
              <w:top w:val="nil"/>
              <w:left w:val="nil"/>
              <w:bottom w:val="single" w:sz="4" w:space="0" w:color="auto"/>
              <w:right w:val="single" w:sz="4" w:space="0" w:color="auto"/>
            </w:tcBorders>
            <w:hideMark/>
          </w:tcPr>
          <w:p w:rsidR="008B7384" w:rsidRPr="00BA51D9" w:rsidRDefault="008B7384" w:rsidP="001F6AEC">
            <w:pPr>
              <w:rPr>
                <w:rFonts w:eastAsia="Times New Roman" w:cs="Arial"/>
                <w:sz w:val="20"/>
                <w:szCs w:val="20"/>
                <w:lang w:val="fr-FR"/>
              </w:rPr>
            </w:pPr>
            <w:r w:rsidRPr="00BA51D9">
              <w:rPr>
                <w:rFonts w:eastAsia="Times New Roman" w:cs="Arial"/>
                <w:sz w:val="20"/>
                <w:szCs w:val="20"/>
                <w:lang w:val="fr-FR"/>
              </w:rPr>
              <w:t>Lesotho, Lib</w:t>
            </w:r>
            <w:r w:rsidR="001F6AEC" w:rsidRPr="00BA51D9">
              <w:rPr>
                <w:rFonts w:eastAsia="Times New Roman" w:cs="Arial"/>
                <w:sz w:val="20"/>
                <w:szCs w:val="20"/>
                <w:lang w:val="fr-FR"/>
              </w:rPr>
              <w:t>é</w:t>
            </w:r>
            <w:r w:rsidRPr="00BA51D9">
              <w:rPr>
                <w:rFonts w:eastAsia="Times New Roman" w:cs="Arial"/>
                <w:sz w:val="20"/>
                <w:szCs w:val="20"/>
                <w:lang w:val="fr-FR"/>
              </w:rPr>
              <w:t>ria, Ind</w:t>
            </w:r>
            <w:r w:rsidR="001F6AEC" w:rsidRPr="00BA51D9">
              <w:rPr>
                <w:rFonts w:eastAsia="Times New Roman" w:cs="Arial"/>
                <w:sz w:val="20"/>
                <w:szCs w:val="20"/>
                <w:lang w:val="fr-FR"/>
              </w:rPr>
              <w:t>e</w:t>
            </w:r>
            <w:r w:rsidRPr="00BA51D9">
              <w:rPr>
                <w:rFonts w:eastAsia="Times New Roman" w:cs="Arial"/>
                <w:sz w:val="20"/>
                <w:szCs w:val="20"/>
                <w:lang w:val="fr-FR"/>
              </w:rPr>
              <w:t>, Kazakhstan, Mala</w:t>
            </w:r>
            <w:r w:rsidR="001F6AEC" w:rsidRPr="00BA51D9">
              <w:rPr>
                <w:rFonts w:eastAsia="Times New Roman" w:cs="Arial"/>
                <w:sz w:val="20"/>
                <w:szCs w:val="20"/>
                <w:lang w:val="fr-FR"/>
              </w:rPr>
              <w:t>isie</w:t>
            </w:r>
            <w:r w:rsidRPr="00BA51D9">
              <w:rPr>
                <w:rFonts w:eastAsia="Times New Roman" w:cs="Arial"/>
                <w:sz w:val="20"/>
                <w:szCs w:val="20"/>
                <w:lang w:val="fr-FR"/>
              </w:rPr>
              <w:t xml:space="preserve">, </w:t>
            </w:r>
            <w:r w:rsidR="001F6AEC" w:rsidRPr="00BA51D9">
              <w:rPr>
                <w:rFonts w:eastAsia="Times New Roman" w:cs="Arial"/>
                <w:sz w:val="20"/>
                <w:szCs w:val="20"/>
                <w:lang w:val="fr-FR"/>
              </w:rPr>
              <w:t>Thaïlande</w:t>
            </w:r>
            <w:r w:rsidRPr="00BA51D9">
              <w:rPr>
                <w:rFonts w:eastAsia="Times New Roman" w:cs="Arial"/>
                <w:sz w:val="20"/>
                <w:szCs w:val="20"/>
                <w:lang w:val="fr-FR"/>
              </w:rPr>
              <w:t xml:space="preserve">, </w:t>
            </w:r>
            <w:r w:rsidR="001F6AEC" w:rsidRPr="00BA51D9">
              <w:rPr>
                <w:rFonts w:eastAsia="Times New Roman" w:cs="Arial"/>
                <w:sz w:val="20"/>
                <w:szCs w:val="20"/>
                <w:lang w:val="fr-FR"/>
              </w:rPr>
              <w:t>Slovénie</w:t>
            </w:r>
            <w:r w:rsidRPr="00BA51D9">
              <w:rPr>
                <w:rFonts w:eastAsia="Times New Roman" w:cs="Arial"/>
                <w:sz w:val="20"/>
                <w:szCs w:val="20"/>
                <w:lang w:val="fr-FR"/>
              </w:rPr>
              <w:t xml:space="preserve">, </w:t>
            </w:r>
            <w:r w:rsidR="001F6AEC" w:rsidRPr="00BA51D9">
              <w:rPr>
                <w:rFonts w:eastAsia="Times New Roman" w:cs="Arial"/>
                <w:sz w:val="20"/>
                <w:szCs w:val="20"/>
                <w:lang w:val="fr-FR"/>
              </w:rPr>
              <w:t>Jamaïque</w:t>
            </w:r>
            <w:r w:rsidRPr="00BA51D9">
              <w:rPr>
                <w:rFonts w:eastAsia="Times New Roman" w:cs="Arial"/>
                <w:sz w:val="20"/>
                <w:szCs w:val="20"/>
                <w:lang w:val="fr-FR"/>
              </w:rPr>
              <w:t xml:space="preserve">, Nicaragua, Samoa, </w:t>
            </w:r>
            <w:r w:rsidR="001F6AEC" w:rsidRPr="00BA51D9">
              <w:rPr>
                <w:rFonts w:eastAsia="Times New Roman" w:cs="Arial"/>
                <w:sz w:val="20"/>
                <w:szCs w:val="20"/>
                <w:lang w:val="fr-FR"/>
              </w:rPr>
              <w:t>projet pour les régions d’Asie du Sud</w:t>
            </w:r>
            <w:r w:rsidR="001F6AEC" w:rsidRPr="00BA51D9">
              <w:rPr>
                <w:rFonts w:eastAsia="Times New Roman" w:cs="Arial"/>
                <w:sz w:val="20"/>
                <w:szCs w:val="20"/>
                <w:lang w:val="fr-FR"/>
              </w:rPr>
              <w:noBreakHyphen/>
              <w:t xml:space="preserve">Est </w:t>
            </w:r>
          </w:p>
        </w:tc>
      </w:tr>
      <w:tr w:rsidR="008B7384" w:rsidRPr="00BA51D9"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BA51D9" w:rsidRDefault="008B7384" w:rsidP="00155BC8">
            <w:pPr>
              <w:rPr>
                <w:rFonts w:eastAsia="Times New Roman" w:cs="Arial"/>
                <w:b/>
                <w:bCs/>
                <w:sz w:val="20"/>
                <w:szCs w:val="20"/>
                <w:lang w:val="fr-FR"/>
              </w:rPr>
            </w:pPr>
            <w:r w:rsidRPr="00BA51D9">
              <w:rPr>
                <w:rFonts w:eastAsia="Times New Roman" w:cs="Arial"/>
                <w:b/>
                <w:bCs/>
                <w:sz w:val="20"/>
                <w:szCs w:val="20"/>
                <w:lang w:val="fr-FR"/>
              </w:rPr>
              <w:t>2005</w:t>
            </w:r>
          </w:p>
        </w:tc>
        <w:tc>
          <w:tcPr>
            <w:tcW w:w="1199" w:type="dxa"/>
            <w:tcBorders>
              <w:top w:val="nil"/>
              <w:left w:val="nil"/>
              <w:bottom w:val="single" w:sz="4" w:space="0" w:color="auto"/>
              <w:right w:val="single" w:sz="4" w:space="0" w:color="auto"/>
            </w:tcBorders>
            <w:hideMark/>
          </w:tcPr>
          <w:p w:rsidR="008B7384" w:rsidRPr="00BA51D9" w:rsidRDefault="008B7384" w:rsidP="00155BC8">
            <w:pPr>
              <w:jc w:val="right"/>
              <w:rPr>
                <w:rFonts w:eastAsia="Times New Roman" w:cs="Arial"/>
                <w:sz w:val="20"/>
                <w:szCs w:val="20"/>
                <w:lang w:val="fr-FR"/>
              </w:rPr>
            </w:pPr>
            <w:r w:rsidRPr="00BA51D9">
              <w:rPr>
                <w:rFonts w:eastAsia="Times New Roman" w:cs="Arial"/>
                <w:sz w:val="20"/>
                <w:szCs w:val="20"/>
                <w:lang w:val="fr-FR"/>
              </w:rPr>
              <w:t>196</w:t>
            </w:r>
            <w:r w:rsidR="003C509D" w:rsidRPr="00BA51D9">
              <w:rPr>
                <w:rFonts w:eastAsia="Times New Roman" w:cs="Arial"/>
                <w:sz w:val="20"/>
                <w:szCs w:val="20"/>
                <w:lang w:val="fr-FR"/>
              </w:rPr>
              <w:t xml:space="preserve"> </w:t>
            </w:r>
            <w:r w:rsidRPr="00BA51D9">
              <w:rPr>
                <w:rFonts w:eastAsia="Times New Roman" w:cs="Arial"/>
                <w:sz w:val="20"/>
                <w:szCs w:val="20"/>
                <w:lang w:val="fr-FR"/>
              </w:rPr>
              <w:t>602</w:t>
            </w:r>
          </w:p>
        </w:tc>
        <w:tc>
          <w:tcPr>
            <w:tcW w:w="2460" w:type="dxa"/>
            <w:tcBorders>
              <w:top w:val="nil"/>
              <w:left w:val="nil"/>
              <w:bottom w:val="single" w:sz="4" w:space="0" w:color="auto"/>
              <w:right w:val="single" w:sz="4" w:space="0" w:color="auto"/>
            </w:tcBorders>
            <w:hideMark/>
          </w:tcPr>
          <w:p w:rsidR="008B7384" w:rsidRPr="00BA51D9" w:rsidRDefault="0038247F" w:rsidP="001F6AEC">
            <w:pPr>
              <w:rPr>
                <w:rFonts w:eastAsia="Times New Roman" w:cs="Arial"/>
                <w:sz w:val="20"/>
                <w:szCs w:val="20"/>
                <w:lang w:val="fr-FR"/>
              </w:rPr>
            </w:pPr>
            <w:r w:rsidRPr="00BA51D9">
              <w:rPr>
                <w:rFonts w:eastAsia="Times New Roman" w:cs="Arial"/>
                <w:sz w:val="20"/>
                <w:szCs w:val="20"/>
                <w:lang w:val="fr-FR"/>
              </w:rPr>
              <w:t>Japon</w:t>
            </w:r>
            <w:r w:rsidR="008B7384" w:rsidRPr="00BA51D9">
              <w:rPr>
                <w:rFonts w:eastAsia="Times New Roman" w:cs="Arial"/>
                <w:sz w:val="20"/>
                <w:szCs w:val="20"/>
                <w:lang w:val="fr-FR"/>
              </w:rPr>
              <w:t xml:space="preserve">, </w:t>
            </w:r>
            <w:r w:rsidR="001F6AEC" w:rsidRPr="00BA51D9">
              <w:rPr>
                <w:rFonts w:eastAsia="Times New Roman" w:cs="Arial"/>
                <w:sz w:val="20"/>
                <w:szCs w:val="20"/>
                <w:lang w:val="fr-FR"/>
              </w:rPr>
              <w:t xml:space="preserve">Royaume-Uni, Suède </w:t>
            </w:r>
          </w:p>
        </w:tc>
        <w:tc>
          <w:tcPr>
            <w:tcW w:w="1019" w:type="dxa"/>
            <w:tcBorders>
              <w:top w:val="nil"/>
              <w:left w:val="nil"/>
              <w:bottom w:val="single" w:sz="4" w:space="0" w:color="auto"/>
              <w:right w:val="single" w:sz="4" w:space="0" w:color="auto"/>
            </w:tcBorders>
            <w:hideMark/>
          </w:tcPr>
          <w:p w:rsidR="008B7384" w:rsidRPr="00BA51D9" w:rsidRDefault="008B7384" w:rsidP="00155BC8">
            <w:pPr>
              <w:jc w:val="center"/>
              <w:rPr>
                <w:rFonts w:eastAsia="Times New Roman" w:cs="Arial"/>
                <w:sz w:val="20"/>
                <w:szCs w:val="20"/>
                <w:lang w:val="fr-FR"/>
              </w:rPr>
            </w:pPr>
            <w:r w:rsidRPr="00BA51D9">
              <w:rPr>
                <w:rFonts w:eastAsia="Times New Roman" w:cs="Arial"/>
                <w:sz w:val="20"/>
                <w:szCs w:val="20"/>
                <w:lang w:val="fr-FR"/>
              </w:rPr>
              <w:t>6</w:t>
            </w:r>
          </w:p>
        </w:tc>
        <w:tc>
          <w:tcPr>
            <w:tcW w:w="3492" w:type="dxa"/>
            <w:tcBorders>
              <w:top w:val="nil"/>
              <w:left w:val="nil"/>
              <w:bottom w:val="single" w:sz="4" w:space="0" w:color="auto"/>
              <w:right w:val="single" w:sz="4" w:space="0" w:color="auto"/>
            </w:tcBorders>
            <w:hideMark/>
          </w:tcPr>
          <w:p w:rsidR="008B7384" w:rsidRPr="00BA51D9" w:rsidRDefault="008B7384" w:rsidP="001F6AEC">
            <w:pPr>
              <w:rPr>
                <w:rFonts w:eastAsia="Times New Roman" w:cs="Arial"/>
                <w:sz w:val="20"/>
                <w:szCs w:val="20"/>
                <w:lang w:val="fr-FR"/>
              </w:rPr>
            </w:pPr>
            <w:r w:rsidRPr="00BA51D9">
              <w:rPr>
                <w:rFonts w:eastAsia="Times New Roman" w:cs="Arial"/>
                <w:sz w:val="20"/>
                <w:szCs w:val="20"/>
                <w:lang w:val="fr-FR"/>
              </w:rPr>
              <w:t xml:space="preserve">Ghana, </w:t>
            </w:r>
            <w:r w:rsidR="001F6AEC" w:rsidRPr="00BA51D9">
              <w:rPr>
                <w:rFonts w:eastAsia="Times New Roman" w:cs="Arial"/>
                <w:sz w:val="20"/>
                <w:szCs w:val="20"/>
                <w:lang w:val="fr-FR"/>
              </w:rPr>
              <w:t>Tadjikistan</w:t>
            </w:r>
            <w:r w:rsidRPr="00BA51D9">
              <w:rPr>
                <w:rFonts w:eastAsia="Times New Roman" w:cs="Arial"/>
                <w:sz w:val="20"/>
                <w:szCs w:val="20"/>
                <w:lang w:val="fr-FR"/>
              </w:rPr>
              <w:t>, Jordan</w:t>
            </w:r>
            <w:r w:rsidR="001F6AEC" w:rsidRPr="00BA51D9">
              <w:rPr>
                <w:rFonts w:eastAsia="Times New Roman" w:cs="Arial"/>
                <w:sz w:val="20"/>
                <w:szCs w:val="20"/>
                <w:lang w:val="fr-FR"/>
              </w:rPr>
              <w:t>ie</w:t>
            </w:r>
            <w:r w:rsidRPr="00BA51D9">
              <w:rPr>
                <w:rFonts w:eastAsia="Times New Roman" w:cs="Arial"/>
                <w:sz w:val="20"/>
                <w:szCs w:val="20"/>
                <w:lang w:val="fr-FR"/>
              </w:rPr>
              <w:t>, Bosni</w:t>
            </w:r>
            <w:r w:rsidR="001F6AEC" w:rsidRPr="00BA51D9">
              <w:rPr>
                <w:rFonts w:eastAsia="Times New Roman" w:cs="Arial"/>
                <w:sz w:val="20"/>
                <w:szCs w:val="20"/>
                <w:lang w:val="fr-FR"/>
              </w:rPr>
              <w:t>e-Herzégovine</w:t>
            </w:r>
            <w:r w:rsidRPr="00BA51D9">
              <w:rPr>
                <w:rFonts w:eastAsia="Times New Roman" w:cs="Arial"/>
                <w:sz w:val="20"/>
                <w:szCs w:val="20"/>
                <w:lang w:val="fr-FR"/>
              </w:rPr>
              <w:t>, Suriname, Br</w:t>
            </w:r>
            <w:r w:rsidR="001F6AEC" w:rsidRPr="00BA51D9">
              <w:rPr>
                <w:rFonts w:eastAsia="Times New Roman" w:cs="Arial"/>
                <w:sz w:val="20"/>
                <w:szCs w:val="20"/>
                <w:lang w:val="fr-FR"/>
              </w:rPr>
              <w:t>és</w:t>
            </w:r>
            <w:r w:rsidRPr="00BA51D9">
              <w:rPr>
                <w:rFonts w:eastAsia="Times New Roman" w:cs="Arial"/>
                <w:sz w:val="20"/>
                <w:szCs w:val="20"/>
                <w:lang w:val="fr-FR"/>
              </w:rPr>
              <w:t>il</w:t>
            </w:r>
          </w:p>
        </w:tc>
      </w:tr>
      <w:tr w:rsidR="008B7384" w:rsidRPr="00C57B14"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BA51D9" w:rsidRDefault="008B7384" w:rsidP="00155BC8">
            <w:pPr>
              <w:rPr>
                <w:rFonts w:eastAsia="Times New Roman" w:cs="Arial"/>
                <w:b/>
                <w:bCs/>
                <w:sz w:val="20"/>
                <w:szCs w:val="20"/>
                <w:lang w:val="fr-FR"/>
              </w:rPr>
            </w:pPr>
            <w:r w:rsidRPr="00BA51D9">
              <w:rPr>
                <w:rFonts w:eastAsia="Times New Roman" w:cs="Arial"/>
                <w:b/>
                <w:bCs/>
                <w:sz w:val="20"/>
                <w:szCs w:val="20"/>
                <w:lang w:val="fr-FR"/>
              </w:rPr>
              <w:t>2006</w:t>
            </w:r>
          </w:p>
        </w:tc>
        <w:tc>
          <w:tcPr>
            <w:tcW w:w="1199" w:type="dxa"/>
            <w:tcBorders>
              <w:top w:val="nil"/>
              <w:left w:val="nil"/>
              <w:bottom w:val="single" w:sz="4" w:space="0" w:color="auto"/>
              <w:right w:val="single" w:sz="4" w:space="0" w:color="auto"/>
            </w:tcBorders>
            <w:hideMark/>
          </w:tcPr>
          <w:p w:rsidR="008B7384" w:rsidRPr="00BA51D9" w:rsidRDefault="008B7384" w:rsidP="00155BC8">
            <w:pPr>
              <w:jc w:val="right"/>
              <w:rPr>
                <w:rFonts w:eastAsia="Times New Roman" w:cs="Arial"/>
                <w:sz w:val="20"/>
                <w:szCs w:val="20"/>
                <w:lang w:val="fr-FR"/>
              </w:rPr>
            </w:pPr>
            <w:r w:rsidRPr="00BA51D9">
              <w:rPr>
                <w:rFonts w:eastAsia="Times New Roman" w:cs="Arial"/>
                <w:sz w:val="20"/>
                <w:szCs w:val="20"/>
                <w:lang w:val="fr-FR"/>
              </w:rPr>
              <w:t>361</w:t>
            </w:r>
            <w:r w:rsidR="003C509D" w:rsidRPr="00BA51D9">
              <w:rPr>
                <w:rFonts w:eastAsia="Times New Roman" w:cs="Arial"/>
                <w:sz w:val="20"/>
                <w:szCs w:val="20"/>
                <w:lang w:val="fr-FR"/>
              </w:rPr>
              <w:t xml:space="preserve"> </w:t>
            </w:r>
            <w:r w:rsidRPr="00BA51D9">
              <w:rPr>
                <w:rFonts w:eastAsia="Times New Roman" w:cs="Arial"/>
                <w:sz w:val="20"/>
                <w:szCs w:val="20"/>
                <w:lang w:val="fr-FR"/>
              </w:rPr>
              <w:t>740</w:t>
            </w:r>
          </w:p>
        </w:tc>
        <w:tc>
          <w:tcPr>
            <w:tcW w:w="2460" w:type="dxa"/>
            <w:tcBorders>
              <w:top w:val="nil"/>
              <w:left w:val="nil"/>
              <w:bottom w:val="single" w:sz="4" w:space="0" w:color="auto"/>
              <w:right w:val="single" w:sz="4" w:space="0" w:color="auto"/>
            </w:tcBorders>
            <w:hideMark/>
          </w:tcPr>
          <w:p w:rsidR="008B7384" w:rsidRPr="00BA51D9" w:rsidRDefault="001F6AEC" w:rsidP="00D2019B">
            <w:pPr>
              <w:rPr>
                <w:rFonts w:eastAsia="Times New Roman" w:cs="Arial"/>
                <w:sz w:val="20"/>
                <w:szCs w:val="20"/>
                <w:lang w:val="fr-FR"/>
              </w:rPr>
            </w:pPr>
            <w:r w:rsidRPr="00BA51D9">
              <w:rPr>
                <w:rFonts w:eastAsia="Times New Roman" w:cs="Arial"/>
                <w:sz w:val="20"/>
                <w:szCs w:val="20"/>
                <w:lang w:val="fr-FR"/>
              </w:rPr>
              <w:t xml:space="preserve">Japon, Norvège, </w:t>
            </w:r>
            <w:r w:rsidR="0038247F" w:rsidRPr="00BA51D9">
              <w:rPr>
                <w:rFonts w:eastAsia="Times New Roman" w:cs="Arial"/>
                <w:sz w:val="20"/>
                <w:szCs w:val="20"/>
                <w:lang w:val="fr-FR"/>
              </w:rPr>
              <w:t>République tchèque</w:t>
            </w:r>
            <w:r w:rsidR="008B7384" w:rsidRPr="00BA51D9">
              <w:rPr>
                <w:rFonts w:eastAsia="Times New Roman" w:cs="Arial"/>
                <w:sz w:val="20"/>
                <w:szCs w:val="20"/>
                <w:lang w:val="fr-FR"/>
              </w:rPr>
              <w:t xml:space="preserve">, </w:t>
            </w:r>
            <w:r w:rsidR="00D2019B" w:rsidRPr="00BA51D9">
              <w:rPr>
                <w:rFonts w:eastAsia="Times New Roman" w:cs="Arial"/>
                <w:sz w:val="20"/>
                <w:szCs w:val="20"/>
                <w:lang w:val="fr-FR"/>
              </w:rPr>
              <w:t xml:space="preserve">Royaume-Uni, </w:t>
            </w:r>
            <w:r w:rsidR="0038247F" w:rsidRPr="00BA51D9">
              <w:rPr>
                <w:rFonts w:eastAsia="Times New Roman" w:cs="Arial"/>
                <w:sz w:val="20"/>
                <w:szCs w:val="20"/>
                <w:lang w:val="fr-FR"/>
              </w:rPr>
              <w:t>Suède</w:t>
            </w:r>
            <w:r w:rsidR="00D2019B" w:rsidRPr="00BA51D9">
              <w:rPr>
                <w:rFonts w:eastAsia="Times New Roman" w:cs="Arial"/>
                <w:sz w:val="20"/>
                <w:szCs w:val="20"/>
                <w:lang w:val="fr-FR"/>
              </w:rPr>
              <w:t xml:space="preserve"> – SIDA</w:t>
            </w:r>
            <w:r w:rsidR="008B7384" w:rsidRPr="00BA51D9">
              <w:rPr>
                <w:rFonts w:eastAsia="Times New Roman" w:cs="Arial"/>
                <w:sz w:val="20"/>
                <w:szCs w:val="20"/>
                <w:lang w:val="fr-FR"/>
              </w:rPr>
              <w:t xml:space="preserve"> </w:t>
            </w:r>
          </w:p>
        </w:tc>
        <w:tc>
          <w:tcPr>
            <w:tcW w:w="1019" w:type="dxa"/>
            <w:tcBorders>
              <w:top w:val="nil"/>
              <w:left w:val="nil"/>
              <w:bottom w:val="single" w:sz="4" w:space="0" w:color="auto"/>
              <w:right w:val="single" w:sz="4" w:space="0" w:color="auto"/>
            </w:tcBorders>
            <w:hideMark/>
          </w:tcPr>
          <w:p w:rsidR="008B7384" w:rsidRPr="00BA51D9" w:rsidRDefault="008B7384" w:rsidP="00155BC8">
            <w:pPr>
              <w:jc w:val="center"/>
              <w:rPr>
                <w:rFonts w:eastAsia="Times New Roman" w:cs="Arial"/>
                <w:sz w:val="20"/>
                <w:szCs w:val="20"/>
                <w:lang w:val="fr-FR"/>
              </w:rPr>
            </w:pPr>
            <w:r w:rsidRPr="00BA51D9">
              <w:rPr>
                <w:rFonts w:eastAsia="Times New Roman" w:cs="Arial"/>
                <w:sz w:val="20"/>
                <w:szCs w:val="20"/>
                <w:lang w:val="fr-FR"/>
              </w:rPr>
              <w:t>15</w:t>
            </w:r>
          </w:p>
        </w:tc>
        <w:tc>
          <w:tcPr>
            <w:tcW w:w="3492" w:type="dxa"/>
            <w:tcBorders>
              <w:top w:val="nil"/>
              <w:left w:val="nil"/>
              <w:bottom w:val="single" w:sz="4" w:space="0" w:color="auto"/>
              <w:right w:val="single" w:sz="4" w:space="0" w:color="auto"/>
            </w:tcBorders>
            <w:hideMark/>
          </w:tcPr>
          <w:p w:rsidR="008B7384" w:rsidRPr="00BA51D9" w:rsidRDefault="008B7384" w:rsidP="001F6AEC">
            <w:pPr>
              <w:rPr>
                <w:rFonts w:eastAsia="Times New Roman" w:cs="Arial"/>
                <w:sz w:val="20"/>
                <w:szCs w:val="20"/>
                <w:lang w:val="fr-FR"/>
              </w:rPr>
            </w:pPr>
            <w:r w:rsidRPr="00BA51D9">
              <w:rPr>
                <w:rFonts w:eastAsia="Times New Roman" w:cs="Arial"/>
                <w:sz w:val="20"/>
                <w:szCs w:val="20"/>
                <w:lang w:val="fr-FR"/>
              </w:rPr>
              <w:t>B</w:t>
            </w:r>
            <w:r w:rsidR="001F6AEC" w:rsidRPr="00BA51D9">
              <w:rPr>
                <w:rFonts w:eastAsia="Times New Roman" w:cs="Arial"/>
                <w:sz w:val="20"/>
                <w:szCs w:val="20"/>
                <w:lang w:val="fr-FR"/>
              </w:rPr>
              <w:t>é</w:t>
            </w:r>
            <w:r w:rsidRPr="00BA51D9">
              <w:rPr>
                <w:rFonts w:eastAsia="Times New Roman" w:cs="Arial"/>
                <w:sz w:val="20"/>
                <w:szCs w:val="20"/>
                <w:lang w:val="fr-FR"/>
              </w:rPr>
              <w:t xml:space="preserve">nin </w:t>
            </w:r>
            <w:r w:rsidR="001F6AEC" w:rsidRPr="00BA51D9">
              <w:rPr>
                <w:rFonts w:eastAsia="Times New Roman" w:cs="Arial"/>
                <w:sz w:val="20"/>
                <w:szCs w:val="20"/>
                <w:lang w:val="fr-FR"/>
              </w:rPr>
              <w:t>et</w:t>
            </w:r>
            <w:r w:rsidR="00155BC8" w:rsidRPr="00BA51D9">
              <w:rPr>
                <w:rFonts w:eastAsia="Times New Roman" w:cs="Arial"/>
                <w:sz w:val="20"/>
                <w:szCs w:val="20"/>
                <w:lang w:val="fr-FR"/>
              </w:rPr>
              <w:t xml:space="preserve"> </w:t>
            </w:r>
            <w:r w:rsidRPr="00BA51D9">
              <w:rPr>
                <w:rFonts w:eastAsia="Times New Roman" w:cs="Arial"/>
                <w:sz w:val="20"/>
                <w:szCs w:val="20"/>
                <w:lang w:val="fr-FR"/>
              </w:rPr>
              <w:t xml:space="preserve">Togo, Burkina Faso, Kenya, Madagascar, </w:t>
            </w:r>
            <w:r w:rsidR="001F6AEC" w:rsidRPr="00BA51D9">
              <w:rPr>
                <w:rFonts w:eastAsia="Times New Roman" w:cs="Arial"/>
                <w:sz w:val="20"/>
                <w:szCs w:val="20"/>
                <w:lang w:val="fr-FR"/>
              </w:rPr>
              <w:t>République</w:t>
            </w:r>
            <w:r w:rsidR="00155BC8" w:rsidRPr="00BA51D9">
              <w:rPr>
                <w:rFonts w:eastAsia="Times New Roman" w:cs="Arial"/>
                <w:sz w:val="20"/>
                <w:szCs w:val="20"/>
                <w:lang w:val="fr-FR"/>
              </w:rPr>
              <w:t xml:space="preserve"> </w:t>
            </w:r>
            <w:r w:rsidR="001F6AEC" w:rsidRPr="00BA51D9">
              <w:rPr>
                <w:rFonts w:eastAsia="Times New Roman" w:cs="Arial"/>
                <w:sz w:val="20"/>
                <w:szCs w:val="20"/>
                <w:lang w:val="fr-FR"/>
              </w:rPr>
              <w:t>du</w:t>
            </w:r>
            <w:r w:rsidR="00155BC8" w:rsidRPr="00BA51D9">
              <w:rPr>
                <w:rFonts w:eastAsia="Times New Roman" w:cs="Arial"/>
                <w:sz w:val="20"/>
                <w:szCs w:val="20"/>
                <w:lang w:val="fr-FR"/>
              </w:rPr>
              <w:t xml:space="preserve"> </w:t>
            </w:r>
            <w:r w:rsidRPr="00BA51D9">
              <w:rPr>
                <w:rFonts w:eastAsia="Times New Roman" w:cs="Arial"/>
                <w:sz w:val="20"/>
                <w:szCs w:val="20"/>
                <w:lang w:val="fr-FR"/>
              </w:rPr>
              <w:t xml:space="preserve">Congo, </w:t>
            </w:r>
            <w:r w:rsidR="001F6AEC" w:rsidRPr="00BA51D9">
              <w:rPr>
                <w:rFonts w:eastAsia="Times New Roman" w:cs="Arial"/>
                <w:sz w:val="20"/>
                <w:szCs w:val="20"/>
                <w:lang w:val="fr-FR"/>
              </w:rPr>
              <w:t xml:space="preserve">République </w:t>
            </w:r>
            <w:r w:rsidR="001F6AEC" w:rsidRPr="00BA51D9">
              <w:rPr>
                <w:rFonts w:eastAsia="Times New Roman"/>
                <w:sz w:val="20"/>
                <w:szCs w:val="20"/>
                <w:lang w:val="fr-FR"/>
              </w:rPr>
              <w:t>kirghize</w:t>
            </w:r>
            <w:r w:rsidRPr="00BA51D9">
              <w:rPr>
                <w:rFonts w:eastAsia="Times New Roman" w:cs="Arial"/>
                <w:sz w:val="20"/>
                <w:szCs w:val="20"/>
                <w:lang w:val="fr-FR"/>
              </w:rPr>
              <w:t xml:space="preserve">, </w:t>
            </w:r>
            <w:r w:rsidR="001F6AEC" w:rsidRPr="00BA51D9">
              <w:rPr>
                <w:rFonts w:eastAsia="Times New Roman" w:cs="Arial"/>
                <w:sz w:val="20"/>
                <w:szCs w:val="20"/>
                <w:lang w:val="fr-FR"/>
              </w:rPr>
              <w:t>Népal</w:t>
            </w:r>
            <w:r w:rsidRPr="00BA51D9">
              <w:rPr>
                <w:rFonts w:eastAsia="Times New Roman" w:cs="Arial"/>
                <w:sz w:val="20"/>
                <w:szCs w:val="20"/>
                <w:lang w:val="fr-FR"/>
              </w:rPr>
              <w:t>, Viet</w:t>
            </w:r>
            <w:r w:rsidR="001F6AEC" w:rsidRPr="00BA51D9">
              <w:rPr>
                <w:rFonts w:eastAsia="Times New Roman" w:cs="Arial"/>
                <w:sz w:val="20"/>
                <w:szCs w:val="20"/>
                <w:lang w:val="fr-FR"/>
              </w:rPr>
              <w:t> N</w:t>
            </w:r>
            <w:r w:rsidRPr="00BA51D9">
              <w:rPr>
                <w:rFonts w:eastAsia="Times New Roman" w:cs="Arial"/>
                <w:sz w:val="20"/>
                <w:szCs w:val="20"/>
                <w:lang w:val="fr-FR"/>
              </w:rPr>
              <w:t>am, Arm</w:t>
            </w:r>
            <w:r w:rsidR="001F6AEC" w:rsidRPr="00BA51D9">
              <w:rPr>
                <w:rFonts w:eastAsia="Times New Roman" w:cs="Arial"/>
                <w:sz w:val="20"/>
                <w:szCs w:val="20"/>
                <w:lang w:val="fr-FR"/>
              </w:rPr>
              <w:t>é</w:t>
            </w:r>
            <w:r w:rsidRPr="00BA51D9">
              <w:rPr>
                <w:rFonts w:eastAsia="Times New Roman" w:cs="Arial"/>
                <w:sz w:val="20"/>
                <w:szCs w:val="20"/>
                <w:lang w:val="fr-FR"/>
              </w:rPr>
              <w:t>ni</w:t>
            </w:r>
            <w:r w:rsidR="001F6AEC" w:rsidRPr="00BA51D9">
              <w:rPr>
                <w:rFonts w:eastAsia="Times New Roman" w:cs="Arial"/>
                <w:sz w:val="20"/>
                <w:szCs w:val="20"/>
                <w:lang w:val="fr-FR"/>
              </w:rPr>
              <w:t>e</w:t>
            </w:r>
            <w:r w:rsidRPr="00BA51D9">
              <w:rPr>
                <w:rFonts w:eastAsia="Times New Roman" w:cs="Arial"/>
                <w:sz w:val="20"/>
                <w:szCs w:val="20"/>
                <w:lang w:val="fr-FR"/>
              </w:rPr>
              <w:t xml:space="preserve">, </w:t>
            </w:r>
            <w:r w:rsidR="001F6AEC" w:rsidRPr="00BA51D9">
              <w:rPr>
                <w:rFonts w:eastAsia="Times New Roman" w:cs="Arial"/>
                <w:sz w:val="20"/>
                <w:szCs w:val="20"/>
                <w:lang w:val="fr-FR"/>
              </w:rPr>
              <w:t>République</w:t>
            </w:r>
            <w:r w:rsidRPr="00BA51D9">
              <w:rPr>
                <w:rFonts w:eastAsia="Times New Roman" w:cs="Arial"/>
                <w:sz w:val="20"/>
                <w:szCs w:val="20"/>
                <w:lang w:val="fr-FR"/>
              </w:rPr>
              <w:t xml:space="preserve"> </w:t>
            </w:r>
            <w:r w:rsidR="001F6AEC" w:rsidRPr="00BA51D9">
              <w:rPr>
                <w:rFonts w:eastAsia="Times New Roman" w:cs="Arial"/>
                <w:sz w:val="20"/>
                <w:szCs w:val="20"/>
                <w:lang w:val="fr-FR"/>
              </w:rPr>
              <w:t>de</w:t>
            </w:r>
            <w:r w:rsidRPr="00BA51D9">
              <w:rPr>
                <w:rFonts w:eastAsia="Times New Roman" w:cs="Arial"/>
                <w:sz w:val="20"/>
                <w:szCs w:val="20"/>
                <w:lang w:val="fr-FR"/>
              </w:rPr>
              <w:t xml:space="preserve"> Moldova, Antigua</w:t>
            </w:r>
            <w:r w:rsidR="001F6AEC" w:rsidRPr="00BA51D9">
              <w:rPr>
                <w:rFonts w:eastAsia="Times New Roman" w:cs="Arial"/>
                <w:sz w:val="20"/>
                <w:szCs w:val="20"/>
                <w:lang w:val="fr-FR"/>
              </w:rPr>
              <w:t>-et-</w:t>
            </w:r>
            <w:r w:rsidRPr="00BA51D9">
              <w:rPr>
                <w:rFonts w:eastAsia="Times New Roman" w:cs="Arial"/>
                <w:sz w:val="20"/>
                <w:szCs w:val="20"/>
                <w:lang w:val="fr-FR"/>
              </w:rPr>
              <w:t xml:space="preserve">Barbuda, </w:t>
            </w:r>
            <w:r w:rsidR="001F6AEC" w:rsidRPr="00BA51D9">
              <w:rPr>
                <w:rFonts w:eastAsia="Times New Roman" w:cs="Arial"/>
                <w:sz w:val="20"/>
                <w:szCs w:val="20"/>
                <w:lang w:val="fr-FR"/>
              </w:rPr>
              <w:t>Équateur</w:t>
            </w:r>
            <w:r w:rsidRPr="00BA51D9">
              <w:rPr>
                <w:rFonts w:eastAsia="Times New Roman" w:cs="Arial"/>
                <w:sz w:val="20"/>
                <w:szCs w:val="20"/>
                <w:lang w:val="fr-FR"/>
              </w:rPr>
              <w:t>, Nicaragua, Panama, Kiribati</w:t>
            </w:r>
          </w:p>
        </w:tc>
      </w:tr>
      <w:tr w:rsidR="008B7384" w:rsidRPr="00C57B14"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BA51D9" w:rsidRDefault="008B7384" w:rsidP="00155BC8">
            <w:pPr>
              <w:rPr>
                <w:rFonts w:eastAsia="Times New Roman" w:cs="Arial"/>
                <w:b/>
                <w:bCs/>
                <w:sz w:val="20"/>
                <w:szCs w:val="20"/>
                <w:lang w:val="fr-FR"/>
              </w:rPr>
            </w:pPr>
            <w:r w:rsidRPr="00BA51D9">
              <w:rPr>
                <w:rFonts w:eastAsia="Times New Roman" w:cs="Arial"/>
                <w:b/>
                <w:bCs/>
                <w:sz w:val="20"/>
                <w:szCs w:val="20"/>
                <w:lang w:val="fr-FR"/>
              </w:rPr>
              <w:t>2007</w:t>
            </w:r>
          </w:p>
        </w:tc>
        <w:tc>
          <w:tcPr>
            <w:tcW w:w="1199" w:type="dxa"/>
            <w:tcBorders>
              <w:top w:val="nil"/>
              <w:left w:val="nil"/>
              <w:bottom w:val="single" w:sz="4" w:space="0" w:color="auto"/>
              <w:right w:val="single" w:sz="4" w:space="0" w:color="auto"/>
            </w:tcBorders>
            <w:hideMark/>
          </w:tcPr>
          <w:p w:rsidR="008B7384" w:rsidRPr="00BA51D9" w:rsidRDefault="008B7384" w:rsidP="00155BC8">
            <w:pPr>
              <w:jc w:val="right"/>
              <w:rPr>
                <w:rFonts w:eastAsia="Times New Roman" w:cs="Arial"/>
                <w:sz w:val="20"/>
                <w:szCs w:val="20"/>
                <w:lang w:val="fr-FR"/>
              </w:rPr>
            </w:pPr>
            <w:r w:rsidRPr="00BA51D9">
              <w:rPr>
                <w:rFonts w:eastAsia="Times New Roman" w:cs="Arial"/>
                <w:sz w:val="20"/>
                <w:szCs w:val="20"/>
                <w:lang w:val="fr-FR"/>
              </w:rPr>
              <w:t>163</w:t>
            </w:r>
            <w:r w:rsidR="003C509D" w:rsidRPr="00BA51D9">
              <w:rPr>
                <w:rFonts w:eastAsia="Times New Roman" w:cs="Arial"/>
                <w:sz w:val="20"/>
                <w:szCs w:val="20"/>
                <w:lang w:val="fr-FR"/>
              </w:rPr>
              <w:t xml:space="preserve"> </w:t>
            </w:r>
            <w:r w:rsidRPr="00BA51D9">
              <w:rPr>
                <w:rFonts w:eastAsia="Times New Roman" w:cs="Arial"/>
                <w:sz w:val="20"/>
                <w:szCs w:val="20"/>
                <w:lang w:val="fr-FR"/>
              </w:rPr>
              <w:t>598</w:t>
            </w:r>
          </w:p>
        </w:tc>
        <w:tc>
          <w:tcPr>
            <w:tcW w:w="2460" w:type="dxa"/>
            <w:tcBorders>
              <w:top w:val="nil"/>
              <w:left w:val="nil"/>
              <w:bottom w:val="single" w:sz="4" w:space="0" w:color="auto"/>
              <w:right w:val="single" w:sz="4" w:space="0" w:color="auto"/>
            </w:tcBorders>
            <w:hideMark/>
          </w:tcPr>
          <w:p w:rsidR="008B7384" w:rsidRPr="00BA51D9" w:rsidRDefault="00D2019B" w:rsidP="00D2019B">
            <w:pPr>
              <w:rPr>
                <w:rFonts w:eastAsia="Times New Roman" w:cs="Arial"/>
                <w:sz w:val="20"/>
                <w:szCs w:val="20"/>
                <w:lang w:val="fr-FR"/>
              </w:rPr>
            </w:pPr>
            <w:r w:rsidRPr="00BA51D9">
              <w:rPr>
                <w:rFonts w:eastAsia="Times New Roman" w:cs="Arial"/>
                <w:sz w:val="20"/>
                <w:szCs w:val="20"/>
                <w:lang w:val="fr-FR"/>
              </w:rPr>
              <w:t xml:space="preserve">Japon, </w:t>
            </w:r>
            <w:r w:rsidR="0038247F" w:rsidRPr="00BA51D9">
              <w:rPr>
                <w:rFonts w:eastAsia="Times New Roman" w:cs="Arial"/>
                <w:sz w:val="20"/>
                <w:szCs w:val="20"/>
                <w:lang w:val="fr-FR"/>
              </w:rPr>
              <w:t>République tchèque</w:t>
            </w:r>
            <w:r w:rsidR="008B7384" w:rsidRPr="00BA51D9">
              <w:rPr>
                <w:rFonts w:eastAsia="Times New Roman" w:cs="Arial"/>
                <w:sz w:val="20"/>
                <w:szCs w:val="20"/>
                <w:lang w:val="fr-FR"/>
              </w:rPr>
              <w:t xml:space="preserve">, </w:t>
            </w:r>
            <w:r w:rsidR="0038247F" w:rsidRPr="00BA51D9">
              <w:rPr>
                <w:rFonts w:eastAsia="Times New Roman" w:cs="Arial"/>
                <w:sz w:val="20"/>
                <w:szCs w:val="20"/>
                <w:lang w:val="fr-FR"/>
              </w:rPr>
              <w:t>Suède</w:t>
            </w:r>
            <w:r w:rsidR="008B7384" w:rsidRPr="00BA51D9">
              <w:rPr>
                <w:rFonts w:eastAsia="Times New Roman" w:cs="Arial"/>
                <w:sz w:val="20"/>
                <w:szCs w:val="20"/>
                <w:lang w:val="fr-FR"/>
              </w:rPr>
              <w:t xml:space="preserve"> </w:t>
            </w:r>
            <w:r w:rsidR="0038247F" w:rsidRPr="00BA51D9">
              <w:rPr>
                <w:rFonts w:eastAsia="Times New Roman" w:cs="Arial"/>
                <w:sz w:val="20"/>
                <w:szCs w:val="20"/>
                <w:lang w:val="fr-FR"/>
              </w:rPr>
              <w:t>–</w:t>
            </w:r>
            <w:r w:rsidR="008B7384" w:rsidRPr="00BA51D9">
              <w:rPr>
                <w:rFonts w:eastAsia="Times New Roman" w:cs="Arial"/>
                <w:sz w:val="20"/>
                <w:szCs w:val="20"/>
                <w:lang w:val="fr-FR"/>
              </w:rPr>
              <w:t xml:space="preserve"> SIDA</w:t>
            </w:r>
          </w:p>
        </w:tc>
        <w:tc>
          <w:tcPr>
            <w:tcW w:w="1019" w:type="dxa"/>
            <w:tcBorders>
              <w:top w:val="nil"/>
              <w:left w:val="nil"/>
              <w:bottom w:val="single" w:sz="4" w:space="0" w:color="auto"/>
              <w:right w:val="single" w:sz="4" w:space="0" w:color="auto"/>
            </w:tcBorders>
            <w:hideMark/>
          </w:tcPr>
          <w:p w:rsidR="008B7384" w:rsidRPr="00BA51D9" w:rsidRDefault="008B7384" w:rsidP="00155BC8">
            <w:pPr>
              <w:jc w:val="center"/>
              <w:rPr>
                <w:rFonts w:eastAsia="Times New Roman" w:cs="Arial"/>
                <w:sz w:val="20"/>
                <w:szCs w:val="20"/>
                <w:lang w:val="fr-FR"/>
              </w:rPr>
            </w:pPr>
            <w:r w:rsidRPr="00BA51D9">
              <w:rPr>
                <w:rFonts w:eastAsia="Times New Roman" w:cs="Arial"/>
                <w:sz w:val="20"/>
                <w:szCs w:val="20"/>
                <w:lang w:val="fr-FR"/>
              </w:rPr>
              <w:t>5</w:t>
            </w:r>
          </w:p>
        </w:tc>
        <w:tc>
          <w:tcPr>
            <w:tcW w:w="3492" w:type="dxa"/>
            <w:tcBorders>
              <w:top w:val="nil"/>
              <w:left w:val="nil"/>
              <w:bottom w:val="single" w:sz="4" w:space="0" w:color="auto"/>
              <w:right w:val="single" w:sz="4" w:space="0" w:color="auto"/>
            </w:tcBorders>
            <w:hideMark/>
          </w:tcPr>
          <w:p w:rsidR="008B7384" w:rsidRPr="00BA51D9" w:rsidRDefault="008B7384" w:rsidP="001F6AEC">
            <w:pPr>
              <w:rPr>
                <w:rFonts w:eastAsia="Times New Roman" w:cs="Arial"/>
                <w:sz w:val="20"/>
                <w:szCs w:val="20"/>
                <w:lang w:val="fr-FR"/>
              </w:rPr>
            </w:pPr>
            <w:r w:rsidRPr="00BA51D9">
              <w:rPr>
                <w:rFonts w:eastAsia="Times New Roman" w:cs="Arial"/>
                <w:sz w:val="20"/>
                <w:szCs w:val="20"/>
                <w:lang w:val="fr-FR"/>
              </w:rPr>
              <w:t>Malawi, Chin</w:t>
            </w:r>
            <w:r w:rsidR="001F6AEC" w:rsidRPr="00BA51D9">
              <w:rPr>
                <w:rFonts w:eastAsia="Times New Roman" w:cs="Arial"/>
                <w:sz w:val="20"/>
                <w:szCs w:val="20"/>
                <w:lang w:val="fr-FR"/>
              </w:rPr>
              <w:t>e</w:t>
            </w:r>
            <w:r w:rsidRPr="00BA51D9">
              <w:rPr>
                <w:rFonts w:eastAsia="Times New Roman" w:cs="Arial"/>
                <w:sz w:val="20"/>
                <w:szCs w:val="20"/>
                <w:lang w:val="fr-FR"/>
              </w:rPr>
              <w:t xml:space="preserve">, </w:t>
            </w:r>
            <w:r w:rsidR="004A207E" w:rsidRPr="00BA51D9">
              <w:rPr>
                <w:rFonts w:eastAsia="Times New Roman" w:cs="Arial"/>
                <w:sz w:val="20"/>
                <w:szCs w:val="20"/>
                <w:lang w:val="fr-FR"/>
              </w:rPr>
              <w:t xml:space="preserve">République de </w:t>
            </w:r>
            <w:r w:rsidRPr="00BA51D9">
              <w:rPr>
                <w:rFonts w:eastAsia="Times New Roman" w:cs="Arial"/>
                <w:sz w:val="20"/>
                <w:szCs w:val="20"/>
                <w:lang w:val="fr-FR"/>
              </w:rPr>
              <w:t xml:space="preserve">Moldova, </w:t>
            </w:r>
            <w:r w:rsidR="001F6AEC" w:rsidRPr="00BA51D9">
              <w:rPr>
                <w:rFonts w:eastAsia="Times New Roman" w:cs="Arial"/>
                <w:sz w:val="20"/>
                <w:szCs w:val="20"/>
                <w:lang w:val="fr-FR"/>
              </w:rPr>
              <w:t>Colombie</w:t>
            </w:r>
            <w:r w:rsidRPr="00BA51D9">
              <w:rPr>
                <w:rFonts w:eastAsia="Times New Roman" w:cs="Arial"/>
                <w:sz w:val="20"/>
                <w:szCs w:val="20"/>
                <w:lang w:val="fr-FR"/>
              </w:rPr>
              <w:t>, Fi</w:t>
            </w:r>
            <w:r w:rsidR="001F6AEC" w:rsidRPr="00BA51D9">
              <w:rPr>
                <w:rFonts w:eastAsia="Times New Roman" w:cs="Arial"/>
                <w:sz w:val="20"/>
                <w:szCs w:val="20"/>
                <w:lang w:val="fr-FR"/>
              </w:rPr>
              <w:t>d</w:t>
            </w:r>
            <w:r w:rsidRPr="00BA51D9">
              <w:rPr>
                <w:rFonts w:eastAsia="Times New Roman" w:cs="Arial"/>
                <w:sz w:val="20"/>
                <w:szCs w:val="20"/>
                <w:lang w:val="fr-FR"/>
              </w:rPr>
              <w:t>ji</w:t>
            </w:r>
          </w:p>
        </w:tc>
      </w:tr>
      <w:tr w:rsidR="008B7384" w:rsidRPr="00BA51D9"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BA51D9" w:rsidRDefault="008B7384" w:rsidP="00155BC8">
            <w:pPr>
              <w:rPr>
                <w:rFonts w:eastAsia="Times New Roman" w:cs="Arial"/>
                <w:b/>
                <w:bCs/>
                <w:sz w:val="20"/>
                <w:szCs w:val="20"/>
                <w:lang w:val="fr-FR"/>
              </w:rPr>
            </w:pPr>
            <w:r w:rsidRPr="00BA51D9">
              <w:rPr>
                <w:rFonts w:eastAsia="Times New Roman" w:cs="Arial"/>
                <w:b/>
                <w:bCs/>
                <w:sz w:val="20"/>
                <w:szCs w:val="20"/>
                <w:lang w:val="fr-FR"/>
              </w:rPr>
              <w:t>2008</w:t>
            </w:r>
          </w:p>
        </w:tc>
        <w:tc>
          <w:tcPr>
            <w:tcW w:w="1199" w:type="dxa"/>
            <w:tcBorders>
              <w:top w:val="nil"/>
              <w:left w:val="nil"/>
              <w:bottom w:val="single" w:sz="4" w:space="0" w:color="auto"/>
              <w:right w:val="single" w:sz="4" w:space="0" w:color="auto"/>
            </w:tcBorders>
            <w:hideMark/>
          </w:tcPr>
          <w:p w:rsidR="008B7384" w:rsidRPr="00BA51D9" w:rsidRDefault="008B7384" w:rsidP="00155BC8">
            <w:pPr>
              <w:jc w:val="right"/>
              <w:rPr>
                <w:rFonts w:eastAsia="Times New Roman" w:cs="Arial"/>
                <w:sz w:val="20"/>
                <w:szCs w:val="20"/>
                <w:lang w:val="fr-FR"/>
              </w:rPr>
            </w:pPr>
            <w:r w:rsidRPr="00BA51D9">
              <w:rPr>
                <w:rFonts w:eastAsia="Times New Roman" w:cs="Arial"/>
                <w:sz w:val="20"/>
                <w:szCs w:val="20"/>
                <w:lang w:val="fr-FR"/>
              </w:rPr>
              <w:t>184</w:t>
            </w:r>
            <w:r w:rsidR="003C509D" w:rsidRPr="00BA51D9">
              <w:rPr>
                <w:rFonts w:eastAsia="Times New Roman" w:cs="Arial"/>
                <w:sz w:val="20"/>
                <w:szCs w:val="20"/>
                <w:lang w:val="fr-FR"/>
              </w:rPr>
              <w:t xml:space="preserve"> </w:t>
            </w:r>
            <w:r w:rsidRPr="00BA51D9">
              <w:rPr>
                <w:rFonts w:eastAsia="Times New Roman" w:cs="Arial"/>
                <w:sz w:val="20"/>
                <w:szCs w:val="20"/>
                <w:lang w:val="fr-FR"/>
              </w:rPr>
              <w:t>783</w:t>
            </w:r>
          </w:p>
        </w:tc>
        <w:tc>
          <w:tcPr>
            <w:tcW w:w="2460" w:type="dxa"/>
            <w:tcBorders>
              <w:top w:val="nil"/>
              <w:left w:val="nil"/>
              <w:bottom w:val="single" w:sz="4" w:space="0" w:color="auto"/>
              <w:right w:val="single" w:sz="4" w:space="0" w:color="auto"/>
            </w:tcBorders>
            <w:hideMark/>
          </w:tcPr>
          <w:p w:rsidR="008B7384" w:rsidRPr="00BA51D9" w:rsidRDefault="0038247F" w:rsidP="00D224DC">
            <w:pPr>
              <w:rPr>
                <w:rFonts w:eastAsia="Times New Roman" w:cs="Arial"/>
                <w:sz w:val="20"/>
                <w:szCs w:val="20"/>
                <w:lang w:val="fr-FR"/>
              </w:rPr>
            </w:pPr>
            <w:r w:rsidRPr="00BA51D9">
              <w:rPr>
                <w:rFonts w:eastAsia="Times New Roman" w:cs="Arial"/>
                <w:sz w:val="20"/>
                <w:szCs w:val="20"/>
                <w:lang w:val="fr-FR"/>
              </w:rPr>
              <w:t>Autriche</w:t>
            </w:r>
            <w:r w:rsidR="008B7384" w:rsidRPr="00BA51D9">
              <w:rPr>
                <w:rFonts w:eastAsia="Times New Roman" w:cs="Arial"/>
                <w:sz w:val="20"/>
                <w:szCs w:val="20"/>
                <w:lang w:val="fr-FR"/>
              </w:rPr>
              <w:t xml:space="preserve">, </w:t>
            </w:r>
            <w:r w:rsidR="001F6AEC" w:rsidRPr="00BA51D9">
              <w:rPr>
                <w:rFonts w:eastAsia="Times New Roman" w:cs="Arial"/>
                <w:sz w:val="20"/>
                <w:szCs w:val="20"/>
                <w:lang w:val="fr-FR"/>
              </w:rPr>
              <w:t>Hongrie</w:t>
            </w:r>
            <w:r w:rsidR="008B7384" w:rsidRPr="00BA51D9">
              <w:rPr>
                <w:rFonts w:eastAsia="Times New Roman" w:cs="Arial"/>
                <w:sz w:val="20"/>
                <w:szCs w:val="20"/>
                <w:lang w:val="fr-FR"/>
              </w:rPr>
              <w:t xml:space="preserve">, </w:t>
            </w:r>
            <w:r w:rsidRPr="00BA51D9">
              <w:rPr>
                <w:rFonts w:eastAsia="Times New Roman" w:cs="Arial"/>
                <w:sz w:val="20"/>
                <w:szCs w:val="20"/>
                <w:lang w:val="fr-FR"/>
              </w:rPr>
              <w:t>Italie</w:t>
            </w:r>
            <w:r w:rsidR="008B7384" w:rsidRPr="00BA51D9">
              <w:rPr>
                <w:rFonts w:eastAsia="Times New Roman" w:cs="Arial"/>
                <w:sz w:val="20"/>
                <w:szCs w:val="20"/>
                <w:lang w:val="fr-FR"/>
              </w:rPr>
              <w:t xml:space="preserve">, </w:t>
            </w:r>
            <w:r w:rsidRPr="00BA51D9">
              <w:rPr>
                <w:rFonts w:eastAsia="Times New Roman" w:cs="Arial"/>
                <w:sz w:val="20"/>
                <w:szCs w:val="20"/>
                <w:lang w:val="fr-FR"/>
              </w:rPr>
              <w:t>Japon</w:t>
            </w:r>
            <w:r w:rsidR="008B7384" w:rsidRPr="00BA51D9">
              <w:rPr>
                <w:rFonts w:eastAsia="Times New Roman" w:cs="Arial"/>
                <w:sz w:val="20"/>
                <w:szCs w:val="20"/>
                <w:lang w:val="fr-FR"/>
              </w:rPr>
              <w:t xml:space="preserve">, </w:t>
            </w:r>
            <w:r w:rsidR="00D224DC" w:rsidRPr="00BA51D9">
              <w:rPr>
                <w:rFonts w:eastAsia="Times New Roman" w:cs="Arial"/>
                <w:sz w:val="20"/>
                <w:szCs w:val="20"/>
                <w:lang w:val="fr-FR"/>
              </w:rPr>
              <w:t>République de Corée</w:t>
            </w:r>
          </w:p>
        </w:tc>
        <w:tc>
          <w:tcPr>
            <w:tcW w:w="1019" w:type="dxa"/>
            <w:tcBorders>
              <w:top w:val="nil"/>
              <w:left w:val="nil"/>
              <w:bottom w:val="single" w:sz="4" w:space="0" w:color="auto"/>
              <w:right w:val="single" w:sz="4" w:space="0" w:color="auto"/>
            </w:tcBorders>
            <w:hideMark/>
          </w:tcPr>
          <w:p w:rsidR="008B7384" w:rsidRPr="00BA51D9" w:rsidRDefault="008B7384" w:rsidP="00155BC8">
            <w:pPr>
              <w:jc w:val="center"/>
              <w:rPr>
                <w:rFonts w:eastAsia="Times New Roman" w:cs="Arial"/>
                <w:sz w:val="20"/>
                <w:szCs w:val="20"/>
                <w:lang w:val="fr-FR"/>
              </w:rPr>
            </w:pPr>
            <w:r w:rsidRPr="00BA51D9">
              <w:rPr>
                <w:rFonts w:eastAsia="Times New Roman" w:cs="Arial"/>
                <w:sz w:val="20"/>
                <w:szCs w:val="20"/>
                <w:lang w:val="fr-FR"/>
              </w:rPr>
              <w:t>8</w:t>
            </w:r>
          </w:p>
        </w:tc>
        <w:tc>
          <w:tcPr>
            <w:tcW w:w="3492" w:type="dxa"/>
            <w:tcBorders>
              <w:top w:val="nil"/>
              <w:left w:val="nil"/>
              <w:bottom w:val="single" w:sz="4" w:space="0" w:color="auto"/>
              <w:right w:val="single" w:sz="4" w:space="0" w:color="auto"/>
            </w:tcBorders>
            <w:hideMark/>
          </w:tcPr>
          <w:p w:rsidR="008B7384" w:rsidRPr="00BA51D9" w:rsidRDefault="00BA51D9" w:rsidP="001F6AEC">
            <w:pPr>
              <w:rPr>
                <w:rFonts w:eastAsia="Times New Roman" w:cs="Arial"/>
                <w:sz w:val="20"/>
                <w:szCs w:val="20"/>
                <w:lang w:val="fr-FR"/>
              </w:rPr>
            </w:pPr>
            <w:r w:rsidRPr="00BA51D9">
              <w:rPr>
                <w:rFonts w:eastAsia="Times New Roman" w:cs="Arial"/>
                <w:sz w:val="20"/>
                <w:szCs w:val="20"/>
                <w:lang w:val="fr-FR"/>
              </w:rPr>
              <w:t>Cabo Verde</w:t>
            </w:r>
            <w:r w:rsidR="008B7384" w:rsidRPr="00BA51D9">
              <w:rPr>
                <w:rFonts w:eastAsia="Times New Roman" w:cs="Arial"/>
                <w:sz w:val="20"/>
                <w:szCs w:val="20"/>
                <w:lang w:val="fr-FR"/>
              </w:rPr>
              <w:t xml:space="preserve">, </w:t>
            </w:r>
            <w:r w:rsidR="001F6AEC" w:rsidRPr="00BA51D9">
              <w:rPr>
                <w:rFonts w:eastAsia="Times New Roman" w:cs="Arial"/>
                <w:sz w:val="20"/>
                <w:szCs w:val="20"/>
                <w:lang w:val="fr-FR"/>
              </w:rPr>
              <w:t>Népal</w:t>
            </w:r>
            <w:r w:rsidR="008B7384" w:rsidRPr="00BA51D9">
              <w:rPr>
                <w:rFonts w:eastAsia="Times New Roman" w:cs="Arial"/>
                <w:sz w:val="20"/>
                <w:szCs w:val="20"/>
                <w:lang w:val="fr-FR"/>
              </w:rPr>
              <w:t xml:space="preserve">, </w:t>
            </w:r>
            <w:r w:rsidR="001F6AEC" w:rsidRPr="00BA51D9">
              <w:rPr>
                <w:rFonts w:eastAsia="Times New Roman" w:cs="Arial"/>
                <w:sz w:val="20"/>
                <w:szCs w:val="20"/>
                <w:lang w:val="fr-FR"/>
              </w:rPr>
              <w:t>Turquie</w:t>
            </w:r>
            <w:r w:rsidR="008B7384" w:rsidRPr="00BA51D9">
              <w:rPr>
                <w:rFonts w:eastAsia="Times New Roman" w:cs="Arial"/>
                <w:sz w:val="20"/>
                <w:szCs w:val="20"/>
                <w:lang w:val="fr-FR"/>
              </w:rPr>
              <w:t>, Chil</w:t>
            </w:r>
            <w:r w:rsidR="001F6AEC" w:rsidRPr="00BA51D9">
              <w:rPr>
                <w:rFonts w:eastAsia="Times New Roman" w:cs="Arial"/>
                <w:sz w:val="20"/>
                <w:szCs w:val="20"/>
                <w:lang w:val="fr-FR"/>
              </w:rPr>
              <w:t>i</w:t>
            </w:r>
            <w:r w:rsidR="008B7384" w:rsidRPr="00BA51D9">
              <w:rPr>
                <w:rFonts w:eastAsia="Times New Roman" w:cs="Arial"/>
                <w:sz w:val="20"/>
                <w:szCs w:val="20"/>
                <w:lang w:val="fr-FR"/>
              </w:rPr>
              <w:t>, Bangladesh, Albani</w:t>
            </w:r>
            <w:r w:rsidR="001F6AEC" w:rsidRPr="00BA51D9">
              <w:rPr>
                <w:rFonts w:eastAsia="Times New Roman" w:cs="Arial"/>
                <w:sz w:val="20"/>
                <w:szCs w:val="20"/>
                <w:lang w:val="fr-FR"/>
              </w:rPr>
              <w:t>e</w:t>
            </w:r>
            <w:r w:rsidR="008B7384" w:rsidRPr="00BA51D9">
              <w:rPr>
                <w:rFonts w:eastAsia="Times New Roman" w:cs="Arial"/>
                <w:sz w:val="20"/>
                <w:szCs w:val="20"/>
                <w:lang w:val="fr-FR"/>
              </w:rPr>
              <w:t xml:space="preserve">, </w:t>
            </w:r>
            <w:r w:rsidR="001F6AEC" w:rsidRPr="00BA51D9">
              <w:rPr>
                <w:rFonts w:eastAsia="Times New Roman" w:cs="Arial"/>
                <w:sz w:val="20"/>
                <w:szCs w:val="20"/>
                <w:lang w:val="fr-FR"/>
              </w:rPr>
              <w:t>Cameroun</w:t>
            </w:r>
            <w:r w:rsidR="008B7384" w:rsidRPr="00BA51D9">
              <w:rPr>
                <w:rFonts w:eastAsia="Times New Roman" w:cs="Arial"/>
                <w:sz w:val="20"/>
                <w:szCs w:val="20"/>
                <w:lang w:val="fr-FR"/>
              </w:rPr>
              <w:t xml:space="preserve">, </w:t>
            </w:r>
            <w:r w:rsidR="001F6AEC" w:rsidRPr="00BA51D9">
              <w:rPr>
                <w:rFonts w:eastAsia="Times New Roman" w:cs="Arial"/>
                <w:sz w:val="20"/>
                <w:szCs w:val="20"/>
                <w:lang w:val="fr-FR"/>
              </w:rPr>
              <w:t xml:space="preserve">Îles </w:t>
            </w:r>
            <w:r w:rsidR="008B7384" w:rsidRPr="00BA51D9">
              <w:rPr>
                <w:rFonts w:eastAsia="Times New Roman" w:cs="Arial"/>
                <w:sz w:val="20"/>
                <w:szCs w:val="20"/>
                <w:lang w:val="fr-FR"/>
              </w:rPr>
              <w:t xml:space="preserve">Marshall </w:t>
            </w:r>
          </w:p>
        </w:tc>
      </w:tr>
      <w:tr w:rsidR="008B7384" w:rsidRPr="00C57B14"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BA51D9" w:rsidRDefault="008B7384" w:rsidP="00155BC8">
            <w:pPr>
              <w:rPr>
                <w:rFonts w:eastAsia="Times New Roman" w:cs="Arial"/>
                <w:b/>
                <w:bCs/>
                <w:sz w:val="20"/>
                <w:szCs w:val="20"/>
                <w:lang w:val="fr-FR"/>
              </w:rPr>
            </w:pPr>
            <w:r w:rsidRPr="00BA51D9">
              <w:rPr>
                <w:rFonts w:eastAsia="Times New Roman" w:cs="Arial"/>
                <w:b/>
                <w:bCs/>
                <w:sz w:val="20"/>
                <w:szCs w:val="20"/>
                <w:lang w:val="fr-FR"/>
              </w:rPr>
              <w:t>2009</w:t>
            </w:r>
          </w:p>
        </w:tc>
        <w:tc>
          <w:tcPr>
            <w:tcW w:w="1199" w:type="dxa"/>
            <w:tcBorders>
              <w:top w:val="nil"/>
              <w:left w:val="nil"/>
              <w:bottom w:val="single" w:sz="4" w:space="0" w:color="auto"/>
              <w:right w:val="single" w:sz="4" w:space="0" w:color="auto"/>
            </w:tcBorders>
            <w:hideMark/>
          </w:tcPr>
          <w:p w:rsidR="008B7384" w:rsidRPr="00BA51D9" w:rsidRDefault="008B7384" w:rsidP="00155BC8">
            <w:pPr>
              <w:jc w:val="right"/>
              <w:rPr>
                <w:rFonts w:eastAsia="Times New Roman" w:cs="Arial"/>
                <w:sz w:val="20"/>
                <w:szCs w:val="20"/>
                <w:lang w:val="fr-FR"/>
              </w:rPr>
            </w:pPr>
            <w:r w:rsidRPr="00BA51D9">
              <w:rPr>
                <w:rFonts w:eastAsia="Times New Roman" w:cs="Arial"/>
                <w:sz w:val="20"/>
                <w:szCs w:val="20"/>
                <w:lang w:val="fr-FR"/>
              </w:rPr>
              <w:t>235</w:t>
            </w:r>
            <w:r w:rsidR="003C509D" w:rsidRPr="00BA51D9">
              <w:rPr>
                <w:rFonts w:eastAsia="Times New Roman" w:cs="Arial"/>
                <w:sz w:val="20"/>
                <w:szCs w:val="20"/>
                <w:lang w:val="fr-FR"/>
              </w:rPr>
              <w:t xml:space="preserve"> </w:t>
            </w:r>
            <w:r w:rsidRPr="00BA51D9">
              <w:rPr>
                <w:rFonts w:eastAsia="Times New Roman" w:cs="Arial"/>
                <w:sz w:val="20"/>
                <w:szCs w:val="20"/>
                <w:lang w:val="fr-FR"/>
              </w:rPr>
              <w:t>962</w:t>
            </w:r>
          </w:p>
        </w:tc>
        <w:tc>
          <w:tcPr>
            <w:tcW w:w="2460" w:type="dxa"/>
            <w:tcBorders>
              <w:top w:val="nil"/>
              <w:left w:val="nil"/>
              <w:bottom w:val="single" w:sz="4" w:space="0" w:color="auto"/>
              <w:right w:val="single" w:sz="4" w:space="0" w:color="auto"/>
            </w:tcBorders>
            <w:hideMark/>
          </w:tcPr>
          <w:p w:rsidR="008B7384" w:rsidRPr="00BA51D9" w:rsidRDefault="0038247F" w:rsidP="00D224DC">
            <w:pPr>
              <w:rPr>
                <w:rFonts w:eastAsia="Times New Roman" w:cs="Arial"/>
                <w:sz w:val="20"/>
                <w:szCs w:val="20"/>
                <w:lang w:val="fr-FR"/>
              </w:rPr>
            </w:pPr>
            <w:r w:rsidRPr="00BA51D9">
              <w:rPr>
                <w:rFonts w:eastAsia="Times New Roman" w:cs="Arial"/>
                <w:sz w:val="20"/>
                <w:szCs w:val="20"/>
                <w:lang w:val="fr-FR"/>
              </w:rPr>
              <w:t>Allemagne</w:t>
            </w:r>
            <w:r w:rsidR="008B7384" w:rsidRPr="00BA51D9">
              <w:rPr>
                <w:rFonts w:eastAsia="Times New Roman" w:cs="Arial"/>
                <w:sz w:val="20"/>
                <w:szCs w:val="20"/>
                <w:lang w:val="fr-FR"/>
              </w:rPr>
              <w:t xml:space="preserve">, </w:t>
            </w:r>
            <w:r w:rsidRPr="00BA51D9">
              <w:rPr>
                <w:rFonts w:eastAsia="Times New Roman" w:cs="Arial"/>
                <w:sz w:val="20"/>
                <w:szCs w:val="20"/>
                <w:lang w:val="fr-FR"/>
              </w:rPr>
              <w:t>Japon</w:t>
            </w:r>
            <w:r w:rsidR="008B7384" w:rsidRPr="00BA51D9">
              <w:rPr>
                <w:rFonts w:eastAsia="Times New Roman" w:cs="Arial"/>
                <w:sz w:val="20"/>
                <w:szCs w:val="20"/>
                <w:lang w:val="fr-FR"/>
              </w:rPr>
              <w:t xml:space="preserve">, </w:t>
            </w:r>
            <w:r w:rsidR="00D224DC" w:rsidRPr="00BA51D9">
              <w:rPr>
                <w:rFonts w:eastAsia="Times New Roman" w:cs="Arial"/>
                <w:sz w:val="20"/>
                <w:szCs w:val="20"/>
                <w:lang w:val="fr-FR"/>
              </w:rPr>
              <w:t xml:space="preserve">Maurice, République de </w:t>
            </w:r>
            <w:r w:rsidRPr="00BA51D9">
              <w:rPr>
                <w:rFonts w:eastAsia="Times New Roman" w:cs="Arial"/>
                <w:sz w:val="20"/>
                <w:szCs w:val="20"/>
                <w:lang w:val="fr-FR"/>
              </w:rPr>
              <w:t>Corée</w:t>
            </w:r>
            <w:r w:rsidR="008B7384" w:rsidRPr="00BA51D9">
              <w:rPr>
                <w:rFonts w:eastAsia="Times New Roman" w:cs="Arial"/>
                <w:sz w:val="20"/>
                <w:szCs w:val="20"/>
                <w:lang w:val="fr-FR"/>
              </w:rPr>
              <w:t xml:space="preserve">, </w:t>
            </w:r>
            <w:r w:rsidRPr="00BA51D9">
              <w:rPr>
                <w:rFonts w:eastAsia="Times New Roman" w:cs="Arial"/>
                <w:sz w:val="20"/>
                <w:szCs w:val="20"/>
                <w:lang w:val="fr-FR"/>
              </w:rPr>
              <w:t>Suède</w:t>
            </w:r>
            <w:r w:rsidR="008B7384" w:rsidRPr="00BA51D9">
              <w:rPr>
                <w:rFonts w:eastAsia="Times New Roman" w:cs="Arial"/>
                <w:sz w:val="20"/>
                <w:szCs w:val="20"/>
                <w:lang w:val="fr-FR"/>
              </w:rPr>
              <w:t>; Danone</w:t>
            </w:r>
          </w:p>
        </w:tc>
        <w:tc>
          <w:tcPr>
            <w:tcW w:w="1019" w:type="dxa"/>
            <w:tcBorders>
              <w:top w:val="nil"/>
              <w:left w:val="nil"/>
              <w:bottom w:val="single" w:sz="4" w:space="0" w:color="auto"/>
              <w:right w:val="single" w:sz="4" w:space="0" w:color="auto"/>
            </w:tcBorders>
            <w:hideMark/>
          </w:tcPr>
          <w:p w:rsidR="008B7384" w:rsidRPr="00BA51D9" w:rsidRDefault="008B7384" w:rsidP="00155BC8">
            <w:pPr>
              <w:jc w:val="center"/>
              <w:rPr>
                <w:rFonts w:eastAsia="Times New Roman" w:cs="Arial"/>
                <w:sz w:val="20"/>
                <w:szCs w:val="20"/>
                <w:lang w:val="fr-FR"/>
              </w:rPr>
            </w:pPr>
            <w:r w:rsidRPr="00BA51D9">
              <w:rPr>
                <w:rFonts w:eastAsia="Times New Roman" w:cs="Arial"/>
                <w:sz w:val="20"/>
                <w:szCs w:val="20"/>
                <w:lang w:val="fr-FR"/>
              </w:rPr>
              <w:t>7</w:t>
            </w:r>
          </w:p>
        </w:tc>
        <w:tc>
          <w:tcPr>
            <w:tcW w:w="3492" w:type="dxa"/>
            <w:tcBorders>
              <w:top w:val="nil"/>
              <w:left w:val="nil"/>
              <w:bottom w:val="single" w:sz="4" w:space="0" w:color="auto"/>
              <w:right w:val="single" w:sz="4" w:space="0" w:color="auto"/>
            </w:tcBorders>
            <w:hideMark/>
          </w:tcPr>
          <w:p w:rsidR="008B7384" w:rsidRPr="00BA51D9" w:rsidRDefault="001F6AEC" w:rsidP="001F6AEC">
            <w:pPr>
              <w:rPr>
                <w:rFonts w:eastAsia="Times New Roman" w:cs="Arial"/>
                <w:sz w:val="20"/>
                <w:szCs w:val="20"/>
                <w:lang w:val="fr-FR"/>
              </w:rPr>
            </w:pPr>
            <w:r w:rsidRPr="00BA51D9">
              <w:rPr>
                <w:rFonts w:eastAsia="Times New Roman" w:cs="Arial"/>
                <w:sz w:val="20"/>
                <w:szCs w:val="20"/>
                <w:lang w:val="fr-FR"/>
              </w:rPr>
              <w:t>Maroc</w:t>
            </w:r>
            <w:r w:rsidR="008B7384" w:rsidRPr="00BA51D9">
              <w:rPr>
                <w:rFonts w:eastAsia="Times New Roman" w:cs="Arial"/>
                <w:sz w:val="20"/>
                <w:szCs w:val="20"/>
                <w:lang w:val="fr-FR"/>
              </w:rPr>
              <w:t xml:space="preserve">, Mali, </w:t>
            </w:r>
            <w:r w:rsidRPr="00BA51D9">
              <w:rPr>
                <w:rFonts w:eastAsia="Times New Roman" w:cs="Arial"/>
                <w:sz w:val="20"/>
                <w:szCs w:val="20"/>
                <w:lang w:val="fr-FR"/>
              </w:rPr>
              <w:t>République</w:t>
            </w:r>
            <w:r w:rsidR="008B7384" w:rsidRPr="00BA51D9">
              <w:rPr>
                <w:rFonts w:eastAsia="Times New Roman" w:cs="Arial"/>
                <w:sz w:val="20"/>
                <w:szCs w:val="20"/>
                <w:lang w:val="fr-FR"/>
              </w:rPr>
              <w:t xml:space="preserve"> </w:t>
            </w:r>
            <w:r w:rsidRPr="00BA51D9">
              <w:rPr>
                <w:rFonts w:eastAsia="Times New Roman" w:cs="Arial"/>
                <w:sz w:val="20"/>
                <w:szCs w:val="20"/>
                <w:lang w:val="fr-FR"/>
              </w:rPr>
              <w:t>du</w:t>
            </w:r>
            <w:r w:rsidR="008B7384" w:rsidRPr="00BA51D9">
              <w:rPr>
                <w:rFonts w:eastAsia="Times New Roman" w:cs="Arial"/>
                <w:sz w:val="20"/>
                <w:szCs w:val="20"/>
                <w:lang w:val="fr-FR"/>
              </w:rPr>
              <w:t xml:space="preserve"> Congo, Uruguay, </w:t>
            </w:r>
            <w:r w:rsidRPr="00BA51D9">
              <w:rPr>
                <w:rFonts w:eastAsia="Times New Roman" w:cs="Arial"/>
                <w:sz w:val="20"/>
                <w:szCs w:val="20"/>
                <w:lang w:val="fr-FR"/>
              </w:rPr>
              <w:t>Ouzbékistan</w:t>
            </w:r>
            <w:r w:rsidR="008B7384" w:rsidRPr="00BA51D9">
              <w:rPr>
                <w:rFonts w:eastAsia="Times New Roman" w:cs="Arial"/>
                <w:sz w:val="20"/>
                <w:szCs w:val="20"/>
                <w:lang w:val="fr-FR"/>
              </w:rPr>
              <w:t>, Viet</w:t>
            </w:r>
            <w:r w:rsidR="00155BC8" w:rsidRPr="00BA51D9">
              <w:rPr>
                <w:rFonts w:eastAsia="Times New Roman" w:cs="Arial"/>
                <w:sz w:val="20"/>
                <w:szCs w:val="20"/>
                <w:lang w:val="fr-FR"/>
              </w:rPr>
              <w:t xml:space="preserve"> N</w:t>
            </w:r>
            <w:r w:rsidR="008B7384" w:rsidRPr="00BA51D9">
              <w:rPr>
                <w:rFonts w:eastAsia="Times New Roman" w:cs="Arial"/>
                <w:sz w:val="20"/>
                <w:szCs w:val="20"/>
                <w:lang w:val="fr-FR"/>
              </w:rPr>
              <w:t>am</w:t>
            </w:r>
          </w:p>
        </w:tc>
      </w:tr>
      <w:tr w:rsidR="008B7384" w:rsidRPr="00BA51D9"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BA51D9" w:rsidRDefault="008B7384" w:rsidP="00155BC8">
            <w:pPr>
              <w:rPr>
                <w:rFonts w:eastAsia="Times New Roman" w:cs="Arial"/>
                <w:b/>
                <w:bCs/>
                <w:sz w:val="20"/>
                <w:szCs w:val="20"/>
                <w:lang w:val="fr-FR"/>
              </w:rPr>
            </w:pPr>
            <w:bookmarkStart w:id="1" w:name="RANGE!A10"/>
            <w:r w:rsidRPr="00BA51D9">
              <w:rPr>
                <w:rFonts w:eastAsia="Times New Roman" w:cs="Arial"/>
                <w:b/>
                <w:bCs/>
                <w:sz w:val="20"/>
                <w:szCs w:val="20"/>
                <w:lang w:val="fr-FR"/>
              </w:rPr>
              <w:t>2010</w:t>
            </w:r>
            <w:bookmarkEnd w:id="1"/>
          </w:p>
        </w:tc>
        <w:tc>
          <w:tcPr>
            <w:tcW w:w="1199" w:type="dxa"/>
            <w:tcBorders>
              <w:top w:val="nil"/>
              <w:left w:val="nil"/>
              <w:bottom w:val="single" w:sz="4" w:space="0" w:color="auto"/>
              <w:right w:val="single" w:sz="4" w:space="0" w:color="auto"/>
            </w:tcBorders>
            <w:hideMark/>
          </w:tcPr>
          <w:p w:rsidR="008B7384" w:rsidRPr="00BA51D9" w:rsidRDefault="008B7384" w:rsidP="00155BC8">
            <w:pPr>
              <w:jc w:val="right"/>
              <w:rPr>
                <w:rFonts w:eastAsia="Times New Roman" w:cs="Arial"/>
                <w:sz w:val="20"/>
                <w:szCs w:val="20"/>
                <w:lang w:val="fr-FR"/>
              </w:rPr>
            </w:pPr>
            <w:r w:rsidRPr="00BA51D9">
              <w:rPr>
                <w:rFonts w:eastAsia="Times New Roman" w:cs="Arial"/>
                <w:sz w:val="20"/>
                <w:szCs w:val="20"/>
                <w:lang w:val="fr-FR"/>
              </w:rPr>
              <w:t>110</w:t>
            </w:r>
            <w:r w:rsidR="003C509D" w:rsidRPr="00BA51D9">
              <w:rPr>
                <w:rFonts w:eastAsia="Times New Roman" w:cs="Arial"/>
                <w:sz w:val="20"/>
                <w:szCs w:val="20"/>
                <w:lang w:val="fr-FR"/>
              </w:rPr>
              <w:t xml:space="preserve"> </w:t>
            </w:r>
            <w:r w:rsidRPr="00BA51D9">
              <w:rPr>
                <w:rFonts w:eastAsia="Times New Roman" w:cs="Arial"/>
                <w:sz w:val="20"/>
                <w:szCs w:val="20"/>
                <w:lang w:val="fr-FR"/>
              </w:rPr>
              <w:t>232</w:t>
            </w:r>
          </w:p>
        </w:tc>
        <w:tc>
          <w:tcPr>
            <w:tcW w:w="2460" w:type="dxa"/>
            <w:tcBorders>
              <w:top w:val="nil"/>
              <w:left w:val="nil"/>
              <w:bottom w:val="single" w:sz="4" w:space="0" w:color="auto"/>
              <w:right w:val="single" w:sz="4" w:space="0" w:color="auto"/>
            </w:tcBorders>
            <w:hideMark/>
          </w:tcPr>
          <w:p w:rsidR="008B7384" w:rsidRPr="00BA51D9" w:rsidRDefault="008B7384" w:rsidP="0038247F">
            <w:pPr>
              <w:rPr>
                <w:rFonts w:eastAsia="Times New Roman" w:cs="Arial"/>
                <w:sz w:val="20"/>
                <w:szCs w:val="20"/>
                <w:lang w:val="fr-FR"/>
              </w:rPr>
            </w:pPr>
            <w:r w:rsidRPr="00BA51D9">
              <w:rPr>
                <w:rFonts w:eastAsia="Times New Roman" w:cs="Arial"/>
                <w:sz w:val="20"/>
                <w:szCs w:val="20"/>
                <w:lang w:val="fr-FR"/>
              </w:rPr>
              <w:t xml:space="preserve">Bangladesh, </w:t>
            </w:r>
            <w:r w:rsidR="0038247F" w:rsidRPr="00BA51D9">
              <w:rPr>
                <w:rFonts w:eastAsia="Times New Roman" w:cs="Arial"/>
                <w:sz w:val="20"/>
                <w:szCs w:val="20"/>
                <w:lang w:val="fr-FR"/>
              </w:rPr>
              <w:t>Japon</w:t>
            </w:r>
            <w:r w:rsidRPr="00BA51D9">
              <w:rPr>
                <w:rFonts w:eastAsia="Times New Roman" w:cs="Arial"/>
                <w:sz w:val="20"/>
                <w:szCs w:val="20"/>
                <w:lang w:val="fr-FR"/>
              </w:rPr>
              <w:t xml:space="preserve">, </w:t>
            </w:r>
            <w:r w:rsidR="0038247F" w:rsidRPr="00BA51D9">
              <w:rPr>
                <w:rFonts w:eastAsia="Times New Roman" w:cs="Arial"/>
                <w:sz w:val="20"/>
                <w:szCs w:val="20"/>
                <w:lang w:val="fr-FR"/>
              </w:rPr>
              <w:t>Norvège</w:t>
            </w:r>
          </w:p>
        </w:tc>
        <w:tc>
          <w:tcPr>
            <w:tcW w:w="1019" w:type="dxa"/>
            <w:tcBorders>
              <w:top w:val="nil"/>
              <w:left w:val="nil"/>
              <w:bottom w:val="single" w:sz="4" w:space="0" w:color="auto"/>
              <w:right w:val="single" w:sz="4" w:space="0" w:color="auto"/>
            </w:tcBorders>
            <w:hideMark/>
          </w:tcPr>
          <w:p w:rsidR="008B7384" w:rsidRPr="00BA51D9" w:rsidRDefault="008B7384" w:rsidP="00155BC8">
            <w:pPr>
              <w:jc w:val="center"/>
              <w:rPr>
                <w:rFonts w:eastAsia="Times New Roman" w:cs="Arial"/>
                <w:sz w:val="20"/>
                <w:szCs w:val="20"/>
                <w:lang w:val="fr-FR"/>
              </w:rPr>
            </w:pPr>
            <w:r w:rsidRPr="00BA51D9">
              <w:rPr>
                <w:rFonts w:eastAsia="Times New Roman" w:cs="Arial"/>
                <w:sz w:val="20"/>
                <w:szCs w:val="20"/>
                <w:lang w:val="fr-FR"/>
              </w:rPr>
              <w:t>3</w:t>
            </w:r>
          </w:p>
        </w:tc>
        <w:tc>
          <w:tcPr>
            <w:tcW w:w="3492" w:type="dxa"/>
            <w:tcBorders>
              <w:top w:val="nil"/>
              <w:left w:val="nil"/>
              <w:bottom w:val="single" w:sz="4" w:space="0" w:color="auto"/>
              <w:right w:val="single" w:sz="4" w:space="0" w:color="auto"/>
            </w:tcBorders>
            <w:hideMark/>
          </w:tcPr>
          <w:p w:rsidR="008B7384" w:rsidRPr="00BA51D9" w:rsidRDefault="008B7384" w:rsidP="001F6AEC">
            <w:pPr>
              <w:rPr>
                <w:rFonts w:eastAsia="Times New Roman" w:cs="Arial"/>
                <w:sz w:val="20"/>
                <w:szCs w:val="20"/>
                <w:lang w:val="fr-FR"/>
              </w:rPr>
            </w:pPr>
            <w:r w:rsidRPr="00BA51D9">
              <w:rPr>
                <w:rFonts w:eastAsia="Times New Roman" w:cs="Arial"/>
                <w:sz w:val="20"/>
                <w:szCs w:val="20"/>
                <w:lang w:val="fr-FR"/>
              </w:rPr>
              <w:t>Guin</w:t>
            </w:r>
            <w:r w:rsidR="001F6AEC" w:rsidRPr="00BA51D9">
              <w:rPr>
                <w:rFonts w:eastAsia="Times New Roman" w:cs="Arial"/>
                <w:sz w:val="20"/>
                <w:szCs w:val="20"/>
                <w:lang w:val="fr-FR"/>
              </w:rPr>
              <w:t>ée-</w:t>
            </w:r>
            <w:r w:rsidRPr="00BA51D9">
              <w:rPr>
                <w:rFonts w:eastAsia="Times New Roman" w:cs="Arial"/>
                <w:sz w:val="20"/>
                <w:szCs w:val="20"/>
                <w:lang w:val="fr-FR"/>
              </w:rPr>
              <w:t>Bissau, Cambod</w:t>
            </w:r>
            <w:r w:rsidR="001F6AEC" w:rsidRPr="00BA51D9">
              <w:rPr>
                <w:rFonts w:eastAsia="Times New Roman" w:cs="Arial"/>
                <w:sz w:val="20"/>
                <w:szCs w:val="20"/>
                <w:lang w:val="fr-FR"/>
              </w:rPr>
              <w:t>ge</w:t>
            </w:r>
            <w:r w:rsidRPr="00BA51D9">
              <w:rPr>
                <w:rFonts w:eastAsia="Times New Roman" w:cs="Arial"/>
                <w:sz w:val="20"/>
                <w:szCs w:val="20"/>
                <w:lang w:val="fr-FR"/>
              </w:rPr>
              <w:t xml:space="preserve">, </w:t>
            </w:r>
            <w:r w:rsidR="001F6AEC" w:rsidRPr="00BA51D9">
              <w:rPr>
                <w:rFonts w:eastAsia="Times New Roman" w:cs="Arial"/>
                <w:sz w:val="20"/>
                <w:szCs w:val="20"/>
                <w:lang w:val="fr-FR"/>
              </w:rPr>
              <w:t>Népal</w:t>
            </w:r>
          </w:p>
        </w:tc>
      </w:tr>
      <w:tr w:rsidR="008B7384" w:rsidRPr="00BA51D9"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BA51D9" w:rsidRDefault="008B7384" w:rsidP="00155BC8">
            <w:pPr>
              <w:rPr>
                <w:rFonts w:eastAsia="Times New Roman" w:cs="Arial"/>
                <w:b/>
                <w:bCs/>
                <w:sz w:val="20"/>
                <w:szCs w:val="20"/>
                <w:lang w:val="fr-FR"/>
              </w:rPr>
            </w:pPr>
            <w:r w:rsidRPr="00BA51D9">
              <w:rPr>
                <w:rFonts w:eastAsia="Times New Roman" w:cs="Arial"/>
                <w:b/>
                <w:bCs/>
                <w:sz w:val="20"/>
                <w:szCs w:val="20"/>
                <w:lang w:val="fr-FR"/>
              </w:rPr>
              <w:t>2011</w:t>
            </w:r>
          </w:p>
        </w:tc>
        <w:tc>
          <w:tcPr>
            <w:tcW w:w="1199" w:type="dxa"/>
            <w:tcBorders>
              <w:top w:val="nil"/>
              <w:left w:val="nil"/>
              <w:bottom w:val="single" w:sz="4" w:space="0" w:color="auto"/>
              <w:right w:val="single" w:sz="4" w:space="0" w:color="auto"/>
            </w:tcBorders>
            <w:hideMark/>
          </w:tcPr>
          <w:p w:rsidR="008B7384" w:rsidRPr="00BA51D9" w:rsidRDefault="008B7384" w:rsidP="00155BC8">
            <w:pPr>
              <w:jc w:val="right"/>
              <w:rPr>
                <w:rFonts w:eastAsia="Times New Roman" w:cs="Arial"/>
                <w:sz w:val="20"/>
                <w:szCs w:val="20"/>
                <w:lang w:val="fr-FR"/>
              </w:rPr>
            </w:pPr>
            <w:r w:rsidRPr="00BA51D9">
              <w:rPr>
                <w:rFonts w:eastAsia="Times New Roman" w:cs="Arial"/>
                <w:sz w:val="20"/>
                <w:szCs w:val="20"/>
                <w:lang w:val="fr-FR"/>
              </w:rPr>
              <w:t>0</w:t>
            </w:r>
          </w:p>
        </w:tc>
        <w:tc>
          <w:tcPr>
            <w:tcW w:w="2460" w:type="dxa"/>
            <w:tcBorders>
              <w:top w:val="nil"/>
              <w:left w:val="nil"/>
              <w:bottom w:val="single" w:sz="4" w:space="0" w:color="auto"/>
              <w:right w:val="single" w:sz="4" w:space="0" w:color="auto"/>
            </w:tcBorders>
            <w:hideMark/>
          </w:tcPr>
          <w:p w:rsidR="008B7384" w:rsidRPr="00BA51D9" w:rsidRDefault="008B7384" w:rsidP="00155BC8">
            <w:pPr>
              <w:rPr>
                <w:rFonts w:eastAsia="Times New Roman" w:cs="Arial"/>
                <w:sz w:val="20"/>
                <w:szCs w:val="20"/>
                <w:lang w:val="fr-FR"/>
              </w:rPr>
            </w:pPr>
            <w:r w:rsidRPr="00BA51D9">
              <w:rPr>
                <w:rFonts w:eastAsia="Times New Roman" w:cs="Arial"/>
                <w:sz w:val="20"/>
                <w:szCs w:val="20"/>
                <w:lang w:val="fr-FR"/>
              </w:rPr>
              <w:t>-</w:t>
            </w:r>
          </w:p>
        </w:tc>
        <w:tc>
          <w:tcPr>
            <w:tcW w:w="1019" w:type="dxa"/>
            <w:tcBorders>
              <w:top w:val="nil"/>
              <w:left w:val="nil"/>
              <w:bottom w:val="single" w:sz="4" w:space="0" w:color="auto"/>
              <w:right w:val="single" w:sz="4" w:space="0" w:color="auto"/>
            </w:tcBorders>
            <w:hideMark/>
          </w:tcPr>
          <w:p w:rsidR="008B7384" w:rsidRPr="00BA51D9" w:rsidRDefault="008B7384" w:rsidP="00155BC8">
            <w:pPr>
              <w:jc w:val="center"/>
              <w:rPr>
                <w:rFonts w:eastAsia="Times New Roman" w:cs="Arial"/>
                <w:sz w:val="20"/>
                <w:szCs w:val="20"/>
                <w:lang w:val="fr-FR"/>
              </w:rPr>
            </w:pPr>
            <w:r w:rsidRPr="00BA51D9">
              <w:rPr>
                <w:rFonts w:eastAsia="Times New Roman" w:cs="Arial"/>
                <w:sz w:val="20"/>
                <w:szCs w:val="20"/>
                <w:lang w:val="fr-FR"/>
              </w:rPr>
              <w:t>-</w:t>
            </w:r>
          </w:p>
        </w:tc>
        <w:tc>
          <w:tcPr>
            <w:tcW w:w="3492" w:type="dxa"/>
            <w:tcBorders>
              <w:top w:val="nil"/>
              <w:left w:val="nil"/>
              <w:bottom w:val="single" w:sz="4" w:space="0" w:color="auto"/>
              <w:right w:val="single" w:sz="4" w:space="0" w:color="auto"/>
            </w:tcBorders>
            <w:hideMark/>
          </w:tcPr>
          <w:p w:rsidR="008B7384" w:rsidRPr="00BA51D9" w:rsidRDefault="008B7384" w:rsidP="00155BC8">
            <w:pPr>
              <w:rPr>
                <w:rFonts w:eastAsia="Times New Roman" w:cs="Arial"/>
                <w:sz w:val="20"/>
                <w:szCs w:val="20"/>
                <w:lang w:val="fr-FR"/>
              </w:rPr>
            </w:pPr>
            <w:r w:rsidRPr="00BA51D9">
              <w:rPr>
                <w:rFonts w:eastAsia="Times New Roman" w:cs="Arial"/>
                <w:sz w:val="20"/>
                <w:szCs w:val="20"/>
                <w:lang w:val="fr-FR"/>
              </w:rPr>
              <w:t>-</w:t>
            </w:r>
          </w:p>
        </w:tc>
      </w:tr>
      <w:tr w:rsidR="008B7384" w:rsidRPr="00C57B14"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BA51D9" w:rsidRDefault="008B7384" w:rsidP="00155BC8">
            <w:pPr>
              <w:rPr>
                <w:rFonts w:eastAsia="Times New Roman" w:cs="Arial"/>
                <w:b/>
                <w:bCs/>
                <w:sz w:val="20"/>
                <w:szCs w:val="20"/>
                <w:lang w:val="fr-FR"/>
              </w:rPr>
            </w:pPr>
            <w:r w:rsidRPr="00BA51D9">
              <w:rPr>
                <w:rFonts w:eastAsia="Times New Roman" w:cs="Arial"/>
                <w:b/>
                <w:bCs/>
                <w:sz w:val="20"/>
                <w:szCs w:val="20"/>
                <w:lang w:val="fr-FR"/>
              </w:rPr>
              <w:t>2012</w:t>
            </w:r>
          </w:p>
        </w:tc>
        <w:tc>
          <w:tcPr>
            <w:tcW w:w="1199" w:type="dxa"/>
            <w:tcBorders>
              <w:top w:val="nil"/>
              <w:left w:val="nil"/>
              <w:bottom w:val="single" w:sz="4" w:space="0" w:color="auto"/>
              <w:right w:val="single" w:sz="4" w:space="0" w:color="auto"/>
            </w:tcBorders>
            <w:hideMark/>
          </w:tcPr>
          <w:p w:rsidR="008B7384" w:rsidRPr="00BA51D9" w:rsidRDefault="008B7384" w:rsidP="00155BC8">
            <w:pPr>
              <w:jc w:val="right"/>
              <w:rPr>
                <w:rFonts w:eastAsia="Times New Roman" w:cs="Arial"/>
                <w:sz w:val="20"/>
                <w:szCs w:val="20"/>
                <w:lang w:val="fr-FR"/>
              </w:rPr>
            </w:pPr>
            <w:r w:rsidRPr="00BA51D9">
              <w:rPr>
                <w:rFonts w:eastAsia="Times New Roman" w:cs="Arial"/>
                <w:sz w:val="20"/>
                <w:szCs w:val="20"/>
                <w:lang w:val="fr-FR"/>
              </w:rPr>
              <w:t>289</w:t>
            </w:r>
            <w:r w:rsidR="003C509D" w:rsidRPr="00BA51D9">
              <w:rPr>
                <w:rFonts w:eastAsia="Times New Roman" w:cs="Arial"/>
                <w:sz w:val="20"/>
                <w:szCs w:val="20"/>
                <w:lang w:val="fr-FR"/>
              </w:rPr>
              <w:t xml:space="preserve"> </w:t>
            </w:r>
            <w:r w:rsidRPr="00BA51D9">
              <w:rPr>
                <w:rFonts w:eastAsia="Times New Roman" w:cs="Arial"/>
                <w:sz w:val="20"/>
                <w:szCs w:val="20"/>
                <w:lang w:val="fr-FR"/>
              </w:rPr>
              <w:t>510</w:t>
            </w:r>
          </w:p>
        </w:tc>
        <w:tc>
          <w:tcPr>
            <w:tcW w:w="2460" w:type="dxa"/>
            <w:tcBorders>
              <w:top w:val="nil"/>
              <w:left w:val="nil"/>
              <w:bottom w:val="single" w:sz="4" w:space="0" w:color="auto"/>
              <w:right w:val="single" w:sz="4" w:space="0" w:color="auto"/>
            </w:tcBorders>
            <w:hideMark/>
          </w:tcPr>
          <w:p w:rsidR="008B7384" w:rsidRPr="00BA51D9" w:rsidRDefault="00D224DC" w:rsidP="00D224DC">
            <w:pPr>
              <w:rPr>
                <w:rFonts w:eastAsia="Times New Roman" w:cs="Arial"/>
                <w:sz w:val="20"/>
                <w:szCs w:val="20"/>
                <w:lang w:val="fr-FR"/>
              </w:rPr>
            </w:pPr>
            <w:r w:rsidRPr="00BA51D9">
              <w:rPr>
                <w:rFonts w:eastAsia="Times New Roman" w:cs="Arial"/>
                <w:sz w:val="20"/>
                <w:szCs w:val="20"/>
                <w:lang w:val="fr-FR"/>
              </w:rPr>
              <w:t xml:space="preserve">Canada, Japon, </w:t>
            </w:r>
            <w:r w:rsidR="0038247F" w:rsidRPr="00BA51D9">
              <w:rPr>
                <w:rFonts w:eastAsia="Times New Roman" w:cs="Arial"/>
                <w:sz w:val="20"/>
                <w:szCs w:val="20"/>
                <w:lang w:val="fr-FR"/>
              </w:rPr>
              <w:t>Norvège</w:t>
            </w:r>
            <w:r w:rsidR="008B7384" w:rsidRPr="00BA51D9">
              <w:rPr>
                <w:rFonts w:eastAsia="Times New Roman" w:cs="Arial"/>
                <w:sz w:val="20"/>
                <w:szCs w:val="20"/>
                <w:lang w:val="fr-FR"/>
              </w:rPr>
              <w:t xml:space="preserve"> </w:t>
            </w:r>
          </w:p>
        </w:tc>
        <w:tc>
          <w:tcPr>
            <w:tcW w:w="1019" w:type="dxa"/>
            <w:tcBorders>
              <w:top w:val="nil"/>
              <w:left w:val="nil"/>
              <w:bottom w:val="single" w:sz="4" w:space="0" w:color="auto"/>
              <w:right w:val="single" w:sz="4" w:space="0" w:color="auto"/>
            </w:tcBorders>
            <w:hideMark/>
          </w:tcPr>
          <w:p w:rsidR="008B7384" w:rsidRPr="00BA51D9" w:rsidRDefault="008B7384" w:rsidP="00155BC8">
            <w:pPr>
              <w:jc w:val="center"/>
              <w:rPr>
                <w:rFonts w:eastAsia="Times New Roman" w:cs="Arial"/>
                <w:sz w:val="20"/>
                <w:szCs w:val="20"/>
                <w:lang w:val="fr-FR"/>
              </w:rPr>
            </w:pPr>
            <w:r w:rsidRPr="00BA51D9">
              <w:rPr>
                <w:rFonts w:eastAsia="Times New Roman" w:cs="Arial"/>
                <w:sz w:val="20"/>
                <w:szCs w:val="20"/>
                <w:lang w:val="fr-FR"/>
              </w:rPr>
              <w:t>7</w:t>
            </w:r>
          </w:p>
        </w:tc>
        <w:tc>
          <w:tcPr>
            <w:tcW w:w="3492" w:type="dxa"/>
            <w:tcBorders>
              <w:top w:val="nil"/>
              <w:left w:val="nil"/>
              <w:bottom w:val="single" w:sz="4" w:space="0" w:color="auto"/>
              <w:right w:val="single" w:sz="4" w:space="0" w:color="auto"/>
            </w:tcBorders>
            <w:hideMark/>
          </w:tcPr>
          <w:p w:rsidR="008B7384" w:rsidRPr="00BA51D9" w:rsidRDefault="008B7384" w:rsidP="00D224DC">
            <w:pPr>
              <w:rPr>
                <w:rFonts w:eastAsia="Times New Roman" w:cs="Arial"/>
                <w:sz w:val="20"/>
                <w:szCs w:val="20"/>
                <w:lang w:val="fr-FR"/>
              </w:rPr>
            </w:pPr>
            <w:r w:rsidRPr="00BA51D9">
              <w:rPr>
                <w:rFonts w:eastAsia="Times New Roman" w:cs="Arial"/>
                <w:sz w:val="20"/>
                <w:szCs w:val="20"/>
                <w:lang w:val="fr-FR"/>
              </w:rPr>
              <w:t>Belize,</w:t>
            </w:r>
            <w:r w:rsidR="001F6AEC" w:rsidRPr="00BA51D9">
              <w:rPr>
                <w:rFonts w:eastAsia="Times New Roman" w:cs="Arial"/>
                <w:sz w:val="20"/>
                <w:szCs w:val="20"/>
                <w:lang w:val="fr-FR"/>
              </w:rPr>
              <w:t xml:space="preserve"> </w:t>
            </w:r>
            <w:r w:rsidRPr="00BA51D9">
              <w:rPr>
                <w:rFonts w:eastAsia="Times New Roman" w:cs="Arial"/>
                <w:sz w:val="20"/>
                <w:szCs w:val="20"/>
                <w:lang w:val="fr-FR"/>
              </w:rPr>
              <w:t>Ghana, Belarus,</w:t>
            </w:r>
            <w:r w:rsidR="001F6AEC" w:rsidRPr="00BA51D9">
              <w:rPr>
                <w:rFonts w:eastAsia="Times New Roman" w:cs="Arial"/>
                <w:sz w:val="20"/>
                <w:szCs w:val="20"/>
                <w:lang w:val="fr-FR"/>
              </w:rPr>
              <w:t xml:space="preserve"> </w:t>
            </w:r>
            <w:r w:rsidR="00D224DC" w:rsidRPr="00BA51D9">
              <w:rPr>
                <w:rFonts w:eastAsia="Times New Roman" w:cs="Arial"/>
                <w:sz w:val="20"/>
                <w:szCs w:val="20"/>
                <w:lang w:val="fr-FR"/>
              </w:rPr>
              <w:t xml:space="preserve">République de </w:t>
            </w:r>
            <w:r w:rsidR="001F6AEC" w:rsidRPr="00BA51D9">
              <w:rPr>
                <w:rFonts w:eastAsia="Times New Roman" w:cs="Arial"/>
                <w:sz w:val="20"/>
                <w:szCs w:val="20"/>
                <w:lang w:val="fr-FR"/>
              </w:rPr>
              <w:t>Moldova, Ou</w:t>
            </w:r>
            <w:r w:rsidRPr="00BA51D9">
              <w:rPr>
                <w:rFonts w:eastAsia="Times New Roman" w:cs="Arial"/>
                <w:sz w:val="20"/>
                <w:szCs w:val="20"/>
                <w:lang w:val="fr-FR"/>
              </w:rPr>
              <w:t xml:space="preserve">ganda, </w:t>
            </w:r>
            <w:r w:rsidR="00D224DC" w:rsidRPr="00BA51D9">
              <w:rPr>
                <w:rFonts w:eastAsia="Times New Roman" w:cs="Arial"/>
                <w:sz w:val="20"/>
                <w:szCs w:val="20"/>
                <w:lang w:val="fr-FR"/>
              </w:rPr>
              <w:t>RDP lao</w:t>
            </w:r>
            <w:r w:rsidR="001F6AEC" w:rsidRPr="00BA51D9">
              <w:rPr>
                <w:rFonts w:eastAsia="Times New Roman" w:cs="Arial"/>
                <w:sz w:val="20"/>
                <w:szCs w:val="20"/>
                <w:lang w:val="fr-FR"/>
              </w:rPr>
              <w:t>, Géorgie</w:t>
            </w:r>
          </w:p>
        </w:tc>
      </w:tr>
      <w:tr w:rsidR="008B7384" w:rsidRPr="00BA51D9"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BA51D9" w:rsidRDefault="008B7384" w:rsidP="00155BC8">
            <w:pPr>
              <w:rPr>
                <w:rFonts w:eastAsia="Times New Roman" w:cs="Arial"/>
                <w:b/>
                <w:bCs/>
                <w:sz w:val="20"/>
                <w:szCs w:val="20"/>
                <w:lang w:val="fr-FR"/>
              </w:rPr>
            </w:pPr>
            <w:r w:rsidRPr="00BA51D9">
              <w:rPr>
                <w:rFonts w:eastAsia="Times New Roman" w:cs="Arial"/>
                <w:b/>
                <w:bCs/>
                <w:sz w:val="20"/>
                <w:szCs w:val="20"/>
                <w:lang w:val="fr-FR"/>
              </w:rPr>
              <w:t>2013</w:t>
            </w:r>
          </w:p>
        </w:tc>
        <w:tc>
          <w:tcPr>
            <w:tcW w:w="1199" w:type="dxa"/>
            <w:tcBorders>
              <w:top w:val="nil"/>
              <w:left w:val="nil"/>
              <w:bottom w:val="single" w:sz="4" w:space="0" w:color="auto"/>
              <w:right w:val="single" w:sz="4" w:space="0" w:color="auto"/>
            </w:tcBorders>
            <w:hideMark/>
          </w:tcPr>
          <w:p w:rsidR="008B7384" w:rsidRPr="00BA51D9" w:rsidRDefault="008B7384" w:rsidP="00155BC8">
            <w:pPr>
              <w:jc w:val="right"/>
              <w:rPr>
                <w:rFonts w:eastAsia="Times New Roman" w:cs="Arial"/>
                <w:sz w:val="20"/>
                <w:szCs w:val="20"/>
                <w:lang w:val="fr-FR"/>
              </w:rPr>
            </w:pPr>
            <w:r w:rsidRPr="00BA51D9">
              <w:rPr>
                <w:rFonts w:eastAsia="Times New Roman" w:cs="Arial"/>
                <w:sz w:val="20"/>
                <w:szCs w:val="20"/>
                <w:lang w:val="fr-FR"/>
              </w:rPr>
              <w:t>-</w:t>
            </w:r>
          </w:p>
        </w:tc>
        <w:tc>
          <w:tcPr>
            <w:tcW w:w="2460" w:type="dxa"/>
            <w:tcBorders>
              <w:top w:val="nil"/>
              <w:left w:val="nil"/>
              <w:bottom w:val="single" w:sz="4" w:space="0" w:color="auto"/>
              <w:right w:val="single" w:sz="4" w:space="0" w:color="auto"/>
            </w:tcBorders>
            <w:hideMark/>
          </w:tcPr>
          <w:p w:rsidR="008B7384" w:rsidRPr="00BA51D9" w:rsidRDefault="008B7384" w:rsidP="00155BC8">
            <w:pPr>
              <w:rPr>
                <w:rFonts w:eastAsia="Times New Roman" w:cs="Arial"/>
                <w:sz w:val="20"/>
                <w:szCs w:val="20"/>
                <w:lang w:val="fr-FR"/>
              </w:rPr>
            </w:pPr>
            <w:r w:rsidRPr="00BA51D9">
              <w:rPr>
                <w:rFonts w:eastAsia="Times New Roman" w:cs="Arial"/>
                <w:sz w:val="20"/>
                <w:szCs w:val="20"/>
                <w:lang w:val="fr-FR"/>
              </w:rPr>
              <w:t> -</w:t>
            </w:r>
          </w:p>
        </w:tc>
        <w:tc>
          <w:tcPr>
            <w:tcW w:w="1019" w:type="dxa"/>
            <w:tcBorders>
              <w:top w:val="nil"/>
              <w:left w:val="nil"/>
              <w:bottom w:val="single" w:sz="4" w:space="0" w:color="auto"/>
              <w:right w:val="single" w:sz="4" w:space="0" w:color="auto"/>
            </w:tcBorders>
            <w:hideMark/>
          </w:tcPr>
          <w:p w:rsidR="008B7384" w:rsidRPr="00BA51D9" w:rsidRDefault="008B7384" w:rsidP="00155BC8">
            <w:pPr>
              <w:jc w:val="center"/>
              <w:rPr>
                <w:rFonts w:eastAsia="Times New Roman" w:cs="Arial"/>
                <w:sz w:val="20"/>
                <w:szCs w:val="20"/>
                <w:lang w:val="fr-FR"/>
              </w:rPr>
            </w:pPr>
            <w:r w:rsidRPr="00BA51D9">
              <w:rPr>
                <w:rFonts w:eastAsia="Times New Roman" w:cs="Arial"/>
                <w:sz w:val="20"/>
                <w:szCs w:val="20"/>
                <w:lang w:val="fr-FR"/>
              </w:rPr>
              <w:t>1</w:t>
            </w:r>
          </w:p>
        </w:tc>
        <w:tc>
          <w:tcPr>
            <w:tcW w:w="3492" w:type="dxa"/>
            <w:tcBorders>
              <w:top w:val="nil"/>
              <w:left w:val="nil"/>
              <w:bottom w:val="single" w:sz="4" w:space="0" w:color="auto"/>
              <w:right w:val="single" w:sz="4" w:space="0" w:color="auto"/>
            </w:tcBorders>
            <w:hideMark/>
          </w:tcPr>
          <w:p w:rsidR="008B7384" w:rsidRPr="00BA51D9" w:rsidRDefault="001F6AEC" w:rsidP="00155BC8">
            <w:pPr>
              <w:rPr>
                <w:rFonts w:eastAsia="Times New Roman" w:cs="Arial"/>
                <w:sz w:val="20"/>
                <w:szCs w:val="20"/>
                <w:lang w:val="fr-FR"/>
              </w:rPr>
            </w:pPr>
            <w:r w:rsidRPr="00BA51D9">
              <w:rPr>
                <w:rFonts w:eastAsia="Times New Roman" w:cs="Arial"/>
                <w:sz w:val="20"/>
                <w:szCs w:val="20"/>
                <w:lang w:val="fr-FR"/>
              </w:rPr>
              <w:t>Équateur</w:t>
            </w:r>
          </w:p>
        </w:tc>
      </w:tr>
      <w:tr w:rsidR="008B7384" w:rsidRPr="00BA51D9"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BA51D9" w:rsidRDefault="008B7384" w:rsidP="00155BC8">
            <w:pPr>
              <w:rPr>
                <w:rFonts w:eastAsia="Times New Roman" w:cs="Arial"/>
                <w:b/>
                <w:bCs/>
                <w:sz w:val="20"/>
                <w:szCs w:val="20"/>
                <w:lang w:val="fr-FR"/>
              </w:rPr>
            </w:pPr>
            <w:r w:rsidRPr="00BA51D9">
              <w:rPr>
                <w:rFonts w:eastAsia="Times New Roman" w:cs="Arial"/>
                <w:b/>
                <w:bCs/>
                <w:sz w:val="20"/>
                <w:szCs w:val="20"/>
                <w:lang w:val="fr-FR"/>
              </w:rPr>
              <w:t>2014</w:t>
            </w:r>
          </w:p>
        </w:tc>
        <w:tc>
          <w:tcPr>
            <w:tcW w:w="1199" w:type="dxa"/>
            <w:tcBorders>
              <w:top w:val="nil"/>
              <w:left w:val="nil"/>
              <w:bottom w:val="single" w:sz="4" w:space="0" w:color="auto"/>
              <w:right w:val="single" w:sz="4" w:space="0" w:color="auto"/>
            </w:tcBorders>
            <w:hideMark/>
          </w:tcPr>
          <w:p w:rsidR="008B7384" w:rsidRPr="00BA51D9" w:rsidRDefault="008B7384" w:rsidP="00155BC8">
            <w:pPr>
              <w:jc w:val="right"/>
              <w:rPr>
                <w:rFonts w:eastAsia="Times New Roman" w:cs="Arial"/>
                <w:sz w:val="20"/>
                <w:szCs w:val="20"/>
                <w:lang w:val="fr-FR"/>
              </w:rPr>
            </w:pPr>
            <w:r w:rsidRPr="00BA51D9">
              <w:rPr>
                <w:rFonts w:eastAsia="Times New Roman" w:cs="Arial"/>
                <w:sz w:val="20"/>
                <w:szCs w:val="20"/>
                <w:lang w:val="fr-FR"/>
              </w:rPr>
              <w:t>-</w:t>
            </w:r>
          </w:p>
        </w:tc>
        <w:tc>
          <w:tcPr>
            <w:tcW w:w="2460" w:type="dxa"/>
            <w:tcBorders>
              <w:top w:val="nil"/>
              <w:left w:val="nil"/>
              <w:bottom w:val="single" w:sz="4" w:space="0" w:color="auto"/>
              <w:right w:val="single" w:sz="4" w:space="0" w:color="auto"/>
            </w:tcBorders>
            <w:hideMark/>
          </w:tcPr>
          <w:p w:rsidR="008B7384" w:rsidRPr="00BA51D9" w:rsidRDefault="008B7384" w:rsidP="00155BC8">
            <w:pPr>
              <w:rPr>
                <w:rFonts w:eastAsia="Times New Roman" w:cs="Arial"/>
                <w:sz w:val="20"/>
                <w:szCs w:val="20"/>
                <w:lang w:val="fr-FR"/>
              </w:rPr>
            </w:pPr>
            <w:r w:rsidRPr="00BA51D9">
              <w:rPr>
                <w:rFonts w:eastAsia="Times New Roman" w:cs="Arial"/>
                <w:sz w:val="20"/>
                <w:szCs w:val="20"/>
                <w:lang w:val="fr-FR"/>
              </w:rPr>
              <w:t>-</w:t>
            </w:r>
          </w:p>
        </w:tc>
        <w:tc>
          <w:tcPr>
            <w:tcW w:w="1019" w:type="dxa"/>
            <w:tcBorders>
              <w:top w:val="nil"/>
              <w:left w:val="nil"/>
              <w:bottom w:val="single" w:sz="4" w:space="0" w:color="auto"/>
              <w:right w:val="single" w:sz="4" w:space="0" w:color="auto"/>
            </w:tcBorders>
            <w:hideMark/>
          </w:tcPr>
          <w:p w:rsidR="008B7384" w:rsidRPr="00BA51D9" w:rsidRDefault="008B7384" w:rsidP="00155BC8">
            <w:pPr>
              <w:jc w:val="center"/>
              <w:rPr>
                <w:rFonts w:eastAsia="Times New Roman" w:cs="Arial"/>
                <w:sz w:val="20"/>
                <w:szCs w:val="20"/>
                <w:lang w:val="fr-FR"/>
              </w:rPr>
            </w:pPr>
            <w:r w:rsidRPr="00BA51D9">
              <w:rPr>
                <w:rFonts w:eastAsia="Times New Roman" w:cs="Arial"/>
                <w:sz w:val="20"/>
                <w:szCs w:val="20"/>
                <w:lang w:val="fr-FR"/>
              </w:rPr>
              <w:t>0</w:t>
            </w:r>
          </w:p>
        </w:tc>
        <w:tc>
          <w:tcPr>
            <w:tcW w:w="3492" w:type="dxa"/>
            <w:tcBorders>
              <w:top w:val="nil"/>
              <w:left w:val="nil"/>
              <w:bottom w:val="single" w:sz="4" w:space="0" w:color="auto"/>
              <w:right w:val="single" w:sz="4" w:space="0" w:color="auto"/>
            </w:tcBorders>
            <w:hideMark/>
          </w:tcPr>
          <w:p w:rsidR="008B7384" w:rsidRPr="00BA51D9" w:rsidRDefault="008B7384" w:rsidP="00155BC8">
            <w:pPr>
              <w:rPr>
                <w:rFonts w:eastAsia="Times New Roman" w:cs="Arial"/>
                <w:sz w:val="20"/>
                <w:szCs w:val="20"/>
                <w:lang w:val="fr-FR"/>
              </w:rPr>
            </w:pPr>
            <w:r w:rsidRPr="00BA51D9">
              <w:rPr>
                <w:rFonts w:eastAsia="Times New Roman" w:cs="Arial"/>
                <w:sz w:val="20"/>
                <w:szCs w:val="20"/>
                <w:lang w:val="fr-FR"/>
              </w:rPr>
              <w:t> </w:t>
            </w:r>
          </w:p>
        </w:tc>
      </w:tr>
      <w:tr w:rsidR="008B7384" w:rsidRPr="00BA51D9"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BA51D9" w:rsidRDefault="008B7384" w:rsidP="00155BC8">
            <w:pPr>
              <w:rPr>
                <w:rFonts w:eastAsia="Times New Roman" w:cs="Arial"/>
                <w:b/>
                <w:bCs/>
                <w:sz w:val="20"/>
                <w:szCs w:val="20"/>
                <w:lang w:val="fr-FR"/>
              </w:rPr>
            </w:pPr>
            <w:r w:rsidRPr="00BA51D9">
              <w:rPr>
                <w:rFonts w:eastAsia="Times New Roman" w:cs="Arial"/>
                <w:b/>
                <w:bCs/>
                <w:sz w:val="20"/>
                <w:szCs w:val="20"/>
                <w:lang w:val="fr-FR"/>
              </w:rPr>
              <w:t>2015</w:t>
            </w:r>
          </w:p>
        </w:tc>
        <w:tc>
          <w:tcPr>
            <w:tcW w:w="1199" w:type="dxa"/>
            <w:tcBorders>
              <w:top w:val="nil"/>
              <w:left w:val="nil"/>
              <w:bottom w:val="single" w:sz="4" w:space="0" w:color="auto"/>
              <w:right w:val="single" w:sz="4" w:space="0" w:color="auto"/>
            </w:tcBorders>
            <w:hideMark/>
          </w:tcPr>
          <w:p w:rsidR="008B7384" w:rsidRPr="00BA51D9" w:rsidRDefault="008B7384" w:rsidP="00155BC8">
            <w:pPr>
              <w:jc w:val="right"/>
              <w:rPr>
                <w:rFonts w:eastAsia="Times New Roman" w:cs="Arial"/>
                <w:sz w:val="20"/>
                <w:szCs w:val="20"/>
                <w:lang w:val="fr-FR"/>
              </w:rPr>
            </w:pPr>
            <w:r w:rsidRPr="00BA51D9">
              <w:rPr>
                <w:rFonts w:eastAsia="Times New Roman" w:cs="Arial"/>
                <w:sz w:val="20"/>
                <w:szCs w:val="20"/>
                <w:lang w:val="fr-FR"/>
              </w:rPr>
              <w:t>-</w:t>
            </w:r>
          </w:p>
        </w:tc>
        <w:tc>
          <w:tcPr>
            <w:tcW w:w="2460" w:type="dxa"/>
            <w:tcBorders>
              <w:top w:val="nil"/>
              <w:left w:val="nil"/>
              <w:bottom w:val="single" w:sz="4" w:space="0" w:color="auto"/>
              <w:right w:val="single" w:sz="4" w:space="0" w:color="auto"/>
            </w:tcBorders>
            <w:hideMark/>
          </w:tcPr>
          <w:p w:rsidR="008B7384" w:rsidRPr="00BA51D9" w:rsidRDefault="008B7384" w:rsidP="00155BC8">
            <w:pPr>
              <w:rPr>
                <w:rFonts w:eastAsia="Times New Roman" w:cs="Arial"/>
                <w:sz w:val="20"/>
                <w:szCs w:val="20"/>
                <w:lang w:val="fr-FR"/>
              </w:rPr>
            </w:pPr>
            <w:r w:rsidRPr="00BA51D9">
              <w:rPr>
                <w:rFonts w:eastAsia="Times New Roman" w:cs="Arial"/>
                <w:sz w:val="20"/>
                <w:szCs w:val="20"/>
                <w:lang w:val="fr-FR"/>
              </w:rPr>
              <w:t>-</w:t>
            </w:r>
          </w:p>
        </w:tc>
        <w:tc>
          <w:tcPr>
            <w:tcW w:w="1019" w:type="dxa"/>
            <w:tcBorders>
              <w:top w:val="nil"/>
              <w:left w:val="nil"/>
              <w:bottom w:val="single" w:sz="4" w:space="0" w:color="auto"/>
              <w:right w:val="single" w:sz="4" w:space="0" w:color="auto"/>
            </w:tcBorders>
            <w:hideMark/>
          </w:tcPr>
          <w:p w:rsidR="008B7384" w:rsidRPr="00BA51D9" w:rsidRDefault="008B7384" w:rsidP="00155BC8">
            <w:pPr>
              <w:jc w:val="center"/>
              <w:rPr>
                <w:rFonts w:eastAsia="Times New Roman" w:cs="Arial"/>
                <w:sz w:val="20"/>
                <w:szCs w:val="20"/>
                <w:lang w:val="fr-FR"/>
              </w:rPr>
            </w:pPr>
            <w:r w:rsidRPr="00BA51D9">
              <w:rPr>
                <w:rFonts w:eastAsia="Times New Roman" w:cs="Arial"/>
                <w:sz w:val="20"/>
                <w:szCs w:val="20"/>
                <w:lang w:val="fr-FR"/>
              </w:rPr>
              <w:t>0</w:t>
            </w:r>
          </w:p>
        </w:tc>
        <w:tc>
          <w:tcPr>
            <w:tcW w:w="3492" w:type="dxa"/>
            <w:tcBorders>
              <w:top w:val="nil"/>
              <w:left w:val="nil"/>
              <w:bottom w:val="single" w:sz="4" w:space="0" w:color="auto"/>
              <w:right w:val="single" w:sz="4" w:space="0" w:color="auto"/>
            </w:tcBorders>
            <w:hideMark/>
          </w:tcPr>
          <w:p w:rsidR="008B7384" w:rsidRPr="00BA51D9" w:rsidRDefault="008B7384" w:rsidP="00155BC8">
            <w:pPr>
              <w:rPr>
                <w:rFonts w:eastAsia="Times New Roman" w:cs="Arial"/>
                <w:sz w:val="20"/>
                <w:szCs w:val="20"/>
                <w:lang w:val="fr-FR"/>
              </w:rPr>
            </w:pPr>
            <w:r w:rsidRPr="00BA51D9">
              <w:rPr>
                <w:rFonts w:eastAsia="Times New Roman" w:cs="Arial"/>
                <w:sz w:val="20"/>
                <w:szCs w:val="20"/>
                <w:lang w:val="fr-FR"/>
              </w:rPr>
              <w:t>-</w:t>
            </w:r>
          </w:p>
        </w:tc>
      </w:tr>
      <w:tr w:rsidR="008B7384" w:rsidRPr="00BA51D9"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BA51D9" w:rsidRDefault="008B7384" w:rsidP="00155BC8">
            <w:pPr>
              <w:rPr>
                <w:rFonts w:eastAsia="Times New Roman" w:cs="Arial"/>
                <w:b/>
                <w:bCs/>
                <w:sz w:val="20"/>
                <w:szCs w:val="20"/>
                <w:lang w:val="fr-FR"/>
              </w:rPr>
            </w:pPr>
            <w:r w:rsidRPr="00BA51D9">
              <w:rPr>
                <w:rFonts w:eastAsia="Times New Roman" w:cs="Arial"/>
                <w:b/>
                <w:bCs/>
                <w:sz w:val="20"/>
                <w:szCs w:val="20"/>
                <w:lang w:val="fr-FR"/>
              </w:rPr>
              <w:t>TOTAL</w:t>
            </w:r>
          </w:p>
        </w:tc>
        <w:tc>
          <w:tcPr>
            <w:tcW w:w="1199" w:type="dxa"/>
            <w:tcBorders>
              <w:top w:val="nil"/>
              <w:left w:val="nil"/>
              <w:bottom w:val="single" w:sz="4" w:space="0" w:color="auto"/>
              <w:right w:val="single" w:sz="4" w:space="0" w:color="auto"/>
            </w:tcBorders>
            <w:hideMark/>
          </w:tcPr>
          <w:p w:rsidR="008B7384" w:rsidRPr="00BA51D9" w:rsidRDefault="008B7384" w:rsidP="00155BC8">
            <w:pPr>
              <w:jc w:val="right"/>
              <w:rPr>
                <w:rFonts w:eastAsia="Times New Roman" w:cs="Arial"/>
                <w:sz w:val="20"/>
                <w:szCs w:val="20"/>
                <w:lang w:val="fr-FR"/>
              </w:rPr>
            </w:pPr>
            <w:r w:rsidRPr="00BA51D9">
              <w:rPr>
                <w:rFonts w:cs="Arial"/>
                <w:sz w:val="20"/>
                <w:szCs w:val="20"/>
                <w:lang w:val="fr-FR"/>
              </w:rPr>
              <w:t>2</w:t>
            </w:r>
            <w:r w:rsidR="003C509D" w:rsidRPr="00BA51D9">
              <w:rPr>
                <w:rFonts w:cs="Arial"/>
                <w:sz w:val="20"/>
                <w:szCs w:val="20"/>
                <w:lang w:val="fr-FR"/>
              </w:rPr>
              <w:t xml:space="preserve"> </w:t>
            </w:r>
            <w:r w:rsidRPr="00BA51D9">
              <w:rPr>
                <w:rFonts w:cs="Arial"/>
                <w:sz w:val="20"/>
                <w:szCs w:val="20"/>
                <w:lang w:val="fr-FR"/>
              </w:rPr>
              <w:t>740</w:t>
            </w:r>
            <w:r w:rsidR="003C509D" w:rsidRPr="00BA51D9">
              <w:rPr>
                <w:rFonts w:cs="Arial"/>
                <w:sz w:val="20"/>
                <w:szCs w:val="20"/>
                <w:lang w:val="fr-FR"/>
              </w:rPr>
              <w:t xml:space="preserve"> </w:t>
            </w:r>
            <w:r w:rsidRPr="00BA51D9">
              <w:rPr>
                <w:rFonts w:cs="Arial"/>
                <w:sz w:val="20"/>
                <w:szCs w:val="20"/>
                <w:lang w:val="fr-FR"/>
              </w:rPr>
              <w:t>206</w:t>
            </w:r>
          </w:p>
        </w:tc>
        <w:tc>
          <w:tcPr>
            <w:tcW w:w="2460" w:type="dxa"/>
            <w:tcBorders>
              <w:top w:val="nil"/>
              <w:left w:val="nil"/>
              <w:bottom w:val="single" w:sz="4" w:space="0" w:color="auto"/>
              <w:right w:val="single" w:sz="4" w:space="0" w:color="auto"/>
            </w:tcBorders>
            <w:hideMark/>
          </w:tcPr>
          <w:p w:rsidR="008B7384" w:rsidRPr="00BA51D9" w:rsidRDefault="008B7384" w:rsidP="00155BC8">
            <w:pPr>
              <w:rPr>
                <w:rFonts w:eastAsia="Times New Roman" w:cs="Arial"/>
                <w:sz w:val="20"/>
                <w:szCs w:val="20"/>
                <w:lang w:val="fr-FR"/>
              </w:rPr>
            </w:pPr>
            <w:r w:rsidRPr="00BA51D9">
              <w:rPr>
                <w:rFonts w:eastAsia="Times New Roman" w:cs="Arial"/>
                <w:sz w:val="20"/>
                <w:szCs w:val="20"/>
                <w:lang w:val="fr-FR"/>
              </w:rPr>
              <w:t>12+1</w:t>
            </w:r>
          </w:p>
        </w:tc>
        <w:tc>
          <w:tcPr>
            <w:tcW w:w="1019" w:type="dxa"/>
            <w:tcBorders>
              <w:top w:val="nil"/>
              <w:left w:val="nil"/>
              <w:bottom w:val="single" w:sz="4" w:space="0" w:color="auto"/>
              <w:right w:val="single" w:sz="4" w:space="0" w:color="auto"/>
            </w:tcBorders>
            <w:hideMark/>
          </w:tcPr>
          <w:p w:rsidR="008B7384" w:rsidRPr="00BA51D9" w:rsidRDefault="008B7384" w:rsidP="00155BC8">
            <w:pPr>
              <w:jc w:val="center"/>
              <w:rPr>
                <w:rFonts w:eastAsia="Times New Roman" w:cs="Arial"/>
                <w:sz w:val="20"/>
                <w:szCs w:val="20"/>
                <w:lang w:val="fr-FR"/>
              </w:rPr>
            </w:pPr>
            <w:r w:rsidRPr="00BA51D9">
              <w:rPr>
                <w:rFonts w:eastAsia="Times New Roman" w:cs="Arial"/>
                <w:sz w:val="20"/>
                <w:szCs w:val="20"/>
                <w:lang w:val="fr-FR"/>
              </w:rPr>
              <w:t>89</w:t>
            </w:r>
          </w:p>
        </w:tc>
        <w:tc>
          <w:tcPr>
            <w:tcW w:w="3492" w:type="dxa"/>
            <w:tcBorders>
              <w:top w:val="nil"/>
              <w:left w:val="nil"/>
              <w:bottom w:val="single" w:sz="4" w:space="0" w:color="auto"/>
              <w:right w:val="single" w:sz="4" w:space="0" w:color="auto"/>
            </w:tcBorders>
            <w:hideMark/>
          </w:tcPr>
          <w:p w:rsidR="008B7384" w:rsidRPr="00BA51D9" w:rsidRDefault="008B7384" w:rsidP="00155BC8">
            <w:pPr>
              <w:rPr>
                <w:rFonts w:eastAsia="Times New Roman" w:cs="Arial"/>
                <w:sz w:val="20"/>
                <w:szCs w:val="20"/>
                <w:lang w:val="fr-FR"/>
              </w:rPr>
            </w:pPr>
            <w:r w:rsidRPr="00BA51D9">
              <w:rPr>
                <w:rFonts w:eastAsia="Times New Roman" w:cs="Arial"/>
                <w:sz w:val="20"/>
                <w:szCs w:val="20"/>
                <w:lang w:val="fr-FR"/>
              </w:rPr>
              <w:t>-</w:t>
            </w:r>
          </w:p>
        </w:tc>
      </w:tr>
    </w:tbl>
    <w:p w:rsidR="000B4C27" w:rsidRPr="00BA51D9" w:rsidRDefault="000B4C27" w:rsidP="000B4C27">
      <w:pPr>
        <w:rPr>
          <w:b/>
          <w:lang w:val="fr-FR"/>
        </w:rPr>
      </w:pPr>
    </w:p>
    <w:p w:rsidR="000B4D4F" w:rsidRPr="00BA51D9" w:rsidRDefault="000B4D4F" w:rsidP="000B4C27">
      <w:pPr>
        <w:rPr>
          <w:lang w:val="fr-FR"/>
        </w:rPr>
      </w:pPr>
    </w:p>
    <w:p w:rsidR="0020244D" w:rsidRPr="00BA51D9" w:rsidRDefault="00552C7F" w:rsidP="003D6AB7">
      <w:pPr>
        <w:pStyle w:val="Default"/>
        <w:numPr>
          <w:ilvl w:val="0"/>
          <w:numId w:val="13"/>
        </w:numPr>
        <w:ind w:left="426" w:hanging="426"/>
        <w:rPr>
          <w:rFonts w:asciiTheme="minorHAnsi" w:hAnsiTheme="minorHAnsi" w:cs="Times New Roman"/>
          <w:sz w:val="22"/>
          <w:szCs w:val="22"/>
          <w:lang w:val="fr-FR"/>
        </w:rPr>
      </w:pPr>
      <w:r w:rsidRPr="00BA51D9">
        <w:rPr>
          <w:rFonts w:asciiTheme="minorHAnsi" w:hAnsiTheme="minorHAnsi" w:cs="Times New Roman"/>
          <w:sz w:val="22"/>
          <w:szCs w:val="22"/>
          <w:lang w:val="fr-FR"/>
        </w:rPr>
        <w:t xml:space="preserve">Habituellement, le FPS reçoit beaucoup plus de demandes et de propositions de qualité qu’il n’y a de financement disponible. De même, </w:t>
      </w:r>
      <w:r w:rsidR="00BA51D9" w:rsidRPr="00BA51D9">
        <w:rPr>
          <w:rFonts w:asciiTheme="minorHAnsi" w:hAnsiTheme="minorHAnsi" w:cs="Times New Roman"/>
          <w:sz w:val="22"/>
          <w:szCs w:val="22"/>
          <w:lang w:val="fr-FR"/>
        </w:rPr>
        <w:t>les tâches</w:t>
      </w:r>
      <w:r w:rsidRPr="00BA51D9">
        <w:rPr>
          <w:rFonts w:asciiTheme="minorHAnsi" w:hAnsiTheme="minorHAnsi" w:cs="Times New Roman"/>
          <w:sz w:val="22"/>
          <w:szCs w:val="22"/>
          <w:lang w:val="fr-FR"/>
        </w:rPr>
        <w:t xml:space="preserve"> de services consultatifs, d’évaluation et de </w:t>
      </w:r>
      <w:r w:rsidR="00BA51D9" w:rsidRPr="00BA51D9">
        <w:rPr>
          <w:rFonts w:asciiTheme="minorHAnsi" w:hAnsiTheme="minorHAnsi" w:cs="Times New Roman"/>
          <w:sz w:val="22"/>
          <w:szCs w:val="22"/>
          <w:lang w:val="fr-FR"/>
        </w:rPr>
        <w:t>priorisation</w:t>
      </w:r>
      <w:r w:rsidRPr="00BA51D9">
        <w:rPr>
          <w:rFonts w:asciiTheme="minorHAnsi" w:hAnsiTheme="minorHAnsi" w:cs="Times New Roman"/>
          <w:sz w:val="22"/>
          <w:szCs w:val="22"/>
          <w:lang w:val="fr-FR"/>
        </w:rPr>
        <w:t xml:space="preserve"> des projets </w:t>
      </w:r>
      <w:r w:rsidR="00BA51D9" w:rsidRPr="00BA51D9">
        <w:rPr>
          <w:rFonts w:asciiTheme="minorHAnsi" w:hAnsiTheme="minorHAnsi" w:cs="Times New Roman"/>
          <w:sz w:val="22"/>
          <w:szCs w:val="22"/>
          <w:lang w:val="fr-FR"/>
        </w:rPr>
        <w:t>qui incombent</w:t>
      </w:r>
      <w:r w:rsidRPr="00BA51D9">
        <w:rPr>
          <w:rFonts w:asciiTheme="minorHAnsi" w:hAnsiTheme="minorHAnsi" w:cs="Times New Roman"/>
          <w:sz w:val="22"/>
          <w:szCs w:val="22"/>
          <w:lang w:val="fr-FR"/>
        </w:rPr>
        <w:t xml:space="preserve"> au Secrétariat </w:t>
      </w:r>
      <w:r w:rsidR="00BA51D9" w:rsidRPr="00BA51D9">
        <w:rPr>
          <w:rFonts w:asciiTheme="minorHAnsi" w:hAnsiTheme="minorHAnsi" w:cs="Times New Roman"/>
          <w:sz w:val="22"/>
          <w:szCs w:val="22"/>
          <w:lang w:val="fr-FR"/>
        </w:rPr>
        <w:t>sont</w:t>
      </w:r>
      <w:r w:rsidRPr="00BA51D9">
        <w:rPr>
          <w:rFonts w:asciiTheme="minorHAnsi" w:hAnsiTheme="minorHAnsi" w:cs="Times New Roman"/>
          <w:sz w:val="22"/>
          <w:szCs w:val="22"/>
          <w:lang w:val="fr-FR"/>
        </w:rPr>
        <w:t xml:space="preserve"> disproportionn</w:t>
      </w:r>
      <w:r w:rsidR="00BA51D9" w:rsidRPr="00BA51D9">
        <w:rPr>
          <w:rFonts w:asciiTheme="minorHAnsi" w:hAnsiTheme="minorHAnsi" w:cs="Times New Roman"/>
          <w:sz w:val="22"/>
          <w:szCs w:val="22"/>
          <w:lang w:val="fr-FR"/>
        </w:rPr>
        <w:t>ément</w:t>
      </w:r>
      <w:r w:rsidRPr="00BA51D9">
        <w:rPr>
          <w:rFonts w:asciiTheme="minorHAnsi" w:hAnsiTheme="minorHAnsi" w:cs="Times New Roman"/>
          <w:sz w:val="22"/>
          <w:szCs w:val="22"/>
          <w:lang w:val="fr-FR"/>
        </w:rPr>
        <w:t xml:space="preserve"> élevée</w:t>
      </w:r>
      <w:r w:rsidR="00BA51D9" w:rsidRPr="00BA51D9">
        <w:rPr>
          <w:rFonts w:asciiTheme="minorHAnsi" w:hAnsiTheme="minorHAnsi" w:cs="Times New Roman"/>
          <w:sz w:val="22"/>
          <w:szCs w:val="22"/>
          <w:lang w:val="fr-FR"/>
        </w:rPr>
        <w:t>s</w:t>
      </w:r>
      <w:r w:rsidRPr="00BA51D9">
        <w:rPr>
          <w:rFonts w:asciiTheme="minorHAnsi" w:hAnsiTheme="minorHAnsi" w:cs="Times New Roman"/>
          <w:sz w:val="22"/>
          <w:szCs w:val="22"/>
          <w:lang w:val="fr-FR"/>
        </w:rPr>
        <w:t xml:space="preserve"> par rapport au financement disponible. </w:t>
      </w:r>
    </w:p>
    <w:p w:rsidR="00C570F9" w:rsidRPr="00BA51D9" w:rsidRDefault="00C570F9" w:rsidP="003D6AB7">
      <w:pPr>
        <w:pStyle w:val="Default"/>
        <w:ind w:left="426" w:hanging="426"/>
        <w:rPr>
          <w:rFonts w:asciiTheme="minorHAnsi" w:hAnsiTheme="minorHAnsi" w:cs="Times New Roman"/>
          <w:sz w:val="22"/>
          <w:szCs w:val="22"/>
          <w:lang w:val="fr-FR"/>
        </w:rPr>
      </w:pPr>
    </w:p>
    <w:p w:rsidR="00DB579B" w:rsidRPr="00BA51D9" w:rsidRDefault="00552C7F" w:rsidP="003D6AB7">
      <w:pPr>
        <w:pStyle w:val="Default"/>
        <w:numPr>
          <w:ilvl w:val="0"/>
          <w:numId w:val="13"/>
        </w:numPr>
        <w:ind w:left="426" w:hanging="426"/>
        <w:rPr>
          <w:rFonts w:asciiTheme="minorHAnsi" w:hAnsiTheme="minorHAnsi" w:cs="Times New Roman"/>
          <w:sz w:val="22"/>
          <w:szCs w:val="22"/>
          <w:lang w:val="fr-FR"/>
        </w:rPr>
      </w:pPr>
      <w:r w:rsidRPr="00BA51D9">
        <w:rPr>
          <w:rFonts w:asciiTheme="minorHAnsi" w:hAnsiTheme="minorHAnsi" w:cs="Times New Roman"/>
          <w:sz w:val="22"/>
          <w:szCs w:val="22"/>
          <w:lang w:val="fr-FR"/>
        </w:rPr>
        <w:t>Depuis</w:t>
      </w:r>
      <w:r w:rsidR="004930AE" w:rsidRPr="00BA51D9">
        <w:rPr>
          <w:rFonts w:asciiTheme="minorHAnsi" w:hAnsiTheme="minorHAnsi" w:cs="Times New Roman"/>
          <w:sz w:val="22"/>
          <w:szCs w:val="22"/>
          <w:lang w:val="fr-FR"/>
        </w:rPr>
        <w:t xml:space="preserve"> 2010, </w:t>
      </w:r>
      <w:r w:rsidRPr="00BA51D9">
        <w:rPr>
          <w:rFonts w:asciiTheme="minorHAnsi" w:hAnsiTheme="minorHAnsi" w:cs="Times New Roman"/>
          <w:sz w:val="22"/>
          <w:szCs w:val="22"/>
          <w:lang w:val="fr-FR"/>
        </w:rPr>
        <w:t xml:space="preserve">les rapports du Secrétariat au Comité permanent notent la difficulté de financer le FPS et des mesures importantes ont été prises pour revitaliser le Fonds, notamment en </w:t>
      </w:r>
      <w:r w:rsidRPr="00BA51D9">
        <w:rPr>
          <w:rFonts w:asciiTheme="minorHAnsi" w:hAnsiTheme="minorHAnsi" w:cs="Times New Roman"/>
          <w:sz w:val="22"/>
          <w:szCs w:val="22"/>
          <w:lang w:val="fr-FR"/>
        </w:rPr>
        <w:lastRenderedPageBreak/>
        <w:t xml:space="preserve">reconfigurant le portefeuille du FPS pour mettre en valeur des projets spécifiques et souligner la grande qualité de « projets stars » à des bailleurs de fonds potentiels. </w:t>
      </w:r>
    </w:p>
    <w:p w:rsidR="00C570F9" w:rsidRPr="00BA51D9" w:rsidRDefault="00C570F9" w:rsidP="003D6AB7">
      <w:pPr>
        <w:pStyle w:val="ListParagraph"/>
        <w:spacing w:after="0" w:line="240" w:lineRule="auto"/>
        <w:ind w:left="426" w:hanging="426"/>
        <w:rPr>
          <w:rFonts w:cs="Times New Roman"/>
          <w:lang w:val="fr-FR"/>
        </w:rPr>
      </w:pPr>
    </w:p>
    <w:p w:rsidR="000B4D4F" w:rsidRPr="00BA51D9" w:rsidRDefault="00552C7F" w:rsidP="00155BC8">
      <w:pPr>
        <w:pStyle w:val="Default"/>
        <w:numPr>
          <w:ilvl w:val="0"/>
          <w:numId w:val="13"/>
        </w:numPr>
        <w:ind w:left="426" w:hanging="426"/>
        <w:rPr>
          <w:rFonts w:asciiTheme="minorHAnsi" w:hAnsiTheme="minorHAnsi" w:cs="Times New Roman"/>
          <w:sz w:val="22"/>
          <w:szCs w:val="22"/>
          <w:lang w:val="fr-FR"/>
        </w:rPr>
      </w:pPr>
      <w:r w:rsidRPr="00BA51D9">
        <w:rPr>
          <w:rFonts w:asciiTheme="minorHAnsi" w:hAnsiTheme="minorHAnsi" w:cs="Times New Roman"/>
          <w:sz w:val="22"/>
          <w:szCs w:val="22"/>
          <w:lang w:val="fr-FR"/>
        </w:rPr>
        <w:t>Dans sa Décision</w:t>
      </w:r>
      <w:r w:rsidR="00FA5FA9" w:rsidRPr="00BA51D9">
        <w:rPr>
          <w:rFonts w:asciiTheme="minorHAnsi" w:hAnsiTheme="minorHAnsi" w:cs="Times New Roman"/>
          <w:sz w:val="22"/>
          <w:szCs w:val="22"/>
          <w:lang w:val="fr-FR"/>
        </w:rPr>
        <w:t xml:space="preserve"> SC48</w:t>
      </w:r>
      <w:r w:rsidR="00155BC8" w:rsidRPr="00BA51D9">
        <w:rPr>
          <w:rFonts w:asciiTheme="minorHAnsi" w:hAnsiTheme="minorHAnsi" w:cs="Times New Roman"/>
          <w:sz w:val="22"/>
          <w:szCs w:val="22"/>
          <w:lang w:val="fr-FR"/>
        </w:rPr>
        <w:t>-</w:t>
      </w:r>
      <w:r w:rsidRPr="00BA51D9">
        <w:rPr>
          <w:rFonts w:asciiTheme="minorHAnsi" w:hAnsiTheme="minorHAnsi" w:cs="Times New Roman"/>
          <w:sz w:val="22"/>
          <w:szCs w:val="22"/>
          <w:lang w:val="fr-FR"/>
        </w:rPr>
        <w:t>12, le Comité permanent a demandé au Secrétariat de ne pas lancer d’appel à propositions pour le FPS en 2015 en raison du manque de ressources.</w:t>
      </w:r>
    </w:p>
    <w:p w:rsidR="000B4D4F" w:rsidRPr="00BA51D9" w:rsidRDefault="000B4D4F" w:rsidP="003D6AB7">
      <w:pPr>
        <w:pStyle w:val="ListParagraph"/>
        <w:spacing w:after="0" w:line="240" w:lineRule="auto"/>
        <w:ind w:left="426" w:hanging="426"/>
        <w:rPr>
          <w:rFonts w:cs="Times New Roman"/>
          <w:lang w:val="fr-FR"/>
        </w:rPr>
      </w:pPr>
    </w:p>
    <w:p w:rsidR="00071E52" w:rsidRPr="00BA51D9" w:rsidRDefault="00552C7F" w:rsidP="003D6AB7">
      <w:pPr>
        <w:pStyle w:val="Default"/>
        <w:numPr>
          <w:ilvl w:val="0"/>
          <w:numId w:val="13"/>
        </w:numPr>
        <w:ind w:left="426" w:hanging="426"/>
        <w:rPr>
          <w:rFonts w:asciiTheme="minorHAnsi" w:hAnsiTheme="minorHAnsi" w:cs="Times New Roman"/>
          <w:sz w:val="22"/>
          <w:szCs w:val="22"/>
          <w:lang w:val="fr-FR"/>
        </w:rPr>
      </w:pPr>
      <w:r w:rsidRPr="00BA51D9">
        <w:rPr>
          <w:rFonts w:asciiTheme="minorHAnsi" w:hAnsiTheme="minorHAnsi" w:cs="Times New Roman"/>
          <w:sz w:val="22"/>
          <w:szCs w:val="22"/>
          <w:lang w:val="fr-FR"/>
        </w:rPr>
        <w:t>Un examen actuel des rapports du Secrétariat indique que les difficultés associées au FPS pourraient être les suivantes :</w:t>
      </w:r>
      <w:r w:rsidR="00DD25C7" w:rsidRPr="00BA51D9">
        <w:rPr>
          <w:rFonts w:asciiTheme="minorHAnsi" w:hAnsiTheme="minorHAnsi" w:cs="Times New Roman"/>
          <w:sz w:val="22"/>
          <w:szCs w:val="22"/>
          <w:lang w:val="fr-FR"/>
        </w:rPr>
        <w:t xml:space="preserve"> </w:t>
      </w:r>
    </w:p>
    <w:p w:rsidR="00155BC8" w:rsidRPr="00BA51D9" w:rsidRDefault="00155BC8" w:rsidP="00155BC8">
      <w:pPr>
        <w:pStyle w:val="ListParagraph"/>
        <w:rPr>
          <w:rFonts w:cs="Times New Roman"/>
          <w:lang w:val="fr-FR"/>
        </w:rPr>
      </w:pPr>
    </w:p>
    <w:p w:rsidR="00DF6919" w:rsidRPr="00BA51D9" w:rsidRDefault="00552C7F" w:rsidP="00155BC8">
      <w:pPr>
        <w:pStyle w:val="ListParagraph"/>
        <w:numPr>
          <w:ilvl w:val="0"/>
          <w:numId w:val="38"/>
        </w:numPr>
        <w:spacing w:after="0" w:line="240" w:lineRule="auto"/>
        <w:ind w:left="851" w:hanging="425"/>
        <w:rPr>
          <w:rFonts w:cs="Times New Roman"/>
          <w:lang w:val="fr-FR"/>
        </w:rPr>
      </w:pPr>
      <w:r w:rsidRPr="00BA51D9">
        <w:rPr>
          <w:rFonts w:cs="Times New Roman"/>
          <w:lang w:val="fr-FR"/>
        </w:rPr>
        <w:t xml:space="preserve">En tant que fonds pluridonateurs, le FPS n’a pas de « champion ». </w:t>
      </w:r>
      <w:r w:rsidR="00BA51D9" w:rsidRPr="00BA51D9">
        <w:rPr>
          <w:rFonts w:cs="Times New Roman"/>
          <w:lang w:val="fr-FR"/>
        </w:rPr>
        <w:t>Par comparaison</w:t>
      </w:r>
      <w:r w:rsidRPr="00BA51D9">
        <w:rPr>
          <w:rFonts w:cs="Times New Roman"/>
          <w:lang w:val="fr-FR"/>
        </w:rPr>
        <w:t>, le Fonds Wetlands for the Future est régulièrement financé par les États</w:t>
      </w:r>
      <w:r w:rsidRPr="00BA51D9">
        <w:rPr>
          <w:rFonts w:cs="Times New Roman"/>
          <w:lang w:val="fr-FR"/>
        </w:rPr>
        <w:noBreakHyphen/>
        <w:t xml:space="preserve">Unis et la SSA est régulièrement financée par la Suisse. </w:t>
      </w:r>
    </w:p>
    <w:p w:rsidR="00155BC8" w:rsidRPr="00BA51D9" w:rsidRDefault="00155BC8" w:rsidP="00155BC8">
      <w:pPr>
        <w:pStyle w:val="ListParagraph"/>
        <w:spacing w:after="0" w:line="240" w:lineRule="auto"/>
        <w:ind w:left="851"/>
        <w:rPr>
          <w:rFonts w:cs="Times New Roman"/>
          <w:lang w:val="fr-FR"/>
        </w:rPr>
      </w:pPr>
    </w:p>
    <w:p w:rsidR="006A3C56" w:rsidRPr="00BA51D9" w:rsidRDefault="00552C7F" w:rsidP="00155BC8">
      <w:pPr>
        <w:pStyle w:val="ListParagraph"/>
        <w:numPr>
          <w:ilvl w:val="0"/>
          <w:numId w:val="38"/>
        </w:numPr>
        <w:spacing w:after="0" w:line="240" w:lineRule="auto"/>
        <w:ind w:left="851" w:hanging="425"/>
        <w:rPr>
          <w:rFonts w:cs="Times New Roman"/>
          <w:lang w:val="fr-FR"/>
        </w:rPr>
      </w:pPr>
      <w:r w:rsidRPr="00BA51D9">
        <w:rPr>
          <w:rFonts w:cs="Times New Roman"/>
          <w:lang w:val="fr-FR"/>
        </w:rPr>
        <w:t xml:space="preserve">L’appui du secteur privé et de fondations n’a pas été </w:t>
      </w:r>
      <w:r w:rsidR="00757299">
        <w:rPr>
          <w:rFonts w:cs="Times New Roman"/>
          <w:lang w:val="fr-FR"/>
        </w:rPr>
        <w:t>significatif</w:t>
      </w:r>
      <w:r w:rsidRPr="00BA51D9">
        <w:rPr>
          <w:rFonts w:cs="Times New Roman"/>
          <w:lang w:val="fr-FR"/>
        </w:rPr>
        <w:t xml:space="preserve"> à ce jour, peut</w:t>
      </w:r>
      <w:r w:rsidRPr="00BA51D9">
        <w:rPr>
          <w:rFonts w:cs="Times New Roman"/>
          <w:lang w:val="fr-FR"/>
        </w:rPr>
        <w:noBreakHyphen/>
        <w:t xml:space="preserve">être parce que </w:t>
      </w:r>
      <w:r w:rsidR="00757299">
        <w:rPr>
          <w:rFonts w:cs="Times New Roman"/>
          <w:lang w:val="fr-FR"/>
        </w:rPr>
        <w:t>l’intérêt, pour les</w:t>
      </w:r>
      <w:r w:rsidRPr="00BA51D9">
        <w:rPr>
          <w:rFonts w:cs="Times New Roman"/>
          <w:lang w:val="fr-FR"/>
        </w:rPr>
        <w:t xml:space="preserve"> donateurs</w:t>
      </w:r>
      <w:r w:rsidR="00757299">
        <w:rPr>
          <w:rFonts w:cs="Times New Roman"/>
          <w:lang w:val="fr-FR"/>
        </w:rPr>
        <w:t>, de financer</w:t>
      </w:r>
      <w:r w:rsidRPr="00BA51D9">
        <w:rPr>
          <w:rFonts w:cs="Times New Roman"/>
          <w:lang w:val="fr-FR"/>
        </w:rPr>
        <w:t xml:space="preserve"> un</w:t>
      </w:r>
      <w:r w:rsidR="00757299">
        <w:rPr>
          <w:rFonts w:cs="Times New Roman"/>
          <w:lang w:val="fr-FR"/>
        </w:rPr>
        <w:t>e corbeille</w:t>
      </w:r>
      <w:r w:rsidRPr="00BA51D9">
        <w:rPr>
          <w:rFonts w:cs="Times New Roman"/>
          <w:lang w:val="fr-FR"/>
        </w:rPr>
        <w:t xml:space="preserve"> de projets par l’intermédiaire de Ramsar n’</w:t>
      </w:r>
      <w:r w:rsidR="00757299">
        <w:rPr>
          <w:rFonts w:cs="Times New Roman"/>
          <w:lang w:val="fr-FR"/>
        </w:rPr>
        <w:t>a</w:t>
      </w:r>
      <w:r w:rsidRPr="00BA51D9">
        <w:rPr>
          <w:rFonts w:cs="Times New Roman"/>
          <w:lang w:val="fr-FR"/>
        </w:rPr>
        <w:t xml:space="preserve"> pas été dûment expliqué. Le FPS n’a pas de processus encourageant des donations </w:t>
      </w:r>
      <w:r w:rsidR="00757299">
        <w:rPr>
          <w:rFonts w:cs="Times New Roman"/>
          <w:lang w:val="fr-FR"/>
        </w:rPr>
        <w:t>renouvelées</w:t>
      </w:r>
      <w:r w:rsidRPr="00BA51D9">
        <w:rPr>
          <w:rFonts w:cs="Times New Roman"/>
          <w:lang w:val="fr-FR"/>
        </w:rPr>
        <w:t xml:space="preserve">. </w:t>
      </w:r>
      <w:r w:rsidR="00757299">
        <w:rPr>
          <w:rFonts w:cs="Times New Roman"/>
          <w:lang w:val="fr-FR"/>
        </w:rPr>
        <w:t>Certes, la présentation d’</w:t>
      </w:r>
      <w:r w:rsidRPr="00BA51D9">
        <w:rPr>
          <w:rFonts w:cs="Times New Roman"/>
          <w:lang w:val="fr-FR"/>
        </w:rPr>
        <w:t xml:space="preserve">un portefeuille de projets sélectionnés et </w:t>
      </w:r>
      <w:r w:rsidR="00757299">
        <w:rPr>
          <w:rFonts w:cs="Times New Roman"/>
          <w:lang w:val="fr-FR"/>
        </w:rPr>
        <w:t>la sollicitation de</w:t>
      </w:r>
      <w:r w:rsidRPr="00BA51D9">
        <w:rPr>
          <w:rFonts w:cs="Times New Roman"/>
          <w:lang w:val="fr-FR"/>
        </w:rPr>
        <w:t xml:space="preserve"> contributions volontaires pour des projets </w:t>
      </w:r>
      <w:r w:rsidR="00757299">
        <w:rPr>
          <w:rFonts w:cs="Times New Roman"/>
          <w:lang w:val="fr-FR"/>
        </w:rPr>
        <w:t>particuliers</w:t>
      </w:r>
      <w:r w:rsidRPr="00BA51D9">
        <w:rPr>
          <w:rFonts w:cs="Times New Roman"/>
          <w:lang w:val="fr-FR"/>
        </w:rPr>
        <w:t xml:space="preserve"> ont attiré certains financements </w:t>
      </w:r>
      <w:r w:rsidR="00474296">
        <w:rPr>
          <w:rFonts w:cs="Times New Roman"/>
          <w:lang w:val="fr-FR"/>
        </w:rPr>
        <w:t>ponctuels</w:t>
      </w:r>
      <w:r w:rsidRPr="00BA51D9">
        <w:rPr>
          <w:rFonts w:cs="Times New Roman"/>
          <w:lang w:val="fr-FR"/>
        </w:rPr>
        <w:t xml:space="preserve">, </w:t>
      </w:r>
      <w:r w:rsidR="00474296">
        <w:rPr>
          <w:rFonts w:cs="Times New Roman"/>
          <w:lang w:val="fr-FR"/>
        </w:rPr>
        <w:t>mais cela n’a pas suffi pour inciter</w:t>
      </w:r>
      <w:r w:rsidRPr="00BA51D9">
        <w:rPr>
          <w:rFonts w:cs="Times New Roman"/>
          <w:lang w:val="fr-FR"/>
        </w:rPr>
        <w:t xml:space="preserve"> ces donateurs </w:t>
      </w:r>
      <w:r w:rsidR="00474296">
        <w:rPr>
          <w:rFonts w:cs="Times New Roman"/>
          <w:lang w:val="fr-FR"/>
        </w:rPr>
        <w:t xml:space="preserve">à </w:t>
      </w:r>
      <w:r w:rsidRPr="00BA51D9">
        <w:rPr>
          <w:rFonts w:cs="Times New Roman"/>
          <w:lang w:val="fr-FR"/>
        </w:rPr>
        <w:t>continue</w:t>
      </w:r>
      <w:r w:rsidR="00474296">
        <w:rPr>
          <w:rFonts w:cs="Times New Roman"/>
          <w:lang w:val="fr-FR"/>
        </w:rPr>
        <w:t>r</w:t>
      </w:r>
      <w:r w:rsidRPr="00BA51D9">
        <w:rPr>
          <w:rFonts w:cs="Times New Roman"/>
          <w:lang w:val="fr-FR"/>
        </w:rPr>
        <w:t xml:space="preserve"> de contribuer au FPS.</w:t>
      </w:r>
      <w:r w:rsidR="00DD25C7" w:rsidRPr="00BA51D9">
        <w:rPr>
          <w:rFonts w:cs="Times New Roman"/>
          <w:lang w:val="fr-FR"/>
        </w:rPr>
        <w:t xml:space="preserve"> </w:t>
      </w:r>
    </w:p>
    <w:p w:rsidR="00155BC8" w:rsidRPr="00BA51D9" w:rsidRDefault="00155BC8" w:rsidP="00155BC8">
      <w:pPr>
        <w:pStyle w:val="ListParagraph"/>
        <w:rPr>
          <w:rFonts w:cs="Times New Roman"/>
          <w:lang w:val="fr-FR"/>
        </w:rPr>
      </w:pPr>
    </w:p>
    <w:p w:rsidR="006A553D" w:rsidRPr="00BA51D9" w:rsidRDefault="00552C7F" w:rsidP="00155BC8">
      <w:pPr>
        <w:pStyle w:val="ListParagraph"/>
        <w:numPr>
          <w:ilvl w:val="0"/>
          <w:numId w:val="38"/>
        </w:numPr>
        <w:spacing w:after="0" w:line="240" w:lineRule="auto"/>
        <w:ind w:left="851" w:hanging="425"/>
        <w:rPr>
          <w:rFonts w:cs="Times New Roman"/>
          <w:lang w:val="fr-FR"/>
        </w:rPr>
      </w:pPr>
      <w:r w:rsidRPr="00BA51D9">
        <w:rPr>
          <w:rFonts w:cs="Times New Roman"/>
          <w:lang w:val="fr-FR"/>
        </w:rPr>
        <w:t xml:space="preserve">Certains donateurs sont à la recherche de projets plus </w:t>
      </w:r>
      <w:r w:rsidR="00474296">
        <w:rPr>
          <w:rFonts w:cs="Times New Roman"/>
          <w:lang w:val="fr-FR"/>
        </w:rPr>
        <w:t>ambitieux</w:t>
      </w:r>
      <w:r w:rsidRPr="00BA51D9">
        <w:rPr>
          <w:rFonts w:cs="Times New Roman"/>
          <w:lang w:val="fr-FR"/>
        </w:rPr>
        <w:t xml:space="preserve"> pour consolider les ressources et augmenter l’impact.</w:t>
      </w:r>
      <w:r w:rsidR="00DD25C7" w:rsidRPr="00BA51D9">
        <w:rPr>
          <w:rFonts w:cs="Times New Roman"/>
          <w:lang w:val="fr-FR"/>
        </w:rPr>
        <w:t xml:space="preserve"> </w:t>
      </w:r>
    </w:p>
    <w:p w:rsidR="00C71598" w:rsidRPr="00BA51D9" w:rsidRDefault="00C71598" w:rsidP="003D6AB7">
      <w:pPr>
        <w:pStyle w:val="ListParagraph"/>
        <w:spacing w:after="0" w:line="240" w:lineRule="auto"/>
        <w:ind w:left="3240"/>
        <w:rPr>
          <w:rFonts w:cs="Times New Roman"/>
          <w:lang w:val="fr-FR"/>
        </w:rPr>
      </w:pPr>
    </w:p>
    <w:p w:rsidR="00A9488C" w:rsidRPr="00BA51D9" w:rsidRDefault="00A9488C" w:rsidP="00552C7F">
      <w:pPr>
        <w:keepNext/>
        <w:keepLines/>
        <w:rPr>
          <w:lang w:val="fr-FR"/>
        </w:rPr>
      </w:pPr>
      <w:r w:rsidRPr="00BA51D9">
        <w:rPr>
          <w:b/>
          <w:lang w:val="fr-FR"/>
        </w:rPr>
        <w:t>R</w:t>
      </w:r>
      <w:r w:rsidR="00552C7F" w:rsidRPr="00BA51D9">
        <w:rPr>
          <w:b/>
          <w:lang w:val="fr-FR"/>
        </w:rPr>
        <w:t>éforme du Fonds de petites subventions</w:t>
      </w:r>
    </w:p>
    <w:p w:rsidR="00831129" w:rsidRPr="00BA51D9" w:rsidRDefault="00831129" w:rsidP="00552C7F">
      <w:pPr>
        <w:keepNext/>
        <w:keepLines/>
        <w:ind w:firstLine="165"/>
        <w:rPr>
          <w:lang w:val="fr-FR"/>
        </w:rPr>
      </w:pPr>
    </w:p>
    <w:p w:rsidR="00FA5FA9" w:rsidRPr="00BA51D9" w:rsidRDefault="00552C7F" w:rsidP="00552C7F">
      <w:pPr>
        <w:pStyle w:val="Default"/>
        <w:keepNext/>
        <w:keepLines/>
        <w:numPr>
          <w:ilvl w:val="0"/>
          <w:numId w:val="13"/>
        </w:numPr>
        <w:ind w:left="426" w:hanging="426"/>
        <w:rPr>
          <w:rFonts w:asciiTheme="minorHAnsi" w:hAnsiTheme="minorHAnsi" w:cs="Times New Roman"/>
          <w:sz w:val="22"/>
          <w:szCs w:val="22"/>
          <w:lang w:val="fr-FR"/>
        </w:rPr>
      </w:pPr>
      <w:r w:rsidRPr="00BA51D9">
        <w:rPr>
          <w:rFonts w:asciiTheme="minorHAnsi" w:hAnsiTheme="minorHAnsi" w:cs="Times New Roman"/>
          <w:sz w:val="22"/>
          <w:szCs w:val="22"/>
          <w:lang w:val="fr-FR"/>
        </w:rPr>
        <w:t xml:space="preserve">L’information disponible dans les rapports </w:t>
      </w:r>
      <w:r w:rsidR="000313F3">
        <w:rPr>
          <w:rFonts w:asciiTheme="minorHAnsi" w:hAnsiTheme="minorHAnsi" w:cs="Times New Roman"/>
          <w:sz w:val="22"/>
          <w:szCs w:val="22"/>
          <w:lang w:val="fr-FR"/>
        </w:rPr>
        <w:t>remis</w:t>
      </w:r>
      <w:r w:rsidRPr="00BA51D9">
        <w:rPr>
          <w:rFonts w:asciiTheme="minorHAnsi" w:hAnsiTheme="minorHAnsi" w:cs="Times New Roman"/>
          <w:sz w:val="22"/>
          <w:szCs w:val="22"/>
          <w:lang w:val="fr-FR"/>
        </w:rPr>
        <w:t xml:space="preserve"> à différent</w:t>
      </w:r>
      <w:r w:rsidR="000313F3">
        <w:rPr>
          <w:rFonts w:asciiTheme="minorHAnsi" w:hAnsiTheme="minorHAnsi" w:cs="Times New Roman"/>
          <w:sz w:val="22"/>
          <w:szCs w:val="22"/>
          <w:lang w:val="fr-FR"/>
        </w:rPr>
        <w:t>e</w:t>
      </w:r>
      <w:r w:rsidR="00C20862">
        <w:rPr>
          <w:rFonts w:asciiTheme="minorHAnsi" w:hAnsiTheme="minorHAnsi" w:cs="Times New Roman"/>
          <w:sz w:val="22"/>
          <w:szCs w:val="22"/>
          <w:lang w:val="fr-FR"/>
        </w:rPr>
        <w:t>s</w:t>
      </w:r>
      <w:r w:rsidR="000313F3">
        <w:rPr>
          <w:rFonts w:asciiTheme="minorHAnsi" w:hAnsiTheme="minorHAnsi" w:cs="Times New Roman"/>
          <w:sz w:val="22"/>
          <w:szCs w:val="22"/>
          <w:lang w:val="fr-FR"/>
        </w:rPr>
        <w:t xml:space="preserve"> réunions du Comité</w:t>
      </w:r>
      <w:r w:rsidRPr="00BA51D9">
        <w:rPr>
          <w:rFonts w:asciiTheme="minorHAnsi" w:hAnsiTheme="minorHAnsi" w:cs="Times New Roman"/>
          <w:sz w:val="22"/>
          <w:szCs w:val="22"/>
          <w:lang w:val="fr-FR"/>
        </w:rPr>
        <w:t xml:space="preserve"> permanent sur la mise en œuvre du Fonds de petites subventions </w:t>
      </w:r>
      <w:r w:rsidR="000313F3">
        <w:rPr>
          <w:rFonts w:asciiTheme="minorHAnsi" w:hAnsiTheme="minorHAnsi" w:cs="Times New Roman"/>
          <w:sz w:val="22"/>
          <w:szCs w:val="22"/>
          <w:lang w:val="fr-FR"/>
        </w:rPr>
        <w:t xml:space="preserve">laisse à penser que, pour </w:t>
      </w:r>
      <w:r w:rsidRPr="00BA51D9">
        <w:rPr>
          <w:rFonts w:asciiTheme="minorHAnsi" w:hAnsiTheme="minorHAnsi" w:cs="Times New Roman"/>
          <w:sz w:val="22"/>
          <w:szCs w:val="22"/>
          <w:lang w:val="fr-FR"/>
        </w:rPr>
        <w:t>les pays</w:t>
      </w:r>
      <w:r w:rsidR="000313F3">
        <w:rPr>
          <w:rFonts w:asciiTheme="minorHAnsi" w:hAnsiTheme="minorHAnsi" w:cs="Times New Roman"/>
          <w:sz w:val="22"/>
          <w:szCs w:val="22"/>
          <w:lang w:val="fr-FR"/>
        </w:rPr>
        <w:t>, le FPS</w:t>
      </w:r>
      <w:r w:rsidRPr="00BA51D9">
        <w:rPr>
          <w:rFonts w:asciiTheme="minorHAnsi" w:hAnsiTheme="minorHAnsi" w:cs="Times New Roman"/>
          <w:sz w:val="22"/>
          <w:szCs w:val="22"/>
          <w:lang w:val="fr-FR"/>
        </w:rPr>
        <w:t xml:space="preserve"> a une valeur importante. </w:t>
      </w:r>
      <w:r w:rsidR="0064500F">
        <w:rPr>
          <w:rFonts w:asciiTheme="minorHAnsi" w:hAnsiTheme="minorHAnsi" w:cs="Times New Roman"/>
          <w:sz w:val="22"/>
          <w:szCs w:val="22"/>
          <w:lang w:val="fr-FR"/>
        </w:rPr>
        <w:t xml:space="preserve">Les </w:t>
      </w:r>
      <w:r w:rsidRPr="00BA51D9">
        <w:rPr>
          <w:rFonts w:asciiTheme="minorHAnsi" w:hAnsiTheme="minorHAnsi" w:cs="Times New Roman"/>
          <w:sz w:val="22"/>
          <w:szCs w:val="22"/>
          <w:lang w:val="fr-FR"/>
        </w:rPr>
        <w:t>projets financés</w:t>
      </w:r>
      <w:r w:rsidR="0064500F">
        <w:rPr>
          <w:rFonts w:asciiTheme="minorHAnsi" w:hAnsiTheme="minorHAnsi" w:cs="Times New Roman"/>
          <w:sz w:val="22"/>
          <w:szCs w:val="22"/>
          <w:lang w:val="fr-FR"/>
        </w:rPr>
        <w:t xml:space="preserve"> ont eu des résultats concrets</w:t>
      </w:r>
      <w:r w:rsidRPr="00BA51D9">
        <w:rPr>
          <w:rFonts w:asciiTheme="minorHAnsi" w:hAnsiTheme="minorHAnsi" w:cs="Times New Roman"/>
          <w:sz w:val="22"/>
          <w:szCs w:val="22"/>
          <w:lang w:val="fr-FR"/>
        </w:rPr>
        <w:t>.</w:t>
      </w:r>
    </w:p>
    <w:p w:rsidR="00FA5FA9" w:rsidRPr="00BA51D9" w:rsidRDefault="00FA5FA9" w:rsidP="003D6AB7">
      <w:pPr>
        <w:pStyle w:val="ListParagraph"/>
        <w:spacing w:after="0" w:line="240" w:lineRule="auto"/>
        <w:ind w:left="426" w:hanging="426"/>
        <w:rPr>
          <w:rFonts w:cs="Times New Roman"/>
          <w:lang w:val="fr-FR"/>
        </w:rPr>
      </w:pPr>
    </w:p>
    <w:p w:rsidR="007516FC" w:rsidRPr="00BA51D9" w:rsidRDefault="00552C7F" w:rsidP="003D6AB7">
      <w:pPr>
        <w:pStyle w:val="Default"/>
        <w:numPr>
          <w:ilvl w:val="0"/>
          <w:numId w:val="13"/>
        </w:numPr>
        <w:ind w:left="426" w:hanging="426"/>
        <w:rPr>
          <w:rFonts w:asciiTheme="minorHAnsi" w:hAnsiTheme="minorHAnsi" w:cs="Times New Roman"/>
          <w:sz w:val="22"/>
          <w:szCs w:val="22"/>
          <w:lang w:val="fr-FR"/>
        </w:rPr>
      </w:pPr>
      <w:r w:rsidRPr="00BA51D9">
        <w:rPr>
          <w:rFonts w:asciiTheme="minorHAnsi" w:hAnsiTheme="minorHAnsi" w:cs="Times New Roman"/>
          <w:sz w:val="22"/>
          <w:szCs w:val="22"/>
          <w:lang w:val="fr-FR"/>
        </w:rPr>
        <w:t xml:space="preserve">Un bref examen d’autres </w:t>
      </w:r>
      <w:r w:rsidR="00684A91" w:rsidRPr="00BA51D9">
        <w:rPr>
          <w:rFonts w:asciiTheme="minorHAnsi" w:hAnsiTheme="minorHAnsi" w:cs="Times New Roman"/>
          <w:sz w:val="22"/>
          <w:szCs w:val="22"/>
          <w:lang w:val="fr-FR"/>
        </w:rPr>
        <w:t>f</w:t>
      </w:r>
      <w:r w:rsidRPr="00BA51D9">
        <w:rPr>
          <w:rFonts w:asciiTheme="minorHAnsi" w:hAnsiTheme="minorHAnsi" w:cs="Times New Roman"/>
          <w:sz w:val="22"/>
          <w:szCs w:val="22"/>
          <w:lang w:val="fr-FR"/>
        </w:rPr>
        <w:t xml:space="preserve">onds de petites subventions </w:t>
      </w:r>
      <w:r w:rsidR="0064500F">
        <w:rPr>
          <w:rFonts w:asciiTheme="minorHAnsi" w:hAnsiTheme="minorHAnsi" w:cs="Times New Roman"/>
          <w:sz w:val="22"/>
          <w:szCs w:val="22"/>
          <w:lang w:val="fr-FR"/>
        </w:rPr>
        <w:t>en vigueur</w:t>
      </w:r>
      <w:r w:rsidRPr="00BA51D9">
        <w:rPr>
          <w:rFonts w:asciiTheme="minorHAnsi" w:hAnsiTheme="minorHAnsi" w:cs="Times New Roman"/>
          <w:sz w:val="22"/>
          <w:szCs w:val="22"/>
          <w:lang w:val="fr-FR"/>
        </w:rPr>
        <w:t xml:space="preserve"> (p. ex., FEM, </w:t>
      </w:r>
      <w:r w:rsidR="00EB2261">
        <w:rPr>
          <w:rFonts w:asciiTheme="minorHAnsi" w:hAnsiTheme="minorHAnsi" w:cs="Times New Roman"/>
          <w:sz w:val="22"/>
          <w:szCs w:val="22"/>
          <w:lang w:val="fr-FR"/>
        </w:rPr>
        <w:t>FIDA</w:t>
      </w:r>
      <w:r w:rsidR="00C23C6B" w:rsidRPr="00BA51D9">
        <w:rPr>
          <w:rFonts w:asciiTheme="minorHAnsi" w:hAnsiTheme="minorHAnsi" w:cs="Times New Roman"/>
          <w:sz w:val="22"/>
          <w:szCs w:val="22"/>
          <w:lang w:val="fr-FR"/>
        </w:rPr>
        <w:t xml:space="preserve">, </w:t>
      </w:r>
      <w:r w:rsidR="00FA5FA9" w:rsidRPr="00BA51D9">
        <w:rPr>
          <w:rFonts w:asciiTheme="minorHAnsi" w:hAnsiTheme="minorHAnsi" w:cs="Times New Roman"/>
          <w:sz w:val="22"/>
          <w:szCs w:val="22"/>
          <w:lang w:val="fr-FR"/>
        </w:rPr>
        <w:t xml:space="preserve">KfW, </w:t>
      </w:r>
      <w:r w:rsidRPr="00BA51D9">
        <w:rPr>
          <w:rFonts w:asciiTheme="minorHAnsi" w:hAnsiTheme="minorHAnsi" w:cs="Times New Roman"/>
          <w:sz w:val="22"/>
          <w:szCs w:val="22"/>
          <w:lang w:val="fr-FR"/>
        </w:rPr>
        <w:t>d’autres Fonds de petites subventions de la Convention de Ramsar, etc.) suggère que lorsqu</w:t>
      </w:r>
      <w:r w:rsidR="0064500F">
        <w:rPr>
          <w:rFonts w:asciiTheme="minorHAnsi" w:hAnsiTheme="minorHAnsi" w:cs="Times New Roman"/>
          <w:sz w:val="22"/>
          <w:szCs w:val="22"/>
          <w:lang w:val="fr-FR"/>
        </w:rPr>
        <w:t xml:space="preserve">’on donne aux donateurs </w:t>
      </w:r>
      <w:r w:rsidRPr="00BA51D9">
        <w:rPr>
          <w:rFonts w:asciiTheme="minorHAnsi" w:hAnsiTheme="minorHAnsi" w:cs="Times New Roman"/>
          <w:sz w:val="22"/>
          <w:szCs w:val="22"/>
          <w:lang w:val="fr-FR"/>
        </w:rPr>
        <w:t xml:space="preserve">la possibilité de participer et d’influencer les décisions </w:t>
      </w:r>
      <w:r w:rsidR="0064500F">
        <w:rPr>
          <w:rFonts w:asciiTheme="minorHAnsi" w:hAnsiTheme="minorHAnsi" w:cs="Times New Roman"/>
          <w:sz w:val="22"/>
          <w:szCs w:val="22"/>
          <w:lang w:val="fr-FR"/>
        </w:rPr>
        <w:t>relatives aux</w:t>
      </w:r>
      <w:r w:rsidRPr="00BA51D9">
        <w:rPr>
          <w:rFonts w:asciiTheme="minorHAnsi" w:hAnsiTheme="minorHAnsi" w:cs="Times New Roman"/>
          <w:sz w:val="22"/>
          <w:szCs w:val="22"/>
          <w:lang w:val="fr-FR"/>
        </w:rPr>
        <w:t xml:space="preserve"> dépenses, il</w:t>
      </w:r>
      <w:r w:rsidR="0064500F">
        <w:rPr>
          <w:rFonts w:asciiTheme="minorHAnsi" w:hAnsiTheme="minorHAnsi" w:cs="Times New Roman"/>
          <w:sz w:val="22"/>
          <w:szCs w:val="22"/>
          <w:lang w:val="fr-FR"/>
        </w:rPr>
        <w:t>s sont</w:t>
      </w:r>
      <w:r w:rsidRPr="00BA51D9">
        <w:rPr>
          <w:rFonts w:asciiTheme="minorHAnsi" w:hAnsiTheme="minorHAnsi" w:cs="Times New Roman"/>
          <w:sz w:val="22"/>
          <w:szCs w:val="22"/>
          <w:lang w:val="fr-FR"/>
        </w:rPr>
        <w:t xml:space="preserve"> beaucoup plus </w:t>
      </w:r>
      <w:r w:rsidR="0064500F">
        <w:rPr>
          <w:rFonts w:asciiTheme="minorHAnsi" w:hAnsiTheme="minorHAnsi" w:cs="Times New Roman"/>
          <w:sz w:val="22"/>
          <w:szCs w:val="22"/>
          <w:lang w:val="fr-FR"/>
        </w:rPr>
        <w:t>enclins à fournir un</w:t>
      </w:r>
      <w:r w:rsidRPr="00BA51D9">
        <w:rPr>
          <w:rFonts w:asciiTheme="minorHAnsi" w:hAnsiTheme="minorHAnsi" w:cs="Times New Roman"/>
          <w:sz w:val="22"/>
          <w:szCs w:val="22"/>
          <w:lang w:val="fr-FR"/>
        </w:rPr>
        <w:t xml:space="preserve"> financement.</w:t>
      </w:r>
    </w:p>
    <w:p w:rsidR="007516FC" w:rsidRPr="00BA51D9" w:rsidRDefault="007516FC" w:rsidP="003D6AB7">
      <w:pPr>
        <w:pStyle w:val="ListParagraph"/>
        <w:spacing w:after="0" w:line="240" w:lineRule="auto"/>
        <w:ind w:left="426" w:hanging="426"/>
        <w:rPr>
          <w:rFonts w:cs="Times New Roman"/>
          <w:lang w:val="fr-FR"/>
        </w:rPr>
      </w:pPr>
    </w:p>
    <w:p w:rsidR="007516FC" w:rsidRPr="00BA51D9" w:rsidRDefault="00552C7F" w:rsidP="003D6AB7">
      <w:pPr>
        <w:pStyle w:val="Default"/>
        <w:numPr>
          <w:ilvl w:val="0"/>
          <w:numId w:val="13"/>
        </w:numPr>
        <w:ind w:left="426" w:hanging="426"/>
        <w:rPr>
          <w:rFonts w:asciiTheme="minorHAnsi" w:hAnsiTheme="minorHAnsi" w:cs="Times New Roman"/>
          <w:sz w:val="22"/>
          <w:szCs w:val="22"/>
          <w:lang w:val="fr-FR"/>
        </w:rPr>
      </w:pPr>
      <w:r w:rsidRPr="00BA51D9">
        <w:rPr>
          <w:rFonts w:asciiTheme="minorHAnsi" w:hAnsiTheme="minorHAnsi" w:cs="Times New Roman"/>
          <w:sz w:val="22"/>
          <w:szCs w:val="22"/>
          <w:lang w:val="fr-FR"/>
        </w:rPr>
        <w:t xml:space="preserve">Les facteurs </w:t>
      </w:r>
      <w:r w:rsidR="00AB52E4">
        <w:rPr>
          <w:rFonts w:asciiTheme="minorHAnsi" w:hAnsiTheme="minorHAnsi" w:cs="Times New Roman"/>
          <w:sz w:val="22"/>
          <w:szCs w:val="22"/>
          <w:lang w:val="fr-FR"/>
        </w:rPr>
        <w:t>de</w:t>
      </w:r>
      <w:r w:rsidR="00684A91" w:rsidRPr="00BA51D9">
        <w:rPr>
          <w:rFonts w:asciiTheme="minorHAnsi" w:hAnsiTheme="minorHAnsi" w:cs="Times New Roman"/>
          <w:sz w:val="22"/>
          <w:szCs w:val="22"/>
          <w:lang w:val="fr-FR"/>
        </w:rPr>
        <w:t xml:space="preserve"> succès d’autres fonds de petites subventions tels que ceux d</w:t>
      </w:r>
      <w:r w:rsidR="00EB2261">
        <w:rPr>
          <w:rFonts w:asciiTheme="minorHAnsi" w:hAnsiTheme="minorHAnsi" w:cs="Times New Roman"/>
          <w:sz w:val="22"/>
          <w:szCs w:val="22"/>
          <w:lang w:val="fr-FR"/>
        </w:rPr>
        <w:t xml:space="preserve">e la </w:t>
      </w:r>
      <w:r w:rsidR="003B2991" w:rsidRPr="00BA51D9">
        <w:rPr>
          <w:rFonts w:asciiTheme="minorHAnsi" w:hAnsiTheme="minorHAnsi" w:cs="Times New Roman"/>
          <w:sz w:val="22"/>
          <w:szCs w:val="22"/>
          <w:lang w:val="fr-FR"/>
        </w:rPr>
        <w:t>KfW</w:t>
      </w:r>
      <w:r w:rsidR="007516FC" w:rsidRPr="00BA51D9">
        <w:rPr>
          <w:rFonts w:asciiTheme="minorHAnsi" w:hAnsiTheme="minorHAnsi" w:cs="Times New Roman"/>
          <w:sz w:val="22"/>
          <w:szCs w:val="22"/>
          <w:lang w:val="fr-FR"/>
        </w:rPr>
        <w:t xml:space="preserve">, </w:t>
      </w:r>
      <w:r w:rsidR="00EB2261">
        <w:rPr>
          <w:rFonts w:asciiTheme="minorHAnsi" w:hAnsiTheme="minorHAnsi" w:cs="Times New Roman"/>
          <w:sz w:val="22"/>
          <w:szCs w:val="22"/>
          <w:lang w:val="fr-FR"/>
        </w:rPr>
        <w:t xml:space="preserve">du </w:t>
      </w:r>
      <w:r w:rsidR="00684A91" w:rsidRPr="00BA51D9">
        <w:rPr>
          <w:rFonts w:asciiTheme="minorHAnsi" w:hAnsiTheme="minorHAnsi" w:cs="Times New Roman"/>
          <w:sz w:val="22"/>
          <w:szCs w:val="22"/>
          <w:lang w:val="fr-FR"/>
        </w:rPr>
        <w:t>FEM</w:t>
      </w:r>
      <w:r w:rsidR="007516FC" w:rsidRPr="00BA51D9">
        <w:rPr>
          <w:rFonts w:asciiTheme="minorHAnsi" w:hAnsiTheme="minorHAnsi" w:cs="Times New Roman"/>
          <w:sz w:val="22"/>
          <w:szCs w:val="22"/>
          <w:lang w:val="fr-FR"/>
        </w:rPr>
        <w:t xml:space="preserve">, etc., </w:t>
      </w:r>
      <w:r w:rsidR="00684A91" w:rsidRPr="00BA51D9">
        <w:rPr>
          <w:rFonts w:asciiTheme="minorHAnsi" w:hAnsiTheme="minorHAnsi" w:cs="Times New Roman"/>
          <w:sz w:val="22"/>
          <w:szCs w:val="22"/>
          <w:lang w:val="fr-FR"/>
        </w:rPr>
        <w:t>pourraient être résumés dans un bref document recommand</w:t>
      </w:r>
      <w:r w:rsidR="00AB52E4">
        <w:rPr>
          <w:rFonts w:asciiTheme="minorHAnsi" w:hAnsiTheme="minorHAnsi" w:cs="Times New Roman"/>
          <w:sz w:val="22"/>
          <w:szCs w:val="22"/>
          <w:lang w:val="fr-FR"/>
        </w:rPr>
        <w:t>ant</w:t>
      </w:r>
      <w:r w:rsidR="00684A91" w:rsidRPr="00BA51D9">
        <w:rPr>
          <w:rFonts w:asciiTheme="minorHAnsi" w:hAnsiTheme="minorHAnsi" w:cs="Times New Roman"/>
          <w:sz w:val="22"/>
          <w:szCs w:val="22"/>
          <w:lang w:val="fr-FR"/>
        </w:rPr>
        <w:t xml:space="preserve"> aussi la niche </w:t>
      </w:r>
      <w:r w:rsidR="005F5476" w:rsidRPr="00BA51D9">
        <w:rPr>
          <w:rFonts w:asciiTheme="minorHAnsi" w:hAnsiTheme="minorHAnsi" w:cs="Times New Roman"/>
          <w:sz w:val="22"/>
          <w:szCs w:val="22"/>
          <w:lang w:val="fr-FR"/>
        </w:rPr>
        <w:t xml:space="preserve">qui conviendrait le mieux au </w:t>
      </w:r>
      <w:r w:rsidR="00684A91" w:rsidRPr="00BA51D9">
        <w:rPr>
          <w:rFonts w:asciiTheme="minorHAnsi" w:hAnsiTheme="minorHAnsi" w:cs="Times New Roman"/>
          <w:sz w:val="22"/>
          <w:szCs w:val="22"/>
          <w:lang w:val="fr-FR"/>
        </w:rPr>
        <w:t>FPS de la Convention de Ramsar.</w:t>
      </w:r>
    </w:p>
    <w:p w:rsidR="00071E52" w:rsidRPr="00BA51D9" w:rsidRDefault="00071E52" w:rsidP="003D6AB7">
      <w:pPr>
        <w:ind w:left="426" w:hanging="426"/>
        <w:rPr>
          <w:lang w:val="fr-FR"/>
        </w:rPr>
      </w:pPr>
    </w:p>
    <w:p w:rsidR="00B27B99" w:rsidRPr="00BA51D9" w:rsidRDefault="00AB52E4" w:rsidP="003D6AB7">
      <w:pPr>
        <w:pStyle w:val="Default"/>
        <w:numPr>
          <w:ilvl w:val="0"/>
          <w:numId w:val="13"/>
        </w:numPr>
        <w:ind w:left="426" w:hanging="426"/>
        <w:rPr>
          <w:rFonts w:asciiTheme="minorHAnsi" w:hAnsiTheme="minorHAnsi" w:cs="Times New Roman"/>
          <w:sz w:val="22"/>
          <w:szCs w:val="22"/>
          <w:lang w:val="fr-FR"/>
        </w:rPr>
      </w:pPr>
      <w:r>
        <w:rPr>
          <w:rFonts w:asciiTheme="minorHAnsi" w:hAnsiTheme="minorHAnsi" w:cs="Times New Roman"/>
          <w:sz w:val="22"/>
          <w:szCs w:val="22"/>
          <w:lang w:val="fr-FR"/>
        </w:rPr>
        <w:t>L’une des</w:t>
      </w:r>
      <w:r w:rsidR="006C7922" w:rsidRPr="00BA51D9">
        <w:rPr>
          <w:rFonts w:asciiTheme="minorHAnsi" w:hAnsiTheme="minorHAnsi" w:cs="Times New Roman"/>
          <w:sz w:val="22"/>
          <w:szCs w:val="22"/>
          <w:lang w:val="fr-FR"/>
        </w:rPr>
        <w:t xml:space="preserve"> possibilité</w:t>
      </w:r>
      <w:r>
        <w:rPr>
          <w:rFonts w:asciiTheme="minorHAnsi" w:hAnsiTheme="minorHAnsi" w:cs="Times New Roman"/>
          <w:sz w:val="22"/>
          <w:szCs w:val="22"/>
          <w:lang w:val="fr-FR"/>
        </w:rPr>
        <w:t>s</w:t>
      </w:r>
      <w:r w:rsidR="006C7922" w:rsidRPr="00BA51D9">
        <w:rPr>
          <w:rFonts w:asciiTheme="minorHAnsi" w:hAnsiTheme="minorHAnsi" w:cs="Times New Roman"/>
          <w:sz w:val="22"/>
          <w:szCs w:val="22"/>
          <w:lang w:val="fr-FR"/>
        </w:rPr>
        <w:t xml:space="preserve"> serait que le Groupe de travail sur la mobilisation des ressources guide le Secrétariat en ce qui concerne l’amélioration de l’attractivité et la pertinence</w:t>
      </w:r>
      <w:r>
        <w:rPr>
          <w:rFonts w:asciiTheme="minorHAnsi" w:hAnsiTheme="minorHAnsi" w:cs="Times New Roman"/>
          <w:sz w:val="22"/>
          <w:szCs w:val="22"/>
          <w:lang w:val="fr-FR"/>
        </w:rPr>
        <w:t>, aujourd’hui,</w:t>
      </w:r>
      <w:r w:rsidR="006C7922" w:rsidRPr="00BA51D9">
        <w:rPr>
          <w:rFonts w:asciiTheme="minorHAnsi" w:hAnsiTheme="minorHAnsi" w:cs="Times New Roman"/>
          <w:sz w:val="22"/>
          <w:szCs w:val="22"/>
          <w:lang w:val="fr-FR"/>
        </w:rPr>
        <w:t xml:space="preserve"> du FPS, et présente des recommandations à la 52</w:t>
      </w:r>
      <w:r w:rsidR="006C7922" w:rsidRPr="00BA51D9">
        <w:rPr>
          <w:rFonts w:asciiTheme="minorHAnsi" w:hAnsiTheme="minorHAnsi" w:cs="Times New Roman"/>
          <w:sz w:val="22"/>
          <w:szCs w:val="22"/>
          <w:vertAlign w:val="superscript"/>
          <w:lang w:val="fr-FR"/>
        </w:rPr>
        <w:t>e</w:t>
      </w:r>
      <w:r w:rsidR="006C7922" w:rsidRPr="00BA51D9">
        <w:rPr>
          <w:rFonts w:asciiTheme="minorHAnsi" w:hAnsiTheme="minorHAnsi" w:cs="Times New Roman"/>
          <w:sz w:val="22"/>
          <w:szCs w:val="22"/>
          <w:lang w:val="fr-FR"/>
        </w:rPr>
        <w:t xml:space="preserve"> Réunion du Comité permanent. La proposition pourrait </w:t>
      </w:r>
      <w:r>
        <w:rPr>
          <w:rFonts w:asciiTheme="minorHAnsi" w:hAnsiTheme="minorHAnsi" w:cs="Times New Roman"/>
          <w:sz w:val="22"/>
          <w:szCs w:val="22"/>
          <w:lang w:val="fr-FR"/>
        </w:rPr>
        <w:t>comprendre les points suivants</w:t>
      </w:r>
      <w:r w:rsidR="006C7922" w:rsidRPr="00BA51D9">
        <w:rPr>
          <w:rFonts w:asciiTheme="minorHAnsi" w:hAnsiTheme="minorHAnsi" w:cs="Times New Roman"/>
          <w:sz w:val="22"/>
          <w:szCs w:val="22"/>
          <w:lang w:val="fr-FR"/>
        </w:rPr>
        <w:t> :</w:t>
      </w:r>
      <w:r w:rsidR="00B27B99" w:rsidRPr="00BA51D9">
        <w:rPr>
          <w:rFonts w:asciiTheme="minorHAnsi" w:hAnsiTheme="minorHAnsi" w:cs="Times New Roman"/>
          <w:sz w:val="22"/>
          <w:szCs w:val="22"/>
          <w:lang w:val="fr-FR"/>
        </w:rPr>
        <w:t xml:space="preserve"> </w:t>
      </w:r>
    </w:p>
    <w:p w:rsidR="00DB579B" w:rsidRPr="00BA51D9" w:rsidRDefault="00DB579B" w:rsidP="003D6AB7">
      <w:pPr>
        <w:pStyle w:val="ListParagraph"/>
        <w:spacing w:after="0" w:line="240" w:lineRule="auto"/>
        <w:ind w:left="426" w:hanging="426"/>
        <w:rPr>
          <w:rFonts w:cs="Times New Roman"/>
          <w:lang w:val="fr-FR"/>
        </w:rPr>
      </w:pPr>
    </w:p>
    <w:p w:rsidR="001F51AB" w:rsidRPr="00BA51D9" w:rsidRDefault="006C7922" w:rsidP="00155BC8">
      <w:pPr>
        <w:pStyle w:val="ListParagraph"/>
        <w:numPr>
          <w:ilvl w:val="0"/>
          <w:numId w:val="39"/>
        </w:numPr>
        <w:spacing w:after="0" w:line="240" w:lineRule="auto"/>
        <w:ind w:left="851" w:hanging="425"/>
        <w:rPr>
          <w:rFonts w:cs="Times New Roman"/>
          <w:lang w:val="fr-FR"/>
        </w:rPr>
      </w:pPr>
      <w:r w:rsidRPr="00BA51D9">
        <w:rPr>
          <w:rFonts w:cs="Times New Roman"/>
          <w:lang w:val="fr-FR"/>
        </w:rPr>
        <w:t>Associer le FPS aux priorités du 4</w:t>
      </w:r>
      <w:r w:rsidRPr="00BA51D9">
        <w:rPr>
          <w:rFonts w:cs="Times New Roman"/>
          <w:vertAlign w:val="superscript"/>
          <w:lang w:val="fr-FR"/>
        </w:rPr>
        <w:t>e</w:t>
      </w:r>
      <w:r w:rsidRPr="00BA51D9">
        <w:rPr>
          <w:rFonts w:cs="Times New Roman"/>
          <w:lang w:val="fr-FR"/>
        </w:rPr>
        <w:t xml:space="preserve"> Plan stratégique. Cette mesure rafraîchirait la pertinence stratégique du </w:t>
      </w:r>
      <w:r w:rsidR="00AB52E4">
        <w:rPr>
          <w:rFonts w:cs="Times New Roman"/>
          <w:lang w:val="fr-FR"/>
        </w:rPr>
        <w:t>FPS</w:t>
      </w:r>
      <w:r w:rsidRPr="00BA51D9">
        <w:rPr>
          <w:rFonts w:cs="Times New Roman"/>
          <w:lang w:val="fr-FR"/>
        </w:rPr>
        <w:t xml:space="preserve"> en l’alignant sur les priorités les plus récentes des Parties contractantes. Il pourrait être utile d’orienter les appels de fonds pour le FPS et/ou les attributions au FPS selon </w:t>
      </w:r>
      <w:r w:rsidR="00AB52E4">
        <w:rPr>
          <w:rFonts w:cs="Times New Roman"/>
          <w:lang w:val="fr-FR"/>
        </w:rPr>
        <w:t>certains</w:t>
      </w:r>
      <w:r w:rsidRPr="00BA51D9">
        <w:rPr>
          <w:rFonts w:cs="Times New Roman"/>
          <w:lang w:val="fr-FR"/>
        </w:rPr>
        <w:t xml:space="preserve"> objectifs</w:t>
      </w:r>
      <w:r w:rsidR="00AB52E4">
        <w:rPr>
          <w:rFonts w:cs="Times New Roman"/>
          <w:lang w:val="fr-FR"/>
        </w:rPr>
        <w:t>, tels que</w:t>
      </w:r>
      <w:r w:rsidRPr="00BA51D9">
        <w:rPr>
          <w:rFonts w:cs="Times New Roman"/>
          <w:lang w:val="fr-FR"/>
        </w:rPr>
        <w:t xml:space="preserve"> : </w:t>
      </w:r>
    </w:p>
    <w:p w:rsidR="00D9447B" w:rsidRPr="00BA51D9" w:rsidRDefault="00D9447B" w:rsidP="003D6AB7">
      <w:pPr>
        <w:pStyle w:val="ListParagraph"/>
        <w:spacing w:after="0" w:line="240" w:lineRule="auto"/>
        <w:ind w:left="1800"/>
        <w:rPr>
          <w:rFonts w:cs="Times New Roman"/>
          <w:lang w:val="fr-FR"/>
        </w:rPr>
      </w:pPr>
    </w:p>
    <w:p w:rsidR="00D9447B" w:rsidRPr="00BA51D9" w:rsidRDefault="006C7922" w:rsidP="00FF7097">
      <w:pPr>
        <w:pStyle w:val="ListParagraph"/>
        <w:numPr>
          <w:ilvl w:val="1"/>
          <w:numId w:val="21"/>
        </w:numPr>
        <w:spacing w:after="0" w:line="240" w:lineRule="auto"/>
        <w:ind w:left="1276" w:hanging="425"/>
        <w:rPr>
          <w:rFonts w:cs="Times New Roman"/>
          <w:lang w:val="fr-FR"/>
        </w:rPr>
      </w:pPr>
      <w:r w:rsidRPr="00BA51D9">
        <w:rPr>
          <w:rFonts w:cs="Times New Roman"/>
          <w:lang w:val="fr-FR"/>
        </w:rPr>
        <w:t>Objectif</w:t>
      </w:r>
      <w:r w:rsidR="00D9447B" w:rsidRPr="00BA51D9">
        <w:rPr>
          <w:rFonts w:cs="Times New Roman"/>
          <w:lang w:val="fr-FR"/>
        </w:rPr>
        <w:t xml:space="preserve"> 4</w:t>
      </w:r>
      <w:r w:rsidRPr="00BA51D9">
        <w:rPr>
          <w:rFonts w:cs="Times New Roman"/>
          <w:lang w:val="fr-FR"/>
        </w:rPr>
        <w:t> </w:t>
      </w:r>
      <w:r w:rsidR="00D9447B" w:rsidRPr="00BA51D9">
        <w:rPr>
          <w:rFonts w:cs="Times New Roman"/>
          <w:lang w:val="fr-FR"/>
        </w:rPr>
        <w:t>:</w:t>
      </w:r>
      <w:r w:rsidR="00DD25C7" w:rsidRPr="00BA51D9">
        <w:rPr>
          <w:rFonts w:cs="Times New Roman"/>
          <w:lang w:val="fr-FR"/>
        </w:rPr>
        <w:t xml:space="preserve"> </w:t>
      </w:r>
      <w:r w:rsidR="00FF7097" w:rsidRPr="00FF7097">
        <w:rPr>
          <w:rFonts w:cs="Times New Roman"/>
          <w:lang w:val="fr-FR"/>
        </w:rPr>
        <w:t xml:space="preserve">Les espèces exotiques envahissantes et leurs voies d’introduction et de propagation sont identifiées et hiérarchisées, les espèces exotiques envahissantes </w:t>
      </w:r>
      <w:r w:rsidR="00FF7097" w:rsidRPr="00FF7097">
        <w:rPr>
          <w:rFonts w:cs="Times New Roman"/>
          <w:lang w:val="fr-FR"/>
        </w:rPr>
        <w:lastRenderedPageBreak/>
        <w:t>prioritaires sont contrôlées et éradiquées et des mesures de gestion sont conçues et mises en œuvre pour empêcher l’introduction et l’établissement de ces espèces.</w:t>
      </w:r>
      <w:r w:rsidRPr="00BA51D9">
        <w:rPr>
          <w:rFonts w:cs="Times New Roman"/>
          <w:lang w:val="fr-FR"/>
        </w:rPr>
        <w:t>.</w:t>
      </w:r>
    </w:p>
    <w:p w:rsidR="000B4C27" w:rsidRPr="00BA51D9" w:rsidRDefault="000B4C27" w:rsidP="000B4C27">
      <w:pPr>
        <w:pStyle w:val="ListParagraph"/>
        <w:spacing w:after="0" w:line="240" w:lineRule="auto"/>
        <w:ind w:left="1276"/>
        <w:rPr>
          <w:rFonts w:cs="Times New Roman"/>
          <w:lang w:val="fr-FR"/>
        </w:rPr>
      </w:pPr>
    </w:p>
    <w:p w:rsidR="00D9447B" w:rsidRPr="00BA51D9" w:rsidRDefault="006C7922" w:rsidP="006645E2">
      <w:pPr>
        <w:pStyle w:val="ListParagraph"/>
        <w:numPr>
          <w:ilvl w:val="1"/>
          <w:numId w:val="21"/>
        </w:numPr>
        <w:spacing w:after="0" w:line="240" w:lineRule="auto"/>
        <w:ind w:left="1276" w:hanging="425"/>
        <w:rPr>
          <w:rFonts w:cs="Times New Roman"/>
          <w:lang w:val="fr-FR"/>
        </w:rPr>
      </w:pPr>
      <w:r w:rsidRPr="00BA51D9">
        <w:rPr>
          <w:rFonts w:cs="Times New Roman"/>
          <w:lang w:val="fr-FR"/>
        </w:rPr>
        <w:t xml:space="preserve">Objectif </w:t>
      </w:r>
      <w:r w:rsidR="00D9447B" w:rsidRPr="00BA51D9">
        <w:rPr>
          <w:rFonts w:cs="Times New Roman"/>
          <w:lang w:val="fr-FR"/>
        </w:rPr>
        <w:t>7</w:t>
      </w:r>
      <w:r w:rsidRPr="00BA51D9">
        <w:rPr>
          <w:rFonts w:cs="Times New Roman"/>
          <w:lang w:val="fr-FR"/>
        </w:rPr>
        <w:t> </w:t>
      </w:r>
      <w:r w:rsidR="00D9447B" w:rsidRPr="00BA51D9">
        <w:rPr>
          <w:rFonts w:cs="Times New Roman"/>
          <w:lang w:val="fr-FR"/>
        </w:rPr>
        <w:t xml:space="preserve">: </w:t>
      </w:r>
      <w:r w:rsidR="006645E2" w:rsidRPr="006645E2">
        <w:rPr>
          <w:rFonts w:cs="Times New Roman"/>
          <w:lang w:val="fr-FR"/>
        </w:rPr>
        <w:t>Les menaces pesant sur les sites dont les caractéristiques écologiques risquent de changer sont traitées</w:t>
      </w:r>
      <w:r w:rsidRPr="00BA51D9">
        <w:rPr>
          <w:rFonts w:cs="Times New Roman"/>
          <w:lang w:val="fr-FR"/>
        </w:rPr>
        <w:t xml:space="preserve">. </w:t>
      </w:r>
    </w:p>
    <w:p w:rsidR="000B4C27" w:rsidRPr="00BA51D9" w:rsidRDefault="000B4C27" w:rsidP="000B4C27">
      <w:pPr>
        <w:pStyle w:val="ListParagraph"/>
        <w:rPr>
          <w:rFonts w:cs="Times New Roman"/>
          <w:lang w:val="fr-FR"/>
        </w:rPr>
      </w:pPr>
    </w:p>
    <w:p w:rsidR="00D9447B" w:rsidRPr="00BA51D9" w:rsidRDefault="006C7922" w:rsidP="004C78C2">
      <w:pPr>
        <w:pStyle w:val="ListParagraph"/>
        <w:numPr>
          <w:ilvl w:val="1"/>
          <w:numId w:val="21"/>
        </w:numPr>
        <w:spacing w:after="0" w:line="240" w:lineRule="auto"/>
        <w:ind w:left="1276" w:hanging="425"/>
        <w:rPr>
          <w:rFonts w:cs="Times New Roman"/>
          <w:lang w:val="fr-FR"/>
        </w:rPr>
      </w:pPr>
      <w:r w:rsidRPr="00BA51D9">
        <w:rPr>
          <w:rFonts w:cs="Times New Roman"/>
          <w:lang w:val="fr-FR"/>
        </w:rPr>
        <w:t xml:space="preserve">Objectif </w:t>
      </w:r>
      <w:r w:rsidR="00D9447B" w:rsidRPr="00BA51D9">
        <w:rPr>
          <w:rFonts w:cs="Times New Roman"/>
          <w:lang w:val="fr-FR"/>
        </w:rPr>
        <w:t>1</w:t>
      </w:r>
      <w:r w:rsidR="00F61695">
        <w:rPr>
          <w:rFonts w:cs="Times New Roman"/>
          <w:lang w:val="fr-FR"/>
        </w:rPr>
        <w:t>2</w:t>
      </w:r>
      <w:r w:rsidRPr="00BA51D9">
        <w:rPr>
          <w:rFonts w:cs="Times New Roman"/>
          <w:lang w:val="fr-FR"/>
        </w:rPr>
        <w:t> </w:t>
      </w:r>
      <w:r w:rsidR="00D9447B" w:rsidRPr="00BA51D9">
        <w:rPr>
          <w:rFonts w:cs="Times New Roman"/>
          <w:lang w:val="fr-FR"/>
        </w:rPr>
        <w:t xml:space="preserve">: </w:t>
      </w:r>
      <w:r w:rsidR="004C78C2" w:rsidRPr="004C78C2">
        <w:rPr>
          <w:rFonts w:cs="Times New Roman"/>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Pr="00BA51D9">
        <w:rPr>
          <w:rFonts w:cs="Times New Roman"/>
          <w:lang w:val="fr-FR"/>
        </w:rPr>
        <w:t>.</w:t>
      </w:r>
    </w:p>
    <w:p w:rsidR="00D24FE1" w:rsidRPr="00BA51D9" w:rsidRDefault="00D24FE1" w:rsidP="003D6AB7">
      <w:pPr>
        <w:pStyle w:val="ListParagraph"/>
        <w:spacing w:after="0" w:line="240" w:lineRule="auto"/>
        <w:ind w:left="1800"/>
        <w:rPr>
          <w:rFonts w:cs="Times New Roman"/>
          <w:lang w:val="fr-FR"/>
        </w:rPr>
      </w:pPr>
    </w:p>
    <w:p w:rsidR="007516FC" w:rsidRPr="00BA51D9" w:rsidRDefault="006C7922" w:rsidP="00155BC8">
      <w:pPr>
        <w:pStyle w:val="ListParagraph"/>
        <w:numPr>
          <w:ilvl w:val="0"/>
          <w:numId w:val="39"/>
        </w:numPr>
        <w:spacing w:after="0" w:line="240" w:lineRule="auto"/>
        <w:ind w:left="851" w:hanging="425"/>
        <w:rPr>
          <w:rFonts w:cs="Times New Roman"/>
          <w:lang w:val="fr-FR"/>
        </w:rPr>
      </w:pPr>
      <w:r w:rsidRPr="00BA51D9">
        <w:rPr>
          <w:rFonts w:cs="Times New Roman"/>
          <w:lang w:val="fr-FR"/>
        </w:rPr>
        <w:t xml:space="preserve">Présenter le FPS sur la base de priorités communes entre Ramsar et un éventuel bailleur de fonds, dans un domaine </w:t>
      </w:r>
      <w:r w:rsidR="00C20862">
        <w:rPr>
          <w:rFonts w:cs="Times New Roman"/>
          <w:lang w:val="fr-FR"/>
        </w:rPr>
        <w:t>de grande</w:t>
      </w:r>
      <w:r w:rsidRPr="00BA51D9">
        <w:rPr>
          <w:rFonts w:cs="Times New Roman"/>
          <w:lang w:val="fr-FR"/>
        </w:rPr>
        <w:t xml:space="preserve"> valeur </w:t>
      </w:r>
      <w:r w:rsidR="00C20862">
        <w:rPr>
          <w:rFonts w:cs="Times New Roman"/>
          <w:lang w:val="fr-FR"/>
        </w:rPr>
        <w:t>pour</w:t>
      </w:r>
      <w:r w:rsidRPr="00BA51D9">
        <w:rPr>
          <w:rFonts w:cs="Times New Roman"/>
          <w:lang w:val="fr-FR"/>
        </w:rPr>
        <w:t xml:space="preserve"> la société. Par exemple, le FPS pourrait être présenté comme : </w:t>
      </w:r>
    </w:p>
    <w:p w:rsidR="000B4C27" w:rsidRPr="00BA51D9" w:rsidRDefault="000B4C27" w:rsidP="000B4C27">
      <w:pPr>
        <w:pStyle w:val="ListParagraph"/>
        <w:spacing w:after="0" w:line="240" w:lineRule="auto"/>
        <w:ind w:left="851"/>
        <w:rPr>
          <w:rFonts w:cs="Times New Roman"/>
          <w:lang w:val="fr-FR"/>
        </w:rPr>
      </w:pPr>
    </w:p>
    <w:p w:rsidR="007516FC" w:rsidRPr="00BA51D9" w:rsidRDefault="006C7922" w:rsidP="003D6AB7">
      <w:pPr>
        <w:pStyle w:val="ListParagraph"/>
        <w:numPr>
          <w:ilvl w:val="1"/>
          <w:numId w:val="21"/>
        </w:numPr>
        <w:spacing w:after="0" w:line="240" w:lineRule="auto"/>
        <w:ind w:left="1276" w:hanging="425"/>
        <w:rPr>
          <w:rFonts w:cs="Times New Roman"/>
          <w:lang w:val="fr-FR"/>
        </w:rPr>
      </w:pPr>
      <w:r w:rsidRPr="00BA51D9">
        <w:rPr>
          <w:rFonts w:cs="Times New Roman"/>
          <w:lang w:val="fr-FR"/>
        </w:rPr>
        <w:t>une possibilité</w:t>
      </w:r>
      <w:r w:rsidR="004C78C2">
        <w:rPr>
          <w:rFonts w:cs="Times New Roman"/>
          <w:lang w:val="fr-FR"/>
        </w:rPr>
        <w:t>,</w:t>
      </w:r>
      <w:r w:rsidRPr="00BA51D9">
        <w:rPr>
          <w:rFonts w:cs="Times New Roman"/>
          <w:lang w:val="fr-FR"/>
        </w:rPr>
        <w:t xml:space="preserve"> pour </w:t>
      </w:r>
      <w:r w:rsidR="00C20862">
        <w:rPr>
          <w:rFonts w:cs="Times New Roman"/>
          <w:lang w:val="fr-FR"/>
        </w:rPr>
        <w:t>l’industrie des boissons</w:t>
      </w:r>
      <w:r w:rsidR="004C78C2">
        <w:rPr>
          <w:rFonts w:cs="Times New Roman"/>
          <w:lang w:val="fr-FR"/>
        </w:rPr>
        <w:t>,</w:t>
      </w:r>
      <w:r w:rsidRPr="00BA51D9">
        <w:rPr>
          <w:rFonts w:cs="Times New Roman"/>
          <w:lang w:val="fr-FR"/>
        </w:rPr>
        <w:t xml:space="preserve"> de protéger les zones humides qui sont importantes pour l’approvisionnement en eau potable; ou </w:t>
      </w:r>
    </w:p>
    <w:p w:rsidR="000B4C27" w:rsidRPr="00BA51D9" w:rsidRDefault="000B4C27" w:rsidP="000B4C27">
      <w:pPr>
        <w:pStyle w:val="ListParagraph"/>
        <w:spacing w:after="0" w:line="240" w:lineRule="auto"/>
        <w:ind w:left="1276"/>
        <w:rPr>
          <w:rFonts w:cs="Times New Roman"/>
          <w:lang w:val="fr-FR"/>
        </w:rPr>
      </w:pPr>
    </w:p>
    <w:p w:rsidR="00D24FE1" w:rsidRPr="00BA51D9" w:rsidRDefault="006C7922" w:rsidP="003D6AB7">
      <w:pPr>
        <w:pStyle w:val="ListParagraph"/>
        <w:numPr>
          <w:ilvl w:val="1"/>
          <w:numId w:val="21"/>
        </w:numPr>
        <w:spacing w:after="0" w:line="240" w:lineRule="auto"/>
        <w:ind w:left="1276" w:hanging="425"/>
        <w:rPr>
          <w:rFonts w:cs="Times New Roman"/>
          <w:lang w:val="fr-FR"/>
        </w:rPr>
      </w:pPr>
      <w:r w:rsidRPr="00BA51D9">
        <w:rPr>
          <w:rFonts w:cs="Times New Roman"/>
          <w:lang w:val="fr-FR"/>
        </w:rPr>
        <w:t xml:space="preserve">une possibilité d’augmenter la résilience côtière qui bénéficie à la fois aux communautés et aux infrastructures du secteur privé. </w:t>
      </w:r>
    </w:p>
    <w:p w:rsidR="00575043" w:rsidRPr="00BA51D9" w:rsidRDefault="00575043" w:rsidP="003D6AB7">
      <w:pPr>
        <w:pStyle w:val="ListParagraph"/>
        <w:spacing w:after="0" w:line="240" w:lineRule="auto"/>
        <w:rPr>
          <w:rFonts w:cs="Times New Roman"/>
          <w:lang w:val="fr-FR"/>
        </w:rPr>
      </w:pPr>
    </w:p>
    <w:p w:rsidR="00575043" w:rsidRPr="00BA51D9" w:rsidRDefault="006C7922" w:rsidP="00155BC8">
      <w:pPr>
        <w:pStyle w:val="ListParagraph"/>
        <w:numPr>
          <w:ilvl w:val="0"/>
          <w:numId w:val="39"/>
        </w:numPr>
        <w:spacing w:after="0" w:line="240" w:lineRule="auto"/>
        <w:ind w:left="851" w:hanging="425"/>
        <w:rPr>
          <w:rFonts w:cs="Times New Roman"/>
          <w:lang w:val="fr-FR"/>
        </w:rPr>
      </w:pPr>
      <w:r w:rsidRPr="00BA51D9">
        <w:rPr>
          <w:rFonts w:cs="Times New Roman"/>
          <w:lang w:val="fr-FR"/>
        </w:rPr>
        <w:t xml:space="preserve">Identifier des possibilités précises pour le FPS de remplir les intentions énoncées dans les principes d’origine, à savoir que le financement devrait </w:t>
      </w:r>
      <w:r w:rsidR="004C78C2">
        <w:rPr>
          <w:rFonts w:cs="Times New Roman"/>
          <w:lang w:val="fr-FR"/>
        </w:rPr>
        <w:t>servir</w:t>
      </w:r>
      <w:r w:rsidRPr="00BA51D9">
        <w:rPr>
          <w:rFonts w:cs="Times New Roman"/>
          <w:lang w:val="fr-FR"/>
        </w:rPr>
        <w:t xml:space="preserve"> à aider les bénéficiaires à </w:t>
      </w:r>
      <w:r w:rsidR="004C78C2">
        <w:rPr>
          <w:rFonts w:cs="Times New Roman"/>
          <w:lang w:val="fr-FR"/>
        </w:rPr>
        <w:t>préparer leurs projets en vue de solliciter</w:t>
      </w:r>
      <w:r w:rsidRPr="00BA51D9">
        <w:rPr>
          <w:rFonts w:cs="Times New Roman"/>
          <w:lang w:val="fr-FR"/>
        </w:rPr>
        <w:t xml:space="preserve"> un financement d’autres sources pour des activités à plus grande échelle. Cela supposerait un changement d’orientation du FPS, du soutien à d</w:t>
      </w:r>
      <w:r w:rsidR="001B152E" w:rsidRPr="00BA51D9">
        <w:rPr>
          <w:rFonts w:cs="Times New Roman"/>
          <w:lang w:val="fr-FR"/>
        </w:rPr>
        <w:t>e petits projets sur le terrain</w:t>
      </w:r>
      <w:r w:rsidRPr="00BA51D9">
        <w:rPr>
          <w:rFonts w:cs="Times New Roman"/>
          <w:lang w:val="fr-FR"/>
        </w:rPr>
        <w:t xml:space="preserve"> au soutien à la préparation de propositions pour des fonds majeurs tels que le FEM ou les banques de développement multilatérales (Banque africaine de développement, Banque asiatique de développement, etc.). </w:t>
      </w:r>
    </w:p>
    <w:p w:rsidR="001F51AB" w:rsidRPr="00BA51D9" w:rsidRDefault="001F51AB" w:rsidP="008B7384">
      <w:pPr>
        <w:rPr>
          <w:lang w:val="fr-FR"/>
        </w:rPr>
      </w:pPr>
    </w:p>
    <w:p w:rsidR="00CD1CFA" w:rsidRPr="00BA51D9" w:rsidRDefault="006C7922" w:rsidP="002E20AC">
      <w:pPr>
        <w:pStyle w:val="Default"/>
        <w:numPr>
          <w:ilvl w:val="0"/>
          <w:numId w:val="13"/>
        </w:numPr>
        <w:ind w:left="426" w:hanging="426"/>
        <w:rPr>
          <w:rFonts w:asciiTheme="minorHAnsi" w:hAnsiTheme="minorHAnsi" w:cs="Times New Roman"/>
          <w:sz w:val="22"/>
          <w:szCs w:val="22"/>
          <w:lang w:val="fr-FR"/>
        </w:rPr>
      </w:pPr>
      <w:r w:rsidRPr="00BA51D9">
        <w:rPr>
          <w:rFonts w:asciiTheme="minorHAnsi" w:hAnsiTheme="minorHAnsi" w:cs="Times New Roman"/>
          <w:sz w:val="22"/>
          <w:szCs w:val="22"/>
          <w:lang w:val="fr-FR"/>
        </w:rPr>
        <w:t xml:space="preserve">Le Secrétariat </w:t>
      </w:r>
      <w:r w:rsidR="004C78C2">
        <w:rPr>
          <w:rFonts w:asciiTheme="minorHAnsi" w:hAnsiTheme="minorHAnsi" w:cs="Times New Roman"/>
          <w:sz w:val="22"/>
          <w:szCs w:val="22"/>
          <w:lang w:val="fr-FR"/>
        </w:rPr>
        <w:t>souhaite</w:t>
      </w:r>
      <w:r w:rsidRPr="00BA51D9">
        <w:rPr>
          <w:rFonts w:asciiTheme="minorHAnsi" w:hAnsiTheme="minorHAnsi" w:cs="Times New Roman"/>
          <w:sz w:val="22"/>
          <w:szCs w:val="22"/>
          <w:lang w:val="fr-FR"/>
        </w:rPr>
        <w:t xml:space="preserve"> suggérer que la question du Fonds de petites subventions </w:t>
      </w:r>
      <w:r w:rsidR="004C78C2">
        <w:rPr>
          <w:rFonts w:asciiTheme="minorHAnsi" w:hAnsiTheme="minorHAnsi" w:cs="Times New Roman"/>
          <w:sz w:val="22"/>
          <w:szCs w:val="22"/>
          <w:lang w:val="fr-FR"/>
        </w:rPr>
        <w:t>devienne</w:t>
      </w:r>
      <w:r w:rsidRPr="00BA51D9">
        <w:rPr>
          <w:rFonts w:asciiTheme="minorHAnsi" w:hAnsiTheme="minorHAnsi" w:cs="Times New Roman"/>
          <w:sz w:val="22"/>
          <w:szCs w:val="22"/>
          <w:lang w:val="fr-FR"/>
        </w:rPr>
        <w:t xml:space="preserve"> un point permanent de l’ordre du jour des réunions du Comité permanent pour la période triennale, de sorte qu’une attention soutenue et focalisée puisse aboutir à une décision informée quant à son avenir, à la </w:t>
      </w:r>
      <w:r w:rsidR="002E20AC" w:rsidRPr="00BA51D9">
        <w:rPr>
          <w:rFonts w:asciiTheme="minorHAnsi" w:hAnsiTheme="minorHAnsi" w:cs="Times New Roman"/>
          <w:sz w:val="22"/>
          <w:szCs w:val="22"/>
          <w:lang w:val="fr-FR"/>
        </w:rPr>
        <w:t>COP13.</w:t>
      </w:r>
    </w:p>
    <w:sectPr w:rsidR="00CD1CFA" w:rsidRPr="00BA51D9" w:rsidSect="00C57B14">
      <w:footerReference w:type="default" r:id="rId11"/>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90D" w:rsidRDefault="0027390D" w:rsidP="005F35E5">
      <w:r>
        <w:separator/>
      </w:r>
    </w:p>
  </w:endnote>
  <w:endnote w:type="continuationSeparator" w:id="0">
    <w:p w:rsidR="0027390D" w:rsidRDefault="0027390D" w:rsidP="005F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946664"/>
      <w:docPartObj>
        <w:docPartGallery w:val="Page Numbers (Bottom of Page)"/>
        <w:docPartUnique/>
      </w:docPartObj>
    </w:sdtPr>
    <w:sdtEndPr/>
    <w:sdtContent>
      <w:p w:rsidR="003D6AB7" w:rsidRPr="003D6AB7" w:rsidRDefault="003D6AB7" w:rsidP="003D6AB7">
        <w:pPr>
          <w:pStyle w:val="Footer"/>
          <w:tabs>
            <w:tab w:val="clear" w:pos="4513"/>
            <w:tab w:val="clear" w:pos="9026"/>
            <w:tab w:val="right" w:pos="9072"/>
          </w:tabs>
          <w:rPr>
            <w:sz w:val="20"/>
            <w:szCs w:val="20"/>
          </w:rPr>
        </w:pPr>
        <w:r>
          <w:rPr>
            <w:sz w:val="20"/>
            <w:szCs w:val="20"/>
          </w:rPr>
          <w:t>SC51-22</w:t>
        </w:r>
        <w:r>
          <w:rPr>
            <w:sz w:val="20"/>
            <w:szCs w:val="20"/>
          </w:rPr>
          <w:tab/>
        </w:r>
        <w:r w:rsidRPr="00FD503E">
          <w:rPr>
            <w:sz w:val="20"/>
            <w:szCs w:val="20"/>
          </w:rPr>
          <w:fldChar w:fldCharType="begin"/>
        </w:r>
        <w:r w:rsidRPr="00FD503E">
          <w:rPr>
            <w:sz w:val="20"/>
            <w:szCs w:val="20"/>
          </w:rPr>
          <w:instrText xml:space="preserve"> PAGE   \* MERGEFORMAT </w:instrText>
        </w:r>
        <w:r w:rsidRPr="00FD503E">
          <w:rPr>
            <w:sz w:val="20"/>
            <w:szCs w:val="20"/>
          </w:rPr>
          <w:fldChar w:fldCharType="separate"/>
        </w:r>
        <w:r w:rsidR="00C05474">
          <w:rPr>
            <w:noProof/>
            <w:sz w:val="20"/>
            <w:szCs w:val="20"/>
          </w:rPr>
          <w:t>2</w:t>
        </w:r>
        <w:r w:rsidRPr="00FD503E">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90D" w:rsidRDefault="0027390D" w:rsidP="005F35E5">
      <w:r>
        <w:separator/>
      </w:r>
    </w:p>
  </w:footnote>
  <w:footnote w:type="continuationSeparator" w:id="0">
    <w:p w:rsidR="0027390D" w:rsidRDefault="0027390D" w:rsidP="005F3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81F"/>
    <w:multiLevelType w:val="hybridMultilevel"/>
    <w:tmpl w:val="9B8CE818"/>
    <w:lvl w:ilvl="0" w:tplc="14CAD4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517EB7"/>
    <w:multiLevelType w:val="hybridMultilevel"/>
    <w:tmpl w:val="1CE2909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D017D6"/>
    <w:multiLevelType w:val="hybridMultilevel"/>
    <w:tmpl w:val="CF88458E"/>
    <w:lvl w:ilvl="0" w:tplc="0C0C0017">
      <w:start w:val="1"/>
      <w:numFmt w:val="lowerLetter"/>
      <w:lvlText w:val="%1)"/>
      <w:lvlJc w:val="left"/>
      <w:pPr>
        <w:ind w:left="1800" w:hanging="360"/>
      </w:pPr>
      <w:rPr>
        <w:rFonts w:hint="default"/>
        <w:sz w:val="22"/>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26F5E19"/>
    <w:multiLevelType w:val="hybridMultilevel"/>
    <w:tmpl w:val="1658B578"/>
    <w:lvl w:ilvl="0" w:tplc="148A6F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3926FA6"/>
    <w:multiLevelType w:val="hybridMultilevel"/>
    <w:tmpl w:val="E146D9A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93F2A4B"/>
    <w:multiLevelType w:val="hybridMultilevel"/>
    <w:tmpl w:val="8EA84BD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8846A5"/>
    <w:multiLevelType w:val="hybridMultilevel"/>
    <w:tmpl w:val="E5C2D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E657A"/>
    <w:multiLevelType w:val="hybridMultilevel"/>
    <w:tmpl w:val="E026A642"/>
    <w:lvl w:ilvl="0" w:tplc="5F6645F8">
      <w:start w:val="10"/>
      <w:numFmt w:val="decimal"/>
      <w:lvlText w:val="%1."/>
      <w:lvlJc w:val="left"/>
      <w:pPr>
        <w:ind w:left="1794" w:hanging="36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8">
    <w:nsid w:val="202D186A"/>
    <w:multiLevelType w:val="hybridMultilevel"/>
    <w:tmpl w:val="AB94ED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nsid w:val="248F2981"/>
    <w:multiLevelType w:val="hybridMultilevel"/>
    <w:tmpl w:val="C806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1537FE"/>
    <w:multiLevelType w:val="hybridMultilevel"/>
    <w:tmpl w:val="865E2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EC628E"/>
    <w:multiLevelType w:val="hybridMultilevel"/>
    <w:tmpl w:val="52169E0C"/>
    <w:lvl w:ilvl="0" w:tplc="14CAD4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F63118"/>
    <w:multiLevelType w:val="hybridMultilevel"/>
    <w:tmpl w:val="F056AD38"/>
    <w:lvl w:ilvl="0" w:tplc="0C0C0017">
      <w:start w:val="1"/>
      <w:numFmt w:val="lowerLetter"/>
      <w:lvlText w:val="%1)"/>
      <w:lvlJc w:val="left"/>
      <w:pPr>
        <w:ind w:left="1440" w:hanging="72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B7E15C1"/>
    <w:multiLevelType w:val="hybridMultilevel"/>
    <w:tmpl w:val="28A0CE36"/>
    <w:lvl w:ilvl="0" w:tplc="D1FAF0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05F2E24"/>
    <w:multiLevelType w:val="hybridMultilevel"/>
    <w:tmpl w:val="BEC621DA"/>
    <w:lvl w:ilvl="0" w:tplc="14CAD4DA">
      <w:start w:val="1"/>
      <w:numFmt w:val="upperRoman"/>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nsid w:val="40D451B2"/>
    <w:multiLevelType w:val="hybridMultilevel"/>
    <w:tmpl w:val="B408098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nsid w:val="45ED4A54"/>
    <w:multiLevelType w:val="hybridMultilevel"/>
    <w:tmpl w:val="864EC862"/>
    <w:lvl w:ilvl="0" w:tplc="344CAC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0168BA"/>
    <w:multiLevelType w:val="hybridMultilevel"/>
    <w:tmpl w:val="1B5E34C0"/>
    <w:lvl w:ilvl="0" w:tplc="1284BF96">
      <w:start w:val="1"/>
      <w:numFmt w:val="upperRoman"/>
      <w:lvlText w:val="%1.)"/>
      <w:lvlJc w:val="left"/>
      <w:pPr>
        <w:ind w:left="1440" w:hanging="72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9F87B38"/>
    <w:multiLevelType w:val="hybridMultilevel"/>
    <w:tmpl w:val="EB14F2F0"/>
    <w:lvl w:ilvl="0" w:tplc="0809000F">
      <w:start w:val="1"/>
      <w:numFmt w:val="decimal"/>
      <w:lvlText w:val="%1."/>
      <w:lvlJc w:val="left"/>
      <w:pPr>
        <w:ind w:left="1146" w:hanging="72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E87780"/>
    <w:multiLevelType w:val="hybridMultilevel"/>
    <w:tmpl w:val="4F724BD0"/>
    <w:lvl w:ilvl="0" w:tplc="B81C82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FB51A5B"/>
    <w:multiLevelType w:val="hybridMultilevel"/>
    <w:tmpl w:val="798A3BD6"/>
    <w:lvl w:ilvl="0" w:tplc="0809000F">
      <w:start w:val="1"/>
      <w:numFmt w:val="decimal"/>
      <w:lvlText w:val="%1."/>
      <w:lvlJc w:val="left"/>
      <w:pPr>
        <w:ind w:left="2160" w:hanging="720"/>
      </w:pPr>
      <w:rPr>
        <w:rFonts w:hint="default"/>
      </w:rPr>
    </w:lvl>
    <w:lvl w:ilvl="1" w:tplc="08090003">
      <w:start w:val="1"/>
      <w:numFmt w:val="bullet"/>
      <w:lvlText w:val="o"/>
      <w:lvlJc w:val="left"/>
      <w:pPr>
        <w:ind w:left="2454" w:hanging="360"/>
      </w:pPr>
      <w:rPr>
        <w:rFonts w:ascii="Courier New" w:hAnsi="Courier New" w:cs="Courier New" w:hint="default"/>
      </w:rPr>
    </w:lvl>
    <w:lvl w:ilvl="2" w:tplc="0809001B">
      <w:start w:val="1"/>
      <w:numFmt w:val="lowerRoman"/>
      <w:lvlText w:val="%3."/>
      <w:lvlJc w:val="right"/>
      <w:pPr>
        <w:ind w:left="3174" w:hanging="180"/>
      </w:pPr>
    </w:lvl>
    <w:lvl w:ilvl="3" w:tplc="0809000F" w:tentative="1">
      <w:start w:val="1"/>
      <w:numFmt w:val="decimal"/>
      <w:lvlText w:val="%4."/>
      <w:lvlJc w:val="left"/>
      <w:pPr>
        <w:ind w:left="3894" w:hanging="360"/>
      </w:pPr>
    </w:lvl>
    <w:lvl w:ilvl="4" w:tplc="08090019" w:tentative="1">
      <w:start w:val="1"/>
      <w:numFmt w:val="lowerLetter"/>
      <w:lvlText w:val="%5."/>
      <w:lvlJc w:val="left"/>
      <w:pPr>
        <w:ind w:left="4614" w:hanging="360"/>
      </w:pPr>
    </w:lvl>
    <w:lvl w:ilvl="5" w:tplc="0809001B" w:tentative="1">
      <w:start w:val="1"/>
      <w:numFmt w:val="lowerRoman"/>
      <w:lvlText w:val="%6."/>
      <w:lvlJc w:val="right"/>
      <w:pPr>
        <w:ind w:left="5334" w:hanging="180"/>
      </w:pPr>
    </w:lvl>
    <w:lvl w:ilvl="6" w:tplc="0809000F" w:tentative="1">
      <w:start w:val="1"/>
      <w:numFmt w:val="decimal"/>
      <w:lvlText w:val="%7."/>
      <w:lvlJc w:val="left"/>
      <w:pPr>
        <w:ind w:left="6054" w:hanging="360"/>
      </w:pPr>
    </w:lvl>
    <w:lvl w:ilvl="7" w:tplc="08090019" w:tentative="1">
      <w:start w:val="1"/>
      <w:numFmt w:val="lowerLetter"/>
      <w:lvlText w:val="%8."/>
      <w:lvlJc w:val="left"/>
      <w:pPr>
        <w:ind w:left="6774" w:hanging="360"/>
      </w:pPr>
    </w:lvl>
    <w:lvl w:ilvl="8" w:tplc="0809001B" w:tentative="1">
      <w:start w:val="1"/>
      <w:numFmt w:val="lowerRoman"/>
      <w:lvlText w:val="%9."/>
      <w:lvlJc w:val="right"/>
      <w:pPr>
        <w:ind w:left="7494" w:hanging="180"/>
      </w:pPr>
    </w:lvl>
  </w:abstractNum>
  <w:abstractNum w:abstractNumId="21">
    <w:nsid w:val="511727EC"/>
    <w:multiLevelType w:val="hybridMultilevel"/>
    <w:tmpl w:val="94E4777A"/>
    <w:lvl w:ilvl="0" w:tplc="0809000F">
      <w:start w:val="1"/>
      <w:numFmt w:val="decimal"/>
      <w:lvlText w:val="%1."/>
      <w:lvlJc w:val="lef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5146347C"/>
    <w:multiLevelType w:val="hybridMultilevel"/>
    <w:tmpl w:val="5DCA6B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54B9753C"/>
    <w:multiLevelType w:val="hybridMultilevel"/>
    <w:tmpl w:val="C1CC6090"/>
    <w:lvl w:ilvl="0" w:tplc="DA72F8B6">
      <w:start w:val="1"/>
      <w:numFmt w:val="lowerRoman"/>
      <w:lvlText w:val="%1."/>
      <w:lvlJc w:val="left"/>
      <w:pPr>
        <w:ind w:left="1800" w:hanging="360"/>
      </w:pPr>
      <w:rPr>
        <w:rFonts w:hint="default"/>
        <w:sz w:val="22"/>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552D5BD2"/>
    <w:multiLevelType w:val="hybridMultilevel"/>
    <w:tmpl w:val="AE846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9B6D45"/>
    <w:multiLevelType w:val="hybridMultilevel"/>
    <w:tmpl w:val="B202ABF2"/>
    <w:lvl w:ilvl="0" w:tplc="0809000F">
      <w:start w:val="1"/>
      <w:numFmt w:val="decimal"/>
      <w:lvlText w:val="%1."/>
      <w:lvlJc w:val="left"/>
      <w:pPr>
        <w:ind w:left="1146"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037B39"/>
    <w:multiLevelType w:val="hybridMultilevel"/>
    <w:tmpl w:val="12883A2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5BBE589D"/>
    <w:multiLevelType w:val="hybridMultilevel"/>
    <w:tmpl w:val="72663D40"/>
    <w:lvl w:ilvl="0" w:tplc="08090003">
      <w:start w:val="1"/>
      <w:numFmt w:val="bullet"/>
      <w:lvlText w:val="o"/>
      <w:lvlJc w:val="left"/>
      <w:pPr>
        <w:ind w:left="2160" w:hanging="720"/>
      </w:pPr>
      <w:rPr>
        <w:rFonts w:ascii="Courier New" w:hAnsi="Courier New" w:cs="Courier New" w:hint="default"/>
      </w:rPr>
    </w:lvl>
    <w:lvl w:ilvl="1" w:tplc="08090003">
      <w:start w:val="1"/>
      <w:numFmt w:val="bullet"/>
      <w:lvlText w:val="o"/>
      <w:lvlJc w:val="left"/>
      <w:pPr>
        <w:ind w:left="2454" w:hanging="360"/>
      </w:pPr>
      <w:rPr>
        <w:rFonts w:ascii="Courier New" w:hAnsi="Courier New" w:cs="Courier New" w:hint="default"/>
      </w:rPr>
    </w:lvl>
    <w:lvl w:ilvl="2" w:tplc="0809001B">
      <w:start w:val="1"/>
      <w:numFmt w:val="lowerRoman"/>
      <w:lvlText w:val="%3."/>
      <w:lvlJc w:val="right"/>
      <w:pPr>
        <w:ind w:left="3174" w:hanging="180"/>
      </w:pPr>
    </w:lvl>
    <w:lvl w:ilvl="3" w:tplc="0809000F" w:tentative="1">
      <w:start w:val="1"/>
      <w:numFmt w:val="decimal"/>
      <w:lvlText w:val="%4."/>
      <w:lvlJc w:val="left"/>
      <w:pPr>
        <w:ind w:left="3894" w:hanging="360"/>
      </w:pPr>
    </w:lvl>
    <w:lvl w:ilvl="4" w:tplc="08090019" w:tentative="1">
      <w:start w:val="1"/>
      <w:numFmt w:val="lowerLetter"/>
      <w:lvlText w:val="%5."/>
      <w:lvlJc w:val="left"/>
      <w:pPr>
        <w:ind w:left="4614" w:hanging="360"/>
      </w:pPr>
    </w:lvl>
    <w:lvl w:ilvl="5" w:tplc="0809001B" w:tentative="1">
      <w:start w:val="1"/>
      <w:numFmt w:val="lowerRoman"/>
      <w:lvlText w:val="%6."/>
      <w:lvlJc w:val="right"/>
      <w:pPr>
        <w:ind w:left="5334" w:hanging="180"/>
      </w:pPr>
    </w:lvl>
    <w:lvl w:ilvl="6" w:tplc="0809000F" w:tentative="1">
      <w:start w:val="1"/>
      <w:numFmt w:val="decimal"/>
      <w:lvlText w:val="%7."/>
      <w:lvlJc w:val="left"/>
      <w:pPr>
        <w:ind w:left="6054" w:hanging="360"/>
      </w:pPr>
    </w:lvl>
    <w:lvl w:ilvl="7" w:tplc="08090019" w:tentative="1">
      <w:start w:val="1"/>
      <w:numFmt w:val="lowerLetter"/>
      <w:lvlText w:val="%8."/>
      <w:lvlJc w:val="left"/>
      <w:pPr>
        <w:ind w:left="6774" w:hanging="360"/>
      </w:pPr>
    </w:lvl>
    <w:lvl w:ilvl="8" w:tplc="0809001B" w:tentative="1">
      <w:start w:val="1"/>
      <w:numFmt w:val="lowerRoman"/>
      <w:lvlText w:val="%9."/>
      <w:lvlJc w:val="right"/>
      <w:pPr>
        <w:ind w:left="7494" w:hanging="180"/>
      </w:pPr>
    </w:lvl>
  </w:abstractNum>
  <w:abstractNum w:abstractNumId="28">
    <w:nsid w:val="5CAE4944"/>
    <w:multiLevelType w:val="hybridMultilevel"/>
    <w:tmpl w:val="F9EC968A"/>
    <w:lvl w:ilvl="0" w:tplc="08090011">
      <w:start w:val="1"/>
      <w:numFmt w:val="decimal"/>
      <w:lvlText w:val="%1)"/>
      <w:lvlJc w:val="lef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5CCD5BFD"/>
    <w:multiLevelType w:val="hybridMultilevel"/>
    <w:tmpl w:val="A692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1F7D56"/>
    <w:multiLevelType w:val="hybridMultilevel"/>
    <w:tmpl w:val="1EFADF3E"/>
    <w:lvl w:ilvl="0" w:tplc="14CAD4D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9A62C6"/>
    <w:multiLevelType w:val="hybridMultilevel"/>
    <w:tmpl w:val="B202ABF2"/>
    <w:lvl w:ilvl="0" w:tplc="0809000F">
      <w:start w:val="1"/>
      <w:numFmt w:val="decimal"/>
      <w:lvlText w:val="%1."/>
      <w:lvlJc w:val="left"/>
      <w:pPr>
        <w:ind w:left="1146"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E86FD3"/>
    <w:multiLevelType w:val="hybridMultilevel"/>
    <w:tmpl w:val="5D32C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D858B4"/>
    <w:multiLevelType w:val="hybridMultilevel"/>
    <w:tmpl w:val="660425DE"/>
    <w:lvl w:ilvl="0" w:tplc="08090001">
      <w:start w:val="1"/>
      <w:numFmt w:val="bullet"/>
      <w:lvlText w:val=""/>
      <w:lvlJc w:val="left"/>
      <w:pPr>
        <w:ind w:left="2160" w:hanging="720"/>
      </w:pPr>
      <w:rPr>
        <w:rFonts w:ascii="Symbol" w:hAnsi="Symbol" w:hint="default"/>
      </w:rPr>
    </w:lvl>
    <w:lvl w:ilvl="1" w:tplc="08090003">
      <w:start w:val="1"/>
      <w:numFmt w:val="bullet"/>
      <w:lvlText w:val="o"/>
      <w:lvlJc w:val="left"/>
      <w:pPr>
        <w:ind w:left="2454" w:hanging="360"/>
      </w:pPr>
      <w:rPr>
        <w:rFonts w:ascii="Courier New" w:hAnsi="Courier New" w:cs="Courier New" w:hint="default"/>
      </w:rPr>
    </w:lvl>
    <w:lvl w:ilvl="2" w:tplc="0809001B">
      <w:start w:val="1"/>
      <w:numFmt w:val="lowerRoman"/>
      <w:lvlText w:val="%3."/>
      <w:lvlJc w:val="right"/>
      <w:pPr>
        <w:ind w:left="3174" w:hanging="180"/>
      </w:pPr>
    </w:lvl>
    <w:lvl w:ilvl="3" w:tplc="0809000F" w:tentative="1">
      <w:start w:val="1"/>
      <w:numFmt w:val="decimal"/>
      <w:lvlText w:val="%4."/>
      <w:lvlJc w:val="left"/>
      <w:pPr>
        <w:ind w:left="3894" w:hanging="360"/>
      </w:pPr>
    </w:lvl>
    <w:lvl w:ilvl="4" w:tplc="08090019" w:tentative="1">
      <w:start w:val="1"/>
      <w:numFmt w:val="lowerLetter"/>
      <w:lvlText w:val="%5."/>
      <w:lvlJc w:val="left"/>
      <w:pPr>
        <w:ind w:left="4614" w:hanging="360"/>
      </w:pPr>
    </w:lvl>
    <w:lvl w:ilvl="5" w:tplc="0809001B" w:tentative="1">
      <w:start w:val="1"/>
      <w:numFmt w:val="lowerRoman"/>
      <w:lvlText w:val="%6."/>
      <w:lvlJc w:val="right"/>
      <w:pPr>
        <w:ind w:left="5334" w:hanging="180"/>
      </w:pPr>
    </w:lvl>
    <w:lvl w:ilvl="6" w:tplc="0809000F" w:tentative="1">
      <w:start w:val="1"/>
      <w:numFmt w:val="decimal"/>
      <w:lvlText w:val="%7."/>
      <w:lvlJc w:val="left"/>
      <w:pPr>
        <w:ind w:left="6054" w:hanging="360"/>
      </w:pPr>
    </w:lvl>
    <w:lvl w:ilvl="7" w:tplc="08090019" w:tentative="1">
      <w:start w:val="1"/>
      <w:numFmt w:val="lowerLetter"/>
      <w:lvlText w:val="%8."/>
      <w:lvlJc w:val="left"/>
      <w:pPr>
        <w:ind w:left="6774" w:hanging="360"/>
      </w:pPr>
    </w:lvl>
    <w:lvl w:ilvl="8" w:tplc="0809001B" w:tentative="1">
      <w:start w:val="1"/>
      <w:numFmt w:val="lowerRoman"/>
      <w:lvlText w:val="%9."/>
      <w:lvlJc w:val="right"/>
      <w:pPr>
        <w:ind w:left="7494" w:hanging="180"/>
      </w:pPr>
    </w:lvl>
  </w:abstractNum>
  <w:abstractNum w:abstractNumId="34">
    <w:nsid w:val="647B05B5"/>
    <w:multiLevelType w:val="hybridMultilevel"/>
    <w:tmpl w:val="4C467B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65927013"/>
    <w:multiLevelType w:val="hybridMultilevel"/>
    <w:tmpl w:val="AB6C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B70C07"/>
    <w:multiLevelType w:val="hybridMultilevel"/>
    <w:tmpl w:val="47E212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nsid w:val="6EA15444"/>
    <w:multiLevelType w:val="hybridMultilevel"/>
    <w:tmpl w:val="DEDC4DF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nsid w:val="7F6E6125"/>
    <w:multiLevelType w:val="hybridMultilevel"/>
    <w:tmpl w:val="001ECF70"/>
    <w:lvl w:ilvl="0" w:tplc="300A5CC8">
      <w:start w:val="1"/>
      <w:numFmt w:val="decimal"/>
      <w:lvlText w:val="%1.)"/>
      <w:lvlJc w:val="left"/>
      <w:pPr>
        <w:ind w:left="1500" w:hanging="7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9"/>
  </w:num>
  <w:num w:numId="3">
    <w:abstractNumId w:val="10"/>
  </w:num>
  <w:num w:numId="4">
    <w:abstractNumId w:val="35"/>
  </w:num>
  <w:num w:numId="5">
    <w:abstractNumId w:val="19"/>
  </w:num>
  <w:num w:numId="6">
    <w:abstractNumId w:val="9"/>
  </w:num>
  <w:num w:numId="7">
    <w:abstractNumId w:val="36"/>
  </w:num>
  <w:num w:numId="8">
    <w:abstractNumId w:val="11"/>
  </w:num>
  <w:num w:numId="9">
    <w:abstractNumId w:val="37"/>
  </w:num>
  <w:num w:numId="10">
    <w:abstractNumId w:val="13"/>
  </w:num>
  <w:num w:numId="11">
    <w:abstractNumId w:val="16"/>
  </w:num>
  <w:num w:numId="12">
    <w:abstractNumId w:val="0"/>
  </w:num>
  <w:num w:numId="13">
    <w:abstractNumId w:val="31"/>
  </w:num>
  <w:num w:numId="14">
    <w:abstractNumId w:val="26"/>
  </w:num>
  <w:num w:numId="15">
    <w:abstractNumId w:val="34"/>
  </w:num>
  <w:num w:numId="16">
    <w:abstractNumId w:val="4"/>
  </w:num>
  <w:num w:numId="17">
    <w:abstractNumId w:val="14"/>
  </w:num>
  <w:num w:numId="18">
    <w:abstractNumId w:val="30"/>
  </w:num>
  <w:num w:numId="19">
    <w:abstractNumId w:val="38"/>
  </w:num>
  <w:num w:numId="20">
    <w:abstractNumId w:val="8"/>
  </w:num>
  <w:num w:numId="21">
    <w:abstractNumId w:val="17"/>
  </w:num>
  <w:num w:numId="22">
    <w:abstractNumId w:val="15"/>
  </w:num>
  <w:num w:numId="23">
    <w:abstractNumId w:val="18"/>
  </w:num>
  <w:num w:numId="24">
    <w:abstractNumId w:val="1"/>
  </w:num>
  <w:num w:numId="25">
    <w:abstractNumId w:val="5"/>
  </w:num>
  <w:num w:numId="26">
    <w:abstractNumId w:val="20"/>
  </w:num>
  <w:num w:numId="27">
    <w:abstractNumId w:val="27"/>
  </w:num>
  <w:num w:numId="28">
    <w:abstractNumId w:val="21"/>
  </w:num>
  <w:num w:numId="29">
    <w:abstractNumId w:val="28"/>
  </w:num>
  <w:num w:numId="30">
    <w:abstractNumId w:val="25"/>
  </w:num>
  <w:num w:numId="31">
    <w:abstractNumId w:val="7"/>
  </w:num>
  <w:num w:numId="32">
    <w:abstractNumId w:val="22"/>
  </w:num>
  <w:num w:numId="33">
    <w:abstractNumId w:val="24"/>
  </w:num>
  <w:num w:numId="34">
    <w:abstractNumId w:val="32"/>
  </w:num>
  <w:num w:numId="35">
    <w:abstractNumId w:val="6"/>
  </w:num>
  <w:num w:numId="36">
    <w:abstractNumId w:val="33"/>
  </w:num>
  <w:num w:numId="37">
    <w:abstractNumId w:val="23"/>
  </w:num>
  <w:num w:numId="38">
    <w:abstractNumId w:val="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Formatting/>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29"/>
    <w:rsid w:val="0001303B"/>
    <w:rsid w:val="0001432D"/>
    <w:rsid w:val="000167A4"/>
    <w:rsid w:val="000313F3"/>
    <w:rsid w:val="00042DB7"/>
    <w:rsid w:val="00045EC7"/>
    <w:rsid w:val="00071E52"/>
    <w:rsid w:val="000939DF"/>
    <w:rsid w:val="000B4C27"/>
    <w:rsid w:val="000B4D4F"/>
    <w:rsid w:val="000D39B3"/>
    <w:rsid w:val="000D4093"/>
    <w:rsid w:val="000E14FE"/>
    <w:rsid w:val="000E4110"/>
    <w:rsid w:val="001055DC"/>
    <w:rsid w:val="0012096C"/>
    <w:rsid w:val="00155BC8"/>
    <w:rsid w:val="00164ECC"/>
    <w:rsid w:val="00195DD8"/>
    <w:rsid w:val="001A7660"/>
    <w:rsid w:val="001B00EB"/>
    <w:rsid w:val="001B152E"/>
    <w:rsid w:val="001F51AB"/>
    <w:rsid w:val="001F6AEC"/>
    <w:rsid w:val="0020244D"/>
    <w:rsid w:val="00212633"/>
    <w:rsid w:val="0022192B"/>
    <w:rsid w:val="0027390D"/>
    <w:rsid w:val="002829A1"/>
    <w:rsid w:val="002838E1"/>
    <w:rsid w:val="00295556"/>
    <w:rsid w:val="002A3754"/>
    <w:rsid w:val="002C756B"/>
    <w:rsid w:val="002E20AC"/>
    <w:rsid w:val="0035071D"/>
    <w:rsid w:val="003651A6"/>
    <w:rsid w:val="00370287"/>
    <w:rsid w:val="0038247F"/>
    <w:rsid w:val="003B250F"/>
    <w:rsid w:val="003B2991"/>
    <w:rsid w:val="003C509D"/>
    <w:rsid w:val="003D6AB7"/>
    <w:rsid w:val="003F09D4"/>
    <w:rsid w:val="003F3972"/>
    <w:rsid w:val="003F4FE1"/>
    <w:rsid w:val="00413513"/>
    <w:rsid w:val="004261B9"/>
    <w:rsid w:val="00433FA9"/>
    <w:rsid w:val="00434C2A"/>
    <w:rsid w:val="004724E4"/>
    <w:rsid w:val="00474296"/>
    <w:rsid w:val="004930AE"/>
    <w:rsid w:val="004A207E"/>
    <w:rsid w:val="004B09CE"/>
    <w:rsid w:val="004B7853"/>
    <w:rsid w:val="004C78C2"/>
    <w:rsid w:val="00510F23"/>
    <w:rsid w:val="00543F9A"/>
    <w:rsid w:val="00550503"/>
    <w:rsid w:val="00552C7F"/>
    <w:rsid w:val="00556C08"/>
    <w:rsid w:val="00570DEA"/>
    <w:rsid w:val="00575043"/>
    <w:rsid w:val="00581AF0"/>
    <w:rsid w:val="00583434"/>
    <w:rsid w:val="005F35E5"/>
    <w:rsid w:val="005F5476"/>
    <w:rsid w:val="0060186E"/>
    <w:rsid w:val="00617FF1"/>
    <w:rsid w:val="0064500F"/>
    <w:rsid w:val="006645E2"/>
    <w:rsid w:val="00665F0B"/>
    <w:rsid w:val="00684A91"/>
    <w:rsid w:val="006A3C56"/>
    <w:rsid w:val="006A553D"/>
    <w:rsid w:val="006C7922"/>
    <w:rsid w:val="006C7C91"/>
    <w:rsid w:val="006D405D"/>
    <w:rsid w:val="0071198F"/>
    <w:rsid w:val="00720A95"/>
    <w:rsid w:val="007516FC"/>
    <w:rsid w:val="00757299"/>
    <w:rsid w:val="007860A9"/>
    <w:rsid w:val="0079772A"/>
    <w:rsid w:val="007C7D7D"/>
    <w:rsid w:val="00800861"/>
    <w:rsid w:val="00831129"/>
    <w:rsid w:val="00836046"/>
    <w:rsid w:val="00856877"/>
    <w:rsid w:val="008732A1"/>
    <w:rsid w:val="00874D0E"/>
    <w:rsid w:val="008B7384"/>
    <w:rsid w:val="008D0485"/>
    <w:rsid w:val="00906808"/>
    <w:rsid w:val="00924E1A"/>
    <w:rsid w:val="00937E1A"/>
    <w:rsid w:val="00960F5A"/>
    <w:rsid w:val="00963090"/>
    <w:rsid w:val="00980104"/>
    <w:rsid w:val="00994B4F"/>
    <w:rsid w:val="009D3B8E"/>
    <w:rsid w:val="009D735D"/>
    <w:rsid w:val="00A006C4"/>
    <w:rsid w:val="00A455A4"/>
    <w:rsid w:val="00A9488C"/>
    <w:rsid w:val="00A968E9"/>
    <w:rsid w:val="00AB3999"/>
    <w:rsid w:val="00AB52E4"/>
    <w:rsid w:val="00AD18A1"/>
    <w:rsid w:val="00B01C5F"/>
    <w:rsid w:val="00B10FE9"/>
    <w:rsid w:val="00B12B12"/>
    <w:rsid w:val="00B22141"/>
    <w:rsid w:val="00B26692"/>
    <w:rsid w:val="00B27B99"/>
    <w:rsid w:val="00B90CD7"/>
    <w:rsid w:val="00BA51D9"/>
    <w:rsid w:val="00BB66E7"/>
    <w:rsid w:val="00BE17FD"/>
    <w:rsid w:val="00BE7404"/>
    <w:rsid w:val="00C05474"/>
    <w:rsid w:val="00C20862"/>
    <w:rsid w:val="00C23C6B"/>
    <w:rsid w:val="00C359F5"/>
    <w:rsid w:val="00C570F9"/>
    <w:rsid w:val="00C57B14"/>
    <w:rsid w:val="00C71598"/>
    <w:rsid w:val="00C75633"/>
    <w:rsid w:val="00CD02E3"/>
    <w:rsid w:val="00CD1CFA"/>
    <w:rsid w:val="00CD238B"/>
    <w:rsid w:val="00CE2AE4"/>
    <w:rsid w:val="00D035FB"/>
    <w:rsid w:val="00D15D47"/>
    <w:rsid w:val="00D17B0B"/>
    <w:rsid w:val="00D2019B"/>
    <w:rsid w:val="00D210F0"/>
    <w:rsid w:val="00D224DC"/>
    <w:rsid w:val="00D24FE1"/>
    <w:rsid w:val="00D3760C"/>
    <w:rsid w:val="00D56B36"/>
    <w:rsid w:val="00D93619"/>
    <w:rsid w:val="00D9447B"/>
    <w:rsid w:val="00D977D0"/>
    <w:rsid w:val="00DA4B44"/>
    <w:rsid w:val="00DB3183"/>
    <w:rsid w:val="00DB579B"/>
    <w:rsid w:val="00DD25C7"/>
    <w:rsid w:val="00DF1BAC"/>
    <w:rsid w:val="00DF5C4F"/>
    <w:rsid w:val="00DF6919"/>
    <w:rsid w:val="00E00A22"/>
    <w:rsid w:val="00E24DAC"/>
    <w:rsid w:val="00E56D9E"/>
    <w:rsid w:val="00E802DD"/>
    <w:rsid w:val="00E9302A"/>
    <w:rsid w:val="00EB0DF7"/>
    <w:rsid w:val="00EB2261"/>
    <w:rsid w:val="00ED395B"/>
    <w:rsid w:val="00F46E7E"/>
    <w:rsid w:val="00F61695"/>
    <w:rsid w:val="00F96F40"/>
    <w:rsid w:val="00F97B2A"/>
    <w:rsid w:val="00FA5FA9"/>
    <w:rsid w:val="00FB692D"/>
    <w:rsid w:val="00FE3CD3"/>
    <w:rsid w:val="00FF0777"/>
    <w:rsid w:val="00FF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2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38B"/>
    <w:pPr>
      <w:spacing w:after="200" w:line="276" w:lineRule="auto"/>
      <w:ind w:left="720"/>
      <w:contextualSpacing/>
    </w:pPr>
    <w:rPr>
      <w:rFonts w:ascii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3F4FE1"/>
    <w:rPr>
      <w:sz w:val="16"/>
      <w:szCs w:val="16"/>
    </w:rPr>
  </w:style>
  <w:style w:type="paragraph" w:styleId="CommentText">
    <w:name w:val="annotation text"/>
    <w:basedOn w:val="Normal"/>
    <w:link w:val="CommentTextChar"/>
    <w:uiPriority w:val="99"/>
    <w:semiHidden/>
    <w:unhideWhenUsed/>
    <w:rsid w:val="003F4FE1"/>
    <w:rPr>
      <w:sz w:val="20"/>
      <w:szCs w:val="20"/>
    </w:rPr>
  </w:style>
  <w:style w:type="character" w:customStyle="1" w:styleId="CommentTextChar">
    <w:name w:val="Comment Text Char"/>
    <w:basedOn w:val="DefaultParagraphFont"/>
    <w:link w:val="CommentText"/>
    <w:uiPriority w:val="99"/>
    <w:semiHidden/>
    <w:rsid w:val="003F4FE1"/>
    <w:rPr>
      <w:sz w:val="20"/>
      <w:szCs w:val="20"/>
    </w:rPr>
  </w:style>
  <w:style w:type="paragraph" w:styleId="CommentSubject">
    <w:name w:val="annotation subject"/>
    <w:basedOn w:val="CommentText"/>
    <w:next w:val="CommentText"/>
    <w:link w:val="CommentSubjectChar"/>
    <w:uiPriority w:val="99"/>
    <w:semiHidden/>
    <w:unhideWhenUsed/>
    <w:rsid w:val="003F4FE1"/>
    <w:rPr>
      <w:b/>
      <w:bCs/>
    </w:rPr>
  </w:style>
  <w:style w:type="character" w:customStyle="1" w:styleId="CommentSubjectChar">
    <w:name w:val="Comment Subject Char"/>
    <w:basedOn w:val="CommentTextChar"/>
    <w:link w:val="CommentSubject"/>
    <w:uiPriority w:val="99"/>
    <w:semiHidden/>
    <w:rsid w:val="003F4FE1"/>
    <w:rPr>
      <w:b/>
      <w:bCs/>
      <w:sz w:val="20"/>
      <w:szCs w:val="20"/>
    </w:rPr>
  </w:style>
  <w:style w:type="paragraph" w:styleId="BalloonText">
    <w:name w:val="Balloon Text"/>
    <w:basedOn w:val="Normal"/>
    <w:link w:val="BalloonTextChar"/>
    <w:uiPriority w:val="99"/>
    <w:semiHidden/>
    <w:unhideWhenUsed/>
    <w:rsid w:val="003F4FE1"/>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3F4FE1"/>
    <w:rPr>
      <w:rFonts w:ascii="Tahoma" w:hAnsi="Tahoma" w:cs="Tahoma"/>
      <w:sz w:val="16"/>
      <w:szCs w:val="16"/>
    </w:rPr>
  </w:style>
  <w:style w:type="character" w:styleId="Hyperlink">
    <w:name w:val="Hyperlink"/>
    <w:basedOn w:val="DefaultParagraphFont"/>
    <w:uiPriority w:val="99"/>
    <w:unhideWhenUsed/>
    <w:rsid w:val="004724E4"/>
    <w:rPr>
      <w:color w:val="0000FF" w:themeColor="hyperlink"/>
      <w:u w:val="single"/>
    </w:rPr>
  </w:style>
  <w:style w:type="paragraph" w:styleId="FootnoteText">
    <w:name w:val="footnote text"/>
    <w:basedOn w:val="Normal"/>
    <w:link w:val="FootnoteTextChar"/>
    <w:semiHidden/>
    <w:rsid w:val="005F35E5"/>
    <w:rPr>
      <w:rFonts w:eastAsia="Times New Roman"/>
      <w:sz w:val="20"/>
      <w:szCs w:val="20"/>
      <w:lang w:val="en-US" w:eastAsia="en-US"/>
    </w:rPr>
  </w:style>
  <w:style w:type="character" w:customStyle="1" w:styleId="FootnoteTextChar">
    <w:name w:val="Footnote Text Char"/>
    <w:basedOn w:val="DefaultParagraphFont"/>
    <w:link w:val="FootnoteText"/>
    <w:semiHidden/>
    <w:rsid w:val="005F35E5"/>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5F35E5"/>
    <w:rPr>
      <w:rFonts w:cs="Times New Roman"/>
      <w:vertAlign w:val="superscript"/>
    </w:rPr>
  </w:style>
  <w:style w:type="table" w:styleId="TableGrid">
    <w:name w:val="Table Grid"/>
    <w:basedOn w:val="TableNormal"/>
    <w:rsid w:val="00413513"/>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FE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D6AB7"/>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3D6AB7"/>
  </w:style>
  <w:style w:type="paragraph" w:styleId="Footer">
    <w:name w:val="footer"/>
    <w:basedOn w:val="Normal"/>
    <w:link w:val="FooterChar"/>
    <w:uiPriority w:val="99"/>
    <w:unhideWhenUsed/>
    <w:rsid w:val="003D6AB7"/>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3D6AB7"/>
  </w:style>
  <w:style w:type="character" w:customStyle="1" w:styleId="st1">
    <w:name w:val="st1"/>
    <w:basedOn w:val="DefaultParagraphFont"/>
    <w:rsid w:val="001F6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2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38B"/>
    <w:pPr>
      <w:spacing w:after="200" w:line="276" w:lineRule="auto"/>
      <w:ind w:left="720"/>
      <w:contextualSpacing/>
    </w:pPr>
    <w:rPr>
      <w:rFonts w:ascii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3F4FE1"/>
    <w:rPr>
      <w:sz w:val="16"/>
      <w:szCs w:val="16"/>
    </w:rPr>
  </w:style>
  <w:style w:type="paragraph" w:styleId="CommentText">
    <w:name w:val="annotation text"/>
    <w:basedOn w:val="Normal"/>
    <w:link w:val="CommentTextChar"/>
    <w:uiPriority w:val="99"/>
    <w:semiHidden/>
    <w:unhideWhenUsed/>
    <w:rsid w:val="003F4FE1"/>
    <w:rPr>
      <w:sz w:val="20"/>
      <w:szCs w:val="20"/>
    </w:rPr>
  </w:style>
  <w:style w:type="character" w:customStyle="1" w:styleId="CommentTextChar">
    <w:name w:val="Comment Text Char"/>
    <w:basedOn w:val="DefaultParagraphFont"/>
    <w:link w:val="CommentText"/>
    <w:uiPriority w:val="99"/>
    <w:semiHidden/>
    <w:rsid w:val="003F4FE1"/>
    <w:rPr>
      <w:sz w:val="20"/>
      <w:szCs w:val="20"/>
    </w:rPr>
  </w:style>
  <w:style w:type="paragraph" w:styleId="CommentSubject">
    <w:name w:val="annotation subject"/>
    <w:basedOn w:val="CommentText"/>
    <w:next w:val="CommentText"/>
    <w:link w:val="CommentSubjectChar"/>
    <w:uiPriority w:val="99"/>
    <w:semiHidden/>
    <w:unhideWhenUsed/>
    <w:rsid w:val="003F4FE1"/>
    <w:rPr>
      <w:b/>
      <w:bCs/>
    </w:rPr>
  </w:style>
  <w:style w:type="character" w:customStyle="1" w:styleId="CommentSubjectChar">
    <w:name w:val="Comment Subject Char"/>
    <w:basedOn w:val="CommentTextChar"/>
    <w:link w:val="CommentSubject"/>
    <w:uiPriority w:val="99"/>
    <w:semiHidden/>
    <w:rsid w:val="003F4FE1"/>
    <w:rPr>
      <w:b/>
      <w:bCs/>
      <w:sz w:val="20"/>
      <w:szCs w:val="20"/>
    </w:rPr>
  </w:style>
  <w:style w:type="paragraph" w:styleId="BalloonText">
    <w:name w:val="Balloon Text"/>
    <w:basedOn w:val="Normal"/>
    <w:link w:val="BalloonTextChar"/>
    <w:uiPriority w:val="99"/>
    <w:semiHidden/>
    <w:unhideWhenUsed/>
    <w:rsid w:val="003F4FE1"/>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3F4FE1"/>
    <w:rPr>
      <w:rFonts w:ascii="Tahoma" w:hAnsi="Tahoma" w:cs="Tahoma"/>
      <w:sz w:val="16"/>
      <w:szCs w:val="16"/>
    </w:rPr>
  </w:style>
  <w:style w:type="character" w:styleId="Hyperlink">
    <w:name w:val="Hyperlink"/>
    <w:basedOn w:val="DefaultParagraphFont"/>
    <w:uiPriority w:val="99"/>
    <w:unhideWhenUsed/>
    <w:rsid w:val="004724E4"/>
    <w:rPr>
      <w:color w:val="0000FF" w:themeColor="hyperlink"/>
      <w:u w:val="single"/>
    </w:rPr>
  </w:style>
  <w:style w:type="paragraph" w:styleId="FootnoteText">
    <w:name w:val="footnote text"/>
    <w:basedOn w:val="Normal"/>
    <w:link w:val="FootnoteTextChar"/>
    <w:semiHidden/>
    <w:rsid w:val="005F35E5"/>
    <w:rPr>
      <w:rFonts w:eastAsia="Times New Roman"/>
      <w:sz w:val="20"/>
      <w:szCs w:val="20"/>
      <w:lang w:val="en-US" w:eastAsia="en-US"/>
    </w:rPr>
  </w:style>
  <w:style w:type="character" w:customStyle="1" w:styleId="FootnoteTextChar">
    <w:name w:val="Footnote Text Char"/>
    <w:basedOn w:val="DefaultParagraphFont"/>
    <w:link w:val="FootnoteText"/>
    <w:semiHidden/>
    <w:rsid w:val="005F35E5"/>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5F35E5"/>
    <w:rPr>
      <w:rFonts w:cs="Times New Roman"/>
      <w:vertAlign w:val="superscript"/>
    </w:rPr>
  </w:style>
  <w:style w:type="table" w:styleId="TableGrid">
    <w:name w:val="Table Grid"/>
    <w:basedOn w:val="TableNormal"/>
    <w:rsid w:val="00413513"/>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FE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D6AB7"/>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3D6AB7"/>
  </w:style>
  <w:style w:type="paragraph" w:styleId="Footer">
    <w:name w:val="footer"/>
    <w:basedOn w:val="Normal"/>
    <w:link w:val="FooterChar"/>
    <w:uiPriority w:val="99"/>
    <w:unhideWhenUsed/>
    <w:rsid w:val="003D6AB7"/>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3D6AB7"/>
  </w:style>
  <w:style w:type="character" w:customStyle="1" w:styleId="st1">
    <w:name w:val="st1"/>
    <w:basedOn w:val="DefaultParagraphFont"/>
    <w:rsid w:val="001F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5722">
      <w:bodyDiv w:val="1"/>
      <w:marLeft w:val="0"/>
      <w:marRight w:val="0"/>
      <w:marTop w:val="0"/>
      <w:marBottom w:val="0"/>
      <w:divBdr>
        <w:top w:val="none" w:sz="0" w:space="0" w:color="auto"/>
        <w:left w:val="none" w:sz="0" w:space="0" w:color="auto"/>
        <w:bottom w:val="none" w:sz="0" w:space="0" w:color="auto"/>
        <w:right w:val="none" w:sz="0" w:space="0" w:color="auto"/>
      </w:divBdr>
    </w:div>
    <w:div w:id="798691408">
      <w:bodyDiv w:val="1"/>
      <w:marLeft w:val="0"/>
      <w:marRight w:val="0"/>
      <w:marTop w:val="0"/>
      <w:marBottom w:val="0"/>
      <w:divBdr>
        <w:top w:val="none" w:sz="0" w:space="0" w:color="auto"/>
        <w:left w:val="none" w:sz="0" w:space="0" w:color="auto"/>
        <w:bottom w:val="none" w:sz="0" w:space="0" w:color="auto"/>
        <w:right w:val="none" w:sz="0" w:space="0" w:color="auto"/>
      </w:divBdr>
    </w:div>
    <w:div w:id="1250116902">
      <w:bodyDiv w:val="1"/>
      <w:marLeft w:val="0"/>
      <w:marRight w:val="0"/>
      <w:marTop w:val="0"/>
      <w:marBottom w:val="0"/>
      <w:divBdr>
        <w:top w:val="none" w:sz="0" w:space="0" w:color="auto"/>
        <w:left w:val="none" w:sz="0" w:space="0" w:color="auto"/>
        <w:bottom w:val="none" w:sz="0" w:space="0" w:color="auto"/>
        <w:right w:val="none" w:sz="0" w:space="0" w:color="auto"/>
      </w:divBdr>
    </w:div>
    <w:div w:id="1554999575">
      <w:bodyDiv w:val="1"/>
      <w:marLeft w:val="0"/>
      <w:marRight w:val="0"/>
      <w:marTop w:val="0"/>
      <w:marBottom w:val="0"/>
      <w:divBdr>
        <w:top w:val="none" w:sz="0" w:space="0" w:color="auto"/>
        <w:left w:val="none" w:sz="0" w:space="0" w:color="auto"/>
        <w:bottom w:val="none" w:sz="0" w:space="0" w:color="auto"/>
        <w:right w:val="none" w:sz="0" w:space="0" w:color="auto"/>
      </w:divBdr>
    </w:div>
    <w:div w:id="1572931697">
      <w:bodyDiv w:val="1"/>
      <w:marLeft w:val="0"/>
      <w:marRight w:val="0"/>
      <w:marTop w:val="0"/>
      <w:marBottom w:val="0"/>
      <w:divBdr>
        <w:top w:val="none" w:sz="0" w:space="0" w:color="auto"/>
        <w:left w:val="none" w:sz="0" w:space="0" w:color="auto"/>
        <w:bottom w:val="none" w:sz="0" w:space="0" w:color="auto"/>
        <w:right w:val="none" w:sz="0" w:space="0" w:color="auto"/>
      </w:divBdr>
    </w:div>
    <w:div w:id="1672173338">
      <w:bodyDiv w:val="1"/>
      <w:marLeft w:val="0"/>
      <w:marRight w:val="0"/>
      <w:marTop w:val="0"/>
      <w:marBottom w:val="0"/>
      <w:divBdr>
        <w:top w:val="none" w:sz="0" w:space="0" w:color="auto"/>
        <w:left w:val="none" w:sz="0" w:space="0" w:color="auto"/>
        <w:bottom w:val="none" w:sz="0" w:space="0" w:color="auto"/>
        <w:right w:val="none" w:sz="0" w:space="0" w:color="auto"/>
      </w:divBdr>
    </w:div>
    <w:div w:id="1839230631">
      <w:bodyDiv w:val="1"/>
      <w:marLeft w:val="0"/>
      <w:marRight w:val="0"/>
      <w:marTop w:val="0"/>
      <w:marBottom w:val="0"/>
      <w:divBdr>
        <w:top w:val="none" w:sz="0" w:space="0" w:color="auto"/>
        <w:left w:val="none" w:sz="0" w:space="0" w:color="auto"/>
        <w:bottom w:val="none" w:sz="0" w:space="0" w:color="auto"/>
        <w:right w:val="none" w:sz="0" w:space="0" w:color="auto"/>
      </w:divBdr>
    </w:div>
    <w:div w:id="190552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ramsar.org/sites/default/files/documents/library/sgf_guidelines_2009_12_f.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layout/>
      <c:overlay val="0"/>
    </c:title>
    <c:autoTitleDeleted val="0"/>
    <c:plotArea>
      <c:layout/>
      <c:scatterChart>
        <c:scatterStyle val="lineMarker"/>
        <c:varyColors val="0"/>
        <c:ser>
          <c:idx val="0"/>
          <c:order val="0"/>
          <c:tx>
            <c:strRef>
              <c:f>'Table 1'!$B$33:$B$34</c:f>
              <c:strCache>
                <c:ptCount val="1"/>
                <c:pt idx="0">
                  <c:v>Final Total allocated  CHF</c:v>
                </c:pt>
              </c:strCache>
            </c:strRef>
          </c:tx>
          <c:dPt>
            <c:idx val="11"/>
            <c:bubble3D val="0"/>
            <c:spPr>
              <a:ln cap="sq"/>
            </c:spPr>
          </c:dPt>
          <c:xVal>
            <c:numRef>
              <c:f>'Table 1'!$A$35:$A$60</c:f>
              <c:numCache>
                <c:formatCode>General</c:formatCode>
                <c:ptCount val="26"/>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xVal>
          <c:yVal>
            <c:numRef>
              <c:f>'Table 1'!$B$35:$B$60</c:f>
              <c:numCache>
                <c:formatCode>#,##0</c:formatCode>
                <c:ptCount val="26"/>
                <c:pt idx="1">
                  <c:v>200025</c:v>
                </c:pt>
                <c:pt idx="2">
                  <c:v>280566</c:v>
                </c:pt>
                <c:pt idx="3">
                  <c:v>469880</c:v>
                </c:pt>
                <c:pt idx="4">
                  <c:v>371360</c:v>
                </c:pt>
                <c:pt idx="5">
                  <c:v>346530</c:v>
                </c:pt>
                <c:pt idx="6">
                  <c:v>403150</c:v>
                </c:pt>
                <c:pt idx="7">
                  <c:v>1064840</c:v>
                </c:pt>
                <c:pt idx="8">
                  <c:v>679470</c:v>
                </c:pt>
                <c:pt idx="9">
                  <c:v>602297</c:v>
                </c:pt>
                <c:pt idx="10">
                  <c:v>420166</c:v>
                </c:pt>
                <c:pt idx="11">
                  <c:v>332807</c:v>
                </c:pt>
                <c:pt idx="12">
                  <c:v>683503</c:v>
                </c:pt>
                <c:pt idx="13">
                  <c:v>341885</c:v>
                </c:pt>
                <c:pt idx="14">
                  <c:v>400235</c:v>
                </c:pt>
                <c:pt idx="15">
                  <c:v>200602</c:v>
                </c:pt>
                <c:pt idx="16">
                  <c:v>445060</c:v>
                </c:pt>
                <c:pt idx="17">
                  <c:v>211619</c:v>
                </c:pt>
                <c:pt idx="18">
                  <c:v>286207</c:v>
                </c:pt>
                <c:pt idx="19">
                  <c:v>256881</c:v>
                </c:pt>
                <c:pt idx="20">
                  <c:v>110232</c:v>
                </c:pt>
                <c:pt idx="21" formatCode="General">
                  <c:v>0</c:v>
                </c:pt>
                <c:pt idx="22">
                  <c:v>289510</c:v>
                </c:pt>
                <c:pt idx="23">
                  <c:v>10413</c:v>
                </c:pt>
                <c:pt idx="24" formatCode="General">
                  <c:v>0</c:v>
                </c:pt>
                <c:pt idx="25" formatCode="General">
                  <c:v>0</c:v>
                </c:pt>
              </c:numCache>
            </c:numRef>
          </c:yVal>
          <c:smooth val="0"/>
        </c:ser>
        <c:dLbls>
          <c:showLegendKey val="0"/>
          <c:showVal val="0"/>
          <c:showCatName val="0"/>
          <c:showSerName val="0"/>
          <c:showPercent val="0"/>
          <c:showBubbleSize val="0"/>
        </c:dLbls>
        <c:axId val="171442752"/>
        <c:axId val="164026560"/>
      </c:scatterChart>
      <c:valAx>
        <c:axId val="171442752"/>
        <c:scaling>
          <c:orientation val="minMax"/>
          <c:max val="2015"/>
          <c:min val="1990"/>
        </c:scaling>
        <c:delete val="0"/>
        <c:axPos val="b"/>
        <c:numFmt formatCode="General" sourceLinked="0"/>
        <c:majorTickMark val="out"/>
        <c:minorTickMark val="none"/>
        <c:tickLblPos val="nextTo"/>
        <c:crossAx val="164026560"/>
        <c:crossesAt val="0"/>
        <c:crossBetween val="midCat"/>
      </c:valAx>
      <c:valAx>
        <c:axId val="164026560"/>
        <c:scaling>
          <c:orientation val="minMax"/>
        </c:scaling>
        <c:delete val="0"/>
        <c:axPos val="l"/>
        <c:majorGridlines>
          <c:spPr>
            <a:effectLst>
              <a:outerShdw blurRad="50800" dist="38100" dir="5400000" algn="t" rotWithShape="0">
                <a:prstClr val="black">
                  <a:alpha val="40000"/>
                </a:prstClr>
              </a:outerShdw>
            </a:effectLst>
          </c:spPr>
        </c:majorGridlines>
        <c:numFmt formatCode="#,##0.00" sourceLinked="0"/>
        <c:majorTickMark val="out"/>
        <c:minorTickMark val="none"/>
        <c:tickLblPos val="nextTo"/>
        <c:crossAx val="171442752"/>
        <c:crosses val="autoZero"/>
        <c:crossBetween val="midCat"/>
      </c:valAx>
      <c:spPr>
        <a:solidFill>
          <a:schemeClr val="accent1">
            <a:alpha val="11000"/>
          </a:schemeClr>
        </a:solidFill>
        <a:ln>
          <a:solidFill>
            <a:schemeClr val="tx1">
              <a:alpha val="68000"/>
            </a:schemeClr>
          </a:solidFill>
        </a:ln>
        <a:effectLst>
          <a:outerShdw blurRad="50800" dist="38100" dir="2700000" algn="tl" rotWithShape="0">
            <a:prstClr val="black">
              <a:alpha val="40000"/>
            </a:prstClr>
          </a:outerShdw>
        </a:effectLst>
        <a:scene3d>
          <a:camera prst="orthographicFront"/>
          <a:lightRig rig="threePt" dir="t"/>
        </a:scene3d>
        <a:sp3d>
          <a:bevelT prst="relaxedInset"/>
        </a:sp3d>
      </c:spPr>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0.02894</cdr:x>
      <cdr:y>0.01461</cdr:y>
    </cdr:from>
    <cdr:to>
      <cdr:x>0.13658</cdr:x>
      <cdr:y>0.1098</cdr:y>
    </cdr:to>
    <cdr:sp macro="" textlink="">
      <cdr:nvSpPr>
        <cdr:cNvPr id="2" name="TextBox 1"/>
        <cdr:cNvSpPr txBox="1"/>
      </cdr:nvSpPr>
      <cdr:spPr>
        <a:xfrm xmlns:a="http://schemas.openxmlformats.org/drawingml/2006/main">
          <a:off x="165870" y="41821"/>
          <a:ext cx="616940" cy="2725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CHF</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DFE89-969D-4A08-A2B1-A6C1F7F5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1944</Words>
  <Characters>10523</Characters>
  <Application>Microsoft Office Word</Application>
  <DocSecurity>0</DocSecurity>
  <Lines>309</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Ramsar\CadmusR</dc:creator>
  <cp:lastModifiedBy>Ramsar\JenningsE</cp:lastModifiedBy>
  <cp:revision>3</cp:revision>
  <cp:lastPrinted>2015-08-17T22:29:00Z</cp:lastPrinted>
  <dcterms:created xsi:type="dcterms:W3CDTF">2015-08-25T13:33:00Z</dcterms:created>
  <dcterms:modified xsi:type="dcterms:W3CDTF">2015-08-25T13:33:00Z</dcterms:modified>
</cp:coreProperties>
</file>