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B7" w:rsidRPr="003D6AB7" w:rsidRDefault="003D6AB7" w:rsidP="003D6AB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eastAsia="en-GB"/>
        </w:rPr>
      </w:pPr>
      <w:r w:rsidRPr="003D6AB7">
        <w:rPr>
          <w:rFonts w:eastAsia="Times New Roman" w:cstheme="minorHAnsi"/>
          <w:bCs/>
          <w:sz w:val="24"/>
          <w:szCs w:val="20"/>
          <w:lang w:eastAsia="en-GB"/>
        </w:rPr>
        <w:t>CONVENTION ON WETLANDS (Ramsar, Iran, 1971)</w:t>
      </w:r>
    </w:p>
    <w:p w:rsidR="003D6AB7" w:rsidRPr="003D6AB7" w:rsidRDefault="003D6AB7" w:rsidP="003D6AB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eastAsia="en-GB"/>
        </w:rPr>
      </w:pPr>
      <w:r w:rsidRPr="003D6AB7">
        <w:rPr>
          <w:rFonts w:eastAsia="Times New Roman" w:cstheme="minorHAnsi"/>
          <w:bCs/>
          <w:sz w:val="24"/>
          <w:szCs w:val="20"/>
          <w:lang w:eastAsia="en-GB"/>
        </w:rPr>
        <w:t>51</w:t>
      </w:r>
      <w:r w:rsidRPr="003D6AB7">
        <w:rPr>
          <w:rFonts w:eastAsia="Times New Roman" w:cstheme="minorHAnsi"/>
          <w:bCs/>
          <w:sz w:val="24"/>
          <w:szCs w:val="20"/>
          <w:vertAlign w:val="superscript"/>
          <w:lang w:eastAsia="en-GB"/>
        </w:rPr>
        <w:t>st</w:t>
      </w:r>
      <w:r w:rsidRPr="003D6AB7">
        <w:rPr>
          <w:rFonts w:eastAsia="Times New Roman" w:cstheme="minorHAnsi"/>
          <w:bCs/>
          <w:sz w:val="24"/>
          <w:szCs w:val="20"/>
          <w:lang w:eastAsia="en-GB"/>
        </w:rPr>
        <w:t xml:space="preserve"> Meeting of the Standing Committee</w:t>
      </w:r>
    </w:p>
    <w:p w:rsidR="003D6AB7" w:rsidRPr="003D6AB7" w:rsidRDefault="003D6AB7" w:rsidP="003D6AB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eastAsia="en-GB"/>
        </w:rPr>
      </w:pPr>
      <w:r w:rsidRPr="003D6AB7">
        <w:rPr>
          <w:rFonts w:eastAsia="Times New Roman" w:cstheme="minorHAnsi"/>
          <w:bCs/>
          <w:sz w:val="24"/>
          <w:szCs w:val="20"/>
          <w:lang w:eastAsia="en-GB"/>
        </w:rPr>
        <w:t>Gland, Switzerland, 23-27 November 2015</w:t>
      </w:r>
    </w:p>
    <w:p w:rsidR="003D6AB7" w:rsidRPr="003D6AB7" w:rsidRDefault="003D6AB7" w:rsidP="003D6AB7">
      <w:pPr>
        <w:spacing w:after="0" w:line="240" w:lineRule="auto"/>
        <w:rPr>
          <w:rFonts w:eastAsia="Times New Roman" w:cs="Times New Roman"/>
          <w:sz w:val="28"/>
          <w:szCs w:val="28"/>
          <w:lang w:eastAsia="en-GB"/>
        </w:rPr>
      </w:pPr>
    </w:p>
    <w:p w:rsidR="003D6AB7" w:rsidRPr="003D6AB7" w:rsidRDefault="003D6AB7" w:rsidP="003D6AB7">
      <w:pPr>
        <w:spacing w:after="0" w:line="240" w:lineRule="auto"/>
        <w:jc w:val="right"/>
        <w:rPr>
          <w:rFonts w:eastAsia="Times New Roman" w:cstheme="minorHAnsi"/>
          <w:b/>
          <w:sz w:val="28"/>
          <w:szCs w:val="28"/>
          <w:lang w:eastAsia="en-GB"/>
        </w:rPr>
      </w:pPr>
      <w:r w:rsidRPr="003D6AB7">
        <w:rPr>
          <w:rFonts w:eastAsia="Times New Roman" w:cstheme="minorHAnsi"/>
          <w:b/>
          <w:sz w:val="28"/>
          <w:szCs w:val="28"/>
          <w:lang w:eastAsia="en-GB"/>
        </w:rPr>
        <w:t>SC51-</w:t>
      </w:r>
      <w:r>
        <w:rPr>
          <w:rFonts w:eastAsia="Times New Roman" w:cstheme="minorHAnsi"/>
          <w:b/>
          <w:sz w:val="28"/>
          <w:szCs w:val="28"/>
          <w:lang w:eastAsia="en-GB"/>
        </w:rPr>
        <w:t>22</w:t>
      </w:r>
    </w:p>
    <w:p w:rsidR="00DD25C7" w:rsidRDefault="00DD25C7" w:rsidP="004B7853">
      <w:pPr>
        <w:spacing w:after="0" w:line="240" w:lineRule="auto"/>
        <w:jc w:val="center"/>
        <w:rPr>
          <w:rFonts w:cs="Times New Roman"/>
          <w:b/>
          <w:sz w:val="28"/>
          <w:szCs w:val="28"/>
        </w:rPr>
      </w:pPr>
    </w:p>
    <w:p w:rsidR="0012096C" w:rsidRPr="003D6AB7" w:rsidRDefault="00550503" w:rsidP="004B7853">
      <w:pPr>
        <w:spacing w:after="0" w:line="240" w:lineRule="auto"/>
        <w:jc w:val="center"/>
        <w:rPr>
          <w:rFonts w:cs="Times New Roman"/>
          <w:b/>
          <w:sz w:val="28"/>
          <w:szCs w:val="28"/>
        </w:rPr>
      </w:pPr>
      <w:r w:rsidRPr="003D6AB7">
        <w:rPr>
          <w:rFonts w:cs="Times New Roman"/>
          <w:b/>
          <w:sz w:val="28"/>
          <w:szCs w:val="28"/>
        </w:rPr>
        <w:t xml:space="preserve">Status </w:t>
      </w:r>
      <w:r w:rsidR="00104286">
        <w:rPr>
          <w:rFonts w:cs="Times New Roman"/>
          <w:b/>
          <w:sz w:val="28"/>
          <w:szCs w:val="28"/>
        </w:rPr>
        <w:t xml:space="preserve">of </w:t>
      </w:r>
      <w:r w:rsidR="0079772A" w:rsidRPr="003D6AB7">
        <w:rPr>
          <w:rFonts w:cs="Times New Roman"/>
          <w:b/>
          <w:sz w:val="28"/>
          <w:szCs w:val="28"/>
        </w:rPr>
        <w:t xml:space="preserve">and </w:t>
      </w:r>
      <w:r w:rsidR="00104286">
        <w:rPr>
          <w:rFonts w:cs="Times New Roman"/>
          <w:b/>
          <w:sz w:val="28"/>
          <w:szCs w:val="28"/>
        </w:rPr>
        <w:t>r</w:t>
      </w:r>
      <w:r w:rsidR="004B09CE" w:rsidRPr="003D6AB7">
        <w:rPr>
          <w:rFonts w:cs="Times New Roman"/>
          <w:b/>
          <w:sz w:val="28"/>
          <w:szCs w:val="28"/>
        </w:rPr>
        <w:t xml:space="preserve">ecommendations for the </w:t>
      </w:r>
      <w:r w:rsidR="00831129" w:rsidRPr="003D6AB7">
        <w:rPr>
          <w:rFonts w:cs="Times New Roman"/>
          <w:b/>
          <w:sz w:val="28"/>
          <w:szCs w:val="28"/>
        </w:rPr>
        <w:t xml:space="preserve">Small Grants </w:t>
      </w:r>
      <w:r w:rsidR="0079772A" w:rsidRPr="003D6AB7">
        <w:rPr>
          <w:rFonts w:cs="Times New Roman"/>
          <w:b/>
          <w:sz w:val="28"/>
          <w:szCs w:val="28"/>
        </w:rPr>
        <w:t>F</w:t>
      </w:r>
      <w:r w:rsidR="00831129" w:rsidRPr="003D6AB7">
        <w:rPr>
          <w:rFonts w:cs="Times New Roman"/>
          <w:b/>
          <w:sz w:val="28"/>
          <w:szCs w:val="28"/>
        </w:rPr>
        <w:t>und</w:t>
      </w:r>
    </w:p>
    <w:p w:rsidR="004B7853" w:rsidRPr="003D6AB7" w:rsidRDefault="004B7853" w:rsidP="004B7853">
      <w:pPr>
        <w:spacing w:after="0" w:line="240" w:lineRule="auto"/>
        <w:jc w:val="center"/>
        <w:rPr>
          <w:rFonts w:cs="Times New Roman"/>
          <w:b/>
          <w:sz w:val="28"/>
          <w:szCs w:val="28"/>
        </w:rPr>
      </w:pPr>
    </w:p>
    <w:p w:rsidR="00550503" w:rsidRPr="004B7853" w:rsidRDefault="004B7853" w:rsidP="00550503">
      <w:pPr>
        <w:spacing w:after="0" w:line="240" w:lineRule="auto"/>
        <w:rPr>
          <w:rFonts w:ascii="Times New Roman" w:hAnsi="Times New Roman" w:cs="Times New Roman"/>
        </w:rPr>
      </w:pPr>
      <w:r w:rsidRPr="004B7853">
        <w:rPr>
          <w:rFonts w:ascii="Times New Roman" w:hAnsi="Times New Roman" w:cs="Times New Roman"/>
          <w:noProof/>
          <w:lang w:eastAsia="en-GB"/>
        </w:rPr>
        <mc:AlternateContent>
          <mc:Choice Requires="wps">
            <w:drawing>
              <wp:inline distT="0" distB="0" distL="0" distR="0" wp14:anchorId="636F1465" wp14:editId="376E6236">
                <wp:extent cx="5676900" cy="669851"/>
                <wp:effectExtent l="0" t="0" r="19050" b="1651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69851"/>
                        </a:xfrm>
                        <a:prstGeom prst="rect">
                          <a:avLst/>
                        </a:prstGeom>
                        <a:solidFill>
                          <a:srgbClr val="FFFFFF"/>
                        </a:solidFill>
                        <a:ln w="9525">
                          <a:solidFill>
                            <a:srgbClr val="000000"/>
                          </a:solidFill>
                          <a:miter lim="800000"/>
                          <a:headEnd/>
                          <a:tailEnd/>
                        </a:ln>
                      </wps:spPr>
                      <wps:txbx>
                        <w:txbxContent>
                          <w:p w:rsidR="003D6AB7" w:rsidRDefault="004B7853" w:rsidP="00C570F9">
                            <w:pPr>
                              <w:pStyle w:val="Default"/>
                              <w:rPr>
                                <w:rFonts w:asciiTheme="minorHAnsi" w:eastAsia="Times New Roman" w:hAnsiTheme="minorHAnsi" w:cs="Times New Roman"/>
                                <w:color w:val="auto"/>
                                <w:sz w:val="22"/>
                                <w:szCs w:val="22"/>
                                <w:lang w:eastAsia="en-GB"/>
                              </w:rPr>
                            </w:pPr>
                            <w:r w:rsidRPr="003D6AB7">
                              <w:rPr>
                                <w:rFonts w:asciiTheme="minorHAnsi" w:eastAsia="Times New Roman" w:hAnsiTheme="minorHAnsi" w:cs="Times New Roman"/>
                                <w:b/>
                                <w:color w:val="auto"/>
                                <w:sz w:val="22"/>
                                <w:szCs w:val="22"/>
                                <w:lang w:eastAsia="en-GB"/>
                              </w:rPr>
                              <w:t>Action requested:</w:t>
                            </w:r>
                            <w:r w:rsidR="00DD25C7">
                              <w:rPr>
                                <w:rFonts w:asciiTheme="minorHAnsi" w:eastAsia="Times New Roman" w:hAnsiTheme="minorHAnsi" w:cs="Times New Roman"/>
                                <w:color w:val="auto"/>
                                <w:sz w:val="22"/>
                                <w:szCs w:val="22"/>
                                <w:lang w:eastAsia="en-GB"/>
                              </w:rPr>
                              <w:t xml:space="preserve"> </w:t>
                            </w:r>
                          </w:p>
                          <w:p w:rsidR="009D735D" w:rsidRPr="003D6AB7" w:rsidRDefault="00D24FE1" w:rsidP="00C570F9">
                            <w:pPr>
                              <w:pStyle w:val="Default"/>
                              <w:rPr>
                                <w:rFonts w:asciiTheme="minorHAnsi" w:eastAsia="Times New Roman" w:hAnsiTheme="minorHAnsi" w:cs="Times New Roman"/>
                                <w:color w:val="auto"/>
                                <w:sz w:val="22"/>
                                <w:szCs w:val="22"/>
                                <w:lang w:eastAsia="en-GB"/>
                              </w:rPr>
                            </w:pPr>
                            <w:r w:rsidRPr="003D6AB7">
                              <w:rPr>
                                <w:rFonts w:asciiTheme="minorHAnsi" w:eastAsia="Times New Roman" w:hAnsiTheme="minorHAnsi" w:cs="Times New Roman"/>
                                <w:color w:val="auto"/>
                                <w:sz w:val="22"/>
                                <w:szCs w:val="22"/>
                                <w:lang w:eastAsia="en-GB"/>
                              </w:rPr>
                              <w:t xml:space="preserve">The </w:t>
                            </w:r>
                            <w:r w:rsidR="00E00A22" w:rsidRPr="003D6AB7">
                              <w:rPr>
                                <w:rFonts w:asciiTheme="minorHAnsi" w:eastAsia="Times New Roman" w:hAnsiTheme="minorHAnsi" w:cs="Times New Roman"/>
                                <w:color w:val="auto"/>
                                <w:sz w:val="22"/>
                                <w:szCs w:val="22"/>
                                <w:lang w:eastAsia="en-GB"/>
                              </w:rPr>
                              <w:t xml:space="preserve">Standing Committee is invited </w:t>
                            </w:r>
                            <w:r w:rsidRPr="003D6AB7">
                              <w:rPr>
                                <w:rFonts w:asciiTheme="minorHAnsi" w:eastAsia="Times New Roman" w:hAnsiTheme="minorHAnsi" w:cs="Times New Roman"/>
                                <w:color w:val="auto"/>
                                <w:sz w:val="22"/>
                                <w:szCs w:val="22"/>
                                <w:lang w:eastAsia="en-GB"/>
                              </w:rPr>
                              <w:t xml:space="preserve">to provide </w:t>
                            </w:r>
                            <w:r w:rsidR="00E00A22" w:rsidRPr="003D6AB7">
                              <w:rPr>
                                <w:rFonts w:asciiTheme="minorHAnsi" w:eastAsia="Times New Roman" w:hAnsiTheme="minorHAnsi" w:cs="Times New Roman"/>
                                <w:color w:val="auto"/>
                                <w:sz w:val="22"/>
                                <w:szCs w:val="22"/>
                                <w:lang w:eastAsia="en-GB"/>
                              </w:rPr>
                              <w:t xml:space="preserve">direction on reforms </w:t>
                            </w:r>
                            <w:r w:rsidR="00AA7908">
                              <w:rPr>
                                <w:rFonts w:asciiTheme="minorHAnsi" w:eastAsia="Times New Roman" w:hAnsiTheme="minorHAnsi" w:cs="Times New Roman"/>
                                <w:color w:val="auto"/>
                                <w:sz w:val="22"/>
                                <w:szCs w:val="22"/>
                                <w:lang w:eastAsia="en-GB"/>
                              </w:rPr>
                              <w:t xml:space="preserve">to the Small Grants Fund </w:t>
                            </w:r>
                            <w:bookmarkStart w:id="0" w:name="_GoBack"/>
                            <w:bookmarkEnd w:id="0"/>
                            <w:r w:rsidR="00E00A22" w:rsidRPr="003D6AB7">
                              <w:rPr>
                                <w:rFonts w:asciiTheme="minorHAnsi" w:eastAsia="Times New Roman" w:hAnsiTheme="minorHAnsi" w:cs="Times New Roman"/>
                                <w:color w:val="auto"/>
                                <w:sz w:val="22"/>
                                <w:szCs w:val="22"/>
                                <w:lang w:eastAsia="en-GB"/>
                              </w:rPr>
                              <w:t>to link it to a direct and consistent funding mechanism</w:t>
                            </w:r>
                            <w:r w:rsidRPr="003D6AB7">
                              <w:rPr>
                                <w:rFonts w:asciiTheme="minorHAnsi" w:eastAsia="Times New Roman" w:hAnsiTheme="minorHAnsi" w:cs="Times New Roman"/>
                                <w:color w:val="auto"/>
                                <w:sz w:val="22"/>
                                <w:szCs w:val="22"/>
                                <w:lang w:eastAsia="en-GB"/>
                              </w:rPr>
                              <w:t>.</w:t>
                            </w:r>
                            <w:r w:rsidR="00DD25C7">
                              <w:rPr>
                                <w:rFonts w:asciiTheme="minorHAnsi" w:eastAsia="Times New Roman" w:hAnsiTheme="minorHAnsi" w:cs="Times New Roman"/>
                                <w:color w:val="auto"/>
                                <w:sz w:val="22"/>
                                <w:szCs w:val="22"/>
                                <w:lang w:eastAsia="en-GB"/>
                              </w:rPr>
                              <w:t xml:space="preserve"> </w:t>
                            </w:r>
                          </w:p>
                          <w:p w:rsidR="00AB3999" w:rsidRPr="00AB3999" w:rsidRDefault="00AB3999" w:rsidP="00AB3999">
                            <w:pPr>
                              <w:rPr>
                                <w:rFonts w:ascii="Times New Roman" w:hAnsi="Times New Roman" w:cs="Times New Roman"/>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7pt;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">
                <v:textbox>
                  <w:txbxContent>
                    <w:p w:rsidR="003D6AB7" w:rsidRDefault="004B7853" w:rsidP="00C570F9">
                      <w:pPr>
                        <w:pStyle w:val="Default"/>
                        <w:rPr>
                          <w:rFonts w:asciiTheme="minorHAnsi" w:eastAsia="Times New Roman" w:hAnsiTheme="minorHAnsi" w:cs="Times New Roman"/>
                          <w:color w:val="auto"/>
                          <w:sz w:val="22"/>
                          <w:szCs w:val="22"/>
                          <w:lang w:eastAsia="en-GB"/>
                        </w:rPr>
                      </w:pPr>
                      <w:r w:rsidRPr="003D6AB7">
                        <w:rPr>
                          <w:rFonts w:asciiTheme="minorHAnsi" w:eastAsia="Times New Roman" w:hAnsiTheme="minorHAnsi" w:cs="Times New Roman"/>
                          <w:b/>
                          <w:color w:val="auto"/>
                          <w:sz w:val="22"/>
                          <w:szCs w:val="22"/>
                          <w:lang w:eastAsia="en-GB"/>
                        </w:rPr>
                        <w:t>Action requested:</w:t>
                      </w:r>
                      <w:r w:rsidR="00DD25C7">
                        <w:rPr>
                          <w:rFonts w:asciiTheme="minorHAnsi" w:eastAsia="Times New Roman" w:hAnsiTheme="minorHAnsi" w:cs="Times New Roman"/>
                          <w:color w:val="auto"/>
                          <w:sz w:val="22"/>
                          <w:szCs w:val="22"/>
                          <w:lang w:eastAsia="en-GB"/>
                        </w:rPr>
                        <w:t xml:space="preserve"> </w:t>
                      </w:r>
                    </w:p>
                    <w:p w:rsidR="009D735D" w:rsidRPr="003D6AB7" w:rsidRDefault="00D24FE1" w:rsidP="00C570F9">
                      <w:pPr>
                        <w:pStyle w:val="Default"/>
                        <w:rPr>
                          <w:rFonts w:asciiTheme="minorHAnsi" w:eastAsia="Times New Roman" w:hAnsiTheme="minorHAnsi" w:cs="Times New Roman"/>
                          <w:color w:val="auto"/>
                          <w:sz w:val="22"/>
                          <w:szCs w:val="22"/>
                          <w:lang w:eastAsia="en-GB"/>
                        </w:rPr>
                      </w:pPr>
                      <w:r w:rsidRPr="003D6AB7">
                        <w:rPr>
                          <w:rFonts w:asciiTheme="minorHAnsi" w:eastAsia="Times New Roman" w:hAnsiTheme="minorHAnsi" w:cs="Times New Roman"/>
                          <w:color w:val="auto"/>
                          <w:sz w:val="22"/>
                          <w:szCs w:val="22"/>
                          <w:lang w:eastAsia="en-GB"/>
                        </w:rPr>
                        <w:t xml:space="preserve">The </w:t>
                      </w:r>
                      <w:r w:rsidR="00E00A22" w:rsidRPr="003D6AB7">
                        <w:rPr>
                          <w:rFonts w:asciiTheme="minorHAnsi" w:eastAsia="Times New Roman" w:hAnsiTheme="minorHAnsi" w:cs="Times New Roman"/>
                          <w:color w:val="auto"/>
                          <w:sz w:val="22"/>
                          <w:szCs w:val="22"/>
                          <w:lang w:eastAsia="en-GB"/>
                        </w:rPr>
                        <w:t xml:space="preserve">Standing Committee is invited </w:t>
                      </w:r>
                      <w:r w:rsidRPr="003D6AB7">
                        <w:rPr>
                          <w:rFonts w:asciiTheme="minorHAnsi" w:eastAsia="Times New Roman" w:hAnsiTheme="minorHAnsi" w:cs="Times New Roman"/>
                          <w:color w:val="auto"/>
                          <w:sz w:val="22"/>
                          <w:szCs w:val="22"/>
                          <w:lang w:eastAsia="en-GB"/>
                        </w:rPr>
                        <w:t xml:space="preserve">to provide </w:t>
                      </w:r>
                      <w:r w:rsidR="00E00A22" w:rsidRPr="003D6AB7">
                        <w:rPr>
                          <w:rFonts w:asciiTheme="minorHAnsi" w:eastAsia="Times New Roman" w:hAnsiTheme="minorHAnsi" w:cs="Times New Roman"/>
                          <w:color w:val="auto"/>
                          <w:sz w:val="22"/>
                          <w:szCs w:val="22"/>
                          <w:lang w:eastAsia="en-GB"/>
                        </w:rPr>
                        <w:t xml:space="preserve">direction on reforms </w:t>
                      </w:r>
                      <w:r w:rsidR="00AA7908">
                        <w:rPr>
                          <w:rFonts w:asciiTheme="minorHAnsi" w:eastAsia="Times New Roman" w:hAnsiTheme="minorHAnsi" w:cs="Times New Roman"/>
                          <w:color w:val="auto"/>
                          <w:sz w:val="22"/>
                          <w:szCs w:val="22"/>
                          <w:lang w:eastAsia="en-GB"/>
                        </w:rPr>
                        <w:t xml:space="preserve">to the Small Grants Fund </w:t>
                      </w:r>
                      <w:bookmarkStart w:id="1" w:name="_GoBack"/>
                      <w:bookmarkEnd w:id="1"/>
                      <w:r w:rsidR="00E00A22" w:rsidRPr="003D6AB7">
                        <w:rPr>
                          <w:rFonts w:asciiTheme="minorHAnsi" w:eastAsia="Times New Roman" w:hAnsiTheme="minorHAnsi" w:cs="Times New Roman"/>
                          <w:color w:val="auto"/>
                          <w:sz w:val="22"/>
                          <w:szCs w:val="22"/>
                          <w:lang w:eastAsia="en-GB"/>
                        </w:rPr>
                        <w:t>to link it to a direct and consistent funding mechanism</w:t>
                      </w:r>
                      <w:r w:rsidRPr="003D6AB7">
                        <w:rPr>
                          <w:rFonts w:asciiTheme="minorHAnsi" w:eastAsia="Times New Roman" w:hAnsiTheme="minorHAnsi" w:cs="Times New Roman"/>
                          <w:color w:val="auto"/>
                          <w:sz w:val="22"/>
                          <w:szCs w:val="22"/>
                          <w:lang w:eastAsia="en-GB"/>
                        </w:rPr>
                        <w:t>.</w:t>
                      </w:r>
                      <w:r w:rsidR="00DD25C7">
                        <w:rPr>
                          <w:rFonts w:asciiTheme="minorHAnsi" w:eastAsia="Times New Roman" w:hAnsiTheme="minorHAnsi" w:cs="Times New Roman"/>
                          <w:color w:val="auto"/>
                          <w:sz w:val="22"/>
                          <w:szCs w:val="22"/>
                          <w:lang w:eastAsia="en-GB"/>
                        </w:rPr>
                        <w:t xml:space="preserve"> </w:t>
                      </w:r>
                    </w:p>
                    <w:p w:rsidR="00AB3999" w:rsidRPr="00AB3999" w:rsidRDefault="00AB3999" w:rsidP="00AB3999">
                      <w:pPr>
                        <w:rPr>
                          <w:rFonts w:ascii="Times New Roman" w:hAnsi="Times New Roman" w:cs="Times New Roman"/>
                        </w:rPr>
                      </w:pPr>
                    </w:p>
                  </w:txbxContent>
                </v:textbox>
                <w10:anchorlock/>
              </v:shape>
            </w:pict>
          </mc:Fallback>
        </mc:AlternateContent>
      </w:r>
    </w:p>
    <w:p w:rsidR="00D24FE1" w:rsidRPr="003D6AB7" w:rsidRDefault="00D24FE1" w:rsidP="003D6AB7">
      <w:pPr>
        <w:spacing w:after="0" w:line="240" w:lineRule="auto"/>
        <w:rPr>
          <w:rFonts w:cs="Times New Roman"/>
          <w:b/>
        </w:rPr>
      </w:pPr>
    </w:p>
    <w:p w:rsidR="003F09D4" w:rsidRPr="003D6AB7" w:rsidRDefault="00800861" w:rsidP="003D6AB7">
      <w:pPr>
        <w:spacing w:after="0" w:line="240" w:lineRule="auto"/>
        <w:rPr>
          <w:rFonts w:cs="Times New Roman"/>
          <w:b/>
        </w:rPr>
      </w:pPr>
      <w:r w:rsidRPr="003D6AB7">
        <w:rPr>
          <w:rFonts w:cs="Times New Roman"/>
          <w:b/>
        </w:rPr>
        <w:t>Introduction</w:t>
      </w:r>
    </w:p>
    <w:p w:rsidR="00800861" w:rsidRPr="003D6AB7" w:rsidRDefault="00800861" w:rsidP="003D6AB7">
      <w:pPr>
        <w:spacing w:after="0" w:line="240" w:lineRule="auto"/>
        <w:rPr>
          <w:rFonts w:cs="Times New Roman"/>
        </w:rPr>
      </w:pPr>
    </w:p>
    <w:p w:rsidR="00AB3999" w:rsidRPr="003D6AB7" w:rsidRDefault="0079772A" w:rsidP="003D6AB7">
      <w:pPr>
        <w:pStyle w:val="ListParagraph"/>
        <w:numPr>
          <w:ilvl w:val="0"/>
          <w:numId w:val="13"/>
        </w:numPr>
        <w:spacing w:after="0" w:line="240" w:lineRule="auto"/>
        <w:ind w:left="426" w:hanging="426"/>
        <w:rPr>
          <w:rFonts w:cs="Times New Roman"/>
        </w:rPr>
      </w:pPr>
      <w:r w:rsidRPr="003D6AB7">
        <w:rPr>
          <w:rFonts w:cs="Times New Roman"/>
        </w:rPr>
        <w:t xml:space="preserve">For </w:t>
      </w:r>
      <w:r w:rsidR="003D6AB7">
        <w:rPr>
          <w:rFonts w:cs="Times New Roman"/>
        </w:rPr>
        <w:t>25</w:t>
      </w:r>
      <w:r w:rsidRPr="003D6AB7">
        <w:rPr>
          <w:rFonts w:cs="Times New Roman"/>
        </w:rPr>
        <w:t xml:space="preserve"> years, the implementation of the Ramsar Convention has been enhanced through grants, supported by </w:t>
      </w:r>
      <w:r w:rsidR="00AB3999" w:rsidRPr="003D6AB7">
        <w:rPr>
          <w:rFonts w:cs="Times New Roman"/>
        </w:rPr>
        <w:t xml:space="preserve">Contracting </w:t>
      </w:r>
      <w:r w:rsidRPr="003D6AB7">
        <w:rPr>
          <w:rFonts w:cs="Times New Roman"/>
        </w:rPr>
        <w:t>Parties</w:t>
      </w:r>
      <w:r w:rsidR="00AB3999" w:rsidRPr="003D6AB7">
        <w:rPr>
          <w:rFonts w:cs="Times New Roman"/>
        </w:rPr>
        <w:t xml:space="preserve"> to the Convention</w:t>
      </w:r>
      <w:r w:rsidR="00DA4B44" w:rsidRPr="003D6AB7">
        <w:rPr>
          <w:rFonts w:cs="Times New Roman"/>
        </w:rPr>
        <w:t xml:space="preserve"> and facilitated by the Ramsar Secretariat</w:t>
      </w:r>
      <w:r w:rsidRPr="003D6AB7">
        <w:rPr>
          <w:rFonts w:cs="Times New Roman"/>
        </w:rPr>
        <w:t>.</w:t>
      </w:r>
      <w:r w:rsidR="00DD25C7">
        <w:rPr>
          <w:rFonts w:cs="Times New Roman"/>
        </w:rPr>
        <w:t xml:space="preserve"> </w:t>
      </w:r>
      <w:r w:rsidR="00BE17FD" w:rsidRPr="003D6AB7">
        <w:rPr>
          <w:rFonts w:cs="Times New Roman"/>
        </w:rPr>
        <w:t xml:space="preserve">The Small Grants Fund </w:t>
      </w:r>
      <w:r w:rsidR="00AB3999" w:rsidRPr="003D6AB7">
        <w:rPr>
          <w:rFonts w:cs="Times New Roman"/>
        </w:rPr>
        <w:t xml:space="preserve">(SGF) </w:t>
      </w:r>
      <w:r w:rsidR="00BE17FD" w:rsidRPr="003D6AB7">
        <w:rPr>
          <w:rFonts w:cs="Times New Roman"/>
        </w:rPr>
        <w:t xml:space="preserve">is one of three established </w:t>
      </w:r>
      <w:r w:rsidR="00AB3999" w:rsidRPr="003D6AB7">
        <w:rPr>
          <w:rFonts w:cs="Times New Roman"/>
        </w:rPr>
        <w:t xml:space="preserve">Ramsar grant </w:t>
      </w:r>
      <w:r w:rsidR="00BE17FD" w:rsidRPr="003D6AB7">
        <w:rPr>
          <w:rFonts w:cs="Times New Roman"/>
        </w:rPr>
        <w:t>funds</w:t>
      </w:r>
      <w:r w:rsidR="00DA4B44" w:rsidRPr="003D6AB7">
        <w:rPr>
          <w:rFonts w:cs="Times New Roman"/>
        </w:rPr>
        <w:t>, together with the Swiss Grants for Africa (SGA) and the Wetlands for the Future Fund (WFF) supported by the USA</w:t>
      </w:r>
      <w:r w:rsidR="00AB3999" w:rsidRPr="003D6AB7">
        <w:rPr>
          <w:rFonts w:cs="Times New Roman"/>
        </w:rPr>
        <w:t>.</w:t>
      </w:r>
      <w:r w:rsidR="00DD25C7">
        <w:rPr>
          <w:rFonts w:cs="Times New Roman"/>
        </w:rPr>
        <w:t xml:space="preserve"> </w:t>
      </w:r>
      <w:r w:rsidR="00DA4B44" w:rsidRPr="003D6AB7">
        <w:rPr>
          <w:rFonts w:cs="Times New Roman"/>
        </w:rPr>
        <w:t>The Small Grants Fund is the only multi-donor grant fund.</w:t>
      </w:r>
    </w:p>
    <w:p w:rsidR="00AB3999" w:rsidRPr="003D6AB7" w:rsidRDefault="00AB3999" w:rsidP="003D6AB7">
      <w:pPr>
        <w:pStyle w:val="ListParagraph"/>
        <w:spacing w:after="0" w:line="240" w:lineRule="auto"/>
        <w:ind w:left="426" w:hanging="426"/>
        <w:rPr>
          <w:rFonts w:cs="Times New Roman"/>
        </w:rPr>
      </w:pPr>
    </w:p>
    <w:p w:rsidR="00FE3CD3" w:rsidRPr="003D6AB7" w:rsidRDefault="00DA4B44" w:rsidP="00DD25C7">
      <w:pPr>
        <w:pStyle w:val="ListParagraph"/>
        <w:numPr>
          <w:ilvl w:val="0"/>
          <w:numId w:val="13"/>
        </w:numPr>
        <w:spacing w:after="0" w:line="240" w:lineRule="auto"/>
        <w:ind w:left="426" w:hanging="426"/>
        <w:rPr>
          <w:rFonts w:cs="Times New Roman"/>
        </w:rPr>
      </w:pPr>
      <w:r w:rsidRPr="003D6AB7">
        <w:rPr>
          <w:rFonts w:cs="Times New Roman"/>
        </w:rPr>
        <w:t xml:space="preserve">In 2012, </w:t>
      </w:r>
      <w:r w:rsidR="004724E4" w:rsidRPr="003D6AB7">
        <w:rPr>
          <w:rFonts w:cs="Times New Roman"/>
        </w:rPr>
        <w:t xml:space="preserve">Resolution XI.2 </w:t>
      </w:r>
      <w:r w:rsidR="00DD25C7">
        <w:rPr>
          <w:rFonts w:cs="Times New Roman"/>
        </w:rPr>
        <w:t xml:space="preserve">on </w:t>
      </w:r>
      <w:r w:rsidR="00DD25C7" w:rsidRPr="00DD25C7">
        <w:rPr>
          <w:rFonts w:cs="Times New Roman"/>
          <w:i/>
        </w:rPr>
        <w:t>Financial and budgetary matters</w:t>
      </w:r>
      <w:r w:rsidR="00DD25C7">
        <w:rPr>
          <w:rFonts w:cs="Times New Roman"/>
        </w:rPr>
        <w:t xml:space="preserve"> </w:t>
      </w:r>
      <w:r w:rsidR="004724E4" w:rsidRPr="003D6AB7">
        <w:rPr>
          <w:rFonts w:cs="Times New Roman"/>
        </w:rPr>
        <w:t xml:space="preserve">encouraged voluntary contributions to the </w:t>
      </w:r>
      <w:r w:rsidR="00DD25C7">
        <w:rPr>
          <w:rFonts w:cs="Times New Roman"/>
        </w:rPr>
        <w:t>SGF</w:t>
      </w:r>
      <w:r w:rsidR="00DD25C7" w:rsidRPr="003D6AB7">
        <w:rPr>
          <w:rFonts w:cs="Times New Roman"/>
        </w:rPr>
        <w:t xml:space="preserve"> </w:t>
      </w:r>
      <w:r w:rsidR="004724E4" w:rsidRPr="003D6AB7">
        <w:rPr>
          <w:rFonts w:cs="Times New Roman"/>
        </w:rPr>
        <w:t xml:space="preserve">and reaffirmed </w:t>
      </w:r>
      <w:r w:rsidRPr="003D6AB7">
        <w:rPr>
          <w:rFonts w:cs="Times New Roman"/>
        </w:rPr>
        <w:t>the Contracting Parties</w:t>
      </w:r>
      <w:r w:rsidR="004724E4" w:rsidRPr="003D6AB7">
        <w:rPr>
          <w:rFonts w:cs="Times New Roman"/>
        </w:rPr>
        <w:t xml:space="preserve">’s conviction that </w:t>
      </w:r>
      <w:r w:rsidR="00DD25C7">
        <w:rPr>
          <w:rFonts w:cs="Times New Roman"/>
        </w:rPr>
        <w:t xml:space="preserve">it </w:t>
      </w:r>
      <w:r w:rsidR="004724E4" w:rsidRPr="003D6AB7">
        <w:rPr>
          <w:rFonts w:cs="Times New Roman"/>
        </w:rPr>
        <w:t>was of great value.</w:t>
      </w:r>
      <w:r w:rsidR="00DD25C7">
        <w:rPr>
          <w:rFonts w:cs="Times New Roman"/>
        </w:rPr>
        <w:t xml:space="preserve"> </w:t>
      </w:r>
      <w:r w:rsidRPr="003D6AB7">
        <w:rPr>
          <w:rFonts w:cs="Times New Roman"/>
        </w:rPr>
        <w:t>However, t</w:t>
      </w:r>
      <w:r w:rsidR="00BE17FD" w:rsidRPr="003D6AB7">
        <w:rPr>
          <w:rFonts w:cs="Times New Roman"/>
        </w:rPr>
        <w:t>he SGF</w:t>
      </w:r>
      <w:r w:rsidR="00AB3999" w:rsidRPr="003D6AB7">
        <w:rPr>
          <w:rFonts w:cs="Times New Roman"/>
        </w:rPr>
        <w:t xml:space="preserve"> </w:t>
      </w:r>
      <w:r w:rsidR="006C7C91" w:rsidRPr="003D6AB7">
        <w:rPr>
          <w:rFonts w:cs="Times New Roman"/>
        </w:rPr>
        <w:t xml:space="preserve">is </w:t>
      </w:r>
      <w:r w:rsidR="002838E1" w:rsidRPr="003D6AB7">
        <w:rPr>
          <w:rFonts w:cs="Times New Roman"/>
        </w:rPr>
        <w:t>currently inactive</w:t>
      </w:r>
      <w:r w:rsidR="006C7C91" w:rsidRPr="003D6AB7">
        <w:rPr>
          <w:rFonts w:cs="Times New Roman"/>
        </w:rPr>
        <w:t xml:space="preserve"> because of a lack of voluntary contributions</w:t>
      </w:r>
      <w:r w:rsidR="00BE17FD" w:rsidRPr="003D6AB7">
        <w:rPr>
          <w:rFonts w:cs="Times New Roman"/>
        </w:rPr>
        <w:t>.</w:t>
      </w:r>
      <w:r w:rsidR="00DD25C7">
        <w:rPr>
          <w:rFonts w:cs="Times New Roman"/>
        </w:rPr>
        <w:t xml:space="preserve"> </w:t>
      </w:r>
      <w:r w:rsidR="00FE3CD3" w:rsidRPr="003D6AB7">
        <w:rPr>
          <w:rFonts w:cs="Times New Roman"/>
        </w:rPr>
        <w:t>In Decision SC47-16</w:t>
      </w:r>
      <w:r w:rsidR="00DD25C7">
        <w:rPr>
          <w:rFonts w:cs="Times New Roman"/>
        </w:rPr>
        <w:t>,</w:t>
      </w:r>
      <w:r w:rsidR="00FE3CD3" w:rsidRPr="003D6AB7">
        <w:rPr>
          <w:rFonts w:cs="Times New Roman"/>
        </w:rPr>
        <w:t xml:space="preserve"> the Standing Committee requested an information paper on the</w:t>
      </w:r>
      <w:r w:rsidR="00AB3999" w:rsidRPr="003D6AB7">
        <w:rPr>
          <w:rFonts w:cs="Times New Roman"/>
        </w:rPr>
        <w:t xml:space="preserve"> future of the SGF</w:t>
      </w:r>
      <w:r w:rsidR="00FE3CD3" w:rsidRPr="003D6AB7">
        <w:rPr>
          <w:rFonts w:cs="Times New Roman"/>
        </w:rPr>
        <w:t>.</w:t>
      </w:r>
      <w:r w:rsidR="00DD25C7">
        <w:rPr>
          <w:rFonts w:cs="Times New Roman"/>
        </w:rPr>
        <w:t xml:space="preserve"> </w:t>
      </w:r>
      <w:r w:rsidR="00EB0DF7" w:rsidRPr="003D6AB7">
        <w:rPr>
          <w:rFonts w:cs="Times New Roman"/>
        </w:rPr>
        <w:t>This report responds to that request.</w:t>
      </w:r>
    </w:p>
    <w:p w:rsidR="008B7384" w:rsidRPr="003D6AB7" w:rsidRDefault="008B7384" w:rsidP="003D6AB7">
      <w:pPr>
        <w:pStyle w:val="ListParagraph"/>
        <w:spacing w:after="0" w:line="240" w:lineRule="auto"/>
        <w:ind w:left="426" w:hanging="426"/>
        <w:rPr>
          <w:rFonts w:cs="Times New Roman"/>
        </w:rPr>
      </w:pPr>
    </w:p>
    <w:p w:rsidR="0035071D" w:rsidRPr="003D6AB7" w:rsidRDefault="0035071D" w:rsidP="00DD25C7">
      <w:pPr>
        <w:pStyle w:val="Default"/>
        <w:numPr>
          <w:ilvl w:val="0"/>
          <w:numId w:val="13"/>
        </w:numPr>
        <w:ind w:left="426" w:hanging="426"/>
        <w:rPr>
          <w:rFonts w:asciiTheme="minorHAnsi" w:hAnsiTheme="minorHAnsi"/>
        </w:rPr>
      </w:pPr>
      <w:r w:rsidRPr="003D6AB7">
        <w:rPr>
          <w:rFonts w:asciiTheme="minorHAnsi" w:hAnsiTheme="minorHAnsi" w:cs="Times New Roman"/>
          <w:color w:val="auto"/>
          <w:sz w:val="22"/>
          <w:szCs w:val="22"/>
        </w:rPr>
        <w:t>Resolution XII.1</w:t>
      </w:r>
      <w:r w:rsidR="00DD25C7">
        <w:rPr>
          <w:rFonts w:asciiTheme="minorHAnsi" w:hAnsiTheme="minorHAnsi" w:cs="Times New Roman"/>
          <w:color w:val="auto"/>
          <w:sz w:val="22"/>
          <w:szCs w:val="22"/>
        </w:rPr>
        <w:t xml:space="preserve">, also on </w:t>
      </w:r>
      <w:r w:rsidR="00DD25C7" w:rsidRPr="00DD25C7">
        <w:rPr>
          <w:rFonts w:asciiTheme="minorHAnsi" w:hAnsiTheme="minorHAnsi" w:cs="Times New Roman"/>
          <w:color w:val="auto"/>
          <w:sz w:val="22"/>
          <w:szCs w:val="22"/>
        </w:rPr>
        <w:t xml:space="preserve">on </w:t>
      </w:r>
      <w:r w:rsidR="00DD25C7" w:rsidRPr="00DD25C7">
        <w:rPr>
          <w:rFonts w:asciiTheme="minorHAnsi" w:hAnsiTheme="minorHAnsi" w:cs="Times New Roman"/>
          <w:i/>
          <w:color w:val="auto"/>
          <w:sz w:val="22"/>
          <w:szCs w:val="22"/>
        </w:rPr>
        <w:t>Financial and budgetary matte</w:t>
      </w:r>
      <w:r w:rsidR="00DD25C7" w:rsidRPr="00DD25C7">
        <w:rPr>
          <w:rFonts w:asciiTheme="minorHAnsi" w:hAnsiTheme="minorHAnsi" w:cs="Times New Roman"/>
          <w:color w:val="auto"/>
          <w:sz w:val="22"/>
          <w:szCs w:val="22"/>
        </w:rPr>
        <w:t>rs</w:t>
      </w:r>
      <w:r w:rsidR="00DD25C7">
        <w:rPr>
          <w:rFonts w:asciiTheme="minorHAnsi" w:hAnsiTheme="minorHAnsi" w:cs="Times New Roman"/>
          <w:color w:val="auto"/>
          <w:sz w:val="22"/>
          <w:szCs w:val="22"/>
        </w:rPr>
        <w:t xml:space="preserve">, </w:t>
      </w:r>
      <w:r w:rsidRPr="003D6AB7">
        <w:rPr>
          <w:rFonts w:asciiTheme="minorHAnsi" w:hAnsiTheme="minorHAnsi" w:cs="Times New Roman"/>
          <w:color w:val="auto"/>
          <w:sz w:val="22"/>
          <w:szCs w:val="22"/>
        </w:rPr>
        <w:t>states that the Conference of Parties:</w:t>
      </w:r>
      <w:r w:rsidRPr="003D6AB7">
        <w:rPr>
          <w:rFonts w:asciiTheme="minorHAnsi" w:hAnsiTheme="minorHAnsi" w:cs="Times New Roman"/>
        </w:rPr>
        <w:t xml:space="preserve"> </w:t>
      </w:r>
    </w:p>
    <w:p w:rsidR="00212633" w:rsidRPr="003D6AB7" w:rsidRDefault="00212633" w:rsidP="003D6AB7">
      <w:pPr>
        <w:pStyle w:val="Default"/>
        <w:rPr>
          <w:rFonts w:asciiTheme="minorHAnsi" w:hAnsiTheme="minorHAnsi"/>
        </w:rPr>
      </w:pPr>
    </w:p>
    <w:p w:rsidR="0035071D" w:rsidRPr="003D6AB7" w:rsidRDefault="0035071D" w:rsidP="003D6AB7">
      <w:pPr>
        <w:pStyle w:val="ListParagraph"/>
        <w:spacing w:after="0" w:line="240" w:lineRule="auto"/>
        <w:ind w:left="851" w:right="521"/>
        <w:rPr>
          <w:rFonts w:cs="Times New Roman"/>
        </w:rPr>
      </w:pPr>
      <w:r w:rsidRPr="003D6AB7">
        <w:rPr>
          <w:rFonts w:cs="Times New Roman"/>
          <w:i/>
        </w:rPr>
        <w:t>REAFFIRMS its conviction that the Convention’s Small Grants Fund is of great value in terms of the implementation of the Convention, and URGES Parties and others to find CHF 1,000,000 over the next triennium (Annex 3) to secure the efficient operation of this programme</w:t>
      </w:r>
      <w:r w:rsidR="00212633" w:rsidRPr="003D6AB7">
        <w:rPr>
          <w:rFonts w:cs="Times New Roman"/>
        </w:rPr>
        <w:t>.</w:t>
      </w:r>
      <w:r w:rsidRPr="003D6AB7">
        <w:rPr>
          <w:rFonts w:cs="Times New Roman"/>
        </w:rPr>
        <w:t xml:space="preserve"> </w:t>
      </w:r>
    </w:p>
    <w:p w:rsidR="00212633" w:rsidRPr="003D6AB7" w:rsidRDefault="00212633" w:rsidP="003D6AB7">
      <w:pPr>
        <w:pStyle w:val="ListParagraph"/>
        <w:spacing w:after="0" w:line="240" w:lineRule="auto"/>
        <w:ind w:left="851" w:right="521"/>
        <w:rPr>
          <w:rFonts w:cs="Times New Roman"/>
        </w:rPr>
      </w:pPr>
    </w:p>
    <w:p w:rsidR="00212633" w:rsidRPr="003D6AB7" w:rsidRDefault="00212633" w:rsidP="003D6AB7">
      <w:pPr>
        <w:pStyle w:val="ListParagraph"/>
        <w:spacing w:after="0" w:line="240" w:lineRule="auto"/>
        <w:ind w:left="851" w:right="521"/>
        <w:rPr>
          <w:rFonts w:cs="Times New Roman"/>
          <w:i/>
        </w:rPr>
      </w:pPr>
      <w:r w:rsidRPr="003D6AB7">
        <w:rPr>
          <w:rFonts w:cs="Times New Roman"/>
          <w:i/>
        </w:rPr>
        <w:t>REQUESTS that the Standing Committee review the operation of the programme during the triennium and definitively conclude whether the Parties should continue or cease the Small Grants Fund for the consideration of the 13th meeting of the Conference of the Contracting Parties</w:t>
      </w:r>
      <w:r w:rsidR="00DD25C7">
        <w:rPr>
          <w:rFonts w:cs="Times New Roman"/>
          <w:i/>
        </w:rPr>
        <w:t>.</w:t>
      </w:r>
    </w:p>
    <w:p w:rsidR="00FE3CD3" w:rsidRPr="003D6AB7" w:rsidRDefault="00FE3CD3" w:rsidP="003D6AB7">
      <w:pPr>
        <w:spacing w:after="0" w:line="240" w:lineRule="auto"/>
        <w:rPr>
          <w:rFonts w:cs="Times New Roman"/>
        </w:rPr>
      </w:pPr>
    </w:p>
    <w:p w:rsidR="00C75633" w:rsidRPr="003D6AB7" w:rsidRDefault="00FE3CD3" w:rsidP="003D6AB7">
      <w:pPr>
        <w:pStyle w:val="Default"/>
        <w:numPr>
          <w:ilvl w:val="0"/>
          <w:numId w:val="13"/>
        </w:numPr>
        <w:ind w:left="426" w:hanging="426"/>
        <w:rPr>
          <w:rFonts w:asciiTheme="minorHAnsi" w:hAnsiTheme="minorHAnsi" w:cs="Times New Roman"/>
          <w:sz w:val="22"/>
          <w:szCs w:val="22"/>
        </w:rPr>
      </w:pPr>
      <w:r w:rsidRPr="003D6AB7">
        <w:rPr>
          <w:rFonts w:asciiTheme="minorHAnsi" w:hAnsiTheme="minorHAnsi" w:cs="Times New Roman"/>
          <w:sz w:val="22"/>
          <w:szCs w:val="22"/>
        </w:rPr>
        <w:t>T</w:t>
      </w:r>
      <w:r w:rsidR="00BE17FD" w:rsidRPr="003D6AB7">
        <w:rPr>
          <w:rFonts w:asciiTheme="minorHAnsi" w:hAnsiTheme="minorHAnsi" w:cs="Times New Roman"/>
          <w:sz w:val="22"/>
          <w:szCs w:val="22"/>
        </w:rPr>
        <w:t xml:space="preserve">his </w:t>
      </w:r>
      <w:r w:rsidR="002838E1" w:rsidRPr="003D6AB7">
        <w:rPr>
          <w:rFonts w:asciiTheme="minorHAnsi" w:hAnsiTheme="minorHAnsi" w:cs="Times New Roman"/>
          <w:sz w:val="22"/>
          <w:szCs w:val="22"/>
        </w:rPr>
        <w:t xml:space="preserve">paper </w:t>
      </w:r>
      <w:r w:rsidR="00BE17FD" w:rsidRPr="003D6AB7">
        <w:rPr>
          <w:rFonts w:asciiTheme="minorHAnsi" w:hAnsiTheme="minorHAnsi" w:cs="Times New Roman"/>
          <w:sz w:val="22"/>
          <w:szCs w:val="22"/>
        </w:rPr>
        <w:t>outlines the status, options and recommendations for the SGF</w:t>
      </w:r>
      <w:r w:rsidR="00AB3999" w:rsidRPr="003D6AB7">
        <w:rPr>
          <w:rFonts w:asciiTheme="minorHAnsi" w:hAnsiTheme="minorHAnsi" w:cs="Times New Roman"/>
          <w:sz w:val="22"/>
          <w:szCs w:val="22"/>
        </w:rPr>
        <w:t>.</w:t>
      </w:r>
      <w:r w:rsidR="00BE17FD" w:rsidRPr="003D6AB7">
        <w:rPr>
          <w:rFonts w:asciiTheme="minorHAnsi" w:hAnsiTheme="minorHAnsi" w:cs="Times New Roman"/>
          <w:sz w:val="22"/>
          <w:szCs w:val="22"/>
        </w:rPr>
        <w:t xml:space="preserve"> </w:t>
      </w:r>
    </w:p>
    <w:p w:rsidR="00D17B0B" w:rsidRPr="003D6AB7" w:rsidRDefault="00D17B0B" w:rsidP="003D6AB7">
      <w:pPr>
        <w:spacing w:after="0" w:line="240" w:lineRule="auto"/>
        <w:rPr>
          <w:rFonts w:cs="Times New Roman"/>
        </w:rPr>
      </w:pPr>
    </w:p>
    <w:p w:rsidR="00DD25C7" w:rsidRDefault="00D17B0B" w:rsidP="003D6AB7">
      <w:pPr>
        <w:spacing w:after="0" w:line="240" w:lineRule="auto"/>
        <w:rPr>
          <w:rFonts w:cs="Times New Roman"/>
        </w:rPr>
      </w:pPr>
      <w:r w:rsidRPr="003D6AB7">
        <w:rPr>
          <w:rFonts w:cs="Times New Roman"/>
          <w:b/>
        </w:rPr>
        <w:t xml:space="preserve">Background and </w:t>
      </w:r>
      <w:r w:rsidR="00DD25C7">
        <w:rPr>
          <w:rFonts w:cs="Times New Roman"/>
          <w:b/>
        </w:rPr>
        <w:t>s</w:t>
      </w:r>
      <w:r w:rsidR="00DD25C7" w:rsidRPr="003D6AB7">
        <w:rPr>
          <w:rFonts w:cs="Times New Roman"/>
          <w:b/>
        </w:rPr>
        <w:t xml:space="preserve">tatus </w:t>
      </w:r>
      <w:r w:rsidRPr="003D6AB7">
        <w:rPr>
          <w:rFonts w:cs="Times New Roman"/>
          <w:b/>
        </w:rPr>
        <w:t>of Ramsar</w:t>
      </w:r>
      <w:r w:rsidR="00071E52" w:rsidRPr="003D6AB7">
        <w:rPr>
          <w:rFonts w:cs="Times New Roman"/>
          <w:b/>
        </w:rPr>
        <w:t>’s</w:t>
      </w:r>
      <w:r w:rsidR="00370287" w:rsidRPr="003D6AB7">
        <w:rPr>
          <w:rFonts w:cs="Times New Roman"/>
          <w:b/>
        </w:rPr>
        <w:t xml:space="preserve"> </w:t>
      </w:r>
      <w:r w:rsidR="00DD25C7" w:rsidRPr="003D6AB7">
        <w:rPr>
          <w:rFonts w:cs="Times New Roman"/>
          <w:b/>
        </w:rPr>
        <w:t>grant funds</w:t>
      </w:r>
    </w:p>
    <w:p w:rsidR="00D17B0B" w:rsidRPr="003D6AB7" w:rsidRDefault="00D17B0B" w:rsidP="003D6AB7">
      <w:pPr>
        <w:spacing w:after="0" w:line="240" w:lineRule="auto"/>
        <w:rPr>
          <w:rFonts w:cs="Times New Roman"/>
        </w:rPr>
      </w:pPr>
    </w:p>
    <w:p w:rsidR="00370287" w:rsidRDefault="00370287" w:rsidP="003D6AB7">
      <w:pPr>
        <w:pStyle w:val="Default"/>
        <w:numPr>
          <w:ilvl w:val="0"/>
          <w:numId w:val="13"/>
        </w:numPr>
        <w:ind w:left="426" w:hanging="426"/>
        <w:rPr>
          <w:rFonts w:asciiTheme="minorHAnsi" w:hAnsiTheme="minorHAnsi" w:cs="Times New Roman"/>
          <w:sz w:val="22"/>
          <w:szCs w:val="22"/>
        </w:rPr>
      </w:pPr>
      <w:r w:rsidRPr="003D6AB7">
        <w:rPr>
          <w:rFonts w:asciiTheme="minorHAnsi" w:hAnsiTheme="minorHAnsi" w:cs="Times New Roman"/>
          <w:sz w:val="22"/>
          <w:szCs w:val="22"/>
        </w:rPr>
        <w:t xml:space="preserve">Since 1991, the </w:t>
      </w:r>
      <w:r w:rsidR="00DD25C7">
        <w:rPr>
          <w:rFonts w:asciiTheme="minorHAnsi" w:hAnsiTheme="minorHAnsi" w:cs="Times New Roman"/>
          <w:sz w:val="22"/>
          <w:szCs w:val="22"/>
        </w:rPr>
        <w:t>SGF</w:t>
      </w:r>
      <w:r w:rsidRPr="003D6AB7">
        <w:rPr>
          <w:rFonts w:asciiTheme="minorHAnsi" w:hAnsiTheme="minorHAnsi" w:cs="Times New Roman"/>
          <w:sz w:val="22"/>
          <w:szCs w:val="22"/>
        </w:rPr>
        <w:t>, formerly the “Wetland Conservation Fund”</w:t>
      </w:r>
      <w:r w:rsidR="00DD25C7">
        <w:rPr>
          <w:rFonts w:asciiTheme="minorHAnsi" w:hAnsiTheme="minorHAnsi" w:cs="Times New Roman"/>
          <w:sz w:val="22"/>
          <w:szCs w:val="22"/>
        </w:rPr>
        <w:t>,</w:t>
      </w:r>
      <w:r w:rsidRPr="003D6AB7">
        <w:rPr>
          <w:rFonts w:asciiTheme="minorHAnsi" w:hAnsiTheme="minorHAnsi" w:cs="Times New Roman"/>
          <w:sz w:val="22"/>
          <w:szCs w:val="22"/>
        </w:rPr>
        <w:t xml:space="preserve"> has support</w:t>
      </w:r>
      <w:r w:rsidR="00DA4B44" w:rsidRPr="003D6AB7">
        <w:rPr>
          <w:rFonts w:asciiTheme="minorHAnsi" w:hAnsiTheme="minorHAnsi" w:cs="Times New Roman"/>
          <w:sz w:val="22"/>
          <w:szCs w:val="22"/>
        </w:rPr>
        <w:t>ed</w:t>
      </w:r>
      <w:r w:rsidRPr="003D6AB7">
        <w:rPr>
          <w:rFonts w:asciiTheme="minorHAnsi" w:hAnsiTheme="minorHAnsi" w:cs="Times New Roman"/>
          <w:sz w:val="22"/>
          <w:szCs w:val="22"/>
        </w:rPr>
        <w:t xml:space="preserve"> a wide range of activities related to the Convention. It has provided </w:t>
      </w:r>
      <w:r w:rsidR="00DA4B44" w:rsidRPr="003D6AB7">
        <w:rPr>
          <w:rFonts w:asciiTheme="minorHAnsi" w:hAnsiTheme="minorHAnsi" w:cs="Times New Roman"/>
          <w:sz w:val="22"/>
          <w:szCs w:val="22"/>
        </w:rPr>
        <w:t>a total of over CHF 8,000,000</w:t>
      </w:r>
      <w:r w:rsidRPr="003D6AB7">
        <w:rPr>
          <w:rFonts w:asciiTheme="minorHAnsi" w:hAnsiTheme="minorHAnsi" w:cs="Times New Roman"/>
          <w:sz w:val="22"/>
          <w:szCs w:val="22"/>
        </w:rPr>
        <w:t xml:space="preserve"> to 240 projects </w:t>
      </w:r>
      <w:r w:rsidR="00DA4B44" w:rsidRPr="003D6AB7">
        <w:rPr>
          <w:rFonts w:asciiTheme="minorHAnsi" w:hAnsiTheme="minorHAnsi" w:cs="Times New Roman"/>
          <w:sz w:val="22"/>
          <w:szCs w:val="22"/>
        </w:rPr>
        <w:t xml:space="preserve">in </w:t>
      </w:r>
      <w:r w:rsidRPr="003D6AB7">
        <w:rPr>
          <w:rFonts w:asciiTheme="minorHAnsi" w:hAnsiTheme="minorHAnsi" w:cs="Times New Roman"/>
          <w:sz w:val="22"/>
          <w:szCs w:val="22"/>
        </w:rPr>
        <w:t xml:space="preserve">110 countries. It is based on voluntary contributions from </w:t>
      </w:r>
      <w:r w:rsidR="00DD25C7">
        <w:rPr>
          <w:rFonts w:asciiTheme="minorHAnsi" w:hAnsiTheme="minorHAnsi" w:cs="Times New Roman"/>
          <w:sz w:val="22"/>
          <w:szCs w:val="22"/>
        </w:rPr>
        <w:t>any</w:t>
      </w:r>
      <w:r w:rsidRPr="003D6AB7">
        <w:rPr>
          <w:rFonts w:asciiTheme="minorHAnsi" w:hAnsiTheme="minorHAnsi" w:cs="Times New Roman"/>
          <w:sz w:val="22"/>
          <w:szCs w:val="22"/>
        </w:rPr>
        <w:t xml:space="preserve"> </w:t>
      </w:r>
      <w:r w:rsidR="00DD25C7" w:rsidRPr="003D6AB7">
        <w:rPr>
          <w:rFonts w:asciiTheme="minorHAnsi" w:hAnsiTheme="minorHAnsi" w:cs="Times New Roman"/>
          <w:sz w:val="22"/>
          <w:szCs w:val="22"/>
        </w:rPr>
        <w:t>Contracting Part</w:t>
      </w:r>
      <w:r w:rsidR="00DD25C7">
        <w:rPr>
          <w:rFonts w:asciiTheme="minorHAnsi" w:hAnsiTheme="minorHAnsi" w:cs="Times New Roman"/>
          <w:sz w:val="22"/>
          <w:szCs w:val="22"/>
        </w:rPr>
        <w:t>y</w:t>
      </w:r>
      <w:r w:rsidRPr="003D6AB7">
        <w:rPr>
          <w:rFonts w:asciiTheme="minorHAnsi" w:hAnsiTheme="minorHAnsi" w:cs="Times New Roman"/>
          <w:sz w:val="22"/>
          <w:szCs w:val="22"/>
        </w:rPr>
        <w:t>.</w:t>
      </w:r>
      <w:r w:rsidR="00DD25C7">
        <w:rPr>
          <w:rFonts w:asciiTheme="minorHAnsi" w:hAnsiTheme="minorHAnsi" w:cs="Times New Roman"/>
          <w:sz w:val="22"/>
          <w:szCs w:val="22"/>
        </w:rPr>
        <w:t xml:space="preserve"> </w:t>
      </w:r>
      <w:r w:rsidRPr="003D6AB7">
        <w:rPr>
          <w:rFonts w:asciiTheme="minorHAnsi" w:hAnsiTheme="minorHAnsi" w:cs="Times New Roman"/>
          <w:sz w:val="22"/>
          <w:szCs w:val="22"/>
        </w:rPr>
        <w:t xml:space="preserve">It is administered by the Secretariat, including an advisory service, project oversight and project </w:t>
      </w:r>
      <w:r w:rsidRPr="003D6AB7">
        <w:rPr>
          <w:rFonts w:asciiTheme="minorHAnsi" w:hAnsiTheme="minorHAnsi" w:cs="Times New Roman"/>
          <w:sz w:val="22"/>
          <w:szCs w:val="22"/>
        </w:rPr>
        <w:lastRenderedPageBreak/>
        <w:t>ranking process.</w:t>
      </w:r>
      <w:r w:rsidR="00DD25C7">
        <w:rPr>
          <w:rFonts w:asciiTheme="minorHAnsi" w:hAnsiTheme="minorHAnsi" w:cs="Times New Roman"/>
          <w:sz w:val="22"/>
          <w:szCs w:val="22"/>
        </w:rPr>
        <w:t xml:space="preserve"> </w:t>
      </w:r>
      <w:r w:rsidRPr="003D6AB7">
        <w:rPr>
          <w:rFonts w:asciiTheme="minorHAnsi" w:hAnsiTheme="minorHAnsi" w:cs="Times New Roman"/>
          <w:sz w:val="22"/>
          <w:szCs w:val="22"/>
        </w:rPr>
        <w:t xml:space="preserve">Its </w:t>
      </w:r>
      <w:r w:rsidR="00DA4B44" w:rsidRPr="003D6AB7">
        <w:rPr>
          <w:rFonts w:asciiTheme="minorHAnsi" w:hAnsiTheme="minorHAnsi" w:cs="Times New Roman"/>
          <w:sz w:val="22"/>
          <w:szCs w:val="22"/>
        </w:rPr>
        <w:t>O</w:t>
      </w:r>
      <w:r w:rsidRPr="003D6AB7">
        <w:rPr>
          <w:rFonts w:asciiTheme="minorHAnsi" w:hAnsiTheme="minorHAnsi" w:cs="Times New Roman"/>
          <w:sz w:val="22"/>
          <w:szCs w:val="22"/>
        </w:rPr>
        <w:t xml:space="preserve">perational </w:t>
      </w:r>
      <w:r w:rsidR="00DA4B44" w:rsidRPr="003D6AB7">
        <w:rPr>
          <w:rFonts w:asciiTheme="minorHAnsi" w:hAnsiTheme="minorHAnsi" w:cs="Times New Roman"/>
          <w:sz w:val="22"/>
          <w:szCs w:val="22"/>
        </w:rPr>
        <w:t>G</w:t>
      </w:r>
      <w:r w:rsidRPr="003D6AB7">
        <w:rPr>
          <w:rFonts w:asciiTheme="minorHAnsi" w:hAnsiTheme="minorHAnsi" w:cs="Times New Roman"/>
          <w:sz w:val="22"/>
          <w:szCs w:val="22"/>
        </w:rPr>
        <w:t xml:space="preserve">uidelines and project selection </w:t>
      </w:r>
      <w:r w:rsidR="00DA4B44" w:rsidRPr="003D6AB7">
        <w:rPr>
          <w:rFonts w:asciiTheme="minorHAnsi" w:hAnsiTheme="minorHAnsi" w:cs="Times New Roman"/>
          <w:sz w:val="22"/>
          <w:szCs w:val="22"/>
        </w:rPr>
        <w:t>we</w:t>
      </w:r>
      <w:r w:rsidRPr="003D6AB7">
        <w:rPr>
          <w:rFonts w:asciiTheme="minorHAnsi" w:hAnsiTheme="minorHAnsi" w:cs="Times New Roman"/>
          <w:sz w:val="22"/>
          <w:szCs w:val="22"/>
        </w:rPr>
        <w:t>re approved by the Standing Committee.</w:t>
      </w:r>
      <w:r w:rsidR="00DD25C7">
        <w:rPr>
          <w:rFonts w:asciiTheme="minorHAnsi" w:hAnsiTheme="minorHAnsi" w:cs="Times New Roman"/>
          <w:sz w:val="22"/>
          <w:szCs w:val="22"/>
        </w:rPr>
        <w:t xml:space="preserve"> </w:t>
      </w:r>
      <w:r w:rsidRPr="003D6AB7">
        <w:rPr>
          <w:rFonts w:asciiTheme="minorHAnsi" w:hAnsiTheme="minorHAnsi" w:cs="Times New Roman"/>
          <w:sz w:val="22"/>
          <w:szCs w:val="22"/>
        </w:rPr>
        <w:t>The Operational Guidelines (</w:t>
      </w:r>
      <w:hyperlink r:id="rId9" w:history="1">
        <w:r w:rsidRPr="003D6AB7">
          <w:rPr>
            <w:rStyle w:val="Hyperlink"/>
            <w:rFonts w:asciiTheme="minorHAnsi" w:hAnsiTheme="minorHAnsi" w:cs="Times New Roman"/>
            <w:sz w:val="22"/>
            <w:szCs w:val="22"/>
          </w:rPr>
          <w:t>linked here</w:t>
        </w:r>
      </w:hyperlink>
      <w:r w:rsidRPr="003D6AB7">
        <w:rPr>
          <w:rFonts w:asciiTheme="minorHAnsi" w:hAnsiTheme="minorHAnsi" w:cs="Times New Roman"/>
          <w:sz w:val="22"/>
          <w:szCs w:val="22"/>
        </w:rPr>
        <w:t>) have three areas of focus:</w:t>
      </w:r>
      <w:r w:rsidR="00DD25C7">
        <w:rPr>
          <w:rFonts w:asciiTheme="minorHAnsi" w:hAnsiTheme="minorHAnsi" w:cs="Times New Roman"/>
          <w:sz w:val="22"/>
          <w:szCs w:val="22"/>
        </w:rPr>
        <w:t xml:space="preserve">   </w:t>
      </w:r>
    </w:p>
    <w:p w:rsidR="00DD25C7" w:rsidRPr="003D6AB7" w:rsidRDefault="00DD25C7" w:rsidP="00DD25C7">
      <w:pPr>
        <w:pStyle w:val="Default"/>
        <w:ind w:left="426"/>
        <w:rPr>
          <w:rFonts w:asciiTheme="minorHAnsi" w:hAnsiTheme="minorHAnsi" w:cs="Times New Roman"/>
          <w:sz w:val="22"/>
          <w:szCs w:val="22"/>
        </w:rPr>
      </w:pPr>
    </w:p>
    <w:p w:rsidR="00370287" w:rsidRDefault="00370287" w:rsidP="003D6AB7">
      <w:pPr>
        <w:pStyle w:val="ListParagraph"/>
        <w:numPr>
          <w:ilvl w:val="0"/>
          <w:numId w:val="36"/>
        </w:numPr>
        <w:spacing w:after="0" w:line="240" w:lineRule="auto"/>
        <w:ind w:left="851" w:hanging="425"/>
        <w:rPr>
          <w:rFonts w:cs="Times New Roman"/>
        </w:rPr>
      </w:pPr>
      <w:r w:rsidRPr="003D6AB7">
        <w:rPr>
          <w:rFonts w:cs="Times New Roman"/>
        </w:rPr>
        <w:t>Projects with a clear link to the Ramsar Strategic Plan;</w:t>
      </w:r>
    </w:p>
    <w:p w:rsidR="000B4C27" w:rsidRPr="003D6AB7" w:rsidRDefault="000B4C27" w:rsidP="000B4C27">
      <w:pPr>
        <w:pStyle w:val="ListParagraph"/>
        <w:spacing w:after="0" w:line="240" w:lineRule="auto"/>
        <w:ind w:left="851"/>
        <w:rPr>
          <w:rFonts w:cs="Times New Roman"/>
        </w:rPr>
      </w:pPr>
    </w:p>
    <w:p w:rsidR="000B4C27" w:rsidRDefault="00370287" w:rsidP="003D6AB7">
      <w:pPr>
        <w:pStyle w:val="ListParagraph"/>
        <w:numPr>
          <w:ilvl w:val="0"/>
          <w:numId w:val="36"/>
        </w:numPr>
        <w:spacing w:after="0" w:line="240" w:lineRule="auto"/>
        <w:ind w:left="851" w:hanging="425"/>
        <w:rPr>
          <w:rFonts w:cs="Times New Roman"/>
        </w:rPr>
      </w:pPr>
      <w:r w:rsidRPr="003D6AB7">
        <w:rPr>
          <w:rFonts w:cs="Times New Roman"/>
        </w:rPr>
        <w:t xml:space="preserve">Emergency assistance related to maintaining the ecological character of designated Ramsar </w:t>
      </w:r>
      <w:r w:rsidR="00DD25C7">
        <w:rPr>
          <w:rFonts w:cs="Times New Roman"/>
        </w:rPr>
        <w:t>S</w:t>
      </w:r>
      <w:r w:rsidR="000B4C27">
        <w:rPr>
          <w:rFonts w:cs="Times New Roman"/>
        </w:rPr>
        <w:t>it</w:t>
      </w:r>
      <w:r w:rsidR="00DD25C7" w:rsidRPr="003D6AB7">
        <w:rPr>
          <w:rFonts w:cs="Times New Roman"/>
        </w:rPr>
        <w:t>es</w:t>
      </w:r>
      <w:r w:rsidRPr="003D6AB7">
        <w:rPr>
          <w:rFonts w:cs="Times New Roman"/>
        </w:rPr>
        <w:t>;</w:t>
      </w:r>
      <w:r w:rsidR="00DD25C7">
        <w:rPr>
          <w:rFonts w:cs="Times New Roman"/>
        </w:rPr>
        <w:t xml:space="preserve"> </w:t>
      </w:r>
      <w:r w:rsidRPr="003D6AB7">
        <w:rPr>
          <w:rFonts w:cs="Times New Roman"/>
        </w:rPr>
        <w:t>and</w:t>
      </w:r>
    </w:p>
    <w:p w:rsidR="00370287" w:rsidRPr="003D6AB7" w:rsidRDefault="00370287" w:rsidP="000B4C27">
      <w:pPr>
        <w:pStyle w:val="ListParagraph"/>
        <w:spacing w:after="0" w:line="240" w:lineRule="auto"/>
        <w:ind w:left="851"/>
        <w:rPr>
          <w:rFonts w:cs="Times New Roman"/>
        </w:rPr>
      </w:pPr>
    </w:p>
    <w:p w:rsidR="00370287" w:rsidRPr="003D6AB7" w:rsidRDefault="00370287" w:rsidP="003D6AB7">
      <w:pPr>
        <w:pStyle w:val="ListParagraph"/>
        <w:numPr>
          <w:ilvl w:val="0"/>
          <w:numId w:val="36"/>
        </w:numPr>
        <w:spacing w:after="0" w:line="240" w:lineRule="auto"/>
        <w:ind w:left="851" w:hanging="425"/>
        <w:rPr>
          <w:rFonts w:cs="Times New Roman"/>
        </w:rPr>
      </w:pPr>
      <w:r w:rsidRPr="003D6AB7">
        <w:rPr>
          <w:rFonts w:cs="Times New Roman"/>
        </w:rPr>
        <w:t xml:space="preserve">Preparatory assistance to allow non-contracting Parties to progress toward </w:t>
      </w:r>
      <w:r w:rsidR="00DA4B44" w:rsidRPr="003D6AB7">
        <w:rPr>
          <w:rFonts w:cs="Times New Roman"/>
        </w:rPr>
        <w:t xml:space="preserve">accession </w:t>
      </w:r>
      <w:r w:rsidRPr="003D6AB7">
        <w:rPr>
          <w:rFonts w:cs="Times New Roman"/>
        </w:rPr>
        <w:t>to the Convention.</w:t>
      </w:r>
      <w:r w:rsidR="00DD25C7">
        <w:rPr>
          <w:rFonts w:cs="Times New Roman"/>
        </w:rPr>
        <w:t xml:space="preserve"> </w:t>
      </w:r>
    </w:p>
    <w:p w:rsidR="00370287" w:rsidRPr="003D6AB7" w:rsidRDefault="00370287" w:rsidP="003D6AB7">
      <w:pPr>
        <w:pStyle w:val="ListParagraph"/>
        <w:spacing w:after="0" w:line="240" w:lineRule="auto"/>
        <w:ind w:left="2160"/>
        <w:rPr>
          <w:rFonts w:cs="Times New Roman"/>
        </w:rPr>
      </w:pPr>
    </w:p>
    <w:p w:rsidR="003F09D4" w:rsidRPr="003D6AB7" w:rsidRDefault="003F09D4" w:rsidP="003D6AB7">
      <w:pPr>
        <w:pStyle w:val="Default"/>
        <w:numPr>
          <w:ilvl w:val="0"/>
          <w:numId w:val="13"/>
        </w:numPr>
        <w:ind w:left="426" w:hanging="426"/>
        <w:rPr>
          <w:rFonts w:asciiTheme="minorHAnsi" w:hAnsiTheme="minorHAnsi" w:cs="Times New Roman"/>
          <w:sz w:val="22"/>
          <w:szCs w:val="22"/>
        </w:rPr>
      </w:pPr>
      <w:r w:rsidRPr="003D6AB7">
        <w:rPr>
          <w:rFonts w:asciiTheme="minorHAnsi" w:hAnsiTheme="minorHAnsi" w:cs="Times New Roman"/>
          <w:sz w:val="22"/>
          <w:szCs w:val="22"/>
        </w:rPr>
        <w:t>Started in 1989, t</w:t>
      </w:r>
      <w:r w:rsidR="0079772A" w:rsidRPr="003D6AB7">
        <w:rPr>
          <w:rFonts w:asciiTheme="minorHAnsi" w:hAnsiTheme="minorHAnsi" w:cs="Times New Roman"/>
          <w:sz w:val="22"/>
          <w:szCs w:val="22"/>
        </w:rPr>
        <w:t xml:space="preserve">he Swiss Grants for Africa </w:t>
      </w:r>
      <w:r w:rsidRPr="003D6AB7">
        <w:rPr>
          <w:rFonts w:asciiTheme="minorHAnsi" w:hAnsiTheme="minorHAnsi" w:cs="Times New Roman"/>
          <w:sz w:val="22"/>
          <w:szCs w:val="22"/>
        </w:rPr>
        <w:t xml:space="preserve">(SGA) </w:t>
      </w:r>
      <w:r w:rsidR="0079772A" w:rsidRPr="003D6AB7">
        <w:rPr>
          <w:rFonts w:asciiTheme="minorHAnsi" w:hAnsiTheme="minorHAnsi" w:cs="Times New Roman"/>
          <w:sz w:val="22"/>
          <w:szCs w:val="22"/>
        </w:rPr>
        <w:t xml:space="preserve">has provided financial support to </w:t>
      </w:r>
      <w:r w:rsidR="00DA4B44" w:rsidRPr="003D6AB7">
        <w:rPr>
          <w:rFonts w:asciiTheme="minorHAnsi" w:hAnsiTheme="minorHAnsi" w:cs="Times New Roman"/>
          <w:sz w:val="22"/>
          <w:szCs w:val="22"/>
        </w:rPr>
        <w:t xml:space="preserve">90 </w:t>
      </w:r>
      <w:r w:rsidR="0079772A" w:rsidRPr="003D6AB7">
        <w:rPr>
          <w:rFonts w:asciiTheme="minorHAnsi" w:hAnsiTheme="minorHAnsi" w:cs="Times New Roman"/>
          <w:sz w:val="22"/>
          <w:szCs w:val="22"/>
        </w:rPr>
        <w:t>projects</w:t>
      </w:r>
      <w:r w:rsidRPr="003D6AB7">
        <w:rPr>
          <w:rFonts w:asciiTheme="minorHAnsi" w:hAnsiTheme="minorHAnsi" w:cs="Times New Roman"/>
          <w:sz w:val="22"/>
          <w:szCs w:val="22"/>
        </w:rPr>
        <w:t xml:space="preserve"> focused on wetland conservation and wise use</w:t>
      </w:r>
      <w:r w:rsidR="0079772A" w:rsidRPr="003D6AB7">
        <w:rPr>
          <w:rFonts w:asciiTheme="minorHAnsi" w:hAnsiTheme="minorHAnsi" w:cs="Times New Roman"/>
          <w:sz w:val="22"/>
          <w:szCs w:val="22"/>
        </w:rPr>
        <w:t xml:space="preserve"> in over </w:t>
      </w:r>
      <w:r w:rsidR="00DA4B44" w:rsidRPr="003D6AB7">
        <w:rPr>
          <w:rFonts w:asciiTheme="minorHAnsi" w:hAnsiTheme="minorHAnsi" w:cs="Times New Roman"/>
          <w:sz w:val="22"/>
          <w:szCs w:val="22"/>
        </w:rPr>
        <w:t xml:space="preserve">40 </w:t>
      </w:r>
      <w:r w:rsidR="0079772A" w:rsidRPr="003D6AB7">
        <w:rPr>
          <w:rFonts w:asciiTheme="minorHAnsi" w:hAnsiTheme="minorHAnsi" w:cs="Times New Roman"/>
          <w:sz w:val="22"/>
          <w:szCs w:val="22"/>
        </w:rPr>
        <w:t>countries in Africa.</w:t>
      </w:r>
      <w:r w:rsidR="00DD25C7">
        <w:rPr>
          <w:rFonts w:asciiTheme="minorHAnsi" w:hAnsiTheme="minorHAnsi" w:cs="Times New Roman"/>
          <w:sz w:val="22"/>
          <w:szCs w:val="22"/>
        </w:rPr>
        <w:t xml:space="preserve"> </w:t>
      </w:r>
      <w:r w:rsidRPr="003D6AB7">
        <w:rPr>
          <w:rFonts w:asciiTheme="minorHAnsi" w:hAnsiTheme="minorHAnsi" w:cs="Times New Roman"/>
          <w:sz w:val="22"/>
          <w:szCs w:val="22"/>
        </w:rPr>
        <w:t>It</w:t>
      </w:r>
      <w:r w:rsidR="0079772A" w:rsidRPr="003D6AB7">
        <w:rPr>
          <w:rFonts w:asciiTheme="minorHAnsi" w:hAnsiTheme="minorHAnsi" w:cs="Times New Roman"/>
          <w:sz w:val="22"/>
          <w:szCs w:val="22"/>
        </w:rPr>
        <w:t xml:space="preserve"> </w:t>
      </w:r>
      <w:r w:rsidRPr="003D6AB7">
        <w:rPr>
          <w:rFonts w:asciiTheme="minorHAnsi" w:hAnsiTheme="minorHAnsi" w:cs="Times New Roman"/>
          <w:sz w:val="22"/>
          <w:szCs w:val="22"/>
        </w:rPr>
        <w:t xml:space="preserve">is </w:t>
      </w:r>
      <w:r w:rsidR="00164ECC" w:rsidRPr="003D6AB7">
        <w:rPr>
          <w:rFonts w:asciiTheme="minorHAnsi" w:hAnsiTheme="minorHAnsi" w:cs="Times New Roman"/>
          <w:sz w:val="22"/>
          <w:szCs w:val="22"/>
        </w:rPr>
        <w:t xml:space="preserve">funded by a </w:t>
      </w:r>
      <w:r w:rsidRPr="003D6AB7">
        <w:rPr>
          <w:rFonts w:asciiTheme="minorHAnsi" w:hAnsiTheme="minorHAnsi" w:cs="Times New Roman"/>
          <w:sz w:val="22"/>
          <w:szCs w:val="22"/>
        </w:rPr>
        <w:t xml:space="preserve">voluntary contribution </w:t>
      </w:r>
      <w:r w:rsidR="00164ECC" w:rsidRPr="003D6AB7">
        <w:rPr>
          <w:rFonts w:asciiTheme="minorHAnsi" w:hAnsiTheme="minorHAnsi" w:cs="Times New Roman"/>
          <w:sz w:val="22"/>
          <w:szCs w:val="22"/>
        </w:rPr>
        <w:t xml:space="preserve">from </w:t>
      </w:r>
      <w:r w:rsidRPr="003D6AB7">
        <w:rPr>
          <w:rFonts w:asciiTheme="minorHAnsi" w:hAnsiTheme="minorHAnsi" w:cs="Times New Roman"/>
          <w:sz w:val="22"/>
          <w:szCs w:val="22"/>
        </w:rPr>
        <w:t xml:space="preserve">Switzerland </w:t>
      </w:r>
      <w:r w:rsidR="00370287" w:rsidRPr="003D6AB7">
        <w:rPr>
          <w:rFonts w:asciiTheme="minorHAnsi" w:hAnsiTheme="minorHAnsi" w:cs="Times New Roman"/>
          <w:sz w:val="22"/>
          <w:szCs w:val="22"/>
        </w:rPr>
        <w:t xml:space="preserve">over and </w:t>
      </w:r>
      <w:r w:rsidRPr="003D6AB7">
        <w:rPr>
          <w:rFonts w:asciiTheme="minorHAnsi" w:hAnsiTheme="minorHAnsi" w:cs="Times New Roman"/>
          <w:sz w:val="22"/>
          <w:szCs w:val="22"/>
        </w:rPr>
        <w:t>above the annual dues provided to the Convention’s core budget.</w:t>
      </w:r>
      <w:r w:rsidR="00DD25C7">
        <w:rPr>
          <w:rFonts w:asciiTheme="minorHAnsi" w:hAnsiTheme="minorHAnsi" w:cs="Times New Roman"/>
          <w:sz w:val="22"/>
          <w:szCs w:val="22"/>
        </w:rPr>
        <w:t xml:space="preserve"> </w:t>
      </w:r>
      <w:r w:rsidRPr="003D6AB7">
        <w:rPr>
          <w:rFonts w:asciiTheme="minorHAnsi" w:hAnsiTheme="minorHAnsi" w:cs="Times New Roman"/>
          <w:sz w:val="22"/>
          <w:szCs w:val="22"/>
        </w:rPr>
        <w:t>In 2014,</w:t>
      </w:r>
      <w:r w:rsidR="00370287" w:rsidRPr="003D6AB7">
        <w:rPr>
          <w:rFonts w:asciiTheme="minorHAnsi" w:hAnsiTheme="minorHAnsi" w:cs="Times New Roman"/>
          <w:sz w:val="22"/>
          <w:szCs w:val="22"/>
        </w:rPr>
        <w:t xml:space="preserve"> for instance</w:t>
      </w:r>
      <w:r w:rsidR="00DD25C7">
        <w:rPr>
          <w:rFonts w:asciiTheme="minorHAnsi" w:hAnsiTheme="minorHAnsi" w:cs="Times New Roman"/>
          <w:sz w:val="22"/>
          <w:szCs w:val="22"/>
        </w:rPr>
        <w:t>,</w:t>
      </w:r>
      <w:r w:rsidR="00370287" w:rsidRPr="003D6AB7">
        <w:rPr>
          <w:rFonts w:asciiTheme="minorHAnsi" w:hAnsiTheme="minorHAnsi" w:cs="Times New Roman"/>
          <w:sz w:val="22"/>
          <w:szCs w:val="22"/>
        </w:rPr>
        <w:t xml:space="preserve"> a grant to the SGA of </w:t>
      </w:r>
      <w:r w:rsidRPr="003D6AB7">
        <w:rPr>
          <w:rFonts w:asciiTheme="minorHAnsi" w:hAnsiTheme="minorHAnsi" w:cs="Times New Roman"/>
          <w:sz w:val="22"/>
          <w:szCs w:val="22"/>
        </w:rPr>
        <w:t>CHF 90,000 was entirely used to sponsor African delegates</w:t>
      </w:r>
      <w:r w:rsidR="00AB3999" w:rsidRPr="003D6AB7">
        <w:rPr>
          <w:rFonts w:asciiTheme="minorHAnsi" w:hAnsiTheme="minorHAnsi" w:cs="Times New Roman"/>
          <w:sz w:val="22"/>
          <w:szCs w:val="22"/>
        </w:rPr>
        <w:t>’</w:t>
      </w:r>
      <w:r w:rsidRPr="003D6AB7">
        <w:rPr>
          <w:rFonts w:asciiTheme="minorHAnsi" w:hAnsiTheme="minorHAnsi" w:cs="Times New Roman"/>
          <w:sz w:val="22"/>
          <w:szCs w:val="22"/>
        </w:rPr>
        <w:t xml:space="preserve"> participation </w:t>
      </w:r>
      <w:r w:rsidR="00DD25C7">
        <w:rPr>
          <w:rFonts w:asciiTheme="minorHAnsi" w:hAnsiTheme="minorHAnsi" w:cs="Times New Roman"/>
          <w:sz w:val="22"/>
          <w:szCs w:val="22"/>
        </w:rPr>
        <w:t>in</w:t>
      </w:r>
      <w:r w:rsidR="00DD25C7" w:rsidRPr="003D6AB7">
        <w:rPr>
          <w:rFonts w:asciiTheme="minorHAnsi" w:hAnsiTheme="minorHAnsi" w:cs="Times New Roman"/>
          <w:sz w:val="22"/>
          <w:szCs w:val="22"/>
        </w:rPr>
        <w:t xml:space="preserve"> </w:t>
      </w:r>
      <w:r w:rsidRPr="003D6AB7">
        <w:rPr>
          <w:rFonts w:asciiTheme="minorHAnsi" w:hAnsiTheme="minorHAnsi" w:cs="Times New Roman"/>
          <w:sz w:val="22"/>
          <w:szCs w:val="22"/>
        </w:rPr>
        <w:t>the pre</w:t>
      </w:r>
      <w:r w:rsidR="00164ECC" w:rsidRPr="003D6AB7">
        <w:rPr>
          <w:rFonts w:asciiTheme="minorHAnsi" w:hAnsiTheme="minorHAnsi" w:cs="Times New Roman"/>
          <w:sz w:val="22"/>
          <w:szCs w:val="22"/>
        </w:rPr>
        <w:t>-</w:t>
      </w:r>
      <w:r w:rsidRPr="003D6AB7">
        <w:rPr>
          <w:rFonts w:asciiTheme="minorHAnsi" w:hAnsiTheme="minorHAnsi" w:cs="Times New Roman"/>
          <w:sz w:val="22"/>
          <w:szCs w:val="22"/>
        </w:rPr>
        <w:t>COP meeting in Tunisia.</w:t>
      </w:r>
      <w:r w:rsidR="00DD25C7">
        <w:rPr>
          <w:rFonts w:asciiTheme="minorHAnsi" w:hAnsiTheme="minorHAnsi" w:cs="Times New Roman"/>
          <w:sz w:val="22"/>
          <w:szCs w:val="22"/>
        </w:rPr>
        <w:t xml:space="preserve"> In 2015</w:t>
      </w:r>
      <w:r w:rsidR="00D17B0B" w:rsidRPr="003D6AB7">
        <w:rPr>
          <w:rFonts w:asciiTheme="minorHAnsi" w:hAnsiTheme="minorHAnsi" w:cs="Times New Roman"/>
          <w:sz w:val="22"/>
          <w:szCs w:val="22"/>
        </w:rPr>
        <w:t>,</w:t>
      </w:r>
      <w:r w:rsidR="00AB3999" w:rsidRPr="003D6AB7">
        <w:rPr>
          <w:rFonts w:asciiTheme="minorHAnsi" w:hAnsiTheme="minorHAnsi" w:cs="Times New Roman"/>
          <w:sz w:val="22"/>
          <w:szCs w:val="22"/>
        </w:rPr>
        <w:t xml:space="preserve"> a</w:t>
      </w:r>
      <w:r w:rsidRPr="003D6AB7">
        <w:rPr>
          <w:rFonts w:asciiTheme="minorHAnsi" w:hAnsiTheme="minorHAnsi" w:cs="Times New Roman"/>
          <w:sz w:val="22"/>
          <w:szCs w:val="22"/>
        </w:rPr>
        <w:t xml:space="preserve"> </w:t>
      </w:r>
      <w:r w:rsidR="00370287" w:rsidRPr="003D6AB7">
        <w:rPr>
          <w:rFonts w:asciiTheme="minorHAnsi" w:hAnsiTheme="minorHAnsi" w:cs="Times New Roman"/>
          <w:sz w:val="22"/>
          <w:szCs w:val="22"/>
        </w:rPr>
        <w:t xml:space="preserve">grant to the </w:t>
      </w:r>
      <w:r w:rsidRPr="003D6AB7">
        <w:rPr>
          <w:rFonts w:asciiTheme="minorHAnsi" w:hAnsiTheme="minorHAnsi" w:cs="Times New Roman"/>
          <w:sz w:val="22"/>
          <w:szCs w:val="22"/>
        </w:rPr>
        <w:t>SGA of CHF 115,000 was entirely used to sponsor African delegates</w:t>
      </w:r>
      <w:r w:rsidR="00AB3999" w:rsidRPr="003D6AB7">
        <w:rPr>
          <w:rFonts w:asciiTheme="minorHAnsi" w:hAnsiTheme="minorHAnsi" w:cs="Times New Roman"/>
          <w:sz w:val="22"/>
          <w:szCs w:val="22"/>
        </w:rPr>
        <w:t>’</w:t>
      </w:r>
      <w:r w:rsidRPr="003D6AB7">
        <w:rPr>
          <w:rFonts w:asciiTheme="minorHAnsi" w:hAnsiTheme="minorHAnsi" w:cs="Times New Roman"/>
          <w:sz w:val="22"/>
          <w:szCs w:val="22"/>
        </w:rPr>
        <w:t xml:space="preserve"> participation </w:t>
      </w:r>
      <w:r w:rsidR="00DD25C7">
        <w:rPr>
          <w:rFonts w:asciiTheme="minorHAnsi" w:hAnsiTheme="minorHAnsi" w:cs="Times New Roman"/>
          <w:sz w:val="22"/>
          <w:szCs w:val="22"/>
        </w:rPr>
        <w:t>in</w:t>
      </w:r>
      <w:r w:rsidR="00DD25C7" w:rsidRPr="003D6AB7">
        <w:rPr>
          <w:rFonts w:asciiTheme="minorHAnsi" w:hAnsiTheme="minorHAnsi" w:cs="Times New Roman"/>
          <w:sz w:val="22"/>
          <w:szCs w:val="22"/>
        </w:rPr>
        <w:t xml:space="preserve"> </w:t>
      </w:r>
      <w:r w:rsidRPr="003D6AB7">
        <w:rPr>
          <w:rFonts w:asciiTheme="minorHAnsi" w:hAnsiTheme="minorHAnsi" w:cs="Times New Roman"/>
          <w:sz w:val="22"/>
          <w:szCs w:val="22"/>
        </w:rPr>
        <w:t>COP</w:t>
      </w:r>
      <w:r w:rsidR="00DD25C7">
        <w:rPr>
          <w:rFonts w:asciiTheme="minorHAnsi" w:hAnsiTheme="minorHAnsi" w:cs="Times New Roman"/>
          <w:sz w:val="22"/>
          <w:szCs w:val="22"/>
        </w:rPr>
        <w:t>12</w:t>
      </w:r>
      <w:r w:rsidRPr="003D6AB7">
        <w:rPr>
          <w:rFonts w:asciiTheme="minorHAnsi" w:hAnsiTheme="minorHAnsi" w:cs="Times New Roman"/>
          <w:sz w:val="22"/>
          <w:szCs w:val="22"/>
        </w:rPr>
        <w:t xml:space="preserve"> in Uruguay.</w:t>
      </w:r>
      <w:r w:rsidR="00DD25C7">
        <w:rPr>
          <w:rFonts w:asciiTheme="minorHAnsi" w:hAnsiTheme="minorHAnsi" w:cs="Times New Roman"/>
          <w:sz w:val="22"/>
          <w:szCs w:val="22"/>
        </w:rPr>
        <w:t xml:space="preserve"> </w:t>
      </w:r>
      <w:r w:rsidR="00D17B0B" w:rsidRPr="003D6AB7">
        <w:rPr>
          <w:rFonts w:asciiTheme="minorHAnsi" w:hAnsiTheme="minorHAnsi" w:cs="Times New Roman"/>
          <w:sz w:val="22"/>
          <w:szCs w:val="22"/>
        </w:rPr>
        <w:t>This f</w:t>
      </w:r>
      <w:r w:rsidRPr="003D6AB7">
        <w:rPr>
          <w:rFonts w:asciiTheme="minorHAnsi" w:hAnsiTheme="minorHAnsi" w:cs="Times New Roman"/>
          <w:sz w:val="22"/>
          <w:szCs w:val="22"/>
        </w:rPr>
        <w:t xml:space="preserve">und is administered by the Secretariat, with </w:t>
      </w:r>
      <w:r w:rsidR="001B00EB" w:rsidRPr="003D6AB7">
        <w:rPr>
          <w:rFonts w:asciiTheme="minorHAnsi" w:hAnsiTheme="minorHAnsi" w:cs="Times New Roman"/>
          <w:sz w:val="22"/>
          <w:szCs w:val="22"/>
        </w:rPr>
        <w:t xml:space="preserve">project approval by </w:t>
      </w:r>
      <w:r w:rsidRPr="003D6AB7">
        <w:rPr>
          <w:rFonts w:asciiTheme="minorHAnsi" w:hAnsiTheme="minorHAnsi" w:cs="Times New Roman"/>
          <w:sz w:val="22"/>
          <w:szCs w:val="22"/>
        </w:rPr>
        <w:t>Switzerland.</w:t>
      </w:r>
      <w:r w:rsidR="00DD25C7">
        <w:rPr>
          <w:rFonts w:asciiTheme="minorHAnsi" w:hAnsiTheme="minorHAnsi" w:cs="Times New Roman"/>
          <w:sz w:val="22"/>
          <w:szCs w:val="22"/>
        </w:rPr>
        <w:t xml:space="preserve"> </w:t>
      </w:r>
    </w:p>
    <w:p w:rsidR="003F09D4" w:rsidRPr="003D6AB7" w:rsidRDefault="003F09D4" w:rsidP="003D6AB7">
      <w:pPr>
        <w:spacing w:after="0" w:line="240" w:lineRule="auto"/>
        <w:ind w:left="426" w:hanging="426"/>
        <w:rPr>
          <w:rFonts w:cs="Times New Roman"/>
        </w:rPr>
      </w:pPr>
    </w:p>
    <w:p w:rsidR="003F09D4" w:rsidRPr="003D6AB7" w:rsidRDefault="003F09D4" w:rsidP="003D6AB7">
      <w:pPr>
        <w:pStyle w:val="Default"/>
        <w:numPr>
          <w:ilvl w:val="0"/>
          <w:numId w:val="13"/>
        </w:numPr>
        <w:ind w:left="426" w:hanging="426"/>
        <w:rPr>
          <w:rFonts w:asciiTheme="minorHAnsi" w:hAnsiTheme="minorHAnsi" w:cs="Times New Roman"/>
          <w:sz w:val="22"/>
          <w:szCs w:val="22"/>
        </w:rPr>
      </w:pPr>
      <w:r w:rsidRPr="003D6AB7">
        <w:rPr>
          <w:rFonts w:asciiTheme="minorHAnsi" w:hAnsiTheme="minorHAnsi" w:cs="Times New Roman"/>
          <w:sz w:val="22"/>
          <w:szCs w:val="22"/>
        </w:rPr>
        <w:t>Since 1997, t</w:t>
      </w:r>
      <w:r w:rsidR="006C7C91" w:rsidRPr="003D6AB7">
        <w:rPr>
          <w:rFonts w:asciiTheme="minorHAnsi" w:hAnsiTheme="minorHAnsi" w:cs="Times New Roman"/>
          <w:sz w:val="22"/>
          <w:szCs w:val="22"/>
        </w:rPr>
        <w:t>he Wetlands for the Future F</w:t>
      </w:r>
      <w:r w:rsidR="0079772A" w:rsidRPr="003D6AB7">
        <w:rPr>
          <w:rFonts w:asciiTheme="minorHAnsi" w:hAnsiTheme="minorHAnsi" w:cs="Times New Roman"/>
          <w:sz w:val="22"/>
          <w:szCs w:val="22"/>
        </w:rPr>
        <w:t>und</w:t>
      </w:r>
      <w:r w:rsidR="00164ECC" w:rsidRPr="003D6AB7">
        <w:rPr>
          <w:rFonts w:asciiTheme="minorHAnsi" w:hAnsiTheme="minorHAnsi" w:cs="Times New Roman"/>
          <w:sz w:val="22"/>
          <w:szCs w:val="22"/>
        </w:rPr>
        <w:t xml:space="preserve"> (WFF)</w:t>
      </w:r>
      <w:r w:rsidR="00195DD8" w:rsidRPr="003D6AB7">
        <w:rPr>
          <w:rFonts w:asciiTheme="minorHAnsi" w:hAnsiTheme="minorHAnsi" w:cs="Times New Roman"/>
          <w:sz w:val="22"/>
          <w:szCs w:val="22"/>
        </w:rPr>
        <w:t xml:space="preserve"> has been supported by</w:t>
      </w:r>
      <w:r w:rsidR="0079772A" w:rsidRPr="003D6AB7">
        <w:rPr>
          <w:rFonts w:asciiTheme="minorHAnsi" w:hAnsiTheme="minorHAnsi" w:cs="Times New Roman"/>
          <w:sz w:val="22"/>
          <w:szCs w:val="22"/>
        </w:rPr>
        <w:t xml:space="preserve"> </w:t>
      </w:r>
      <w:r w:rsidR="00164ECC" w:rsidRPr="003D6AB7">
        <w:rPr>
          <w:rFonts w:asciiTheme="minorHAnsi" w:hAnsiTheme="minorHAnsi" w:cs="Times New Roman"/>
          <w:sz w:val="22"/>
          <w:szCs w:val="22"/>
        </w:rPr>
        <w:t xml:space="preserve">a voluntary contribution by </w:t>
      </w:r>
      <w:r w:rsidR="0079772A" w:rsidRPr="003D6AB7">
        <w:rPr>
          <w:rFonts w:asciiTheme="minorHAnsi" w:hAnsiTheme="minorHAnsi" w:cs="Times New Roman"/>
          <w:sz w:val="22"/>
          <w:szCs w:val="22"/>
        </w:rPr>
        <w:t>the USA</w:t>
      </w:r>
      <w:r w:rsidR="000B4D4F" w:rsidRPr="003D6AB7">
        <w:rPr>
          <w:rFonts w:asciiTheme="minorHAnsi" w:hAnsiTheme="minorHAnsi" w:cs="Times New Roman"/>
          <w:sz w:val="22"/>
          <w:szCs w:val="22"/>
        </w:rPr>
        <w:t>, underpinned by a Memorandum of Understanding</w:t>
      </w:r>
      <w:r w:rsidR="00195DD8" w:rsidRPr="003D6AB7">
        <w:rPr>
          <w:rFonts w:asciiTheme="minorHAnsi" w:hAnsiTheme="minorHAnsi" w:cs="Times New Roman"/>
          <w:sz w:val="22"/>
          <w:szCs w:val="22"/>
        </w:rPr>
        <w:t>.</w:t>
      </w:r>
      <w:r w:rsidR="00DD25C7">
        <w:rPr>
          <w:rFonts w:asciiTheme="minorHAnsi" w:hAnsiTheme="minorHAnsi" w:cs="Times New Roman"/>
          <w:sz w:val="22"/>
          <w:szCs w:val="22"/>
        </w:rPr>
        <w:t xml:space="preserve"> </w:t>
      </w:r>
      <w:r w:rsidR="00195DD8" w:rsidRPr="003D6AB7">
        <w:rPr>
          <w:rFonts w:asciiTheme="minorHAnsi" w:hAnsiTheme="minorHAnsi" w:cs="Times New Roman"/>
          <w:sz w:val="22"/>
          <w:szCs w:val="22"/>
        </w:rPr>
        <w:t xml:space="preserve">It </w:t>
      </w:r>
      <w:r w:rsidR="0079772A" w:rsidRPr="003D6AB7">
        <w:rPr>
          <w:rFonts w:asciiTheme="minorHAnsi" w:hAnsiTheme="minorHAnsi" w:cs="Times New Roman"/>
          <w:sz w:val="22"/>
          <w:szCs w:val="22"/>
        </w:rPr>
        <w:t xml:space="preserve">has </w:t>
      </w:r>
      <w:r w:rsidR="00370287" w:rsidRPr="003D6AB7">
        <w:rPr>
          <w:rFonts w:asciiTheme="minorHAnsi" w:hAnsiTheme="minorHAnsi" w:cs="Times New Roman"/>
          <w:sz w:val="22"/>
          <w:szCs w:val="22"/>
        </w:rPr>
        <w:t xml:space="preserve">now </w:t>
      </w:r>
      <w:r w:rsidR="0079772A" w:rsidRPr="003D6AB7">
        <w:rPr>
          <w:rFonts w:asciiTheme="minorHAnsi" w:hAnsiTheme="minorHAnsi" w:cs="Times New Roman"/>
          <w:sz w:val="22"/>
          <w:szCs w:val="22"/>
        </w:rPr>
        <w:t>provided financial support to 290 projects in Latin America and the Caribbean, 83 of which have supported activities within designated Ramsar Sites.</w:t>
      </w:r>
      <w:r w:rsidR="00DD25C7">
        <w:rPr>
          <w:rFonts w:asciiTheme="minorHAnsi" w:hAnsiTheme="minorHAnsi" w:cs="Times New Roman"/>
          <w:sz w:val="22"/>
          <w:szCs w:val="22"/>
        </w:rPr>
        <w:t xml:space="preserve"> </w:t>
      </w:r>
      <w:r w:rsidRPr="003D6AB7">
        <w:rPr>
          <w:rFonts w:asciiTheme="minorHAnsi" w:hAnsiTheme="minorHAnsi" w:cs="Times New Roman"/>
          <w:sz w:val="22"/>
          <w:szCs w:val="22"/>
        </w:rPr>
        <w:t xml:space="preserve">The fund is largely focused on capacity building and training, with </w:t>
      </w:r>
      <w:r w:rsidR="00370287" w:rsidRPr="003D6AB7">
        <w:rPr>
          <w:rFonts w:asciiTheme="minorHAnsi" w:hAnsiTheme="minorHAnsi" w:cs="Times New Roman"/>
          <w:sz w:val="22"/>
          <w:szCs w:val="22"/>
        </w:rPr>
        <w:t>approximate</w:t>
      </w:r>
      <w:r w:rsidR="00155BC8">
        <w:rPr>
          <w:rFonts w:asciiTheme="minorHAnsi" w:hAnsiTheme="minorHAnsi" w:cs="Times New Roman"/>
          <w:sz w:val="22"/>
          <w:szCs w:val="22"/>
        </w:rPr>
        <w:t>ly</w:t>
      </w:r>
      <w:r w:rsidR="00370287" w:rsidRPr="003D6AB7">
        <w:rPr>
          <w:rFonts w:asciiTheme="minorHAnsi" w:hAnsiTheme="minorHAnsi" w:cs="Times New Roman"/>
          <w:sz w:val="22"/>
          <w:szCs w:val="22"/>
        </w:rPr>
        <w:t xml:space="preserve"> </w:t>
      </w:r>
      <w:r w:rsidR="00164ECC" w:rsidRPr="003D6AB7">
        <w:rPr>
          <w:rFonts w:asciiTheme="minorHAnsi" w:hAnsiTheme="minorHAnsi" w:cs="Times New Roman"/>
          <w:sz w:val="22"/>
          <w:szCs w:val="22"/>
        </w:rPr>
        <w:t>CHF 107,000 being donated in 2015.</w:t>
      </w:r>
      <w:r w:rsidR="00DD25C7">
        <w:rPr>
          <w:rFonts w:asciiTheme="minorHAnsi" w:hAnsiTheme="minorHAnsi" w:cs="Times New Roman"/>
          <w:sz w:val="22"/>
          <w:szCs w:val="22"/>
        </w:rPr>
        <w:t xml:space="preserve"> </w:t>
      </w:r>
    </w:p>
    <w:p w:rsidR="000B4D4F" w:rsidRPr="003D6AB7" w:rsidRDefault="000B4D4F" w:rsidP="003D6AB7">
      <w:pPr>
        <w:pStyle w:val="ListParagraph"/>
        <w:spacing w:after="0" w:line="240" w:lineRule="auto"/>
        <w:ind w:left="426" w:hanging="426"/>
        <w:rPr>
          <w:rFonts w:cs="Times New Roman"/>
        </w:rPr>
      </w:pPr>
    </w:p>
    <w:p w:rsidR="00E00A22" w:rsidRPr="003D6AB7" w:rsidRDefault="00C570F9" w:rsidP="003D6AB7">
      <w:pPr>
        <w:pStyle w:val="Default"/>
        <w:numPr>
          <w:ilvl w:val="0"/>
          <w:numId w:val="13"/>
        </w:numPr>
        <w:ind w:left="426" w:hanging="426"/>
        <w:rPr>
          <w:rFonts w:asciiTheme="minorHAnsi" w:hAnsiTheme="minorHAnsi" w:cs="Times New Roman"/>
          <w:sz w:val="22"/>
          <w:szCs w:val="22"/>
        </w:rPr>
      </w:pPr>
      <w:r w:rsidRPr="003D6AB7">
        <w:rPr>
          <w:rFonts w:asciiTheme="minorHAnsi" w:hAnsiTheme="minorHAnsi" w:cs="Times New Roman"/>
          <w:sz w:val="22"/>
          <w:szCs w:val="22"/>
        </w:rPr>
        <w:t>Chart</w:t>
      </w:r>
      <w:r w:rsidR="00DA4B44" w:rsidRPr="003D6AB7">
        <w:rPr>
          <w:rFonts w:asciiTheme="minorHAnsi" w:hAnsiTheme="minorHAnsi" w:cs="Times New Roman"/>
          <w:sz w:val="22"/>
          <w:szCs w:val="22"/>
        </w:rPr>
        <w:t xml:space="preserve"> 1</w:t>
      </w:r>
      <w:r w:rsidR="008B7384" w:rsidRPr="003D6AB7">
        <w:rPr>
          <w:rFonts w:asciiTheme="minorHAnsi" w:hAnsiTheme="minorHAnsi" w:cs="Times New Roman"/>
          <w:sz w:val="22"/>
          <w:szCs w:val="22"/>
        </w:rPr>
        <w:t>.</w:t>
      </w:r>
      <w:r w:rsidRPr="003D6AB7">
        <w:rPr>
          <w:rFonts w:asciiTheme="minorHAnsi" w:hAnsiTheme="minorHAnsi" w:cs="Times New Roman"/>
          <w:sz w:val="22"/>
          <w:szCs w:val="22"/>
        </w:rPr>
        <w:t xml:space="preserve"> below </w:t>
      </w:r>
      <w:r w:rsidR="00370287" w:rsidRPr="003D6AB7">
        <w:rPr>
          <w:rFonts w:asciiTheme="minorHAnsi" w:hAnsiTheme="minorHAnsi" w:cs="Times New Roman"/>
          <w:sz w:val="22"/>
          <w:szCs w:val="22"/>
        </w:rPr>
        <w:t>shows that voluntary</w:t>
      </w:r>
      <w:r w:rsidR="00980104" w:rsidRPr="003D6AB7">
        <w:rPr>
          <w:rFonts w:asciiTheme="minorHAnsi" w:hAnsiTheme="minorHAnsi" w:cs="Times New Roman"/>
          <w:sz w:val="22"/>
          <w:szCs w:val="22"/>
        </w:rPr>
        <w:t xml:space="preserve"> contributions to the </w:t>
      </w:r>
      <w:r w:rsidR="00AB3999" w:rsidRPr="003D6AB7">
        <w:rPr>
          <w:rFonts w:asciiTheme="minorHAnsi" w:hAnsiTheme="minorHAnsi" w:cs="Times New Roman"/>
          <w:sz w:val="22"/>
          <w:szCs w:val="22"/>
        </w:rPr>
        <w:t>SGF</w:t>
      </w:r>
      <w:r w:rsidR="00D17B0B" w:rsidRPr="003D6AB7">
        <w:rPr>
          <w:rFonts w:asciiTheme="minorHAnsi" w:hAnsiTheme="minorHAnsi" w:cs="Times New Roman"/>
          <w:sz w:val="22"/>
          <w:szCs w:val="22"/>
        </w:rPr>
        <w:t xml:space="preserve"> </w:t>
      </w:r>
      <w:r w:rsidR="00980104" w:rsidRPr="003D6AB7">
        <w:rPr>
          <w:rFonts w:asciiTheme="minorHAnsi" w:hAnsiTheme="minorHAnsi" w:cs="Times New Roman"/>
          <w:sz w:val="22"/>
          <w:szCs w:val="22"/>
        </w:rPr>
        <w:t>ha</w:t>
      </w:r>
      <w:r w:rsidR="00370287" w:rsidRPr="003D6AB7">
        <w:rPr>
          <w:rFonts w:asciiTheme="minorHAnsi" w:hAnsiTheme="minorHAnsi" w:cs="Times New Roman"/>
          <w:sz w:val="22"/>
          <w:szCs w:val="22"/>
        </w:rPr>
        <w:t>ve</w:t>
      </w:r>
      <w:r w:rsidR="00980104" w:rsidRPr="003D6AB7">
        <w:rPr>
          <w:rFonts w:asciiTheme="minorHAnsi" w:hAnsiTheme="minorHAnsi" w:cs="Times New Roman"/>
          <w:sz w:val="22"/>
          <w:szCs w:val="22"/>
        </w:rPr>
        <w:t xml:space="preserve"> varied</w:t>
      </w:r>
      <w:r w:rsidR="000167A4" w:rsidRPr="003D6AB7">
        <w:rPr>
          <w:rFonts w:asciiTheme="minorHAnsi" w:hAnsiTheme="minorHAnsi" w:cs="Times New Roman"/>
          <w:sz w:val="22"/>
          <w:szCs w:val="22"/>
        </w:rPr>
        <w:t xml:space="preserve"> </w:t>
      </w:r>
      <w:r w:rsidR="00DA4B44" w:rsidRPr="003D6AB7">
        <w:rPr>
          <w:rFonts w:asciiTheme="minorHAnsi" w:hAnsiTheme="minorHAnsi" w:cs="Times New Roman"/>
          <w:sz w:val="22"/>
          <w:szCs w:val="22"/>
        </w:rPr>
        <w:t xml:space="preserve">dramatically over time, </w:t>
      </w:r>
      <w:r w:rsidR="000167A4" w:rsidRPr="003D6AB7">
        <w:rPr>
          <w:rFonts w:asciiTheme="minorHAnsi" w:hAnsiTheme="minorHAnsi" w:cs="Times New Roman"/>
          <w:sz w:val="22"/>
          <w:szCs w:val="22"/>
        </w:rPr>
        <w:t>and th</w:t>
      </w:r>
      <w:r w:rsidR="00BB66E7" w:rsidRPr="003D6AB7">
        <w:rPr>
          <w:rFonts w:asciiTheme="minorHAnsi" w:hAnsiTheme="minorHAnsi" w:cs="Times New Roman"/>
          <w:sz w:val="22"/>
          <w:szCs w:val="22"/>
        </w:rPr>
        <w:t xml:space="preserve">e SGF </w:t>
      </w:r>
      <w:r w:rsidR="00DA4B44" w:rsidRPr="003D6AB7">
        <w:rPr>
          <w:rFonts w:asciiTheme="minorHAnsi" w:hAnsiTheme="minorHAnsi" w:cs="Times New Roman"/>
          <w:sz w:val="22"/>
          <w:szCs w:val="22"/>
        </w:rPr>
        <w:t xml:space="preserve">last </w:t>
      </w:r>
      <w:r w:rsidR="00D17B0B" w:rsidRPr="003D6AB7">
        <w:rPr>
          <w:rFonts w:asciiTheme="minorHAnsi" w:hAnsiTheme="minorHAnsi" w:cs="Times New Roman"/>
          <w:sz w:val="22"/>
          <w:szCs w:val="22"/>
        </w:rPr>
        <w:t xml:space="preserve">met its </w:t>
      </w:r>
      <w:r w:rsidR="00DA4B44" w:rsidRPr="003D6AB7">
        <w:rPr>
          <w:rFonts w:asciiTheme="minorHAnsi" w:hAnsiTheme="minorHAnsi" w:cs="Times New Roman"/>
          <w:sz w:val="22"/>
          <w:szCs w:val="22"/>
        </w:rPr>
        <w:t xml:space="preserve">target </w:t>
      </w:r>
      <w:r w:rsidR="00D17B0B" w:rsidRPr="003D6AB7">
        <w:rPr>
          <w:rFonts w:asciiTheme="minorHAnsi" w:hAnsiTheme="minorHAnsi" w:cs="Times New Roman"/>
          <w:sz w:val="22"/>
          <w:szCs w:val="22"/>
        </w:rPr>
        <w:t>of</w:t>
      </w:r>
      <w:r w:rsidR="00370287" w:rsidRPr="003D6AB7">
        <w:rPr>
          <w:rFonts w:asciiTheme="minorHAnsi" w:hAnsiTheme="minorHAnsi" w:cs="Times New Roman"/>
          <w:sz w:val="22"/>
          <w:szCs w:val="22"/>
        </w:rPr>
        <w:t xml:space="preserve"> receiving </w:t>
      </w:r>
      <w:r w:rsidR="00D17B0B" w:rsidRPr="003D6AB7">
        <w:rPr>
          <w:rFonts w:asciiTheme="minorHAnsi" w:hAnsiTheme="minorHAnsi" w:cs="Times New Roman"/>
          <w:sz w:val="22"/>
          <w:szCs w:val="22"/>
        </w:rPr>
        <w:t xml:space="preserve">CHF 1 million </w:t>
      </w:r>
      <w:r w:rsidR="00DA4B44" w:rsidRPr="003D6AB7">
        <w:rPr>
          <w:rFonts w:asciiTheme="minorHAnsi" w:hAnsiTheme="minorHAnsi" w:cs="Times New Roman"/>
          <w:sz w:val="22"/>
          <w:szCs w:val="22"/>
        </w:rPr>
        <w:t>in 1997</w:t>
      </w:r>
      <w:r w:rsidR="00980104" w:rsidRPr="003D6AB7">
        <w:rPr>
          <w:rFonts w:asciiTheme="minorHAnsi" w:hAnsiTheme="minorHAnsi" w:cs="Times New Roman"/>
          <w:sz w:val="22"/>
          <w:szCs w:val="22"/>
        </w:rPr>
        <w:t>.</w:t>
      </w:r>
      <w:r w:rsidR="00DD25C7">
        <w:rPr>
          <w:rFonts w:asciiTheme="minorHAnsi" w:hAnsiTheme="minorHAnsi" w:cs="Times New Roman"/>
          <w:sz w:val="22"/>
          <w:szCs w:val="22"/>
        </w:rPr>
        <w:t xml:space="preserve"> </w:t>
      </w:r>
      <w:r w:rsidR="00370287" w:rsidRPr="003D6AB7">
        <w:rPr>
          <w:rFonts w:asciiTheme="minorHAnsi" w:hAnsiTheme="minorHAnsi" w:cs="Times New Roman"/>
          <w:sz w:val="22"/>
          <w:szCs w:val="22"/>
        </w:rPr>
        <w:t>Table 1</w:t>
      </w:r>
      <w:r w:rsidR="00E00A22" w:rsidRPr="003D6AB7">
        <w:rPr>
          <w:rFonts w:asciiTheme="minorHAnsi" w:hAnsiTheme="minorHAnsi" w:cs="Times New Roman"/>
          <w:sz w:val="22"/>
          <w:szCs w:val="22"/>
        </w:rPr>
        <w:t xml:space="preserve"> show</w:t>
      </w:r>
      <w:r w:rsidR="00BB66E7" w:rsidRPr="003D6AB7">
        <w:rPr>
          <w:rFonts w:asciiTheme="minorHAnsi" w:hAnsiTheme="minorHAnsi" w:cs="Times New Roman"/>
          <w:sz w:val="22"/>
          <w:szCs w:val="22"/>
        </w:rPr>
        <w:t>s</w:t>
      </w:r>
      <w:r w:rsidR="00E00A22" w:rsidRPr="003D6AB7">
        <w:rPr>
          <w:rFonts w:asciiTheme="minorHAnsi" w:hAnsiTheme="minorHAnsi" w:cs="Times New Roman"/>
          <w:sz w:val="22"/>
          <w:szCs w:val="22"/>
        </w:rPr>
        <w:t xml:space="preserve"> the number of projects funded and donor countries</w:t>
      </w:r>
      <w:r w:rsidR="00960F5A" w:rsidRPr="003D6AB7">
        <w:rPr>
          <w:rFonts w:asciiTheme="minorHAnsi" w:hAnsiTheme="minorHAnsi" w:cs="Times New Roman"/>
          <w:sz w:val="22"/>
          <w:szCs w:val="22"/>
        </w:rPr>
        <w:t xml:space="preserve"> since 200</w:t>
      </w:r>
      <w:r w:rsidR="00AD18A1" w:rsidRPr="003D6AB7">
        <w:rPr>
          <w:rFonts w:asciiTheme="minorHAnsi" w:hAnsiTheme="minorHAnsi" w:cs="Times New Roman"/>
          <w:sz w:val="22"/>
          <w:szCs w:val="22"/>
        </w:rPr>
        <w:t>2</w:t>
      </w:r>
      <w:r w:rsidR="00E00A22" w:rsidRPr="003D6AB7">
        <w:rPr>
          <w:rFonts w:asciiTheme="minorHAnsi" w:hAnsiTheme="minorHAnsi" w:cs="Times New Roman"/>
          <w:sz w:val="22"/>
          <w:szCs w:val="22"/>
        </w:rPr>
        <w:t>.</w:t>
      </w:r>
      <w:r w:rsidR="00DD25C7">
        <w:rPr>
          <w:rFonts w:asciiTheme="minorHAnsi" w:hAnsiTheme="minorHAnsi" w:cs="Times New Roman"/>
          <w:sz w:val="22"/>
          <w:szCs w:val="22"/>
        </w:rPr>
        <w:t xml:space="preserve"> </w:t>
      </w:r>
      <w:r w:rsidR="00B26692" w:rsidRPr="003D6AB7">
        <w:rPr>
          <w:rFonts w:asciiTheme="minorHAnsi" w:hAnsiTheme="minorHAnsi" w:cs="Times New Roman"/>
          <w:sz w:val="22"/>
          <w:szCs w:val="22"/>
        </w:rPr>
        <w:t>No call</w:t>
      </w:r>
      <w:r w:rsidR="000167A4" w:rsidRPr="003D6AB7">
        <w:rPr>
          <w:rFonts w:asciiTheme="minorHAnsi" w:hAnsiTheme="minorHAnsi" w:cs="Times New Roman"/>
          <w:sz w:val="22"/>
          <w:szCs w:val="22"/>
        </w:rPr>
        <w:t>s</w:t>
      </w:r>
      <w:r w:rsidR="00B26692" w:rsidRPr="003D6AB7">
        <w:rPr>
          <w:rFonts w:asciiTheme="minorHAnsi" w:hAnsiTheme="minorHAnsi" w:cs="Times New Roman"/>
          <w:sz w:val="22"/>
          <w:szCs w:val="22"/>
        </w:rPr>
        <w:t xml:space="preserve"> for </w:t>
      </w:r>
      <w:r w:rsidR="000167A4" w:rsidRPr="003D6AB7">
        <w:rPr>
          <w:rFonts w:asciiTheme="minorHAnsi" w:hAnsiTheme="minorHAnsi" w:cs="Times New Roman"/>
          <w:sz w:val="22"/>
          <w:szCs w:val="22"/>
        </w:rPr>
        <w:t xml:space="preserve">new </w:t>
      </w:r>
      <w:r w:rsidR="00B26692" w:rsidRPr="003D6AB7">
        <w:rPr>
          <w:rFonts w:asciiTheme="minorHAnsi" w:hAnsiTheme="minorHAnsi" w:cs="Times New Roman"/>
          <w:sz w:val="22"/>
          <w:szCs w:val="22"/>
        </w:rPr>
        <w:t>SGF</w:t>
      </w:r>
      <w:r w:rsidR="00AB3999" w:rsidRPr="003D6AB7">
        <w:rPr>
          <w:rFonts w:asciiTheme="minorHAnsi" w:hAnsiTheme="minorHAnsi" w:cs="Times New Roman"/>
          <w:sz w:val="22"/>
          <w:szCs w:val="22"/>
        </w:rPr>
        <w:t xml:space="preserve"> </w:t>
      </w:r>
      <w:r w:rsidR="000D4093" w:rsidRPr="003D6AB7">
        <w:rPr>
          <w:rFonts w:asciiTheme="minorHAnsi" w:hAnsiTheme="minorHAnsi" w:cs="Times New Roman"/>
          <w:sz w:val="22"/>
          <w:szCs w:val="22"/>
        </w:rPr>
        <w:t>p</w:t>
      </w:r>
      <w:r w:rsidR="00B26692" w:rsidRPr="003D6AB7">
        <w:rPr>
          <w:rFonts w:asciiTheme="minorHAnsi" w:hAnsiTheme="minorHAnsi" w:cs="Times New Roman"/>
          <w:sz w:val="22"/>
          <w:szCs w:val="22"/>
        </w:rPr>
        <w:t xml:space="preserve">roposals </w:t>
      </w:r>
      <w:r w:rsidR="00980104" w:rsidRPr="003D6AB7">
        <w:rPr>
          <w:rFonts w:asciiTheme="minorHAnsi" w:hAnsiTheme="minorHAnsi" w:cs="Times New Roman"/>
          <w:sz w:val="22"/>
          <w:szCs w:val="22"/>
        </w:rPr>
        <w:t xml:space="preserve">have been made since the 2010-2011 project </w:t>
      </w:r>
      <w:r w:rsidR="001B00EB" w:rsidRPr="003D6AB7">
        <w:rPr>
          <w:rFonts w:asciiTheme="minorHAnsi" w:hAnsiTheme="minorHAnsi" w:cs="Times New Roman"/>
          <w:sz w:val="22"/>
          <w:szCs w:val="22"/>
        </w:rPr>
        <w:t>cycle</w:t>
      </w:r>
      <w:r w:rsidR="00980104" w:rsidRPr="003D6AB7">
        <w:rPr>
          <w:rFonts w:asciiTheme="minorHAnsi" w:hAnsiTheme="minorHAnsi" w:cs="Times New Roman"/>
          <w:sz w:val="22"/>
          <w:szCs w:val="22"/>
        </w:rPr>
        <w:t xml:space="preserve"> because of </w:t>
      </w:r>
      <w:r w:rsidR="00DA4B44" w:rsidRPr="003D6AB7">
        <w:rPr>
          <w:rFonts w:asciiTheme="minorHAnsi" w:hAnsiTheme="minorHAnsi" w:cs="Times New Roman"/>
          <w:sz w:val="22"/>
          <w:szCs w:val="22"/>
        </w:rPr>
        <w:t xml:space="preserve">the </w:t>
      </w:r>
      <w:r w:rsidR="00980104" w:rsidRPr="003D6AB7">
        <w:rPr>
          <w:rFonts w:asciiTheme="minorHAnsi" w:hAnsiTheme="minorHAnsi" w:cs="Times New Roman"/>
          <w:sz w:val="22"/>
          <w:szCs w:val="22"/>
        </w:rPr>
        <w:t xml:space="preserve">lack of funds and a surplus of </w:t>
      </w:r>
      <w:r w:rsidR="00DA4B44" w:rsidRPr="003D6AB7">
        <w:rPr>
          <w:rFonts w:asciiTheme="minorHAnsi" w:hAnsiTheme="minorHAnsi" w:cs="Times New Roman"/>
          <w:sz w:val="22"/>
          <w:szCs w:val="22"/>
        </w:rPr>
        <w:t xml:space="preserve">ranked priority </w:t>
      </w:r>
      <w:r w:rsidR="00980104" w:rsidRPr="003D6AB7">
        <w:rPr>
          <w:rFonts w:asciiTheme="minorHAnsi" w:hAnsiTheme="minorHAnsi" w:cs="Times New Roman"/>
          <w:sz w:val="22"/>
          <w:szCs w:val="22"/>
        </w:rPr>
        <w:t>projects</w:t>
      </w:r>
      <w:r w:rsidR="00DA4B44" w:rsidRPr="003D6AB7">
        <w:rPr>
          <w:rFonts w:asciiTheme="minorHAnsi" w:hAnsiTheme="minorHAnsi" w:cs="Times New Roman"/>
          <w:sz w:val="22"/>
          <w:szCs w:val="22"/>
        </w:rPr>
        <w:t xml:space="preserve"> waiting to be funded</w:t>
      </w:r>
      <w:r w:rsidR="00980104" w:rsidRPr="003D6AB7">
        <w:rPr>
          <w:rFonts w:asciiTheme="minorHAnsi" w:hAnsiTheme="minorHAnsi" w:cs="Times New Roman"/>
          <w:sz w:val="22"/>
          <w:szCs w:val="22"/>
        </w:rPr>
        <w:t>.</w:t>
      </w:r>
      <w:r w:rsidR="00DD25C7">
        <w:rPr>
          <w:rFonts w:asciiTheme="minorHAnsi" w:hAnsiTheme="minorHAnsi" w:cs="Times New Roman"/>
          <w:sz w:val="22"/>
          <w:szCs w:val="22"/>
        </w:rPr>
        <w:t xml:space="preserve"> </w:t>
      </w:r>
      <w:r w:rsidR="00B26692" w:rsidRPr="003D6AB7">
        <w:rPr>
          <w:rFonts w:asciiTheme="minorHAnsi" w:hAnsiTheme="minorHAnsi" w:cs="Times New Roman"/>
          <w:sz w:val="22"/>
          <w:szCs w:val="22"/>
        </w:rPr>
        <w:t>There are currently no funds available in the SGF for new projects.</w:t>
      </w:r>
      <w:r w:rsidR="00DD25C7">
        <w:rPr>
          <w:rFonts w:asciiTheme="minorHAnsi" w:hAnsiTheme="minorHAnsi" w:cs="Times New Roman"/>
          <w:sz w:val="22"/>
          <w:szCs w:val="22"/>
        </w:rPr>
        <w:t xml:space="preserve"> </w:t>
      </w:r>
    </w:p>
    <w:p w:rsidR="008B7384" w:rsidRPr="003D6AB7" w:rsidRDefault="008B7384" w:rsidP="003D6AB7">
      <w:pPr>
        <w:pStyle w:val="Default"/>
        <w:rPr>
          <w:rFonts w:asciiTheme="minorHAnsi" w:hAnsiTheme="minorHAnsi" w:cs="Times New Roman"/>
          <w:sz w:val="22"/>
          <w:szCs w:val="22"/>
        </w:rPr>
      </w:pPr>
    </w:p>
    <w:p w:rsidR="008B7384" w:rsidRDefault="008B7384" w:rsidP="003D6AB7">
      <w:pPr>
        <w:spacing w:after="0" w:line="240" w:lineRule="auto"/>
        <w:rPr>
          <w:rFonts w:cs="Times New Roman"/>
        </w:rPr>
      </w:pPr>
      <w:r w:rsidRPr="00155BC8">
        <w:rPr>
          <w:rFonts w:cs="Times New Roman"/>
        </w:rPr>
        <w:t>Chart 1.</w:t>
      </w:r>
      <w:r w:rsidR="00DD25C7" w:rsidRPr="00155BC8">
        <w:rPr>
          <w:rFonts w:cs="Times New Roman"/>
        </w:rPr>
        <w:t xml:space="preserve"> </w:t>
      </w:r>
      <w:r w:rsidRPr="00155BC8">
        <w:rPr>
          <w:rFonts w:cs="Times New Roman"/>
        </w:rPr>
        <w:t xml:space="preserve">Combined </w:t>
      </w:r>
      <w:r w:rsidR="00155BC8" w:rsidRPr="00155BC8">
        <w:rPr>
          <w:rFonts w:cs="Times New Roman"/>
        </w:rPr>
        <w:t xml:space="preserve">annual voluntary contributions to small grants fund </w:t>
      </w:r>
    </w:p>
    <w:p w:rsidR="000B4C27" w:rsidRPr="00155BC8" w:rsidRDefault="000B4C27" w:rsidP="003D6AB7">
      <w:pPr>
        <w:spacing w:after="0" w:line="240" w:lineRule="auto"/>
        <w:rPr>
          <w:rFonts w:cs="Times New Roman"/>
        </w:rPr>
      </w:pPr>
    </w:p>
    <w:p w:rsidR="0035071D" w:rsidRPr="003D6AB7" w:rsidRDefault="00575043" w:rsidP="003D6AB7">
      <w:pPr>
        <w:spacing w:after="0" w:line="240" w:lineRule="auto"/>
        <w:rPr>
          <w:rFonts w:cs="Times New Roman"/>
        </w:rPr>
      </w:pPr>
      <w:r w:rsidRPr="003D6AB7">
        <w:rPr>
          <w:noProof/>
          <w:lang w:eastAsia="en-GB"/>
        </w:rPr>
        <w:drawing>
          <wp:inline distT="0" distB="0" distL="0" distR="0" wp14:anchorId="2ACCE978" wp14:editId="12255AF7">
            <wp:extent cx="5822830" cy="2682815"/>
            <wp:effectExtent l="0" t="0" r="26035" b="22860"/>
            <wp:docPr id="2" name="Chart 2" title="CHF"/>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70287" w:rsidRDefault="008B7384" w:rsidP="003D6AB7">
      <w:pPr>
        <w:spacing w:after="0" w:line="240" w:lineRule="auto"/>
        <w:rPr>
          <w:rFonts w:cs="Times New Roman"/>
        </w:rPr>
      </w:pPr>
      <w:r w:rsidRPr="00155BC8">
        <w:rPr>
          <w:rFonts w:cs="Times New Roman"/>
        </w:rPr>
        <w:lastRenderedPageBreak/>
        <w:t>Table 1.</w:t>
      </w:r>
      <w:r w:rsidR="00DD25C7" w:rsidRPr="00155BC8">
        <w:rPr>
          <w:rFonts w:cs="Times New Roman"/>
        </w:rPr>
        <w:t xml:space="preserve"> </w:t>
      </w:r>
      <w:r w:rsidR="00370287" w:rsidRPr="00155BC8">
        <w:rPr>
          <w:rFonts w:cs="Times New Roman"/>
        </w:rPr>
        <w:t xml:space="preserve">Provision of funding </w:t>
      </w:r>
      <w:r w:rsidR="00A968E9" w:rsidRPr="00155BC8">
        <w:rPr>
          <w:rFonts w:cs="Times New Roman"/>
        </w:rPr>
        <w:t xml:space="preserve">per annum </w:t>
      </w:r>
      <w:r w:rsidR="00370287" w:rsidRPr="00155BC8">
        <w:rPr>
          <w:rFonts w:cs="Times New Roman"/>
        </w:rPr>
        <w:t xml:space="preserve">to </w:t>
      </w:r>
      <w:r w:rsidR="00155BC8">
        <w:rPr>
          <w:rFonts w:cs="Times New Roman"/>
        </w:rPr>
        <w:t>the small Grants Fund,</w:t>
      </w:r>
      <w:r w:rsidR="00155BC8" w:rsidRPr="00155BC8">
        <w:rPr>
          <w:rFonts w:cs="Times New Roman"/>
        </w:rPr>
        <w:t xml:space="preserve"> </w:t>
      </w:r>
      <w:r w:rsidR="00370287" w:rsidRPr="00155BC8">
        <w:rPr>
          <w:rFonts w:cs="Times New Roman"/>
        </w:rPr>
        <w:t>and number of projects</w:t>
      </w:r>
      <w:r w:rsidR="00A968E9" w:rsidRPr="00155BC8">
        <w:rPr>
          <w:rFonts w:cs="Times New Roman"/>
        </w:rPr>
        <w:t xml:space="preserve"> supported</w:t>
      </w:r>
    </w:p>
    <w:p w:rsidR="000B4C27" w:rsidRPr="00155BC8" w:rsidRDefault="000B4C27" w:rsidP="003D6AB7">
      <w:pPr>
        <w:spacing w:after="0" w:line="240" w:lineRule="auto"/>
        <w:rPr>
          <w:rFonts w:cs="Times New Roman"/>
        </w:rPr>
      </w:pPr>
    </w:p>
    <w:tbl>
      <w:tblPr>
        <w:tblW w:w="9036" w:type="dxa"/>
        <w:tblInd w:w="93" w:type="dxa"/>
        <w:tblLayout w:type="fixed"/>
        <w:tblCellMar>
          <w:top w:w="28" w:type="dxa"/>
          <w:left w:w="57" w:type="dxa"/>
          <w:bottom w:w="28" w:type="dxa"/>
          <w:right w:w="57" w:type="dxa"/>
        </w:tblCellMar>
        <w:tblLook w:val="04A0" w:firstRow="1" w:lastRow="0" w:firstColumn="1" w:lastColumn="0" w:noHBand="0" w:noVBand="1"/>
      </w:tblPr>
      <w:tblGrid>
        <w:gridCol w:w="866"/>
        <w:gridCol w:w="1199"/>
        <w:gridCol w:w="2460"/>
        <w:gridCol w:w="1019"/>
        <w:gridCol w:w="3492"/>
      </w:tblGrid>
      <w:tr w:rsidR="008B7384" w:rsidRPr="00155BC8" w:rsidTr="00155BC8">
        <w:tc>
          <w:tcPr>
            <w:tcW w:w="8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7384" w:rsidRPr="00155BC8" w:rsidRDefault="008B7384" w:rsidP="003D6AB7">
            <w:pPr>
              <w:spacing w:after="0" w:line="240" w:lineRule="auto"/>
              <w:jc w:val="center"/>
              <w:rPr>
                <w:rFonts w:eastAsia="Times New Roman" w:cs="Arial"/>
                <w:b/>
                <w:bCs/>
                <w:sz w:val="20"/>
                <w:szCs w:val="20"/>
                <w:lang w:eastAsia="en-GB"/>
              </w:rPr>
            </w:pPr>
            <w:r w:rsidRPr="00155BC8">
              <w:rPr>
                <w:rFonts w:eastAsia="Times New Roman" w:cs="Arial"/>
                <w:b/>
                <w:bCs/>
                <w:sz w:val="20"/>
                <w:szCs w:val="20"/>
                <w:lang w:eastAsia="en-GB"/>
              </w:rPr>
              <w:t>SGF year cycle</w:t>
            </w:r>
          </w:p>
        </w:tc>
        <w:tc>
          <w:tcPr>
            <w:tcW w:w="1199" w:type="dxa"/>
            <w:tcBorders>
              <w:top w:val="single" w:sz="4" w:space="0" w:color="auto"/>
              <w:left w:val="nil"/>
              <w:bottom w:val="single" w:sz="4" w:space="0" w:color="auto"/>
              <w:right w:val="single" w:sz="4" w:space="0" w:color="auto"/>
            </w:tcBorders>
            <w:shd w:val="clear" w:color="auto" w:fill="D9D9D9"/>
            <w:vAlign w:val="center"/>
            <w:hideMark/>
          </w:tcPr>
          <w:p w:rsidR="008B7384" w:rsidRPr="00155BC8" w:rsidRDefault="008B7384" w:rsidP="003D6AB7">
            <w:pPr>
              <w:spacing w:after="0" w:line="240" w:lineRule="auto"/>
              <w:jc w:val="center"/>
              <w:rPr>
                <w:rFonts w:eastAsia="Times New Roman" w:cs="Arial"/>
                <w:b/>
                <w:bCs/>
                <w:sz w:val="20"/>
                <w:szCs w:val="20"/>
                <w:lang w:eastAsia="en-GB"/>
              </w:rPr>
            </w:pPr>
            <w:r w:rsidRPr="00155BC8">
              <w:rPr>
                <w:rFonts w:eastAsia="Times New Roman" w:cs="Arial"/>
                <w:b/>
                <w:bCs/>
                <w:sz w:val="20"/>
                <w:szCs w:val="20"/>
                <w:lang w:eastAsia="en-GB"/>
              </w:rPr>
              <w:t>Net funds received for projects (CHF)</w:t>
            </w:r>
          </w:p>
        </w:tc>
        <w:tc>
          <w:tcPr>
            <w:tcW w:w="2460" w:type="dxa"/>
            <w:tcBorders>
              <w:top w:val="single" w:sz="4" w:space="0" w:color="auto"/>
              <w:left w:val="nil"/>
              <w:bottom w:val="single" w:sz="4" w:space="0" w:color="auto"/>
              <w:right w:val="single" w:sz="4" w:space="0" w:color="auto"/>
            </w:tcBorders>
            <w:shd w:val="clear" w:color="auto" w:fill="D9D9D9"/>
            <w:vAlign w:val="center"/>
            <w:hideMark/>
          </w:tcPr>
          <w:p w:rsidR="008B7384" w:rsidRPr="00155BC8" w:rsidRDefault="008B7384" w:rsidP="003D6AB7">
            <w:pPr>
              <w:spacing w:after="0" w:line="240" w:lineRule="auto"/>
              <w:jc w:val="center"/>
              <w:rPr>
                <w:rFonts w:eastAsia="Times New Roman" w:cs="Arial"/>
                <w:b/>
                <w:bCs/>
                <w:sz w:val="20"/>
                <w:szCs w:val="20"/>
                <w:lang w:eastAsia="en-GB"/>
              </w:rPr>
            </w:pPr>
            <w:r w:rsidRPr="00155BC8">
              <w:rPr>
                <w:rFonts w:eastAsia="Times New Roman" w:cs="Arial"/>
                <w:b/>
                <w:bCs/>
                <w:sz w:val="20"/>
                <w:szCs w:val="20"/>
                <w:lang w:eastAsia="en-GB"/>
              </w:rPr>
              <w:t>Donor countries &amp; organizations</w:t>
            </w:r>
          </w:p>
        </w:tc>
        <w:tc>
          <w:tcPr>
            <w:tcW w:w="1019" w:type="dxa"/>
            <w:tcBorders>
              <w:top w:val="single" w:sz="4" w:space="0" w:color="auto"/>
              <w:left w:val="nil"/>
              <w:bottom w:val="single" w:sz="4" w:space="0" w:color="auto"/>
              <w:right w:val="single" w:sz="4" w:space="0" w:color="auto"/>
            </w:tcBorders>
            <w:shd w:val="clear" w:color="auto" w:fill="D9D9D9"/>
            <w:vAlign w:val="center"/>
            <w:hideMark/>
          </w:tcPr>
          <w:p w:rsidR="008B7384" w:rsidRPr="00155BC8" w:rsidRDefault="008B7384" w:rsidP="003D6AB7">
            <w:pPr>
              <w:spacing w:after="0" w:line="240" w:lineRule="auto"/>
              <w:jc w:val="center"/>
              <w:rPr>
                <w:rFonts w:eastAsia="Times New Roman" w:cs="Arial"/>
                <w:b/>
                <w:bCs/>
                <w:sz w:val="20"/>
                <w:szCs w:val="20"/>
                <w:lang w:eastAsia="en-GB"/>
              </w:rPr>
            </w:pPr>
            <w:r w:rsidRPr="00155BC8">
              <w:rPr>
                <w:rFonts w:eastAsia="Times New Roman" w:cs="Arial"/>
                <w:b/>
                <w:bCs/>
                <w:sz w:val="20"/>
                <w:szCs w:val="20"/>
                <w:lang w:eastAsia="en-GB"/>
              </w:rPr>
              <w:t>No. of projects funded</w:t>
            </w:r>
          </w:p>
        </w:tc>
        <w:tc>
          <w:tcPr>
            <w:tcW w:w="3492" w:type="dxa"/>
            <w:tcBorders>
              <w:top w:val="single" w:sz="4" w:space="0" w:color="auto"/>
              <w:left w:val="nil"/>
              <w:bottom w:val="single" w:sz="4" w:space="0" w:color="auto"/>
              <w:right w:val="single" w:sz="4" w:space="0" w:color="auto"/>
            </w:tcBorders>
            <w:shd w:val="clear" w:color="auto" w:fill="D9D9D9"/>
            <w:vAlign w:val="center"/>
            <w:hideMark/>
          </w:tcPr>
          <w:p w:rsidR="008B7384" w:rsidRPr="00155BC8" w:rsidRDefault="008B7384" w:rsidP="003D6AB7">
            <w:pPr>
              <w:spacing w:after="0" w:line="240" w:lineRule="auto"/>
              <w:jc w:val="center"/>
              <w:rPr>
                <w:rFonts w:eastAsia="Times New Roman" w:cs="Arial"/>
                <w:b/>
                <w:bCs/>
                <w:sz w:val="20"/>
                <w:szCs w:val="20"/>
                <w:lang w:eastAsia="en-GB"/>
              </w:rPr>
            </w:pPr>
            <w:r w:rsidRPr="00155BC8">
              <w:rPr>
                <w:rFonts w:eastAsia="Times New Roman" w:cs="Arial"/>
                <w:b/>
                <w:bCs/>
                <w:sz w:val="20"/>
                <w:szCs w:val="20"/>
                <w:lang w:eastAsia="en-GB"/>
              </w:rPr>
              <w:t>Location of Projects Funded</w:t>
            </w:r>
          </w:p>
        </w:tc>
      </w:tr>
      <w:tr w:rsidR="008B7384" w:rsidRPr="006703A4"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155BC8" w:rsidRDefault="008B7384" w:rsidP="00155BC8">
            <w:pPr>
              <w:spacing w:after="0" w:line="240" w:lineRule="auto"/>
              <w:rPr>
                <w:rFonts w:eastAsia="Times New Roman" w:cs="Arial"/>
                <w:b/>
                <w:bCs/>
                <w:sz w:val="20"/>
                <w:szCs w:val="20"/>
                <w:lang w:eastAsia="en-GB"/>
              </w:rPr>
            </w:pPr>
            <w:r w:rsidRPr="00155BC8">
              <w:rPr>
                <w:rFonts w:eastAsia="Times New Roman" w:cs="Arial"/>
                <w:b/>
                <w:bCs/>
                <w:sz w:val="20"/>
                <w:szCs w:val="20"/>
                <w:lang w:eastAsia="en-GB"/>
              </w:rPr>
              <w:t>2002</w:t>
            </w:r>
          </w:p>
        </w:tc>
        <w:tc>
          <w:tcPr>
            <w:tcW w:w="119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right"/>
              <w:rPr>
                <w:rFonts w:eastAsia="Times New Roman" w:cs="Arial"/>
                <w:sz w:val="20"/>
                <w:szCs w:val="20"/>
                <w:lang w:eastAsia="en-GB"/>
              </w:rPr>
            </w:pPr>
            <w:r w:rsidRPr="00155BC8">
              <w:rPr>
                <w:rFonts w:eastAsia="Times New Roman" w:cs="Arial"/>
                <w:sz w:val="20"/>
                <w:szCs w:val="20"/>
                <w:lang w:eastAsia="en-GB"/>
              </w:rPr>
              <w:t>574,854</w:t>
            </w:r>
          </w:p>
        </w:tc>
        <w:tc>
          <w:tcPr>
            <w:tcW w:w="2460"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 xml:space="preserve">Austria, Japan, Spain, Sweden, United Kingdom, USA </w:t>
            </w:r>
          </w:p>
        </w:tc>
        <w:tc>
          <w:tcPr>
            <w:tcW w:w="101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center"/>
              <w:rPr>
                <w:rFonts w:eastAsia="Times New Roman" w:cs="Arial"/>
                <w:sz w:val="20"/>
                <w:szCs w:val="20"/>
                <w:lang w:eastAsia="en-GB"/>
              </w:rPr>
            </w:pPr>
            <w:r w:rsidRPr="00155BC8">
              <w:rPr>
                <w:rFonts w:eastAsia="Times New Roman" w:cs="Arial"/>
                <w:sz w:val="20"/>
                <w:szCs w:val="20"/>
                <w:lang w:eastAsia="en-GB"/>
              </w:rPr>
              <w:t>17</w:t>
            </w:r>
          </w:p>
        </w:tc>
        <w:tc>
          <w:tcPr>
            <w:tcW w:w="3492"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val="es-ES" w:eastAsia="en-GB"/>
              </w:rPr>
            </w:pPr>
            <w:r w:rsidRPr="00155BC8">
              <w:rPr>
                <w:rFonts w:eastAsia="Times New Roman" w:cs="Arial"/>
                <w:sz w:val="20"/>
                <w:szCs w:val="20"/>
                <w:lang w:val="es-ES" w:eastAsia="en-GB"/>
              </w:rPr>
              <w:t xml:space="preserve">Congo, Gambia </w:t>
            </w:r>
            <w:r w:rsidR="00155BC8">
              <w:rPr>
                <w:rFonts w:eastAsia="Times New Roman" w:cs="Arial"/>
                <w:sz w:val="20"/>
                <w:szCs w:val="20"/>
                <w:lang w:val="es-ES" w:eastAsia="en-GB"/>
              </w:rPr>
              <w:t>and</w:t>
            </w:r>
            <w:r w:rsidR="00155BC8" w:rsidRPr="00155BC8">
              <w:rPr>
                <w:rFonts w:eastAsia="Times New Roman" w:cs="Arial"/>
                <w:sz w:val="20"/>
                <w:szCs w:val="20"/>
                <w:lang w:val="es-ES" w:eastAsia="en-GB"/>
              </w:rPr>
              <w:t xml:space="preserve"> </w:t>
            </w:r>
            <w:r w:rsidRPr="00155BC8">
              <w:rPr>
                <w:rFonts w:eastAsia="Times New Roman" w:cs="Arial"/>
                <w:sz w:val="20"/>
                <w:szCs w:val="20"/>
                <w:lang w:val="es-ES" w:eastAsia="en-GB"/>
              </w:rPr>
              <w:t>Senegal, Kenya, Mauritius, Sierra Leone, Sri Lanka, Thailand, Armenia, Bulgaria, Croatia,</w:t>
            </w:r>
            <w:r w:rsidR="00DD25C7" w:rsidRPr="00155BC8">
              <w:rPr>
                <w:rFonts w:eastAsia="Times New Roman" w:cs="Arial"/>
                <w:sz w:val="20"/>
                <w:szCs w:val="20"/>
                <w:lang w:val="es-ES" w:eastAsia="en-GB"/>
              </w:rPr>
              <w:t xml:space="preserve"> </w:t>
            </w:r>
            <w:r w:rsidRPr="00155BC8">
              <w:rPr>
                <w:rFonts w:eastAsia="Times New Roman" w:cs="Arial"/>
                <w:sz w:val="20"/>
                <w:szCs w:val="20"/>
                <w:lang w:val="es-ES" w:eastAsia="en-GB"/>
              </w:rPr>
              <w:t>Chile, Costa Rica, Cuba, Mexico, Uruguay, Fiji, Palau</w:t>
            </w:r>
          </w:p>
        </w:tc>
      </w:tr>
      <w:tr w:rsidR="008B7384" w:rsidRPr="00155BC8"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155BC8" w:rsidRDefault="008B7384" w:rsidP="00155BC8">
            <w:pPr>
              <w:spacing w:after="0" w:line="240" w:lineRule="auto"/>
              <w:rPr>
                <w:rFonts w:eastAsia="Times New Roman" w:cs="Arial"/>
                <w:b/>
                <w:bCs/>
                <w:sz w:val="20"/>
                <w:szCs w:val="20"/>
                <w:lang w:eastAsia="en-GB"/>
              </w:rPr>
            </w:pPr>
            <w:r w:rsidRPr="00155BC8">
              <w:rPr>
                <w:rFonts w:eastAsia="Times New Roman" w:cs="Arial"/>
                <w:b/>
                <w:bCs/>
                <w:sz w:val="20"/>
                <w:szCs w:val="20"/>
                <w:lang w:eastAsia="en-GB"/>
              </w:rPr>
              <w:t>2003</w:t>
            </w:r>
          </w:p>
        </w:tc>
        <w:tc>
          <w:tcPr>
            <w:tcW w:w="119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right"/>
              <w:rPr>
                <w:rFonts w:eastAsia="Times New Roman" w:cs="Arial"/>
                <w:sz w:val="20"/>
                <w:szCs w:val="20"/>
                <w:lang w:eastAsia="en-GB"/>
              </w:rPr>
            </w:pPr>
            <w:r w:rsidRPr="00155BC8">
              <w:rPr>
                <w:rFonts w:eastAsia="Times New Roman" w:cs="Arial"/>
                <w:sz w:val="20"/>
                <w:szCs w:val="20"/>
                <w:lang w:eastAsia="en-GB"/>
              </w:rPr>
              <w:t>341,885</w:t>
            </w:r>
          </w:p>
        </w:tc>
        <w:tc>
          <w:tcPr>
            <w:tcW w:w="2460"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Austria, Belgium, Denmark, Germany, Iran, Italy, Japan, Sweden, United Kingdom, WWF Living Waters Prog.</w:t>
            </w:r>
          </w:p>
        </w:tc>
        <w:tc>
          <w:tcPr>
            <w:tcW w:w="101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center"/>
              <w:rPr>
                <w:rFonts w:eastAsia="Times New Roman" w:cs="Arial"/>
                <w:sz w:val="20"/>
                <w:szCs w:val="20"/>
                <w:lang w:eastAsia="en-GB"/>
              </w:rPr>
            </w:pPr>
            <w:r w:rsidRPr="00155BC8">
              <w:rPr>
                <w:rFonts w:eastAsia="Times New Roman" w:cs="Arial"/>
                <w:sz w:val="20"/>
                <w:szCs w:val="20"/>
                <w:lang w:eastAsia="en-GB"/>
              </w:rPr>
              <w:t>9</w:t>
            </w:r>
          </w:p>
        </w:tc>
        <w:tc>
          <w:tcPr>
            <w:tcW w:w="3492"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Nigeria, Kenya, Lao PDR, Kyrgyz Republic, Republic of Moldova, Bahamas, Guatemala, Marshall Islands, Tonga</w:t>
            </w:r>
          </w:p>
        </w:tc>
      </w:tr>
      <w:tr w:rsidR="008B7384" w:rsidRPr="00155BC8"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155BC8" w:rsidRDefault="008B7384" w:rsidP="00155BC8">
            <w:pPr>
              <w:spacing w:after="0" w:line="240" w:lineRule="auto"/>
              <w:rPr>
                <w:rFonts w:eastAsia="Times New Roman" w:cs="Arial"/>
                <w:b/>
                <w:bCs/>
                <w:sz w:val="20"/>
                <w:szCs w:val="20"/>
                <w:lang w:eastAsia="en-GB"/>
              </w:rPr>
            </w:pPr>
            <w:r w:rsidRPr="00155BC8">
              <w:rPr>
                <w:rFonts w:eastAsia="Times New Roman" w:cs="Arial"/>
                <w:b/>
                <w:bCs/>
                <w:sz w:val="20"/>
                <w:szCs w:val="20"/>
                <w:lang w:eastAsia="en-GB"/>
              </w:rPr>
              <w:t>2004</w:t>
            </w:r>
          </w:p>
        </w:tc>
        <w:tc>
          <w:tcPr>
            <w:tcW w:w="119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right"/>
              <w:rPr>
                <w:rFonts w:eastAsia="Times New Roman" w:cs="Arial"/>
                <w:sz w:val="20"/>
                <w:szCs w:val="20"/>
                <w:lang w:eastAsia="en-GB"/>
              </w:rPr>
            </w:pPr>
            <w:r w:rsidRPr="00155BC8">
              <w:rPr>
                <w:rFonts w:eastAsia="Times New Roman" w:cs="Arial"/>
                <w:sz w:val="20"/>
                <w:szCs w:val="20"/>
                <w:lang w:eastAsia="en-GB"/>
              </w:rPr>
              <w:t>281,040</w:t>
            </w:r>
          </w:p>
        </w:tc>
        <w:tc>
          <w:tcPr>
            <w:tcW w:w="2460"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 xml:space="preserve">Austria, Japan, Sweden, </w:t>
            </w:r>
            <w:r w:rsidR="00155BC8">
              <w:rPr>
                <w:rFonts w:eastAsia="Times New Roman" w:cs="Arial"/>
                <w:sz w:val="20"/>
                <w:szCs w:val="20"/>
                <w:lang w:eastAsia="en-GB"/>
              </w:rPr>
              <w:t>UK</w:t>
            </w:r>
          </w:p>
        </w:tc>
        <w:tc>
          <w:tcPr>
            <w:tcW w:w="101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center"/>
              <w:rPr>
                <w:rFonts w:eastAsia="Times New Roman" w:cs="Arial"/>
                <w:sz w:val="20"/>
                <w:szCs w:val="20"/>
                <w:lang w:eastAsia="en-GB"/>
              </w:rPr>
            </w:pPr>
            <w:r w:rsidRPr="00155BC8">
              <w:rPr>
                <w:rFonts w:eastAsia="Times New Roman" w:cs="Arial"/>
                <w:sz w:val="20"/>
                <w:szCs w:val="20"/>
                <w:lang w:eastAsia="en-GB"/>
              </w:rPr>
              <w:t>11</w:t>
            </w:r>
          </w:p>
        </w:tc>
        <w:tc>
          <w:tcPr>
            <w:tcW w:w="3492"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Lesotho, Liberia, India, Kazakhstan, Malaysia, Thailand, Slovenia, Jamaica, Nicaragua, Samoa, Southeast Asia areas project.</w:t>
            </w:r>
            <w:r w:rsidR="00DD25C7" w:rsidRPr="00155BC8">
              <w:rPr>
                <w:rFonts w:eastAsia="Times New Roman" w:cs="Arial"/>
                <w:sz w:val="20"/>
                <w:szCs w:val="20"/>
                <w:lang w:eastAsia="en-GB"/>
              </w:rPr>
              <w:t xml:space="preserve"> </w:t>
            </w:r>
          </w:p>
        </w:tc>
      </w:tr>
      <w:tr w:rsidR="008B7384" w:rsidRPr="00155BC8"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155BC8" w:rsidRDefault="008B7384" w:rsidP="00155BC8">
            <w:pPr>
              <w:spacing w:after="0" w:line="240" w:lineRule="auto"/>
              <w:rPr>
                <w:rFonts w:eastAsia="Times New Roman" w:cs="Arial"/>
                <w:b/>
                <w:bCs/>
                <w:sz w:val="20"/>
                <w:szCs w:val="20"/>
                <w:lang w:eastAsia="en-GB"/>
              </w:rPr>
            </w:pPr>
            <w:r w:rsidRPr="00155BC8">
              <w:rPr>
                <w:rFonts w:eastAsia="Times New Roman" w:cs="Arial"/>
                <w:b/>
                <w:bCs/>
                <w:sz w:val="20"/>
                <w:szCs w:val="20"/>
                <w:lang w:eastAsia="en-GB"/>
              </w:rPr>
              <w:t>2005</w:t>
            </w:r>
          </w:p>
        </w:tc>
        <w:tc>
          <w:tcPr>
            <w:tcW w:w="119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right"/>
              <w:rPr>
                <w:rFonts w:eastAsia="Times New Roman" w:cs="Arial"/>
                <w:sz w:val="20"/>
                <w:szCs w:val="20"/>
                <w:lang w:eastAsia="en-GB"/>
              </w:rPr>
            </w:pPr>
            <w:r w:rsidRPr="00155BC8">
              <w:rPr>
                <w:rFonts w:eastAsia="Times New Roman" w:cs="Arial"/>
                <w:sz w:val="20"/>
                <w:szCs w:val="20"/>
                <w:lang w:eastAsia="en-GB"/>
              </w:rPr>
              <w:t>196,602</w:t>
            </w:r>
          </w:p>
        </w:tc>
        <w:tc>
          <w:tcPr>
            <w:tcW w:w="2460"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 xml:space="preserve">Japan, Sweden, </w:t>
            </w:r>
            <w:r w:rsidR="00155BC8">
              <w:rPr>
                <w:rFonts w:eastAsia="Times New Roman" w:cs="Arial"/>
                <w:sz w:val="20"/>
                <w:szCs w:val="20"/>
                <w:lang w:eastAsia="en-GB"/>
              </w:rPr>
              <w:t>UK</w:t>
            </w:r>
          </w:p>
        </w:tc>
        <w:tc>
          <w:tcPr>
            <w:tcW w:w="101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center"/>
              <w:rPr>
                <w:rFonts w:eastAsia="Times New Roman" w:cs="Arial"/>
                <w:sz w:val="20"/>
                <w:szCs w:val="20"/>
                <w:lang w:eastAsia="en-GB"/>
              </w:rPr>
            </w:pPr>
            <w:r w:rsidRPr="00155BC8">
              <w:rPr>
                <w:rFonts w:eastAsia="Times New Roman" w:cs="Arial"/>
                <w:sz w:val="20"/>
                <w:szCs w:val="20"/>
                <w:lang w:eastAsia="en-GB"/>
              </w:rPr>
              <w:t>6</w:t>
            </w:r>
          </w:p>
        </w:tc>
        <w:tc>
          <w:tcPr>
            <w:tcW w:w="3492"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val="es-ES" w:eastAsia="en-GB"/>
              </w:rPr>
            </w:pPr>
            <w:r w:rsidRPr="00155BC8">
              <w:rPr>
                <w:rFonts w:eastAsia="Times New Roman" w:cs="Arial"/>
                <w:sz w:val="20"/>
                <w:szCs w:val="20"/>
                <w:lang w:val="es-ES" w:eastAsia="en-GB"/>
              </w:rPr>
              <w:t xml:space="preserve">Ghana, Tajikistan, Jordan, Bosnia </w:t>
            </w:r>
            <w:r w:rsidR="00155BC8">
              <w:rPr>
                <w:rFonts w:eastAsia="Times New Roman" w:cs="Arial"/>
                <w:sz w:val="20"/>
                <w:szCs w:val="20"/>
                <w:lang w:val="es-ES" w:eastAsia="en-GB"/>
              </w:rPr>
              <w:t>and</w:t>
            </w:r>
            <w:r w:rsidR="00155BC8" w:rsidRPr="00155BC8">
              <w:rPr>
                <w:rFonts w:eastAsia="Times New Roman" w:cs="Arial"/>
                <w:sz w:val="20"/>
                <w:szCs w:val="20"/>
                <w:lang w:val="es-ES" w:eastAsia="en-GB"/>
              </w:rPr>
              <w:t xml:space="preserve"> </w:t>
            </w:r>
            <w:r w:rsidRPr="00155BC8">
              <w:rPr>
                <w:rFonts w:eastAsia="Times New Roman" w:cs="Arial"/>
                <w:sz w:val="20"/>
                <w:szCs w:val="20"/>
                <w:lang w:val="es-ES" w:eastAsia="en-GB"/>
              </w:rPr>
              <w:t>Herzegovina, Suriname, Brazil</w:t>
            </w:r>
          </w:p>
        </w:tc>
      </w:tr>
      <w:tr w:rsidR="008B7384" w:rsidRPr="00155BC8"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155BC8" w:rsidRDefault="008B7384" w:rsidP="00155BC8">
            <w:pPr>
              <w:spacing w:after="0" w:line="240" w:lineRule="auto"/>
              <w:rPr>
                <w:rFonts w:eastAsia="Times New Roman" w:cs="Arial"/>
                <w:b/>
                <w:bCs/>
                <w:sz w:val="20"/>
                <w:szCs w:val="20"/>
                <w:lang w:eastAsia="en-GB"/>
              </w:rPr>
            </w:pPr>
            <w:r w:rsidRPr="00155BC8">
              <w:rPr>
                <w:rFonts w:eastAsia="Times New Roman" w:cs="Arial"/>
                <w:b/>
                <w:bCs/>
                <w:sz w:val="20"/>
                <w:szCs w:val="20"/>
                <w:lang w:eastAsia="en-GB"/>
              </w:rPr>
              <w:t>2006</w:t>
            </w:r>
          </w:p>
        </w:tc>
        <w:tc>
          <w:tcPr>
            <w:tcW w:w="119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right"/>
              <w:rPr>
                <w:rFonts w:eastAsia="Times New Roman" w:cs="Arial"/>
                <w:sz w:val="20"/>
                <w:szCs w:val="20"/>
                <w:lang w:eastAsia="en-GB"/>
              </w:rPr>
            </w:pPr>
            <w:r w:rsidRPr="00155BC8">
              <w:rPr>
                <w:rFonts w:eastAsia="Times New Roman" w:cs="Arial"/>
                <w:sz w:val="20"/>
                <w:szCs w:val="20"/>
                <w:lang w:eastAsia="en-GB"/>
              </w:rPr>
              <w:t>361,740</w:t>
            </w:r>
          </w:p>
        </w:tc>
        <w:tc>
          <w:tcPr>
            <w:tcW w:w="2460"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 xml:space="preserve">Czech Republic, Japan, Norway, Sweden – SIDA, UK </w:t>
            </w:r>
          </w:p>
        </w:tc>
        <w:tc>
          <w:tcPr>
            <w:tcW w:w="101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center"/>
              <w:rPr>
                <w:rFonts w:eastAsia="Times New Roman" w:cs="Arial"/>
                <w:sz w:val="20"/>
                <w:szCs w:val="20"/>
                <w:lang w:eastAsia="en-GB"/>
              </w:rPr>
            </w:pPr>
            <w:r w:rsidRPr="00155BC8">
              <w:rPr>
                <w:rFonts w:eastAsia="Times New Roman" w:cs="Arial"/>
                <w:sz w:val="20"/>
                <w:szCs w:val="20"/>
                <w:lang w:eastAsia="en-GB"/>
              </w:rPr>
              <w:t>15</w:t>
            </w:r>
          </w:p>
        </w:tc>
        <w:tc>
          <w:tcPr>
            <w:tcW w:w="3492" w:type="dxa"/>
            <w:tcBorders>
              <w:top w:val="nil"/>
              <w:left w:val="nil"/>
              <w:bottom w:val="single" w:sz="4" w:space="0" w:color="auto"/>
              <w:right w:val="single" w:sz="4" w:space="0" w:color="auto"/>
            </w:tcBorders>
            <w:hideMark/>
          </w:tcPr>
          <w:p w:rsidR="008B7384" w:rsidRPr="00155BC8" w:rsidRDefault="008B7384" w:rsidP="008B0637">
            <w:pPr>
              <w:spacing w:after="0" w:line="240" w:lineRule="auto"/>
              <w:rPr>
                <w:rFonts w:eastAsia="Times New Roman" w:cs="Arial"/>
                <w:sz w:val="20"/>
                <w:szCs w:val="20"/>
                <w:lang w:eastAsia="en-GB"/>
              </w:rPr>
            </w:pPr>
            <w:r w:rsidRPr="00155BC8">
              <w:rPr>
                <w:rFonts w:eastAsia="Times New Roman" w:cs="Arial"/>
                <w:sz w:val="20"/>
                <w:szCs w:val="20"/>
                <w:lang w:eastAsia="en-GB"/>
              </w:rPr>
              <w:t xml:space="preserve">Benin </w:t>
            </w:r>
            <w:r w:rsidR="00155BC8" w:rsidRPr="00155BC8">
              <w:rPr>
                <w:rFonts w:eastAsia="Times New Roman" w:cs="Arial"/>
                <w:sz w:val="20"/>
                <w:szCs w:val="20"/>
                <w:lang w:eastAsia="en-GB"/>
              </w:rPr>
              <w:t xml:space="preserve">and </w:t>
            </w:r>
            <w:r w:rsidRPr="00155BC8">
              <w:rPr>
                <w:rFonts w:eastAsia="Times New Roman" w:cs="Arial"/>
                <w:sz w:val="20"/>
                <w:szCs w:val="20"/>
                <w:lang w:eastAsia="en-GB"/>
              </w:rPr>
              <w:t xml:space="preserve">Togo, Burkina Faso, Kenya, Madagascar, </w:t>
            </w:r>
            <w:r w:rsidR="00155BC8" w:rsidRPr="00155BC8">
              <w:rPr>
                <w:rFonts w:eastAsia="Times New Roman" w:cs="Arial"/>
                <w:sz w:val="20"/>
                <w:szCs w:val="20"/>
                <w:lang w:eastAsia="en-GB"/>
              </w:rPr>
              <w:t xml:space="preserve">Republic of </w:t>
            </w:r>
            <w:r w:rsidRPr="00155BC8">
              <w:rPr>
                <w:rFonts w:eastAsia="Times New Roman" w:cs="Arial"/>
                <w:sz w:val="20"/>
                <w:szCs w:val="20"/>
                <w:lang w:eastAsia="en-GB"/>
              </w:rPr>
              <w:t>Cong</w:t>
            </w:r>
            <w:r w:rsidR="008B0637">
              <w:rPr>
                <w:rFonts w:eastAsia="Times New Roman" w:cs="Arial"/>
                <w:sz w:val="20"/>
                <w:szCs w:val="20"/>
                <w:lang w:eastAsia="en-GB"/>
              </w:rPr>
              <w:t>o, Kyrgyz Republic, Nepal, Viet N</w:t>
            </w:r>
            <w:r w:rsidRPr="00155BC8">
              <w:rPr>
                <w:rFonts w:eastAsia="Times New Roman" w:cs="Arial"/>
                <w:sz w:val="20"/>
                <w:szCs w:val="20"/>
                <w:lang w:eastAsia="en-GB"/>
              </w:rPr>
              <w:t xml:space="preserve">am, Armenia, Republic of Moldova, Antigua </w:t>
            </w:r>
            <w:r w:rsidR="00155BC8">
              <w:rPr>
                <w:rFonts w:eastAsia="Times New Roman" w:cs="Arial"/>
                <w:sz w:val="20"/>
                <w:szCs w:val="20"/>
                <w:lang w:eastAsia="en-GB"/>
              </w:rPr>
              <w:t>and</w:t>
            </w:r>
            <w:r w:rsidR="00155BC8" w:rsidRPr="00155BC8">
              <w:rPr>
                <w:rFonts w:eastAsia="Times New Roman" w:cs="Arial"/>
                <w:sz w:val="20"/>
                <w:szCs w:val="20"/>
                <w:lang w:eastAsia="en-GB"/>
              </w:rPr>
              <w:t xml:space="preserve"> </w:t>
            </w:r>
            <w:r w:rsidRPr="00155BC8">
              <w:rPr>
                <w:rFonts w:eastAsia="Times New Roman" w:cs="Arial"/>
                <w:sz w:val="20"/>
                <w:szCs w:val="20"/>
                <w:lang w:eastAsia="en-GB"/>
              </w:rPr>
              <w:t>Barbuda, Ecuador, Nicaragua, Panama, Kiribati</w:t>
            </w:r>
          </w:p>
        </w:tc>
      </w:tr>
      <w:tr w:rsidR="008B7384" w:rsidRPr="006703A4"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155BC8" w:rsidRDefault="008B7384" w:rsidP="00155BC8">
            <w:pPr>
              <w:spacing w:after="0" w:line="240" w:lineRule="auto"/>
              <w:rPr>
                <w:rFonts w:eastAsia="Times New Roman" w:cs="Arial"/>
                <w:b/>
                <w:bCs/>
                <w:sz w:val="20"/>
                <w:szCs w:val="20"/>
                <w:lang w:eastAsia="en-GB"/>
              </w:rPr>
            </w:pPr>
            <w:r w:rsidRPr="00155BC8">
              <w:rPr>
                <w:rFonts w:eastAsia="Times New Roman" w:cs="Arial"/>
                <w:b/>
                <w:bCs/>
                <w:sz w:val="20"/>
                <w:szCs w:val="20"/>
                <w:lang w:eastAsia="en-GB"/>
              </w:rPr>
              <w:t>2007</w:t>
            </w:r>
          </w:p>
        </w:tc>
        <w:tc>
          <w:tcPr>
            <w:tcW w:w="119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right"/>
              <w:rPr>
                <w:rFonts w:eastAsia="Times New Roman" w:cs="Arial"/>
                <w:sz w:val="20"/>
                <w:szCs w:val="20"/>
                <w:lang w:eastAsia="en-GB"/>
              </w:rPr>
            </w:pPr>
            <w:r w:rsidRPr="00155BC8">
              <w:rPr>
                <w:rFonts w:eastAsia="Times New Roman" w:cs="Arial"/>
                <w:sz w:val="20"/>
                <w:szCs w:val="20"/>
                <w:lang w:eastAsia="en-GB"/>
              </w:rPr>
              <w:t>163,598</w:t>
            </w:r>
          </w:p>
        </w:tc>
        <w:tc>
          <w:tcPr>
            <w:tcW w:w="2460"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Czech Republic, Japan, Sweden - SIDA</w:t>
            </w:r>
          </w:p>
        </w:tc>
        <w:tc>
          <w:tcPr>
            <w:tcW w:w="101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center"/>
              <w:rPr>
                <w:rFonts w:eastAsia="Times New Roman" w:cs="Arial"/>
                <w:sz w:val="20"/>
                <w:szCs w:val="20"/>
                <w:lang w:eastAsia="en-GB"/>
              </w:rPr>
            </w:pPr>
            <w:r w:rsidRPr="00155BC8">
              <w:rPr>
                <w:rFonts w:eastAsia="Times New Roman" w:cs="Arial"/>
                <w:sz w:val="20"/>
                <w:szCs w:val="20"/>
                <w:lang w:eastAsia="en-GB"/>
              </w:rPr>
              <w:t>5</w:t>
            </w:r>
          </w:p>
        </w:tc>
        <w:tc>
          <w:tcPr>
            <w:tcW w:w="3492"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val="es-ES" w:eastAsia="en-GB"/>
              </w:rPr>
            </w:pPr>
            <w:r w:rsidRPr="00155BC8">
              <w:rPr>
                <w:rFonts w:eastAsia="Times New Roman" w:cs="Arial"/>
                <w:sz w:val="20"/>
                <w:szCs w:val="20"/>
                <w:lang w:val="es-ES" w:eastAsia="en-GB"/>
              </w:rPr>
              <w:t>Malawi, China, Moldova, Colombia, Fiji</w:t>
            </w:r>
          </w:p>
        </w:tc>
      </w:tr>
      <w:tr w:rsidR="008B7384" w:rsidRPr="00155BC8"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155BC8" w:rsidRDefault="008B7384" w:rsidP="00155BC8">
            <w:pPr>
              <w:spacing w:after="0" w:line="240" w:lineRule="auto"/>
              <w:rPr>
                <w:rFonts w:eastAsia="Times New Roman" w:cs="Arial"/>
                <w:b/>
                <w:bCs/>
                <w:sz w:val="20"/>
                <w:szCs w:val="20"/>
                <w:lang w:eastAsia="en-GB"/>
              </w:rPr>
            </w:pPr>
            <w:r w:rsidRPr="00155BC8">
              <w:rPr>
                <w:rFonts w:eastAsia="Times New Roman" w:cs="Arial"/>
                <w:b/>
                <w:bCs/>
                <w:sz w:val="20"/>
                <w:szCs w:val="20"/>
                <w:lang w:eastAsia="en-GB"/>
              </w:rPr>
              <w:t>2008</w:t>
            </w:r>
          </w:p>
        </w:tc>
        <w:tc>
          <w:tcPr>
            <w:tcW w:w="119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right"/>
              <w:rPr>
                <w:rFonts w:eastAsia="Times New Roman" w:cs="Arial"/>
                <w:sz w:val="20"/>
                <w:szCs w:val="20"/>
                <w:lang w:eastAsia="en-GB"/>
              </w:rPr>
            </w:pPr>
            <w:r w:rsidRPr="00155BC8">
              <w:rPr>
                <w:rFonts w:eastAsia="Times New Roman" w:cs="Arial"/>
                <w:sz w:val="20"/>
                <w:szCs w:val="20"/>
                <w:lang w:eastAsia="en-GB"/>
              </w:rPr>
              <w:t>184,783</w:t>
            </w:r>
          </w:p>
        </w:tc>
        <w:tc>
          <w:tcPr>
            <w:tcW w:w="2460"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 xml:space="preserve">Austria, Hungary, Italy, Japan, </w:t>
            </w:r>
            <w:r w:rsidR="00155BC8">
              <w:rPr>
                <w:rFonts w:eastAsia="Times New Roman" w:cs="Arial"/>
                <w:sz w:val="20"/>
                <w:szCs w:val="20"/>
                <w:lang w:eastAsia="en-GB"/>
              </w:rPr>
              <w:t>R.O.</w:t>
            </w:r>
            <w:r w:rsidRPr="00155BC8">
              <w:rPr>
                <w:rFonts w:eastAsia="Times New Roman" w:cs="Arial"/>
                <w:sz w:val="20"/>
                <w:szCs w:val="20"/>
                <w:lang w:eastAsia="en-GB"/>
              </w:rPr>
              <w:t>Korea</w:t>
            </w:r>
          </w:p>
        </w:tc>
        <w:tc>
          <w:tcPr>
            <w:tcW w:w="101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center"/>
              <w:rPr>
                <w:rFonts w:eastAsia="Times New Roman" w:cs="Arial"/>
                <w:sz w:val="20"/>
                <w:szCs w:val="20"/>
                <w:lang w:eastAsia="en-GB"/>
              </w:rPr>
            </w:pPr>
            <w:r w:rsidRPr="00155BC8">
              <w:rPr>
                <w:rFonts w:eastAsia="Times New Roman" w:cs="Arial"/>
                <w:sz w:val="20"/>
                <w:szCs w:val="20"/>
                <w:lang w:eastAsia="en-GB"/>
              </w:rPr>
              <w:t>8</w:t>
            </w:r>
          </w:p>
        </w:tc>
        <w:tc>
          <w:tcPr>
            <w:tcW w:w="3492" w:type="dxa"/>
            <w:tcBorders>
              <w:top w:val="nil"/>
              <w:left w:val="nil"/>
              <w:bottom w:val="single" w:sz="4" w:space="0" w:color="auto"/>
              <w:right w:val="single" w:sz="4" w:space="0" w:color="auto"/>
            </w:tcBorders>
            <w:hideMark/>
          </w:tcPr>
          <w:p w:rsidR="008B7384" w:rsidRPr="00155BC8" w:rsidRDefault="008B7384" w:rsidP="008B0637">
            <w:pPr>
              <w:spacing w:after="0" w:line="240" w:lineRule="auto"/>
              <w:rPr>
                <w:rFonts w:eastAsia="Times New Roman" w:cs="Arial"/>
                <w:sz w:val="20"/>
                <w:szCs w:val="20"/>
                <w:lang w:eastAsia="en-GB"/>
              </w:rPr>
            </w:pPr>
            <w:r w:rsidRPr="00155BC8">
              <w:rPr>
                <w:rFonts w:eastAsia="Times New Roman" w:cs="Arial"/>
                <w:sz w:val="20"/>
                <w:szCs w:val="20"/>
                <w:lang w:eastAsia="en-GB"/>
              </w:rPr>
              <w:t>Ca</w:t>
            </w:r>
            <w:r w:rsidR="008B0637">
              <w:rPr>
                <w:rFonts w:eastAsia="Times New Roman" w:cs="Arial"/>
                <w:sz w:val="20"/>
                <w:szCs w:val="20"/>
                <w:lang w:eastAsia="en-GB"/>
              </w:rPr>
              <w:t>bo</w:t>
            </w:r>
            <w:r w:rsidRPr="00155BC8">
              <w:rPr>
                <w:rFonts w:eastAsia="Times New Roman" w:cs="Arial"/>
                <w:sz w:val="20"/>
                <w:szCs w:val="20"/>
                <w:lang w:eastAsia="en-GB"/>
              </w:rPr>
              <w:t xml:space="preserve"> Verde, Nepal, Turkey, Chile, Bangladesh, Albania, Cameroon, Marshall Islands </w:t>
            </w:r>
          </w:p>
        </w:tc>
      </w:tr>
      <w:tr w:rsidR="008B7384" w:rsidRPr="00155BC8"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155BC8" w:rsidRDefault="008B7384" w:rsidP="00155BC8">
            <w:pPr>
              <w:spacing w:after="0" w:line="240" w:lineRule="auto"/>
              <w:rPr>
                <w:rFonts w:eastAsia="Times New Roman" w:cs="Arial"/>
                <w:b/>
                <w:bCs/>
                <w:sz w:val="20"/>
                <w:szCs w:val="20"/>
                <w:lang w:eastAsia="en-GB"/>
              </w:rPr>
            </w:pPr>
            <w:r w:rsidRPr="00155BC8">
              <w:rPr>
                <w:rFonts w:eastAsia="Times New Roman" w:cs="Arial"/>
                <w:b/>
                <w:bCs/>
                <w:sz w:val="20"/>
                <w:szCs w:val="20"/>
                <w:lang w:eastAsia="en-GB"/>
              </w:rPr>
              <w:t>2009</w:t>
            </w:r>
          </w:p>
        </w:tc>
        <w:tc>
          <w:tcPr>
            <w:tcW w:w="119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right"/>
              <w:rPr>
                <w:rFonts w:eastAsia="Times New Roman" w:cs="Arial"/>
                <w:sz w:val="20"/>
                <w:szCs w:val="20"/>
                <w:lang w:eastAsia="en-GB"/>
              </w:rPr>
            </w:pPr>
            <w:r w:rsidRPr="00155BC8">
              <w:rPr>
                <w:rFonts w:eastAsia="Times New Roman" w:cs="Arial"/>
                <w:sz w:val="20"/>
                <w:szCs w:val="20"/>
                <w:lang w:eastAsia="en-GB"/>
              </w:rPr>
              <w:t>235,962</w:t>
            </w:r>
          </w:p>
        </w:tc>
        <w:tc>
          <w:tcPr>
            <w:tcW w:w="2460"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Germany, Japan, Korea, Mauritius, Sweden; Danone</w:t>
            </w:r>
          </w:p>
        </w:tc>
        <w:tc>
          <w:tcPr>
            <w:tcW w:w="101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center"/>
              <w:rPr>
                <w:rFonts w:eastAsia="Times New Roman" w:cs="Arial"/>
                <w:sz w:val="20"/>
                <w:szCs w:val="20"/>
                <w:lang w:eastAsia="en-GB"/>
              </w:rPr>
            </w:pPr>
            <w:r w:rsidRPr="00155BC8">
              <w:rPr>
                <w:rFonts w:eastAsia="Times New Roman" w:cs="Arial"/>
                <w:sz w:val="20"/>
                <w:szCs w:val="20"/>
                <w:lang w:eastAsia="en-GB"/>
              </w:rPr>
              <w:t>7</w:t>
            </w:r>
          </w:p>
        </w:tc>
        <w:tc>
          <w:tcPr>
            <w:tcW w:w="3492"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Morocco, Mali, Republic of Congo, Uruguay, Uzbekistan, Viet</w:t>
            </w:r>
            <w:r w:rsidR="00155BC8">
              <w:rPr>
                <w:rFonts w:eastAsia="Times New Roman" w:cs="Arial"/>
                <w:sz w:val="20"/>
                <w:szCs w:val="20"/>
                <w:lang w:eastAsia="en-GB"/>
              </w:rPr>
              <w:t xml:space="preserve"> N</w:t>
            </w:r>
            <w:r w:rsidRPr="00155BC8">
              <w:rPr>
                <w:rFonts w:eastAsia="Times New Roman" w:cs="Arial"/>
                <w:sz w:val="20"/>
                <w:szCs w:val="20"/>
                <w:lang w:eastAsia="en-GB"/>
              </w:rPr>
              <w:t>am</w:t>
            </w:r>
          </w:p>
        </w:tc>
      </w:tr>
      <w:tr w:rsidR="008B7384" w:rsidRPr="00155BC8"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155BC8" w:rsidRDefault="008B7384" w:rsidP="00155BC8">
            <w:pPr>
              <w:spacing w:after="0" w:line="240" w:lineRule="auto"/>
              <w:rPr>
                <w:rFonts w:eastAsia="Times New Roman" w:cs="Arial"/>
                <w:b/>
                <w:bCs/>
                <w:sz w:val="20"/>
                <w:szCs w:val="20"/>
                <w:lang w:eastAsia="en-GB"/>
              </w:rPr>
            </w:pPr>
            <w:bookmarkStart w:id="2" w:name="RANGE!A10"/>
            <w:r w:rsidRPr="00155BC8">
              <w:rPr>
                <w:rFonts w:eastAsia="Times New Roman" w:cs="Arial"/>
                <w:b/>
                <w:bCs/>
                <w:sz w:val="20"/>
                <w:szCs w:val="20"/>
                <w:lang w:eastAsia="en-GB"/>
              </w:rPr>
              <w:t>2010</w:t>
            </w:r>
            <w:bookmarkEnd w:id="2"/>
          </w:p>
        </w:tc>
        <w:tc>
          <w:tcPr>
            <w:tcW w:w="119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right"/>
              <w:rPr>
                <w:rFonts w:eastAsia="Times New Roman" w:cs="Arial"/>
                <w:sz w:val="20"/>
                <w:szCs w:val="20"/>
                <w:lang w:eastAsia="en-GB"/>
              </w:rPr>
            </w:pPr>
            <w:r w:rsidRPr="00155BC8">
              <w:rPr>
                <w:rFonts w:eastAsia="Times New Roman" w:cs="Arial"/>
                <w:sz w:val="20"/>
                <w:szCs w:val="20"/>
                <w:lang w:eastAsia="en-GB"/>
              </w:rPr>
              <w:t>110,232</w:t>
            </w:r>
          </w:p>
        </w:tc>
        <w:tc>
          <w:tcPr>
            <w:tcW w:w="2460"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Bangladesh, Japan, Norway</w:t>
            </w:r>
          </w:p>
        </w:tc>
        <w:tc>
          <w:tcPr>
            <w:tcW w:w="101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center"/>
              <w:rPr>
                <w:rFonts w:eastAsia="Times New Roman" w:cs="Arial"/>
                <w:sz w:val="20"/>
                <w:szCs w:val="20"/>
                <w:lang w:eastAsia="en-GB"/>
              </w:rPr>
            </w:pPr>
            <w:r w:rsidRPr="00155BC8">
              <w:rPr>
                <w:rFonts w:eastAsia="Times New Roman" w:cs="Arial"/>
                <w:sz w:val="20"/>
                <w:szCs w:val="20"/>
                <w:lang w:eastAsia="en-GB"/>
              </w:rPr>
              <w:t>3</w:t>
            </w:r>
          </w:p>
        </w:tc>
        <w:tc>
          <w:tcPr>
            <w:tcW w:w="3492"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Guinea Bissau, Cambodia, Nepal</w:t>
            </w:r>
          </w:p>
        </w:tc>
      </w:tr>
      <w:tr w:rsidR="008B7384" w:rsidRPr="00155BC8"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155BC8" w:rsidRDefault="008B7384" w:rsidP="00155BC8">
            <w:pPr>
              <w:spacing w:after="0" w:line="240" w:lineRule="auto"/>
              <w:rPr>
                <w:rFonts w:eastAsia="Times New Roman" w:cs="Arial"/>
                <w:b/>
                <w:bCs/>
                <w:sz w:val="20"/>
                <w:szCs w:val="20"/>
                <w:lang w:eastAsia="en-GB"/>
              </w:rPr>
            </w:pPr>
            <w:r w:rsidRPr="00155BC8">
              <w:rPr>
                <w:rFonts w:eastAsia="Times New Roman" w:cs="Arial"/>
                <w:b/>
                <w:bCs/>
                <w:sz w:val="20"/>
                <w:szCs w:val="20"/>
                <w:lang w:eastAsia="en-GB"/>
              </w:rPr>
              <w:t>2011</w:t>
            </w:r>
          </w:p>
        </w:tc>
        <w:tc>
          <w:tcPr>
            <w:tcW w:w="119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right"/>
              <w:rPr>
                <w:rFonts w:eastAsia="Times New Roman" w:cs="Arial"/>
                <w:sz w:val="20"/>
                <w:szCs w:val="20"/>
                <w:lang w:eastAsia="en-GB"/>
              </w:rPr>
            </w:pPr>
            <w:r w:rsidRPr="00155BC8">
              <w:rPr>
                <w:rFonts w:eastAsia="Times New Roman" w:cs="Arial"/>
                <w:sz w:val="20"/>
                <w:szCs w:val="20"/>
                <w:lang w:eastAsia="en-GB"/>
              </w:rPr>
              <w:t>0</w:t>
            </w:r>
          </w:p>
        </w:tc>
        <w:tc>
          <w:tcPr>
            <w:tcW w:w="2460"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w:t>
            </w:r>
          </w:p>
        </w:tc>
        <w:tc>
          <w:tcPr>
            <w:tcW w:w="101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center"/>
              <w:rPr>
                <w:rFonts w:eastAsia="Times New Roman" w:cs="Arial"/>
                <w:sz w:val="20"/>
                <w:szCs w:val="20"/>
                <w:lang w:eastAsia="en-GB"/>
              </w:rPr>
            </w:pPr>
            <w:r w:rsidRPr="00155BC8">
              <w:rPr>
                <w:rFonts w:eastAsia="Times New Roman" w:cs="Arial"/>
                <w:sz w:val="20"/>
                <w:szCs w:val="20"/>
                <w:lang w:eastAsia="en-GB"/>
              </w:rPr>
              <w:t>-</w:t>
            </w:r>
          </w:p>
        </w:tc>
        <w:tc>
          <w:tcPr>
            <w:tcW w:w="3492"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w:t>
            </w:r>
          </w:p>
        </w:tc>
      </w:tr>
      <w:tr w:rsidR="008B7384" w:rsidRPr="00155BC8"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155BC8" w:rsidRDefault="008B7384" w:rsidP="00155BC8">
            <w:pPr>
              <w:spacing w:after="0" w:line="240" w:lineRule="auto"/>
              <w:rPr>
                <w:rFonts w:eastAsia="Times New Roman" w:cs="Arial"/>
                <w:b/>
                <w:bCs/>
                <w:sz w:val="20"/>
                <w:szCs w:val="20"/>
                <w:lang w:eastAsia="en-GB"/>
              </w:rPr>
            </w:pPr>
            <w:r w:rsidRPr="00155BC8">
              <w:rPr>
                <w:rFonts w:eastAsia="Times New Roman" w:cs="Arial"/>
                <w:b/>
                <w:bCs/>
                <w:sz w:val="20"/>
                <w:szCs w:val="20"/>
                <w:lang w:eastAsia="en-GB"/>
              </w:rPr>
              <w:t>2012</w:t>
            </w:r>
          </w:p>
        </w:tc>
        <w:tc>
          <w:tcPr>
            <w:tcW w:w="119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right"/>
              <w:rPr>
                <w:rFonts w:eastAsia="Times New Roman" w:cs="Arial"/>
                <w:sz w:val="20"/>
                <w:szCs w:val="20"/>
                <w:lang w:eastAsia="en-GB"/>
              </w:rPr>
            </w:pPr>
            <w:r w:rsidRPr="00155BC8">
              <w:rPr>
                <w:rFonts w:eastAsia="Times New Roman" w:cs="Arial"/>
                <w:sz w:val="20"/>
                <w:szCs w:val="20"/>
                <w:lang w:eastAsia="en-GB"/>
              </w:rPr>
              <w:t>289,510</w:t>
            </w:r>
          </w:p>
        </w:tc>
        <w:tc>
          <w:tcPr>
            <w:tcW w:w="2460"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Norway, Japan, Canada</w:t>
            </w:r>
          </w:p>
        </w:tc>
        <w:tc>
          <w:tcPr>
            <w:tcW w:w="101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center"/>
              <w:rPr>
                <w:rFonts w:eastAsia="Times New Roman" w:cs="Arial"/>
                <w:sz w:val="20"/>
                <w:szCs w:val="20"/>
                <w:lang w:eastAsia="en-GB"/>
              </w:rPr>
            </w:pPr>
            <w:r w:rsidRPr="00155BC8">
              <w:rPr>
                <w:rFonts w:eastAsia="Times New Roman" w:cs="Arial"/>
                <w:sz w:val="20"/>
                <w:szCs w:val="20"/>
                <w:lang w:eastAsia="en-GB"/>
              </w:rPr>
              <w:t>7</w:t>
            </w:r>
          </w:p>
        </w:tc>
        <w:tc>
          <w:tcPr>
            <w:tcW w:w="3492"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Belize,Ghana, Belarus,Moldova, Uganda, Lao</w:t>
            </w:r>
            <w:r w:rsidR="00155BC8">
              <w:rPr>
                <w:rFonts w:eastAsia="Times New Roman" w:cs="Arial"/>
                <w:sz w:val="20"/>
                <w:szCs w:val="20"/>
                <w:lang w:eastAsia="en-GB"/>
              </w:rPr>
              <w:t xml:space="preserve"> </w:t>
            </w:r>
            <w:r w:rsidR="00155BC8" w:rsidRPr="00155BC8">
              <w:rPr>
                <w:rFonts w:eastAsia="Times New Roman" w:cs="Arial"/>
                <w:sz w:val="20"/>
                <w:szCs w:val="20"/>
                <w:lang w:eastAsia="en-GB"/>
              </w:rPr>
              <w:t>PDR</w:t>
            </w:r>
            <w:r w:rsidRPr="00155BC8">
              <w:rPr>
                <w:rFonts w:eastAsia="Times New Roman" w:cs="Arial"/>
                <w:sz w:val="20"/>
                <w:szCs w:val="20"/>
                <w:lang w:eastAsia="en-GB"/>
              </w:rPr>
              <w:t>, Georgia</w:t>
            </w:r>
          </w:p>
        </w:tc>
      </w:tr>
      <w:tr w:rsidR="008B7384" w:rsidRPr="00155BC8"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155BC8" w:rsidRDefault="008B7384" w:rsidP="00155BC8">
            <w:pPr>
              <w:spacing w:after="0" w:line="240" w:lineRule="auto"/>
              <w:rPr>
                <w:rFonts w:eastAsia="Times New Roman" w:cs="Arial"/>
                <w:b/>
                <w:bCs/>
                <w:sz w:val="20"/>
                <w:szCs w:val="20"/>
                <w:lang w:eastAsia="en-GB"/>
              </w:rPr>
            </w:pPr>
            <w:r w:rsidRPr="00155BC8">
              <w:rPr>
                <w:rFonts w:eastAsia="Times New Roman" w:cs="Arial"/>
                <w:b/>
                <w:bCs/>
                <w:sz w:val="20"/>
                <w:szCs w:val="20"/>
                <w:lang w:eastAsia="en-GB"/>
              </w:rPr>
              <w:t>2013</w:t>
            </w:r>
          </w:p>
        </w:tc>
        <w:tc>
          <w:tcPr>
            <w:tcW w:w="119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right"/>
              <w:rPr>
                <w:rFonts w:eastAsia="Times New Roman" w:cs="Arial"/>
                <w:sz w:val="20"/>
                <w:szCs w:val="20"/>
                <w:lang w:eastAsia="en-GB"/>
              </w:rPr>
            </w:pPr>
            <w:r w:rsidRPr="00155BC8">
              <w:rPr>
                <w:rFonts w:eastAsia="Times New Roman" w:cs="Arial"/>
                <w:sz w:val="20"/>
                <w:szCs w:val="20"/>
                <w:lang w:eastAsia="en-GB"/>
              </w:rPr>
              <w:t>-</w:t>
            </w:r>
          </w:p>
        </w:tc>
        <w:tc>
          <w:tcPr>
            <w:tcW w:w="2460"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 -</w:t>
            </w:r>
          </w:p>
        </w:tc>
        <w:tc>
          <w:tcPr>
            <w:tcW w:w="101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center"/>
              <w:rPr>
                <w:rFonts w:eastAsia="Times New Roman" w:cs="Arial"/>
                <w:sz w:val="20"/>
                <w:szCs w:val="20"/>
                <w:lang w:eastAsia="en-GB"/>
              </w:rPr>
            </w:pPr>
            <w:r w:rsidRPr="00155BC8">
              <w:rPr>
                <w:rFonts w:eastAsia="Times New Roman" w:cs="Arial"/>
                <w:sz w:val="20"/>
                <w:szCs w:val="20"/>
                <w:lang w:eastAsia="en-GB"/>
              </w:rPr>
              <w:t>1</w:t>
            </w:r>
          </w:p>
        </w:tc>
        <w:tc>
          <w:tcPr>
            <w:tcW w:w="3492"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Ecuador</w:t>
            </w:r>
          </w:p>
        </w:tc>
      </w:tr>
      <w:tr w:rsidR="008B7384" w:rsidRPr="00155BC8"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155BC8" w:rsidRDefault="008B7384" w:rsidP="00155BC8">
            <w:pPr>
              <w:spacing w:after="0" w:line="240" w:lineRule="auto"/>
              <w:rPr>
                <w:rFonts w:eastAsia="Times New Roman" w:cs="Arial"/>
                <w:b/>
                <w:bCs/>
                <w:sz w:val="20"/>
                <w:szCs w:val="20"/>
                <w:lang w:eastAsia="en-GB"/>
              </w:rPr>
            </w:pPr>
            <w:r w:rsidRPr="00155BC8">
              <w:rPr>
                <w:rFonts w:eastAsia="Times New Roman" w:cs="Arial"/>
                <w:b/>
                <w:bCs/>
                <w:sz w:val="20"/>
                <w:szCs w:val="20"/>
                <w:lang w:eastAsia="en-GB"/>
              </w:rPr>
              <w:t>2014</w:t>
            </w:r>
          </w:p>
        </w:tc>
        <w:tc>
          <w:tcPr>
            <w:tcW w:w="119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right"/>
              <w:rPr>
                <w:rFonts w:eastAsia="Times New Roman" w:cs="Arial"/>
                <w:sz w:val="20"/>
                <w:szCs w:val="20"/>
                <w:lang w:eastAsia="en-GB"/>
              </w:rPr>
            </w:pPr>
            <w:r w:rsidRPr="00155BC8">
              <w:rPr>
                <w:rFonts w:eastAsia="Times New Roman" w:cs="Arial"/>
                <w:sz w:val="20"/>
                <w:szCs w:val="20"/>
                <w:lang w:eastAsia="en-GB"/>
              </w:rPr>
              <w:t>-</w:t>
            </w:r>
          </w:p>
        </w:tc>
        <w:tc>
          <w:tcPr>
            <w:tcW w:w="2460"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w:t>
            </w:r>
          </w:p>
        </w:tc>
        <w:tc>
          <w:tcPr>
            <w:tcW w:w="101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center"/>
              <w:rPr>
                <w:rFonts w:eastAsia="Times New Roman" w:cs="Arial"/>
                <w:sz w:val="20"/>
                <w:szCs w:val="20"/>
                <w:lang w:eastAsia="en-GB"/>
              </w:rPr>
            </w:pPr>
            <w:r w:rsidRPr="00155BC8">
              <w:rPr>
                <w:rFonts w:eastAsia="Times New Roman" w:cs="Arial"/>
                <w:sz w:val="20"/>
                <w:szCs w:val="20"/>
                <w:lang w:eastAsia="en-GB"/>
              </w:rPr>
              <w:t>0</w:t>
            </w:r>
          </w:p>
        </w:tc>
        <w:tc>
          <w:tcPr>
            <w:tcW w:w="3492"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 </w:t>
            </w:r>
          </w:p>
        </w:tc>
      </w:tr>
      <w:tr w:rsidR="008B7384" w:rsidRPr="00155BC8"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155BC8" w:rsidRDefault="008B7384" w:rsidP="00155BC8">
            <w:pPr>
              <w:spacing w:after="0" w:line="240" w:lineRule="auto"/>
              <w:rPr>
                <w:rFonts w:eastAsia="Times New Roman" w:cs="Arial"/>
                <w:b/>
                <w:bCs/>
                <w:sz w:val="20"/>
                <w:szCs w:val="20"/>
                <w:lang w:eastAsia="en-GB"/>
              </w:rPr>
            </w:pPr>
            <w:r w:rsidRPr="00155BC8">
              <w:rPr>
                <w:rFonts w:eastAsia="Times New Roman" w:cs="Arial"/>
                <w:b/>
                <w:bCs/>
                <w:sz w:val="20"/>
                <w:szCs w:val="20"/>
                <w:lang w:eastAsia="en-GB"/>
              </w:rPr>
              <w:t>2015</w:t>
            </w:r>
          </w:p>
        </w:tc>
        <w:tc>
          <w:tcPr>
            <w:tcW w:w="119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right"/>
              <w:rPr>
                <w:rFonts w:eastAsia="Times New Roman" w:cs="Arial"/>
                <w:sz w:val="20"/>
                <w:szCs w:val="20"/>
                <w:lang w:eastAsia="en-GB"/>
              </w:rPr>
            </w:pPr>
            <w:r w:rsidRPr="00155BC8">
              <w:rPr>
                <w:rFonts w:eastAsia="Times New Roman" w:cs="Arial"/>
                <w:sz w:val="20"/>
                <w:szCs w:val="20"/>
                <w:lang w:eastAsia="en-GB"/>
              </w:rPr>
              <w:t>-</w:t>
            </w:r>
          </w:p>
        </w:tc>
        <w:tc>
          <w:tcPr>
            <w:tcW w:w="2460"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w:t>
            </w:r>
          </w:p>
        </w:tc>
        <w:tc>
          <w:tcPr>
            <w:tcW w:w="101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center"/>
              <w:rPr>
                <w:rFonts w:eastAsia="Times New Roman" w:cs="Arial"/>
                <w:sz w:val="20"/>
                <w:szCs w:val="20"/>
                <w:lang w:eastAsia="en-GB"/>
              </w:rPr>
            </w:pPr>
            <w:r w:rsidRPr="00155BC8">
              <w:rPr>
                <w:rFonts w:eastAsia="Times New Roman" w:cs="Arial"/>
                <w:sz w:val="20"/>
                <w:szCs w:val="20"/>
                <w:lang w:eastAsia="en-GB"/>
              </w:rPr>
              <w:t>0</w:t>
            </w:r>
          </w:p>
        </w:tc>
        <w:tc>
          <w:tcPr>
            <w:tcW w:w="3492"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w:t>
            </w:r>
          </w:p>
        </w:tc>
      </w:tr>
      <w:tr w:rsidR="008B7384" w:rsidRPr="00155BC8" w:rsidTr="00155BC8">
        <w:tc>
          <w:tcPr>
            <w:tcW w:w="866" w:type="dxa"/>
            <w:tcBorders>
              <w:top w:val="nil"/>
              <w:left w:val="single" w:sz="4" w:space="0" w:color="auto"/>
              <w:bottom w:val="single" w:sz="4" w:space="0" w:color="auto"/>
              <w:right w:val="single" w:sz="4" w:space="0" w:color="auto"/>
            </w:tcBorders>
            <w:shd w:val="clear" w:color="auto" w:fill="D9D9D9"/>
            <w:hideMark/>
          </w:tcPr>
          <w:p w:rsidR="008B7384" w:rsidRPr="00155BC8" w:rsidRDefault="008B7384" w:rsidP="00155BC8">
            <w:pPr>
              <w:spacing w:after="0" w:line="240" w:lineRule="auto"/>
              <w:rPr>
                <w:rFonts w:eastAsia="Times New Roman" w:cs="Arial"/>
                <w:b/>
                <w:bCs/>
                <w:sz w:val="20"/>
                <w:szCs w:val="20"/>
                <w:lang w:eastAsia="en-GB"/>
              </w:rPr>
            </w:pPr>
            <w:r w:rsidRPr="00155BC8">
              <w:rPr>
                <w:rFonts w:eastAsia="Times New Roman" w:cs="Arial"/>
                <w:b/>
                <w:bCs/>
                <w:sz w:val="20"/>
                <w:szCs w:val="20"/>
                <w:lang w:eastAsia="en-GB"/>
              </w:rPr>
              <w:t>TOTAL</w:t>
            </w:r>
          </w:p>
        </w:tc>
        <w:tc>
          <w:tcPr>
            <w:tcW w:w="119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right"/>
              <w:rPr>
                <w:rFonts w:eastAsia="Times New Roman" w:cs="Arial"/>
                <w:sz w:val="20"/>
                <w:szCs w:val="20"/>
                <w:lang w:eastAsia="en-GB"/>
              </w:rPr>
            </w:pPr>
            <w:r w:rsidRPr="00155BC8">
              <w:rPr>
                <w:rFonts w:cs="Arial"/>
                <w:sz w:val="20"/>
                <w:szCs w:val="20"/>
              </w:rPr>
              <w:t>2,740,206</w:t>
            </w:r>
          </w:p>
        </w:tc>
        <w:tc>
          <w:tcPr>
            <w:tcW w:w="2460"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12+1</w:t>
            </w:r>
          </w:p>
        </w:tc>
        <w:tc>
          <w:tcPr>
            <w:tcW w:w="1019" w:type="dxa"/>
            <w:tcBorders>
              <w:top w:val="nil"/>
              <w:left w:val="nil"/>
              <w:bottom w:val="single" w:sz="4" w:space="0" w:color="auto"/>
              <w:right w:val="single" w:sz="4" w:space="0" w:color="auto"/>
            </w:tcBorders>
            <w:hideMark/>
          </w:tcPr>
          <w:p w:rsidR="008B7384" w:rsidRPr="00155BC8" w:rsidRDefault="008B7384" w:rsidP="00155BC8">
            <w:pPr>
              <w:spacing w:after="0" w:line="240" w:lineRule="auto"/>
              <w:jc w:val="center"/>
              <w:rPr>
                <w:rFonts w:eastAsia="Times New Roman" w:cs="Arial"/>
                <w:sz w:val="20"/>
                <w:szCs w:val="20"/>
                <w:lang w:eastAsia="en-GB"/>
              </w:rPr>
            </w:pPr>
            <w:r w:rsidRPr="00155BC8">
              <w:rPr>
                <w:rFonts w:eastAsia="Times New Roman" w:cs="Arial"/>
                <w:sz w:val="20"/>
                <w:szCs w:val="20"/>
                <w:lang w:eastAsia="en-GB"/>
              </w:rPr>
              <w:t>89</w:t>
            </w:r>
          </w:p>
        </w:tc>
        <w:tc>
          <w:tcPr>
            <w:tcW w:w="3492" w:type="dxa"/>
            <w:tcBorders>
              <w:top w:val="nil"/>
              <w:left w:val="nil"/>
              <w:bottom w:val="single" w:sz="4" w:space="0" w:color="auto"/>
              <w:right w:val="single" w:sz="4" w:space="0" w:color="auto"/>
            </w:tcBorders>
            <w:hideMark/>
          </w:tcPr>
          <w:p w:rsidR="008B7384" w:rsidRPr="00155BC8" w:rsidRDefault="008B7384" w:rsidP="00155BC8">
            <w:pPr>
              <w:spacing w:after="0" w:line="240" w:lineRule="auto"/>
              <w:rPr>
                <w:rFonts w:eastAsia="Times New Roman" w:cs="Arial"/>
                <w:sz w:val="20"/>
                <w:szCs w:val="20"/>
                <w:lang w:eastAsia="en-GB"/>
              </w:rPr>
            </w:pPr>
            <w:r w:rsidRPr="00155BC8">
              <w:rPr>
                <w:rFonts w:eastAsia="Times New Roman" w:cs="Arial"/>
                <w:sz w:val="20"/>
                <w:szCs w:val="20"/>
                <w:lang w:eastAsia="en-GB"/>
              </w:rPr>
              <w:t>-</w:t>
            </w:r>
          </w:p>
        </w:tc>
      </w:tr>
    </w:tbl>
    <w:p w:rsidR="000B4C27" w:rsidRPr="000B4C27" w:rsidRDefault="000B4C27" w:rsidP="000B4C27">
      <w:pPr>
        <w:spacing w:after="0" w:line="240" w:lineRule="auto"/>
        <w:rPr>
          <w:rFonts w:cs="Times New Roman"/>
          <w:b/>
        </w:rPr>
      </w:pPr>
    </w:p>
    <w:p w:rsidR="000B4D4F" w:rsidRPr="003D6AB7" w:rsidRDefault="000B4D4F" w:rsidP="000B4C27">
      <w:pPr>
        <w:spacing w:after="0" w:line="240" w:lineRule="auto"/>
      </w:pPr>
    </w:p>
    <w:p w:rsidR="0020244D" w:rsidRPr="003D6AB7" w:rsidRDefault="00720A95" w:rsidP="003D6AB7">
      <w:pPr>
        <w:pStyle w:val="Default"/>
        <w:numPr>
          <w:ilvl w:val="0"/>
          <w:numId w:val="13"/>
        </w:numPr>
        <w:ind w:left="426" w:hanging="426"/>
        <w:rPr>
          <w:rFonts w:asciiTheme="minorHAnsi" w:hAnsiTheme="minorHAnsi" w:cs="Times New Roman"/>
          <w:sz w:val="22"/>
          <w:szCs w:val="22"/>
        </w:rPr>
      </w:pPr>
      <w:r w:rsidRPr="003D6AB7">
        <w:rPr>
          <w:rFonts w:asciiTheme="minorHAnsi" w:hAnsiTheme="minorHAnsi" w:cs="Times New Roman"/>
          <w:sz w:val="22"/>
          <w:szCs w:val="22"/>
        </w:rPr>
        <w:t>T</w:t>
      </w:r>
      <w:r w:rsidR="00906808" w:rsidRPr="003D6AB7">
        <w:rPr>
          <w:rFonts w:asciiTheme="minorHAnsi" w:hAnsiTheme="minorHAnsi" w:cs="Times New Roman"/>
          <w:sz w:val="22"/>
          <w:szCs w:val="22"/>
        </w:rPr>
        <w:t xml:space="preserve">he SGF </w:t>
      </w:r>
      <w:r w:rsidR="00A968E9" w:rsidRPr="003D6AB7">
        <w:rPr>
          <w:rFonts w:asciiTheme="minorHAnsi" w:hAnsiTheme="minorHAnsi" w:cs="Times New Roman"/>
          <w:sz w:val="22"/>
          <w:szCs w:val="22"/>
        </w:rPr>
        <w:t>usually</w:t>
      </w:r>
      <w:r w:rsidR="00906808" w:rsidRPr="003D6AB7">
        <w:rPr>
          <w:rFonts w:asciiTheme="minorHAnsi" w:hAnsiTheme="minorHAnsi" w:cs="Times New Roman"/>
          <w:sz w:val="22"/>
          <w:szCs w:val="22"/>
        </w:rPr>
        <w:t xml:space="preserve"> </w:t>
      </w:r>
      <w:r w:rsidR="0020244D" w:rsidRPr="003D6AB7">
        <w:rPr>
          <w:rFonts w:asciiTheme="minorHAnsi" w:hAnsiTheme="minorHAnsi" w:cs="Times New Roman"/>
          <w:sz w:val="22"/>
          <w:szCs w:val="22"/>
        </w:rPr>
        <w:t>receive</w:t>
      </w:r>
      <w:r w:rsidR="00A968E9" w:rsidRPr="003D6AB7">
        <w:rPr>
          <w:rFonts w:asciiTheme="minorHAnsi" w:hAnsiTheme="minorHAnsi" w:cs="Times New Roman"/>
          <w:sz w:val="22"/>
          <w:szCs w:val="22"/>
        </w:rPr>
        <w:t>s</w:t>
      </w:r>
      <w:r w:rsidR="0020244D" w:rsidRPr="003D6AB7">
        <w:rPr>
          <w:rFonts w:asciiTheme="minorHAnsi" w:hAnsiTheme="minorHAnsi" w:cs="Times New Roman"/>
          <w:sz w:val="22"/>
          <w:szCs w:val="22"/>
        </w:rPr>
        <w:t xml:space="preserve"> </w:t>
      </w:r>
      <w:r w:rsidR="000167A4" w:rsidRPr="003D6AB7">
        <w:rPr>
          <w:rFonts w:asciiTheme="minorHAnsi" w:hAnsiTheme="minorHAnsi" w:cs="Times New Roman"/>
          <w:sz w:val="22"/>
          <w:szCs w:val="22"/>
        </w:rPr>
        <w:t xml:space="preserve">many </w:t>
      </w:r>
      <w:r w:rsidR="00906808" w:rsidRPr="003D6AB7">
        <w:rPr>
          <w:rFonts w:asciiTheme="minorHAnsi" w:hAnsiTheme="minorHAnsi" w:cs="Times New Roman"/>
          <w:sz w:val="22"/>
          <w:szCs w:val="22"/>
        </w:rPr>
        <w:t>more applications and quality proposals th</w:t>
      </w:r>
      <w:r w:rsidR="000167A4" w:rsidRPr="003D6AB7">
        <w:rPr>
          <w:rFonts w:asciiTheme="minorHAnsi" w:hAnsiTheme="minorHAnsi" w:cs="Times New Roman"/>
          <w:sz w:val="22"/>
          <w:szCs w:val="22"/>
        </w:rPr>
        <w:t>a</w:t>
      </w:r>
      <w:r w:rsidR="00906808" w:rsidRPr="003D6AB7">
        <w:rPr>
          <w:rFonts w:asciiTheme="minorHAnsi" w:hAnsiTheme="minorHAnsi" w:cs="Times New Roman"/>
          <w:sz w:val="22"/>
          <w:szCs w:val="22"/>
        </w:rPr>
        <w:t xml:space="preserve">n </w:t>
      </w:r>
      <w:r w:rsidR="000167A4" w:rsidRPr="003D6AB7">
        <w:rPr>
          <w:rFonts w:asciiTheme="minorHAnsi" w:hAnsiTheme="minorHAnsi" w:cs="Times New Roman"/>
          <w:sz w:val="22"/>
          <w:szCs w:val="22"/>
        </w:rPr>
        <w:t xml:space="preserve">available </w:t>
      </w:r>
      <w:r w:rsidR="00906808" w:rsidRPr="003D6AB7">
        <w:rPr>
          <w:rFonts w:asciiTheme="minorHAnsi" w:hAnsiTheme="minorHAnsi" w:cs="Times New Roman"/>
          <w:sz w:val="22"/>
          <w:szCs w:val="22"/>
        </w:rPr>
        <w:t xml:space="preserve">funding </w:t>
      </w:r>
      <w:r w:rsidR="0020244D" w:rsidRPr="003D6AB7">
        <w:rPr>
          <w:rFonts w:asciiTheme="minorHAnsi" w:hAnsiTheme="minorHAnsi" w:cs="Times New Roman"/>
          <w:sz w:val="22"/>
          <w:szCs w:val="22"/>
        </w:rPr>
        <w:t>c</w:t>
      </w:r>
      <w:r w:rsidR="00A968E9" w:rsidRPr="003D6AB7">
        <w:rPr>
          <w:rFonts w:asciiTheme="minorHAnsi" w:hAnsiTheme="minorHAnsi" w:cs="Times New Roman"/>
          <w:sz w:val="22"/>
          <w:szCs w:val="22"/>
        </w:rPr>
        <w:t>an</w:t>
      </w:r>
      <w:r w:rsidR="0020244D" w:rsidRPr="003D6AB7">
        <w:rPr>
          <w:rFonts w:asciiTheme="minorHAnsi" w:hAnsiTheme="minorHAnsi" w:cs="Times New Roman"/>
          <w:sz w:val="22"/>
          <w:szCs w:val="22"/>
        </w:rPr>
        <w:t xml:space="preserve"> support.</w:t>
      </w:r>
      <w:r w:rsidR="00DD25C7">
        <w:rPr>
          <w:rFonts w:asciiTheme="minorHAnsi" w:hAnsiTheme="minorHAnsi" w:cs="Times New Roman"/>
          <w:sz w:val="22"/>
          <w:szCs w:val="22"/>
        </w:rPr>
        <w:t xml:space="preserve"> </w:t>
      </w:r>
      <w:r w:rsidR="0020244D" w:rsidRPr="003D6AB7">
        <w:rPr>
          <w:rFonts w:asciiTheme="minorHAnsi" w:hAnsiTheme="minorHAnsi" w:cs="Times New Roman"/>
          <w:sz w:val="22"/>
          <w:szCs w:val="22"/>
        </w:rPr>
        <w:t xml:space="preserve">Correspondingly, </w:t>
      </w:r>
      <w:r w:rsidR="00906808" w:rsidRPr="003D6AB7">
        <w:rPr>
          <w:rFonts w:asciiTheme="minorHAnsi" w:hAnsiTheme="minorHAnsi" w:cs="Times New Roman"/>
          <w:sz w:val="22"/>
          <w:szCs w:val="22"/>
        </w:rPr>
        <w:t xml:space="preserve">the </w:t>
      </w:r>
      <w:r w:rsidR="0020244D" w:rsidRPr="003D6AB7">
        <w:rPr>
          <w:rFonts w:asciiTheme="minorHAnsi" w:hAnsiTheme="minorHAnsi" w:cs="Times New Roman"/>
          <w:sz w:val="22"/>
          <w:szCs w:val="22"/>
        </w:rPr>
        <w:t xml:space="preserve">demand for the </w:t>
      </w:r>
      <w:r w:rsidR="00906808" w:rsidRPr="003D6AB7">
        <w:rPr>
          <w:rFonts w:asciiTheme="minorHAnsi" w:hAnsiTheme="minorHAnsi" w:cs="Times New Roman"/>
          <w:sz w:val="22"/>
          <w:szCs w:val="22"/>
        </w:rPr>
        <w:t>Secretariat</w:t>
      </w:r>
      <w:r w:rsidR="0020244D" w:rsidRPr="003D6AB7">
        <w:rPr>
          <w:rFonts w:asciiTheme="minorHAnsi" w:hAnsiTheme="minorHAnsi" w:cs="Times New Roman"/>
          <w:sz w:val="22"/>
          <w:szCs w:val="22"/>
        </w:rPr>
        <w:t xml:space="preserve"> to </w:t>
      </w:r>
      <w:r w:rsidR="00906808" w:rsidRPr="003D6AB7">
        <w:rPr>
          <w:rFonts w:asciiTheme="minorHAnsi" w:hAnsiTheme="minorHAnsi" w:cs="Times New Roman"/>
          <w:sz w:val="22"/>
          <w:szCs w:val="22"/>
        </w:rPr>
        <w:t>provid</w:t>
      </w:r>
      <w:r w:rsidR="0020244D" w:rsidRPr="003D6AB7">
        <w:rPr>
          <w:rFonts w:asciiTheme="minorHAnsi" w:hAnsiTheme="minorHAnsi" w:cs="Times New Roman"/>
          <w:sz w:val="22"/>
          <w:szCs w:val="22"/>
        </w:rPr>
        <w:t>e</w:t>
      </w:r>
      <w:r w:rsidR="00906808" w:rsidRPr="003D6AB7">
        <w:rPr>
          <w:rFonts w:asciiTheme="minorHAnsi" w:hAnsiTheme="minorHAnsi" w:cs="Times New Roman"/>
          <w:sz w:val="22"/>
          <w:szCs w:val="22"/>
        </w:rPr>
        <w:t xml:space="preserve"> advisory services, evaluat</w:t>
      </w:r>
      <w:r w:rsidR="0020244D" w:rsidRPr="003D6AB7">
        <w:rPr>
          <w:rFonts w:asciiTheme="minorHAnsi" w:hAnsiTheme="minorHAnsi" w:cs="Times New Roman"/>
          <w:sz w:val="22"/>
          <w:szCs w:val="22"/>
        </w:rPr>
        <w:t xml:space="preserve">e and </w:t>
      </w:r>
      <w:r w:rsidR="00906808" w:rsidRPr="003D6AB7">
        <w:rPr>
          <w:rFonts w:asciiTheme="minorHAnsi" w:hAnsiTheme="minorHAnsi" w:cs="Times New Roman"/>
          <w:sz w:val="22"/>
          <w:szCs w:val="22"/>
        </w:rPr>
        <w:t xml:space="preserve">rank projects </w:t>
      </w:r>
      <w:r w:rsidR="000167A4" w:rsidRPr="003D6AB7">
        <w:rPr>
          <w:rFonts w:asciiTheme="minorHAnsi" w:hAnsiTheme="minorHAnsi" w:cs="Times New Roman"/>
          <w:sz w:val="22"/>
          <w:szCs w:val="22"/>
        </w:rPr>
        <w:t xml:space="preserve">has </w:t>
      </w:r>
      <w:r w:rsidR="00A968E9" w:rsidRPr="003D6AB7">
        <w:rPr>
          <w:rFonts w:asciiTheme="minorHAnsi" w:hAnsiTheme="minorHAnsi" w:cs="Times New Roman"/>
          <w:sz w:val="22"/>
          <w:szCs w:val="22"/>
        </w:rPr>
        <w:t xml:space="preserve">been </w:t>
      </w:r>
      <w:r w:rsidR="0020244D" w:rsidRPr="003D6AB7">
        <w:rPr>
          <w:rFonts w:asciiTheme="minorHAnsi" w:hAnsiTheme="minorHAnsi" w:cs="Times New Roman"/>
          <w:sz w:val="22"/>
          <w:szCs w:val="22"/>
        </w:rPr>
        <w:t>disproportionally high compared to the funding available.</w:t>
      </w:r>
      <w:r w:rsidR="00DD25C7">
        <w:rPr>
          <w:rFonts w:asciiTheme="minorHAnsi" w:hAnsiTheme="minorHAnsi" w:cs="Times New Roman"/>
          <w:sz w:val="22"/>
          <w:szCs w:val="22"/>
        </w:rPr>
        <w:t xml:space="preserve"> </w:t>
      </w:r>
    </w:p>
    <w:p w:rsidR="00C570F9" w:rsidRPr="003D6AB7" w:rsidRDefault="00C570F9" w:rsidP="003D6AB7">
      <w:pPr>
        <w:pStyle w:val="Default"/>
        <w:ind w:left="426" w:hanging="426"/>
        <w:rPr>
          <w:rFonts w:asciiTheme="minorHAnsi" w:hAnsiTheme="minorHAnsi" w:cs="Times New Roman"/>
          <w:sz w:val="22"/>
          <w:szCs w:val="22"/>
        </w:rPr>
      </w:pPr>
    </w:p>
    <w:p w:rsidR="00DB579B" w:rsidRPr="003D6AB7" w:rsidRDefault="004930AE" w:rsidP="003D6AB7">
      <w:pPr>
        <w:pStyle w:val="Default"/>
        <w:numPr>
          <w:ilvl w:val="0"/>
          <w:numId w:val="13"/>
        </w:numPr>
        <w:ind w:left="426" w:hanging="426"/>
        <w:rPr>
          <w:rFonts w:asciiTheme="minorHAnsi" w:hAnsiTheme="minorHAnsi" w:cs="Times New Roman"/>
          <w:sz w:val="22"/>
          <w:szCs w:val="22"/>
        </w:rPr>
      </w:pPr>
      <w:r w:rsidRPr="003D6AB7">
        <w:rPr>
          <w:rFonts w:asciiTheme="minorHAnsi" w:hAnsiTheme="minorHAnsi" w:cs="Times New Roman"/>
          <w:sz w:val="22"/>
          <w:szCs w:val="22"/>
        </w:rPr>
        <w:t>Since 2010, Secretariat r</w:t>
      </w:r>
      <w:r w:rsidR="00B26692" w:rsidRPr="003D6AB7">
        <w:rPr>
          <w:rFonts w:asciiTheme="minorHAnsi" w:hAnsiTheme="minorHAnsi" w:cs="Times New Roman"/>
          <w:sz w:val="22"/>
          <w:szCs w:val="22"/>
        </w:rPr>
        <w:t>eports</w:t>
      </w:r>
      <w:r w:rsidRPr="003D6AB7">
        <w:rPr>
          <w:rFonts w:asciiTheme="minorHAnsi" w:hAnsiTheme="minorHAnsi" w:cs="Times New Roman"/>
          <w:sz w:val="22"/>
          <w:szCs w:val="22"/>
        </w:rPr>
        <w:t xml:space="preserve"> to the Standing Committee have noted</w:t>
      </w:r>
      <w:r w:rsidR="00C75633" w:rsidRPr="003D6AB7">
        <w:rPr>
          <w:rFonts w:asciiTheme="minorHAnsi" w:hAnsiTheme="minorHAnsi" w:cs="Times New Roman"/>
          <w:sz w:val="22"/>
          <w:szCs w:val="22"/>
        </w:rPr>
        <w:t xml:space="preserve"> the challenge of funding the SGF and </w:t>
      </w:r>
      <w:r w:rsidRPr="003D6AB7">
        <w:rPr>
          <w:rFonts w:asciiTheme="minorHAnsi" w:hAnsiTheme="minorHAnsi" w:cs="Times New Roman"/>
          <w:sz w:val="22"/>
          <w:szCs w:val="22"/>
        </w:rPr>
        <w:t xml:space="preserve">significant </w:t>
      </w:r>
      <w:r w:rsidR="00C75633" w:rsidRPr="003D6AB7">
        <w:rPr>
          <w:rFonts w:asciiTheme="minorHAnsi" w:hAnsiTheme="minorHAnsi" w:cs="Times New Roman"/>
          <w:sz w:val="22"/>
          <w:szCs w:val="22"/>
        </w:rPr>
        <w:t xml:space="preserve">actions </w:t>
      </w:r>
      <w:r w:rsidR="00155BC8">
        <w:rPr>
          <w:rFonts w:asciiTheme="minorHAnsi" w:hAnsiTheme="minorHAnsi" w:cs="Times New Roman"/>
          <w:sz w:val="22"/>
          <w:szCs w:val="22"/>
        </w:rPr>
        <w:t>have been</w:t>
      </w:r>
      <w:r w:rsidR="00155BC8" w:rsidRPr="003D6AB7">
        <w:rPr>
          <w:rFonts w:asciiTheme="minorHAnsi" w:hAnsiTheme="minorHAnsi" w:cs="Times New Roman"/>
          <w:sz w:val="22"/>
          <w:szCs w:val="22"/>
        </w:rPr>
        <w:t xml:space="preserve"> </w:t>
      </w:r>
      <w:r w:rsidR="00AB3999" w:rsidRPr="003D6AB7">
        <w:rPr>
          <w:rFonts w:asciiTheme="minorHAnsi" w:hAnsiTheme="minorHAnsi" w:cs="Times New Roman"/>
          <w:sz w:val="22"/>
          <w:szCs w:val="22"/>
        </w:rPr>
        <w:t xml:space="preserve">taken </w:t>
      </w:r>
      <w:r w:rsidR="000D4093" w:rsidRPr="003D6AB7">
        <w:rPr>
          <w:rFonts w:asciiTheme="minorHAnsi" w:hAnsiTheme="minorHAnsi" w:cs="Times New Roman"/>
          <w:sz w:val="22"/>
          <w:szCs w:val="22"/>
        </w:rPr>
        <w:t>to r</w:t>
      </w:r>
      <w:r w:rsidR="00C75633" w:rsidRPr="003D6AB7">
        <w:rPr>
          <w:rFonts w:asciiTheme="minorHAnsi" w:hAnsiTheme="minorHAnsi" w:cs="Times New Roman"/>
          <w:sz w:val="22"/>
          <w:szCs w:val="22"/>
        </w:rPr>
        <w:t>evitalize it, including</w:t>
      </w:r>
      <w:r w:rsidR="00EB0DF7" w:rsidRPr="003D6AB7">
        <w:rPr>
          <w:rFonts w:asciiTheme="minorHAnsi" w:hAnsiTheme="minorHAnsi" w:cs="Times New Roman"/>
          <w:sz w:val="22"/>
          <w:szCs w:val="22"/>
        </w:rPr>
        <w:t xml:space="preserve"> </w:t>
      </w:r>
      <w:r w:rsidR="00C75633" w:rsidRPr="003D6AB7">
        <w:rPr>
          <w:rFonts w:asciiTheme="minorHAnsi" w:hAnsiTheme="minorHAnsi" w:cs="Times New Roman"/>
          <w:sz w:val="22"/>
          <w:szCs w:val="22"/>
        </w:rPr>
        <w:t xml:space="preserve">repackaging the SGF portfolio to </w:t>
      </w:r>
      <w:r w:rsidR="000D4093" w:rsidRPr="003D6AB7">
        <w:rPr>
          <w:rFonts w:asciiTheme="minorHAnsi" w:hAnsiTheme="minorHAnsi" w:cs="Times New Roman"/>
          <w:sz w:val="22"/>
          <w:szCs w:val="22"/>
        </w:rPr>
        <w:t xml:space="preserve">showcase </w:t>
      </w:r>
      <w:r w:rsidR="00C75633" w:rsidRPr="003D6AB7">
        <w:rPr>
          <w:rFonts w:asciiTheme="minorHAnsi" w:hAnsiTheme="minorHAnsi" w:cs="Times New Roman"/>
          <w:sz w:val="22"/>
          <w:szCs w:val="22"/>
        </w:rPr>
        <w:t>specific project</w:t>
      </w:r>
      <w:r w:rsidR="00EB0DF7" w:rsidRPr="003D6AB7">
        <w:rPr>
          <w:rFonts w:asciiTheme="minorHAnsi" w:hAnsiTheme="minorHAnsi" w:cs="Times New Roman"/>
          <w:sz w:val="22"/>
          <w:szCs w:val="22"/>
        </w:rPr>
        <w:t xml:space="preserve">s and </w:t>
      </w:r>
      <w:r w:rsidR="00C75633" w:rsidRPr="003D6AB7">
        <w:rPr>
          <w:rFonts w:asciiTheme="minorHAnsi" w:hAnsiTheme="minorHAnsi" w:cs="Times New Roman"/>
          <w:sz w:val="22"/>
          <w:szCs w:val="22"/>
        </w:rPr>
        <w:t>highlight</w:t>
      </w:r>
      <w:r w:rsidRPr="003D6AB7">
        <w:rPr>
          <w:rFonts w:asciiTheme="minorHAnsi" w:hAnsiTheme="minorHAnsi" w:cs="Times New Roman"/>
          <w:sz w:val="22"/>
          <w:szCs w:val="22"/>
        </w:rPr>
        <w:t xml:space="preserve">ing </w:t>
      </w:r>
      <w:r w:rsidR="00C75633" w:rsidRPr="003D6AB7">
        <w:rPr>
          <w:rFonts w:asciiTheme="minorHAnsi" w:hAnsiTheme="minorHAnsi" w:cs="Times New Roman"/>
          <w:sz w:val="22"/>
          <w:szCs w:val="22"/>
        </w:rPr>
        <w:t>high quality “star projects” to potential funders</w:t>
      </w:r>
      <w:r w:rsidR="00EB0DF7" w:rsidRPr="003D6AB7">
        <w:rPr>
          <w:rFonts w:asciiTheme="minorHAnsi" w:hAnsiTheme="minorHAnsi" w:cs="Times New Roman"/>
          <w:sz w:val="22"/>
          <w:szCs w:val="22"/>
        </w:rPr>
        <w:t>.</w:t>
      </w:r>
    </w:p>
    <w:p w:rsidR="00C570F9" w:rsidRPr="003D6AB7" w:rsidRDefault="00C570F9" w:rsidP="003D6AB7">
      <w:pPr>
        <w:pStyle w:val="ListParagraph"/>
        <w:spacing w:after="0" w:line="240" w:lineRule="auto"/>
        <w:ind w:left="426" w:hanging="426"/>
        <w:rPr>
          <w:rFonts w:cs="Times New Roman"/>
        </w:rPr>
      </w:pPr>
    </w:p>
    <w:p w:rsidR="000B4D4F" w:rsidRPr="00155BC8" w:rsidRDefault="00155BC8" w:rsidP="00155BC8">
      <w:pPr>
        <w:pStyle w:val="Default"/>
        <w:numPr>
          <w:ilvl w:val="0"/>
          <w:numId w:val="13"/>
        </w:numPr>
        <w:ind w:left="426" w:hanging="426"/>
        <w:rPr>
          <w:rFonts w:asciiTheme="minorHAnsi" w:hAnsiTheme="minorHAnsi" w:cs="Times New Roman"/>
          <w:sz w:val="22"/>
          <w:szCs w:val="22"/>
        </w:rPr>
      </w:pPr>
      <w:r w:rsidRPr="00155BC8">
        <w:rPr>
          <w:rFonts w:asciiTheme="minorHAnsi" w:hAnsiTheme="minorHAnsi" w:cs="Times New Roman"/>
          <w:sz w:val="22"/>
          <w:szCs w:val="22"/>
        </w:rPr>
        <w:t>In d</w:t>
      </w:r>
      <w:r w:rsidR="00FA5FA9" w:rsidRPr="00155BC8">
        <w:rPr>
          <w:rFonts w:asciiTheme="minorHAnsi" w:hAnsiTheme="minorHAnsi" w:cs="Times New Roman"/>
          <w:sz w:val="22"/>
          <w:szCs w:val="22"/>
        </w:rPr>
        <w:t>ecision SC48</w:t>
      </w:r>
      <w:r w:rsidRPr="00155BC8">
        <w:rPr>
          <w:rFonts w:asciiTheme="minorHAnsi" w:hAnsiTheme="minorHAnsi" w:cs="Times New Roman"/>
          <w:sz w:val="22"/>
          <w:szCs w:val="22"/>
        </w:rPr>
        <w:t>-</w:t>
      </w:r>
      <w:r w:rsidR="00FA5FA9" w:rsidRPr="00155BC8">
        <w:rPr>
          <w:rFonts w:asciiTheme="minorHAnsi" w:hAnsiTheme="minorHAnsi" w:cs="Times New Roman"/>
          <w:sz w:val="22"/>
          <w:szCs w:val="22"/>
        </w:rPr>
        <w:t xml:space="preserve">12 </w:t>
      </w:r>
      <w:r w:rsidRPr="00155BC8">
        <w:rPr>
          <w:rFonts w:asciiTheme="minorHAnsi" w:hAnsiTheme="minorHAnsi" w:cs="Times New Roman"/>
          <w:sz w:val="22"/>
          <w:szCs w:val="22"/>
        </w:rPr>
        <w:t xml:space="preserve">the Standing Committee asked </w:t>
      </w:r>
      <w:r w:rsidR="00FA5FA9" w:rsidRPr="00155BC8">
        <w:rPr>
          <w:rFonts w:asciiTheme="minorHAnsi" w:hAnsiTheme="minorHAnsi" w:cs="Times New Roman"/>
          <w:sz w:val="22"/>
          <w:szCs w:val="22"/>
        </w:rPr>
        <w:t>the Secretariat not to launch a call for S</w:t>
      </w:r>
      <w:r w:rsidRPr="00155BC8">
        <w:rPr>
          <w:rFonts w:asciiTheme="minorHAnsi" w:hAnsiTheme="minorHAnsi" w:cs="Times New Roman"/>
          <w:sz w:val="22"/>
          <w:szCs w:val="22"/>
        </w:rPr>
        <w:t>GF</w:t>
      </w:r>
      <w:r w:rsidR="00FA5FA9" w:rsidRPr="003D6AB7">
        <w:rPr>
          <w:rFonts w:asciiTheme="minorHAnsi" w:hAnsiTheme="minorHAnsi" w:cs="Times New Roman"/>
          <w:sz w:val="22"/>
          <w:szCs w:val="22"/>
        </w:rPr>
        <w:t xml:space="preserve"> proposals in 2015</w:t>
      </w:r>
      <w:r w:rsidR="007516FC" w:rsidRPr="003D6AB7">
        <w:rPr>
          <w:rFonts w:asciiTheme="minorHAnsi" w:hAnsiTheme="minorHAnsi" w:cs="Times New Roman"/>
          <w:sz w:val="22"/>
          <w:szCs w:val="22"/>
        </w:rPr>
        <w:t>, due to the lack of resources</w:t>
      </w:r>
      <w:r w:rsidR="00FA5FA9" w:rsidRPr="003D6AB7">
        <w:rPr>
          <w:rFonts w:asciiTheme="minorHAnsi" w:hAnsiTheme="minorHAnsi" w:cs="Times New Roman"/>
          <w:sz w:val="22"/>
          <w:szCs w:val="22"/>
        </w:rPr>
        <w:t>.</w:t>
      </w:r>
    </w:p>
    <w:p w:rsidR="000B4D4F" w:rsidRPr="003D6AB7" w:rsidRDefault="000B4D4F" w:rsidP="003D6AB7">
      <w:pPr>
        <w:pStyle w:val="ListParagraph"/>
        <w:spacing w:after="0" w:line="240" w:lineRule="auto"/>
        <w:ind w:left="426" w:hanging="426"/>
        <w:rPr>
          <w:rFonts w:cs="Times New Roman"/>
        </w:rPr>
      </w:pPr>
    </w:p>
    <w:p w:rsidR="00071E52" w:rsidRDefault="00DF6919" w:rsidP="003D6AB7">
      <w:pPr>
        <w:pStyle w:val="Default"/>
        <w:numPr>
          <w:ilvl w:val="0"/>
          <w:numId w:val="13"/>
        </w:numPr>
        <w:ind w:left="426" w:hanging="426"/>
        <w:rPr>
          <w:rFonts w:asciiTheme="minorHAnsi" w:hAnsiTheme="minorHAnsi" w:cs="Times New Roman"/>
          <w:sz w:val="22"/>
          <w:szCs w:val="22"/>
        </w:rPr>
      </w:pPr>
      <w:r w:rsidRPr="003D6AB7">
        <w:rPr>
          <w:rFonts w:asciiTheme="minorHAnsi" w:hAnsiTheme="minorHAnsi" w:cs="Times New Roman"/>
          <w:sz w:val="22"/>
          <w:szCs w:val="22"/>
        </w:rPr>
        <w:t>A</w:t>
      </w:r>
      <w:r w:rsidR="004724E4" w:rsidRPr="003D6AB7">
        <w:rPr>
          <w:rFonts w:asciiTheme="minorHAnsi" w:hAnsiTheme="minorHAnsi" w:cs="Times New Roman"/>
          <w:sz w:val="22"/>
          <w:szCs w:val="22"/>
        </w:rPr>
        <w:t xml:space="preserve"> </w:t>
      </w:r>
      <w:r w:rsidR="006A553D" w:rsidRPr="003D6AB7">
        <w:rPr>
          <w:rFonts w:asciiTheme="minorHAnsi" w:hAnsiTheme="minorHAnsi" w:cs="Times New Roman"/>
          <w:sz w:val="22"/>
          <w:szCs w:val="22"/>
        </w:rPr>
        <w:t xml:space="preserve">current </w:t>
      </w:r>
      <w:r w:rsidRPr="003D6AB7">
        <w:rPr>
          <w:rFonts w:asciiTheme="minorHAnsi" w:hAnsiTheme="minorHAnsi" w:cs="Times New Roman"/>
          <w:sz w:val="22"/>
          <w:szCs w:val="22"/>
        </w:rPr>
        <w:t xml:space="preserve">review of </w:t>
      </w:r>
      <w:r w:rsidR="00AB3999" w:rsidRPr="003D6AB7">
        <w:rPr>
          <w:rFonts w:asciiTheme="minorHAnsi" w:hAnsiTheme="minorHAnsi" w:cs="Times New Roman"/>
          <w:sz w:val="22"/>
          <w:szCs w:val="22"/>
        </w:rPr>
        <w:t>the Secretariat</w:t>
      </w:r>
      <w:r w:rsidR="004724E4" w:rsidRPr="003D6AB7">
        <w:rPr>
          <w:rFonts w:asciiTheme="minorHAnsi" w:hAnsiTheme="minorHAnsi" w:cs="Times New Roman"/>
          <w:sz w:val="22"/>
          <w:szCs w:val="22"/>
        </w:rPr>
        <w:t>’</w:t>
      </w:r>
      <w:r w:rsidR="00AB3999" w:rsidRPr="003D6AB7">
        <w:rPr>
          <w:rFonts w:asciiTheme="minorHAnsi" w:hAnsiTheme="minorHAnsi" w:cs="Times New Roman"/>
          <w:sz w:val="22"/>
          <w:szCs w:val="22"/>
        </w:rPr>
        <w:t>s r</w:t>
      </w:r>
      <w:r w:rsidR="00071E52" w:rsidRPr="003D6AB7">
        <w:rPr>
          <w:rFonts w:asciiTheme="minorHAnsi" w:hAnsiTheme="minorHAnsi" w:cs="Times New Roman"/>
          <w:sz w:val="22"/>
          <w:szCs w:val="22"/>
        </w:rPr>
        <w:t>eports indicate</w:t>
      </w:r>
      <w:r w:rsidR="006A553D" w:rsidRPr="003D6AB7">
        <w:rPr>
          <w:rFonts w:asciiTheme="minorHAnsi" w:hAnsiTheme="minorHAnsi" w:cs="Times New Roman"/>
          <w:sz w:val="22"/>
          <w:szCs w:val="22"/>
        </w:rPr>
        <w:t>s</w:t>
      </w:r>
      <w:r w:rsidR="00071E52" w:rsidRPr="003D6AB7">
        <w:rPr>
          <w:rFonts w:asciiTheme="minorHAnsi" w:hAnsiTheme="minorHAnsi" w:cs="Times New Roman"/>
          <w:sz w:val="22"/>
          <w:szCs w:val="22"/>
        </w:rPr>
        <w:t xml:space="preserve"> </w:t>
      </w:r>
      <w:r w:rsidR="007516FC" w:rsidRPr="003D6AB7">
        <w:rPr>
          <w:rFonts w:asciiTheme="minorHAnsi" w:hAnsiTheme="minorHAnsi" w:cs="Times New Roman"/>
          <w:sz w:val="22"/>
          <w:szCs w:val="22"/>
        </w:rPr>
        <w:t xml:space="preserve">that </w:t>
      </w:r>
      <w:r w:rsidR="00071E52" w:rsidRPr="003D6AB7">
        <w:rPr>
          <w:rFonts w:asciiTheme="minorHAnsi" w:hAnsiTheme="minorHAnsi" w:cs="Times New Roman"/>
          <w:sz w:val="22"/>
          <w:szCs w:val="22"/>
        </w:rPr>
        <w:t>the challenges assoc</w:t>
      </w:r>
      <w:r w:rsidR="00AB3999" w:rsidRPr="003D6AB7">
        <w:rPr>
          <w:rFonts w:asciiTheme="minorHAnsi" w:hAnsiTheme="minorHAnsi" w:cs="Times New Roman"/>
          <w:sz w:val="22"/>
          <w:szCs w:val="22"/>
        </w:rPr>
        <w:t>iated with the SGF</w:t>
      </w:r>
      <w:r w:rsidR="00071E52" w:rsidRPr="003D6AB7">
        <w:rPr>
          <w:rFonts w:asciiTheme="minorHAnsi" w:hAnsiTheme="minorHAnsi" w:cs="Times New Roman"/>
          <w:sz w:val="22"/>
          <w:szCs w:val="22"/>
        </w:rPr>
        <w:t xml:space="preserve"> may</w:t>
      </w:r>
      <w:r w:rsidR="00DD25C7">
        <w:rPr>
          <w:rFonts w:asciiTheme="minorHAnsi" w:hAnsiTheme="minorHAnsi" w:cs="Times New Roman"/>
          <w:sz w:val="22"/>
          <w:szCs w:val="22"/>
        </w:rPr>
        <w:t xml:space="preserve"> </w:t>
      </w:r>
      <w:r w:rsidR="007516FC" w:rsidRPr="003D6AB7">
        <w:rPr>
          <w:rFonts w:asciiTheme="minorHAnsi" w:hAnsiTheme="minorHAnsi" w:cs="Times New Roman"/>
          <w:sz w:val="22"/>
          <w:szCs w:val="22"/>
        </w:rPr>
        <w:t xml:space="preserve">be </w:t>
      </w:r>
      <w:r w:rsidR="00A968E9" w:rsidRPr="003D6AB7">
        <w:rPr>
          <w:rFonts w:asciiTheme="minorHAnsi" w:hAnsiTheme="minorHAnsi" w:cs="Times New Roman"/>
          <w:sz w:val="22"/>
          <w:szCs w:val="22"/>
        </w:rPr>
        <w:t>the following</w:t>
      </w:r>
      <w:r w:rsidR="00071E52" w:rsidRPr="003D6AB7">
        <w:rPr>
          <w:rFonts w:asciiTheme="minorHAnsi" w:hAnsiTheme="minorHAnsi" w:cs="Times New Roman"/>
          <w:sz w:val="22"/>
          <w:szCs w:val="22"/>
        </w:rPr>
        <w:t>:</w:t>
      </w:r>
      <w:r w:rsidR="00DD25C7">
        <w:rPr>
          <w:rFonts w:asciiTheme="minorHAnsi" w:hAnsiTheme="minorHAnsi" w:cs="Times New Roman"/>
          <w:sz w:val="22"/>
          <w:szCs w:val="22"/>
        </w:rPr>
        <w:t xml:space="preserve"> </w:t>
      </w:r>
    </w:p>
    <w:p w:rsidR="00155BC8" w:rsidRDefault="00155BC8" w:rsidP="00155BC8">
      <w:pPr>
        <w:pStyle w:val="ListParagraph"/>
        <w:rPr>
          <w:rFonts w:cs="Times New Roman"/>
        </w:rPr>
      </w:pPr>
    </w:p>
    <w:p w:rsidR="00DF6919" w:rsidRDefault="007516FC" w:rsidP="00155BC8">
      <w:pPr>
        <w:pStyle w:val="ListParagraph"/>
        <w:numPr>
          <w:ilvl w:val="0"/>
          <w:numId w:val="38"/>
        </w:numPr>
        <w:spacing w:after="0" w:line="240" w:lineRule="auto"/>
        <w:ind w:left="851" w:hanging="425"/>
        <w:rPr>
          <w:rFonts w:cs="Times New Roman"/>
        </w:rPr>
      </w:pPr>
      <w:r w:rsidRPr="003D6AB7">
        <w:rPr>
          <w:rFonts w:cs="Times New Roman"/>
        </w:rPr>
        <w:t>As</w:t>
      </w:r>
      <w:r w:rsidR="00A968E9" w:rsidRPr="003D6AB7">
        <w:rPr>
          <w:rFonts w:cs="Times New Roman"/>
        </w:rPr>
        <w:t xml:space="preserve"> a multi-donor fund, t</w:t>
      </w:r>
      <w:r w:rsidR="00071E52" w:rsidRPr="003D6AB7">
        <w:rPr>
          <w:rFonts w:cs="Times New Roman"/>
        </w:rPr>
        <w:t xml:space="preserve">he </w:t>
      </w:r>
      <w:r w:rsidR="00DF6919" w:rsidRPr="003D6AB7">
        <w:rPr>
          <w:rFonts w:cs="Times New Roman"/>
        </w:rPr>
        <w:t>SGF lacks a champion.</w:t>
      </w:r>
      <w:r w:rsidR="00DD25C7">
        <w:rPr>
          <w:rFonts w:cs="Times New Roman"/>
        </w:rPr>
        <w:t xml:space="preserve"> </w:t>
      </w:r>
      <w:r w:rsidR="00DF6919" w:rsidRPr="003D6AB7">
        <w:rPr>
          <w:rFonts w:cs="Times New Roman"/>
        </w:rPr>
        <w:t>In contrast, the WFF has consistently been funded by the USA and the SGA has consistently been funded by Switzerland.</w:t>
      </w:r>
    </w:p>
    <w:p w:rsidR="00155BC8" w:rsidRPr="003D6AB7" w:rsidRDefault="00155BC8" w:rsidP="00155BC8">
      <w:pPr>
        <w:pStyle w:val="ListParagraph"/>
        <w:spacing w:after="0" w:line="240" w:lineRule="auto"/>
        <w:ind w:left="851"/>
        <w:rPr>
          <w:rFonts w:cs="Times New Roman"/>
        </w:rPr>
      </w:pPr>
    </w:p>
    <w:p w:rsidR="006A3C56" w:rsidRDefault="003B250F" w:rsidP="00155BC8">
      <w:pPr>
        <w:pStyle w:val="ListParagraph"/>
        <w:numPr>
          <w:ilvl w:val="0"/>
          <w:numId w:val="38"/>
        </w:numPr>
        <w:spacing w:after="0" w:line="240" w:lineRule="auto"/>
        <w:ind w:left="851" w:hanging="425"/>
        <w:rPr>
          <w:rFonts w:cs="Times New Roman"/>
        </w:rPr>
      </w:pPr>
      <w:r w:rsidRPr="003D6AB7">
        <w:rPr>
          <w:rFonts w:cs="Times New Roman"/>
        </w:rPr>
        <w:t xml:space="preserve">Private sector and foundation support has not been significant so far, perhaps because the incentives for donors to finance </w:t>
      </w:r>
      <w:r w:rsidR="00A968E9" w:rsidRPr="003D6AB7">
        <w:rPr>
          <w:rFonts w:cs="Times New Roman"/>
        </w:rPr>
        <w:t xml:space="preserve">a basket of </w:t>
      </w:r>
      <w:r w:rsidRPr="003D6AB7">
        <w:rPr>
          <w:rFonts w:cs="Times New Roman"/>
        </w:rPr>
        <w:t>projects through Ramsar have not been fully explained.</w:t>
      </w:r>
      <w:r w:rsidR="00DD25C7">
        <w:rPr>
          <w:rFonts w:cs="Times New Roman"/>
        </w:rPr>
        <w:t xml:space="preserve"> </w:t>
      </w:r>
      <w:r w:rsidR="00DF6919" w:rsidRPr="003D6AB7">
        <w:rPr>
          <w:rFonts w:cs="Times New Roman"/>
        </w:rPr>
        <w:t>The SGF lacks a process that encourages continued giving.</w:t>
      </w:r>
      <w:r w:rsidR="00DD25C7">
        <w:rPr>
          <w:rFonts w:cs="Times New Roman"/>
        </w:rPr>
        <w:t xml:space="preserve"> </w:t>
      </w:r>
      <w:r w:rsidR="00DF6919" w:rsidRPr="003D6AB7">
        <w:rPr>
          <w:rFonts w:cs="Times New Roman"/>
        </w:rPr>
        <w:t xml:space="preserve">While presenting a </w:t>
      </w:r>
      <w:r w:rsidR="00A968E9" w:rsidRPr="003D6AB7">
        <w:rPr>
          <w:rFonts w:cs="Times New Roman"/>
        </w:rPr>
        <w:t xml:space="preserve">hand-picked </w:t>
      </w:r>
      <w:r w:rsidR="00DF6919" w:rsidRPr="003D6AB7">
        <w:rPr>
          <w:rFonts w:cs="Times New Roman"/>
        </w:rPr>
        <w:t xml:space="preserve">portfolio of projects </w:t>
      </w:r>
      <w:r w:rsidR="006A3C56" w:rsidRPr="003D6AB7">
        <w:rPr>
          <w:rFonts w:cs="Times New Roman"/>
        </w:rPr>
        <w:t xml:space="preserve">and </w:t>
      </w:r>
      <w:r w:rsidR="004930AE" w:rsidRPr="003D6AB7">
        <w:rPr>
          <w:rFonts w:cs="Times New Roman"/>
        </w:rPr>
        <w:t xml:space="preserve">soliciting </w:t>
      </w:r>
      <w:r w:rsidR="006A3C56" w:rsidRPr="003D6AB7">
        <w:rPr>
          <w:rFonts w:cs="Times New Roman"/>
        </w:rPr>
        <w:t xml:space="preserve">voluntary contributions </w:t>
      </w:r>
      <w:r w:rsidR="004930AE" w:rsidRPr="003D6AB7">
        <w:rPr>
          <w:rFonts w:cs="Times New Roman"/>
        </w:rPr>
        <w:t>for</w:t>
      </w:r>
      <w:r w:rsidR="006A3C56" w:rsidRPr="003D6AB7">
        <w:rPr>
          <w:rFonts w:cs="Times New Roman"/>
        </w:rPr>
        <w:t xml:space="preserve"> </w:t>
      </w:r>
      <w:r w:rsidR="00DF6919" w:rsidRPr="003D6AB7">
        <w:rPr>
          <w:rFonts w:cs="Times New Roman"/>
        </w:rPr>
        <w:t>individual projects</w:t>
      </w:r>
      <w:r w:rsidR="006A3C56" w:rsidRPr="003D6AB7">
        <w:rPr>
          <w:rFonts w:cs="Times New Roman"/>
        </w:rPr>
        <w:t xml:space="preserve"> </w:t>
      </w:r>
      <w:r w:rsidR="000167A4" w:rsidRPr="003D6AB7">
        <w:rPr>
          <w:rFonts w:cs="Times New Roman"/>
        </w:rPr>
        <w:t>has</w:t>
      </w:r>
      <w:r w:rsidR="006A3C56" w:rsidRPr="003D6AB7">
        <w:rPr>
          <w:rFonts w:cs="Times New Roman"/>
        </w:rPr>
        <w:t xml:space="preserve"> attracted some </w:t>
      </w:r>
      <w:r w:rsidR="007516FC" w:rsidRPr="003D6AB7">
        <w:rPr>
          <w:rFonts w:cs="Times New Roman"/>
        </w:rPr>
        <w:t xml:space="preserve">once-off </w:t>
      </w:r>
      <w:r w:rsidR="006A3C56" w:rsidRPr="003D6AB7">
        <w:rPr>
          <w:rFonts w:cs="Times New Roman"/>
        </w:rPr>
        <w:t>funding, it d</w:t>
      </w:r>
      <w:r w:rsidR="00D035FB" w:rsidRPr="003D6AB7">
        <w:rPr>
          <w:rFonts w:cs="Times New Roman"/>
        </w:rPr>
        <w:t xml:space="preserve">id </w:t>
      </w:r>
      <w:r w:rsidR="006A3C56" w:rsidRPr="003D6AB7">
        <w:rPr>
          <w:rFonts w:cs="Times New Roman"/>
        </w:rPr>
        <w:t>not create a</w:t>
      </w:r>
      <w:r w:rsidR="007516FC" w:rsidRPr="003D6AB7">
        <w:rPr>
          <w:rFonts w:cs="Times New Roman"/>
        </w:rPr>
        <w:t xml:space="preserve"> sufficient</w:t>
      </w:r>
      <w:r w:rsidR="006A3C56" w:rsidRPr="003D6AB7">
        <w:rPr>
          <w:rFonts w:cs="Times New Roman"/>
        </w:rPr>
        <w:t xml:space="preserve"> </w:t>
      </w:r>
      <w:r w:rsidR="00DF6919" w:rsidRPr="003D6AB7">
        <w:rPr>
          <w:rFonts w:cs="Times New Roman"/>
        </w:rPr>
        <w:t xml:space="preserve">incentive to </w:t>
      </w:r>
      <w:r w:rsidR="006A3C56" w:rsidRPr="003D6AB7">
        <w:rPr>
          <w:rFonts w:cs="Times New Roman"/>
        </w:rPr>
        <w:t>continu</w:t>
      </w:r>
      <w:r w:rsidR="000167A4" w:rsidRPr="003D6AB7">
        <w:rPr>
          <w:rFonts w:cs="Times New Roman"/>
        </w:rPr>
        <w:t>e</w:t>
      </w:r>
      <w:r w:rsidR="006A3C56" w:rsidRPr="003D6AB7">
        <w:rPr>
          <w:rFonts w:cs="Times New Roman"/>
        </w:rPr>
        <w:t xml:space="preserve"> contribut</w:t>
      </w:r>
      <w:r w:rsidR="000167A4" w:rsidRPr="003D6AB7">
        <w:rPr>
          <w:rFonts w:cs="Times New Roman"/>
        </w:rPr>
        <w:t>ions</w:t>
      </w:r>
      <w:r w:rsidR="006A3C56" w:rsidRPr="003D6AB7">
        <w:rPr>
          <w:rFonts w:cs="Times New Roman"/>
        </w:rPr>
        <w:t xml:space="preserve"> to the SGF.</w:t>
      </w:r>
      <w:r w:rsidR="00DD25C7">
        <w:rPr>
          <w:rFonts w:cs="Times New Roman"/>
        </w:rPr>
        <w:t xml:space="preserve"> </w:t>
      </w:r>
    </w:p>
    <w:p w:rsidR="00155BC8" w:rsidRPr="00155BC8" w:rsidRDefault="00155BC8" w:rsidP="00155BC8">
      <w:pPr>
        <w:pStyle w:val="ListParagraph"/>
        <w:rPr>
          <w:rFonts w:cs="Times New Roman"/>
        </w:rPr>
      </w:pPr>
    </w:p>
    <w:p w:rsidR="006A553D" w:rsidRPr="003D6AB7" w:rsidRDefault="006A553D" w:rsidP="00155BC8">
      <w:pPr>
        <w:pStyle w:val="ListParagraph"/>
        <w:numPr>
          <w:ilvl w:val="0"/>
          <w:numId w:val="38"/>
        </w:numPr>
        <w:spacing w:after="0" w:line="240" w:lineRule="auto"/>
        <w:ind w:left="851" w:hanging="425"/>
        <w:rPr>
          <w:rFonts w:cs="Times New Roman"/>
        </w:rPr>
      </w:pPr>
      <w:r w:rsidRPr="003D6AB7">
        <w:rPr>
          <w:rFonts w:cs="Times New Roman"/>
        </w:rPr>
        <w:t>Some donors seek far larger projects to consolidate resources and increase impacts.</w:t>
      </w:r>
      <w:r w:rsidR="00DD25C7">
        <w:rPr>
          <w:rFonts w:cs="Times New Roman"/>
        </w:rPr>
        <w:t xml:space="preserve"> </w:t>
      </w:r>
    </w:p>
    <w:p w:rsidR="00C71598" w:rsidRPr="003D6AB7" w:rsidRDefault="00C71598" w:rsidP="003D6AB7">
      <w:pPr>
        <w:pStyle w:val="ListParagraph"/>
        <w:spacing w:after="0" w:line="240" w:lineRule="auto"/>
        <w:ind w:left="3240"/>
        <w:rPr>
          <w:rFonts w:cs="Times New Roman"/>
        </w:rPr>
      </w:pPr>
    </w:p>
    <w:p w:rsidR="00A9488C" w:rsidRPr="003D6AB7" w:rsidRDefault="00A9488C" w:rsidP="003D6AB7">
      <w:pPr>
        <w:spacing w:after="0" w:line="240" w:lineRule="auto"/>
        <w:rPr>
          <w:rFonts w:cs="Times New Roman"/>
        </w:rPr>
      </w:pPr>
      <w:r w:rsidRPr="003D6AB7">
        <w:rPr>
          <w:rFonts w:cs="Times New Roman"/>
          <w:b/>
        </w:rPr>
        <w:t>Reform of the Small Grants Fund</w:t>
      </w:r>
    </w:p>
    <w:p w:rsidR="00831129" w:rsidRPr="003D6AB7" w:rsidRDefault="00831129" w:rsidP="003D6AB7">
      <w:pPr>
        <w:spacing w:after="0" w:line="240" w:lineRule="auto"/>
        <w:ind w:firstLine="165"/>
        <w:rPr>
          <w:rFonts w:cs="Times New Roman"/>
        </w:rPr>
      </w:pPr>
    </w:p>
    <w:p w:rsidR="00FA5FA9" w:rsidRPr="003D6AB7" w:rsidRDefault="00C23C6B" w:rsidP="003D6AB7">
      <w:pPr>
        <w:pStyle w:val="Default"/>
        <w:numPr>
          <w:ilvl w:val="0"/>
          <w:numId w:val="13"/>
        </w:numPr>
        <w:ind w:left="426" w:hanging="426"/>
        <w:rPr>
          <w:rFonts w:asciiTheme="minorHAnsi" w:hAnsiTheme="minorHAnsi" w:cs="Times New Roman"/>
          <w:sz w:val="22"/>
          <w:szCs w:val="22"/>
        </w:rPr>
      </w:pPr>
      <w:r w:rsidRPr="003D6AB7">
        <w:rPr>
          <w:rFonts w:asciiTheme="minorHAnsi" w:hAnsiTheme="minorHAnsi" w:cs="Times New Roman"/>
          <w:sz w:val="22"/>
          <w:szCs w:val="22"/>
        </w:rPr>
        <w:t xml:space="preserve">Information </w:t>
      </w:r>
      <w:r w:rsidR="00FA5FA9" w:rsidRPr="003D6AB7">
        <w:rPr>
          <w:rFonts w:asciiTheme="minorHAnsi" w:hAnsiTheme="minorHAnsi" w:cs="Times New Roman"/>
          <w:sz w:val="22"/>
          <w:szCs w:val="22"/>
        </w:rPr>
        <w:t xml:space="preserve">available from reports </w:t>
      </w:r>
      <w:r w:rsidRPr="003D6AB7">
        <w:rPr>
          <w:rFonts w:asciiTheme="minorHAnsi" w:hAnsiTheme="minorHAnsi" w:cs="Times New Roman"/>
          <w:sz w:val="22"/>
          <w:szCs w:val="22"/>
        </w:rPr>
        <w:t xml:space="preserve">provided to successive Standing Committees </w:t>
      </w:r>
      <w:r w:rsidR="00FA5FA9" w:rsidRPr="003D6AB7">
        <w:rPr>
          <w:rFonts w:asciiTheme="minorHAnsi" w:hAnsiTheme="minorHAnsi" w:cs="Times New Roman"/>
          <w:sz w:val="22"/>
          <w:szCs w:val="22"/>
        </w:rPr>
        <w:t xml:space="preserve">on the implementation of the Small Grants Fund suggests that it </w:t>
      </w:r>
      <w:r w:rsidRPr="003D6AB7">
        <w:rPr>
          <w:rFonts w:asciiTheme="minorHAnsi" w:hAnsiTheme="minorHAnsi" w:cs="Times New Roman"/>
          <w:sz w:val="22"/>
          <w:szCs w:val="22"/>
        </w:rPr>
        <w:t xml:space="preserve">is seen </w:t>
      </w:r>
      <w:r w:rsidR="00A968E9" w:rsidRPr="003D6AB7">
        <w:rPr>
          <w:rFonts w:asciiTheme="minorHAnsi" w:hAnsiTheme="minorHAnsi" w:cs="Times New Roman"/>
          <w:sz w:val="22"/>
          <w:szCs w:val="22"/>
        </w:rPr>
        <w:t xml:space="preserve">by countries </w:t>
      </w:r>
      <w:r w:rsidRPr="003D6AB7">
        <w:rPr>
          <w:rFonts w:asciiTheme="minorHAnsi" w:hAnsiTheme="minorHAnsi" w:cs="Times New Roman"/>
          <w:sz w:val="22"/>
          <w:szCs w:val="22"/>
        </w:rPr>
        <w:t>as providing significant value</w:t>
      </w:r>
      <w:r w:rsidR="00A968E9" w:rsidRPr="003D6AB7">
        <w:rPr>
          <w:rFonts w:asciiTheme="minorHAnsi" w:hAnsiTheme="minorHAnsi" w:cs="Times New Roman"/>
          <w:sz w:val="22"/>
          <w:szCs w:val="22"/>
        </w:rPr>
        <w:t>.</w:t>
      </w:r>
      <w:r w:rsidR="003B2991">
        <w:rPr>
          <w:rFonts w:asciiTheme="minorHAnsi" w:hAnsiTheme="minorHAnsi" w:cs="Times New Roman"/>
          <w:sz w:val="22"/>
          <w:szCs w:val="22"/>
        </w:rPr>
        <w:t xml:space="preserve"> </w:t>
      </w:r>
      <w:r w:rsidR="00A968E9" w:rsidRPr="003D6AB7">
        <w:rPr>
          <w:rFonts w:asciiTheme="minorHAnsi" w:hAnsiTheme="minorHAnsi" w:cs="Times New Roman"/>
          <w:sz w:val="22"/>
          <w:szCs w:val="22"/>
        </w:rPr>
        <w:t>I</w:t>
      </w:r>
      <w:r w:rsidR="00FA5FA9" w:rsidRPr="003D6AB7">
        <w:rPr>
          <w:rFonts w:asciiTheme="minorHAnsi" w:hAnsiTheme="minorHAnsi" w:cs="Times New Roman"/>
          <w:sz w:val="22"/>
          <w:szCs w:val="22"/>
        </w:rPr>
        <w:t xml:space="preserve">mpact </w:t>
      </w:r>
      <w:r w:rsidRPr="003D6AB7">
        <w:rPr>
          <w:rFonts w:asciiTheme="minorHAnsi" w:hAnsiTheme="minorHAnsi" w:cs="Times New Roman"/>
          <w:sz w:val="22"/>
          <w:szCs w:val="22"/>
        </w:rPr>
        <w:t>has been achieved on the ground through projects that have been supported</w:t>
      </w:r>
      <w:r w:rsidR="003B2991">
        <w:rPr>
          <w:rFonts w:asciiTheme="minorHAnsi" w:hAnsiTheme="minorHAnsi" w:cs="Times New Roman"/>
          <w:sz w:val="22"/>
          <w:szCs w:val="22"/>
        </w:rPr>
        <w:t>.</w:t>
      </w:r>
    </w:p>
    <w:p w:rsidR="00FA5FA9" w:rsidRPr="003D6AB7" w:rsidRDefault="00FA5FA9" w:rsidP="003D6AB7">
      <w:pPr>
        <w:pStyle w:val="ListParagraph"/>
        <w:spacing w:after="0" w:line="240" w:lineRule="auto"/>
        <w:ind w:left="426" w:hanging="426"/>
        <w:rPr>
          <w:rFonts w:cs="Times New Roman"/>
        </w:rPr>
      </w:pPr>
    </w:p>
    <w:p w:rsidR="007516FC" w:rsidRPr="003D6AB7" w:rsidRDefault="00C23C6B" w:rsidP="003D6AB7">
      <w:pPr>
        <w:pStyle w:val="Default"/>
        <w:numPr>
          <w:ilvl w:val="0"/>
          <w:numId w:val="13"/>
        </w:numPr>
        <w:ind w:left="426" w:hanging="426"/>
        <w:rPr>
          <w:rFonts w:asciiTheme="minorHAnsi" w:hAnsiTheme="minorHAnsi" w:cs="Times New Roman"/>
          <w:sz w:val="22"/>
          <w:szCs w:val="22"/>
        </w:rPr>
      </w:pPr>
      <w:r w:rsidRPr="003D6AB7">
        <w:rPr>
          <w:rFonts w:asciiTheme="minorHAnsi" w:hAnsiTheme="minorHAnsi" w:cs="Times New Roman"/>
          <w:sz w:val="22"/>
          <w:szCs w:val="22"/>
        </w:rPr>
        <w:t xml:space="preserve">A brief review of other </w:t>
      </w:r>
      <w:r w:rsidR="00FA5FA9" w:rsidRPr="003D6AB7">
        <w:rPr>
          <w:rFonts w:asciiTheme="minorHAnsi" w:hAnsiTheme="minorHAnsi" w:cs="Times New Roman"/>
          <w:sz w:val="22"/>
          <w:szCs w:val="22"/>
        </w:rPr>
        <w:t xml:space="preserve">Small Grants Funds </w:t>
      </w:r>
      <w:r w:rsidRPr="003D6AB7">
        <w:rPr>
          <w:rFonts w:asciiTheme="minorHAnsi" w:hAnsiTheme="minorHAnsi" w:cs="Times New Roman"/>
          <w:sz w:val="22"/>
          <w:szCs w:val="22"/>
        </w:rPr>
        <w:t xml:space="preserve">that exist </w:t>
      </w:r>
      <w:r w:rsidR="00FA5FA9" w:rsidRPr="003D6AB7">
        <w:rPr>
          <w:rFonts w:asciiTheme="minorHAnsi" w:hAnsiTheme="minorHAnsi" w:cs="Times New Roman"/>
          <w:sz w:val="22"/>
          <w:szCs w:val="22"/>
        </w:rPr>
        <w:t xml:space="preserve">(e.g. GEF, </w:t>
      </w:r>
      <w:r w:rsidRPr="003D6AB7">
        <w:rPr>
          <w:rFonts w:asciiTheme="minorHAnsi" w:hAnsiTheme="minorHAnsi" w:cs="Times New Roman"/>
          <w:sz w:val="22"/>
          <w:szCs w:val="22"/>
        </w:rPr>
        <w:t xml:space="preserve">IFAD, </w:t>
      </w:r>
      <w:r w:rsidR="00FA5FA9" w:rsidRPr="003D6AB7">
        <w:rPr>
          <w:rFonts w:asciiTheme="minorHAnsi" w:hAnsiTheme="minorHAnsi" w:cs="Times New Roman"/>
          <w:sz w:val="22"/>
          <w:szCs w:val="22"/>
        </w:rPr>
        <w:t xml:space="preserve">KfW, </w:t>
      </w:r>
      <w:r w:rsidRPr="003D6AB7">
        <w:rPr>
          <w:rFonts w:asciiTheme="minorHAnsi" w:hAnsiTheme="minorHAnsi" w:cs="Times New Roman"/>
          <w:sz w:val="22"/>
          <w:szCs w:val="22"/>
        </w:rPr>
        <w:t>o</w:t>
      </w:r>
      <w:r w:rsidR="00FA5FA9" w:rsidRPr="003D6AB7">
        <w:rPr>
          <w:rFonts w:asciiTheme="minorHAnsi" w:hAnsiTheme="minorHAnsi" w:cs="Times New Roman"/>
          <w:sz w:val="22"/>
          <w:szCs w:val="22"/>
        </w:rPr>
        <w:t xml:space="preserve">ther Ramsar Convention Small Grants Funds, etc.) suggests that when donors have </w:t>
      </w:r>
      <w:r w:rsidRPr="003D6AB7">
        <w:rPr>
          <w:rFonts w:asciiTheme="minorHAnsi" w:hAnsiTheme="minorHAnsi" w:cs="Times New Roman"/>
          <w:sz w:val="22"/>
          <w:szCs w:val="22"/>
        </w:rPr>
        <w:t>additional incentive for providing funds, such as the</w:t>
      </w:r>
      <w:r w:rsidR="00FA5FA9" w:rsidRPr="003D6AB7">
        <w:rPr>
          <w:rFonts w:asciiTheme="minorHAnsi" w:hAnsiTheme="minorHAnsi" w:cs="Times New Roman"/>
          <w:sz w:val="22"/>
          <w:szCs w:val="22"/>
        </w:rPr>
        <w:t xml:space="preserve"> opportu</w:t>
      </w:r>
      <w:r w:rsidRPr="003D6AB7">
        <w:rPr>
          <w:rFonts w:asciiTheme="minorHAnsi" w:hAnsiTheme="minorHAnsi" w:cs="Times New Roman"/>
          <w:sz w:val="22"/>
          <w:szCs w:val="22"/>
        </w:rPr>
        <w:t xml:space="preserve">nity to engage in and influence spending decisions, then </w:t>
      </w:r>
      <w:r w:rsidR="00FA5FA9" w:rsidRPr="003D6AB7">
        <w:rPr>
          <w:rFonts w:asciiTheme="minorHAnsi" w:hAnsiTheme="minorHAnsi" w:cs="Times New Roman"/>
          <w:sz w:val="22"/>
          <w:szCs w:val="22"/>
        </w:rPr>
        <w:t xml:space="preserve">they may be more </w:t>
      </w:r>
      <w:r w:rsidRPr="003D6AB7">
        <w:rPr>
          <w:rFonts w:asciiTheme="minorHAnsi" w:hAnsiTheme="minorHAnsi" w:cs="Times New Roman"/>
          <w:sz w:val="22"/>
          <w:szCs w:val="22"/>
        </w:rPr>
        <w:t>likely to provide funding</w:t>
      </w:r>
      <w:r w:rsidR="00575043" w:rsidRPr="003D6AB7">
        <w:rPr>
          <w:rFonts w:asciiTheme="minorHAnsi" w:hAnsiTheme="minorHAnsi" w:cs="Times New Roman"/>
          <w:sz w:val="22"/>
          <w:szCs w:val="22"/>
        </w:rPr>
        <w:t>.</w:t>
      </w:r>
    </w:p>
    <w:p w:rsidR="007516FC" w:rsidRPr="003D6AB7" w:rsidRDefault="007516FC" w:rsidP="003D6AB7">
      <w:pPr>
        <w:pStyle w:val="ListParagraph"/>
        <w:spacing w:after="0" w:line="240" w:lineRule="auto"/>
        <w:ind w:left="426" w:hanging="426"/>
        <w:rPr>
          <w:rFonts w:cs="Times New Roman"/>
        </w:rPr>
      </w:pPr>
    </w:p>
    <w:p w:rsidR="007516FC" w:rsidRPr="003D6AB7" w:rsidRDefault="007516FC" w:rsidP="003D6AB7">
      <w:pPr>
        <w:pStyle w:val="Default"/>
        <w:numPr>
          <w:ilvl w:val="0"/>
          <w:numId w:val="13"/>
        </w:numPr>
        <w:ind w:left="426" w:hanging="426"/>
        <w:rPr>
          <w:rFonts w:asciiTheme="minorHAnsi" w:hAnsiTheme="minorHAnsi" w:cs="Times New Roman"/>
          <w:sz w:val="22"/>
          <w:szCs w:val="22"/>
        </w:rPr>
      </w:pPr>
      <w:r w:rsidRPr="003D6AB7">
        <w:rPr>
          <w:rFonts w:asciiTheme="minorHAnsi" w:hAnsiTheme="minorHAnsi" w:cs="Times New Roman"/>
          <w:sz w:val="22"/>
          <w:szCs w:val="22"/>
        </w:rPr>
        <w:t xml:space="preserve">Factors affecting the success of other small grants funds, such as </w:t>
      </w:r>
      <w:r w:rsidR="003B2991">
        <w:rPr>
          <w:rFonts w:asciiTheme="minorHAnsi" w:hAnsiTheme="minorHAnsi" w:cs="Times New Roman"/>
          <w:sz w:val="22"/>
          <w:szCs w:val="22"/>
        </w:rPr>
        <w:t xml:space="preserve">those of </w:t>
      </w:r>
      <w:r w:rsidR="003B2991" w:rsidRPr="003D6AB7">
        <w:rPr>
          <w:rFonts w:asciiTheme="minorHAnsi" w:hAnsiTheme="minorHAnsi" w:cs="Times New Roman"/>
          <w:sz w:val="22"/>
          <w:szCs w:val="22"/>
        </w:rPr>
        <w:t>K</w:t>
      </w:r>
      <w:r w:rsidR="003B2991">
        <w:rPr>
          <w:rFonts w:asciiTheme="minorHAnsi" w:hAnsiTheme="minorHAnsi" w:cs="Times New Roman"/>
          <w:sz w:val="22"/>
          <w:szCs w:val="22"/>
        </w:rPr>
        <w:t>f</w:t>
      </w:r>
      <w:r w:rsidR="003B2991" w:rsidRPr="003D6AB7">
        <w:rPr>
          <w:rFonts w:asciiTheme="minorHAnsi" w:hAnsiTheme="minorHAnsi" w:cs="Times New Roman"/>
          <w:sz w:val="22"/>
          <w:szCs w:val="22"/>
        </w:rPr>
        <w:t>W</w:t>
      </w:r>
      <w:r w:rsidRPr="003D6AB7">
        <w:rPr>
          <w:rFonts w:asciiTheme="minorHAnsi" w:hAnsiTheme="minorHAnsi" w:cs="Times New Roman"/>
          <w:sz w:val="22"/>
          <w:szCs w:val="22"/>
        </w:rPr>
        <w:t xml:space="preserve">, GEF, etc., could be </w:t>
      </w:r>
      <w:r w:rsidR="003B2991" w:rsidRPr="003D6AB7">
        <w:rPr>
          <w:rFonts w:asciiTheme="minorHAnsi" w:hAnsiTheme="minorHAnsi" w:cs="Times New Roman"/>
          <w:sz w:val="22"/>
          <w:szCs w:val="22"/>
        </w:rPr>
        <w:t>summari</w:t>
      </w:r>
      <w:r w:rsidR="003B2991">
        <w:rPr>
          <w:rFonts w:asciiTheme="minorHAnsi" w:hAnsiTheme="minorHAnsi" w:cs="Times New Roman"/>
          <w:sz w:val="22"/>
          <w:szCs w:val="22"/>
        </w:rPr>
        <w:t>z</w:t>
      </w:r>
      <w:r w:rsidR="003B2991" w:rsidRPr="003D6AB7">
        <w:rPr>
          <w:rFonts w:asciiTheme="minorHAnsi" w:hAnsiTheme="minorHAnsi" w:cs="Times New Roman"/>
          <w:sz w:val="22"/>
          <w:szCs w:val="22"/>
        </w:rPr>
        <w:t xml:space="preserve">ed </w:t>
      </w:r>
      <w:r w:rsidRPr="003D6AB7">
        <w:rPr>
          <w:rFonts w:asciiTheme="minorHAnsi" w:hAnsiTheme="minorHAnsi" w:cs="Times New Roman"/>
          <w:sz w:val="22"/>
          <w:szCs w:val="22"/>
        </w:rPr>
        <w:t>in a short paper that also recommends the most suitable possible niche for the Ramsar Convention</w:t>
      </w:r>
      <w:r w:rsidR="003B2991">
        <w:rPr>
          <w:rFonts w:asciiTheme="minorHAnsi" w:hAnsiTheme="minorHAnsi" w:cs="Times New Roman"/>
          <w:sz w:val="22"/>
          <w:szCs w:val="22"/>
        </w:rPr>
        <w:t>’s SGF</w:t>
      </w:r>
      <w:r w:rsidRPr="003D6AB7">
        <w:rPr>
          <w:rFonts w:asciiTheme="minorHAnsi" w:hAnsiTheme="minorHAnsi" w:cs="Times New Roman"/>
          <w:sz w:val="22"/>
          <w:szCs w:val="22"/>
        </w:rPr>
        <w:t>.</w:t>
      </w:r>
    </w:p>
    <w:p w:rsidR="00071E52" w:rsidRPr="003D6AB7" w:rsidRDefault="00071E52" w:rsidP="003D6AB7">
      <w:pPr>
        <w:spacing w:after="0" w:line="240" w:lineRule="auto"/>
        <w:ind w:left="426" w:hanging="426"/>
        <w:rPr>
          <w:rFonts w:cs="Times New Roman"/>
        </w:rPr>
      </w:pPr>
    </w:p>
    <w:p w:rsidR="00B27B99" w:rsidRPr="003D6AB7" w:rsidRDefault="00575043" w:rsidP="003D6AB7">
      <w:pPr>
        <w:pStyle w:val="Default"/>
        <w:numPr>
          <w:ilvl w:val="0"/>
          <w:numId w:val="13"/>
        </w:numPr>
        <w:ind w:left="426" w:hanging="426"/>
        <w:rPr>
          <w:rFonts w:asciiTheme="minorHAnsi" w:hAnsiTheme="minorHAnsi" w:cs="Times New Roman"/>
          <w:sz w:val="22"/>
          <w:szCs w:val="22"/>
        </w:rPr>
      </w:pPr>
      <w:r w:rsidRPr="003D6AB7">
        <w:rPr>
          <w:rFonts w:asciiTheme="minorHAnsi" w:hAnsiTheme="minorHAnsi" w:cs="Times New Roman"/>
          <w:sz w:val="22"/>
          <w:szCs w:val="22"/>
        </w:rPr>
        <w:t>One possibility would be for</w:t>
      </w:r>
      <w:r w:rsidR="00A9488C" w:rsidRPr="003D6AB7">
        <w:rPr>
          <w:rFonts w:asciiTheme="minorHAnsi" w:hAnsiTheme="minorHAnsi" w:cs="Times New Roman"/>
          <w:sz w:val="22"/>
          <w:szCs w:val="22"/>
        </w:rPr>
        <w:t xml:space="preserve"> the </w:t>
      </w:r>
      <w:r w:rsidR="00B27B99" w:rsidRPr="003D6AB7">
        <w:rPr>
          <w:rFonts w:asciiTheme="minorHAnsi" w:hAnsiTheme="minorHAnsi" w:cs="Times New Roman"/>
          <w:sz w:val="22"/>
          <w:szCs w:val="22"/>
        </w:rPr>
        <w:t xml:space="preserve">Working Group on Resource Mobilization </w:t>
      </w:r>
      <w:r w:rsidR="00A9488C" w:rsidRPr="003D6AB7">
        <w:rPr>
          <w:rFonts w:asciiTheme="minorHAnsi" w:hAnsiTheme="minorHAnsi" w:cs="Times New Roman"/>
          <w:sz w:val="22"/>
          <w:szCs w:val="22"/>
        </w:rPr>
        <w:t xml:space="preserve">to </w:t>
      </w:r>
      <w:r w:rsidR="000167A4" w:rsidRPr="003D6AB7">
        <w:rPr>
          <w:rFonts w:asciiTheme="minorHAnsi" w:hAnsiTheme="minorHAnsi" w:cs="Times New Roman"/>
          <w:sz w:val="22"/>
          <w:szCs w:val="22"/>
        </w:rPr>
        <w:t xml:space="preserve">guide </w:t>
      </w:r>
      <w:r w:rsidR="009D735D" w:rsidRPr="003D6AB7">
        <w:rPr>
          <w:rFonts w:asciiTheme="minorHAnsi" w:hAnsiTheme="minorHAnsi" w:cs="Times New Roman"/>
          <w:sz w:val="22"/>
          <w:szCs w:val="22"/>
        </w:rPr>
        <w:t xml:space="preserve">the </w:t>
      </w:r>
      <w:r w:rsidR="00B27B99" w:rsidRPr="003D6AB7">
        <w:rPr>
          <w:rFonts w:asciiTheme="minorHAnsi" w:hAnsiTheme="minorHAnsi" w:cs="Times New Roman"/>
          <w:sz w:val="22"/>
          <w:szCs w:val="22"/>
        </w:rPr>
        <w:t xml:space="preserve">Secretariat on </w:t>
      </w:r>
      <w:r w:rsidRPr="003D6AB7">
        <w:rPr>
          <w:rFonts w:asciiTheme="minorHAnsi" w:hAnsiTheme="minorHAnsi" w:cs="Times New Roman"/>
          <w:sz w:val="22"/>
          <w:szCs w:val="22"/>
        </w:rPr>
        <w:t xml:space="preserve">how to increase the attractiveness and </w:t>
      </w:r>
      <w:r w:rsidR="003B2991" w:rsidRPr="003D6AB7">
        <w:rPr>
          <w:rFonts w:asciiTheme="minorHAnsi" w:hAnsiTheme="minorHAnsi" w:cs="Times New Roman"/>
          <w:sz w:val="22"/>
          <w:szCs w:val="22"/>
        </w:rPr>
        <w:t>up</w:t>
      </w:r>
      <w:r w:rsidR="003B2991">
        <w:rPr>
          <w:rFonts w:asciiTheme="minorHAnsi" w:hAnsiTheme="minorHAnsi" w:cs="Times New Roman"/>
          <w:sz w:val="22"/>
          <w:szCs w:val="22"/>
        </w:rPr>
        <w:t>-</w:t>
      </w:r>
      <w:r w:rsidR="003B2991" w:rsidRPr="003D6AB7">
        <w:rPr>
          <w:rFonts w:asciiTheme="minorHAnsi" w:hAnsiTheme="minorHAnsi" w:cs="Times New Roman"/>
          <w:sz w:val="22"/>
          <w:szCs w:val="22"/>
        </w:rPr>
        <w:t>to</w:t>
      </w:r>
      <w:r w:rsidR="003B2991">
        <w:rPr>
          <w:rFonts w:asciiTheme="minorHAnsi" w:hAnsiTheme="minorHAnsi" w:cs="Times New Roman"/>
          <w:sz w:val="22"/>
          <w:szCs w:val="22"/>
        </w:rPr>
        <w:t>-</w:t>
      </w:r>
      <w:r w:rsidRPr="003D6AB7">
        <w:rPr>
          <w:rFonts w:asciiTheme="minorHAnsi" w:hAnsiTheme="minorHAnsi" w:cs="Times New Roman"/>
          <w:sz w:val="22"/>
          <w:szCs w:val="22"/>
        </w:rPr>
        <w:t xml:space="preserve">date relevance of the </w:t>
      </w:r>
      <w:r w:rsidR="003B2991">
        <w:rPr>
          <w:rFonts w:asciiTheme="minorHAnsi" w:hAnsiTheme="minorHAnsi" w:cs="Times New Roman"/>
          <w:sz w:val="22"/>
          <w:szCs w:val="22"/>
        </w:rPr>
        <w:t>SGF</w:t>
      </w:r>
      <w:r w:rsidRPr="003D6AB7">
        <w:rPr>
          <w:rFonts w:asciiTheme="minorHAnsi" w:hAnsiTheme="minorHAnsi" w:cs="Times New Roman"/>
          <w:sz w:val="22"/>
          <w:szCs w:val="22"/>
        </w:rPr>
        <w:t>, and present recommendations to</w:t>
      </w:r>
      <w:r w:rsidR="00B27B99" w:rsidRPr="003D6AB7">
        <w:rPr>
          <w:rFonts w:asciiTheme="minorHAnsi" w:hAnsiTheme="minorHAnsi" w:cs="Times New Roman"/>
          <w:sz w:val="22"/>
          <w:szCs w:val="22"/>
        </w:rPr>
        <w:t xml:space="preserve"> SC52.</w:t>
      </w:r>
      <w:r w:rsidR="00DD25C7">
        <w:rPr>
          <w:rFonts w:asciiTheme="minorHAnsi" w:hAnsiTheme="minorHAnsi" w:cs="Times New Roman"/>
          <w:sz w:val="22"/>
          <w:szCs w:val="22"/>
        </w:rPr>
        <w:t xml:space="preserve"> </w:t>
      </w:r>
      <w:r w:rsidR="00D035FB" w:rsidRPr="003D6AB7">
        <w:rPr>
          <w:rFonts w:asciiTheme="minorHAnsi" w:hAnsiTheme="minorHAnsi" w:cs="Times New Roman"/>
          <w:sz w:val="22"/>
          <w:szCs w:val="22"/>
        </w:rPr>
        <w:t xml:space="preserve">The </w:t>
      </w:r>
      <w:r w:rsidR="00B27B99" w:rsidRPr="003D6AB7">
        <w:rPr>
          <w:rFonts w:asciiTheme="minorHAnsi" w:hAnsiTheme="minorHAnsi" w:cs="Times New Roman"/>
          <w:sz w:val="22"/>
          <w:szCs w:val="22"/>
        </w:rPr>
        <w:t xml:space="preserve">proposal </w:t>
      </w:r>
      <w:r w:rsidR="00A9488C" w:rsidRPr="003D6AB7">
        <w:rPr>
          <w:rFonts w:asciiTheme="minorHAnsi" w:hAnsiTheme="minorHAnsi" w:cs="Times New Roman"/>
          <w:sz w:val="22"/>
          <w:szCs w:val="22"/>
        </w:rPr>
        <w:t xml:space="preserve">could </w:t>
      </w:r>
      <w:r w:rsidR="00D9447B" w:rsidRPr="003D6AB7">
        <w:rPr>
          <w:rFonts w:asciiTheme="minorHAnsi" w:hAnsiTheme="minorHAnsi" w:cs="Times New Roman"/>
          <w:sz w:val="22"/>
          <w:szCs w:val="22"/>
        </w:rPr>
        <w:t>consider</w:t>
      </w:r>
      <w:r w:rsidR="00B27B99" w:rsidRPr="003D6AB7">
        <w:rPr>
          <w:rFonts w:asciiTheme="minorHAnsi" w:hAnsiTheme="minorHAnsi" w:cs="Times New Roman"/>
          <w:sz w:val="22"/>
          <w:szCs w:val="22"/>
        </w:rPr>
        <w:t xml:space="preserve">: </w:t>
      </w:r>
    </w:p>
    <w:p w:rsidR="00DB579B" w:rsidRPr="003D6AB7" w:rsidRDefault="00DB579B" w:rsidP="003D6AB7">
      <w:pPr>
        <w:pStyle w:val="ListParagraph"/>
        <w:spacing w:after="0" w:line="240" w:lineRule="auto"/>
        <w:ind w:left="426" w:hanging="426"/>
        <w:rPr>
          <w:rFonts w:cs="Times New Roman"/>
        </w:rPr>
      </w:pPr>
    </w:p>
    <w:p w:rsidR="001F51AB" w:rsidRPr="003D6AB7" w:rsidRDefault="008732A1" w:rsidP="00155BC8">
      <w:pPr>
        <w:pStyle w:val="ListParagraph"/>
        <w:numPr>
          <w:ilvl w:val="0"/>
          <w:numId w:val="39"/>
        </w:numPr>
        <w:spacing w:after="0" w:line="240" w:lineRule="auto"/>
        <w:ind w:left="851" w:hanging="425"/>
        <w:rPr>
          <w:rFonts w:cs="Times New Roman"/>
        </w:rPr>
      </w:pPr>
      <w:r w:rsidRPr="003D6AB7">
        <w:rPr>
          <w:rFonts w:cs="Times New Roman"/>
        </w:rPr>
        <w:t>Link</w:t>
      </w:r>
      <w:r w:rsidR="00B27B99" w:rsidRPr="003D6AB7">
        <w:rPr>
          <w:rFonts w:cs="Times New Roman"/>
        </w:rPr>
        <w:t xml:space="preserve">ing </w:t>
      </w:r>
      <w:r w:rsidRPr="003D6AB7">
        <w:rPr>
          <w:rFonts w:cs="Times New Roman"/>
        </w:rPr>
        <w:t>the SG</w:t>
      </w:r>
      <w:r w:rsidR="00B27B99" w:rsidRPr="003D6AB7">
        <w:rPr>
          <w:rFonts w:cs="Times New Roman"/>
        </w:rPr>
        <w:t>F</w:t>
      </w:r>
      <w:r w:rsidR="009D735D" w:rsidRPr="003D6AB7">
        <w:rPr>
          <w:rFonts w:cs="Times New Roman"/>
        </w:rPr>
        <w:t xml:space="preserve"> </w:t>
      </w:r>
      <w:r w:rsidRPr="003D6AB7">
        <w:rPr>
          <w:rFonts w:cs="Times New Roman"/>
        </w:rPr>
        <w:t xml:space="preserve">to the </w:t>
      </w:r>
      <w:r w:rsidR="000B4D4F" w:rsidRPr="003D6AB7">
        <w:rPr>
          <w:rFonts w:cs="Times New Roman"/>
        </w:rPr>
        <w:t xml:space="preserve">priorities of the </w:t>
      </w:r>
      <w:r w:rsidR="003B2991">
        <w:rPr>
          <w:rFonts w:cs="Times New Roman"/>
        </w:rPr>
        <w:t>4</w:t>
      </w:r>
      <w:r w:rsidR="003B2991" w:rsidRPr="003B2991">
        <w:rPr>
          <w:rFonts w:cs="Times New Roman"/>
          <w:vertAlign w:val="superscript"/>
        </w:rPr>
        <w:t>th</w:t>
      </w:r>
      <w:r w:rsidR="003B2991">
        <w:rPr>
          <w:rFonts w:cs="Times New Roman"/>
        </w:rPr>
        <w:t xml:space="preserve"> </w:t>
      </w:r>
      <w:r w:rsidR="000B4D4F" w:rsidRPr="003D6AB7">
        <w:rPr>
          <w:rFonts w:cs="Times New Roman"/>
        </w:rPr>
        <w:t>Strategic Plan.</w:t>
      </w:r>
      <w:r w:rsidR="00DD25C7">
        <w:rPr>
          <w:rFonts w:cs="Times New Roman"/>
        </w:rPr>
        <w:t xml:space="preserve"> </w:t>
      </w:r>
      <w:r w:rsidR="00045EC7" w:rsidRPr="003D6AB7">
        <w:rPr>
          <w:rFonts w:cs="Times New Roman"/>
        </w:rPr>
        <w:t xml:space="preserve">This would </w:t>
      </w:r>
      <w:r w:rsidR="00D035FB" w:rsidRPr="003D6AB7">
        <w:rPr>
          <w:rFonts w:cs="Times New Roman"/>
        </w:rPr>
        <w:t xml:space="preserve">refresh the </w:t>
      </w:r>
      <w:r w:rsidR="00A9488C" w:rsidRPr="003D6AB7">
        <w:rPr>
          <w:rFonts w:cs="Times New Roman"/>
        </w:rPr>
        <w:t xml:space="preserve">strategic </w:t>
      </w:r>
      <w:r w:rsidR="00D035FB" w:rsidRPr="003D6AB7">
        <w:rPr>
          <w:rFonts w:cs="Times New Roman"/>
        </w:rPr>
        <w:t>r</w:t>
      </w:r>
      <w:r w:rsidR="00045EC7" w:rsidRPr="003D6AB7">
        <w:rPr>
          <w:rFonts w:cs="Times New Roman"/>
        </w:rPr>
        <w:t>elevanc</w:t>
      </w:r>
      <w:r w:rsidR="00A9488C" w:rsidRPr="003D6AB7">
        <w:rPr>
          <w:rFonts w:cs="Times New Roman"/>
        </w:rPr>
        <w:t>e</w:t>
      </w:r>
      <w:r w:rsidR="00045EC7" w:rsidRPr="003D6AB7">
        <w:rPr>
          <w:rFonts w:cs="Times New Roman"/>
        </w:rPr>
        <w:t xml:space="preserve"> of the fund</w:t>
      </w:r>
      <w:r w:rsidR="009D3B8E" w:rsidRPr="003D6AB7">
        <w:rPr>
          <w:rFonts w:cs="Times New Roman"/>
        </w:rPr>
        <w:t xml:space="preserve"> by alignment </w:t>
      </w:r>
      <w:r w:rsidR="00D035FB" w:rsidRPr="003D6AB7">
        <w:rPr>
          <w:rFonts w:cs="Times New Roman"/>
        </w:rPr>
        <w:t xml:space="preserve">with </w:t>
      </w:r>
      <w:r w:rsidR="00045EC7" w:rsidRPr="003D6AB7">
        <w:rPr>
          <w:rFonts w:cs="Times New Roman"/>
        </w:rPr>
        <w:t xml:space="preserve">the most recent priorities of </w:t>
      </w:r>
      <w:r w:rsidR="009D735D" w:rsidRPr="003D6AB7">
        <w:rPr>
          <w:rFonts w:cs="Times New Roman"/>
        </w:rPr>
        <w:t>C</w:t>
      </w:r>
      <w:r w:rsidR="00045EC7" w:rsidRPr="003D6AB7">
        <w:rPr>
          <w:rFonts w:cs="Times New Roman"/>
        </w:rPr>
        <w:t xml:space="preserve">ontracting </w:t>
      </w:r>
      <w:r w:rsidR="009D735D" w:rsidRPr="003D6AB7">
        <w:rPr>
          <w:rFonts w:cs="Times New Roman"/>
        </w:rPr>
        <w:t>P</w:t>
      </w:r>
      <w:r w:rsidR="00045EC7" w:rsidRPr="003D6AB7">
        <w:rPr>
          <w:rFonts w:cs="Times New Roman"/>
        </w:rPr>
        <w:t>arties.</w:t>
      </w:r>
      <w:r w:rsidR="00DD25C7">
        <w:rPr>
          <w:rFonts w:cs="Times New Roman"/>
        </w:rPr>
        <w:t xml:space="preserve"> </w:t>
      </w:r>
      <w:r w:rsidR="001F51AB" w:rsidRPr="003D6AB7">
        <w:rPr>
          <w:rFonts w:cs="Times New Roman"/>
        </w:rPr>
        <w:t xml:space="preserve">Some illustrative targets that might be considered worth focusing the </w:t>
      </w:r>
      <w:r w:rsidR="000B4C27">
        <w:rPr>
          <w:rFonts w:cs="Times New Roman"/>
        </w:rPr>
        <w:t>SGF</w:t>
      </w:r>
      <w:r w:rsidR="001F51AB" w:rsidRPr="003D6AB7">
        <w:rPr>
          <w:rFonts w:cs="Times New Roman"/>
        </w:rPr>
        <w:t xml:space="preserve"> fundraising and/or allocations towards might include:</w:t>
      </w:r>
    </w:p>
    <w:p w:rsidR="00D9447B" w:rsidRPr="003D6AB7" w:rsidRDefault="00D9447B" w:rsidP="003D6AB7">
      <w:pPr>
        <w:pStyle w:val="ListParagraph"/>
        <w:spacing w:after="0" w:line="240" w:lineRule="auto"/>
        <w:ind w:left="1800"/>
        <w:rPr>
          <w:rFonts w:cs="Times New Roman"/>
        </w:rPr>
      </w:pPr>
    </w:p>
    <w:p w:rsidR="00D9447B" w:rsidRDefault="00D9447B" w:rsidP="003D6AB7">
      <w:pPr>
        <w:pStyle w:val="ListParagraph"/>
        <w:numPr>
          <w:ilvl w:val="1"/>
          <w:numId w:val="21"/>
        </w:numPr>
        <w:spacing w:after="0" w:line="240" w:lineRule="auto"/>
        <w:ind w:left="1276" w:hanging="425"/>
        <w:rPr>
          <w:rFonts w:cs="Times New Roman"/>
        </w:rPr>
      </w:pPr>
      <w:r w:rsidRPr="003D6AB7">
        <w:rPr>
          <w:rFonts w:cs="Times New Roman"/>
        </w:rPr>
        <w:t>Target 4:</w:t>
      </w:r>
      <w:r w:rsidR="00DD25C7">
        <w:rPr>
          <w:rFonts w:cs="Times New Roman"/>
        </w:rPr>
        <w:t xml:space="preserve"> </w:t>
      </w:r>
      <w:r w:rsidRPr="003D6AB7">
        <w:rPr>
          <w:rFonts w:cs="Times New Roman"/>
        </w:rPr>
        <w:t>Invasive alien species and pathways are identified and prioritized, priority species are controlled or eradicated, and management responses are prepared and implemented to prevent their introduction and establishment.</w:t>
      </w:r>
    </w:p>
    <w:p w:rsidR="000B4C27" w:rsidRPr="003D6AB7" w:rsidRDefault="000B4C27" w:rsidP="000B4C27">
      <w:pPr>
        <w:pStyle w:val="ListParagraph"/>
        <w:spacing w:after="0" w:line="240" w:lineRule="auto"/>
        <w:ind w:left="1276"/>
        <w:rPr>
          <w:rFonts w:cs="Times New Roman"/>
        </w:rPr>
      </w:pPr>
    </w:p>
    <w:p w:rsidR="00D9447B" w:rsidRDefault="00D9447B" w:rsidP="003D6AB7">
      <w:pPr>
        <w:pStyle w:val="ListParagraph"/>
        <w:numPr>
          <w:ilvl w:val="1"/>
          <w:numId w:val="21"/>
        </w:numPr>
        <w:spacing w:after="0" w:line="240" w:lineRule="auto"/>
        <w:ind w:left="1276" w:hanging="425"/>
        <w:rPr>
          <w:rFonts w:cs="Times New Roman"/>
        </w:rPr>
      </w:pPr>
      <w:r w:rsidRPr="003D6AB7">
        <w:rPr>
          <w:rFonts w:cs="Times New Roman"/>
        </w:rPr>
        <w:t>Target 7: Sites that are at risk of loss of ecological character have threats addressed.</w:t>
      </w:r>
    </w:p>
    <w:p w:rsidR="000B4C27" w:rsidRPr="000B4C27" w:rsidRDefault="000B4C27" w:rsidP="000B4C27">
      <w:pPr>
        <w:pStyle w:val="ListParagraph"/>
        <w:rPr>
          <w:rFonts w:cs="Times New Roman"/>
        </w:rPr>
      </w:pPr>
    </w:p>
    <w:p w:rsidR="00D9447B" w:rsidRPr="003D6AB7" w:rsidRDefault="00D9447B" w:rsidP="003D6AB7">
      <w:pPr>
        <w:pStyle w:val="ListParagraph"/>
        <w:numPr>
          <w:ilvl w:val="1"/>
          <w:numId w:val="21"/>
        </w:numPr>
        <w:spacing w:after="0" w:line="240" w:lineRule="auto"/>
        <w:ind w:left="1276" w:hanging="425"/>
        <w:rPr>
          <w:rFonts w:cs="Times New Roman"/>
        </w:rPr>
      </w:pPr>
      <w:r w:rsidRPr="003D6AB7">
        <w:rPr>
          <w:rFonts w:cs="Times New Roman"/>
        </w:rPr>
        <w:lastRenderedPageBreak/>
        <w:t>Target 1</w:t>
      </w:r>
      <w:r w:rsidR="006703A4">
        <w:rPr>
          <w:rFonts w:cs="Times New Roman"/>
        </w:rPr>
        <w:t>2</w:t>
      </w:r>
      <w:r w:rsidRPr="003D6AB7">
        <w:rPr>
          <w:rFonts w:cs="Times New Roman"/>
        </w:rPr>
        <w:t>: Restoration is in progress or completed in degraded wetlands, with priority to</w:t>
      </w:r>
      <w:r w:rsidR="008B7384" w:rsidRPr="003D6AB7">
        <w:rPr>
          <w:rFonts w:cs="Times New Roman"/>
        </w:rPr>
        <w:t xml:space="preserve"> </w:t>
      </w:r>
      <w:r w:rsidRPr="003D6AB7">
        <w:rPr>
          <w:rFonts w:cs="Times New Roman"/>
        </w:rPr>
        <w:t>wetlands that are relevant for disaster risk reduction, livelihoods and/or climate change mitigation and adaptation.</w:t>
      </w:r>
    </w:p>
    <w:p w:rsidR="00D24FE1" w:rsidRPr="003D6AB7" w:rsidRDefault="00D24FE1" w:rsidP="003D6AB7">
      <w:pPr>
        <w:pStyle w:val="ListParagraph"/>
        <w:spacing w:after="0" w:line="240" w:lineRule="auto"/>
        <w:ind w:left="1800"/>
        <w:rPr>
          <w:rFonts w:cs="Times New Roman"/>
        </w:rPr>
      </w:pPr>
    </w:p>
    <w:p w:rsidR="007516FC" w:rsidRDefault="00C359F5" w:rsidP="00155BC8">
      <w:pPr>
        <w:pStyle w:val="ListParagraph"/>
        <w:numPr>
          <w:ilvl w:val="0"/>
          <w:numId w:val="39"/>
        </w:numPr>
        <w:spacing w:after="0" w:line="240" w:lineRule="auto"/>
        <w:ind w:left="851" w:hanging="425"/>
        <w:rPr>
          <w:rFonts w:cs="Times New Roman"/>
        </w:rPr>
      </w:pPr>
      <w:r w:rsidRPr="003D6AB7">
        <w:rPr>
          <w:rFonts w:cs="Times New Roman"/>
        </w:rPr>
        <w:t xml:space="preserve">Advertising the SGF on the basis of </w:t>
      </w:r>
      <w:r w:rsidR="00EB0DF7" w:rsidRPr="003D6AB7">
        <w:rPr>
          <w:rFonts w:cs="Times New Roman"/>
        </w:rPr>
        <w:t>shared priorities between Ramsar and a prospective funder, in an area that generates significant value for society.</w:t>
      </w:r>
      <w:r w:rsidR="00DD25C7">
        <w:rPr>
          <w:rFonts w:cs="Times New Roman"/>
        </w:rPr>
        <w:t xml:space="preserve"> </w:t>
      </w:r>
      <w:r w:rsidRPr="003D6AB7">
        <w:rPr>
          <w:rFonts w:cs="Times New Roman"/>
        </w:rPr>
        <w:t xml:space="preserve">For example, the SGF </w:t>
      </w:r>
      <w:r w:rsidR="00EB0DF7" w:rsidRPr="003D6AB7">
        <w:rPr>
          <w:rFonts w:cs="Times New Roman"/>
        </w:rPr>
        <w:t>could be positioned as</w:t>
      </w:r>
      <w:r w:rsidR="007516FC" w:rsidRPr="003D6AB7">
        <w:rPr>
          <w:rFonts w:cs="Times New Roman"/>
        </w:rPr>
        <w:t>:</w:t>
      </w:r>
    </w:p>
    <w:p w:rsidR="000B4C27" w:rsidRPr="003D6AB7" w:rsidRDefault="000B4C27" w:rsidP="000B4C27">
      <w:pPr>
        <w:pStyle w:val="ListParagraph"/>
        <w:spacing w:after="0" w:line="240" w:lineRule="auto"/>
        <w:ind w:left="851"/>
        <w:rPr>
          <w:rFonts w:cs="Times New Roman"/>
        </w:rPr>
      </w:pPr>
    </w:p>
    <w:p w:rsidR="007516FC" w:rsidRDefault="00B10FE9" w:rsidP="003D6AB7">
      <w:pPr>
        <w:pStyle w:val="ListParagraph"/>
        <w:numPr>
          <w:ilvl w:val="1"/>
          <w:numId w:val="21"/>
        </w:numPr>
        <w:spacing w:after="0" w:line="240" w:lineRule="auto"/>
        <w:ind w:left="1276" w:hanging="425"/>
        <w:rPr>
          <w:rFonts w:cs="Times New Roman"/>
        </w:rPr>
      </w:pPr>
      <w:r w:rsidRPr="003D6AB7">
        <w:rPr>
          <w:rFonts w:cs="Times New Roman"/>
        </w:rPr>
        <w:t xml:space="preserve">an opportunity </w:t>
      </w:r>
      <w:r w:rsidR="00C359F5" w:rsidRPr="003D6AB7">
        <w:rPr>
          <w:rFonts w:cs="Times New Roman"/>
        </w:rPr>
        <w:t>for the</w:t>
      </w:r>
      <w:r w:rsidRPr="003D6AB7">
        <w:rPr>
          <w:rFonts w:cs="Times New Roman"/>
        </w:rPr>
        <w:t xml:space="preserve"> beverage i</w:t>
      </w:r>
      <w:r w:rsidR="00D24FE1" w:rsidRPr="003D6AB7">
        <w:rPr>
          <w:rFonts w:cs="Times New Roman"/>
        </w:rPr>
        <w:t xml:space="preserve">ndustry </w:t>
      </w:r>
      <w:r w:rsidRPr="003D6AB7">
        <w:rPr>
          <w:rFonts w:cs="Times New Roman"/>
        </w:rPr>
        <w:t xml:space="preserve">to </w:t>
      </w:r>
      <w:r w:rsidR="00C359F5" w:rsidRPr="003D6AB7">
        <w:rPr>
          <w:rFonts w:cs="Times New Roman"/>
        </w:rPr>
        <w:t>protect headwater wetlands that are important for drinking water supply</w:t>
      </w:r>
      <w:r w:rsidR="000B4C27">
        <w:rPr>
          <w:rFonts w:cs="Times New Roman"/>
        </w:rPr>
        <w:t xml:space="preserve">; </w:t>
      </w:r>
      <w:r w:rsidR="00C359F5" w:rsidRPr="003D6AB7">
        <w:rPr>
          <w:rFonts w:cs="Times New Roman"/>
        </w:rPr>
        <w:t xml:space="preserve">or </w:t>
      </w:r>
    </w:p>
    <w:p w:rsidR="000B4C27" w:rsidRPr="003D6AB7" w:rsidRDefault="000B4C27" w:rsidP="000B4C27">
      <w:pPr>
        <w:pStyle w:val="ListParagraph"/>
        <w:spacing w:after="0" w:line="240" w:lineRule="auto"/>
        <w:ind w:left="1276"/>
        <w:rPr>
          <w:rFonts w:cs="Times New Roman"/>
        </w:rPr>
      </w:pPr>
    </w:p>
    <w:p w:rsidR="00D24FE1" w:rsidRPr="003D6AB7" w:rsidRDefault="00EB0DF7" w:rsidP="003D6AB7">
      <w:pPr>
        <w:pStyle w:val="ListParagraph"/>
        <w:numPr>
          <w:ilvl w:val="1"/>
          <w:numId w:val="21"/>
        </w:numPr>
        <w:spacing w:after="0" w:line="240" w:lineRule="auto"/>
        <w:ind w:left="1276" w:hanging="425"/>
        <w:rPr>
          <w:rFonts w:cs="Times New Roman"/>
        </w:rPr>
      </w:pPr>
      <w:r w:rsidRPr="003D6AB7">
        <w:rPr>
          <w:rFonts w:cs="Times New Roman"/>
        </w:rPr>
        <w:t>an opportunity to in</w:t>
      </w:r>
      <w:r w:rsidR="00C359F5" w:rsidRPr="003D6AB7">
        <w:rPr>
          <w:rFonts w:cs="Times New Roman"/>
        </w:rPr>
        <w:t xml:space="preserve">crease coastal resilience </w:t>
      </w:r>
      <w:r w:rsidRPr="003D6AB7">
        <w:rPr>
          <w:rFonts w:cs="Times New Roman"/>
        </w:rPr>
        <w:t xml:space="preserve">that benefits </w:t>
      </w:r>
      <w:r w:rsidR="00A968E9" w:rsidRPr="003D6AB7">
        <w:rPr>
          <w:rFonts w:cs="Times New Roman"/>
        </w:rPr>
        <w:t xml:space="preserve">both communities and private sector </w:t>
      </w:r>
      <w:r w:rsidR="00C359F5" w:rsidRPr="003D6AB7">
        <w:rPr>
          <w:rFonts w:cs="Times New Roman"/>
        </w:rPr>
        <w:t>infrastructure and engineering assets.</w:t>
      </w:r>
    </w:p>
    <w:p w:rsidR="00575043" w:rsidRPr="003D6AB7" w:rsidRDefault="00575043" w:rsidP="003D6AB7">
      <w:pPr>
        <w:pStyle w:val="ListParagraph"/>
        <w:spacing w:after="0" w:line="240" w:lineRule="auto"/>
        <w:rPr>
          <w:rFonts w:cs="Times New Roman"/>
        </w:rPr>
      </w:pPr>
    </w:p>
    <w:p w:rsidR="00575043" w:rsidRPr="003D6AB7" w:rsidRDefault="00575043" w:rsidP="00155BC8">
      <w:pPr>
        <w:pStyle w:val="ListParagraph"/>
        <w:numPr>
          <w:ilvl w:val="0"/>
          <w:numId w:val="39"/>
        </w:numPr>
        <w:spacing w:after="0" w:line="240" w:lineRule="auto"/>
        <w:ind w:left="851" w:hanging="425"/>
        <w:rPr>
          <w:rFonts w:cs="Times New Roman"/>
        </w:rPr>
      </w:pPr>
      <w:r w:rsidRPr="003D6AB7">
        <w:rPr>
          <w:rFonts w:cs="Times New Roman"/>
        </w:rPr>
        <w:t>Identifying specific opportunities for the SGF to fulfil the intention spelled out in the original guidelines</w:t>
      </w:r>
      <w:r w:rsidR="00A968E9" w:rsidRPr="003D6AB7">
        <w:rPr>
          <w:rFonts w:cs="Times New Roman"/>
        </w:rPr>
        <w:t>,</w:t>
      </w:r>
      <w:r w:rsidRPr="003D6AB7">
        <w:rPr>
          <w:rFonts w:cs="Times New Roman"/>
        </w:rPr>
        <w:t xml:space="preserve"> that funding </w:t>
      </w:r>
      <w:r w:rsidR="000B4C27">
        <w:rPr>
          <w:rFonts w:cs="Times New Roman"/>
        </w:rPr>
        <w:t xml:space="preserve">should be </w:t>
      </w:r>
      <w:r w:rsidRPr="003D6AB7">
        <w:rPr>
          <w:rFonts w:cs="Times New Roman"/>
        </w:rPr>
        <w:t>directed towards helping grantees make necessary preparations for seeking funding from other sources for larger scale activities.</w:t>
      </w:r>
      <w:r w:rsidR="00A968E9" w:rsidRPr="003D6AB7">
        <w:rPr>
          <w:rFonts w:cs="Times New Roman"/>
        </w:rPr>
        <w:t xml:space="preserve"> This would entail a shift of focus </w:t>
      </w:r>
      <w:r w:rsidR="007516FC" w:rsidRPr="003D6AB7">
        <w:rPr>
          <w:rFonts w:cs="Times New Roman"/>
        </w:rPr>
        <w:t xml:space="preserve">in the SGF </w:t>
      </w:r>
      <w:r w:rsidR="00A968E9" w:rsidRPr="003D6AB7">
        <w:rPr>
          <w:rFonts w:cs="Times New Roman"/>
        </w:rPr>
        <w:t xml:space="preserve">from supporting </w:t>
      </w:r>
      <w:r w:rsidR="007516FC" w:rsidRPr="003D6AB7">
        <w:rPr>
          <w:rFonts w:cs="Times New Roman"/>
        </w:rPr>
        <w:t xml:space="preserve">small </w:t>
      </w:r>
      <w:r w:rsidR="00A968E9" w:rsidRPr="003D6AB7">
        <w:rPr>
          <w:rFonts w:cs="Times New Roman"/>
        </w:rPr>
        <w:t xml:space="preserve">on-the-ground </w:t>
      </w:r>
      <w:r w:rsidR="007516FC" w:rsidRPr="003D6AB7">
        <w:rPr>
          <w:rFonts w:cs="Times New Roman"/>
        </w:rPr>
        <w:t>projects</w:t>
      </w:r>
      <w:r w:rsidR="00A968E9" w:rsidRPr="003D6AB7">
        <w:rPr>
          <w:rFonts w:cs="Times New Roman"/>
        </w:rPr>
        <w:t>, to supporting proposal preparation for large funds such as the GEF or the multi-lateral development banks (African Development Bank, Asian Development Bank etc</w:t>
      </w:r>
      <w:r w:rsidR="000B4C27">
        <w:rPr>
          <w:rFonts w:cs="Times New Roman"/>
        </w:rPr>
        <w:t>.</w:t>
      </w:r>
      <w:r w:rsidR="00A968E9" w:rsidRPr="003D6AB7">
        <w:rPr>
          <w:rFonts w:cs="Times New Roman"/>
        </w:rPr>
        <w:t>).</w:t>
      </w:r>
    </w:p>
    <w:p w:rsidR="001F51AB" w:rsidRPr="003D6AB7" w:rsidRDefault="001F51AB" w:rsidP="008B7384">
      <w:pPr>
        <w:spacing w:after="0" w:line="240" w:lineRule="auto"/>
        <w:rPr>
          <w:rFonts w:cs="Times New Roman"/>
        </w:rPr>
      </w:pPr>
    </w:p>
    <w:p w:rsidR="00CD1CFA" w:rsidRPr="00CD02E3" w:rsidRDefault="002E20AC" w:rsidP="002E20AC">
      <w:pPr>
        <w:pStyle w:val="Default"/>
        <w:numPr>
          <w:ilvl w:val="0"/>
          <w:numId w:val="13"/>
        </w:numPr>
        <w:ind w:left="426" w:hanging="426"/>
        <w:rPr>
          <w:rFonts w:asciiTheme="minorHAnsi" w:hAnsiTheme="minorHAnsi" w:cs="Times New Roman"/>
          <w:sz w:val="22"/>
          <w:szCs w:val="22"/>
        </w:rPr>
      </w:pPr>
      <w:r w:rsidRPr="00CD02E3">
        <w:rPr>
          <w:rFonts w:asciiTheme="minorHAnsi" w:hAnsiTheme="minorHAnsi" w:cs="Times New Roman"/>
          <w:sz w:val="22"/>
          <w:szCs w:val="22"/>
        </w:rPr>
        <w:t>The Secretariat would like to suggest that the issue of the Small Grants Fund be a standing item on Standing Committee meeting agendas for the triennium</w:t>
      </w:r>
      <w:r w:rsidR="00CD02E3">
        <w:rPr>
          <w:rFonts w:asciiTheme="minorHAnsi" w:hAnsiTheme="minorHAnsi" w:cs="Times New Roman"/>
          <w:sz w:val="22"/>
          <w:szCs w:val="22"/>
        </w:rPr>
        <w:t>,</w:t>
      </w:r>
      <w:r w:rsidRPr="00CD02E3">
        <w:rPr>
          <w:rFonts w:asciiTheme="minorHAnsi" w:hAnsiTheme="minorHAnsi" w:cs="Times New Roman"/>
          <w:sz w:val="22"/>
          <w:szCs w:val="22"/>
        </w:rPr>
        <w:t xml:space="preserve"> so that sustained and focused attention can lead to informed decision making about its future at COP13.</w:t>
      </w:r>
    </w:p>
    <w:sectPr w:rsidR="00CD1CFA" w:rsidRPr="00CD02E3" w:rsidSect="003D6AB7">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E7E" w:rsidRDefault="00F46E7E" w:rsidP="005F35E5">
      <w:pPr>
        <w:spacing w:after="0" w:line="240" w:lineRule="auto"/>
      </w:pPr>
      <w:r>
        <w:separator/>
      </w:r>
    </w:p>
  </w:endnote>
  <w:endnote w:type="continuationSeparator" w:id="0">
    <w:p w:rsidR="00F46E7E" w:rsidRDefault="00F46E7E" w:rsidP="005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946664"/>
      <w:docPartObj>
        <w:docPartGallery w:val="Page Numbers (Bottom of Page)"/>
        <w:docPartUnique/>
      </w:docPartObj>
    </w:sdtPr>
    <w:sdtEndPr/>
    <w:sdtContent>
      <w:p w:rsidR="003D6AB7" w:rsidRPr="003D6AB7" w:rsidRDefault="003D6AB7" w:rsidP="003D6AB7">
        <w:pPr>
          <w:pStyle w:val="Footer"/>
          <w:tabs>
            <w:tab w:val="clear" w:pos="4513"/>
            <w:tab w:val="clear" w:pos="9026"/>
            <w:tab w:val="right" w:pos="9072"/>
          </w:tabs>
          <w:rPr>
            <w:sz w:val="20"/>
            <w:szCs w:val="20"/>
          </w:rPr>
        </w:pPr>
        <w:r>
          <w:rPr>
            <w:sz w:val="20"/>
            <w:szCs w:val="20"/>
          </w:rPr>
          <w:t>SC51-22</w:t>
        </w:r>
        <w:r>
          <w:rPr>
            <w:sz w:val="20"/>
            <w:szCs w:val="20"/>
          </w:rPr>
          <w:tab/>
        </w:r>
        <w:r w:rsidRPr="00FD503E">
          <w:rPr>
            <w:sz w:val="20"/>
            <w:szCs w:val="20"/>
          </w:rPr>
          <w:fldChar w:fldCharType="begin"/>
        </w:r>
        <w:r w:rsidRPr="00FD503E">
          <w:rPr>
            <w:sz w:val="20"/>
            <w:szCs w:val="20"/>
          </w:rPr>
          <w:instrText xml:space="preserve"> PAGE   \* MERGEFORMAT </w:instrText>
        </w:r>
        <w:r w:rsidRPr="00FD503E">
          <w:rPr>
            <w:sz w:val="20"/>
            <w:szCs w:val="20"/>
          </w:rPr>
          <w:fldChar w:fldCharType="separate"/>
        </w:r>
        <w:r w:rsidR="00AA7908">
          <w:rPr>
            <w:noProof/>
            <w:sz w:val="20"/>
            <w:szCs w:val="20"/>
          </w:rPr>
          <w:t>2</w:t>
        </w:r>
        <w:r w:rsidRPr="00FD503E">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E7E" w:rsidRDefault="00F46E7E" w:rsidP="005F35E5">
      <w:pPr>
        <w:spacing w:after="0" w:line="240" w:lineRule="auto"/>
      </w:pPr>
      <w:r>
        <w:separator/>
      </w:r>
    </w:p>
  </w:footnote>
  <w:footnote w:type="continuationSeparator" w:id="0">
    <w:p w:rsidR="00F46E7E" w:rsidRDefault="00F46E7E" w:rsidP="005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81F"/>
    <w:multiLevelType w:val="hybridMultilevel"/>
    <w:tmpl w:val="9B8CE818"/>
    <w:lvl w:ilvl="0" w:tplc="14CAD4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517EB7"/>
    <w:multiLevelType w:val="hybridMultilevel"/>
    <w:tmpl w:val="1CE2909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D017D6"/>
    <w:multiLevelType w:val="hybridMultilevel"/>
    <w:tmpl w:val="5E429B40"/>
    <w:lvl w:ilvl="0" w:tplc="08090019">
      <w:start w:val="1"/>
      <w:numFmt w:val="lowerLetter"/>
      <w:lvlText w:val="%1."/>
      <w:lvlJc w:val="left"/>
      <w:pPr>
        <w:ind w:left="1800" w:hanging="360"/>
      </w:pPr>
      <w:rPr>
        <w:rFonts w:hint="default"/>
        <w:sz w:val="22"/>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26F5E19"/>
    <w:multiLevelType w:val="hybridMultilevel"/>
    <w:tmpl w:val="1658B578"/>
    <w:lvl w:ilvl="0" w:tplc="148A6F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3926FA6"/>
    <w:multiLevelType w:val="hybridMultilevel"/>
    <w:tmpl w:val="E146D9A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93F2A4B"/>
    <w:multiLevelType w:val="hybridMultilevel"/>
    <w:tmpl w:val="8EA84BD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8846A5"/>
    <w:multiLevelType w:val="hybridMultilevel"/>
    <w:tmpl w:val="E5C2D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E657A"/>
    <w:multiLevelType w:val="hybridMultilevel"/>
    <w:tmpl w:val="E026A642"/>
    <w:lvl w:ilvl="0" w:tplc="5F6645F8">
      <w:start w:val="10"/>
      <w:numFmt w:val="decimal"/>
      <w:lvlText w:val="%1."/>
      <w:lvlJc w:val="left"/>
      <w:pPr>
        <w:ind w:left="1794" w:hanging="36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8">
    <w:nsid w:val="202D186A"/>
    <w:multiLevelType w:val="hybridMultilevel"/>
    <w:tmpl w:val="AB94ED1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nsid w:val="248F2981"/>
    <w:multiLevelType w:val="hybridMultilevel"/>
    <w:tmpl w:val="C806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1537FE"/>
    <w:multiLevelType w:val="hybridMultilevel"/>
    <w:tmpl w:val="865E2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EC628E"/>
    <w:multiLevelType w:val="hybridMultilevel"/>
    <w:tmpl w:val="52169E0C"/>
    <w:lvl w:ilvl="0" w:tplc="14CAD4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F63118"/>
    <w:multiLevelType w:val="hybridMultilevel"/>
    <w:tmpl w:val="468242BC"/>
    <w:lvl w:ilvl="0" w:tplc="08090019">
      <w:start w:val="1"/>
      <w:numFmt w:val="lowerLetter"/>
      <w:lvlText w:val="%1."/>
      <w:lvlJc w:val="left"/>
      <w:pPr>
        <w:ind w:left="1440" w:hanging="72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B7E15C1"/>
    <w:multiLevelType w:val="hybridMultilevel"/>
    <w:tmpl w:val="28A0CE36"/>
    <w:lvl w:ilvl="0" w:tplc="D1FAF0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05F2E24"/>
    <w:multiLevelType w:val="hybridMultilevel"/>
    <w:tmpl w:val="BEC621DA"/>
    <w:lvl w:ilvl="0" w:tplc="14CAD4DA">
      <w:start w:val="1"/>
      <w:numFmt w:val="upperRoman"/>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nsid w:val="40D451B2"/>
    <w:multiLevelType w:val="hybridMultilevel"/>
    <w:tmpl w:val="B408098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nsid w:val="45ED4A54"/>
    <w:multiLevelType w:val="hybridMultilevel"/>
    <w:tmpl w:val="864EC862"/>
    <w:lvl w:ilvl="0" w:tplc="344CAC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0168BA"/>
    <w:multiLevelType w:val="hybridMultilevel"/>
    <w:tmpl w:val="1B5E34C0"/>
    <w:lvl w:ilvl="0" w:tplc="1284BF96">
      <w:start w:val="1"/>
      <w:numFmt w:val="upperRoman"/>
      <w:lvlText w:val="%1.)"/>
      <w:lvlJc w:val="left"/>
      <w:pPr>
        <w:ind w:left="1440" w:hanging="72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9F87B38"/>
    <w:multiLevelType w:val="hybridMultilevel"/>
    <w:tmpl w:val="EB14F2F0"/>
    <w:lvl w:ilvl="0" w:tplc="0809000F">
      <w:start w:val="1"/>
      <w:numFmt w:val="decimal"/>
      <w:lvlText w:val="%1."/>
      <w:lvlJc w:val="left"/>
      <w:pPr>
        <w:ind w:left="1146" w:hanging="72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E87780"/>
    <w:multiLevelType w:val="hybridMultilevel"/>
    <w:tmpl w:val="4F724BD0"/>
    <w:lvl w:ilvl="0" w:tplc="B81C82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FB51A5B"/>
    <w:multiLevelType w:val="hybridMultilevel"/>
    <w:tmpl w:val="798A3BD6"/>
    <w:lvl w:ilvl="0" w:tplc="0809000F">
      <w:start w:val="1"/>
      <w:numFmt w:val="decimal"/>
      <w:lvlText w:val="%1."/>
      <w:lvlJc w:val="left"/>
      <w:pPr>
        <w:ind w:left="2160" w:hanging="720"/>
      </w:pPr>
      <w:rPr>
        <w:rFonts w:hint="default"/>
      </w:rPr>
    </w:lvl>
    <w:lvl w:ilvl="1" w:tplc="08090003">
      <w:start w:val="1"/>
      <w:numFmt w:val="bullet"/>
      <w:lvlText w:val="o"/>
      <w:lvlJc w:val="left"/>
      <w:pPr>
        <w:ind w:left="2454" w:hanging="360"/>
      </w:pPr>
      <w:rPr>
        <w:rFonts w:ascii="Courier New" w:hAnsi="Courier New" w:cs="Courier New" w:hint="default"/>
      </w:rPr>
    </w:lvl>
    <w:lvl w:ilvl="2" w:tplc="0809001B">
      <w:start w:val="1"/>
      <w:numFmt w:val="lowerRoman"/>
      <w:lvlText w:val="%3."/>
      <w:lvlJc w:val="right"/>
      <w:pPr>
        <w:ind w:left="3174" w:hanging="180"/>
      </w:pPr>
    </w:lvl>
    <w:lvl w:ilvl="3" w:tplc="0809000F" w:tentative="1">
      <w:start w:val="1"/>
      <w:numFmt w:val="decimal"/>
      <w:lvlText w:val="%4."/>
      <w:lvlJc w:val="left"/>
      <w:pPr>
        <w:ind w:left="3894" w:hanging="360"/>
      </w:pPr>
    </w:lvl>
    <w:lvl w:ilvl="4" w:tplc="08090019" w:tentative="1">
      <w:start w:val="1"/>
      <w:numFmt w:val="lowerLetter"/>
      <w:lvlText w:val="%5."/>
      <w:lvlJc w:val="left"/>
      <w:pPr>
        <w:ind w:left="4614" w:hanging="360"/>
      </w:pPr>
    </w:lvl>
    <w:lvl w:ilvl="5" w:tplc="0809001B" w:tentative="1">
      <w:start w:val="1"/>
      <w:numFmt w:val="lowerRoman"/>
      <w:lvlText w:val="%6."/>
      <w:lvlJc w:val="right"/>
      <w:pPr>
        <w:ind w:left="5334" w:hanging="180"/>
      </w:pPr>
    </w:lvl>
    <w:lvl w:ilvl="6" w:tplc="0809000F" w:tentative="1">
      <w:start w:val="1"/>
      <w:numFmt w:val="decimal"/>
      <w:lvlText w:val="%7."/>
      <w:lvlJc w:val="left"/>
      <w:pPr>
        <w:ind w:left="6054" w:hanging="360"/>
      </w:pPr>
    </w:lvl>
    <w:lvl w:ilvl="7" w:tplc="08090019" w:tentative="1">
      <w:start w:val="1"/>
      <w:numFmt w:val="lowerLetter"/>
      <w:lvlText w:val="%8."/>
      <w:lvlJc w:val="left"/>
      <w:pPr>
        <w:ind w:left="6774" w:hanging="360"/>
      </w:pPr>
    </w:lvl>
    <w:lvl w:ilvl="8" w:tplc="0809001B" w:tentative="1">
      <w:start w:val="1"/>
      <w:numFmt w:val="lowerRoman"/>
      <w:lvlText w:val="%9."/>
      <w:lvlJc w:val="right"/>
      <w:pPr>
        <w:ind w:left="7494" w:hanging="180"/>
      </w:pPr>
    </w:lvl>
  </w:abstractNum>
  <w:abstractNum w:abstractNumId="21">
    <w:nsid w:val="511727EC"/>
    <w:multiLevelType w:val="hybridMultilevel"/>
    <w:tmpl w:val="94E4777A"/>
    <w:lvl w:ilvl="0" w:tplc="0809000F">
      <w:start w:val="1"/>
      <w:numFmt w:val="decimal"/>
      <w:lvlText w:val="%1."/>
      <w:lvlJc w:val="left"/>
      <w:pPr>
        <w:ind w:left="180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5146347C"/>
    <w:multiLevelType w:val="hybridMultilevel"/>
    <w:tmpl w:val="5DCA6B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54B9753C"/>
    <w:multiLevelType w:val="hybridMultilevel"/>
    <w:tmpl w:val="C1CC6090"/>
    <w:lvl w:ilvl="0" w:tplc="DA72F8B6">
      <w:start w:val="1"/>
      <w:numFmt w:val="lowerRoman"/>
      <w:lvlText w:val="%1."/>
      <w:lvlJc w:val="left"/>
      <w:pPr>
        <w:ind w:left="1800" w:hanging="360"/>
      </w:pPr>
      <w:rPr>
        <w:rFonts w:hint="default"/>
        <w:sz w:val="22"/>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552D5BD2"/>
    <w:multiLevelType w:val="hybridMultilevel"/>
    <w:tmpl w:val="AE846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9B6D45"/>
    <w:multiLevelType w:val="hybridMultilevel"/>
    <w:tmpl w:val="B202ABF2"/>
    <w:lvl w:ilvl="0" w:tplc="0809000F">
      <w:start w:val="1"/>
      <w:numFmt w:val="decimal"/>
      <w:lvlText w:val="%1."/>
      <w:lvlJc w:val="left"/>
      <w:pPr>
        <w:ind w:left="1146"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037B39"/>
    <w:multiLevelType w:val="hybridMultilevel"/>
    <w:tmpl w:val="12883A2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5BBE589D"/>
    <w:multiLevelType w:val="hybridMultilevel"/>
    <w:tmpl w:val="72663D40"/>
    <w:lvl w:ilvl="0" w:tplc="08090003">
      <w:start w:val="1"/>
      <w:numFmt w:val="bullet"/>
      <w:lvlText w:val="o"/>
      <w:lvlJc w:val="left"/>
      <w:pPr>
        <w:ind w:left="2160" w:hanging="720"/>
      </w:pPr>
      <w:rPr>
        <w:rFonts w:ascii="Courier New" w:hAnsi="Courier New" w:cs="Courier New" w:hint="default"/>
      </w:rPr>
    </w:lvl>
    <w:lvl w:ilvl="1" w:tplc="08090003">
      <w:start w:val="1"/>
      <w:numFmt w:val="bullet"/>
      <w:lvlText w:val="o"/>
      <w:lvlJc w:val="left"/>
      <w:pPr>
        <w:ind w:left="2454" w:hanging="360"/>
      </w:pPr>
      <w:rPr>
        <w:rFonts w:ascii="Courier New" w:hAnsi="Courier New" w:cs="Courier New" w:hint="default"/>
      </w:rPr>
    </w:lvl>
    <w:lvl w:ilvl="2" w:tplc="0809001B">
      <w:start w:val="1"/>
      <w:numFmt w:val="lowerRoman"/>
      <w:lvlText w:val="%3."/>
      <w:lvlJc w:val="right"/>
      <w:pPr>
        <w:ind w:left="3174" w:hanging="180"/>
      </w:pPr>
    </w:lvl>
    <w:lvl w:ilvl="3" w:tplc="0809000F" w:tentative="1">
      <w:start w:val="1"/>
      <w:numFmt w:val="decimal"/>
      <w:lvlText w:val="%4."/>
      <w:lvlJc w:val="left"/>
      <w:pPr>
        <w:ind w:left="3894" w:hanging="360"/>
      </w:pPr>
    </w:lvl>
    <w:lvl w:ilvl="4" w:tplc="08090019" w:tentative="1">
      <w:start w:val="1"/>
      <w:numFmt w:val="lowerLetter"/>
      <w:lvlText w:val="%5."/>
      <w:lvlJc w:val="left"/>
      <w:pPr>
        <w:ind w:left="4614" w:hanging="360"/>
      </w:pPr>
    </w:lvl>
    <w:lvl w:ilvl="5" w:tplc="0809001B" w:tentative="1">
      <w:start w:val="1"/>
      <w:numFmt w:val="lowerRoman"/>
      <w:lvlText w:val="%6."/>
      <w:lvlJc w:val="right"/>
      <w:pPr>
        <w:ind w:left="5334" w:hanging="180"/>
      </w:pPr>
    </w:lvl>
    <w:lvl w:ilvl="6" w:tplc="0809000F" w:tentative="1">
      <w:start w:val="1"/>
      <w:numFmt w:val="decimal"/>
      <w:lvlText w:val="%7."/>
      <w:lvlJc w:val="left"/>
      <w:pPr>
        <w:ind w:left="6054" w:hanging="360"/>
      </w:pPr>
    </w:lvl>
    <w:lvl w:ilvl="7" w:tplc="08090019" w:tentative="1">
      <w:start w:val="1"/>
      <w:numFmt w:val="lowerLetter"/>
      <w:lvlText w:val="%8."/>
      <w:lvlJc w:val="left"/>
      <w:pPr>
        <w:ind w:left="6774" w:hanging="360"/>
      </w:pPr>
    </w:lvl>
    <w:lvl w:ilvl="8" w:tplc="0809001B" w:tentative="1">
      <w:start w:val="1"/>
      <w:numFmt w:val="lowerRoman"/>
      <w:lvlText w:val="%9."/>
      <w:lvlJc w:val="right"/>
      <w:pPr>
        <w:ind w:left="7494" w:hanging="180"/>
      </w:pPr>
    </w:lvl>
  </w:abstractNum>
  <w:abstractNum w:abstractNumId="28">
    <w:nsid w:val="5CAE4944"/>
    <w:multiLevelType w:val="hybridMultilevel"/>
    <w:tmpl w:val="F9EC968A"/>
    <w:lvl w:ilvl="0" w:tplc="08090011">
      <w:start w:val="1"/>
      <w:numFmt w:val="decimal"/>
      <w:lvlText w:val="%1)"/>
      <w:lvlJc w:val="left"/>
      <w:pPr>
        <w:ind w:left="180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5CCD5BFD"/>
    <w:multiLevelType w:val="hybridMultilevel"/>
    <w:tmpl w:val="A692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1F7D56"/>
    <w:multiLevelType w:val="hybridMultilevel"/>
    <w:tmpl w:val="1EFADF3E"/>
    <w:lvl w:ilvl="0" w:tplc="14CAD4DA">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9A62C6"/>
    <w:multiLevelType w:val="hybridMultilevel"/>
    <w:tmpl w:val="B202ABF2"/>
    <w:lvl w:ilvl="0" w:tplc="0809000F">
      <w:start w:val="1"/>
      <w:numFmt w:val="decimal"/>
      <w:lvlText w:val="%1."/>
      <w:lvlJc w:val="left"/>
      <w:pPr>
        <w:ind w:left="1146"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E86FD3"/>
    <w:multiLevelType w:val="hybridMultilevel"/>
    <w:tmpl w:val="5D32C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D858B4"/>
    <w:multiLevelType w:val="hybridMultilevel"/>
    <w:tmpl w:val="660425DE"/>
    <w:lvl w:ilvl="0" w:tplc="08090001">
      <w:start w:val="1"/>
      <w:numFmt w:val="bullet"/>
      <w:lvlText w:val=""/>
      <w:lvlJc w:val="left"/>
      <w:pPr>
        <w:ind w:left="2160" w:hanging="720"/>
      </w:pPr>
      <w:rPr>
        <w:rFonts w:ascii="Symbol" w:hAnsi="Symbol" w:hint="default"/>
      </w:rPr>
    </w:lvl>
    <w:lvl w:ilvl="1" w:tplc="08090003">
      <w:start w:val="1"/>
      <w:numFmt w:val="bullet"/>
      <w:lvlText w:val="o"/>
      <w:lvlJc w:val="left"/>
      <w:pPr>
        <w:ind w:left="2454" w:hanging="360"/>
      </w:pPr>
      <w:rPr>
        <w:rFonts w:ascii="Courier New" w:hAnsi="Courier New" w:cs="Courier New" w:hint="default"/>
      </w:rPr>
    </w:lvl>
    <w:lvl w:ilvl="2" w:tplc="0809001B">
      <w:start w:val="1"/>
      <w:numFmt w:val="lowerRoman"/>
      <w:lvlText w:val="%3."/>
      <w:lvlJc w:val="right"/>
      <w:pPr>
        <w:ind w:left="3174" w:hanging="180"/>
      </w:pPr>
    </w:lvl>
    <w:lvl w:ilvl="3" w:tplc="0809000F" w:tentative="1">
      <w:start w:val="1"/>
      <w:numFmt w:val="decimal"/>
      <w:lvlText w:val="%4."/>
      <w:lvlJc w:val="left"/>
      <w:pPr>
        <w:ind w:left="3894" w:hanging="360"/>
      </w:pPr>
    </w:lvl>
    <w:lvl w:ilvl="4" w:tplc="08090019" w:tentative="1">
      <w:start w:val="1"/>
      <w:numFmt w:val="lowerLetter"/>
      <w:lvlText w:val="%5."/>
      <w:lvlJc w:val="left"/>
      <w:pPr>
        <w:ind w:left="4614" w:hanging="360"/>
      </w:pPr>
    </w:lvl>
    <w:lvl w:ilvl="5" w:tplc="0809001B" w:tentative="1">
      <w:start w:val="1"/>
      <w:numFmt w:val="lowerRoman"/>
      <w:lvlText w:val="%6."/>
      <w:lvlJc w:val="right"/>
      <w:pPr>
        <w:ind w:left="5334" w:hanging="180"/>
      </w:pPr>
    </w:lvl>
    <w:lvl w:ilvl="6" w:tplc="0809000F" w:tentative="1">
      <w:start w:val="1"/>
      <w:numFmt w:val="decimal"/>
      <w:lvlText w:val="%7."/>
      <w:lvlJc w:val="left"/>
      <w:pPr>
        <w:ind w:left="6054" w:hanging="360"/>
      </w:pPr>
    </w:lvl>
    <w:lvl w:ilvl="7" w:tplc="08090019" w:tentative="1">
      <w:start w:val="1"/>
      <w:numFmt w:val="lowerLetter"/>
      <w:lvlText w:val="%8."/>
      <w:lvlJc w:val="left"/>
      <w:pPr>
        <w:ind w:left="6774" w:hanging="360"/>
      </w:pPr>
    </w:lvl>
    <w:lvl w:ilvl="8" w:tplc="0809001B" w:tentative="1">
      <w:start w:val="1"/>
      <w:numFmt w:val="lowerRoman"/>
      <w:lvlText w:val="%9."/>
      <w:lvlJc w:val="right"/>
      <w:pPr>
        <w:ind w:left="7494" w:hanging="180"/>
      </w:pPr>
    </w:lvl>
  </w:abstractNum>
  <w:abstractNum w:abstractNumId="34">
    <w:nsid w:val="647B05B5"/>
    <w:multiLevelType w:val="hybridMultilevel"/>
    <w:tmpl w:val="4C467B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65927013"/>
    <w:multiLevelType w:val="hybridMultilevel"/>
    <w:tmpl w:val="AB6C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B70C07"/>
    <w:multiLevelType w:val="hybridMultilevel"/>
    <w:tmpl w:val="47E212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nsid w:val="6EA15444"/>
    <w:multiLevelType w:val="hybridMultilevel"/>
    <w:tmpl w:val="DEDC4DF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nsid w:val="7F6E6125"/>
    <w:multiLevelType w:val="hybridMultilevel"/>
    <w:tmpl w:val="001ECF70"/>
    <w:lvl w:ilvl="0" w:tplc="300A5CC8">
      <w:start w:val="1"/>
      <w:numFmt w:val="decimal"/>
      <w:lvlText w:val="%1.)"/>
      <w:lvlJc w:val="left"/>
      <w:pPr>
        <w:ind w:left="1500" w:hanging="7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9"/>
  </w:num>
  <w:num w:numId="3">
    <w:abstractNumId w:val="10"/>
  </w:num>
  <w:num w:numId="4">
    <w:abstractNumId w:val="35"/>
  </w:num>
  <w:num w:numId="5">
    <w:abstractNumId w:val="19"/>
  </w:num>
  <w:num w:numId="6">
    <w:abstractNumId w:val="9"/>
  </w:num>
  <w:num w:numId="7">
    <w:abstractNumId w:val="36"/>
  </w:num>
  <w:num w:numId="8">
    <w:abstractNumId w:val="11"/>
  </w:num>
  <w:num w:numId="9">
    <w:abstractNumId w:val="37"/>
  </w:num>
  <w:num w:numId="10">
    <w:abstractNumId w:val="13"/>
  </w:num>
  <w:num w:numId="11">
    <w:abstractNumId w:val="16"/>
  </w:num>
  <w:num w:numId="12">
    <w:abstractNumId w:val="0"/>
  </w:num>
  <w:num w:numId="13">
    <w:abstractNumId w:val="31"/>
  </w:num>
  <w:num w:numId="14">
    <w:abstractNumId w:val="26"/>
  </w:num>
  <w:num w:numId="15">
    <w:abstractNumId w:val="34"/>
  </w:num>
  <w:num w:numId="16">
    <w:abstractNumId w:val="4"/>
  </w:num>
  <w:num w:numId="17">
    <w:abstractNumId w:val="14"/>
  </w:num>
  <w:num w:numId="18">
    <w:abstractNumId w:val="30"/>
  </w:num>
  <w:num w:numId="19">
    <w:abstractNumId w:val="38"/>
  </w:num>
  <w:num w:numId="20">
    <w:abstractNumId w:val="8"/>
  </w:num>
  <w:num w:numId="21">
    <w:abstractNumId w:val="17"/>
  </w:num>
  <w:num w:numId="22">
    <w:abstractNumId w:val="15"/>
  </w:num>
  <w:num w:numId="23">
    <w:abstractNumId w:val="18"/>
  </w:num>
  <w:num w:numId="24">
    <w:abstractNumId w:val="1"/>
  </w:num>
  <w:num w:numId="25">
    <w:abstractNumId w:val="5"/>
  </w:num>
  <w:num w:numId="26">
    <w:abstractNumId w:val="20"/>
  </w:num>
  <w:num w:numId="27">
    <w:abstractNumId w:val="27"/>
  </w:num>
  <w:num w:numId="28">
    <w:abstractNumId w:val="21"/>
  </w:num>
  <w:num w:numId="29">
    <w:abstractNumId w:val="28"/>
  </w:num>
  <w:num w:numId="30">
    <w:abstractNumId w:val="25"/>
  </w:num>
  <w:num w:numId="31">
    <w:abstractNumId w:val="7"/>
  </w:num>
  <w:num w:numId="32">
    <w:abstractNumId w:val="22"/>
  </w:num>
  <w:num w:numId="33">
    <w:abstractNumId w:val="24"/>
  </w:num>
  <w:num w:numId="34">
    <w:abstractNumId w:val="32"/>
  </w:num>
  <w:num w:numId="35">
    <w:abstractNumId w:val="6"/>
  </w:num>
  <w:num w:numId="36">
    <w:abstractNumId w:val="33"/>
  </w:num>
  <w:num w:numId="37">
    <w:abstractNumId w:val="23"/>
  </w:num>
  <w:num w:numId="38">
    <w:abstractNumId w:val="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29"/>
    <w:rsid w:val="0001303B"/>
    <w:rsid w:val="0001432D"/>
    <w:rsid w:val="000167A4"/>
    <w:rsid w:val="00045EC7"/>
    <w:rsid w:val="00071E52"/>
    <w:rsid w:val="000B4C27"/>
    <w:rsid w:val="000B4D4F"/>
    <w:rsid w:val="000D39B3"/>
    <w:rsid w:val="000D4093"/>
    <w:rsid w:val="000E4110"/>
    <w:rsid w:val="000F54A1"/>
    <w:rsid w:val="00104286"/>
    <w:rsid w:val="001055DC"/>
    <w:rsid w:val="0012096C"/>
    <w:rsid w:val="00155BC8"/>
    <w:rsid w:val="00164ECC"/>
    <w:rsid w:val="00195DD8"/>
    <w:rsid w:val="001A7660"/>
    <w:rsid w:val="001B00EB"/>
    <w:rsid w:val="001F51AB"/>
    <w:rsid w:val="0020244D"/>
    <w:rsid w:val="00212633"/>
    <w:rsid w:val="002829A1"/>
    <w:rsid w:val="002838E1"/>
    <w:rsid w:val="00295556"/>
    <w:rsid w:val="002A3754"/>
    <w:rsid w:val="002C756B"/>
    <w:rsid w:val="002E20AC"/>
    <w:rsid w:val="0035071D"/>
    <w:rsid w:val="003651A6"/>
    <w:rsid w:val="00370287"/>
    <w:rsid w:val="003B250F"/>
    <w:rsid w:val="003B2991"/>
    <w:rsid w:val="003D6AB7"/>
    <w:rsid w:val="003F09D4"/>
    <w:rsid w:val="003F3972"/>
    <w:rsid w:val="003F4FE1"/>
    <w:rsid w:val="00413513"/>
    <w:rsid w:val="004261B9"/>
    <w:rsid w:val="00433FA9"/>
    <w:rsid w:val="00434C2A"/>
    <w:rsid w:val="004724E4"/>
    <w:rsid w:val="004930AE"/>
    <w:rsid w:val="004B09CE"/>
    <w:rsid w:val="004B7853"/>
    <w:rsid w:val="00550503"/>
    <w:rsid w:val="00556C08"/>
    <w:rsid w:val="00570DEA"/>
    <w:rsid w:val="00575043"/>
    <w:rsid w:val="00583434"/>
    <w:rsid w:val="005F35E5"/>
    <w:rsid w:val="0060186E"/>
    <w:rsid w:val="00665F0B"/>
    <w:rsid w:val="006703A4"/>
    <w:rsid w:val="006A3C56"/>
    <w:rsid w:val="006A553D"/>
    <w:rsid w:val="006C7C91"/>
    <w:rsid w:val="006D405D"/>
    <w:rsid w:val="0071198F"/>
    <w:rsid w:val="00720A95"/>
    <w:rsid w:val="007516FC"/>
    <w:rsid w:val="007860A9"/>
    <w:rsid w:val="0079772A"/>
    <w:rsid w:val="007C7D7D"/>
    <w:rsid w:val="00800861"/>
    <w:rsid w:val="00831129"/>
    <w:rsid w:val="00856877"/>
    <w:rsid w:val="008732A1"/>
    <w:rsid w:val="00874D0E"/>
    <w:rsid w:val="008B0637"/>
    <w:rsid w:val="008B7384"/>
    <w:rsid w:val="00906808"/>
    <w:rsid w:val="00924E1A"/>
    <w:rsid w:val="00937E1A"/>
    <w:rsid w:val="00960F5A"/>
    <w:rsid w:val="00963090"/>
    <w:rsid w:val="00980104"/>
    <w:rsid w:val="009D3B8E"/>
    <w:rsid w:val="009D735D"/>
    <w:rsid w:val="00A006C4"/>
    <w:rsid w:val="00A455A4"/>
    <w:rsid w:val="00A9488C"/>
    <w:rsid w:val="00A968E9"/>
    <w:rsid w:val="00AA7908"/>
    <w:rsid w:val="00AB3999"/>
    <w:rsid w:val="00AD18A1"/>
    <w:rsid w:val="00B01C5F"/>
    <w:rsid w:val="00B10FE9"/>
    <w:rsid w:val="00B26692"/>
    <w:rsid w:val="00B27B99"/>
    <w:rsid w:val="00B90CD7"/>
    <w:rsid w:val="00BB66E7"/>
    <w:rsid w:val="00BE17FD"/>
    <w:rsid w:val="00C23C6B"/>
    <w:rsid w:val="00C359F5"/>
    <w:rsid w:val="00C570F9"/>
    <w:rsid w:val="00C71598"/>
    <w:rsid w:val="00C75633"/>
    <w:rsid w:val="00CD02E3"/>
    <w:rsid w:val="00CD1CFA"/>
    <w:rsid w:val="00CD238B"/>
    <w:rsid w:val="00CE2AE4"/>
    <w:rsid w:val="00D035FB"/>
    <w:rsid w:val="00D15D47"/>
    <w:rsid w:val="00D17B0B"/>
    <w:rsid w:val="00D210F0"/>
    <w:rsid w:val="00D24FE1"/>
    <w:rsid w:val="00D3760C"/>
    <w:rsid w:val="00D93619"/>
    <w:rsid w:val="00D9447B"/>
    <w:rsid w:val="00D977D0"/>
    <w:rsid w:val="00DA4B44"/>
    <w:rsid w:val="00DB3183"/>
    <w:rsid w:val="00DB579B"/>
    <w:rsid w:val="00DD25C7"/>
    <w:rsid w:val="00DF1BAC"/>
    <w:rsid w:val="00DF6919"/>
    <w:rsid w:val="00E00A22"/>
    <w:rsid w:val="00E24DAC"/>
    <w:rsid w:val="00E802DD"/>
    <w:rsid w:val="00EB0DF7"/>
    <w:rsid w:val="00ED395B"/>
    <w:rsid w:val="00F46E7E"/>
    <w:rsid w:val="00F96F40"/>
    <w:rsid w:val="00FA5FA9"/>
    <w:rsid w:val="00FB692D"/>
    <w:rsid w:val="00FE3CD3"/>
    <w:rsid w:val="00FF0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38B"/>
    <w:pPr>
      <w:ind w:left="720"/>
      <w:contextualSpacing/>
    </w:pPr>
  </w:style>
  <w:style w:type="character" w:styleId="CommentReference">
    <w:name w:val="annotation reference"/>
    <w:basedOn w:val="DefaultParagraphFont"/>
    <w:uiPriority w:val="99"/>
    <w:semiHidden/>
    <w:unhideWhenUsed/>
    <w:rsid w:val="003F4FE1"/>
    <w:rPr>
      <w:sz w:val="16"/>
      <w:szCs w:val="16"/>
    </w:rPr>
  </w:style>
  <w:style w:type="paragraph" w:styleId="CommentText">
    <w:name w:val="annotation text"/>
    <w:basedOn w:val="Normal"/>
    <w:link w:val="CommentTextChar"/>
    <w:uiPriority w:val="99"/>
    <w:semiHidden/>
    <w:unhideWhenUsed/>
    <w:rsid w:val="003F4FE1"/>
    <w:pPr>
      <w:spacing w:line="240" w:lineRule="auto"/>
    </w:pPr>
    <w:rPr>
      <w:sz w:val="20"/>
      <w:szCs w:val="20"/>
    </w:rPr>
  </w:style>
  <w:style w:type="character" w:customStyle="1" w:styleId="CommentTextChar">
    <w:name w:val="Comment Text Char"/>
    <w:basedOn w:val="DefaultParagraphFont"/>
    <w:link w:val="CommentText"/>
    <w:uiPriority w:val="99"/>
    <w:semiHidden/>
    <w:rsid w:val="003F4FE1"/>
    <w:rPr>
      <w:sz w:val="20"/>
      <w:szCs w:val="20"/>
    </w:rPr>
  </w:style>
  <w:style w:type="paragraph" w:styleId="CommentSubject">
    <w:name w:val="annotation subject"/>
    <w:basedOn w:val="CommentText"/>
    <w:next w:val="CommentText"/>
    <w:link w:val="CommentSubjectChar"/>
    <w:uiPriority w:val="99"/>
    <w:semiHidden/>
    <w:unhideWhenUsed/>
    <w:rsid w:val="003F4FE1"/>
    <w:rPr>
      <w:b/>
      <w:bCs/>
    </w:rPr>
  </w:style>
  <w:style w:type="character" w:customStyle="1" w:styleId="CommentSubjectChar">
    <w:name w:val="Comment Subject Char"/>
    <w:basedOn w:val="CommentTextChar"/>
    <w:link w:val="CommentSubject"/>
    <w:uiPriority w:val="99"/>
    <w:semiHidden/>
    <w:rsid w:val="003F4FE1"/>
    <w:rPr>
      <w:b/>
      <w:bCs/>
      <w:sz w:val="20"/>
      <w:szCs w:val="20"/>
    </w:rPr>
  </w:style>
  <w:style w:type="paragraph" w:styleId="BalloonText">
    <w:name w:val="Balloon Text"/>
    <w:basedOn w:val="Normal"/>
    <w:link w:val="BalloonTextChar"/>
    <w:uiPriority w:val="99"/>
    <w:semiHidden/>
    <w:unhideWhenUsed/>
    <w:rsid w:val="003F4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FE1"/>
    <w:rPr>
      <w:rFonts w:ascii="Tahoma" w:hAnsi="Tahoma" w:cs="Tahoma"/>
      <w:sz w:val="16"/>
      <w:szCs w:val="16"/>
    </w:rPr>
  </w:style>
  <w:style w:type="character" w:styleId="Hyperlink">
    <w:name w:val="Hyperlink"/>
    <w:basedOn w:val="DefaultParagraphFont"/>
    <w:uiPriority w:val="99"/>
    <w:unhideWhenUsed/>
    <w:rsid w:val="004724E4"/>
    <w:rPr>
      <w:color w:val="0000FF" w:themeColor="hyperlink"/>
      <w:u w:val="single"/>
    </w:rPr>
  </w:style>
  <w:style w:type="paragraph" w:styleId="FootnoteText">
    <w:name w:val="footnote text"/>
    <w:basedOn w:val="Normal"/>
    <w:link w:val="FootnoteTextChar"/>
    <w:semiHidden/>
    <w:rsid w:val="005F35E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F35E5"/>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5F35E5"/>
    <w:rPr>
      <w:rFonts w:cs="Times New Roman"/>
      <w:vertAlign w:val="superscript"/>
    </w:rPr>
  </w:style>
  <w:style w:type="table" w:styleId="TableGrid">
    <w:name w:val="Table Grid"/>
    <w:basedOn w:val="TableNormal"/>
    <w:rsid w:val="00413513"/>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FE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D6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AB7"/>
  </w:style>
  <w:style w:type="paragraph" w:styleId="Footer">
    <w:name w:val="footer"/>
    <w:basedOn w:val="Normal"/>
    <w:link w:val="FooterChar"/>
    <w:uiPriority w:val="99"/>
    <w:unhideWhenUsed/>
    <w:rsid w:val="003D6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AB7"/>
  </w:style>
  <w:style w:type="character" w:styleId="FollowedHyperlink">
    <w:name w:val="FollowedHyperlink"/>
    <w:basedOn w:val="DefaultParagraphFont"/>
    <w:uiPriority w:val="99"/>
    <w:semiHidden/>
    <w:unhideWhenUsed/>
    <w:rsid w:val="000F54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38B"/>
    <w:pPr>
      <w:ind w:left="720"/>
      <w:contextualSpacing/>
    </w:pPr>
  </w:style>
  <w:style w:type="character" w:styleId="CommentReference">
    <w:name w:val="annotation reference"/>
    <w:basedOn w:val="DefaultParagraphFont"/>
    <w:uiPriority w:val="99"/>
    <w:semiHidden/>
    <w:unhideWhenUsed/>
    <w:rsid w:val="003F4FE1"/>
    <w:rPr>
      <w:sz w:val="16"/>
      <w:szCs w:val="16"/>
    </w:rPr>
  </w:style>
  <w:style w:type="paragraph" w:styleId="CommentText">
    <w:name w:val="annotation text"/>
    <w:basedOn w:val="Normal"/>
    <w:link w:val="CommentTextChar"/>
    <w:uiPriority w:val="99"/>
    <w:semiHidden/>
    <w:unhideWhenUsed/>
    <w:rsid w:val="003F4FE1"/>
    <w:pPr>
      <w:spacing w:line="240" w:lineRule="auto"/>
    </w:pPr>
    <w:rPr>
      <w:sz w:val="20"/>
      <w:szCs w:val="20"/>
    </w:rPr>
  </w:style>
  <w:style w:type="character" w:customStyle="1" w:styleId="CommentTextChar">
    <w:name w:val="Comment Text Char"/>
    <w:basedOn w:val="DefaultParagraphFont"/>
    <w:link w:val="CommentText"/>
    <w:uiPriority w:val="99"/>
    <w:semiHidden/>
    <w:rsid w:val="003F4FE1"/>
    <w:rPr>
      <w:sz w:val="20"/>
      <w:szCs w:val="20"/>
    </w:rPr>
  </w:style>
  <w:style w:type="paragraph" w:styleId="CommentSubject">
    <w:name w:val="annotation subject"/>
    <w:basedOn w:val="CommentText"/>
    <w:next w:val="CommentText"/>
    <w:link w:val="CommentSubjectChar"/>
    <w:uiPriority w:val="99"/>
    <w:semiHidden/>
    <w:unhideWhenUsed/>
    <w:rsid w:val="003F4FE1"/>
    <w:rPr>
      <w:b/>
      <w:bCs/>
    </w:rPr>
  </w:style>
  <w:style w:type="character" w:customStyle="1" w:styleId="CommentSubjectChar">
    <w:name w:val="Comment Subject Char"/>
    <w:basedOn w:val="CommentTextChar"/>
    <w:link w:val="CommentSubject"/>
    <w:uiPriority w:val="99"/>
    <w:semiHidden/>
    <w:rsid w:val="003F4FE1"/>
    <w:rPr>
      <w:b/>
      <w:bCs/>
      <w:sz w:val="20"/>
      <w:szCs w:val="20"/>
    </w:rPr>
  </w:style>
  <w:style w:type="paragraph" w:styleId="BalloonText">
    <w:name w:val="Balloon Text"/>
    <w:basedOn w:val="Normal"/>
    <w:link w:val="BalloonTextChar"/>
    <w:uiPriority w:val="99"/>
    <w:semiHidden/>
    <w:unhideWhenUsed/>
    <w:rsid w:val="003F4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FE1"/>
    <w:rPr>
      <w:rFonts w:ascii="Tahoma" w:hAnsi="Tahoma" w:cs="Tahoma"/>
      <w:sz w:val="16"/>
      <w:szCs w:val="16"/>
    </w:rPr>
  </w:style>
  <w:style w:type="character" w:styleId="Hyperlink">
    <w:name w:val="Hyperlink"/>
    <w:basedOn w:val="DefaultParagraphFont"/>
    <w:uiPriority w:val="99"/>
    <w:unhideWhenUsed/>
    <w:rsid w:val="004724E4"/>
    <w:rPr>
      <w:color w:val="0000FF" w:themeColor="hyperlink"/>
      <w:u w:val="single"/>
    </w:rPr>
  </w:style>
  <w:style w:type="paragraph" w:styleId="FootnoteText">
    <w:name w:val="footnote text"/>
    <w:basedOn w:val="Normal"/>
    <w:link w:val="FootnoteTextChar"/>
    <w:semiHidden/>
    <w:rsid w:val="005F35E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F35E5"/>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5F35E5"/>
    <w:rPr>
      <w:rFonts w:cs="Times New Roman"/>
      <w:vertAlign w:val="superscript"/>
    </w:rPr>
  </w:style>
  <w:style w:type="table" w:styleId="TableGrid">
    <w:name w:val="Table Grid"/>
    <w:basedOn w:val="TableNormal"/>
    <w:rsid w:val="00413513"/>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FE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D6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AB7"/>
  </w:style>
  <w:style w:type="paragraph" w:styleId="Footer">
    <w:name w:val="footer"/>
    <w:basedOn w:val="Normal"/>
    <w:link w:val="FooterChar"/>
    <w:uiPriority w:val="99"/>
    <w:unhideWhenUsed/>
    <w:rsid w:val="003D6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AB7"/>
  </w:style>
  <w:style w:type="character" w:styleId="FollowedHyperlink">
    <w:name w:val="FollowedHyperlink"/>
    <w:basedOn w:val="DefaultParagraphFont"/>
    <w:uiPriority w:val="99"/>
    <w:semiHidden/>
    <w:unhideWhenUsed/>
    <w:rsid w:val="000F54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15722">
      <w:bodyDiv w:val="1"/>
      <w:marLeft w:val="0"/>
      <w:marRight w:val="0"/>
      <w:marTop w:val="0"/>
      <w:marBottom w:val="0"/>
      <w:divBdr>
        <w:top w:val="none" w:sz="0" w:space="0" w:color="auto"/>
        <w:left w:val="none" w:sz="0" w:space="0" w:color="auto"/>
        <w:bottom w:val="none" w:sz="0" w:space="0" w:color="auto"/>
        <w:right w:val="none" w:sz="0" w:space="0" w:color="auto"/>
      </w:divBdr>
    </w:div>
    <w:div w:id="798691408">
      <w:bodyDiv w:val="1"/>
      <w:marLeft w:val="0"/>
      <w:marRight w:val="0"/>
      <w:marTop w:val="0"/>
      <w:marBottom w:val="0"/>
      <w:divBdr>
        <w:top w:val="none" w:sz="0" w:space="0" w:color="auto"/>
        <w:left w:val="none" w:sz="0" w:space="0" w:color="auto"/>
        <w:bottom w:val="none" w:sz="0" w:space="0" w:color="auto"/>
        <w:right w:val="none" w:sz="0" w:space="0" w:color="auto"/>
      </w:divBdr>
    </w:div>
    <w:div w:id="1554999575">
      <w:bodyDiv w:val="1"/>
      <w:marLeft w:val="0"/>
      <w:marRight w:val="0"/>
      <w:marTop w:val="0"/>
      <w:marBottom w:val="0"/>
      <w:divBdr>
        <w:top w:val="none" w:sz="0" w:space="0" w:color="auto"/>
        <w:left w:val="none" w:sz="0" w:space="0" w:color="auto"/>
        <w:bottom w:val="none" w:sz="0" w:space="0" w:color="auto"/>
        <w:right w:val="none" w:sz="0" w:space="0" w:color="auto"/>
      </w:divBdr>
    </w:div>
    <w:div w:id="1572931697">
      <w:bodyDiv w:val="1"/>
      <w:marLeft w:val="0"/>
      <w:marRight w:val="0"/>
      <w:marTop w:val="0"/>
      <w:marBottom w:val="0"/>
      <w:divBdr>
        <w:top w:val="none" w:sz="0" w:space="0" w:color="auto"/>
        <w:left w:val="none" w:sz="0" w:space="0" w:color="auto"/>
        <w:bottom w:val="none" w:sz="0" w:space="0" w:color="auto"/>
        <w:right w:val="none" w:sz="0" w:space="0" w:color="auto"/>
      </w:divBdr>
    </w:div>
    <w:div w:id="1672173338">
      <w:bodyDiv w:val="1"/>
      <w:marLeft w:val="0"/>
      <w:marRight w:val="0"/>
      <w:marTop w:val="0"/>
      <w:marBottom w:val="0"/>
      <w:divBdr>
        <w:top w:val="none" w:sz="0" w:space="0" w:color="auto"/>
        <w:left w:val="none" w:sz="0" w:space="0" w:color="auto"/>
        <w:bottom w:val="none" w:sz="0" w:space="0" w:color="auto"/>
        <w:right w:val="none" w:sz="0" w:space="0" w:color="auto"/>
      </w:divBdr>
    </w:div>
    <w:div w:id="1839230631">
      <w:bodyDiv w:val="1"/>
      <w:marLeft w:val="0"/>
      <w:marRight w:val="0"/>
      <w:marTop w:val="0"/>
      <w:marBottom w:val="0"/>
      <w:divBdr>
        <w:top w:val="none" w:sz="0" w:space="0" w:color="auto"/>
        <w:left w:val="none" w:sz="0" w:space="0" w:color="auto"/>
        <w:bottom w:val="none" w:sz="0" w:space="0" w:color="auto"/>
        <w:right w:val="none" w:sz="0" w:space="0" w:color="auto"/>
      </w:divBdr>
    </w:div>
    <w:div w:id="190552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ramsar.org/sites/default/files/documents/library/sgf_guidelines_2009_12_e.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layout/>
      <c:overlay val="0"/>
    </c:title>
    <c:autoTitleDeleted val="0"/>
    <c:plotArea>
      <c:layout/>
      <c:scatterChart>
        <c:scatterStyle val="lineMarker"/>
        <c:varyColors val="0"/>
        <c:ser>
          <c:idx val="0"/>
          <c:order val="0"/>
          <c:tx>
            <c:strRef>
              <c:f>'Table 1'!$B$33:$B$34</c:f>
              <c:strCache>
                <c:ptCount val="1"/>
                <c:pt idx="0">
                  <c:v>Final Total allocated  CHF</c:v>
                </c:pt>
              </c:strCache>
            </c:strRef>
          </c:tx>
          <c:dPt>
            <c:idx val="11"/>
            <c:bubble3D val="0"/>
            <c:spPr>
              <a:ln cap="sq"/>
            </c:spPr>
          </c:dPt>
          <c:xVal>
            <c:numRef>
              <c:f>'Table 1'!$A$35:$A$60</c:f>
              <c:numCache>
                <c:formatCode>General</c:formatCode>
                <c:ptCount val="26"/>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xVal>
          <c:yVal>
            <c:numRef>
              <c:f>'Table 1'!$B$35:$B$60</c:f>
              <c:numCache>
                <c:formatCode>#,##0</c:formatCode>
                <c:ptCount val="26"/>
                <c:pt idx="1">
                  <c:v>200025</c:v>
                </c:pt>
                <c:pt idx="2">
                  <c:v>280566</c:v>
                </c:pt>
                <c:pt idx="3">
                  <c:v>469880</c:v>
                </c:pt>
                <c:pt idx="4">
                  <c:v>371360</c:v>
                </c:pt>
                <c:pt idx="5">
                  <c:v>346530</c:v>
                </c:pt>
                <c:pt idx="6">
                  <c:v>403150</c:v>
                </c:pt>
                <c:pt idx="7">
                  <c:v>1064840</c:v>
                </c:pt>
                <c:pt idx="8">
                  <c:v>679470</c:v>
                </c:pt>
                <c:pt idx="9">
                  <c:v>602297</c:v>
                </c:pt>
                <c:pt idx="10">
                  <c:v>420166</c:v>
                </c:pt>
                <c:pt idx="11">
                  <c:v>332807</c:v>
                </c:pt>
                <c:pt idx="12">
                  <c:v>683503</c:v>
                </c:pt>
                <c:pt idx="13">
                  <c:v>341885</c:v>
                </c:pt>
                <c:pt idx="14">
                  <c:v>400235</c:v>
                </c:pt>
                <c:pt idx="15">
                  <c:v>200602</c:v>
                </c:pt>
                <c:pt idx="16">
                  <c:v>445060</c:v>
                </c:pt>
                <c:pt idx="17">
                  <c:v>211619</c:v>
                </c:pt>
                <c:pt idx="18">
                  <c:v>286207</c:v>
                </c:pt>
                <c:pt idx="19">
                  <c:v>256881</c:v>
                </c:pt>
                <c:pt idx="20">
                  <c:v>110232</c:v>
                </c:pt>
                <c:pt idx="21" formatCode="General">
                  <c:v>0</c:v>
                </c:pt>
                <c:pt idx="22">
                  <c:v>289510</c:v>
                </c:pt>
                <c:pt idx="23">
                  <c:v>10413</c:v>
                </c:pt>
                <c:pt idx="24" formatCode="General">
                  <c:v>0</c:v>
                </c:pt>
                <c:pt idx="25" formatCode="General">
                  <c:v>0</c:v>
                </c:pt>
              </c:numCache>
            </c:numRef>
          </c:yVal>
          <c:smooth val="0"/>
        </c:ser>
        <c:dLbls>
          <c:showLegendKey val="0"/>
          <c:showVal val="0"/>
          <c:showCatName val="0"/>
          <c:showSerName val="0"/>
          <c:showPercent val="0"/>
          <c:showBubbleSize val="0"/>
        </c:dLbls>
        <c:axId val="173662784"/>
        <c:axId val="173663936"/>
      </c:scatterChart>
      <c:valAx>
        <c:axId val="173662784"/>
        <c:scaling>
          <c:orientation val="minMax"/>
          <c:max val="2015"/>
          <c:min val="1990"/>
        </c:scaling>
        <c:delete val="0"/>
        <c:axPos val="b"/>
        <c:numFmt formatCode="General" sourceLinked="0"/>
        <c:majorTickMark val="out"/>
        <c:minorTickMark val="none"/>
        <c:tickLblPos val="nextTo"/>
        <c:crossAx val="173663936"/>
        <c:crossesAt val="0"/>
        <c:crossBetween val="midCat"/>
      </c:valAx>
      <c:valAx>
        <c:axId val="173663936"/>
        <c:scaling>
          <c:orientation val="minMax"/>
        </c:scaling>
        <c:delete val="0"/>
        <c:axPos val="l"/>
        <c:majorGridlines>
          <c:spPr>
            <a:effectLst>
              <a:outerShdw blurRad="50800" dist="38100" dir="5400000" algn="t" rotWithShape="0">
                <a:prstClr val="black">
                  <a:alpha val="40000"/>
                </a:prstClr>
              </a:outerShdw>
            </a:effectLst>
          </c:spPr>
        </c:majorGridlines>
        <c:numFmt formatCode="#,##0.00" sourceLinked="0"/>
        <c:majorTickMark val="out"/>
        <c:minorTickMark val="none"/>
        <c:tickLblPos val="nextTo"/>
        <c:crossAx val="173662784"/>
        <c:crosses val="autoZero"/>
        <c:crossBetween val="midCat"/>
      </c:valAx>
      <c:spPr>
        <a:solidFill>
          <a:schemeClr val="accent1">
            <a:alpha val="11000"/>
          </a:schemeClr>
        </a:solidFill>
        <a:ln>
          <a:solidFill>
            <a:schemeClr val="tx1">
              <a:alpha val="68000"/>
            </a:schemeClr>
          </a:solidFill>
        </a:ln>
        <a:effectLst>
          <a:outerShdw blurRad="50800" dist="38100" dir="2700000" algn="tl" rotWithShape="0">
            <a:prstClr val="black">
              <a:alpha val="40000"/>
            </a:prstClr>
          </a:outerShdw>
        </a:effectLst>
        <a:scene3d>
          <a:camera prst="orthographicFront"/>
          <a:lightRig rig="threePt" dir="t"/>
        </a:scene3d>
        <a:sp3d>
          <a:bevelT prst="relaxedInset"/>
        </a:sp3d>
      </c:spPr>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0.02894</cdr:x>
      <cdr:y>0.01461</cdr:y>
    </cdr:from>
    <cdr:to>
      <cdr:x>0.13658</cdr:x>
      <cdr:y>0.1098</cdr:y>
    </cdr:to>
    <cdr:sp macro="" textlink="">
      <cdr:nvSpPr>
        <cdr:cNvPr id="2" name="TextBox 1"/>
        <cdr:cNvSpPr txBox="1"/>
      </cdr:nvSpPr>
      <cdr:spPr>
        <a:xfrm xmlns:a="http://schemas.openxmlformats.org/drawingml/2006/main">
          <a:off x="165870" y="41821"/>
          <a:ext cx="616940" cy="2725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CHF</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0DF4-5964-4083-BEA5-0143E1CE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Ramsar\CadmusR</dc:creator>
  <cp:lastModifiedBy>Ramsar\JenningsE</cp:lastModifiedBy>
  <cp:revision>2</cp:revision>
  <cp:lastPrinted>2015-08-11T13:57:00Z</cp:lastPrinted>
  <dcterms:created xsi:type="dcterms:W3CDTF">2015-08-25T12:09:00Z</dcterms:created>
  <dcterms:modified xsi:type="dcterms:W3CDTF">2015-08-25T12:09:00Z</dcterms:modified>
</cp:coreProperties>
</file>