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C2A27" w14:textId="3A348ACA" w:rsidR="002660B1" w:rsidRPr="002D499A" w:rsidRDefault="00DB58A9" w:rsidP="002660B1">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fr-FR"/>
        </w:rPr>
      </w:pPr>
      <w:r w:rsidRPr="002D499A">
        <w:rPr>
          <w:rFonts w:asciiTheme="minorHAnsi" w:eastAsia="Batang" w:hAnsiTheme="minorHAnsi"/>
          <w:bCs/>
          <w:sz w:val="22"/>
          <w:szCs w:val="22"/>
          <w:lang w:val="fr-FR"/>
        </w:rPr>
        <w:t>CONVENTION SUR LES ZONES HUMIDES</w:t>
      </w:r>
      <w:r w:rsidRPr="002D499A">
        <w:rPr>
          <w:rFonts w:eastAsia="Batang"/>
          <w:bCs/>
          <w:lang w:val="fr-FR"/>
        </w:rPr>
        <w:t xml:space="preserve"> </w:t>
      </w:r>
      <w:r w:rsidR="002660B1" w:rsidRPr="002D499A">
        <w:rPr>
          <w:rFonts w:asciiTheme="minorHAnsi" w:hAnsiTheme="minorHAnsi" w:cstheme="minorHAnsi"/>
          <w:bCs/>
          <w:szCs w:val="20"/>
          <w:lang w:val="fr-FR"/>
        </w:rPr>
        <w:t>(Ramsar,</w:t>
      </w:r>
      <w:r w:rsidR="002A65F4" w:rsidRPr="002D499A">
        <w:rPr>
          <w:rFonts w:asciiTheme="minorHAnsi" w:hAnsiTheme="minorHAnsi" w:cstheme="minorHAnsi"/>
          <w:bCs/>
          <w:szCs w:val="20"/>
          <w:lang w:val="fr-FR"/>
        </w:rPr>
        <w:t xml:space="preserve"> </w:t>
      </w:r>
      <w:r w:rsidR="002660B1" w:rsidRPr="002D499A">
        <w:rPr>
          <w:rFonts w:asciiTheme="minorHAnsi" w:hAnsiTheme="minorHAnsi" w:cstheme="minorHAnsi"/>
          <w:bCs/>
          <w:szCs w:val="20"/>
          <w:lang w:val="fr-FR"/>
        </w:rPr>
        <w:t>Iran,</w:t>
      </w:r>
      <w:r w:rsidR="002A65F4" w:rsidRPr="002D499A">
        <w:rPr>
          <w:rFonts w:asciiTheme="minorHAnsi" w:hAnsiTheme="minorHAnsi" w:cstheme="minorHAnsi"/>
          <w:bCs/>
          <w:szCs w:val="20"/>
          <w:lang w:val="fr-FR"/>
        </w:rPr>
        <w:t xml:space="preserve"> </w:t>
      </w:r>
      <w:r w:rsidR="002660B1" w:rsidRPr="002D499A">
        <w:rPr>
          <w:rFonts w:asciiTheme="minorHAnsi" w:hAnsiTheme="minorHAnsi" w:cstheme="minorHAnsi"/>
          <w:bCs/>
          <w:szCs w:val="20"/>
          <w:lang w:val="fr-FR"/>
        </w:rPr>
        <w:t>1971)</w:t>
      </w:r>
    </w:p>
    <w:p w14:paraId="0B39F79B" w14:textId="0AB72B87" w:rsidR="002660B1" w:rsidRPr="002D499A" w:rsidRDefault="00DB58A9" w:rsidP="002660B1">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fr-FR"/>
        </w:rPr>
      </w:pPr>
      <w:r w:rsidRPr="002D499A">
        <w:rPr>
          <w:rFonts w:asciiTheme="minorHAnsi" w:hAnsiTheme="minorHAnsi" w:cstheme="minorHAnsi"/>
          <w:bCs/>
          <w:szCs w:val="20"/>
          <w:lang w:val="fr-FR"/>
        </w:rPr>
        <w:t>51</w:t>
      </w:r>
      <w:r w:rsidRPr="002D499A">
        <w:rPr>
          <w:rFonts w:asciiTheme="minorHAnsi" w:hAnsiTheme="minorHAnsi" w:cstheme="minorHAnsi"/>
          <w:bCs/>
          <w:szCs w:val="20"/>
          <w:vertAlign w:val="superscript"/>
          <w:lang w:val="fr-FR"/>
        </w:rPr>
        <w:t>e</w:t>
      </w:r>
      <w:r w:rsidRPr="002D499A">
        <w:rPr>
          <w:rFonts w:asciiTheme="minorHAnsi" w:hAnsiTheme="minorHAnsi" w:cstheme="minorHAnsi"/>
          <w:bCs/>
          <w:szCs w:val="20"/>
          <w:lang w:val="fr-FR"/>
        </w:rPr>
        <w:t xml:space="preserve"> Réunion du Comité permanent</w:t>
      </w:r>
    </w:p>
    <w:p w14:paraId="49DCBC31" w14:textId="7B048315" w:rsidR="002660B1" w:rsidRPr="002D499A" w:rsidRDefault="002660B1" w:rsidP="002660B1">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fr-FR"/>
        </w:rPr>
      </w:pPr>
      <w:r w:rsidRPr="002D499A">
        <w:rPr>
          <w:rFonts w:asciiTheme="minorHAnsi" w:hAnsiTheme="minorHAnsi" w:cstheme="minorHAnsi"/>
          <w:bCs/>
          <w:szCs w:val="20"/>
          <w:lang w:val="fr-FR"/>
        </w:rPr>
        <w:t>Gland,</w:t>
      </w:r>
      <w:r w:rsidR="002A65F4" w:rsidRPr="002D499A">
        <w:rPr>
          <w:rFonts w:asciiTheme="minorHAnsi" w:hAnsiTheme="minorHAnsi" w:cstheme="minorHAnsi"/>
          <w:bCs/>
          <w:szCs w:val="20"/>
          <w:lang w:val="fr-FR"/>
        </w:rPr>
        <w:t xml:space="preserve"> </w:t>
      </w:r>
      <w:r w:rsidR="00DB58A9" w:rsidRPr="002D499A">
        <w:rPr>
          <w:rFonts w:asciiTheme="minorHAnsi" w:hAnsiTheme="minorHAnsi" w:cstheme="minorHAnsi"/>
          <w:bCs/>
          <w:szCs w:val="20"/>
          <w:lang w:val="fr-FR"/>
        </w:rPr>
        <w:t>Suisse</w:t>
      </w:r>
      <w:r w:rsidRPr="002D499A">
        <w:rPr>
          <w:rFonts w:asciiTheme="minorHAnsi" w:hAnsiTheme="minorHAnsi" w:cstheme="minorHAnsi"/>
          <w:bCs/>
          <w:szCs w:val="20"/>
          <w:lang w:val="fr-FR"/>
        </w:rPr>
        <w:t>,</w:t>
      </w:r>
      <w:r w:rsidR="002A65F4" w:rsidRPr="002D499A">
        <w:rPr>
          <w:rFonts w:asciiTheme="minorHAnsi" w:hAnsiTheme="minorHAnsi" w:cstheme="minorHAnsi"/>
          <w:bCs/>
          <w:szCs w:val="20"/>
          <w:lang w:val="fr-FR"/>
        </w:rPr>
        <w:t xml:space="preserve"> </w:t>
      </w:r>
      <w:r w:rsidR="00AD39A4" w:rsidRPr="002D499A">
        <w:rPr>
          <w:rFonts w:asciiTheme="minorHAnsi" w:hAnsiTheme="minorHAnsi" w:cstheme="minorHAnsi"/>
          <w:bCs/>
          <w:szCs w:val="20"/>
          <w:lang w:val="fr-FR"/>
        </w:rPr>
        <w:t>2</w:t>
      </w:r>
      <w:r w:rsidR="004F5DCD" w:rsidRPr="002D499A">
        <w:rPr>
          <w:rFonts w:asciiTheme="minorHAnsi" w:hAnsiTheme="minorHAnsi" w:cstheme="minorHAnsi"/>
          <w:bCs/>
          <w:szCs w:val="20"/>
          <w:lang w:val="fr-FR"/>
        </w:rPr>
        <w:t>3</w:t>
      </w:r>
      <w:r w:rsidR="00DB58A9" w:rsidRPr="002D499A">
        <w:rPr>
          <w:rFonts w:asciiTheme="minorHAnsi" w:hAnsiTheme="minorHAnsi" w:cstheme="minorHAnsi"/>
          <w:bCs/>
          <w:szCs w:val="20"/>
          <w:lang w:val="fr-FR"/>
        </w:rPr>
        <w:t xml:space="preserve"> au </w:t>
      </w:r>
      <w:r w:rsidR="004F5DCD" w:rsidRPr="002D499A">
        <w:rPr>
          <w:rFonts w:asciiTheme="minorHAnsi" w:hAnsiTheme="minorHAnsi" w:cstheme="minorHAnsi"/>
          <w:bCs/>
          <w:szCs w:val="20"/>
          <w:lang w:val="fr-FR"/>
        </w:rPr>
        <w:t>27</w:t>
      </w:r>
      <w:r w:rsidR="002A65F4" w:rsidRPr="002D499A">
        <w:rPr>
          <w:rFonts w:asciiTheme="minorHAnsi" w:hAnsiTheme="minorHAnsi" w:cstheme="minorHAnsi"/>
          <w:bCs/>
          <w:szCs w:val="20"/>
          <w:lang w:val="fr-FR"/>
        </w:rPr>
        <w:t xml:space="preserve"> </w:t>
      </w:r>
      <w:r w:rsidR="00DB58A9" w:rsidRPr="002D499A">
        <w:rPr>
          <w:rFonts w:asciiTheme="minorHAnsi" w:hAnsiTheme="minorHAnsi" w:cstheme="minorHAnsi"/>
          <w:bCs/>
          <w:szCs w:val="20"/>
          <w:lang w:val="fr-FR"/>
        </w:rPr>
        <w:t>n</w:t>
      </w:r>
      <w:r w:rsidR="004F5DCD" w:rsidRPr="002D499A">
        <w:rPr>
          <w:rFonts w:asciiTheme="minorHAnsi" w:hAnsiTheme="minorHAnsi" w:cstheme="minorHAnsi"/>
          <w:bCs/>
          <w:szCs w:val="20"/>
          <w:lang w:val="fr-FR"/>
        </w:rPr>
        <w:t>ovemb</w:t>
      </w:r>
      <w:r w:rsidR="00DB58A9" w:rsidRPr="002D499A">
        <w:rPr>
          <w:rFonts w:asciiTheme="minorHAnsi" w:hAnsiTheme="minorHAnsi" w:cstheme="minorHAnsi"/>
          <w:bCs/>
          <w:szCs w:val="20"/>
          <w:lang w:val="fr-FR"/>
        </w:rPr>
        <w:t>re</w:t>
      </w:r>
      <w:r w:rsidR="002A65F4" w:rsidRPr="002D499A">
        <w:rPr>
          <w:rFonts w:asciiTheme="minorHAnsi" w:hAnsiTheme="minorHAnsi" w:cstheme="minorHAnsi"/>
          <w:bCs/>
          <w:szCs w:val="20"/>
          <w:lang w:val="fr-FR"/>
        </w:rPr>
        <w:t xml:space="preserve"> </w:t>
      </w:r>
      <w:r w:rsidRPr="002D499A">
        <w:rPr>
          <w:rFonts w:asciiTheme="minorHAnsi" w:hAnsiTheme="minorHAnsi" w:cstheme="minorHAnsi"/>
          <w:bCs/>
          <w:szCs w:val="20"/>
          <w:lang w:val="fr-FR"/>
        </w:rPr>
        <w:t>2015</w:t>
      </w:r>
    </w:p>
    <w:p w14:paraId="342C7732" w14:textId="77777777" w:rsidR="00434554" w:rsidRPr="002D499A" w:rsidRDefault="00434554">
      <w:pPr>
        <w:rPr>
          <w:rFonts w:asciiTheme="minorHAnsi" w:hAnsiTheme="minorHAnsi"/>
          <w:sz w:val="28"/>
          <w:lang w:val="fr-FR"/>
        </w:rPr>
      </w:pPr>
    </w:p>
    <w:p w14:paraId="28E59960" w14:textId="77777777" w:rsidR="002660B1" w:rsidRPr="002D499A" w:rsidRDefault="002660B1" w:rsidP="002660B1">
      <w:pPr>
        <w:jc w:val="right"/>
        <w:rPr>
          <w:rFonts w:asciiTheme="minorHAnsi" w:hAnsiTheme="minorHAnsi" w:cstheme="minorHAnsi"/>
          <w:b/>
          <w:sz w:val="28"/>
          <w:szCs w:val="28"/>
          <w:lang w:val="fr-FR"/>
        </w:rPr>
      </w:pPr>
      <w:r w:rsidRPr="002D499A">
        <w:rPr>
          <w:rFonts w:asciiTheme="minorHAnsi" w:hAnsiTheme="minorHAnsi" w:cstheme="minorHAnsi"/>
          <w:b/>
          <w:sz w:val="28"/>
          <w:szCs w:val="28"/>
          <w:lang w:val="fr-FR"/>
        </w:rPr>
        <w:t>SC</w:t>
      </w:r>
      <w:r w:rsidR="004F5DCD" w:rsidRPr="002D499A">
        <w:rPr>
          <w:rFonts w:asciiTheme="minorHAnsi" w:hAnsiTheme="minorHAnsi" w:cstheme="minorHAnsi"/>
          <w:b/>
          <w:sz w:val="28"/>
          <w:szCs w:val="28"/>
          <w:lang w:val="fr-FR"/>
        </w:rPr>
        <w:t>51</w:t>
      </w:r>
      <w:r w:rsidRPr="002D499A">
        <w:rPr>
          <w:rFonts w:asciiTheme="minorHAnsi" w:hAnsiTheme="minorHAnsi" w:cstheme="minorHAnsi"/>
          <w:b/>
          <w:sz w:val="28"/>
          <w:szCs w:val="28"/>
          <w:lang w:val="fr-FR"/>
        </w:rPr>
        <w:t>-</w:t>
      </w:r>
      <w:r w:rsidR="00BA510D" w:rsidRPr="002D499A">
        <w:rPr>
          <w:rFonts w:asciiTheme="minorHAnsi" w:hAnsiTheme="minorHAnsi" w:cstheme="minorHAnsi"/>
          <w:b/>
          <w:sz w:val="28"/>
          <w:szCs w:val="28"/>
          <w:lang w:val="fr-FR"/>
        </w:rPr>
        <w:t>10</w:t>
      </w:r>
    </w:p>
    <w:p w14:paraId="0B39B40C" w14:textId="77777777" w:rsidR="001233DE" w:rsidRPr="002D499A" w:rsidRDefault="001233DE" w:rsidP="001233DE">
      <w:pPr>
        <w:jc w:val="center"/>
        <w:rPr>
          <w:rFonts w:asciiTheme="minorHAnsi" w:hAnsiTheme="minorHAnsi"/>
          <w:b/>
          <w:sz w:val="28"/>
          <w:szCs w:val="28"/>
          <w:lang w:val="fr-FR"/>
        </w:rPr>
      </w:pPr>
    </w:p>
    <w:p w14:paraId="3FBCDE5E" w14:textId="07506F57" w:rsidR="00D94C75" w:rsidRPr="002D499A" w:rsidRDefault="00BA308D" w:rsidP="00D94C75">
      <w:pPr>
        <w:autoSpaceDE w:val="0"/>
        <w:autoSpaceDN w:val="0"/>
        <w:adjustRightInd w:val="0"/>
        <w:jc w:val="center"/>
        <w:rPr>
          <w:rFonts w:asciiTheme="minorHAnsi" w:eastAsiaTheme="minorHAnsi" w:hAnsiTheme="minorHAnsi"/>
          <w:b/>
          <w:sz w:val="28"/>
          <w:lang w:val="fr-FR"/>
        </w:rPr>
      </w:pPr>
      <w:r w:rsidRPr="002D499A">
        <w:rPr>
          <w:rFonts w:asciiTheme="minorHAnsi" w:hAnsiTheme="minorHAnsi"/>
          <w:b/>
          <w:sz w:val="28"/>
          <w:lang w:val="fr-FR"/>
        </w:rPr>
        <w:t>Progr</w:t>
      </w:r>
      <w:r w:rsidR="00DB58A9" w:rsidRPr="002D499A">
        <w:rPr>
          <w:rFonts w:asciiTheme="minorHAnsi" w:hAnsiTheme="minorHAnsi"/>
          <w:b/>
          <w:sz w:val="28"/>
          <w:lang w:val="fr-FR"/>
        </w:rPr>
        <w:t>ès d’application de la</w:t>
      </w:r>
      <w:r w:rsidR="002A65F4" w:rsidRPr="002D499A">
        <w:rPr>
          <w:rFonts w:asciiTheme="minorHAnsi" w:hAnsiTheme="minorHAnsi"/>
          <w:b/>
          <w:sz w:val="28"/>
          <w:lang w:val="fr-FR"/>
        </w:rPr>
        <w:t xml:space="preserve"> </w:t>
      </w:r>
      <w:r w:rsidRPr="002D499A">
        <w:rPr>
          <w:rFonts w:asciiTheme="minorHAnsi" w:hAnsiTheme="minorHAnsi"/>
          <w:b/>
          <w:sz w:val="28"/>
          <w:lang w:val="fr-FR"/>
        </w:rPr>
        <w:t>R</w:t>
      </w:r>
      <w:r w:rsidR="00DB58A9" w:rsidRPr="002D499A">
        <w:rPr>
          <w:rFonts w:asciiTheme="minorHAnsi" w:hAnsiTheme="minorHAnsi"/>
          <w:b/>
          <w:sz w:val="28"/>
          <w:lang w:val="fr-FR"/>
        </w:rPr>
        <w:t>é</w:t>
      </w:r>
      <w:r w:rsidRPr="002D499A">
        <w:rPr>
          <w:rFonts w:asciiTheme="minorHAnsi" w:hAnsiTheme="minorHAnsi"/>
          <w:b/>
          <w:sz w:val="28"/>
          <w:lang w:val="fr-FR"/>
        </w:rPr>
        <w:t>solution</w:t>
      </w:r>
      <w:r w:rsidR="002A65F4" w:rsidRPr="002D499A">
        <w:rPr>
          <w:rFonts w:asciiTheme="minorHAnsi" w:hAnsiTheme="minorHAnsi"/>
          <w:b/>
          <w:sz w:val="28"/>
          <w:lang w:val="fr-FR"/>
        </w:rPr>
        <w:t xml:space="preserve"> </w:t>
      </w:r>
      <w:r w:rsidRPr="002D499A">
        <w:rPr>
          <w:rFonts w:asciiTheme="minorHAnsi" w:hAnsiTheme="minorHAnsi"/>
          <w:b/>
          <w:sz w:val="28"/>
          <w:lang w:val="fr-FR"/>
        </w:rPr>
        <w:t>XI.6</w:t>
      </w:r>
      <w:r w:rsidR="001B7AD6" w:rsidRPr="002D499A">
        <w:rPr>
          <w:rFonts w:asciiTheme="minorHAnsi" w:hAnsiTheme="minorHAnsi"/>
          <w:b/>
          <w:sz w:val="28"/>
          <w:lang w:val="fr-FR"/>
        </w:rPr>
        <w:t>,</w:t>
      </w:r>
      <w:r w:rsidR="002A65F4" w:rsidRPr="002D499A">
        <w:rPr>
          <w:rFonts w:asciiTheme="minorHAnsi" w:hAnsiTheme="minorHAnsi"/>
          <w:b/>
          <w:sz w:val="28"/>
          <w:lang w:val="fr-FR"/>
        </w:rPr>
        <w:t xml:space="preserve"> </w:t>
      </w:r>
      <w:r w:rsidR="001B7AD6" w:rsidRPr="002D499A">
        <w:rPr>
          <w:rFonts w:asciiTheme="minorHAnsi" w:hAnsiTheme="minorHAnsi"/>
          <w:b/>
          <w:i/>
          <w:sz w:val="28"/>
          <w:lang w:val="fr-FR"/>
        </w:rPr>
        <w:t xml:space="preserve">Partenariats et synergies avec les Accords multilatéraux sur l'environnement et autres institutions </w:t>
      </w:r>
      <w:r w:rsidR="00DB58A9" w:rsidRPr="002D499A">
        <w:rPr>
          <w:rFonts w:asciiTheme="minorHAnsi" w:hAnsiTheme="minorHAnsi"/>
          <w:b/>
          <w:sz w:val="28"/>
          <w:lang w:val="fr-FR"/>
        </w:rPr>
        <w:t>et</w:t>
      </w:r>
      <w:r w:rsidR="002A65F4" w:rsidRPr="002D499A">
        <w:rPr>
          <w:rFonts w:asciiTheme="minorHAnsi" w:hAnsiTheme="minorHAnsi"/>
          <w:b/>
          <w:sz w:val="28"/>
          <w:lang w:val="fr-FR"/>
        </w:rPr>
        <w:t xml:space="preserve"> </w:t>
      </w:r>
      <w:r w:rsidRPr="002D499A">
        <w:rPr>
          <w:rFonts w:asciiTheme="minorHAnsi" w:eastAsia="Garamond" w:hAnsiTheme="minorHAnsi"/>
          <w:b/>
          <w:sz w:val="28"/>
          <w:lang w:val="fr-FR"/>
        </w:rPr>
        <w:t>plan</w:t>
      </w:r>
      <w:r w:rsidR="002A65F4" w:rsidRPr="002D499A">
        <w:rPr>
          <w:rFonts w:asciiTheme="minorHAnsi" w:eastAsia="Garamond" w:hAnsiTheme="minorHAnsi"/>
          <w:b/>
          <w:sz w:val="28"/>
          <w:lang w:val="fr-FR"/>
        </w:rPr>
        <w:t xml:space="preserve"> </w:t>
      </w:r>
      <w:r w:rsidR="00DB58A9" w:rsidRPr="002D499A">
        <w:rPr>
          <w:rFonts w:asciiTheme="minorHAnsi" w:eastAsia="Garamond" w:hAnsiTheme="minorHAnsi"/>
          <w:b/>
          <w:sz w:val="28"/>
          <w:lang w:val="fr-FR"/>
        </w:rPr>
        <w:t>visant à renforcer la</w:t>
      </w:r>
      <w:r w:rsidR="002A65F4" w:rsidRPr="002D499A">
        <w:rPr>
          <w:rFonts w:asciiTheme="minorHAnsi" w:eastAsia="Garamond" w:hAnsiTheme="minorHAnsi"/>
          <w:b/>
          <w:sz w:val="28"/>
          <w:lang w:val="fr-FR"/>
        </w:rPr>
        <w:t xml:space="preserve"> </w:t>
      </w:r>
      <w:r w:rsidR="00DB58A9" w:rsidRPr="002D499A">
        <w:rPr>
          <w:rFonts w:asciiTheme="minorHAnsi" w:eastAsia="Garamond" w:hAnsiTheme="minorHAnsi"/>
          <w:b/>
          <w:sz w:val="28"/>
          <w:lang w:val="fr-FR"/>
        </w:rPr>
        <w:t>coopération</w:t>
      </w:r>
      <w:r w:rsidR="002A65F4" w:rsidRPr="002D499A">
        <w:rPr>
          <w:rFonts w:asciiTheme="minorHAnsi" w:eastAsia="Garamond" w:hAnsiTheme="minorHAnsi"/>
          <w:b/>
          <w:sz w:val="28"/>
          <w:lang w:val="fr-FR"/>
        </w:rPr>
        <w:t xml:space="preserve"> </w:t>
      </w:r>
      <w:r w:rsidR="00DB58A9" w:rsidRPr="002D499A">
        <w:rPr>
          <w:rFonts w:asciiTheme="minorHAnsi" w:eastAsia="Garamond" w:hAnsiTheme="minorHAnsi"/>
          <w:b/>
          <w:sz w:val="28"/>
          <w:lang w:val="fr-FR"/>
        </w:rPr>
        <w:t xml:space="preserve">avec </w:t>
      </w:r>
      <w:r w:rsidR="004748C3" w:rsidRPr="002D499A">
        <w:rPr>
          <w:rFonts w:asciiTheme="minorHAnsi" w:eastAsia="Garamond" w:hAnsiTheme="minorHAnsi"/>
          <w:b/>
          <w:sz w:val="28"/>
          <w:lang w:val="fr-FR"/>
        </w:rPr>
        <w:t>d’</w:t>
      </w:r>
      <w:r w:rsidR="00DB58A9" w:rsidRPr="002D499A">
        <w:rPr>
          <w:rFonts w:asciiTheme="minorHAnsi" w:eastAsia="Garamond" w:hAnsiTheme="minorHAnsi"/>
          <w:b/>
          <w:sz w:val="28"/>
          <w:lang w:val="fr-FR"/>
        </w:rPr>
        <w:t>autres AME</w:t>
      </w:r>
    </w:p>
    <w:p w14:paraId="4BAB83DB" w14:textId="77777777" w:rsidR="00BA510D" w:rsidRPr="002D499A" w:rsidRDefault="00BA510D" w:rsidP="005522A4">
      <w:pPr>
        <w:jc w:val="center"/>
        <w:rPr>
          <w:rFonts w:asciiTheme="minorHAnsi" w:hAnsiTheme="minorHAnsi"/>
          <w:b/>
          <w:sz w:val="28"/>
          <w:lang w:val="fr-FR"/>
        </w:rPr>
      </w:pPr>
    </w:p>
    <w:p w14:paraId="0DEE3BE2" w14:textId="77777777" w:rsidR="00E7270C" w:rsidRPr="002D499A" w:rsidRDefault="00C74B34" w:rsidP="00D94C75">
      <w:pPr>
        <w:autoSpaceDE w:val="0"/>
        <w:autoSpaceDN w:val="0"/>
        <w:adjustRightInd w:val="0"/>
        <w:jc w:val="center"/>
        <w:rPr>
          <w:rFonts w:asciiTheme="minorHAnsi" w:eastAsiaTheme="minorHAnsi" w:hAnsiTheme="minorHAnsi" w:cs="Garamond"/>
          <w:sz w:val="22"/>
          <w:szCs w:val="22"/>
          <w:lang w:val="fr-FR" w:eastAsia="en-US"/>
        </w:rPr>
      </w:pPr>
      <w:r w:rsidRPr="002D499A">
        <w:rPr>
          <w:noProof/>
          <w:szCs w:val="20"/>
        </w:rPr>
        <mc:AlternateContent>
          <mc:Choice Requires="wps">
            <w:drawing>
              <wp:inline distT="0" distB="0" distL="0" distR="0" wp14:anchorId="29C500F1" wp14:editId="0CFABB93">
                <wp:extent cx="5810250" cy="952500"/>
                <wp:effectExtent l="0" t="0" r="19050" b="19050"/>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952500"/>
                        </a:xfrm>
                        <a:prstGeom prst="rect">
                          <a:avLst/>
                        </a:prstGeom>
                        <a:solidFill>
                          <a:srgbClr val="FFFFFF"/>
                        </a:solidFill>
                        <a:ln w="9525">
                          <a:solidFill>
                            <a:srgbClr val="000000"/>
                          </a:solidFill>
                          <a:miter lim="800000"/>
                          <a:headEnd/>
                          <a:tailEnd/>
                        </a:ln>
                      </wps:spPr>
                      <wps:txbx>
                        <w:txbxContent>
                          <w:p w14:paraId="330E2ABD" w14:textId="083CB636" w:rsidR="002A65F4" w:rsidRPr="00DB58A9" w:rsidRDefault="002A65F4" w:rsidP="00E7270C">
                            <w:pPr>
                              <w:rPr>
                                <w:rFonts w:ascii="Calibri" w:hAnsi="Calibri"/>
                                <w:b/>
                                <w:bCs/>
                                <w:sz w:val="22"/>
                                <w:szCs w:val="22"/>
                                <w:lang w:val="fr-FR"/>
                              </w:rPr>
                            </w:pPr>
                            <w:r w:rsidRPr="00DB58A9">
                              <w:rPr>
                                <w:rFonts w:ascii="Calibri" w:hAnsi="Calibri"/>
                                <w:b/>
                                <w:bCs/>
                                <w:sz w:val="22"/>
                                <w:szCs w:val="22"/>
                                <w:lang w:val="fr-FR"/>
                              </w:rPr>
                              <w:t xml:space="preserve">Actions </w:t>
                            </w:r>
                            <w:r w:rsidR="00DB58A9" w:rsidRPr="00DB58A9">
                              <w:rPr>
                                <w:rFonts w:ascii="Calibri" w:hAnsi="Calibri"/>
                                <w:b/>
                                <w:bCs/>
                                <w:sz w:val="22"/>
                                <w:szCs w:val="22"/>
                                <w:lang w:val="fr-FR"/>
                              </w:rPr>
                              <w:t>requises</w:t>
                            </w:r>
                            <w:r w:rsidRPr="00DB58A9">
                              <w:rPr>
                                <w:rFonts w:ascii="Calibri" w:hAnsi="Calibri"/>
                                <w:b/>
                                <w:bCs/>
                                <w:sz w:val="22"/>
                                <w:szCs w:val="22"/>
                                <w:lang w:val="fr-FR"/>
                              </w:rPr>
                              <w:t xml:space="preserve">: </w:t>
                            </w:r>
                          </w:p>
                          <w:p w14:paraId="418A69DB" w14:textId="0D62E3DE" w:rsidR="002A65F4" w:rsidRPr="00DB58A9" w:rsidRDefault="00DB58A9" w:rsidP="00BA308D">
                            <w:pPr>
                              <w:rPr>
                                <w:rFonts w:asciiTheme="minorHAnsi" w:hAnsiTheme="minorHAnsi"/>
                                <w:sz w:val="22"/>
                                <w:szCs w:val="22"/>
                                <w:lang w:val="fr-FR"/>
                              </w:rPr>
                            </w:pPr>
                            <w:r w:rsidRPr="00DB58A9">
                              <w:rPr>
                                <w:rFonts w:asciiTheme="minorHAnsi" w:hAnsiTheme="minorHAnsi"/>
                                <w:sz w:val="22"/>
                                <w:szCs w:val="22"/>
                                <w:lang w:val="fr-FR"/>
                              </w:rPr>
                              <w:t>Le Comité permanent est invit</w:t>
                            </w:r>
                            <w:r w:rsidR="0040531D">
                              <w:rPr>
                                <w:rFonts w:asciiTheme="minorHAnsi" w:hAnsiTheme="minorHAnsi"/>
                                <w:sz w:val="22"/>
                                <w:szCs w:val="22"/>
                                <w:lang w:val="fr-FR"/>
                              </w:rPr>
                              <w:t>é</w:t>
                            </w:r>
                            <w:r w:rsidRPr="00DB58A9">
                              <w:rPr>
                                <w:rFonts w:asciiTheme="minorHAnsi" w:hAnsiTheme="minorHAnsi"/>
                                <w:sz w:val="22"/>
                                <w:szCs w:val="22"/>
                                <w:lang w:val="fr-FR"/>
                              </w:rPr>
                              <w:t xml:space="preserve"> à prendre note</w:t>
                            </w:r>
                            <w:r w:rsidR="002A65F4" w:rsidRPr="00DB58A9">
                              <w:rPr>
                                <w:rFonts w:asciiTheme="minorHAnsi" w:hAnsiTheme="minorHAnsi"/>
                                <w:sz w:val="22"/>
                                <w:szCs w:val="22"/>
                                <w:lang w:val="fr-FR"/>
                              </w:rPr>
                              <w:t xml:space="preserve"> </w:t>
                            </w:r>
                            <w:r w:rsidRPr="00DB58A9">
                              <w:rPr>
                                <w:rFonts w:asciiTheme="minorHAnsi" w:hAnsiTheme="minorHAnsi"/>
                                <w:sz w:val="22"/>
                                <w:szCs w:val="22"/>
                                <w:lang w:val="fr-FR"/>
                              </w:rPr>
                              <w:t>des progrès</w:t>
                            </w:r>
                            <w:r w:rsidR="002A65F4" w:rsidRPr="00DB58A9">
                              <w:rPr>
                                <w:rFonts w:asciiTheme="minorHAnsi" w:hAnsiTheme="minorHAnsi"/>
                                <w:sz w:val="22"/>
                                <w:szCs w:val="22"/>
                                <w:lang w:val="fr-FR"/>
                              </w:rPr>
                              <w:t xml:space="preserve"> </w:t>
                            </w:r>
                            <w:r w:rsidRPr="00DB58A9">
                              <w:rPr>
                                <w:rFonts w:asciiTheme="minorHAnsi" w:hAnsiTheme="minorHAnsi"/>
                                <w:sz w:val="22"/>
                                <w:szCs w:val="22"/>
                                <w:lang w:val="fr-FR"/>
                              </w:rPr>
                              <w:t xml:space="preserve">d’application de la </w:t>
                            </w:r>
                            <w:r w:rsidRPr="00DB58A9">
                              <w:rPr>
                                <w:rFonts w:asciiTheme="minorHAnsi" w:hAnsiTheme="minorHAnsi"/>
                                <w:b/>
                                <w:sz w:val="22"/>
                                <w:szCs w:val="22"/>
                                <w:lang w:val="fr-FR"/>
                              </w:rPr>
                              <w:t>Résolution</w:t>
                            </w:r>
                            <w:r w:rsidRPr="00DB58A9">
                              <w:rPr>
                                <w:rFonts w:asciiTheme="minorHAnsi" w:hAnsiTheme="minorHAnsi"/>
                                <w:sz w:val="22"/>
                                <w:szCs w:val="22"/>
                                <w:lang w:val="fr-FR"/>
                              </w:rPr>
                              <w:t xml:space="preserve"> </w:t>
                            </w:r>
                            <w:r w:rsidR="002A65F4" w:rsidRPr="00DB58A9">
                              <w:rPr>
                                <w:rFonts w:asciiTheme="minorHAnsi" w:hAnsiTheme="minorHAnsi" w:cstheme="minorHAnsi"/>
                                <w:b/>
                                <w:bCs/>
                                <w:lang w:val="fr-FR"/>
                              </w:rPr>
                              <w:t>XI.6</w:t>
                            </w:r>
                            <w:r w:rsidR="001B7AD6" w:rsidRPr="00DB58A9">
                              <w:rPr>
                                <w:rFonts w:asciiTheme="minorHAnsi" w:hAnsiTheme="minorHAnsi" w:cstheme="minorHAnsi"/>
                                <w:b/>
                                <w:bCs/>
                                <w:lang w:val="fr-FR"/>
                              </w:rPr>
                              <w:t>,</w:t>
                            </w:r>
                            <w:r w:rsidR="002A65F4" w:rsidRPr="00DB58A9">
                              <w:rPr>
                                <w:rFonts w:asciiTheme="minorHAnsi" w:hAnsiTheme="minorHAnsi" w:cstheme="minorHAnsi"/>
                                <w:b/>
                                <w:bCs/>
                                <w:lang w:val="fr-FR"/>
                              </w:rPr>
                              <w:t xml:space="preserve"> </w:t>
                            </w:r>
                            <w:r w:rsidR="001B7AD6" w:rsidRPr="00DB58A9">
                              <w:rPr>
                                <w:rFonts w:asciiTheme="minorHAnsi" w:hAnsiTheme="minorHAnsi" w:cstheme="minorHAnsi"/>
                                <w:b/>
                                <w:bCs/>
                                <w:i/>
                                <w:sz w:val="22"/>
                                <w:szCs w:val="22"/>
                                <w:lang w:val="fr-FR"/>
                              </w:rPr>
                              <w:t>Partenariats et synergies avec les Accords multilatéraux sur l'environnement et autres institutions</w:t>
                            </w:r>
                            <w:r w:rsidR="001B7AD6" w:rsidRPr="00DB58A9" w:rsidDel="001B7AD6">
                              <w:rPr>
                                <w:rFonts w:asciiTheme="minorHAnsi" w:hAnsiTheme="minorHAnsi" w:cstheme="minorHAnsi"/>
                                <w:b/>
                                <w:bCs/>
                                <w:i/>
                                <w:sz w:val="22"/>
                                <w:szCs w:val="22"/>
                                <w:lang w:val="fr-FR"/>
                              </w:rPr>
                              <w:t xml:space="preserve"> </w:t>
                            </w:r>
                            <w:r w:rsidRPr="00DB58A9">
                              <w:rPr>
                                <w:rFonts w:asciiTheme="minorHAnsi" w:hAnsiTheme="minorHAnsi"/>
                                <w:sz w:val="22"/>
                                <w:szCs w:val="22"/>
                                <w:lang w:val="fr-FR"/>
                              </w:rPr>
                              <w:t>et</w:t>
                            </w:r>
                            <w:r w:rsidR="002A65F4" w:rsidRPr="00DB58A9">
                              <w:rPr>
                                <w:rFonts w:asciiTheme="minorHAnsi" w:hAnsiTheme="minorHAnsi"/>
                                <w:sz w:val="22"/>
                                <w:szCs w:val="22"/>
                                <w:lang w:val="fr-FR"/>
                              </w:rPr>
                              <w:t xml:space="preserve"> </w:t>
                            </w:r>
                            <w:r w:rsidRPr="00DB58A9">
                              <w:rPr>
                                <w:rFonts w:asciiTheme="minorHAnsi" w:hAnsiTheme="minorHAnsi"/>
                                <w:sz w:val="22"/>
                                <w:szCs w:val="22"/>
                                <w:lang w:val="fr-FR"/>
                              </w:rPr>
                              <w:t>du</w:t>
                            </w:r>
                            <w:r w:rsidR="002A65F4" w:rsidRPr="00DB58A9">
                              <w:rPr>
                                <w:rFonts w:asciiTheme="minorHAnsi" w:hAnsiTheme="minorHAnsi"/>
                                <w:sz w:val="22"/>
                                <w:szCs w:val="22"/>
                                <w:lang w:val="fr-FR"/>
                              </w:rPr>
                              <w:t xml:space="preserve"> plan </w:t>
                            </w:r>
                            <w:r w:rsidRPr="00DB58A9">
                              <w:rPr>
                                <w:rFonts w:asciiTheme="minorHAnsi" w:hAnsiTheme="minorHAnsi"/>
                                <w:sz w:val="22"/>
                                <w:szCs w:val="22"/>
                                <w:lang w:val="fr-FR"/>
                              </w:rPr>
                              <w:t xml:space="preserve">visant à renforcer la coopération avec </w:t>
                            </w:r>
                            <w:r w:rsidR="004748C3">
                              <w:rPr>
                                <w:rFonts w:asciiTheme="minorHAnsi" w:hAnsiTheme="minorHAnsi"/>
                                <w:sz w:val="22"/>
                                <w:szCs w:val="22"/>
                                <w:lang w:val="fr-FR"/>
                              </w:rPr>
                              <w:t>d’</w:t>
                            </w:r>
                            <w:r w:rsidRPr="00DB58A9">
                              <w:rPr>
                                <w:rFonts w:asciiTheme="minorHAnsi" w:hAnsiTheme="minorHAnsi"/>
                                <w:sz w:val="22"/>
                                <w:szCs w:val="22"/>
                                <w:lang w:val="fr-FR"/>
                              </w:rPr>
                              <w:t>autres AME, et à fournir des avis s’il y a lieu</w:t>
                            </w:r>
                            <w:r w:rsidR="002A65F4" w:rsidRPr="00DB58A9">
                              <w:rPr>
                                <w:rFonts w:asciiTheme="minorHAnsi" w:hAnsiTheme="minorHAnsi"/>
                                <w:sz w:val="22"/>
                                <w:szCs w:val="22"/>
                                <w:lang w:val="fr-FR"/>
                              </w:rPr>
                              <w: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5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">
                <v:textbox>
                  <w:txbxContent>
                    <w:p w14:paraId="330E2ABD" w14:textId="083CB636" w:rsidR="002A65F4" w:rsidRPr="00DB58A9" w:rsidRDefault="002A65F4" w:rsidP="00E7270C">
                      <w:pPr>
                        <w:rPr>
                          <w:rFonts w:ascii="Calibri" w:hAnsi="Calibri"/>
                          <w:b/>
                          <w:bCs/>
                          <w:sz w:val="22"/>
                          <w:szCs w:val="22"/>
                          <w:lang w:val="fr-FR"/>
                        </w:rPr>
                      </w:pPr>
                      <w:r w:rsidRPr="00DB58A9">
                        <w:rPr>
                          <w:rFonts w:ascii="Calibri" w:hAnsi="Calibri"/>
                          <w:b/>
                          <w:bCs/>
                          <w:sz w:val="22"/>
                          <w:szCs w:val="22"/>
                          <w:lang w:val="fr-FR"/>
                        </w:rPr>
                        <w:t xml:space="preserve">Actions </w:t>
                      </w:r>
                      <w:r w:rsidR="00DB58A9" w:rsidRPr="00DB58A9">
                        <w:rPr>
                          <w:rFonts w:ascii="Calibri" w:hAnsi="Calibri"/>
                          <w:b/>
                          <w:bCs/>
                          <w:sz w:val="22"/>
                          <w:szCs w:val="22"/>
                          <w:lang w:val="fr-FR"/>
                        </w:rPr>
                        <w:t>requises</w:t>
                      </w:r>
                      <w:r w:rsidRPr="00DB58A9">
                        <w:rPr>
                          <w:rFonts w:ascii="Calibri" w:hAnsi="Calibri"/>
                          <w:b/>
                          <w:bCs/>
                          <w:sz w:val="22"/>
                          <w:szCs w:val="22"/>
                          <w:lang w:val="fr-FR"/>
                        </w:rPr>
                        <w:t xml:space="preserve">: </w:t>
                      </w:r>
                    </w:p>
                    <w:p w14:paraId="418A69DB" w14:textId="0D62E3DE" w:rsidR="002A65F4" w:rsidRPr="00DB58A9" w:rsidRDefault="00DB58A9" w:rsidP="00BA308D">
                      <w:pPr>
                        <w:rPr>
                          <w:rFonts w:asciiTheme="minorHAnsi" w:hAnsiTheme="minorHAnsi"/>
                          <w:sz w:val="22"/>
                          <w:szCs w:val="22"/>
                          <w:lang w:val="fr-FR"/>
                        </w:rPr>
                      </w:pPr>
                      <w:r w:rsidRPr="00DB58A9">
                        <w:rPr>
                          <w:rFonts w:asciiTheme="minorHAnsi" w:hAnsiTheme="minorHAnsi"/>
                          <w:sz w:val="22"/>
                          <w:szCs w:val="22"/>
                          <w:lang w:val="fr-FR"/>
                        </w:rPr>
                        <w:t>Le Comité permanent est invit</w:t>
                      </w:r>
                      <w:r w:rsidR="0040531D">
                        <w:rPr>
                          <w:rFonts w:asciiTheme="minorHAnsi" w:hAnsiTheme="minorHAnsi"/>
                          <w:sz w:val="22"/>
                          <w:szCs w:val="22"/>
                          <w:lang w:val="fr-FR"/>
                        </w:rPr>
                        <w:t>é</w:t>
                      </w:r>
                      <w:r w:rsidRPr="00DB58A9">
                        <w:rPr>
                          <w:rFonts w:asciiTheme="minorHAnsi" w:hAnsiTheme="minorHAnsi"/>
                          <w:sz w:val="22"/>
                          <w:szCs w:val="22"/>
                          <w:lang w:val="fr-FR"/>
                        </w:rPr>
                        <w:t xml:space="preserve"> à prendre note</w:t>
                      </w:r>
                      <w:r w:rsidR="002A65F4" w:rsidRPr="00DB58A9">
                        <w:rPr>
                          <w:rFonts w:asciiTheme="minorHAnsi" w:hAnsiTheme="minorHAnsi"/>
                          <w:sz w:val="22"/>
                          <w:szCs w:val="22"/>
                          <w:lang w:val="fr-FR"/>
                        </w:rPr>
                        <w:t xml:space="preserve"> </w:t>
                      </w:r>
                      <w:r w:rsidRPr="00DB58A9">
                        <w:rPr>
                          <w:rFonts w:asciiTheme="minorHAnsi" w:hAnsiTheme="minorHAnsi"/>
                          <w:sz w:val="22"/>
                          <w:szCs w:val="22"/>
                          <w:lang w:val="fr-FR"/>
                        </w:rPr>
                        <w:t>des progrès</w:t>
                      </w:r>
                      <w:r w:rsidR="002A65F4" w:rsidRPr="00DB58A9">
                        <w:rPr>
                          <w:rFonts w:asciiTheme="minorHAnsi" w:hAnsiTheme="minorHAnsi"/>
                          <w:sz w:val="22"/>
                          <w:szCs w:val="22"/>
                          <w:lang w:val="fr-FR"/>
                        </w:rPr>
                        <w:t xml:space="preserve"> </w:t>
                      </w:r>
                      <w:r w:rsidRPr="00DB58A9">
                        <w:rPr>
                          <w:rFonts w:asciiTheme="minorHAnsi" w:hAnsiTheme="minorHAnsi"/>
                          <w:sz w:val="22"/>
                          <w:szCs w:val="22"/>
                          <w:lang w:val="fr-FR"/>
                        </w:rPr>
                        <w:t xml:space="preserve">d’application de la </w:t>
                      </w:r>
                      <w:r w:rsidRPr="00DB58A9">
                        <w:rPr>
                          <w:rFonts w:asciiTheme="minorHAnsi" w:hAnsiTheme="minorHAnsi"/>
                          <w:b/>
                          <w:sz w:val="22"/>
                          <w:szCs w:val="22"/>
                          <w:lang w:val="fr-FR"/>
                        </w:rPr>
                        <w:t>Résolution</w:t>
                      </w:r>
                      <w:r w:rsidRPr="00DB58A9">
                        <w:rPr>
                          <w:rFonts w:asciiTheme="minorHAnsi" w:hAnsiTheme="minorHAnsi"/>
                          <w:sz w:val="22"/>
                          <w:szCs w:val="22"/>
                          <w:lang w:val="fr-FR"/>
                        </w:rPr>
                        <w:t xml:space="preserve"> </w:t>
                      </w:r>
                      <w:r w:rsidR="002A65F4" w:rsidRPr="00DB58A9">
                        <w:rPr>
                          <w:rFonts w:asciiTheme="minorHAnsi" w:hAnsiTheme="minorHAnsi" w:cstheme="minorHAnsi"/>
                          <w:b/>
                          <w:bCs/>
                          <w:lang w:val="fr-FR"/>
                        </w:rPr>
                        <w:t>XI.6</w:t>
                      </w:r>
                      <w:r w:rsidR="001B7AD6" w:rsidRPr="00DB58A9">
                        <w:rPr>
                          <w:rFonts w:asciiTheme="minorHAnsi" w:hAnsiTheme="minorHAnsi" w:cstheme="minorHAnsi"/>
                          <w:b/>
                          <w:bCs/>
                          <w:lang w:val="fr-FR"/>
                        </w:rPr>
                        <w:t>,</w:t>
                      </w:r>
                      <w:r w:rsidR="002A65F4" w:rsidRPr="00DB58A9">
                        <w:rPr>
                          <w:rFonts w:asciiTheme="minorHAnsi" w:hAnsiTheme="minorHAnsi" w:cstheme="minorHAnsi"/>
                          <w:b/>
                          <w:bCs/>
                          <w:lang w:val="fr-FR"/>
                        </w:rPr>
                        <w:t xml:space="preserve"> </w:t>
                      </w:r>
                      <w:r w:rsidR="001B7AD6" w:rsidRPr="00DB58A9">
                        <w:rPr>
                          <w:rFonts w:asciiTheme="minorHAnsi" w:hAnsiTheme="minorHAnsi" w:cstheme="minorHAnsi"/>
                          <w:b/>
                          <w:bCs/>
                          <w:i/>
                          <w:sz w:val="22"/>
                          <w:szCs w:val="22"/>
                          <w:lang w:val="fr-FR"/>
                        </w:rPr>
                        <w:t>Partenariats et synergies avec les Accords multilatéraux sur l'environnement et autres institutions</w:t>
                      </w:r>
                      <w:r w:rsidR="001B7AD6" w:rsidRPr="00DB58A9" w:rsidDel="001B7AD6">
                        <w:rPr>
                          <w:rFonts w:asciiTheme="minorHAnsi" w:hAnsiTheme="minorHAnsi" w:cstheme="minorHAnsi"/>
                          <w:b/>
                          <w:bCs/>
                          <w:i/>
                          <w:sz w:val="22"/>
                          <w:szCs w:val="22"/>
                          <w:lang w:val="fr-FR"/>
                        </w:rPr>
                        <w:t xml:space="preserve"> </w:t>
                      </w:r>
                      <w:r w:rsidRPr="00DB58A9">
                        <w:rPr>
                          <w:rFonts w:asciiTheme="minorHAnsi" w:hAnsiTheme="minorHAnsi"/>
                          <w:sz w:val="22"/>
                          <w:szCs w:val="22"/>
                          <w:lang w:val="fr-FR"/>
                        </w:rPr>
                        <w:t>et</w:t>
                      </w:r>
                      <w:r w:rsidR="002A65F4" w:rsidRPr="00DB58A9">
                        <w:rPr>
                          <w:rFonts w:asciiTheme="minorHAnsi" w:hAnsiTheme="minorHAnsi"/>
                          <w:sz w:val="22"/>
                          <w:szCs w:val="22"/>
                          <w:lang w:val="fr-FR"/>
                        </w:rPr>
                        <w:t xml:space="preserve"> </w:t>
                      </w:r>
                      <w:r w:rsidRPr="00DB58A9">
                        <w:rPr>
                          <w:rFonts w:asciiTheme="minorHAnsi" w:hAnsiTheme="minorHAnsi"/>
                          <w:sz w:val="22"/>
                          <w:szCs w:val="22"/>
                          <w:lang w:val="fr-FR"/>
                        </w:rPr>
                        <w:t>du</w:t>
                      </w:r>
                      <w:r w:rsidR="002A65F4" w:rsidRPr="00DB58A9">
                        <w:rPr>
                          <w:rFonts w:asciiTheme="minorHAnsi" w:hAnsiTheme="minorHAnsi"/>
                          <w:sz w:val="22"/>
                          <w:szCs w:val="22"/>
                          <w:lang w:val="fr-FR"/>
                        </w:rPr>
                        <w:t xml:space="preserve"> plan </w:t>
                      </w:r>
                      <w:r w:rsidRPr="00DB58A9">
                        <w:rPr>
                          <w:rFonts w:asciiTheme="minorHAnsi" w:hAnsiTheme="minorHAnsi"/>
                          <w:sz w:val="22"/>
                          <w:szCs w:val="22"/>
                          <w:lang w:val="fr-FR"/>
                        </w:rPr>
                        <w:t xml:space="preserve">visant à renforcer la coopération avec </w:t>
                      </w:r>
                      <w:r w:rsidR="004748C3">
                        <w:rPr>
                          <w:rFonts w:asciiTheme="minorHAnsi" w:hAnsiTheme="minorHAnsi"/>
                          <w:sz w:val="22"/>
                          <w:szCs w:val="22"/>
                          <w:lang w:val="fr-FR"/>
                        </w:rPr>
                        <w:t>d’</w:t>
                      </w:r>
                      <w:r w:rsidRPr="00DB58A9">
                        <w:rPr>
                          <w:rFonts w:asciiTheme="minorHAnsi" w:hAnsiTheme="minorHAnsi"/>
                          <w:sz w:val="22"/>
                          <w:szCs w:val="22"/>
                          <w:lang w:val="fr-FR"/>
                        </w:rPr>
                        <w:t>autres AME, et à fournir des avis s’il y a lieu</w:t>
                      </w:r>
                      <w:r w:rsidR="002A65F4" w:rsidRPr="00DB58A9">
                        <w:rPr>
                          <w:rFonts w:asciiTheme="minorHAnsi" w:hAnsiTheme="minorHAnsi"/>
                          <w:sz w:val="22"/>
                          <w:szCs w:val="22"/>
                          <w:lang w:val="fr-FR"/>
                        </w:rPr>
                        <w:t>.</w:t>
                      </w:r>
                    </w:p>
                  </w:txbxContent>
                </v:textbox>
                <w10:anchorlock/>
              </v:shape>
            </w:pict>
          </mc:Fallback>
        </mc:AlternateContent>
      </w:r>
    </w:p>
    <w:p w14:paraId="077BFFFB" w14:textId="77777777" w:rsidR="00D94C75" w:rsidRPr="002D499A" w:rsidRDefault="00D94C75" w:rsidP="00BA6D1A">
      <w:pPr>
        <w:autoSpaceDE w:val="0"/>
        <w:autoSpaceDN w:val="0"/>
        <w:adjustRightInd w:val="0"/>
        <w:jc w:val="center"/>
        <w:rPr>
          <w:rFonts w:asciiTheme="minorHAnsi" w:eastAsiaTheme="minorHAnsi" w:hAnsiTheme="minorHAnsi" w:cs="Calibri-Bold"/>
          <w:b/>
          <w:bCs/>
          <w:sz w:val="22"/>
          <w:szCs w:val="22"/>
          <w:lang w:val="fr-FR" w:eastAsia="en-US"/>
        </w:rPr>
      </w:pPr>
    </w:p>
    <w:p w14:paraId="3B180079" w14:textId="6FFDB24A" w:rsidR="00D94C75" w:rsidRPr="002D499A" w:rsidRDefault="00DB58A9" w:rsidP="00BA510D">
      <w:pPr>
        <w:autoSpaceDE w:val="0"/>
        <w:autoSpaceDN w:val="0"/>
        <w:adjustRightInd w:val="0"/>
        <w:rPr>
          <w:rFonts w:asciiTheme="minorHAnsi" w:eastAsiaTheme="minorHAnsi" w:hAnsiTheme="minorHAnsi" w:cs="Calibri-Bold"/>
          <w:b/>
          <w:bCs/>
          <w:sz w:val="22"/>
          <w:szCs w:val="22"/>
          <w:lang w:val="fr-FR" w:eastAsia="en-US"/>
        </w:rPr>
      </w:pPr>
      <w:r w:rsidRPr="002D499A">
        <w:rPr>
          <w:rFonts w:asciiTheme="minorHAnsi" w:eastAsiaTheme="minorHAnsi" w:hAnsiTheme="minorHAnsi" w:cs="Calibri-Bold"/>
          <w:b/>
          <w:bCs/>
          <w:sz w:val="22"/>
          <w:szCs w:val="22"/>
          <w:lang w:val="fr-FR" w:eastAsia="en-US"/>
        </w:rPr>
        <w:t>Contexte</w:t>
      </w:r>
      <w:r w:rsidR="002A65F4" w:rsidRPr="002D499A">
        <w:rPr>
          <w:rFonts w:asciiTheme="minorHAnsi" w:eastAsiaTheme="minorHAnsi" w:hAnsiTheme="minorHAnsi" w:cs="Calibri-Bold"/>
          <w:b/>
          <w:bCs/>
          <w:sz w:val="22"/>
          <w:szCs w:val="22"/>
          <w:lang w:val="fr-FR" w:eastAsia="en-US"/>
        </w:rPr>
        <w:t xml:space="preserve"> </w:t>
      </w:r>
    </w:p>
    <w:p w14:paraId="22D6F5F4" w14:textId="77777777" w:rsidR="00BE5EAD" w:rsidRPr="002D499A" w:rsidRDefault="00BE5EAD" w:rsidP="00BA510D">
      <w:pPr>
        <w:autoSpaceDE w:val="0"/>
        <w:autoSpaceDN w:val="0"/>
        <w:adjustRightInd w:val="0"/>
        <w:rPr>
          <w:rFonts w:asciiTheme="minorHAnsi" w:eastAsiaTheme="minorHAnsi" w:hAnsiTheme="minorHAnsi" w:cs="Calibri-Bold"/>
          <w:b/>
          <w:bCs/>
          <w:sz w:val="22"/>
          <w:szCs w:val="22"/>
          <w:lang w:val="fr-FR" w:eastAsia="en-US"/>
        </w:rPr>
      </w:pPr>
    </w:p>
    <w:p w14:paraId="2BA65CDF" w14:textId="06A2F2E6" w:rsidR="00BE5EAD" w:rsidRPr="002D499A" w:rsidRDefault="0007091C" w:rsidP="00987A98">
      <w:pPr>
        <w:pStyle w:val="ListParagraph"/>
        <w:numPr>
          <w:ilvl w:val="0"/>
          <w:numId w:val="19"/>
        </w:numPr>
        <w:autoSpaceDE w:val="0"/>
        <w:autoSpaceDN w:val="0"/>
        <w:adjustRightInd w:val="0"/>
        <w:ind w:left="426" w:hanging="426"/>
        <w:jc w:val="left"/>
        <w:rPr>
          <w:rFonts w:asciiTheme="minorHAnsi" w:hAnsiTheme="minorHAnsi"/>
          <w:i/>
          <w:lang w:val="fr-FR"/>
        </w:rPr>
      </w:pPr>
      <w:r w:rsidRPr="002D499A">
        <w:rPr>
          <w:rFonts w:asciiTheme="minorHAnsi" w:hAnsiTheme="minorHAnsi"/>
          <w:lang w:val="fr-FR"/>
        </w:rPr>
        <w:t>Suite aux discussion</w:t>
      </w:r>
      <w:r w:rsidR="0040531D" w:rsidRPr="002D499A">
        <w:rPr>
          <w:rFonts w:asciiTheme="minorHAnsi" w:hAnsiTheme="minorHAnsi"/>
          <w:lang w:val="fr-FR"/>
        </w:rPr>
        <w:t>s</w:t>
      </w:r>
      <w:r w:rsidRPr="002D499A">
        <w:rPr>
          <w:rFonts w:asciiTheme="minorHAnsi" w:hAnsiTheme="minorHAnsi"/>
          <w:lang w:val="fr-FR"/>
        </w:rPr>
        <w:t xml:space="preserve"> du Comité permanent durant la période triennale </w:t>
      </w:r>
      <w:r w:rsidR="00BE5EAD" w:rsidRPr="002D499A">
        <w:rPr>
          <w:rFonts w:asciiTheme="minorHAnsi" w:hAnsiTheme="minorHAnsi"/>
          <w:lang w:val="fr-FR"/>
        </w:rPr>
        <w:t>2013-2015,</w:t>
      </w:r>
      <w:r w:rsidR="002A65F4" w:rsidRPr="002D499A">
        <w:rPr>
          <w:rFonts w:asciiTheme="minorHAnsi" w:hAnsiTheme="minorHAnsi"/>
          <w:lang w:val="fr-FR"/>
        </w:rPr>
        <w:t xml:space="preserve"> </w:t>
      </w:r>
      <w:r w:rsidRPr="002D499A">
        <w:rPr>
          <w:rFonts w:asciiTheme="minorHAnsi" w:hAnsiTheme="minorHAnsi"/>
          <w:lang w:val="fr-FR"/>
        </w:rPr>
        <w:t>le</w:t>
      </w:r>
      <w:r w:rsidR="002A65F4" w:rsidRPr="002D499A">
        <w:rPr>
          <w:rFonts w:asciiTheme="minorHAnsi" w:hAnsiTheme="minorHAnsi"/>
          <w:lang w:val="fr-FR"/>
        </w:rPr>
        <w:t xml:space="preserve"> </w:t>
      </w:r>
      <w:r w:rsidRPr="002D499A">
        <w:rPr>
          <w:rFonts w:asciiTheme="minorHAnsi" w:hAnsiTheme="minorHAnsi"/>
          <w:lang w:val="fr-FR"/>
        </w:rPr>
        <w:t>Secrétariat</w:t>
      </w:r>
      <w:r w:rsidR="002A65F4" w:rsidRPr="002D499A">
        <w:rPr>
          <w:rFonts w:asciiTheme="minorHAnsi" w:hAnsiTheme="minorHAnsi"/>
          <w:lang w:val="fr-FR"/>
        </w:rPr>
        <w:t xml:space="preserve"> </w:t>
      </w:r>
      <w:r w:rsidRPr="002D499A">
        <w:rPr>
          <w:rFonts w:asciiTheme="minorHAnsi" w:hAnsiTheme="minorHAnsi"/>
          <w:lang w:val="fr-FR"/>
        </w:rPr>
        <w:t>fait rapport sur les principales activités entreprises</w:t>
      </w:r>
      <w:r w:rsidR="002A65F4" w:rsidRPr="002D499A">
        <w:rPr>
          <w:rFonts w:ascii="Calibri" w:eastAsiaTheme="minorHAnsi" w:hAnsi="Calibri" w:cs="Calibri"/>
          <w:color w:val="000000"/>
          <w:lang w:val="fr-FR"/>
        </w:rPr>
        <w:t xml:space="preserve"> </w:t>
      </w:r>
      <w:r w:rsidR="00987A98" w:rsidRPr="002D499A">
        <w:rPr>
          <w:rFonts w:ascii="Calibri" w:eastAsiaTheme="minorHAnsi" w:hAnsi="Calibri" w:cs="Calibri"/>
          <w:color w:val="000000"/>
          <w:lang w:val="fr-FR"/>
        </w:rPr>
        <w:t xml:space="preserve">dans le cadre de la </w:t>
      </w:r>
      <w:r w:rsidR="005D2A79" w:rsidRPr="002D499A">
        <w:rPr>
          <w:rFonts w:ascii="Calibri" w:eastAsiaTheme="minorHAnsi" w:hAnsi="Calibri" w:cs="Calibri"/>
          <w:color w:val="000000"/>
          <w:lang w:val="fr-FR"/>
        </w:rPr>
        <w:t>R</w:t>
      </w:r>
      <w:r w:rsidR="001B7AD6" w:rsidRPr="002D499A">
        <w:rPr>
          <w:rFonts w:ascii="Calibri" w:eastAsiaTheme="minorHAnsi" w:hAnsi="Calibri" w:cs="Calibri"/>
          <w:color w:val="000000"/>
          <w:lang w:val="fr-FR"/>
        </w:rPr>
        <w:t>é</w:t>
      </w:r>
      <w:r w:rsidR="005D2A79" w:rsidRPr="002D499A">
        <w:rPr>
          <w:rFonts w:ascii="Calibri" w:eastAsiaTheme="minorHAnsi" w:hAnsi="Calibri" w:cs="Calibri"/>
          <w:color w:val="000000"/>
          <w:lang w:val="fr-FR"/>
        </w:rPr>
        <w:t>solution</w:t>
      </w:r>
      <w:r w:rsidR="002A65F4" w:rsidRPr="002D499A">
        <w:rPr>
          <w:rFonts w:ascii="Calibri" w:eastAsiaTheme="minorHAnsi" w:hAnsi="Calibri" w:cs="Calibri"/>
          <w:color w:val="000000"/>
          <w:lang w:val="fr-FR"/>
        </w:rPr>
        <w:t xml:space="preserve"> </w:t>
      </w:r>
      <w:r w:rsidR="005D2A79" w:rsidRPr="002D499A">
        <w:rPr>
          <w:rFonts w:ascii="Calibri" w:eastAsiaTheme="minorHAnsi" w:hAnsi="Calibri" w:cs="Calibri"/>
          <w:color w:val="000000"/>
          <w:lang w:val="fr-FR"/>
        </w:rPr>
        <w:t>XI.6</w:t>
      </w:r>
      <w:r w:rsidR="001B7AD6" w:rsidRPr="002D499A">
        <w:rPr>
          <w:rFonts w:ascii="Calibri" w:eastAsiaTheme="minorHAnsi" w:hAnsi="Calibri" w:cs="Calibri"/>
          <w:color w:val="000000"/>
          <w:lang w:val="fr-FR"/>
        </w:rPr>
        <w:t>,</w:t>
      </w:r>
      <w:r w:rsidR="002A65F4" w:rsidRPr="002D499A">
        <w:rPr>
          <w:rFonts w:ascii="Calibri" w:eastAsiaTheme="minorHAnsi" w:hAnsi="Calibri" w:cs="Calibri"/>
          <w:color w:val="000000"/>
          <w:lang w:val="fr-FR"/>
        </w:rPr>
        <w:t xml:space="preserve"> </w:t>
      </w:r>
      <w:r w:rsidR="001B7AD6" w:rsidRPr="002D499A">
        <w:rPr>
          <w:rFonts w:ascii="Calibri" w:eastAsiaTheme="minorHAnsi" w:hAnsi="Calibri" w:cs="Calibri"/>
          <w:i/>
          <w:iCs/>
          <w:color w:val="000000"/>
          <w:lang w:val="fr-FR"/>
        </w:rPr>
        <w:t>Partenariats et synergies avec les Accords multilatérau</w:t>
      </w:r>
      <w:bookmarkStart w:id="0" w:name="_GoBack"/>
      <w:bookmarkEnd w:id="0"/>
      <w:r w:rsidR="001B7AD6" w:rsidRPr="002D499A">
        <w:rPr>
          <w:rFonts w:ascii="Calibri" w:eastAsiaTheme="minorHAnsi" w:hAnsi="Calibri" w:cs="Calibri"/>
          <w:i/>
          <w:iCs/>
          <w:color w:val="000000"/>
          <w:lang w:val="fr-FR"/>
        </w:rPr>
        <w:t>x sur l'environnement et autres institutions</w:t>
      </w:r>
      <w:r w:rsidR="00987A98" w:rsidRPr="002D499A">
        <w:rPr>
          <w:rFonts w:ascii="Calibri" w:eastAsiaTheme="minorHAnsi" w:hAnsi="Calibri" w:cs="Calibri"/>
          <w:i/>
          <w:iCs/>
          <w:color w:val="000000"/>
          <w:lang w:val="fr-FR"/>
        </w:rPr>
        <w:t xml:space="preserve"> </w:t>
      </w:r>
      <w:r w:rsidR="00987A98" w:rsidRPr="002D499A">
        <w:rPr>
          <w:rFonts w:ascii="Calibri" w:eastAsiaTheme="minorHAnsi" w:hAnsi="Calibri" w:cs="Calibri"/>
          <w:iCs/>
          <w:color w:val="000000"/>
          <w:lang w:val="fr-FR"/>
        </w:rPr>
        <w:t>et de</w:t>
      </w:r>
      <w:r w:rsidR="00987A98" w:rsidRPr="002D499A">
        <w:rPr>
          <w:rFonts w:ascii="Calibri" w:eastAsiaTheme="minorHAnsi" w:hAnsi="Calibri" w:cs="Calibri"/>
          <w:i/>
          <w:iCs/>
          <w:color w:val="000000"/>
          <w:lang w:val="fr-FR"/>
        </w:rPr>
        <w:t xml:space="preserve"> </w:t>
      </w:r>
      <w:r w:rsidR="001B7AD6" w:rsidRPr="002D499A">
        <w:rPr>
          <w:rFonts w:ascii="Calibri" w:eastAsiaTheme="minorHAnsi" w:hAnsi="Calibri" w:cs="Calibri"/>
          <w:iCs/>
          <w:color w:val="000000"/>
          <w:lang w:val="fr-FR"/>
        </w:rPr>
        <w:t>la Ré</w:t>
      </w:r>
      <w:r w:rsidR="005D2A79" w:rsidRPr="002D499A">
        <w:rPr>
          <w:rFonts w:ascii="Calibri" w:eastAsiaTheme="minorHAnsi" w:hAnsi="Calibri" w:cs="Calibri"/>
          <w:iCs/>
          <w:color w:val="000000"/>
          <w:lang w:val="fr-FR"/>
        </w:rPr>
        <w:t>solution</w:t>
      </w:r>
      <w:r w:rsidR="002A65F4" w:rsidRPr="002D499A">
        <w:rPr>
          <w:rFonts w:ascii="Calibri" w:eastAsiaTheme="minorHAnsi" w:hAnsi="Calibri" w:cs="Calibri"/>
          <w:iCs/>
          <w:color w:val="000000"/>
          <w:lang w:val="fr-FR"/>
        </w:rPr>
        <w:t xml:space="preserve"> </w:t>
      </w:r>
      <w:r w:rsidR="005D2A79" w:rsidRPr="002D499A">
        <w:rPr>
          <w:rFonts w:ascii="Calibri" w:eastAsiaTheme="minorHAnsi" w:hAnsi="Calibri" w:cs="Calibri"/>
          <w:iCs/>
          <w:color w:val="000000"/>
          <w:lang w:val="fr-FR"/>
        </w:rPr>
        <w:t>XI.1</w:t>
      </w:r>
      <w:r w:rsidR="001B7AD6" w:rsidRPr="002D499A">
        <w:rPr>
          <w:rFonts w:ascii="Calibri" w:eastAsiaTheme="minorHAnsi" w:hAnsi="Calibri" w:cs="Calibri"/>
          <w:iCs/>
          <w:color w:val="000000"/>
          <w:lang w:val="fr-FR"/>
        </w:rPr>
        <w:t>,</w:t>
      </w:r>
      <w:r w:rsidR="00FA633D" w:rsidRPr="002D499A">
        <w:rPr>
          <w:rFonts w:ascii="Calibri" w:eastAsiaTheme="minorHAnsi" w:hAnsi="Calibri" w:cs="Calibri"/>
          <w:iCs/>
          <w:color w:val="000000"/>
          <w:lang w:val="fr-FR"/>
        </w:rPr>
        <w:t xml:space="preserve"> </w:t>
      </w:r>
      <w:r w:rsidR="00987A98" w:rsidRPr="002D499A">
        <w:rPr>
          <w:rFonts w:ascii="Calibri" w:eastAsiaTheme="minorHAnsi" w:hAnsi="Calibri" w:cs="Calibri"/>
          <w:i/>
          <w:iCs/>
          <w:color w:val="000000"/>
          <w:lang w:val="fr-FR"/>
        </w:rPr>
        <w:t xml:space="preserve">Accueil institutionnel du Secrétariat de la Convention de Ramsar </w:t>
      </w:r>
      <w:r w:rsidR="00987A98" w:rsidRPr="002D499A">
        <w:rPr>
          <w:rFonts w:ascii="Calibri" w:eastAsiaTheme="minorHAnsi" w:hAnsi="Calibri" w:cs="Calibri"/>
          <w:iCs/>
          <w:color w:val="000000"/>
          <w:lang w:val="fr-FR"/>
        </w:rPr>
        <w:t>(à propos des langues et de la visibilité de la Convention, d’un segment ministériel de haut niveau et du renforcement des synergies avec les accords multilatéraux sur l’environnement et autres entités internationales)</w:t>
      </w:r>
      <w:r w:rsidR="005526B6" w:rsidRPr="002D499A">
        <w:rPr>
          <w:rFonts w:ascii="Calibri" w:eastAsiaTheme="minorHAnsi" w:hAnsi="Calibri" w:cs="Calibri"/>
          <w:bCs/>
          <w:color w:val="000000"/>
          <w:lang w:val="fr-FR"/>
        </w:rPr>
        <w:t>.</w:t>
      </w:r>
    </w:p>
    <w:p w14:paraId="28459893" w14:textId="77777777" w:rsidR="00BE5EAD" w:rsidRPr="002D499A" w:rsidRDefault="00BE5EAD" w:rsidP="005522A4">
      <w:pPr>
        <w:autoSpaceDE w:val="0"/>
        <w:autoSpaceDN w:val="0"/>
        <w:adjustRightInd w:val="0"/>
        <w:ind w:left="426" w:hanging="426"/>
        <w:rPr>
          <w:rFonts w:asciiTheme="minorHAnsi" w:hAnsiTheme="minorHAnsi"/>
          <w:sz w:val="22"/>
          <w:szCs w:val="22"/>
          <w:lang w:val="fr-FR"/>
        </w:rPr>
      </w:pPr>
    </w:p>
    <w:p w14:paraId="10FB16C6" w14:textId="75187F95" w:rsidR="00BE5EAD" w:rsidRPr="002D499A" w:rsidRDefault="00987A98" w:rsidP="00987A98">
      <w:pPr>
        <w:pStyle w:val="ListParagraph"/>
        <w:numPr>
          <w:ilvl w:val="0"/>
          <w:numId w:val="19"/>
        </w:numPr>
        <w:tabs>
          <w:tab w:val="left" w:pos="426"/>
        </w:tabs>
        <w:suppressAutoHyphens/>
        <w:ind w:left="426" w:hanging="426"/>
        <w:jc w:val="left"/>
        <w:rPr>
          <w:rFonts w:asciiTheme="minorHAnsi" w:hAnsiTheme="minorHAnsi"/>
          <w:lang w:val="fr-FR"/>
        </w:rPr>
      </w:pPr>
      <w:r w:rsidRPr="002D499A">
        <w:rPr>
          <w:rFonts w:asciiTheme="minorHAnsi" w:hAnsiTheme="minorHAnsi" w:cstheme="minorHAnsi"/>
          <w:bCs/>
          <w:lang w:val="fr-FR"/>
        </w:rPr>
        <w:t>La Ré</w:t>
      </w:r>
      <w:r w:rsidR="00AE6962" w:rsidRPr="002D499A">
        <w:rPr>
          <w:rFonts w:asciiTheme="minorHAnsi" w:hAnsiTheme="minorHAnsi" w:cstheme="minorHAnsi"/>
          <w:bCs/>
          <w:lang w:val="fr-FR"/>
        </w:rPr>
        <w:t>solution</w:t>
      </w:r>
      <w:r w:rsidR="002A65F4" w:rsidRPr="002D499A">
        <w:rPr>
          <w:rFonts w:asciiTheme="minorHAnsi" w:hAnsiTheme="minorHAnsi" w:cstheme="minorHAnsi"/>
          <w:bCs/>
          <w:lang w:val="fr-FR"/>
        </w:rPr>
        <w:t xml:space="preserve"> </w:t>
      </w:r>
      <w:r w:rsidR="00AE6962" w:rsidRPr="002D499A">
        <w:rPr>
          <w:rFonts w:asciiTheme="minorHAnsi" w:hAnsiTheme="minorHAnsi" w:cstheme="minorHAnsi"/>
          <w:bCs/>
          <w:lang w:val="fr-FR"/>
        </w:rPr>
        <w:t>XII.</w:t>
      </w:r>
      <w:r w:rsidR="002A65F4" w:rsidRPr="002D499A">
        <w:rPr>
          <w:rFonts w:asciiTheme="minorHAnsi" w:hAnsiTheme="minorHAnsi" w:cstheme="minorHAnsi"/>
          <w:bCs/>
          <w:lang w:val="fr-FR"/>
        </w:rPr>
        <w:t xml:space="preserve"> </w:t>
      </w:r>
      <w:r w:rsidR="00AE6962" w:rsidRPr="002D499A">
        <w:rPr>
          <w:rFonts w:asciiTheme="minorHAnsi" w:hAnsiTheme="minorHAnsi" w:cstheme="minorHAnsi"/>
          <w:bCs/>
          <w:lang w:val="fr-FR"/>
        </w:rPr>
        <w:t>3</w:t>
      </w:r>
      <w:r w:rsidRPr="002D499A">
        <w:rPr>
          <w:rFonts w:asciiTheme="minorHAnsi" w:hAnsiTheme="minorHAnsi" w:cstheme="minorHAnsi"/>
          <w:bCs/>
          <w:lang w:val="fr-FR"/>
        </w:rPr>
        <w:t>,</w:t>
      </w:r>
      <w:r w:rsidR="002A65F4" w:rsidRPr="002D499A">
        <w:rPr>
          <w:rFonts w:asciiTheme="minorHAnsi" w:hAnsiTheme="minorHAnsi" w:cstheme="minorHAnsi"/>
          <w:bCs/>
          <w:lang w:val="fr-FR"/>
        </w:rPr>
        <w:t xml:space="preserve"> </w:t>
      </w:r>
      <w:r w:rsidRPr="002D499A">
        <w:rPr>
          <w:rFonts w:asciiTheme="minorHAnsi" w:eastAsiaTheme="minorHAnsi" w:hAnsiTheme="minorHAnsi" w:cs="Garamond"/>
          <w:i/>
          <w:color w:val="000000"/>
          <w:lang w:val="fr-FR"/>
        </w:rPr>
        <w:t xml:space="preserve">Renforcer l’utilisation des langues, la visibilité et la stature de la Convention et améliorer les synergies avec d’autres accords multilatéraux sur l’environnement et autres institutions internationales, </w:t>
      </w:r>
      <w:r w:rsidR="00265195" w:rsidRPr="002D499A">
        <w:rPr>
          <w:rFonts w:asciiTheme="minorHAnsi" w:hAnsiTheme="minorHAnsi" w:cstheme="minorHAnsi"/>
          <w:bCs/>
          <w:lang w:val="fr-FR"/>
        </w:rPr>
        <w:t>donne instruction</w:t>
      </w:r>
      <w:r w:rsidR="002A65F4" w:rsidRPr="002D499A">
        <w:rPr>
          <w:rFonts w:asciiTheme="minorHAnsi" w:hAnsiTheme="minorHAnsi" w:cstheme="minorHAnsi"/>
          <w:bCs/>
          <w:lang w:val="fr-FR"/>
        </w:rPr>
        <w:t xml:space="preserve"> </w:t>
      </w:r>
      <w:r w:rsidR="00265195" w:rsidRPr="002D499A">
        <w:rPr>
          <w:rFonts w:ascii="Calibri" w:hAnsi="Calibri" w:cs="Calibri"/>
          <w:bCs/>
          <w:lang w:val="fr-FR"/>
        </w:rPr>
        <w:t xml:space="preserve">au Secrétariat de faire rapport chaque année au Comité permanent sur les progrès d’application de la Résolution XI.6, </w:t>
      </w:r>
      <w:r w:rsidR="00265195" w:rsidRPr="002D499A">
        <w:rPr>
          <w:rFonts w:ascii="Calibri" w:hAnsi="Calibri" w:cs="Calibri"/>
          <w:bCs/>
          <w:i/>
          <w:lang w:val="fr-FR"/>
        </w:rPr>
        <w:t>Partenariats et synergies avec les Accords multilatéraux sur l’environnement et autres institutions</w:t>
      </w:r>
      <w:r w:rsidR="00F401EC" w:rsidRPr="002D499A">
        <w:rPr>
          <w:rFonts w:asciiTheme="minorHAnsi" w:hAnsiTheme="minorHAnsi" w:cstheme="minorHAnsi"/>
          <w:bCs/>
          <w:lang w:val="fr-FR"/>
        </w:rPr>
        <w:t>.</w:t>
      </w:r>
      <w:r w:rsidR="002A65F4" w:rsidRPr="002D499A">
        <w:rPr>
          <w:rFonts w:asciiTheme="minorHAnsi" w:hAnsiTheme="minorHAnsi" w:cstheme="minorHAnsi"/>
          <w:bCs/>
          <w:lang w:val="fr-FR"/>
        </w:rPr>
        <w:t xml:space="preserve"> </w:t>
      </w:r>
    </w:p>
    <w:p w14:paraId="0BA55577" w14:textId="77777777" w:rsidR="00073599" w:rsidRPr="002D499A" w:rsidRDefault="00073599" w:rsidP="005522A4">
      <w:pPr>
        <w:tabs>
          <w:tab w:val="left" w:pos="709"/>
        </w:tabs>
        <w:suppressAutoHyphens/>
        <w:ind w:left="426" w:hanging="426"/>
        <w:rPr>
          <w:rFonts w:asciiTheme="minorHAnsi" w:hAnsiTheme="minorHAnsi"/>
          <w:lang w:val="fr-FR"/>
        </w:rPr>
      </w:pPr>
    </w:p>
    <w:p w14:paraId="60CC7E29" w14:textId="58B76F9E" w:rsidR="00073599" w:rsidRPr="002D499A" w:rsidRDefault="00265195" w:rsidP="00265195">
      <w:pPr>
        <w:pStyle w:val="ListParagraph"/>
        <w:numPr>
          <w:ilvl w:val="0"/>
          <w:numId w:val="19"/>
        </w:numPr>
        <w:ind w:left="426" w:hanging="426"/>
        <w:jc w:val="left"/>
        <w:rPr>
          <w:rFonts w:asciiTheme="minorHAnsi" w:hAnsiTheme="minorHAnsi" w:cstheme="minorHAnsi"/>
          <w:bCs/>
          <w:lang w:val="fr-FR"/>
        </w:rPr>
      </w:pPr>
      <w:r w:rsidRPr="002D499A">
        <w:rPr>
          <w:rFonts w:asciiTheme="minorHAnsi" w:hAnsiTheme="minorHAnsi" w:cstheme="minorHAnsi"/>
          <w:bCs/>
          <w:lang w:val="fr-FR"/>
        </w:rPr>
        <w:t>Dans son</w:t>
      </w:r>
      <w:r w:rsidR="00DB58A9" w:rsidRPr="002D499A">
        <w:rPr>
          <w:rFonts w:asciiTheme="minorHAnsi" w:hAnsiTheme="minorHAnsi" w:cstheme="minorHAnsi"/>
          <w:bCs/>
          <w:lang w:val="fr-FR"/>
        </w:rPr>
        <w:t xml:space="preserve"> paragraphe</w:t>
      </w:r>
      <w:r w:rsidR="00C02C67" w:rsidRPr="002D499A">
        <w:rPr>
          <w:rFonts w:asciiTheme="minorHAnsi" w:hAnsiTheme="minorHAnsi" w:cstheme="minorHAnsi"/>
          <w:bCs/>
          <w:lang w:val="fr-FR"/>
        </w:rPr>
        <w:t xml:space="preserve"> </w:t>
      </w:r>
      <w:r w:rsidR="00073599" w:rsidRPr="002D499A">
        <w:rPr>
          <w:rFonts w:asciiTheme="minorHAnsi" w:hAnsiTheme="minorHAnsi" w:cstheme="minorHAnsi"/>
          <w:bCs/>
          <w:lang w:val="fr-FR"/>
        </w:rPr>
        <w:t>43</w:t>
      </w:r>
      <w:r w:rsidRPr="002D499A">
        <w:rPr>
          <w:rFonts w:asciiTheme="minorHAnsi" w:hAnsiTheme="minorHAnsi" w:cstheme="minorHAnsi"/>
          <w:bCs/>
          <w:lang w:val="fr-FR"/>
        </w:rPr>
        <w:t>,</w:t>
      </w:r>
      <w:r w:rsidR="00DB58A9" w:rsidRPr="002D499A">
        <w:rPr>
          <w:rFonts w:asciiTheme="minorHAnsi" w:hAnsiTheme="minorHAnsi" w:cstheme="minorHAnsi"/>
          <w:bCs/>
          <w:lang w:val="fr-FR"/>
        </w:rPr>
        <w:t xml:space="preserve"> la</w:t>
      </w:r>
      <w:r w:rsidR="002A65F4" w:rsidRPr="002D499A">
        <w:rPr>
          <w:rFonts w:asciiTheme="minorHAnsi" w:hAnsiTheme="minorHAnsi" w:cstheme="minorHAnsi"/>
          <w:bCs/>
          <w:lang w:val="fr-FR"/>
        </w:rPr>
        <w:t xml:space="preserve"> </w:t>
      </w:r>
      <w:r w:rsidR="00DB58A9" w:rsidRPr="002D499A">
        <w:rPr>
          <w:rFonts w:asciiTheme="minorHAnsi" w:hAnsiTheme="minorHAnsi" w:cstheme="minorHAnsi"/>
          <w:bCs/>
          <w:lang w:val="fr-FR"/>
        </w:rPr>
        <w:t>Résolution</w:t>
      </w:r>
      <w:r w:rsidR="002A65F4" w:rsidRPr="002D499A">
        <w:rPr>
          <w:rFonts w:asciiTheme="minorHAnsi" w:hAnsiTheme="minorHAnsi" w:cstheme="minorHAnsi"/>
          <w:bCs/>
          <w:lang w:val="fr-FR"/>
        </w:rPr>
        <w:t xml:space="preserve"> </w:t>
      </w:r>
      <w:r w:rsidR="009F1447" w:rsidRPr="002D499A">
        <w:rPr>
          <w:rFonts w:asciiTheme="minorHAnsi" w:hAnsiTheme="minorHAnsi" w:cstheme="minorHAnsi"/>
          <w:bCs/>
          <w:lang w:val="fr-FR"/>
        </w:rPr>
        <w:t>XII.</w:t>
      </w:r>
      <w:r w:rsidR="002A65F4" w:rsidRPr="002D499A">
        <w:rPr>
          <w:rFonts w:asciiTheme="minorHAnsi" w:hAnsiTheme="minorHAnsi" w:cstheme="minorHAnsi"/>
          <w:bCs/>
          <w:lang w:val="fr-FR"/>
        </w:rPr>
        <w:t xml:space="preserve"> </w:t>
      </w:r>
      <w:r w:rsidR="009F1447" w:rsidRPr="002D499A">
        <w:rPr>
          <w:rFonts w:asciiTheme="minorHAnsi" w:hAnsiTheme="minorHAnsi" w:cstheme="minorHAnsi"/>
          <w:bCs/>
          <w:lang w:val="fr-FR"/>
        </w:rPr>
        <w:t>3</w:t>
      </w:r>
      <w:r w:rsidR="002A65F4" w:rsidRPr="002D499A">
        <w:rPr>
          <w:rFonts w:asciiTheme="minorHAnsi" w:hAnsiTheme="minorHAnsi" w:cstheme="minorHAnsi"/>
          <w:bCs/>
          <w:lang w:val="fr-FR"/>
        </w:rPr>
        <w:t xml:space="preserve"> </w:t>
      </w:r>
      <w:r w:rsidR="00DB58A9" w:rsidRPr="002D499A">
        <w:rPr>
          <w:rFonts w:asciiTheme="minorHAnsi" w:hAnsiTheme="minorHAnsi" w:cstheme="minorHAnsi"/>
          <w:bCs/>
          <w:lang w:val="fr-FR"/>
        </w:rPr>
        <w:t>donne instruction au</w:t>
      </w:r>
      <w:r w:rsidR="002A65F4" w:rsidRPr="002D499A">
        <w:rPr>
          <w:rFonts w:asciiTheme="minorHAnsi" w:hAnsiTheme="minorHAnsi" w:cstheme="minorHAnsi"/>
          <w:bCs/>
          <w:lang w:val="fr-FR"/>
        </w:rPr>
        <w:t xml:space="preserve"> </w:t>
      </w:r>
      <w:r w:rsidRPr="002D499A">
        <w:rPr>
          <w:rFonts w:asciiTheme="minorHAnsi" w:hAnsiTheme="minorHAnsi" w:cstheme="minorHAnsi"/>
          <w:bCs/>
          <w:lang w:val="fr-FR"/>
        </w:rPr>
        <w:t>Secrétariat</w:t>
      </w:r>
      <w:r w:rsidR="002A65F4" w:rsidRPr="002D499A">
        <w:rPr>
          <w:rFonts w:asciiTheme="minorHAnsi" w:hAnsiTheme="minorHAnsi" w:cstheme="minorHAnsi"/>
          <w:bCs/>
          <w:lang w:val="fr-FR"/>
        </w:rPr>
        <w:t xml:space="preserve"> </w:t>
      </w:r>
      <w:r w:rsidRPr="002D499A">
        <w:rPr>
          <w:rFonts w:asciiTheme="minorHAnsi" w:hAnsiTheme="minorHAnsi" w:cstheme="minorHAnsi"/>
          <w:bCs/>
          <w:lang w:val="fr-FR"/>
        </w:rPr>
        <w:t xml:space="preserve">de </w:t>
      </w:r>
      <w:r w:rsidR="00073599" w:rsidRPr="002D499A">
        <w:rPr>
          <w:rFonts w:asciiTheme="minorHAnsi" w:hAnsiTheme="minorHAnsi" w:cstheme="minorHAnsi"/>
          <w:bCs/>
          <w:lang w:val="fr-FR"/>
        </w:rPr>
        <w:t>continue</w:t>
      </w:r>
      <w:r w:rsidRPr="002D499A">
        <w:rPr>
          <w:rFonts w:asciiTheme="minorHAnsi" w:hAnsiTheme="minorHAnsi" w:cstheme="minorHAnsi"/>
          <w:bCs/>
          <w:lang w:val="fr-FR"/>
        </w:rPr>
        <w:t>r</w:t>
      </w:r>
      <w:r w:rsidR="002A65F4" w:rsidRPr="002D499A">
        <w:rPr>
          <w:rFonts w:asciiTheme="minorHAnsi" w:hAnsiTheme="minorHAnsi" w:cstheme="minorHAnsi"/>
          <w:bCs/>
          <w:lang w:val="fr-FR"/>
        </w:rPr>
        <w:t xml:space="preserve"> </w:t>
      </w:r>
      <w:r w:rsidRPr="002D499A">
        <w:rPr>
          <w:rFonts w:asciiTheme="minorHAnsi" w:hAnsiTheme="minorHAnsi" w:cstheme="minorHAnsi"/>
          <w:bCs/>
          <w:lang w:val="fr-FR"/>
        </w:rPr>
        <w:t>de travailler de manière à renforcer la collaboration avec</w:t>
      </w:r>
      <w:r w:rsidR="002A65F4" w:rsidRPr="002D499A">
        <w:rPr>
          <w:rFonts w:asciiTheme="minorHAnsi" w:hAnsiTheme="minorHAnsi" w:cstheme="minorHAnsi"/>
          <w:bCs/>
          <w:lang w:val="fr-FR"/>
        </w:rPr>
        <w:t xml:space="preserve"> </w:t>
      </w:r>
      <w:r w:rsidR="00DB58A9" w:rsidRPr="002D499A">
        <w:rPr>
          <w:rFonts w:asciiTheme="minorHAnsi" w:hAnsiTheme="minorHAnsi" w:cstheme="minorHAnsi"/>
          <w:bCs/>
          <w:lang w:val="fr-FR"/>
        </w:rPr>
        <w:t>la Perspective pour le patrimoine mondial de l’U</w:t>
      </w:r>
      <w:r w:rsidR="002D499A" w:rsidRPr="002D499A">
        <w:rPr>
          <w:rFonts w:asciiTheme="minorHAnsi" w:hAnsiTheme="minorHAnsi" w:cstheme="minorHAnsi"/>
          <w:bCs/>
          <w:lang w:val="fr-FR"/>
        </w:rPr>
        <w:t>nion internationale pour la conservation de la nature (U</w:t>
      </w:r>
      <w:r w:rsidR="00DB58A9" w:rsidRPr="002D499A">
        <w:rPr>
          <w:rFonts w:asciiTheme="minorHAnsi" w:hAnsiTheme="minorHAnsi" w:cstheme="minorHAnsi"/>
          <w:bCs/>
          <w:lang w:val="fr-FR"/>
        </w:rPr>
        <w:t>ICN</w:t>
      </w:r>
      <w:r w:rsidR="002D499A" w:rsidRPr="002D499A">
        <w:rPr>
          <w:rFonts w:asciiTheme="minorHAnsi" w:hAnsiTheme="minorHAnsi" w:cstheme="minorHAnsi"/>
          <w:bCs/>
          <w:lang w:val="fr-FR"/>
        </w:rPr>
        <w:t>)</w:t>
      </w:r>
      <w:r w:rsidR="00DB58A9" w:rsidRPr="002D499A">
        <w:rPr>
          <w:lang w:val="fr-FR"/>
        </w:rPr>
        <w:t xml:space="preserve"> </w:t>
      </w:r>
      <w:r w:rsidR="00DB58A9" w:rsidRPr="002D499A">
        <w:rPr>
          <w:rFonts w:asciiTheme="minorHAnsi" w:hAnsiTheme="minorHAnsi" w:cstheme="minorHAnsi"/>
          <w:bCs/>
          <w:lang w:val="fr-FR"/>
        </w:rPr>
        <w:t xml:space="preserve">le </w:t>
      </w:r>
      <w:r w:rsidR="002D499A" w:rsidRPr="002D499A">
        <w:rPr>
          <w:rFonts w:asciiTheme="minorHAnsi" w:hAnsiTheme="minorHAnsi" w:cstheme="minorHAnsi"/>
          <w:bCs/>
          <w:lang w:val="fr-FR"/>
        </w:rPr>
        <w:t>Programme des nations Unies pour l’environnement (</w:t>
      </w:r>
      <w:r w:rsidR="00DB58A9" w:rsidRPr="002D499A">
        <w:rPr>
          <w:rFonts w:asciiTheme="minorHAnsi" w:hAnsiTheme="minorHAnsi" w:cstheme="minorHAnsi"/>
          <w:bCs/>
          <w:lang w:val="fr-FR"/>
        </w:rPr>
        <w:t>PNUE</w:t>
      </w:r>
      <w:r w:rsidR="002D499A" w:rsidRPr="002D499A">
        <w:rPr>
          <w:rFonts w:asciiTheme="minorHAnsi" w:hAnsiTheme="minorHAnsi" w:cstheme="minorHAnsi"/>
          <w:bCs/>
          <w:lang w:val="fr-FR"/>
        </w:rPr>
        <w:t>)</w:t>
      </w:r>
      <w:r w:rsidR="00DB58A9" w:rsidRPr="002D499A">
        <w:rPr>
          <w:rFonts w:asciiTheme="minorHAnsi" w:hAnsiTheme="minorHAnsi" w:cstheme="minorHAnsi"/>
          <w:bCs/>
          <w:lang w:val="fr-FR"/>
        </w:rPr>
        <w:t xml:space="preserve">, le PNUE-GRID, </w:t>
      </w:r>
      <w:r w:rsidR="002D499A" w:rsidRPr="002D499A">
        <w:rPr>
          <w:rFonts w:asciiTheme="minorHAnsi" w:hAnsiTheme="minorHAnsi" w:cstheme="minorHAnsi"/>
          <w:bCs/>
          <w:lang w:val="fr-FR"/>
        </w:rPr>
        <w:t>le Programme des nations Unies pour le développement</w:t>
      </w:r>
      <w:r w:rsidR="00DB58A9" w:rsidRPr="002D499A">
        <w:rPr>
          <w:rFonts w:asciiTheme="minorHAnsi" w:hAnsiTheme="minorHAnsi" w:cstheme="minorHAnsi"/>
          <w:bCs/>
          <w:lang w:val="fr-FR"/>
        </w:rPr>
        <w:t xml:space="preserve"> </w:t>
      </w:r>
      <w:r w:rsidR="002D499A" w:rsidRPr="002D499A">
        <w:rPr>
          <w:rFonts w:asciiTheme="minorHAnsi" w:hAnsiTheme="minorHAnsi" w:cstheme="minorHAnsi"/>
          <w:bCs/>
          <w:lang w:val="fr-FR"/>
        </w:rPr>
        <w:t>(</w:t>
      </w:r>
      <w:r w:rsidR="00DB58A9" w:rsidRPr="002D499A">
        <w:rPr>
          <w:rFonts w:asciiTheme="minorHAnsi" w:hAnsiTheme="minorHAnsi" w:cstheme="minorHAnsi"/>
          <w:bCs/>
          <w:lang w:val="fr-FR"/>
        </w:rPr>
        <w:t>PNUD</w:t>
      </w:r>
      <w:r w:rsidR="002D499A" w:rsidRPr="002D499A">
        <w:rPr>
          <w:rFonts w:asciiTheme="minorHAnsi" w:hAnsiTheme="minorHAnsi" w:cstheme="minorHAnsi"/>
          <w:bCs/>
          <w:lang w:val="fr-FR"/>
        </w:rPr>
        <w:t>)</w:t>
      </w:r>
      <w:r w:rsidR="00DB58A9" w:rsidRPr="002D499A">
        <w:rPr>
          <w:rFonts w:asciiTheme="minorHAnsi" w:hAnsiTheme="minorHAnsi" w:cstheme="minorHAnsi"/>
          <w:bCs/>
          <w:lang w:val="fr-FR"/>
        </w:rPr>
        <w:t>, l’Organisation des Nations Unies pour l’éducation, la science et la culture (UNESCO), les commissions économiques régionales des Nations Unies, la Banque mondiale, l’</w:t>
      </w:r>
      <w:r w:rsidR="002D499A" w:rsidRPr="002D499A">
        <w:rPr>
          <w:rFonts w:asciiTheme="minorHAnsi" w:hAnsiTheme="minorHAnsi" w:cstheme="minorHAnsi"/>
          <w:bCs/>
          <w:lang w:val="fr-FR"/>
        </w:rPr>
        <w:t>Organisation mondiale de la santé (</w:t>
      </w:r>
      <w:r w:rsidR="00DB58A9" w:rsidRPr="002D499A">
        <w:rPr>
          <w:rFonts w:asciiTheme="minorHAnsi" w:hAnsiTheme="minorHAnsi" w:cstheme="minorHAnsi"/>
          <w:bCs/>
          <w:lang w:val="fr-FR"/>
        </w:rPr>
        <w:t>OMS</w:t>
      </w:r>
      <w:r w:rsidR="002D499A" w:rsidRPr="002D499A">
        <w:rPr>
          <w:rFonts w:asciiTheme="minorHAnsi" w:hAnsiTheme="minorHAnsi" w:cstheme="minorHAnsi"/>
          <w:bCs/>
          <w:lang w:val="fr-FR"/>
        </w:rPr>
        <w:t>)</w:t>
      </w:r>
      <w:r w:rsidR="00DB58A9" w:rsidRPr="002D499A">
        <w:rPr>
          <w:rFonts w:asciiTheme="minorHAnsi" w:hAnsiTheme="minorHAnsi" w:cstheme="minorHAnsi"/>
          <w:bCs/>
          <w:lang w:val="fr-FR"/>
        </w:rPr>
        <w:t xml:space="preserve">, l’Organisation météorologique mondiale (OMM), </w:t>
      </w:r>
      <w:r w:rsidR="002D499A" w:rsidRPr="002D499A">
        <w:rPr>
          <w:rFonts w:asciiTheme="minorHAnsi" w:hAnsiTheme="minorHAnsi" w:cstheme="minorHAnsi"/>
          <w:bCs/>
          <w:lang w:val="fr-FR"/>
        </w:rPr>
        <w:t>l’Organisation des Nations Unies pour l’alimentation et l’agriculture</w:t>
      </w:r>
      <w:r w:rsidR="00DB58A9" w:rsidRPr="002D499A">
        <w:rPr>
          <w:rFonts w:asciiTheme="minorHAnsi" w:hAnsiTheme="minorHAnsi" w:cstheme="minorHAnsi"/>
          <w:bCs/>
          <w:lang w:val="fr-FR"/>
        </w:rPr>
        <w:t xml:space="preserve"> </w:t>
      </w:r>
      <w:r w:rsidR="002D499A" w:rsidRPr="002D499A">
        <w:rPr>
          <w:rFonts w:asciiTheme="minorHAnsi" w:hAnsiTheme="minorHAnsi" w:cstheme="minorHAnsi"/>
          <w:bCs/>
          <w:lang w:val="fr-FR"/>
        </w:rPr>
        <w:t>(</w:t>
      </w:r>
      <w:r w:rsidR="00DB58A9" w:rsidRPr="002D499A">
        <w:rPr>
          <w:rFonts w:asciiTheme="minorHAnsi" w:hAnsiTheme="minorHAnsi" w:cstheme="minorHAnsi"/>
          <w:bCs/>
          <w:lang w:val="fr-FR"/>
        </w:rPr>
        <w:t>FAO</w:t>
      </w:r>
      <w:r w:rsidR="002D499A" w:rsidRPr="002D499A">
        <w:rPr>
          <w:rFonts w:asciiTheme="minorHAnsi" w:hAnsiTheme="minorHAnsi" w:cstheme="minorHAnsi"/>
          <w:bCs/>
          <w:lang w:val="fr-FR"/>
        </w:rPr>
        <w:t>)</w:t>
      </w:r>
      <w:r w:rsidR="00DB58A9" w:rsidRPr="002D499A">
        <w:rPr>
          <w:rFonts w:asciiTheme="minorHAnsi" w:hAnsiTheme="minorHAnsi" w:cstheme="minorHAnsi"/>
          <w:bCs/>
          <w:lang w:val="fr-FR"/>
        </w:rPr>
        <w:t xml:space="preserve">, le </w:t>
      </w:r>
      <w:r w:rsidR="002D499A" w:rsidRPr="002D499A">
        <w:rPr>
          <w:rFonts w:asciiTheme="minorHAnsi" w:hAnsiTheme="minorHAnsi" w:cstheme="minorHAnsi"/>
          <w:bCs/>
          <w:lang w:val="fr-FR"/>
        </w:rPr>
        <w:t>Fonds pour l’environnement mondial (</w:t>
      </w:r>
      <w:r w:rsidR="00DB58A9" w:rsidRPr="002D499A">
        <w:rPr>
          <w:rFonts w:asciiTheme="minorHAnsi" w:hAnsiTheme="minorHAnsi" w:cstheme="minorHAnsi"/>
          <w:bCs/>
          <w:lang w:val="fr-FR"/>
        </w:rPr>
        <w:t>FEM</w:t>
      </w:r>
      <w:r w:rsidR="002D499A" w:rsidRPr="002D499A">
        <w:rPr>
          <w:rFonts w:asciiTheme="minorHAnsi" w:hAnsiTheme="minorHAnsi" w:cstheme="minorHAnsi"/>
          <w:bCs/>
          <w:lang w:val="fr-FR"/>
        </w:rPr>
        <w:t>)</w:t>
      </w:r>
      <w:r w:rsidR="00DB58A9" w:rsidRPr="002D499A">
        <w:rPr>
          <w:rFonts w:asciiTheme="minorHAnsi" w:hAnsiTheme="minorHAnsi" w:cstheme="minorHAnsi"/>
          <w:bCs/>
          <w:lang w:val="fr-FR"/>
        </w:rPr>
        <w:t>, la Plateforme intergouvernementale, politique et scientifique, sur la biodiversité et les services écosystémiques (IPBES), entre autres, et de faire régulièrement rapport sur les progrès au Comité permanent et aux Parties contractantes.</w:t>
      </w:r>
    </w:p>
    <w:p w14:paraId="2010D31F" w14:textId="77777777" w:rsidR="00073599" w:rsidRPr="002D499A" w:rsidRDefault="00073599" w:rsidP="005522A4">
      <w:pPr>
        <w:pStyle w:val="ListParagraph"/>
        <w:suppressAutoHyphens/>
        <w:ind w:left="426" w:hanging="426"/>
        <w:jc w:val="left"/>
        <w:rPr>
          <w:rFonts w:asciiTheme="minorHAnsi" w:hAnsiTheme="minorHAnsi"/>
          <w:lang w:val="fr-FR"/>
        </w:rPr>
      </w:pPr>
    </w:p>
    <w:p w14:paraId="40801923" w14:textId="344D1A0D" w:rsidR="00073599" w:rsidRPr="002D499A" w:rsidRDefault="00265195" w:rsidP="00265195">
      <w:pPr>
        <w:pStyle w:val="ListParagraph"/>
        <w:numPr>
          <w:ilvl w:val="0"/>
          <w:numId w:val="19"/>
        </w:numPr>
        <w:ind w:left="426" w:hanging="426"/>
        <w:jc w:val="left"/>
        <w:rPr>
          <w:rFonts w:asciiTheme="minorHAnsi" w:hAnsiTheme="minorHAnsi" w:cstheme="minorHAnsi"/>
          <w:bCs/>
          <w:lang w:val="fr-FR"/>
        </w:rPr>
      </w:pPr>
      <w:r w:rsidRPr="002D499A">
        <w:rPr>
          <w:rFonts w:asciiTheme="minorHAnsi" w:hAnsiTheme="minorHAnsi" w:cstheme="minorHAnsi"/>
          <w:bCs/>
          <w:lang w:val="fr-FR"/>
        </w:rPr>
        <w:t>Le</w:t>
      </w:r>
      <w:r w:rsidR="002A65F4" w:rsidRPr="002D499A">
        <w:rPr>
          <w:rFonts w:asciiTheme="minorHAnsi" w:hAnsiTheme="minorHAnsi" w:cstheme="minorHAnsi"/>
          <w:bCs/>
          <w:lang w:val="fr-FR"/>
        </w:rPr>
        <w:t xml:space="preserve"> </w:t>
      </w:r>
      <w:r w:rsidRPr="002D499A">
        <w:rPr>
          <w:rFonts w:asciiTheme="minorHAnsi" w:hAnsiTheme="minorHAnsi" w:cstheme="minorHAnsi"/>
          <w:bCs/>
          <w:lang w:val="fr-FR"/>
        </w:rPr>
        <w:t>Secrétariat est aussi prié</w:t>
      </w:r>
      <w:r w:rsidR="0040531D" w:rsidRPr="002D499A">
        <w:rPr>
          <w:rFonts w:asciiTheme="minorHAnsi" w:hAnsiTheme="minorHAnsi" w:cstheme="minorHAnsi"/>
          <w:bCs/>
          <w:lang w:val="fr-FR"/>
        </w:rPr>
        <w:t>,</w:t>
      </w:r>
      <w:r w:rsidRPr="002D499A">
        <w:rPr>
          <w:rFonts w:asciiTheme="minorHAnsi" w:hAnsiTheme="minorHAnsi" w:cstheme="minorHAnsi"/>
          <w:bCs/>
          <w:lang w:val="fr-FR"/>
        </w:rPr>
        <w:t xml:space="preserve"> au paragraphe</w:t>
      </w:r>
      <w:r w:rsidR="002A65F4" w:rsidRPr="002D499A">
        <w:rPr>
          <w:rFonts w:asciiTheme="minorHAnsi" w:hAnsiTheme="minorHAnsi" w:cstheme="minorHAnsi"/>
          <w:bCs/>
          <w:lang w:val="fr-FR"/>
        </w:rPr>
        <w:t xml:space="preserve"> </w:t>
      </w:r>
      <w:r w:rsidR="00073599" w:rsidRPr="002D499A">
        <w:rPr>
          <w:rFonts w:asciiTheme="minorHAnsi" w:hAnsiTheme="minorHAnsi" w:cstheme="minorHAnsi"/>
          <w:bCs/>
          <w:lang w:val="fr-FR"/>
        </w:rPr>
        <w:t>44</w:t>
      </w:r>
      <w:r w:rsidRPr="002D499A">
        <w:rPr>
          <w:rFonts w:asciiTheme="minorHAnsi" w:hAnsiTheme="minorHAnsi" w:cstheme="minorHAnsi"/>
          <w:bCs/>
          <w:lang w:val="fr-FR"/>
        </w:rPr>
        <w:t xml:space="preserve"> de la Résolution XII.3</w:t>
      </w:r>
      <w:r w:rsidR="00073599" w:rsidRPr="002D499A">
        <w:rPr>
          <w:rFonts w:asciiTheme="minorHAnsi" w:hAnsiTheme="minorHAnsi" w:cstheme="minorHAnsi"/>
          <w:bCs/>
          <w:lang w:val="fr-FR"/>
        </w:rPr>
        <w:t>,</w:t>
      </w:r>
      <w:r w:rsidR="002A65F4" w:rsidRPr="002D499A">
        <w:rPr>
          <w:rFonts w:asciiTheme="minorHAnsi" w:hAnsiTheme="minorHAnsi" w:cstheme="minorHAnsi"/>
          <w:bCs/>
          <w:lang w:val="fr-FR"/>
        </w:rPr>
        <w:t xml:space="preserve"> </w:t>
      </w:r>
      <w:r w:rsidRPr="002D499A">
        <w:rPr>
          <w:rFonts w:asciiTheme="minorHAnsi" w:hAnsiTheme="minorHAnsi" w:cstheme="minorHAnsi"/>
          <w:bCs/>
          <w:lang w:val="fr-FR"/>
        </w:rPr>
        <w:t xml:space="preserve">de poursuivre ses travaux avec le Groupe de liaison sur la biodiversité pour renforcer la cohérence et la coopération, poursuivre les efforts d’amélioration de l’efficacité et réduire le recouvrement et le </w:t>
      </w:r>
      <w:r w:rsidRPr="002D499A">
        <w:rPr>
          <w:rFonts w:asciiTheme="minorHAnsi" w:hAnsiTheme="minorHAnsi" w:cstheme="minorHAnsi"/>
          <w:bCs/>
          <w:lang w:val="fr-FR"/>
        </w:rPr>
        <w:lastRenderedPageBreak/>
        <w:t>dédoublement inutiles à tous les niveaux pertinents entre les conventions relatives à la biodiversité</w:t>
      </w:r>
      <w:r w:rsidR="00073599" w:rsidRPr="002D499A">
        <w:rPr>
          <w:rFonts w:asciiTheme="minorHAnsi" w:hAnsiTheme="minorHAnsi" w:cstheme="minorHAnsi"/>
          <w:bCs/>
          <w:lang w:val="fr-FR"/>
        </w:rPr>
        <w:t>.</w:t>
      </w:r>
    </w:p>
    <w:p w14:paraId="0D513B7E" w14:textId="77777777" w:rsidR="00073599" w:rsidRPr="002D499A" w:rsidRDefault="00073599" w:rsidP="005522A4">
      <w:pPr>
        <w:pStyle w:val="ListParagraph"/>
        <w:ind w:left="426" w:hanging="426"/>
        <w:jc w:val="left"/>
        <w:rPr>
          <w:rFonts w:asciiTheme="minorHAnsi" w:hAnsiTheme="minorHAnsi" w:cstheme="minorHAnsi"/>
          <w:bCs/>
          <w:lang w:val="fr-FR"/>
        </w:rPr>
      </w:pPr>
    </w:p>
    <w:p w14:paraId="00641A35" w14:textId="3D06DCE0" w:rsidR="00812CC5" w:rsidRPr="002D499A" w:rsidRDefault="00116882" w:rsidP="00116882">
      <w:pPr>
        <w:pStyle w:val="ListParagraph"/>
        <w:numPr>
          <w:ilvl w:val="0"/>
          <w:numId w:val="19"/>
        </w:numPr>
        <w:ind w:left="426" w:right="-46" w:hanging="426"/>
        <w:jc w:val="left"/>
        <w:rPr>
          <w:rFonts w:asciiTheme="minorHAnsi" w:hAnsiTheme="minorHAnsi" w:cstheme="minorHAnsi"/>
          <w:bCs/>
          <w:lang w:val="fr-FR"/>
        </w:rPr>
      </w:pPr>
      <w:r w:rsidRPr="002D499A">
        <w:rPr>
          <w:rFonts w:asciiTheme="minorHAnsi" w:hAnsiTheme="minorHAnsi"/>
          <w:lang w:val="fr-FR"/>
        </w:rPr>
        <w:t>La Ré</w:t>
      </w:r>
      <w:r w:rsidR="00073599" w:rsidRPr="002D499A">
        <w:rPr>
          <w:rFonts w:asciiTheme="minorHAnsi" w:hAnsiTheme="minorHAnsi"/>
          <w:lang w:val="fr-FR"/>
        </w:rPr>
        <w:t>solution</w:t>
      </w:r>
      <w:r w:rsidR="002A65F4" w:rsidRPr="002D499A">
        <w:rPr>
          <w:rFonts w:asciiTheme="minorHAnsi" w:hAnsiTheme="minorHAnsi"/>
          <w:lang w:val="fr-FR"/>
        </w:rPr>
        <w:t xml:space="preserve"> </w:t>
      </w:r>
      <w:r w:rsidR="00073599" w:rsidRPr="002D499A">
        <w:rPr>
          <w:rFonts w:asciiTheme="minorHAnsi" w:hAnsiTheme="minorHAnsi"/>
          <w:lang w:val="fr-FR"/>
        </w:rPr>
        <w:t>XII.7</w:t>
      </w:r>
      <w:r w:rsidRPr="002D499A">
        <w:rPr>
          <w:rFonts w:asciiTheme="minorHAnsi" w:hAnsiTheme="minorHAnsi"/>
          <w:lang w:val="fr-FR"/>
        </w:rPr>
        <w:t>,</w:t>
      </w:r>
      <w:r w:rsidR="002A65F4" w:rsidRPr="002D499A">
        <w:rPr>
          <w:rFonts w:asciiTheme="minorHAnsi" w:hAnsiTheme="minorHAnsi"/>
          <w:lang w:val="fr-FR"/>
        </w:rPr>
        <w:t xml:space="preserve"> </w:t>
      </w:r>
      <w:r w:rsidRPr="002D499A">
        <w:rPr>
          <w:rFonts w:ascii="Calibri" w:hAnsi="Calibri"/>
          <w:bCs/>
          <w:i/>
          <w:lang w:val="fr-FR"/>
        </w:rPr>
        <w:t>Cadre de la Convention de Ramsar pour la mobilisation de ressources et les partenariats</w:t>
      </w:r>
      <w:r w:rsidR="00812CC5" w:rsidRPr="002D499A">
        <w:rPr>
          <w:rFonts w:ascii="Calibri" w:hAnsi="Calibri"/>
          <w:bCs/>
          <w:i/>
          <w:lang w:val="fr-FR"/>
        </w:rPr>
        <w:t>,</w:t>
      </w:r>
      <w:r w:rsidR="002A65F4" w:rsidRPr="002D499A">
        <w:rPr>
          <w:rFonts w:ascii="Calibri" w:hAnsi="Calibri"/>
          <w:bCs/>
          <w:i/>
          <w:lang w:val="fr-FR"/>
        </w:rPr>
        <w:t xml:space="preserve"> </w:t>
      </w:r>
      <w:r w:rsidR="00265195" w:rsidRPr="002D499A">
        <w:rPr>
          <w:rFonts w:ascii="Calibri" w:hAnsi="Calibri"/>
          <w:bCs/>
          <w:lang w:val="fr-FR"/>
        </w:rPr>
        <w:t>au</w:t>
      </w:r>
      <w:r w:rsidR="002A65F4" w:rsidRPr="002D499A">
        <w:rPr>
          <w:rFonts w:ascii="Calibri" w:hAnsi="Calibri"/>
          <w:bCs/>
          <w:lang w:val="fr-FR"/>
        </w:rPr>
        <w:t xml:space="preserve"> </w:t>
      </w:r>
      <w:r w:rsidR="00073599" w:rsidRPr="002D499A">
        <w:rPr>
          <w:rFonts w:ascii="Calibri" w:hAnsi="Calibri"/>
          <w:bCs/>
          <w:lang w:val="fr-FR"/>
        </w:rPr>
        <w:t>paragraph</w:t>
      </w:r>
      <w:r w:rsidR="00265195" w:rsidRPr="002D499A">
        <w:rPr>
          <w:rFonts w:ascii="Calibri" w:hAnsi="Calibri"/>
          <w:bCs/>
          <w:lang w:val="fr-FR"/>
        </w:rPr>
        <w:t>e</w:t>
      </w:r>
      <w:r w:rsidR="002A65F4" w:rsidRPr="002D499A">
        <w:rPr>
          <w:rFonts w:ascii="Calibri" w:hAnsi="Calibri"/>
          <w:bCs/>
          <w:lang w:val="fr-FR"/>
        </w:rPr>
        <w:t xml:space="preserve"> </w:t>
      </w:r>
      <w:r w:rsidR="00073599" w:rsidRPr="002D499A">
        <w:rPr>
          <w:rFonts w:asciiTheme="minorHAnsi" w:hAnsiTheme="minorHAnsi"/>
          <w:lang w:val="fr-FR"/>
        </w:rPr>
        <w:t>21</w:t>
      </w:r>
      <w:r w:rsidR="00FA633D" w:rsidRPr="002D499A">
        <w:rPr>
          <w:rFonts w:asciiTheme="minorHAnsi" w:hAnsiTheme="minorHAnsi"/>
          <w:lang w:val="fr-FR"/>
        </w:rPr>
        <w:t>,</w:t>
      </w:r>
      <w:r w:rsidR="002A65F4" w:rsidRPr="002D499A">
        <w:rPr>
          <w:rFonts w:asciiTheme="minorHAnsi" w:hAnsiTheme="minorHAnsi"/>
          <w:lang w:val="fr-FR"/>
        </w:rPr>
        <w:t xml:space="preserve"> </w:t>
      </w:r>
      <w:r w:rsidR="0007091C" w:rsidRPr="002D499A">
        <w:rPr>
          <w:rFonts w:asciiTheme="minorHAnsi" w:hAnsiTheme="minorHAnsi"/>
          <w:lang w:val="fr-FR"/>
        </w:rPr>
        <w:t>demande</w:t>
      </w:r>
      <w:r w:rsidR="002A65F4" w:rsidRPr="002D499A">
        <w:rPr>
          <w:rFonts w:asciiTheme="minorHAnsi" w:hAnsiTheme="minorHAnsi"/>
          <w:lang w:val="fr-FR"/>
        </w:rPr>
        <w:t xml:space="preserve"> </w:t>
      </w:r>
      <w:r w:rsidR="0007091C" w:rsidRPr="002D499A">
        <w:rPr>
          <w:rFonts w:ascii="Calibri" w:hAnsi="Calibri"/>
          <w:lang w:val="fr-FR"/>
        </w:rPr>
        <w:t>au Secrétariat de renforcer les partenariats avec d’autres accords multilatéraux sur l’environnement comme, par exemple, la Convention des Nations Unies sur la lutte contre la désertification (CNULD)</w:t>
      </w:r>
      <w:r w:rsidR="004748C3" w:rsidRPr="002D499A">
        <w:rPr>
          <w:rFonts w:ascii="Calibri" w:hAnsi="Calibri"/>
          <w:lang w:val="fr-FR"/>
        </w:rPr>
        <w:t xml:space="preserve"> et</w:t>
      </w:r>
      <w:r w:rsidR="0007091C" w:rsidRPr="002D499A">
        <w:rPr>
          <w:rFonts w:ascii="Calibri" w:hAnsi="Calibri"/>
          <w:lang w:val="fr-FR"/>
        </w:rPr>
        <w:t xml:space="preserve"> la</w:t>
      </w:r>
      <w:r w:rsidR="002D499A">
        <w:rPr>
          <w:rFonts w:ascii="Calibri" w:hAnsi="Calibri"/>
          <w:lang w:val="fr-FR"/>
        </w:rPr>
        <w:t xml:space="preserve"> Convention sur la diversité biologique</w:t>
      </w:r>
      <w:r w:rsidR="0007091C" w:rsidRPr="002D499A">
        <w:rPr>
          <w:rFonts w:ascii="Calibri" w:hAnsi="Calibri"/>
          <w:lang w:val="fr-FR"/>
        </w:rPr>
        <w:t xml:space="preserve"> </w:t>
      </w:r>
      <w:r w:rsidR="002D499A">
        <w:rPr>
          <w:rFonts w:ascii="Calibri" w:hAnsi="Calibri"/>
          <w:lang w:val="fr-FR"/>
        </w:rPr>
        <w:t>(</w:t>
      </w:r>
      <w:r w:rsidR="0007091C" w:rsidRPr="002D499A">
        <w:rPr>
          <w:rFonts w:ascii="Calibri" w:hAnsi="Calibri"/>
          <w:lang w:val="fr-FR"/>
        </w:rPr>
        <w:t>CDB</w:t>
      </w:r>
      <w:r w:rsidR="002D499A">
        <w:rPr>
          <w:rFonts w:ascii="Calibri" w:hAnsi="Calibri"/>
          <w:lang w:val="fr-FR"/>
        </w:rPr>
        <w:t>)</w:t>
      </w:r>
      <w:r w:rsidR="0007091C" w:rsidRPr="002D499A">
        <w:rPr>
          <w:rFonts w:ascii="Calibri" w:hAnsi="Calibri"/>
          <w:lang w:val="fr-FR"/>
        </w:rPr>
        <w:t>, afin de renforcer les synergies et le partage des ressources, d’éviter le dédoublement des efforts et d’améliorer la mise en œuvre, dans le respect du mandat de chaque Convention; et demande au Secrétariat de fournir, à la 51</w:t>
      </w:r>
      <w:r w:rsidR="0007091C" w:rsidRPr="002D499A">
        <w:rPr>
          <w:rFonts w:ascii="Calibri" w:hAnsi="Calibri"/>
          <w:vertAlign w:val="superscript"/>
          <w:lang w:val="fr-FR"/>
        </w:rPr>
        <w:t>e</w:t>
      </w:r>
      <w:r w:rsidR="0007091C" w:rsidRPr="002D499A">
        <w:rPr>
          <w:rFonts w:ascii="Calibri" w:hAnsi="Calibri"/>
          <w:lang w:val="fr-FR"/>
        </w:rPr>
        <w:t xml:space="preserve"> Réunion du Comité permanent, un plan sur la façon d’améliorer la coopération avec d’autres AME, et de rendre régulièrement compte de ses activités au Comité permanent</w:t>
      </w:r>
      <w:r w:rsidR="005526B6" w:rsidRPr="002D499A">
        <w:rPr>
          <w:rFonts w:asciiTheme="minorHAnsi" w:hAnsiTheme="minorHAnsi"/>
          <w:lang w:val="fr-FR"/>
        </w:rPr>
        <w:t>.</w:t>
      </w:r>
    </w:p>
    <w:p w14:paraId="1B4E1708" w14:textId="77777777" w:rsidR="00073599" w:rsidRPr="002D499A" w:rsidRDefault="00073599" w:rsidP="005522A4">
      <w:pPr>
        <w:tabs>
          <w:tab w:val="left" w:pos="709"/>
        </w:tabs>
        <w:suppressAutoHyphens/>
        <w:ind w:left="426" w:hanging="426"/>
        <w:rPr>
          <w:rFonts w:asciiTheme="minorHAnsi" w:hAnsiTheme="minorHAnsi"/>
          <w:lang w:val="fr-FR"/>
        </w:rPr>
      </w:pPr>
    </w:p>
    <w:p w14:paraId="1DD65518" w14:textId="4561F0CE" w:rsidR="00812CC5" w:rsidRPr="002D499A" w:rsidRDefault="004C4C7E" w:rsidP="005522A4">
      <w:pPr>
        <w:pStyle w:val="ListParagraph"/>
        <w:numPr>
          <w:ilvl w:val="0"/>
          <w:numId w:val="19"/>
        </w:numPr>
        <w:autoSpaceDE w:val="0"/>
        <w:autoSpaceDN w:val="0"/>
        <w:adjustRightInd w:val="0"/>
        <w:ind w:left="426" w:hanging="426"/>
        <w:jc w:val="left"/>
        <w:rPr>
          <w:rFonts w:asciiTheme="minorHAnsi" w:hAnsiTheme="minorHAnsi"/>
          <w:lang w:val="fr-FR"/>
        </w:rPr>
      </w:pPr>
      <w:r w:rsidRPr="002D499A">
        <w:rPr>
          <w:rFonts w:ascii="Calibri" w:eastAsiaTheme="minorHAnsi" w:hAnsi="Calibri" w:cs="Calibri"/>
          <w:color w:val="000000"/>
          <w:lang w:val="fr-FR"/>
        </w:rPr>
        <w:t xml:space="preserve">En conséquence, le présent rapport couvre les principales activités entreprises au titre de la </w:t>
      </w:r>
      <w:r w:rsidR="00F401EC" w:rsidRPr="002D499A">
        <w:rPr>
          <w:rFonts w:ascii="Calibri" w:eastAsiaTheme="minorHAnsi" w:hAnsi="Calibri" w:cs="Calibri"/>
          <w:color w:val="000000"/>
          <w:lang w:val="fr-FR"/>
        </w:rPr>
        <w:t>R</w:t>
      </w:r>
      <w:r w:rsidRPr="002D499A">
        <w:rPr>
          <w:rFonts w:ascii="Calibri" w:eastAsiaTheme="minorHAnsi" w:hAnsi="Calibri" w:cs="Calibri"/>
          <w:color w:val="000000"/>
          <w:lang w:val="fr-FR"/>
        </w:rPr>
        <w:t>é</w:t>
      </w:r>
      <w:r w:rsidR="00F401EC" w:rsidRPr="002D499A">
        <w:rPr>
          <w:rFonts w:ascii="Calibri" w:eastAsiaTheme="minorHAnsi" w:hAnsi="Calibri" w:cs="Calibri"/>
          <w:color w:val="000000"/>
          <w:lang w:val="fr-FR"/>
        </w:rPr>
        <w:t>solution</w:t>
      </w:r>
      <w:r w:rsidRPr="002D499A">
        <w:rPr>
          <w:rFonts w:ascii="Calibri" w:eastAsiaTheme="minorHAnsi" w:hAnsi="Calibri" w:cs="Calibri"/>
          <w:color w:val="000000"/>
          <w:lang w:val="fr-FR"/>
        </w:rPr>
        <w:t> </w:t>
      </w:r>
      <w:r w:rsidR="00F401EC" w:rsidRPr="002D499A">
        <w:rPr>
          <w:rFonts w:ascii="Calibri" w:eastAsiaTheme="minorHAnsi" w:hAnsi="Calibri" w:cs="Calibri"/>
          <w:color w:val="000000"/>
          <w:lang w:val="fr-FR"/>
        </w:rPr>
        <w:t>XI.6,</w:t>
      </w:r>
      <w:r w:rsidR="002A65F4" w:rsidRPr="002D499A">
        <w:rPr>
          <w:rFonts w:ascii="Calibri" w:eastAsiaTheme="minorHAnsi" w:hAnsi="Calibri" w:cs="Calibri"/>
          <w:color w:val="000000"/>
          <w:lang w:val="fr-FR"/>
        </w:rPr>
        <w:t xml:space="preserve"> </w:t>
      </w:r>
      <w:r w:rsidRPr="002D499A">
        <w:rPr>
          <w:rFonts w:ascii="Calibri" w:eastAsiaTheme="minorHAnsi" w:hAnsi="Calibri" w:cs="Calibri"/>
          <w:color w:val="000000"/>
          <w:lang w:val="fr-FR"/>
        </w:rPr>
        <w:t xml:space="preserve">et plus précisément les activités concernant le Groupe de liaison sur la biodiversité (GLB) et les organes scientifiques des conventions relatives à la biodiversité (CSAB) (paragraphes 23 et 43), les travaux en collaboration avec les Secrétariats de l’Accord sur les oiseaux d’eau migrateurs d’Afrique-Eurasie (AEWA) (paragraphe 24) et la Convention sur la conservation des espèces migratrices appartenant à la faune sauvage (CMS) ainsi que les progrès faits avec le PNUE et d’autres institutions. Il présente également un plan visant à renforcer la coopération avec d’autres AME. </w:t>
      </w:r>
    </w:p>
    <w:p w14:paraId="428B2AA6" w14:textId="77777777" w:rsidR="00812CC5" w:rsidRPr="002D499A" w:rsidRDefault="00812CC5" w:rsidP="005522A4">
      <w:pPr>
        <w:pStyle w:val="ListParagraph"/>
        <w:ind w:left="0"/>
        <w:jc w:val="left"/>
        <w:rPr>
          <w:rFonts w:asciiTheme="minorHAnsi" w:hAnsiTheme="minorHAnsi"/>
          <w:lang w:val="fr-FR"/>
        </w:rPr>
      </w:pPr>
    </w:p>
    <w:p w14:paraId="6FEFED3B" w14:textId="2F6CC10E" w:rsidR="00F401EC" w:rsidRPr="002D499A" w:rsidRDefault="004C4C7E" w:rsidP="005522A4">
      <w:pPr>
        <w:rPr>
          <w:rFonts w:asciiTheme="minorHAnsi" w:hAnsiTheme="minorHAnsi"/>
          <w:b/>
          <w:sz w:val="22"/>
          <w:szCs w:val="22"/>
          <w:lang w:val="fr-FR"/>
        </w:rPr>
      </w:pPr>
      <w:r w:rsidRPr="002D499A">
        <w:rPr>
          <w:rFonts w:asciiTheme="minorHAnsi" w:hAnsiTheme="minorHAnsi"/>
          <w:b/>
          <w:sz w:val="22"/>
          <w:szCs w:val="22"/>
          <w:lang w:val="fr-FR"/>
        </w:rPr>
        <w:t xml:space="preserve">Travaux dans le cadre du Groupe de liaison sur la biodiversité et avec les organes scientifiques des conventions relatives à la biodiversité </w:t>
      </w:r>
    </w:p>
    <w:p w14:paraId="626CE2D9" w14:textId="77777777" w:rsidR="00F401EC" w:rsidRPr="002D499A" w:rsidRDefault="00F401EC" w:rsidP="005522A4">
      <w:pPr>
        <w:rPr>
          <w:rFonts w:asciiTheme="minorHAnsi" w:hAnsiTheme="minorHAnsi"/>
          <w:sz w:val="22"/>
          <w:szCs w:val="22"/>
          <w:lang w:val="fr-FR"/>
        </w:rPr>
      </w:pPr>
    </w:p>
    <w:p w14:paraId="064786C3" w14:textId="2DB14AC9" w:rsidR="002835A3" w:rsidRPr="002D499A" w:rsidRDefault="004C4C7E" w:rsidP="005522A4">
      <w:pPr>
        <w:pStyle w:val="ListParagraph"/>
        <w:numPr>
          <w:ilvl w:val="0"/>
          <w:numId w:val="19"/>
        </w:numPr>
        <w:autoSpaceDE w:val="0"/>
        <w:autoSpaceDN w:val="0"/>
        <w:adjustRightInd w:val="0"/>
        <w:ind w:left="426" w:hanging="426"/>
        <w:jc w:val="left"/>
        <w:rPr>
          <w:rFonts w:ascii="Calibri" w:eastAsiaTheme="minorHAnsi" w:hAnsi="Calibri" w:cs="Calibri"/>
          <w:color w:val="000000"/>
          <w:lang w:val="fr-FR"/>
        </w:rPr>
      </w:pPr>
      <w:r w:rsidRPr="002D499A">
        <w:rPr>
          <w:rFonts w:ascii="Calibri" w:eastAsiaTheme="minorHAnsi" w:hAnsi="Calibri" w:cs="Calibri"/>
          <w:color w:val="000000"/>
          <w:lang w:val="fr-FR"/>
        </w:rPr>
        <w:t xml:space="preserve">Le Secrétariat </w:t>
      </w:r>
      <w:r w:rsidR="00D56300" w:rsidRPr="002D499A">
        <w:rPr>
          <w:rFonts w:ascii="Calibri" w:eastAsiaTheme="minorHAnsi" w:hAnsi="Calibri" w:cs="Calibri"/>
          <w:color w:val="000000"/>
          <w:lang w:val="fr-FR"/>
        </w:rPr>
        <w:t>Ramsar</w:t>
      </w:r>
      <w:r w:rsidR="002A65F4" w:rsidRPr="002D499A">
        <w:rPr>
          <w:rFonts w:ascii="Calibri" w:eastAsiaTheme="minorHAnsi" w:hAnsi="Calibri" w:cs="Calibri"/>
          <w:color w:val="000000"/>
          <w:lang w:val="fr-FR"/>
        </w:rPr>
        <w:t xml:space="preserve"> </w:t>
      </w:r>
      <w:r w:rsidRPr="002D499A">
        <w:rPr>
          <w:rFonts w:ascii="Calibri" w:eastAsiaTheme="minorHAnsi" w:hAnsi="Calibri" w:cs="Calibri"/>
          <w:color w:val="000000"/>
          <w:lang w:val="fr-FR"/>
        </w:rPr>
        <w:t xml:space="preserve">a continué de participer aux réunions et actions conjointes du Groupe de liaison sur la biodiversité, selon son Plan d’activités conjointes pour la période biennale </w:t>
      </w:r>
      <w:r w:rsidR="00D56300" w:rsidRPr="002D499A">
        <w:rPr>
          <w:rFonts w:ascii="Calibri" w:eastAsiaTheme="minorHAnsi" w:hAnsi="Calibri" w:cs="Calibri"/>
          <w:color w:val="000000"/>
          <w:lang w:val="fr-FR"/>
        </w:rPr>
        <w:t>2013</w:t>
      </w:r>
      <w:r w:rsidRPr="002D499A">
        <w:rPr>
          <w:rFonts w:ascii="Calibri" w:eastAsiaTheme="minorHAnsi" w:hAnsi="Calibri" w:cs="Calibri"/>
          <w:color w:val="000000"/>
          <w:lang w:val="fr-FR"/>
        </w:rPr>
        <w:noBreakHyphen/>
      </w:r>
      <w:r w:rsidR="00D56300" w:rsidRPr="002D499A">
        <w:rPr>
          <w:rFonts w:ascii="Calibri" w:eastAsiaTheme="minorHAnsi" w:hAnsi="Calibri" w:cs="Calibri"/>
          <w:color w:val="000000"/>
          <w:lang w:val="fr-FR"/>
        </w:rPr>
        <w:t>2014</w:t>
      </w:r>
      <w:r w:rsidR="00720D5C" w:rsidRPr="002D499A">
        <w:rPr>
          <w:rFonts w:ascii="Calibri" w:eastAsiaTheme="minorHAnsi" w:hAnsi="Calibri" w:cs="Calibri"/>
          <w:color w:val="000000"/>
          <w:lang w:val="fr-FR"/>
        </w:rPr>
        <w:t>.</w:t>
      </w:r>
      <w:r w:rsidR="002A65F4" w:rsidRPr="002D499A">
        <w:rPr>
          <w:rFonts w:ascii="Calibri" w:eastAsiaTheme="minorHAnsi" w:hAnsi="Calibri" w:cs="Calibri"/>
          <w:color w:val="000000"/>
          <w:lang w:val="fr-FR"/>
        </w:rPr>
        <w:t xml:space="preserve"> </w:t>
      </w:r>
      <w:r w:rsidRPr="002D499A">
        <w:rPr>
          <w:rFonts w:ascii="Calibri" w:eastAsiaTheme="minorHAnsi" w:hAnsi="Calibri" w:cs="Calibri"/>
          <w:color w:val="000000"/>
          <w:lang w:val="fr-FR"/>
        </w:rPr>
        <w:t xml:space="preserve">Lors de la dernière conférence vidéo du GLB, en janvier 2015, des questions clés ont été discutées telles que le processus des Objectifs de développement durable (ODD) et les prochaines étapes, les systèmes d’information concernant les rapports conjoints, les ateliers à composition étendue du FEM et le cadre mis à jour pour la coopération et la communication ainsi que la sensibilisation du public. Le Secrétariat assistera à la prochaine réunion du GLB, en septembre 2015, ainsi qu’à celle du nouveau </w:t>
      </w:r>
      <w:r w:rsidR="004748C3" w:rsidRPr="002D499A">
        <w:rPr>
          <w:rFonts w:ascii="Calibri" w:eastAsiaTheme="minorHAnsi" w:hAnsi="Calibri" w:cs="Calibri"/>
          <w:color w:val="000000"/>
          <w:lang w:val="fr-FR"/>
        </w:rPr>
        <w:t>g</w:t>
      </w:r>
      <w:r w:rsidRPr="002D499A">
        <w:rPr>
          <w:rFonts w:ascii="Calibri" w:eastAsiaTheme="minorHAnsi" w:hAnsi="Calibri" w:cs="Calibri"/>
          <w:color w:val="000000"/>
          <w:lang w:val="fr-FR"/>
        </w:rPr>
        <w:t>roupe consultatif informel qui accompagne désormais le processus du GLB.</w:t>
      </w:r>
    </w:p>
    <w:p w14:paraId="010997D9" w14:textId="77777777" w:rsidR="00B446EE" w:rsidRPr="002D499A" w:rsidRDefault="00B446EE" w:rsidP="005522A4">
      <w:pPr>
        <w:autoSpaceDE w:val="0"/>
        <w:autoSpaceDN w:val="0"/>
        <w:adjustRightInd w:val="0"/>
        <w:ind w:left="426" w:hanging="426"/>
        <w:rPr>
          <w:rFonts w:ascii="Calibri" w:eastAsiaTheme="minorHAnsi" w:hAnsi="Calibri" w:cs="Calibri"/>
          <w:color w:val="000000"/>
          <w:lang w:val="fr-FR"/>
        </w:rPr>
      </w:pPr>
    </w:p>
    <w:p w14:paraId="68130B5D" w14:textId="0F1ECAC6" w:rsidR="00325679" w:rsidRPr="002D499A" w:rsidRDefault="004C4C7E" w:rsidP="005522A4">
      <w:pPr>
        <w:pStyle w:val="ListParagraph"/>
        <w:numPr>
          <w:ilvl w:val="0"/>
          <w:numId w:val="19"/>
        </w:numPr>
        <w:ind w:left="426" w:right="65" w:hanging="426"/>
        <w:jc w:val="left"/>
        <w:rPr>
          <w:rFonts w:asciiTheme="minorHAnsi" w:hAnsiTheme="minorHAnsi"/>
          <w:iCs/>
          <w:lang w:val="fr-FR"/>
        </w:rPr>
      </w:pPr>
      <w:r w:rsidRPr="002D499A">
        <w:rPr>
          <w:rFonts w:asciiTheme="minorHAnsi" w:eastAsiaTheme="minorHAnsi" w:hAnsiTheme="minorHAnsi" w:cs="Calibri"/>
          <w:color w:val="000000"/>
          <w:lang w:val="fr-FR"/>
        </w:rPr>
        <w:t>Le Président du GEST a participé à la 18</w:t>
      </w:r>
      <w:r w:rsidRPr="002D499A">
        <w:rPr>
          <w:rFonts w:asciiTheme="minorHAnsi" w:eastAsiaTheme="minorHAnsi" w:hAnsiTheme="minorHAnsi" w:cs="Calibri"/>
          <w:color w:val="000000"/>
          <w:vertAlign w:val="superscript"/>
          <w:lang w:val="fr-FR"/>
        </w:rPr>
        <w:t>e</w:t>
      </w:r>
      <w:r w:rsidR="00C02C67" w:rsidRPr="002D499A">
        <w:rPr>
          <w:rFonts w:asciiTheme="minorHAnsi" w:eastAsiaTheme="minorHAnsi" w:hAnsiTheme="minorHAnsi" w:cs="Calibri"/>
          <w:color w:val="000000"/>
          <w:lang w:val="fr-FR"/>
        </w:rPr>
        <w:t> S</w:t>
      </w:r>
      <w:r w:rsidRPr="002D499A">
        <w:rPr>
          <w:rFonts w:asciiTheme="minorHAnsi" w:eastAsiaTheme="minorHAnsi" w:hAnsiTheme="minorHAnsi" w:cs="Calibri"/>
          <w:color w:val="000000"/>
          <w:lang w:val="fr-FR"/>
        </w:rPr>
        <w:t xml:space="preserve">ession de l’Organe subsidiaire </w:t>
      </w:r>
      <w:r w:rsidR="004748C3" w:rsidRPr="002D499A">
        <w:rPr>
          <w:rFonts w:asciiTheme="minorHAnsi" w:eastAsiaTheme="minorHAnsi" w:hAnsiTheme="minorHAnsi" w:cs="Calibri"/>
          <w:color w:val="000000"/>
          <w:lang w:val="fr-FR"/>
        </w:rPr>
        <w:t xml:space="preserve">chargé de fournir des </w:t>
      </w:r>
      <w:r w:rsidRPr="002D499A">
        <w:rPr>
          <w:rFonts w:asciiTheme="minorHAnsi" w:eastAsiaTheme="minorHAnsi" w:hAnsiTheme="minorHAnsi" w:cs="Calibri"/>
          <w:color w:val="000000"/>
          <w:lang w:val="fr-FR"/>
        </w:rPr>
        <w:t xml:space="preserve">avis scientifiques, techniques et technologiques </w:t>
      </w:r>
      <w:r w:rsidR="00DF5AF4" w:rsidRPr="002D499A">
        <w:rPr>
          <w:rFonts w:asciiTheme="minorHAnsi" w:hAnsiTheme="minorHAnsi"/>
          <w:iCs/>
          <w:lang w:val="fr-FR"/>
        </w:rPr>
        <w:t>(SBSTTA)</w:t>
      </w:r>
      <w:r w:rsidR="00325679" w:rsidRPr="002D499A">
        <w:rPr>
          <w:rFonts w:asciiTheme="minorHAnsi" w:hAnsiTheme="minorHAnsi"/>
          <w:iCs/>
          <w:lang w:val="fr-FR"/>
        </w:rPr>
        <w:t>.</w:t>
      </w:r>
      <w:r w:rsidR="002A65F4" w:rsidRPr="002D499A">
        <w:rPr>
          <w:rFonts w:asciiTheme="minorHAnsi" w:hAnsiTheme="minorHAnsi"/>
          <w:iCs/>
          <w:lang w:val="fr-FR"/>
        </w:rPr>
        <w:t xml:space="preserve"> </w:t>
      </w:r>
      <w:r w:rsidRPr="002D499A">
        <w:rPr>
          <w:rFonts w:asciiTheme="minorHAnsi" w:hAnsiTheme="minorHAnsi"/>
          <w:iCs/>
          <w:lang w:val="fr-FR"/>
        </w:rPr>
        <w:t xml:space="preserve">Le </w:t>
      </w:r>
      <w:r w:rsidR="00325679" w:rsidRPr="002D499A">
        <w:rPr>
          <w:rFonts w:asciiTheme="minorHAnsi" w:hAnsiTheme="minorHAnsi"/>
          <w:iCs/>
          <w:lang w:val="fr-FR"/>
        </w:rPr>
        <w:t>CSAB</w:t>
      </w:r>
      <w:r w:rsidRPr="002D499A">
        <w:rPr>
          <w:rFonts w:asciiTheme="minorHAnsi" w:hAnsiTheme="minorHAnsi"/>
          <w:iCs/>
          <w:lang w:val="fr-FR"/>
        </w:rPr>
        <w:t> </w:t>
      </w:r>
      <w:r w:rsidR="00325679" w:rsidRPr="002D499A">
        <w:rPr>
          <w:rFonts w:asciiTheme="minorHAnsi" w:hAnsiTheme="minorHAnsi"/>
          <w:iCs/>
          <w:lang w:val="fr-FR"/>
        </w:rPr>
        <w:t>7</w:t>
      </w:r>
      <w:r w:rsidRPr="002D499A">
        <w:rPr>
          <w:rFonts w:asciiTheme="minorHAnsi" w:hAnsiTheme="minorHAnsi"/>
          <w:iCs/>
          <w:lang w:val="fr-FR"/>
        </w:rPr>
        <w:t xml:space="preserve"> était prévu pour juin 2014 mais n’a pas eu lieu tandis que la 18</w:t>
      </w:r>
      <w:r w:rsidRPr="002D499A">
        <w:rPr>
          <w:rFonts w:asciiTheme="minorHAnsi" w:hAnsiTheme="minorHAnsi"/>
          <w:iCs/>
          <w:vertAlign w:val="superscript"/>
          <w:lang w:val="fr-FR"/>
        </w:rPr>
        <w:t>e</w:t>
      </w:r>
      <w:r w:rsidR="008C6DF8" w:rsidRPr="002D499A">
        <w:rPr>
          <w:rFonts w:asciiTheme="minorHAnsi" w:hAnsiTheme="minorHAnsi"/>
          <w:iCs/>
          <w:lang w:val="fr-FR"/>
        </w:rPr>
        <w:t> Ré</w:t>
      </w:r>
      <w:r w:rsidRPr="002D499A">
        <w:rPr>
          <w:rFonts w:asciiTheme="minorHAnsi" w:hAnsiTheme="minorHAnsi"/>
          <w:iCs/>
          <w:lang w:val="fr-FR"/>
        </w:rPr>
        <w:t>union du GEST</w:t>
      </w:r>
      <w:r w:rsidR="008C6DF8" w:rsidRPr="002D499A">
        <w:rPr>
          <w:rFonts w:asciiTheme="minorHAnsi" w:hAnsiTheme="minorHAnsi"/>
          <w:iCs/>
          <w:lang w:val="fr-FR"/>
        </w:rPr>
        <w:t xml:space="preserve"> a reçu une note d’information sur le CSAB communiquée par la CITES. </w:t>
      </w:r>
    </w:p>
    <w:p w14:paraId="3DA7DD15" w14:textId="77777777" w:rsidR="007A738C" w:rsidRPr="002D499A" w:rsidRDefault="007A738C" w:rsidP="005522A4">
      <w:pPr>
        <w:autoSpaceDE w:val="0"/>
        <w:autoSpaceDN w:val="0"/>
        <w:adjustRightInd w:val="0"/>
        <w:rPr>
          <w:rFonts w:asciiTheme="minorHAnsi" w:hAnsiTheme="minorHAnsi"/>
          <w:b/>
          <w:sz w:val="22"/>
          <w:lang w:val="fr-FR"/>
        </w:rPr>
      </w:pPr>
    </w:p>
    <w:p w14:paraId="6BD93BF4" w14:textId="0C698E53" w:rsidR="002835A3" w:rsidRPr="002D499A" w:rsidRDefault="008C6DF8" w:rsidP="005522A4">
      <w:pPr>
        <w:autoSpaceDE w:val="0"/>
        <w:autoSpaceDN w:val="0"/>
        <w:adjustRightInd w:val="0"/>
        <w:rPr>
          <w:rFonts w:asciiTheme="minorHAnsi" w:hAnsiTheme="minorHAnsi"/>
          <w:b/>
          <w:sz w:val="22"/>
          <w:szCs w:val="22"/>
          <w:lang w:val="fr-FR"/>
        </w:rPr>
      </w:pPr>
      <w:r w:rsidRPr="002D499A">
        <w:rPr>
          <w:rFonts w:asciiTheme="minorHAnsi" w:hAnsiTheme="minorHAnsi"/>
          <w:b/>
          <w:sz w:val="22"/>
          <w:szCs w:val="22"/>
          <w:lang w:val="fr-FR"/>
        </w:rPr>
        <w:t xml:space="preserve">Travaux avec la Convention sur la conservation des espèces migratrices appartenant à la faune sauvage (CMS) </w:t>
      </w:r>
    </w:p>
    <w:p w14:paraId="07DDEADE" w14:textId="77777777" w:rsidR="002835A3" w:rsidRPr="002D499A" w:rsidRDefault="002835A3" w:rsidP="00BA510D">
      <w:pPr>
        <w:autoSpaceDE w:val="0"/>
        <w:autoSpaceDN w:val="0"/>
        <w:adjustRightInd w:val="0"/>
        <w:rPr>
          <w:rFonts w:asciiTheme="minorHAnsi" w:hAnsiTheme="minorHAnsi"/>
          <w:sz w:val="22"/>
          <w:szCs w:val="22"/>
          <w:lang w:val="fr-FR"/>
        </w:rPr>
      </w:pPr>
    </w:p>
    <w:p w14:paraId="6787F76D" w14:textId="7D24C78A" w:rsidR="00AA5FEC" w:rsidRPr="002D499A" w:rsidRDefault="008C6DF8" w:rsidP="005522A4">
      <w:pPr>
        <w:pStyle w:val="ListParagraph"/>
        <w:numPr>
          <w:ilvl w:val="0"/>
          <w:numId w:val="19"/>
        </w:numPr>
        <w:autoSpaceDE w:val="0"/>
        <w:autoSpaceDN w:val="0"/>
        <w:adjustRightInd w:val="0"/>
        <w:ind w:left="426" w:hanging="426"/>
        <w:jc w:val="left"/>
        <w:rPr>
          <w:rFonts w:ascii="Calibri" w:eastAsiaTheme="minorHAnsi" w:hAnsi="Calibri" w:cs="Calibri"/>
          <w:color w:val="000000"/>
          <w:lang w:val="fr-FR"/>
        </w:rPr>
      </w:pPr>
      <w:r w:rsidRPr="002D499A">
        <w:rPr>
          <w:rFonts w:ascii="Calibri" w:eastAsiaTheme="minorHAnsi" w:hAnsi="Calibri" w:cs="Calibri"/>
          <w:color w:val="000000"/>
          <w:lang w:val="fr-FR"/>
        </w:rPr>
        <w:t>Le Secrétariat a participé à la 12</w:t>
      </w:r>
      <w:r w:rsidRPr="002D499A">
        <w:rPr>
          <w:rFonts w:ascii="Calibri" w:eastAsiaTheme="minorHAnsi" w:hAnsi="Calibri" w:cs="Calibri"/>
          <w:color w:val="000000"/>
          <w:vertAlign w:val="superscript"/>
          <w:lang w:val="fr-FR"/>
        </w:rPr>
        <w:t>e</w:t>
      </w:r>
      <w:r w:rsidRPr="002D499A">
        <w:rPr>
          <w:rFonts w:ascii="Calibri" w:eastAsiaTheme="minorHAnsi" w:hAnsi="Calibri" w:cs="Calibri"/>
          <w:color w:val="000000"/>
          <w:lang w:val="fr-FR"/>
        </w:rPr>
        <w:t xml:space="preserve"> Session de la Conférence des Parties à la CMS en novembre 2014 et a demandé des avis sur l’expérience de préparation du Système </w:t>
      </w:r>
      <w:r w:rsidR="004748C3" w:rsidRPr="002D499A">
        <w:rPr>
          <w:rFonts w:ascii="Calibri" w:eastAsiaTheme="minorHAnsi" w:hAnsi="Calibri" w:cs="Calibri"/>
          <w:color w:val="000000"/>
          <w:lang w:val="fr-FR"/>
        </w:rPr>
        <w:t>de transmission des</w:t>
      </w:r>
      <w:r w:rsidRPr="002D499A">
        <w:rPr>
          <w:rFonts w:ascii="Calibri" w:eastAsiaTheme="minorHAnsi" w:hAnsi="Calibri" w:cs="Calibri"/>
          <w:color w:val="000000"/>
          <w:lang w:val="fr-FR"/>
        </w:rPr>
        <w:t xml:space="preserve"> rapport</w:t>
      </w:r>
      <w:r w:rsidR="004748C3" w:rsidRPr="002D499A">
        <w:rPr>
          <w:rFonts w:ascii="Calibri" w:eastAsiaTheme="minorHAnsi" w:hAnsi="Calibri" w:cs="Calibri"/>
          <w:color w:val="000000"/>
          <w:lang w:val="fr-FR"/>
        </w:rPr>
        <w:t>s</w:t>
      </w:r>
      <w:r w:rsidRPr="002D499A">
        <w:rPr>
          <w:rFonts w:ascii="Calibri" w:eastAsiaTheme="minorHAnsi" w:hAnsi="Calibri" w:cs="Calibri"/>
          <w:color w:val="000000"/>
          <w:lang w:val="fr-FR"/>
        </w:rPr>
        <w:t xml:space="preserve"> en ligne (S</w:t>
      </w:r>
      <w:r w:rsidR="004748C3" w:rsidRPr="002D499A">
        <w:rPr>
          <w:rFonts w:ascii="Calibri" w:eastAsiaTheme="minorHAnsi" w:hAnsi="Calibri" w:cs="Calibri"/>
          <w:color w:val="000000"/>
          <w:lang w:val="fr-FR"/>
        </w:rPr>
        <w:t>TR</w:t>
      </w:r>
      <w:r w:rsidRPr="002D499A">
        <w:rPr>
          <w:rFonts w:ascii="Calibri" w:eastAsiaTheme="minorHAnsi" w:hAnsi="Calibri" w:cs="Calibri"/>
          <w:color w:val="000000"/>
          <w:lang w:val="fr-FR"/>
        </w:rPr>
        <w:t>) élaboré par le PNUE</w:t>
      </w:r>
      <w:r w:rsidRPr="002D499A">
        <w:rPr>
          <w:rFonts w:ascii="Calibri" w:eastAsiaTheme="minorHAnsi" w:hAnsi="Calibri" w:cs="Calibri"/>
          <w:color w:val="000000"/>
          <w:lang w:val="fr-FR"/>
        </w:rPr>
        <w:noBreakHyphen/>
        <w:t xml:space="preserve">WCMC pour le modèle de </w:t>
      </w:r>
      <w:r w:rsidR="004748C3" w:rsidRPr="002D499A">
        <w:rPr>
          <w:rFonts w:ascii="Calibri" w:eastAsiaTheme="minorHAnsi" w:hAnsi="Calibri" w:cs="Calibri"/>
          <w:color w:val="000000"/>
          <w:lang w:val="fr-FR"/>
        </w:rPr>
        <w:t>R</w:t>
      </w:r>
      <w:r w:rsidRPr="002D499A">
        <w:rPr>
          <w:rFonts w:ascii="Calibri" w:eastAsiaTheme="minorHAnsi" w:hAnsi="Calibri" w:cs="Calibri"/>
          <w:color w:val="000000"/>
          <w:lang w:val="fr-FR"/>
        </w:rPr>
        <w:t xml:space="preserve">apport national pour la COP13. Le Secrétariat continuera de suivre ces travaux et les fonctionnalités qui en résulteront. Une visite au Secrétariat à Bonn en juillet a permis de faire une mise </w:t>
      </w:r>
      <w:r w:rsidR="004748C3" w:rsidRPr="002D499A">
        <w:rPr>
          <w:rFonts w:ascii="Calibri" w:eastAsiaTheme="minorHAnsi" w:hAnsi="Calibri" w:cs="Calibri"/>
          <w:color w:val="000000"/>
          <w:lang w:val="fr-FR"/>
        </w:rPr>
        <w:t>au point</w:t>
      </w:r>
      <w:r w:rsidRPr="002D499A">
        <w:rPr>
          <w:rFonts w:ascii="Calibri" w:eastAsiaTheme="minorHAnsi" w:hAnsi="Calibri" w:cs="Calibri"/>
          <w:color w:val="000000"/>
          <w:lang w:val="fr-FR"/>
        </w:rPr>
        <w:t xml:space="preserve"> sur nos deux COP et leur processus et d’échanger notre expérience. </w:t>
      </w:r>
      <w:r w:rsidR="002A65F4" w:rsidRPr="002D499A">
        <w:rPr>
          <w:rFonts w:ascii="Calibri" w:eastAsiaTheme="minorHAnsi" w:hAnsi="Calibri" w:cs="Calibri"/>
          <w:color w:val="000000"/>
          <w:lang w:val="fr-FR"/>
        </w:rPr>
        <w:t xml:space="preserve"> </w:t>
      </w:r>
    </w:p>
    <w:p w14:paraId="662BF3F3" w14:textId="77777777" w:rsidR="004F034D" w:rsidRPr="002D499A" w:rsidRDefault="004F034D" w:rsidP="005522A4">
      <w:pPr>
        <w:autoSpaceDE w:val="0"/>
        <w:autoSpaceDN w:val="0"/>
        <w:adjustRightInd w:val="0"/>
        <w:ind w:left="426" w:hanging="426"/>
        <w:rPr>
          <w:rFonts w:ascii="Calibri" w:eastAsiaTheme="minorHAnsi" w:hAnsi="Calibri" w:cs="Calibri"/>
          <w:color w:val="000000"/>
          <w:sz w:val="22"/>
          <w:szCs w:val="22"/>
          <w:lang w:val="fr-FR" w:eastAsia="en-US"/>
        </w:rPr>
      </w:pPr>
    </w:p>
    <w:p w14:paraId="3F3AABEF" w14:textId="185BD75A" w:rsidR="00C863DD" w:rsidRPr="002D499A" w:rsidRDefault="008C6DF8" w:rsidP="005522A4">
      <w:pPr>
        <w:pStyle w:val="ListParagraph"/>
        <w:numPr>
          <w:ilvl w:val="0"/>
          <w:numId w:val="19"/>
        </w:numPr>
        <w:autoSpaceDE w:val="0"/>
        <w:autoSpaceDN w:val="0"/>
        <w:adjustRightInd w:val="0"/>
        <w:ind w:left="426" w:hanging="426"/>
        <w:jc w:val="left"/>
        <w:rPr>
          <w:rFonts w:ascii="Calibri" w:eastAsiaTheme="minorHAnsi" w:hAnsi="Calibri" w:cs="Calibri"/>
          <w:color w:val="000000"/>
          <w:lang w:val="fr-FR"/>
        </w:rPr>
      </w:pPr>
      <w:r w:rsidRPr="002D499A">
        <w:rPr>
          <w:rFonts w:ascii="Calibri" w:eastAsiaTheme="minorHAnsi" w:hAnsi="Calibri" w:cs="Calibri"/>
          <w:color w:val="000000"/>
          <w:lang w:val="fr-FR"/>
        </w:rPr>
        <w:lastRenderedPageBreak/>
        <w:t xml:space="preserve">Le renouvellement du </w:t>
      </w:r>
      <w:r w:rsidR="00344C05" w:rsidRPr="002D499A">
        <w:rPr>
          <w:rFonts w:ascii="Calibri" w:eastAsiaTheme="minorHAnsi" w:hAnsi="Calibri" w:cs="Calibri"/>
          <w:color w:val="000000"/>
          <w:lang w:val="fr-FR"/>
        </w:rPr>
        <w:t>Plan</w:t>
      </w:r>
      <w:r w:rsidRPr="002D499A">
        <w:rPr>
          <w:rFonts w:ascii="Calibri" w:eastAsiaTheme="minorHAnsi" w:hAnsi="Calibri" w:cs="Calibri"/>
          <w:color w:val="000000"/>
          <w:lang w:val="fr-FR"/>
        </w:rPr>
        <w:t xml:space="preserve"> de travail conjoint </w:t>
      </w:r>
      <w:r w:rsidR="00BB14C9" w:rsidRPr="002D499A">
        <w:rPr>
          <w:rFonts w:ascii="Calibri" w:eastAsiaTheme="minorHAnsi" w:hAnsi="Calibri" w:cs="Calibri"/>
          <w:color w:val="000000"/>
          <w:lang w:val="fr-FR"/>
        </w:rPr>
        <w:t>2012-2014</w:t>
      </w:r>
      <w:r w:rsidR="002A65F4" w:rsidRPr="002D499A">
        <w:rPr>
          <w:rFonts w:ascii="Calibri" w:eastAsiaTheme="minorHAnsi" w:hAnsi="Calibri" w:cs="Calibri"/>
          <w:color w:val="000000"/>
          <w:lang w:val="fr-FR"/>
        </w:rPr>
        <w:t xml:space="preserve"> </w:t>
      </w:r>
      <w:r w:rsidRPr="002D499A">
        <w:rPr>
          <w:rFonts w:ascii="Calibri" w:eastAsiaTheme="minorHAnsi" w:hAnsi="Calibri" w:cs="Calibri"/>
          <w:color w:val="000000"/>
          <w:lang w:val="fr-FR"/>
        </w:rPr>
        <w:t>est en cours et sera présenté pour approbation au Comité permanent de la CMS en octobre 2015 et à la 51</w:t>
      </w:r>
      <w:r w:rsidRPr="002D499A">
        <w:rPr>
          <w:rFonts w:ascii="Calibri" w:eastAsiaTheme="minorHAnsi" w:hAnsi="Calibri" w:cs="Calibri"/>
          <w:color w:val="000000"/>
          <w:vertAlign w:val="superscript"/>
          <w:lang w:val="fr-FR"/>
        </w:rPr>
        <w:t>e</w:t>
      </w:r>
      <w:r w:rsidRPr="002D499A">
        <w:rPr>
          <w:rFonts w:ascii="Calibri" w:eastAsiaTheme="minorHAnsi" w:hAnsi="Calibri" w:cs="Calibri"/>
          <w:color w:val="000000"/>
          <w:lang w:val="fr-FR"/>
        </w:rPr>
        <w:t> Réunion du Comité permanent de Ramsar en novembre </w:t>
      </w:r>
      <w:r w:rsidR="00C863DD" w:rsidRPr="002D499A">
        <w:rPr>
          <w:rFonts w:ascii="Calibri" w:hAnsi="Calibri"/>
          <w:color w:val="000000"/>
          <w:lang w:val="fr-FR"/>
        </w:rPr>
        <w:t>2015.</w:t>
      </w:r>
      <w:r w:rsidR="002A65F4" w:rsidRPr="002D499A">
        <w:rPr>
          <w:rFonts w:ascii="Calibri" w:eastAsiaTheme="minorHAnsi" w:hAnsi="Calibri" w:cs="Calibri"/>
          <w:color w:val="000000"/>
          <w:lang w:val="fr-FR"/>
        </w:rPr>
        <w:t xml:space="preserve"> </w:t>
      </w:r>
    </w:p>
    <w:p w14:paraId="48E2D6ED" w14:textId="77777777" w:rsidR="00AA5FEC" w:rsidRPr="002D499A" w:rsidRDefault="00AA5FEC" w:rsidP="005522A4">
      <w:pPr>
        <w:autoSpaceDE w:val="0"/>
        <w:autoSpaceDN w:val="0"/>
        <w:adjustRightInd w:val="0"/>
        <w:ind w:left="426" w:hanging="426"/>
        <w:rPr>
          <w:rFonts w:ascii="Calibri" w:eastAsiaTheme="minorHAnsi" w:hAnsi="Calibri" w:cs="Calibri"/>
          <w:color w:val="000000"/>
          <w:sz w:val="22"/>
          <w:szCs w:val="22"/>
          <w:lang w:val="fr-FR" w:eastAsia="en-US"/>
        </w:rPr>
      </w:pPr>
    </w:p>
    <w:p w14:paraId="415C198A" w14:textId="0C57F547" w:rsidR="00AA5FEC" w:rsidRPr="002D499A" w:rsidRDefault="008C6DF8" w:rsidP="005522A4">
      <w:pPr>
        <w:pStyle w:val="ListParagraph"/>
        <w:numPr>
          <w:ilvl w:val="0"/>
          <w:numId w:val="19"/>
        </w:numPr>
        <w:autoSpaceDE w:val="0"/>
        <w:autoSpaceDN w:val="0"/>
        <w:adjustRightInd w:val="0"/>
        <w:ind w:left="426" w:hanging="426"/>
        <w:jc w:val="left"/>
        <w:rPr>
          <w:rFonts w:ascii="Calibri" w:eastAsiaTheme="minorHAnsi" w:hAnsi="Calibri" w:cs="Calibri"/>
          <w:color w:val="000000"/>
          <w:lang w:val="fr-FR"/>
        </w:rPr>
      </w:pPr>
      <w:r w:rsidRPr="002D499A">
        <w:rPr>
          <w:rFonts w:ascii="Calibri" w:eastAsiaTheme="minorHAnsi" w:hAnsi="Calibri" w:cs="Calibri"/>
          <w:color w:val="000000"/>
          <w:lang w:val="fr-FR"/>
        </w:rPr>
        <w:t>Pour renforc</w:t>
      </w:r>
      <w:r w:rsidR="00057E15" w:rsidRPr="002D499A">
        <w:rPr>
          <w:rFonts w:ascii="Calibri" w:eastAsiaTheme="minorHAnsi" w:hAnsi="Calibri" w:cs="Calibri"/>
          <w:color w:val="000000"/>
          <w:lang w:val="fr-FR"/>
        </w:rPr>
        <w:t>er encore les travaux des deux c</w:t>
      </w:r>
      <w:r w:rsidRPr="002D499A">
        <w:rPr>
          <w:rFonts w:ascii="Calibri" w:eastAsiaTheme="minorHAnsi" w:hAnsi="Calibri" w:cs="Calibri"/>
          <w:color w:val="000000"/>
          <w:lang w:val="fr-FR"/>
        </w:rPr>
        <w:t xml:space="preserve">onventions en Amérique latine et dans les Caraïbes, le Secrétariat participera à l’atelier régional de la CMS pour les pays qui ne sont pas Parties contractantes pour l’Amérique latine et les Caraïbes en septembre 2015. </w:t>
      </w:r>
    </w:p>
    <w:p w14:paraId="054C9C00" w14:textId="77777777" w:rsidR="00C442D4" w:rsidRPr="002D499A" w:rsidRDefault="00C442D4" w:rsidP="005522A4">
      <w:pPr>
        <w:autoSpaceDE w:val="0"/>
        <w:autoSpaceDN w:val="0"/>
        <w:adjustRightInd w:val="0"/>
        <w:ind w:left="426" w:hanging="426"/>
        <w:rPr>
          <w:rFonts w:ascii="Calibri" w:eastAsiaTheme="minorHAnsi" w:hAnsi="Calibri" w:cs="Calibri"/>
          <w:color w:val="000000"/>
          <w:sz w:val="22"/>
          <w:szCs w:val="22"/>
          <w:lang w:val="fr-FR" w:eastAsia="en-US"/>
        </w:rPr>
      </w:pPr>
    </w:p>
    <w:p w14:paraId="67096FCF" w14:textId="0D11DAA6" w:rsidR="00CE31CC" w:rsidRPr="002D499A" w:rsidRDefault="008C6DF8" w:rsidP="005522A4">
      <w:pPr>
        <w:pStyle w:val="ListParagraph"/>
        <w:numPr>
          <w:ilvl w:val="0"/>
          <w:numId w:val="19"/>
        </w:numPr>
        <w:ind w:left="426" w:hanging="426"/>
        <w:jc w:val="left"/>
        <w:rPr>
          <w:rFonts w:asciiTheme="minorHAnsi" w:hAnsiTheme="minorHAnsi"/>
          <w:lang w:val="fr-FR"/>
        </w:rPr>
      </w:pPr>
      <w:r w:rsidRPr="002D499A">
        <w:rPr>
          <w:rFonts w:asciiTheme="minorHAnsi" w:hAnsiTheme="minorHAnsi"/>
          <w:lang w:val="fr-FR"/>
        </w:rPr>
        <w:t>En </w:t>
      </w:r>
      <w:r w:rsidR="00CE31CC" w:rsidRPr="002D499A">
        <w:rPr>
          <w:rFonts w:asciiTheme="minorHAnsi" w:hAnsiTheme="minorHAnsi"/>
          <w:lang w:val="fr-FR"/>
        </w:rPr>
        <w:t>2014,</w:t>
      </w:r>
      <w:r w:rsidR="002A65F4" w:rsidRPr="002D499A">
        <w:rPr>
          <w:rFonts w:asciiTheme="minorHAnsi" w:hAnsiTheme="minorHAnsi"/>
          <w:lang w:val="fr-FR"/>
        </w:rPr>
        <w:t xml:space="preserve"> </w:t>
      </w:r>
      <w:r w:rsidRPr="002D499A">
        <w:rPr>
          <w:rFonts w:asciiTheme="minorHAnsi" w:hAnsiTheme="minorHAnsi"/>
          <w:lang w:val="fr-FR"/>
        </w:rPr>
        <w:t xml:space="preserve">le GEST a contribué au Groupe </w:t>
      </w:r>
      <w:r w:rsidR="004748C3" w:rsidRPr="002D499A">
        <w:rPr>
          <w:rFonts w:asciiTheme="minorHAnsi" w:hAnsiTheme="minorHAnsi"/>
          <w:lang w:val="fr-FR"/>
        </w:rPr>
        <w:t>d’étude</w:t>
      </w:r>
      <w:r w:rsidRPr="002D499A">
        <w:rPr>
          <w:rFonts w:asciiTheme="minorHAnsi" w:hAnsiTheme="minorHAnsi"/>
          <w:lang w:val="fr-FR"/>
        </w:rPr>
        <w:t xml:space="preserve"> scientifique </w:t>
      </w:r>
      <w:r w:rsidR="00CE31CC" w:rsidRPr="002D499A">
        <w:rPr>
          <w:rFonts w:asciiTheme="minorHAnsi" w:hAnsiTheme="minorHAnsi"/>
          <w:lang w:val="fr-FR"/>
        </w:rPr>
        <w:t>CMS/FAO</w:t>
      </w:r>
      <w:r w:rsidR="002A65F4" w:rsidRPr="002D499A">
        <w:rPr>
          <w:rFonts w:asciiTheme="minorHAnsi" w:hAnsiTheme="minorHAnsi"/>
          <w:lang w:val="fr-FR"/>
        </w:rPr>
        <w:t xml:space="preserve"> </w:t>
      </w:r>
      <w:r w:rsidRPr="002D499A">
        <w:rPr>
          <w:rFonts w:asciiTheme="minorHAnsi" w:hAnsiTheme="minorHAnsi"/>
          <w:lang w:val="fr-FR"/>
        </w:rPr>
        <w:t xml:space="preserve">sur l’influenza aviaire et les oiseaux sauvages convoqué par l’ONU et a fait des déclarations sur le </w:t>
      </w:r>
      <w:r w:rsidR="00CE31CC" w:rsidRPr="002D499A">
        <w:rPr>
          <w:rFonts w:asciiTheme="minorHAnsi" w:hAnsiTheme="minorHAnsi"/>
          <w:lang w:val="fr-FR"/>
        </w:rPr>
        <w:t>H5N8</w:t>
      </w:r>
      <w:r w:rsidR="002A65F4" w:rsidRPr="002D499A">
        <w:rPr>
          <w:rFonts w:asciiTheme="minorHAnsi" w:hAnsiTheme="minorHAnsi"/>
          <w:lang w:val="fr-FR"/>
        </w:rPr>
        <w:t xml:space="preserve"> </w:t>
      </w:r>
      <w:r w:rsidRPr="002D499A">
        <w:rPr>
          <w:rFonts w:asciiTheme="minorHAnsi" w:hAnsiTheme="minorHAnsi"/>
          <w:lang w:val="fr-FR"/>
        </w:rPr>
        <w:t>en réponse à l’utilisation irresponsable de désinfectants dans les habitats de</w:t>
      </w:r>
      <w:r w:rsidR="004748C3" w:rsidRPr="002D499A">
        <w:rPr>
          <w:rFonts w:asciiTheme="minorHAnsi" w:hAnsiTheme="minorHAnsi"/>
          <w:lang w:val="fr-FR"/>
        </w:rPr>
        <w:t>s</w:t>
      </w:r>
      <w:r w:rsidRPr="002D499A">
        <w:rPr>
          <w:rFonts w:asciiTheme="minorHAnsi" w:hAnsiTheme="minorHAnsi"/>
          <w:lang w:val="fr-FR"/>
        </w:rPr>
        <w:t xml:space="preserve"> zones humides dans les </w:t>
      </w:r>
      <w:r w:rsidR="004748C3" w:rsidRPr="002D499A">
        <w:rPr>
          <w:rFonts w:asciiTheme="minorHAnsi" w:hAnsiTheme="minorHAnsi"/>
          <w:lang w:val="fr-FR"/>
        </w:rPr>
        <w:t>foyers de la maladie</w:t>
      </w:r>
      <w:r w:rsidRPr="002D499A">
        <w:rPr>
          <w:rFonts w:asciiTheme="minorHAnsi" w:hAnsiTheme="minorHAnsi"/>
          <w:lang w:val="fr-FR"/>
        </w:rPr>
        <w:t xml:space="preserve"> en Asie. En outre, un expert du GEST a écrit aux éditeurs d’un journal scientifique </w:t>
      </w:r>
      <w:r w:rsidR="004748C3" w:rsidRPr="002D499A">
        <w:rPr>
          <w:rFonts w:asciiTheme="minorHAnsi" w:hAnsiTheme="minorHAnsi"/>
          <w:lang w:val="fr-FR"/>
        </w:rPr>
        <w:t>prestigieux</w:t>
      </w:r>
      <w:r w:rsidRPr="002D499A">
        <w:rPr>
          <w:rFonts w:asciiTheme="minorHAnsi" w:hAnsiTheme="minorHAnsi"/>
          <w:lang w:val="fr-FR"/>
        </w:rPr>
        <w:t xml:space="preserve"> (</w:t>
      </w:r>
      <w:r w:rsidR="00CE31CC" w:rsidRPr="002D499A">
        <w:rPr>
          <w:rFonts w:asciiTheme="minorHAnsi" w:hAnsiTheme="minorHAnsi"/>
          <w:i/>
          <w:lang w:val="fr-FR"/>
        </w:rPr>
        <w:t>Emerging</w:t>
      </w:r>
      <w:r w:rsidR="002A65F4" w:rsidRPr="002D499A">
        <w:rPr>
          <w:rFonts w:asciiTheme="minorHAnsi" w:hAnsiTheme="minorHAnsi"/>
          <w:i/>
          <w:lang w:val="fr-FR"/>
        </w:rPr>
        <w:t xml:space="preserve"> </w:t>
      </w:r>
      <w:r w:rsidR="00CE31CC" w:rsidRPr="002D499A">
        <w:rPr>
          <w:rFonts w:asciiTheme="minorHAnsi" w:hAnsiTheme="minorHAnsi"/>
          <w:i/>
          <w:lang w:val="fr-FR"/>
        </w:rPr>
        <w:t>Infectious</w:t>
      </w:r>
      <w:r w:rsidR="002A65F4" w:rsidRPr="002D499A">
        <w:rPr>
          <w:rFonts w:asciiTheme="minorHAnsi" w:hAnsiTheme="minorHAnsi"/>
          <w:i/>
          <w:lang w:val="fr-FR"/>
        </w:rPr>
        <w:t xml:space="preserve"> </w:t>
      </w:r>
      <w:r w:rsidR="00CE31CC" w:rsidRPr="002D499A">
        <w:rPr>
          <w:rFonts w:asciiTheme="minorHAnsi" w:hAnsiTheme="minorHAnsi"/>
          <w:i/>
          <w:lang w:val="fr-FR"/>
        </w:rPr>
        <w:t>Diseases</w:t>
      </w:r>
      <w:r w:rsidRPr="002D499A">
        <w:rPr>
          <w:rFonts w:asciiTheme="minorHAnsi" w:hAnsiTheme="minorHAnsi"/>
          <w:lang w:val="fr-FR"/>
        </w:rPr>
        <w:t xml:space="preserve"> du CDC</w:t>
      </w:r>
      <w:r w:rsidR="00CE31CC" w:rsidRPr="002D499A">
        <w:rPr>
          <w:rFonts w:asciiTheme="minorHAnsi" w:hAnsiTheme="minorHAnsi"/>
          <w:lang w:val="fr-FR"/>
        </w:rPr>
        <w:t>)</w:t>
      </w:r>
      <w:r w:rsidR="002A65F4" w:rsidRPr="002D499A">
        <w:rPr>
          <w:rFonts w:asciiTheme="minorHAnsi" w:hAnsiTheme="minorHAnsi"/>
          <w:lang w:val="fr-FR"/>
        </w:rPr>
        <w:t xml:space="preserve"> </w:t>
      </w:r>
      <w:r w:rsidRPr="002D499A">
        <w:rPr>
          <w:rFonts w:asciiTheme="minorHAnsi" w:hAnsiTheme="minorHAnsi"/>
          <w:lang w:val="fr-FR"/>
        </w:rPr>
        <w:t xml:space="preserve">concernant un article qui encourageait l’abattage d’oiseaux sauvages en réponse à l’influenza aviaire hautement pathogène </w:t>
      </w:r>
      <w:r w:rsidR="00685DA0" w:rsidRPr="002D499A">
        <w:rPr>
          <w:rFonts w:asciiTheme="minorHAnsi" w:hAnsiTheme="minorHAnsi"/>
          <w:lang w:val="fr-FR"/>
        </w:rPr>
        <w:t>(HPAI)</w:t>
      </w:r>
      <w:r w:rsidR="00CE31CC" w:rsidRPr="002D499A">
        <w:rPr>
          <w:rFonts w:asciiTheme="minorHAnsi" w:hAnsiTheme="minorHAnsi"/>
          <w:lang w:val="fr-FR"/>
        </w:rPr>
        <w:t>,</w:t>
      </w:r>
      <w:r w:rsidR="002A65F4" w:rsidRPr="002D499A">
        <w:rPr>
          <w:rFonts w:asciiTheme="minorHAnsi" w:hAnsiTheme="minorHAnsi"/>
          <w:lang w:val="fr-FR"/>
        </w:rPr>
        <w:t xml:space="preserve"> </w:t>
      </w:r>
      <w:r w:rsidR="004748C3" w:rsidRPr="002D499A">
        <w:rPr>
          <w:rFonts w:asciiTheme="minorHAnsi" w:hAnsiTheme="minorHAnsi"/>
          <w:lang w:val="fr-FR"/>
        </w:rPr>
        <w:t>pour rappeler</w:t>
      </w:r>
      <w:r w:rsidRPr="002D499A">
        <w:rPr>
          <w:rFonts w:asciiTheme="minorHAnsi" w:hAnsiTheme="minorHAnsi"/>
          <w:lang w:val="fr-FR"/>
        </w:rPr>
        <w:t xml:space="preserve"> les obligations contractées au titre de</w:t>
      </w:r>
      <w:r w:rsidR="004748C3" w:rsidRPr="002D499A">
        <w:rPr>
          <w:rFonts w:asciiTheme="minorHAnsi" w:hAnsiTheme="minorHAnsi"/>
          <w:lang w:val="fr-FR"/>
        </w:rPr>
        <w:t xml:space="preserve"> la Convention de</w:t>
      </w:r>
      <w:r w:rsidRPr="002D499A">
        <w:rPr>
          <w:rFonts w:asciiTheme="minorHAnsi" w:hAnsiTheme="minorHAnsi"/>
          <w:lang w:val="fr-FR"/>
        </w:rPr>
        <w:t xml:space="preserve"> Ramsar et les orientations contraires existantes. En réaction, l’article a été modifié.</w:t>
      </w:r>
    </w:p>
    <w:p w14:paraId="701340CC" w14:textId="77777777" w:rsidR="00CE31CC" w:rsidRPr="002D499A" w:rsidRDefault="00CE31CC" w:rsidP="00BA510D">
      <w:pPr>
        <w:autoSpaceDE w:val="0"/>
        <w:autoSpaceDN w:val="0"/>
        <w:adjustRightInd w:val="0"/>
        <w:rPr>
          <w:rFonts w:ascii="Calibri" w:eastAsiaTheme="minorHAnsi" w:hAnsi="Calibri" w:cs="Calibri"/>
          <w:color w:val="000000"/>
          <w:sz w:val="22"/>
          <w:szCs w:val="22"/>
          <w:lang w:val="fr-FR" w:eastAsia="en-US"/>
        </w:rPr>
      </w:pPr>
    </w:p>
    <w:p w14:paraId="647DB542" w14:textId="405AE2EE" w:rsidR="00CE31CC" w:rsidRPr="002D499A" w:rsidRDefault="00FF5496" w:rsidP="005522A4">
      <w:pPr>
        <w:autoSpaceDE w:val="0"/>
        <w:autoSpaceDN w:val="0"/>
        <w:adjustRightInd w:val="0"/>
        <w:rPr>
          <w:rFonts w:asciiTheme="minorHAnsi" w:eastAsiaTheme="minorHAnsi" w:hAnsiTheme="minorHAnsi" w:cs="Calibri-Bold"/>
          <w:b/>
          <w:bCs/>
          <w:sz w:val="22"/>
          <w:szCs w:val="22"/>
          <w:lang w:val="fr-FR" w:eastAsia="en-US"/>
        </w:rPr>
      </w:pPr>
      <w:r w:rsidRPr="002D499A">
        <w:rPr>
          <w:rFonts w:asciiTheme="minorHAnsi" w:hAnsiTheme="minorHAnsi"/>
          <w:b/>
          <w:sz w:val="22"/>
          <w:lang w:val="fr-FR"/>
        </w:rPr>
        <w:t>Plateforme intergouvernementale, scientifique et politique</w:t>
      </w:r>
      <w:r w:rsidR="00F74B9B" w:rsidRPr="002D499A">
        <w:rPr>
          <w:rFonts w:asciiTheme="minorHAnsi" w:hAnsiTheme="minorHAnsi"/>
          <w:b/>
          <w:sz w:val="22"/>
          <w:lang w:val="fr-FR"/>
        </w:rPr>
        <w:t>,</w:t>
      </w:r>
      <w:r w:rsidRPr="002D499A">
        <w:rPr>
          <w:rFonts w:asciiTheme="minorHAnsi" w:hAnsiTheme="minorHAnsi"/>
          <w:b/>
          <w:sz w:val="22"/>
          <w:lang w:val="fr-FR"/>
        </w:rPr>
        <w:t xml:space="preserve"> sur la biodiversité et les services écosystémiques </w:t>
      </w:r>
    </w:p>
    <w:p w14:paraId="459F9D9C" w14:textId="77777777" w:rsidR="00CE31CC" w:rsidRPr="002D499A" w:rsidRDefault="00CE31CC" w:rsidP="00BA510D">
      <w:pPr>
        <w:autoSpaceDE w:val="0"/>
        <w:autoSpaceDN w:val="0"/>
        <w:rPr>
          <w:rFonts w:asciiTheme="minorHAnsi" w:hAnsiTheme="minorHAnsi"/>
          <w:sz w:val="22"/>
          <w:szCs w:val="22"/>
          <w:lang w:val="fr-FR"/>
        </w:rPr>
      </w:pPr>
    </w:p>
    <w:p w14:paraId="176E5473" w14:textId="3F3EAEE2" w:rsidR="00CE31CC" w:rsidRPr="002D499A" w:rsidRDefault="00FF5496" w:rsidP="005522A4">
      <w:pPr>
        <w:pStyle w:val="ListParagraph"/>
        <w:numPr>
          <w:ilvl w:val="0"/>
          <w:numId w:val="19"/>
        </w:numPr>
        <w:autoSpaceDE w:val="0"/>
        <w:autoSpaceDN w:val="0"/>
        <w:ind w:left="426" w:hanging="426"/>
        <w:jc w:val="left"/>
        <w:rPr>
          <w:rFonts w:asciiTheme="minorHAnsi" w:hAnsiTheme="minorHAnsi"/>
          <w:lang w:val="fr-FR"/>
        </w:rPr>
      </w:pPr>
      <w:r w:rsidRPr="002D499A">
        <w:rPr>
          <w:rFonts w:asciiTheme="minorHAnsi" w:hAnsiTheme="minorHAnsi"/>
          <w:lang w:val="fr-FR"/>
        </w:rPr>
        <w:t>Le GEST reste pleinement engagé auprès de l’IPBES. Le Président du GEST est observateur auprès du Groupe d’experts multidisciplinaire (GEM) de l’IPBES et a participé à l’IPBES</w:t>
      </w:r>
      <w:r w:rsidRPr="002D499A">
        <w:rPr>
          <w:rFonts w:asciiTheme="minorHAnsi" w:hAnsiTheme="minorHAnsi"/>
          <w:lang w:val="fr-FR"/>
        </w:rPr>
        <w:noBreakHyphen/>
        <w:t>2 et à l’IPBES</w:t>
      </w:r>
      <w:r w:rsidRPr="002D499A">
        <w:rPr>
          <w:rFonts w:asciiTheme="minorHAnsi" w:hAnsiTheme="minorHAnsi"/>
          <w:lang w:val="fr-FR"/>
        </w:rPr>
        <w:noBreakHyphen/>
        <w:t xml:space="preserve">3. Le Président ou un autre représentant du GEST a également participé à des réunions du GEM, soulignant la nécessité de mener des évaluations intégrant des experts </w:t>
      </w:r>
      <w:r w:rsidR="00F74B9B" w:rsidRPr="002D499A">
        <w:rPr>
          <w:rFonts w:asciiTheme="minorHAnsi" w:hAnsiTheme="minorHAnsi"/>
          <w:lang w:val="fr-FR"/>
        </w:rPr>
        <w:t xml:space="preserve">des zones humides et </w:t>
      </w:r>
      <w:r w:rsidRPr="002D499A">
        <w:rPr>
          <w:rFonts w:asciiTheme="minorHAnsi" w:hAnsiTheme="minorHAnsi"/>
          <w:lang w:val="fr-FR"/>
        </w:rPr>
        <w:t xml:space="preserve">de la restauration des zones humides. L’Évaluation sur la dégradation et la restauration des sols et les Évaluations régionales qui devraient avoir lieu au début de 2018, avant la COP13 de Ramsar, seront particulièrement intéressantes pour la communauté Ramsar. Le GEST et le Secrétariat ont proposé </w:t>
      </w:r>
      <w:r w:rsidR="002D499A">
        <w:rPr>
          <w:rFonts w:asciiTheme="minorHAnsi" w:hAnsiTheme="minorHAnsi"/>
          <w:lang w:val="fr-FR"/>
        </w:rPr>
        <w:t>des</w:t>
      </w:r>
      <w:r w:rsidRPr="002D499A">
        <w:rPr>
          <w:rFonts w:asciiTheme="minorHAnsi" w:hAnsiTheme="minorHAnsi"/>
          <w:lang w:val="fr-FR"/>
        </w:rPr>
        <w:t xml:space="preserve"> experts pour nomination dans les processus de l’IPBES et certains ont été nommés. </w:t>
      </w:r>
    </w:p>
    <w:p w14:paraId="7EAA6D08" w14:textId="77777777" w:rsidR="00CE31CC" w:rsidRPr="002D499A" w:rsidRDefault="00CE31CC" w:rsidP="00BA510D">
      <w:pPr>
        <w:autoSpaceDE w:val="0"/>
        <w:autoSpaceDN w:val="0"/>
        <w:adjustRightInd w:val="0"/>
        <w:rPr>
          <w:rFonts w:ascii="Calibri" w:eastAsiaTheme="minorHAnsi" w:hAnsi="Calibri" w:cs="Calibri"/>
          <w:color w:val="000000"/>
          <w:sz w:val="22"/>
          <w:szCs w:val="22"/>
          <w:lang w:val="fr-FR" w:eastAsia="en-US"/>
        </w:rPr>
      </w:pPr>
    </w:p>
    <w:p w14:paraId="6B25C104" w14:textId="65E05BCE" w:rsidR="00C442D4" w:rsidRPr="002D499A" w:rsidRDefault="00C442D4" w:rsidP="005522A4">
      <w:pPr>
        <w:autoSpaceDE w:val="0"/>
        <w:autoSpaceDN w:val="0"/>
        <w:adjustRightInd w:val="0"/>
        <w:rPr>
          <w:rFonts w:asciiTheme="minorHAnsi" w:hAnsiTheme="minorHAnsi"/>
          <w:b/>
          <w:bCs/>
          <w:sz w:val="22"/>
          <w:szCs w:val="22"/>
          <w:lang w:val="fr-FR"/>
        </w:rPr>
      </w:pPr>
      <w:r w:rsidRPr="002D499A">
        <w:rPr>
          <w:rFonts w:asciiTheme="minorHAnsi" w:hAnsiTheme="minorHAnsi"/>
          <w:b/>
          <w:bCs/>
          <w:sz w:val="22"/>
          <w:szCs w:val="22"/>
          <w:lang w:val="fr-FR"/>
        </w:rPr>
        <w:t>Actions</w:t>
      </w:r>
      <w:r w:rsidR="002A65F4" w:rsidRPr="002D499A">
        <w:rPr>
          <w:rFonts w:asciiTheme="minorHAnsi" w:hAnsiTheme="minorHAnsi"/>
          <w:b/>
          <w:bCs/>
          <w:sz w:val="22"/>
          <w:szCs w:val="22"/>
          <w:lang w:val="fr-FR"/>
        </w:rPr>
        <w:t xml:space="preserve"> </w:t>
      </w:r>
      <w:r w:rsidR="00FF5496" w:rsidRPr="002D499A">
        <w:rPr>
          <w:rFonts w:asciiTheme="minorHAnsi" w:hAnsiTheme="minorHAnsi"/>
          <w:b/>
          <w:bCs/>
          <w:sz w:val="22"/>
          <w:szCs w:val="22"/>
          <w:lang w:val="fr-FR"/>
        </w:rPr>
        <w:t xml:space="preserve">visant à renforcer la coopération avec le Programme des Nations Unies pour l’environnement et d’autres institutions internationales </w:t>
      </w:r>
    </w:p>
    <w:p w14:paraId="226AB310" w14:textId="77777777" w:rsidR="00912820" w:rsidRPr="002D499A" w:rsidRDefault="00912820" w:rsidP="00BA510D">
      <w:pPr>
        <w:autoSpaceDE w:val="0"/>
        <w:autoSpaceDN w:val="0"/>
        <w:adjustRightInd w:val="0"/>
        <w:rPr>
          <w:rFonts w:ascii="Calibri" w:eastAsiaTheme="minorHAnsi" w:hAnsi="Calibri" w:cs="Calibri"/>
          <w:color w:val="000000"/>
          <w:sz w:val="22"/>
          <w:szCs w:val="22"/>
          <w:lang w:val="fr-FR" w:eastAsia="en-US"/>
        </w:rPr>
      </w:pPr>
    </w:p>
    <w:p w14:paraId="726422FC" w14:textId="2AB85585" w:rsidR="00912820" w:rsidRPr="002D499A" w:rsidRDefault="00FF5496" w:rsidP="005522A4">
      <w:pPr>
        <w:pStyle w:val="ListParagraph"/>
        <w:numPr>
          <w:ilvl w:val="0"/>
          <w:numId w:val="19"/>
        </w:numPr>
        <w:autoSpaceDE w:val="0"/>
        <w:autoSpaceDN w:val="0"/>
        <w:adjustRightInd w:val="0"/>
        <w:ind w:left="426" w:hanging="426"/>
        <w:jc w:val="left"/>
        <w:rPr>
          <w:rFonts w:ascii="Calibri" w:eastAsiaTheme="minorHAnsi" w:hAnsi="Calibri" w:cs="Calibri"/>
          <w:color w:val="000000"/>
          <w:lang w:val="fr-FR"/>
        </w:rPr>
      </w:pPr>
      <w:r w:rsidRPr="002D499A">
        <w:rPr>
          <w:rFonts w:ascii="Calibri" w:eastAsiaTheme="minorHAnsi" w:hAnsi="Calibri" w:cs="Calibri"/>
          <w:color w:val="000000"/>
          <w:lang w:val="fr-FR"/>
        </w:rPr>
        <w:t>Comme noté dans les derniers rapports triennaux du Secrétaire général, le Secrétariat poursuit ses travaux en vue de renforcer la collaboration avec le PNUD, l’UNESCO, la CEE</w:t>
      </w:r>
      <w:r w:rsidRPr="002D499A">
        <w:rPr>
          <w:rFonts w:ascii="Calibri" w:eastAsiaTheme="minorHAnsi" w:hAnsi="Calibri" w:cs="Calibri"/>
          <w:color w:val="000000"/>
          <w:lang w:val="fr-FR"/>
        </w:rPr>
        <w:noBreakHyphen/>
        <w:t>ONU, la Banque mondiale, l’OMS, l’OMM, entre autres.</w:t>
      </w:r>
      <w:r w:rsidR="002A65F4" w:rsidRPr="002D499A">
        <w:rPr>
          <w:rFonts w:ascii="Calibri" w:eastAsiaTheme="minorHAnsi" w:hAnsi="Calibri" w:cs="Calibri"/>
          <w:color w:val="000000"/>
          <w:lang w:val="fr-FR"/>
        </w:rPr>
        <w:t xml:space="preserve"> </w:t>
      </w:r>
    </w:p>
    <w:p w14:paraId="069F03E7" w14:textId="77777777" w:rsidR="00C863DD" w:rsidRPr="002D499A" w:rsidRDefault="00C863DD" w:rsidP="00FA633D">
      <w:pPr>
        <w:autoSpaceDE w:val="0"/>
        <w:autoSpaceDN w:val="0"/>
        <w:adjustRightInd w:val="0"/>
        <w:rPr>
          <w:rFonts w:ascii="Calibri" w:hAnsi="Calibri"/>
          <w:color w:val="000000"/>
          <w:sz w:val="22"/>
          <w:lang w:val="fr-FR"/>
        </w:rPr>
      </w:pPr>
    </w:p>
    <w:p w14:paraId="1D656D31" w14:textId="419CABD4" w:rsidR="00C863DD" w:rsidRPr="002D499A" w:rsidRDefault="00FF5496" w:rsidP="005522A4">
      <w:pPr>
        <w:pStyle w:val="ListParagraph"/>
        <w:numPr>
          <w:ilvl w:val="0"/>
          <w:numId w:val="19"/>
        </w:numPr>
        <w:autoSpaceDE w:val="0"/>
        <w:autoSpaceDN w:val="0"/>
        <w:adjustRightInd w:val="0"/>
        <w:ind w:left="426" w:hanging="426"/>
        <w:jc w:val="left"/>
        <w:rPr>
          <w:rFonts w:ascii="Calibri" w:hAnsi="Calibri"/>
          <w:color w:val="000000"/>
          <w:lang w:val="fr-FR"/>
        </w:rPr>
      </w:pPr>
      <w:r w:rsidRPr="002D499A">
        <w:rPr>
          <w:rFonts w:ascii="Calibri" w:hAnsi="Calibri"/>
          <w:color w:val="000000"/>
          <w:lang w:val="fr-FR"/>
        </w:rPr>
        <w:t>Le mémorandum d’accord avec le PNUE est entré dans sa dernière étape avant signature et sera présenté au Comité exécutif du Comité permanent pour examen et pour les prochaines étapes.</w:t>
      </w:r>
    </w:p>
    <w:p w14:paraId="571AB416" w14:textId="77777777" w:rsidR="00376DDC" w:rsidRPr="002D499A" w:rsidRDefault="00376DDC" w:rsidP="005522A4">
      <w:pPr>
        <w:autoSpaceDE w:val="0"/>
        <w:autoSpaceDN w:val="0"/>
        <w:adjustRightInd w:val="0"/>
        <w:ind w:left="426" w:hanging="426"/>
        <w:rPr>
          <w:rFonts w:asciiTheme="minorHAnsi" w:hAnsiTheme="minorHAnsi"/>
          <w:sz w:val="22"/>
          <w:szCs w:val="22"/>
          <w:lang w:val="fr-FR"/>
        </w:rPr>
      </w:pPr>
    </w:p>
    <w:p w14:paraId="367B8E2E" w14:textId="272E5E2B" w:rsidR="00376DDC" w:rsidRPr="002D499A" w:rsidRDefault="00FF5496" w:rsidP="005522A4">
      <w:pPr>
        <w:pStyle w:val="Footer"/>
        <w:numPr>
          <w:ilvl w:val="0"/>
          <w:numId w:val="19"/>
        </w:numPr>
        <w:tabs>
          <w:tab w:val="clear" w:pos="4680"/>
          <w:tab w:val="clear" w:pos="9360"/>
        </w:tabs>
        <w:ind w:left="426" w:hanging="426"/>
        <w:rPr>
          <w:rFonts w:asciiTheme="minorHAnsi" w:hAnsiTheme="minorHAnsi" w:cs="Calibri"/>
          <w:sz w:val="22"/>
          <w:szCs w:val="22"/>
          <w:lang w:val="fr-FR"/>
        </w:rPr>
      </w:pPr>
      <w:r w:rsidRPr="002D499A">
        <w:rPr>
          <w:rFonts w:asciiTheme="minorHAnsi" w:hAnsiTheme="minorHAnsi" w:cs="Calibri"/>
          <w:sz w:val="22"/>
          <w:szCs w:val="22"/>
          <w:lang w:val="fr-FR"/>
        </w:rPr>
        <w:t>Le PNUE-</w:t>
      </w:r>
      <w:r w:rsidR="00376DDC" w:rsidRPr="002D499A">
        <w:rPr>
          <w:rFonts w:asciiTheme="minorHAnsi" w:hAnsiTheme="minorHAnsi" w:cs="Calibri"/>
          <w:sz w:val="22"/>
          <w:szCs w:val="22"/>
          <w:lang w:val="fr-FR"/>
        </w:rPr>
        <w:t>GRID</w:t>
      </w:r>
      <w:r w:rsidR="002A65F4" w:rsidRPr="002D499A">
        <w:rPr>
          <w:rFonts w:asciiTheme="minorHAnsi" w:hAnsiTheme="minorHAnsi" w:cs="Calibri"/>
          <w:sz w:val="22"/>
          <w:szCs w:val="22"/>
          <w:lang w:val="fr-FR"/>
        </w:rPr>
        <w:t xml:space="preserve"> </w:t>
      </w:r>
      <w:r w:rsidRPr="002D499A">
        <w:rPr>
          <w:rFonts w:asciiTheme="minorHAnsi" w:hAnsiTheme="minorHAnsi" w:cs="Calibri"/>
          <w:sz w:val="22"/>
          <w:szCs w:val="22"/>
          <w:lang w:val="fr-FR"/>
        </w:rPr>
        <w:t>a élaboré avec succès notre nouveau Service d’information sur les Sites Ramsar (SISR) en collaboration étroite</w:t>
      </w:r>
      <w:r w:rsidR="00706E05" w:rsidRPr="002D499A">
        <w:rPr>
          <w:rFonts w:asciiTheme="minorHAnsi" w:hAnsiTheme="minorHAnsi" w:cs="Calibri"/>
          <w:sz w:val="22"/>
          <w:szCs w:val="22"/>
          <w:lang w:val="fr-FR"/>
        </w:rPr>
        <w:t>,</w:t>
      </w:r>
      <w:r w:rsidRPr="002D499A">
        <w:rPr>
          <w:rFonts w:asciiTheme="minorHAnsi" w:hAnsiTheme="minorHAnsi" w:cs="Calibri"/>
          <w:sz w:val="22"/>
          <w:szCs w:val="22"/>
          <w:lang w:val="fr-FR"/>
        </w:rPr>
        <w:t xml:space="preserve"> et nous continuerons de travailler avec </w:t>
      </w:r>
      <w:r w:rsidR="00706E05" w:rsidRPr="002D499A">
        <w:rPr>
          <w:rFonts w:asciiTheme="minorHAnsi" w:hAnsiTheme="minorHAnsi" w:cs="Calibri"/>
          <w:sz w:val="22"/>
          <w:szCs w:val="22"/>
          <w:lang w:val="fr-FR"/>
        </w:rPr>
        <w:t>lui</w:t>
      </w:r>
      <w:r w:rsidRPr="002D499A">
        <w:rPr>
          <w:rFonts w:asciiTheme="minorHAnsi" w:hAnsiTheme="minorHAnsi" w:cs="Calibri"/>
          <w:sz w:val="22"/>
          <w:szCs w:val="22"/>
          <w:lang w:val="fr-FR"/>
        </w:rPr>
        <w:t xml:space="preserve"> afin d’affiner le Système. Le PNUE</w:t>
      </w:r>
      <w:r w:rsidRPr="002D499A">
        <w:rPr>
          <w:rFonts w:asciiTheme="minorHAnsi" w:hAnsiTheme="minorHAnsi" w:cs="Calibri"/>
          <w:sz w:val="22"/>
          <w:szCs w:val="22"/>
          <w:lang w:val="fr-FR"/>
        </w:rPr>
        <w:noBreakHyphen/>
        <w:t xml:space="preserve">WCMC a joué un rôle fondamental en permettant à Ramsar d’élaborer </w:t>
      </w:r>
      <w:r w:rsidR="002D499A">
        <w:rPr>
          <w:rFonts w:asciiTheme="minorHAnsi" w:hAnsiTheme="minorHAnsi" w:cs="Calibri"/>
          <w:sz w:val="22"/>
          <w:szCs w:val="22"/>
          <w:lang w:val="fr-FR"/>
        </w:rPr>
        <w:t>l’approche</w:t>
      </w:r>
      <w:r w:rsidRPr="002D499A">
        <w:rPr>
          <w:rFonts w:asciiTheme="minorHAnsi" w:hAnsiTheme="minorHAnsi" w:cs="Calibri"/>
          <w:sz w:val="22"/>
          <w:szCs w:val="22"/>
          <w:lang w:val="fr-FR"/>
        </w:rPr>
        <w:t xml:space="preserve"> statistique et </w:t>
      </w:r>
      <w:r w:rsidR="002D499A">
        <w:rPr>
          <w:rFonts w:asciiTheme="minorHAnsi" w:hAnsiTheme="minorHAnsi" w:cs="Calibri"/>
          <w:sz w:val="22"/>
          <w:szCs w:val="22"/>
          <w:lang w:val="fr-FR"/>
        </w:rPr>
        <w:t>les</w:t>
      </w:r>
      <w:r w:rsidRPr="002D499A">
        <w:rPr>
          <w:rFonts w:asciiTheme="minorHAnsi" w:hAnsiTheme="minorHAnsi" w:cs="Calibri"/>
          <w:sz w:val="22"/>
          <w:szCs w:val="22"/>
          <w:lang w:val="fr-FR"/>
        </w:rPr>
        <w:t xml:space="preserve"> métadonnées pour le suivi de l’Objectif 6.6 des ODD. Des relations plus étroites avec le PNUE</w:t>
      </w:r>
      <w:r w:rsidRPr="002D499A">
        <w:rPr>
          <w:rFonts w:asciiTheme="minorHAnsi" w:hAnsiTheme="minorHAnsi" w:cs="Calibri"/>
          <w:sz w:val="22"/>
          <w:szCs w:val="22"/>
          <w:lang w:val="fr-FR"/>
        </w:rPr>
        <w:noBreakHyphen/>
        <w:t xml:space="preserve">WCMC et le PNUE à </w:t>
      </w:r>
      <w:r w:rsidR="00376DDC" w:rsidRPr="002D499A">
        <w:rPr>
          <w:rFonts w:asciiTheme="minorHAnsi" w:hAnsiTheme="minorHAnsi" w:cs="Calibri"/>
          <w:sz w:val="22"/>
          <w:szCs w:val="22"/>
          <w:lang w:val="fr-FR"/>
        </w:rPr>
        <w:t>Nairobi</w:t>
      </w:r>
      <w:r w:rsidR="002A65F4" w:rsidRPr="002D499A">
        <w:rPr>
          <w:rFonts w:asciiTheme="minorHAnsi" w:hAnsiTheme="minorHAnsi" w:cs="Calibri"/>
          <w:sz w:val="22"/>
          <w:szCs w:val="22"/>
          <w:lang w:val="fr-FR"/>
        </w:rPr>
        <w:t xml:space="preserve"> </w:t>
      </w:r>
      <w:r w:rsidRPr="002D499A">
        <w:rPr>
          <w:rFonts w:asciiTheme="minorHAnsi" w:hAnsiTheme="minorHAnsi" w:cs="Calibri"/>
          <w:sz w:val="22"/>
          <w:szCs w:val="22"/>
          <w:lang w:val="fr-FR"/>
        </w:rPr>
        <w:t>nous permettront de mieux explorer les besoins de Ramsar en mé</w:t>
      </w:r>
      <w:r w:rsidR="00706E05" w:rsidRPr="002D499A">
        <w:rPr>
          <w:rFonts w:asciiTheme="minorHAnsi" w:hAnsiTheme="minorHAnsi" w:cs="Calibri"/>
          <w:sz w:val="22"/>
          <w:szCs w:val="22"/>
          <w:lang w:val="fr-FR"/>
        </w:rPr>
        <w:t>t</w:t>
      </w:r>
      <w:r w:rsidRPr="002D499A">
        <w:rPr>
          <w:rFonts w:asciiTheme="minorHAnsi" w:hAnsiTheme="minorHAnsi" w:cs="Calibri"/>
          <w:sz w:val="22"/>
          <w:szCs w:val="22"/>
          <w:lang w:val="fr-FR"/>
        </w:rPr>
        <w:t xml:space="preserve">adonnées et en analyses par satellite de l’état des zones humides, y compris les Sites Ramsar ainsi que d’étayer la préparation du modèle de </w:t>
      </w:r>
      <w:r w:rsidR="00706E05" w:rsidRPr="002D499A">
        <w:rPr>
          <w:rFonts w:asciiTheme="minorHAnsi" w:hAnsiTheme="minorHAnsi" w:cs="Calibri"/>
          <w:sz w:val="22"/>
          <w:szCs w:val="22"/>
          <w:lang w:val="fr-FR"/>
        </w:rPr>
        <w:t>R</w:t>
      </w:r>
      <w:r w:rsidRPr="002D499A">
        <w:rPr>
          <w:rFonts w:asciiTheme="minorHAnsi" w:hAnsiTheme="minorHAnsi" w:cs="Calibri"/>
          <w:sz w:val="22"/>
          <w:szCs w:val="22"/>
          <w:lang w:val="fr-FR"/>
        </w:rPr>
        <w:t>apport national pour la COP13. Finalement, en juillet </w:t>
      </w:r>
      <w:r w:rsidR="00C92309" w:rsidRPr="002D499A">
        <w:rPr>
          <w:rFonts w:asciiTheme="minorHAnsi" w:hAnsiTheme="minorHAnsi" w:cs="Calibri"/>
          <w:sz w:val="22"/>
          <w:szCs w:val="22"/>
          <w:lang w:val="fr-FR"/>
        </w:rPr>
        <w:t>2015</w:t>
      </w:r>
      <w:r w:rsidR="00685DA0" w:rsidRPr="002D499A">
        <w:rPr>
          <w:rFonts w:asciiTheme="minorHAnsi" w:hAnsiTheme="minorHAnsi" w:cs="Calibri"/>
          <w:sz w:val="22"/>
          <w:szCs w:val="22"/>
          <w:lang w:val="fr-FR"/>
        </w:rPr>
        <w:t>,</w:t>
      </w:r>
      <w:r w:rsidR="002A65F4" w:rsidRPr="002D499A">
        <w:rPr>
          <w:rFonts w:asciiTheme="minorHAnsi" w:hAnsiTheme="minorHAnsi" w:cs="Calibri"/>
          <w:sz w:val="22"/>
          <w:szCs w:val="22"/>
          <w:lang w:val="fr-FR"/>
        </w:rPr>
        <w:t xml:space="preserve"> </w:t>
      </w:r>
      <w:r w:rsidR="00C92309" w:rsidRPr="002D499A">
        <w:rPr>
          <w:rFonts w:asciiTheme="minorHAnsi" w:hAnsiTheme="minorHAnsi" w:cs="Calibri"/>
          <w:sz w:val="22"/>
          <w:szCs w:val="22"/>
          <w:lang w:val="fr-FR"/>
        </w:rPr>
        <w:t>Ramsar</w:t>
      </w:r>
      <w:r w:rsidR="002A65F4" w:rsidRPr="002D499A">
        <w:rPr>
          <w:rFonts w:asciiTheme="minorHAnsi" w:hAnsiTheme="minorHAnsi" w:cs="Calibri"/>
          <w:sz w:val="22"/>
          <w:szCs w:val="22"/>
          <w:lang w:val="fr-FR"/>
        </w:rPr>
        <w:t xml:space="preserve"> </w:t>
      </w:r>
      <w:r w:rsidRPr="002D499A">
        <w:rPr>
          <w:rFonts w:asciiTheme="minorHAnsi" w:hAnsiTheme="minorHAnsi" w:cs="Calibri"/>
          <w:sz w:val="22"/>
          <w:szCs w:val="22"/>
          <w:lang w:val="fr-FR"/>
        </w:rPr>
        <w:t xml:space="preserve">a remis une lettre d’appui au </w:t>
      </w:r>
      <w:r w:rsidR="006A1FBD">
        <w:rPr>
          <w:rFonts w:asciiTheme="minorHAnsi" w:hAnsiTheme="minorHAnsi" w:cs="Calibri"/>
          <w:sz w:val="22"/>
          <w:szCs w:val="22"/>
          <w:lang w:val="fr-FR"/>
        </w:rPr>
        <w:t xml:space="preserve">Centre </w:t>
      </w:r>
      <w:r w:rsidRPr="006A1FBD">
        <w:rPr>
          <w:rFonts w:asciiTheme="minorHAnsi" w:hAnsiTheme="minorHAnsi" w:cs="Calibri"/>
          <w:sz w:val="22"/>
          <w:szCs w:val="22"/>
          <w:lang w:val="fr-FR"/>
        </w:rPr>
        <w:t>PNUE</w:t>
      </w:r>
      <w:r w:rsidRPr="006A1FBD">
        <w:rPr>
          <w:rFonts w:asciiTheme="minorHAnsi" w:hAnsiTheme="minorHAnsi" w:cs="Calibri"/>
          <w:sz w:val="22"/>
          <w:szCs w:val="22"/>
          <w:lang w:val="fr-FR"/>
        </w:rPr>
        <w:noBreakHyphen/>
        <w:t>DHI</w:t>
      </w:r>
      <w:r w:rsidR="006A1FBD">
        <w:rPr>
          <w:rFonts w:asciiTheme="minorHAnsi" w:hAnsiTheme="minorHAnsi" w:cs="Calibri"/>
          <w:sz w:val="22"/>
          <w:szCs w:val="22"/>
          <w:lang w:val="fr-FR"/>
        </w:rPr>
        <w:t xml:space="preserve"> pour l’eau et l’environnement,</w:t>
      </w:r>
      <w:r w:rsidRPr="002D499A">
        <w:rPr>
          <w:rFonts w:asciiTheme="minorHAnsi" w:hAnsiTheme="minorHAnsi" w:cs="Calibri"/>
          <w:sz w:val="22"/>
          <w:szCs w:val="22"/>
          <w:lang w:val="fr-FR"/>
        </w:rPr>
        <w:t xml:space="preserve"> pour la prochaine phase du Programme d’évaluation </w:t>
      </w:r>
      <w:r w:rsidRPr="002D499A">
        <w:rPr>
          <w:rFonts w:asciiTheme="minorHAnsi" w:hAnsiTheme="minorHAnsi" w:cs="Calibri"/>
          <w:sz w:val="22"/>
          <w:szCs w:val="22"/>
          <w:lang w:val="fr-FR"/>
        </w:rPr>
        <w:lastRenderedPageBreak/>
        <w:t>des eaux transfrontières et échangera des informations avec ce programme sur les zones humides transfrontières.</w:t>
      </w:r>
    </w:p>
    <w:p w14:paraId="3D0A3A8D" w14:textId="77777777" w:rsidR="00C863DD" w:rsidRPr="002D499A" w:rsidRDefault="00C863DD" w:rsidP="00BA510D">
      <w:pPr>
        <w:autoSpaceDE w:val="0"/>
        <w:autoSpaceDN w:val="0"/>
        <w:adjustRightInd w:val="0"/>
        <w:rPr>
          <w:rFonts w:ascii="Calibri" w:eastAsiaTheme="minorHAnsi" w:hAnsi="Calibri" w:cs="Calibri"/>
          <w:color w:val="000000"/>
          <w:lang w:val="fr-FR" w:eastAsia="en-US"/>
        </w:rPr>
      </w:pPr>
    </w:p>
    <w:p w14:paraId="4C7503C5" w14:textId="4F9F2B17" w:rsidR="00912820" w:rsidRPr="002D499A" w:rsidRDefault="00912820" w:rsidP="005522A4">
      <w:pPr>
        <w:autoSpaceDE w:val="0"/>
        <w:autoSpaceDN w:val="0"/>
        <w:adjustRightInd w:val="0"/>
        <w:ind w:left="426" w:hanging="426"/>
        <w:rPr>
          <w:rFonts w:ascii="Calibri" w:eastAsiaTheme="minorHAnsi" w:hAnsi="Calibri" w:cs="Calibri"/>
          <w:b/>
          <w:color w:val="000000"/>
          <w:sz w:val="22"/>
          <w:szCs w:val="22"/>
          <w:lang w:val="fr-FR" w:eastAsia="en-US"/>
        </w:rPr>
      </w:pPr>
      <w:r w:rsidRPr="002D499A">
        <w:rPr>
          <w:rFonts w:ascii="Calibri" w:eastAsiaTheme="minorHAnsi" w:hAnsi="Calibri" w:cs="Calibri"/>
          <w:b/>
          <w:color w:val="000000"/>
          <w:sz w:val="22"/>
          <w:szCs w:val="22"/>
          <w:lang w:val="fr-FR" w:eastAsia="en-US"/>
        </w:rPr>
        <w:t>Collaboration</w:t>
      </w:r>
      <w:r w:rsidR="002A65F4" w:rsidRPr="002D499A">
        <w:rPr>
          <w:rFonts w:ascii="Calibri" w:eastAsiaTheme="minorHAnsi" w:hAnsi="Calibri" w:cs="Calibri"/>
          <w:b/>
          <w:color w:val="000000"/>
          <w:sz w:val="22"/>
          <w:szCs w:val="22"/>
          <w:lang w:val="fr-FR" w:eastAsia="en-US"/>
        </w:rPr>
        <w:t xml:space="preserve"> </w:t>
      </w:r>
      <w:r w:rsidR="00FF5496" w:rsidRPr="002D499A">
        <w:rPr>
          <w:rFonts w:ascii="Calibri" w:eastAsiaTheme="minorHAnsi" w:hAnsi="Calibri" w:cs="Calibri"/>
          <w:b/>
          <w:color w:val="000000"/>
          <w:sz w:val="22"/>
          <w:szCs w:val="22"/>
          <w:lang w:val="fr-FR" w:eastAsia="en-US"/>
        </w:rPr>
        <w:t>avec l’</w:t>
      </w:r>
      <w:r w:rsidRPr="002D499A">
        <w:rPr>
          <w:rFonts w:ascii="Calibri" w:eastAsiaTheme="minorHAnsi" w:hAnsi="Calibri" w:cs="Calibri"/>
          <w:b/>
          <w:color w:val="000000"/>
          <w:sz w:val="22"/>
          <w:szCs w:val="22"/>
          <w:lang w:val="fr-FR" w:eastAsia="en-US"/>
        </w:rPr>
        <w:t>UNE</w:t>
      </w:r>
      <w:r w:rsidR="007E615D" w:rsidRPr="002D499A">
        <w:rPr>
          <w:rFonts w:ascii="Calibri" w:eastAsiaTheme="minorHAnsi" w:hAnsi="Calibri" w:cs="Calibri"/>
          <w:b/>
          <w:color w:val="000000"/>
          <w:sz w:val="22"/>
          <w:szCs w:val="22"/>
          <w:lang w:val="fr-FR" w:eastAsia="en-US"/>
        </w:rPr>
        <w:t>SCO</w:t>
      </w:r>
    </w:p>
    <w:p w14:paraId="401E8085" w14:textId="77777777" w:rsidR="007E615D" w:rsidRPr="002D499A" w:rsidRDefault="007E615D" w:rsidP="005522A4">
      <w:pPr>
        <w:autoSpaceDE w:val="0"/>
        <w:autoSpaceDN w:val="0"/>
        <w:adjustRightInd w:val="0"/>
        <w:ind w:left="426" w:hanging="426"/>
        <w:rPr>
          <w:rFonts w:ascii="Calibri" w:eastAsiaTheme="minorHAnsi" w:hAnsi="Calibri" w:cs="Calibri"/>
          <w:color w:val="000000"/>
          <w:sz w:val="22"/>
          <w:szCs w:val="22"/>
          <w:lang w:val="fr-FR" w:eastAsia="en-US"/>
        </w:rPr>
      </w:pPr>
    </w:p>
    <w:p w14:paraId="6D3553FE" w14:textId="49FA08C3" w:rsidR="007E615D" w:rsidRPr="002D499A" w:rsidRDefault="002D499A" w:rsidP="005522A4">
      <w:pPr>
        <w:pStyle w:val="Footer"/>
        <w:numPr>
          <w:ilvl w:val="0"/>
          <w:numId w:val="19"/>
        </w:numPr>
        <w:tabs>
          <w:tab w:val="clear" w:pos="4680"/>
          <w:tab w:val="clear" w:pos="9360"/>
        </w:tabs>
        <w:ind w:left="426" w:hanging="426"/>
        <w:rPr>
          <w:rFonts w:asciiTheme="minorHAnsi" w:hAnsiTheme="minorHAnsi" w:cs="Calibri"/>
          <w:sz w:val="22"/>
          <w:szCs w:val="22"/>
          <w:lang w:val="fr-FR"/>
        </w:rPr>
      </w:pPr>
      <w:r>
        <w:rPr>
          <w:rFonts w:asciiTheme="minorHAnsi" w:hAnsiTheme="minorHAnsi" w:cs="Calibri"/>
          <w:sz w:val="22"/>
          <w:szCs w:val="22"/>
          <w:lang w:val="fr-FR"/>
        </w:rPr>
        <w:t>E</w:t>
      </w:r>
      <w:r w:rsidR="00FF5496" w:rsidRPr="002D499A">
        <w:rPr>
          <w:rFonts w:asciiTheme="minorHAnsi" w:hAnsiTheme="minorHAnsi" w:cs="Calibri"/>
          <w:sz w:val="22"/>
          <w:szCs w:val="22"/>
          <w:lang w:val="fr-FR"/>
        </w:rPr>
        <w:t>n 2013</w:t>
      </w:r>
      <w:r>
        <w:rPr>
          <w:rFonts w:asciiTheme="minorHAnsi" w:hAnsiTheme="minorHAnsi" w:cs="Calibri"/>
          <w:sz w:val="22"/>
          <w:szCs w:val="22"/>
          <w:lang w:val="fr-FR"/>
        </w:rPr>
        <w:t xml:space="preserve"> a été lancée avec succès</w:t>
      </w:r>
      <w:r w:rsidR="00FF5496" w:rsidRPr="002D499A">
        <w:rPr>
          <w:rFonts w:asciiTheme="minorHAnsi" w:hAnsiTheme="minorHAnsi" w:cs="Calibri"/>
          <w:sz w:val="22"/>
          <w:szCs w:val="22"/>
          <w:lang w:val="fr-FR"/>
        </w:rPr>
        <w:t xml:space="preserve"> la Chaire Ramsar sur l’utilisatio</w:t>
      </w:r>
      <w:r w:rsidR="00AB674B" w:rsidRPr="002D499A">
        <w:rPr>
          <w:rFonts w:asciiTheme="minorHAnsi" w:hAnsiTheme="minorHAnsi" w:cs="Calibri"/>
          <w:sz w:val="22"/>
          <w:szCs w:val="22"/>
          <w:lang w:val="fr-FR"/>
        </w:rPr>
        <w:t>n rationnelle des zones humides</w:t>
      </w:r>
      <w:r>
        <w:rPr>
          <w:rFonts w:asciiTheme="minorHAnsi" w:hAnsiTheme="minorHAnsi" w:cs="Calibri"/>
          <w:sz w:val="22"/>
          <w:szCs w:val="22"/>
          <w:lang w:val="fr-FR"/>
        </w:rPr>
        <w:t xml:space="preserve"> dont</w:t>
      </w:r>
      <w:r w:rsidR="00AB674B" w:rsidRPr="002D499A">
        <w:rPr>
          <w:rFonts w:asciiTheme="minorHAnsi" w:hAnsiTheme="minorHAnsi" w:cs="Calibri"/>
          <w:sz w:val="22"/>
          <w:szCs w:val="22"/>
          <w:lang w:val="fr-FR"/>
        </w:rPr>
        <w:t xml:space="preserve"> les coûts sont couverts par l’Université </w:t>
      </w:r>
      <w:r w:rsidR="007E615D" w:rsidRPr="002D499A">
        <w:rPr>
          <w:rFonts w:asciiTheme="minorHAnsi" w:hAnsiTheme="minorHAnsi" w:cs="Calibri"/>
          <w:sz w:val="22"/>
          <w:szCs w:val="22"/>
          <w:lang w:val="fr-FR"/>
        </w:rPr>
        <w:t>Charles</w:t>
      </w:r>
      <w:r w:rsidR="002A65F4" w:rsidRPr="002D499A">
        <w:rPr>
          <w:rFonts w:asciiTheme="minorHAnsi" w:hAnsiTheme="minorHAnsi" w:cs="Calibri"/>
          <w:sz w:val="22"/>
          <w:szCs w:val="22"/>
          <w:lang w:val="fr-FR"/>
        </w:rPr>
        <w:t xml:space="preserve"> </w:t>
      </w:r>
      <w:r w:rsidR="007E615D" w:rsidRPr="002D499A">
        <w:rPr>
          <w:rFonts w:asciiTheme="minorHAnsi" w:hAnsiTheme="minorHAnsi" w:cs="Calibri"/>
          <w:sz w:val="22"/>
          <w:szCs w:val="22"/>
          <w:lang w:val="fr-FR"/>
        </w:rPr>
        <w:t>Sturt</w:t>
      </w:r>
      <w:r w:rsidR="002A65F4" w:rsidRPr="002D499A">
        <w:rPr>
          <w:rFonts w:asciiTheme="minorHAnsi" w:hAnsiTheme="minorHAnsi" w:cs="Calibri"/>
          <w:sz w:val="22"/>
          <w:szCs w:val="22"/>
          <w:lang w:val="fr-FR"/>
        </w:rPr>
        <w:t xml:space="preserve"> </w:t>
      </w:r>
      <w:r w:rsidR="00AB674B" w:rsidRPr="002D499A">
        <w:rPr>
          <w:rFonts w:asciiTheme="minorHAnsi" w:hAnsiTheme="minorHAnsi" w:cs="Calibri"/>
          <w:sz w:val="22"/>
          <w:szCs w:val="22"/>
          <w:lang w:val="fr-FR"/>
        </w:rPr>
        <w:t xml:space="preserve">et l’UNESCO, et </w:t>
      </w:r>
      <w:r>
        <w:rPr>
          <w:rFonts w:asciiTheme="minorHAnsi" w:hAnsiTheme="minorHAnsi" w:cs="Calibri"/>
          <w:sz w:val="22"/>
          <w:szCs w:val="22"/>
          <w:lang w:val="fr-FR"/>
        </w:rPr>
        <w:t xml:space="preserve">dont </w:t>
      </w:r>
      <w:r w:rsidR="00AB674B" w:rsidRPr="002D499A">
        <w:rPr>
          <w:rFonts w:asciiTheme="minorHAnsi" w:hAnsiTheme="minorHAnsi" w:cs="Calibri"/>
          <w:sz w:val="22"/>
          <w:szCs w:val="22"/>
          <w:lang w:val="fr-FR"/>
        </w:rPr>
        <w:t xml:space="preserve">nous recevons un appui pour préparer le matériel de formation technique pour l’enseignement à distance des administrateurs de zones humides et pour le travail politique, en coopération étroite avec le GEST et le Secrétariat et en réponse aux besoins réels. </w:t>
      </w:r>
    </w:p>
    <w:p w14:paraId="31E423C5" w14:textId="77777777" w:rsidR="003417FD" w:rsidRPr="002D499A" w:rsidRDefault="003417FD" w:rsidP="005522A4">
      <w:pPr>
        <w:pStyle w:val="Footer"/>
        <w:tabs>
          <w:tab w:val="clear" w:pos="4680"/>
          <w:tab w:val="clear" w:pos="9360"/>
        </w:tabs>
        <w:ind w:left="426" w:hanging="426"/>
        <w:rPr>
          <w:rFonts w:asciiTheme="minorHAnsi" w:hAnsiTheme="minorHAnsi" w:cs="Calibri"/>
          <w:sz w:val="22"/>
          <w:szCs w:val="22"/>
          <w:lang w:val="fr-FR"/>
        </w:rPr>
      </w:pPr>
    </w:p>
    <w:p w14:paraId="183D1702" w14:textId="2F0C5151" w:rsidR="003417FD" w:rsidRPr="002D499A" w:rsidRDefault="00AB674B" w:rsidP="005522A4">
      <w:pPr>
        <w:pStyle w:val="Footer"/>
        <w:numPr>
          <w:ilvl w:val="0"/>
          <w:numId w:val="19"/>
        </w:numPr>
        <w:tabs>
          <w:tab w:val="clear" w:pos="4680"/>
          <w:tab w:val="clear" w:pos="9360"/>
        </w:tabs>
        <w:ind w:left="426" w:hanging="426"/>
        <w:rPr>
          <w:rFonts w:asciiTheme="minorHAnsi" w:hAnsiTheme="minorHAnsi" w:cs="Calibri"/>
          <w:sz w:val="22"/>
          <w:szCs w:val="22"/>
          <w:lang w:val="fr-FR"/>
        </w:rPr>
      </w:pPr>
      <w:r w:rsidRPr="002D499A">
        <w:rPr>
          <w:rFonts w:asciiTheme="minorHAnsi" w:hAnsiTheme="minorHAnsi" w:cs="Calibri"/>
          <w:sz w:val="22"/>
          <w:szCs w:val="22"/>
          <w:lang w:val="fr-FR"/>
        </w:rPr>
        <w:t>Le Secrétariat collabore également avec le nouveau projet du FEM en collaboration avec le Groupe sur les eaux souterraines de l’UNESCO à la suite de notre projet couronné de succès sur les zones humides de Méditerranée alimentées par des eaux souterraines.</w:t>
      </w:r>
    </w:p>
    <w:p w14:paraId="7AA8646A" w14:textId="77777777" w:rsidR="007E615D" w:rsidRPr="002D499A" w:rsidRDefault="007E615D" w:rsidP="005522A4">
      <w:pPr>
        <w:autoSpaceDE w:val="0"/>
        <w:autoSpaceDN w:val="0"/>
        <w:adjustRightInd w:val="0"/>
        <w:ind w:left="426" w:hanging="426"/>
        <w:rPr>
          <w:rFonts w:ascii="Calibri" w:eastAsiaTheme="minorHAnsi" w:hAnsi="Calibri" w:cs="Calibri"/>
          <w:color w:val="000000"/>
          <w:sz w:val="22"/>
          <w:szCs w:val="22"/>
          <w:lang w:val="fr-FR" w:eastAsia="en-US"/>
        </w:rPr>
      </w:pPr>
    </w:p>
    <w:p w14:paraId="29213BA8" w14:textId="7971BAA8" w:rsidR="00782506" w:rsidRPr="002D499A" w:rsidRDefault="00AB674B" w:rsidP="005522A4">
      <w:pPr>
        <w:pStyle w:val="ListParagraph"/>
        <w:numPr>
          <w:ilvl w:val="0"/>
          <w:numId w:val="19"/>
        </w:numPr>
        <w:autoSpaceDE w:val="0"/>
        <w:autoSpaceDN w:val="0"/>
        <w:adjustRightInd w:val="0"/>
        <w:ind w:left="426" w:hanging="426"/>
        <w:jc w:val="left"/>
        <w:rPr>
          <w:rFonts w:asciiTheme="minorHAnsi" w:hAnsiTheme="minorHAnsi" w:cs="Calibri"/>
          <w:lang w:val="fr-FR"/>
        </w:rPr>
      </w:pPr>
      <w:r w:rsidRPr="002D499A">
        <w:rPr>
          <w:rFonts w:asciiTheme="minorHAnsi" w:hAnsiTheme="minorHAnsi" w:cs="Calibri"/>
          <w:lang w:val="fr-FR"/>
        </w:rPr>
        <w:t xml:space="preserve">Un projet conjoint </w:t>
      </w:r>
      <w:r w:rsidR="002C537A" w:rsidRPr="002D499A">
        <w:rPr>
          <w:rFonts w:asciiTheme="minorHAnsi" w:hAnsiTheme="minorHAnsi" w:cs="Calibri"/>
          <w:lang w:val="fr-FR"/>
        </w:rPr>
        <w:t>Ramsar/</w:t>
      </w:r>
      <w:r w:rsidRPr="002D499A">
        <w:rPr>
          <w:rFonts w:asciiTheme="minorHAnsi" w:hAnsiTheme="minorHAnsi" w:cs="Calibri"/>
          <w:lang w:val="fr-FR"/>
        </w:rPr>
        <w:t>UICN</w:t>
      </w:r>
      <w:r w:rsidR="002C537A" w:rsidRPr="002D499A">
        <w:rPr>
          <w:rFonts w:asciiTheme="minorHAnsi" w:hAnsiTheme="minorHAnsi" w:cs="Calibri"/>
          <w:lang w:val="fr-FR"/>
        </w:rPr>
        <w:t>/UNESCO</w:t>
      </w:r>
      <w:r w:rsidR="002A65F4" w:rsidRPr="002D499A">
        <w:rPr>
          <w:rFonts w:asciiTheme="minorHAnsi" w:hAnsiTheme="minorHAnsi" w:cs="Calibri"/>
          <w:lang w:val="fr-FR"/>
        </w:rPr>
        <w:t xml:space="preserve"> </w:t>
      </w:r>
      <w:r w:rsidRPr="002D499A">
        <w:rPr>
          <w:rFonts w:asciiTheme="minorHAnsi" w:hAnsiTheme="minorHAnsi" w:cs="Calibri"/>
          <w:lang w:val="fr-FR"/>
        </w:rPr>
        <w:t>sur la manière de gérer les sites qui ont plus d’une désignation au titre de Ramsar, de la Convention du patrimoine mondial, des géoparcs ou du programme MAB de l’UNESCO</w:t>
      </w:r>
      <w:r w:rsidR="00706E05" w:rsidRPr="002D499A">
        <w:rPr>
          <w:rFonts w:asciiTheme="minorHAnsi" w:hAnsiTheme="minorHAnsi" w:cs="Calibri"/>
          <w:lang w:val="fr-FR"/>
        </w:rPr>
        <w:t xml:space="preserve"> est en plein essor</w:t>
      </w:r>
      <w:r w:rsidRPr="002D499A">
        <w:rPr>
          <w:rFonts w:asciiTheme="minorHAnsi" w:hAnsiTheme="minorHAnsi" w:cs="Calibri"/>
          <w:lang w:val="fr-FR"/>
        </w:rPr>
        <w:t xml:space="preserve">. Il s’agit d’un nouveau projet avec un financement de la République de Corée pour une meilleure gestion des sites d’importance internationale ayant des désignations multiples et d’une étape positive pour obtenir une équivalence substantielle. Le Secrétaire général a participé à une activité parallèle consacrée à ce projet lors de la </w:t>
      </w:r>
      <w:r w:rsidRPr="006A1FBD">
        <w:rPr>
          <w:rFonts w:asciiTheme="minorHAnsi" w:hAnsiTheme="minorHAnsi" w:cs="Calibri"/>
          <w:lang w:val="fr-FR"/>
        </w:rPr>
        <w:t>39</w:t>
      </w:r>
      <w:r w:rsidRPr="006A1FBD">
        <w:rPr>
          <w:rFonts w:asciiTheme="minorHAnsi" w:hAnsiTheme="minorHAnsi" w:cs="Calibri"/>
          <w:vertAlign w:val="superscript"/>
          <w:lang w:val="fr-FR"/>
        </w:rPr>
        <w:t>e</w:t>
      </w:r>
      <w:r w:rsidRPr="006A1FBD">
        <w:rPr>
          <w:rFonts w:asciiTheme="minorHAnsi" w:hAnsiTheme="minorHAnsi" w:cs="Calibri"/>
          <w:lang w:val="fr-FR"/>
        </w:rPr>
        <w:t xml:space="preserve"> Session </w:t>
      </w:r>
      <w:r w:rsidR="00706E05" w:rsidRPr="006A1FBD">
        <w:rPr>
          <w:rFonts w:asciiTheme="minorHAnsi" w:hAnsiTheme="minorHAnsi" w:cs="Calibri"/>
          <w:lang w:val="fr-FR"/>
        </w:rPr>
        <w:t>du Comité du patrimoine mondial de</w:t>
      </w:r>
      <w:r w:rsidRPr="006A1FBD">
        <w:rPr>
          <w:rFonts w:asciiTheme="minorHAnsi" w:hAnsiTheme="minorHAnsi" w:cs="Calibri"/>
          <w:lang w:val="fr-FR"/>
        </w:rPr>
        <w:t xml:space="preserve"> l’UNESCO</w:t>
      </w:r>
      <w:r w:rsidRPr="002D499A">
        <w:rPr>
          <w:rFonts w:asciiTheme="minorHAnsi" w:hAnsiTheme="minorHAnsi" w:cs="Calibri"/>
          <w:lang w:val="fr-FR"/>
        </w:rPr>
        <w:t xml:space="preserve"> et a discuté de l’élaboration future du projet à Jeju, République de Corée, avec </w:t>
      </w:r>
      <w:r w:rsidR="00706E05" w:rsidRPr="002D499A">
        <w:rPr>
          <w:rFonts w:asciiTheme="minorHAnsi" w:hAnsiTheme="minorHAnsi" w:cs="Calibri"/>
          <w:lang w:val="fr-FR"/>
        </w:rPr>
        <w:t>d</w:t>
      </w:r>
      <w:r w:rsidRPr="002D499A">
        <w:rPr>
          <w:rFonts w:asciiTheme="minorHAnsi" w:hAnsiTheme="minorHAnsi" w:cs="Calibri"/>
          <w:lang w:val="fr-FR"/>
        </w:rPr>
        <w:t>es fonctionnaires</w:t>
      </w:r>
      <w:r w:rsidR="006A1FBD">
        <w:rPr>
          <w:rFonts w:asciiTheme="minorHAnsi" w:hAnsiTheme="minorHAnsi" w:cs="Calibri"/>
          <w:lang w:val="fr-FR"/>
        </w:rPr>
        <w:t xml:space="preserve"> coréeens</w:t>
      </w:r>
      <w:r w:rsidRPr="002D499A">
        <w:rPr>
          <w:rFonts w:asciiTheme="minorHAnsi" w:hAnsiTheme="minorHAnsi" w:cs="Calibri"/>
          <w:lang w:val="fr-FR"/>
        </w:rPr>
        <w:t>. La Secrétaire générale adjointe a participé à un atelier détaillé sur le projet</w:t>
      </w:r>
      <w:r w:rsidR="00706E05" w:rsidRPr="002D499A">
        <w:rPr>
          <w:rFonts w:asciiTheme="minorHAnsi" w:hAnsiTheme="minorHAnsi" w:cs="Calibri"/>
          <w:lang w:val="fr-FR"/>
        </w:rPr>
        <w:t>,</w:t>
      </w:r>
      <w:r w:rsidRPr="002D499A">
        <w:rPr>
          <w:rFonts w:asciiTheme="minorHAnsi" w:hAnsiTheme="minorHAnsi" w:cs="Calibri"/>
          <w:lang w:val="fr-FR"/>
        </w:rPr>
        <w:t xml:space="preserve"> à Jeju</w:t>
      </w:r>
      <w:r w:rsidR="00706E05" w:rsidRPr="002D499A">
        <w:rPr>
          <w:rFonts w:asciiTheme="minorHAnsi" w:hAnsiTheme="minorHAnsi" w:cs="Calibri"/>
          <w:lang w:val="fr-FR"/>
        </w:rPr>
        <w:t>,</w:t>
      </w:r>
      <w:r w:rsidRPr="002D499A">
        <w:rPr>
          <w:rFonts w:asciiTheme="minorHAnsi" w:hAnsiTheme="minorHAnsi" w:cs="Calibri"/>
          <w:lang w:val="fr-FR"/>
        </w:rPr>
        <w:t xml:space="preserve"> en avril 2015 et ce projet a été présenté lors d’une activité parallèle à la COP12 de Ramsar en juin 2015. Le projet de rapport sur le projet est maintenant disponible et le rapport final sera présenté au Congrès de l’UICN à Hawaï en octobre 2016. </w:t>
      </w:r>
      <w:r w:rsidR="002A65F4" w:rsidRPr="002D499A">
        <w:rPr>
          <w:rFonts w:asciiTheme="minorHAnsi" w:hAnsiTheme="minorHAnsi" w:cs="Calibri"/>
          <w:lang w:val="fr-FR"/>
        </w:rPr>
        <w:t xml:space="preserve"> </w:t>
      </w:r>
    </w:p>
    <w:p w14:paraId="7AFA6D53" w14:textId="77777777" w:rsidR="002C537A" w:rsidRPr="002D499A" w:rsidRDefault="002C537A" w:rsidP="00BA510D">
      <w:pPr>
        <w:autoSpaceDE w:val="0"/>
        <w:autoSpaceDN w:val="0"/>
        <w:adjustRightInd w:val="0"/>
        <w:rPr>
          <w:rFonts w:asciiTheme="minorHAnsi" w:eastAsiaTheme="minorHAnsi" w:hAnsiTheme="minorHAnsi" w:cs="Calibri"/>
          <w:color w:val="000000"/>
          <w:sz w:val="22"/>
          <w:szCs w:val="22"/>
          <w:lang w:val="fr-FR" w:eastAsia="en-US"/>
        </w:rPr>
      </w:pPr>
    </w:p>
    <w:p w14:paraId="74410C6D" w14:textId="3A2D9463" w:rsidR="00812CC5" w:rsidRPr="002D499A" w:rsidRDefault="00EB447F" w:rsidP="005522A4">
      <w:pPr>
        <w:autoSpaceDE w:val="0"/>
        <w:autoSpaceDN w:val="0"/>
        <w:adjustRightInd w:val="0"/>
        <w:rPr>
          <w:rFonts w:asciiTheme="minorHAnsi" w:hAnsiTheme="minorHAnsi"/>
          <w:b/>
          <w:sz w:val="22"/>
          <w:szCs w:val="22"/>
          <w:lang w:val="fr-FR"/>
        </w:rPr>
      </w:pPr>
      <w:r w:rsidRPr="002D499A">
        <w:rPr>
          <w:rFonts w:asciiTheme="minorHAnsi" w:hAnsiTheme="minorHAnsi"/>
          <w:b/>
          <w:sz w:val="22"/>
          <w:szCs w:val="22"/>
          <w:lang w:val="fr-FR"/>
        </w:rPr>
        <w:t>Plan</w:t>
      </w:r>
      <w:r w:rsidR="002A65F4" w:rsidRPr="002D499A">
        <w:rPr>
          <w:rFonts w:asciiTheme="minorHAnsi" w:hAnsiTheme="minorHAnsi"/>
          <w:b/>
          <w:sz w:val="22"/>
          <w:szCs w:val="22"/>
          <w:lang w:val="fr-FR"/>
        </w:rPr>
        <w:t xml:space="preserve"> </w:t>
      </w:r>
      <w:r w:rsidR="00F5534D" w:rsidRPr="002D499A">
        <w:rPr>
          <w:rFonts w:asciiTheme="minorHAnsi" w:hAnsiTheme="minorHAnsi"/>
          <w:b/>
          <w:sz w:val="22"/>
          <w:szCs w:val="22"/>
          <w:lang w:val="fr-FR"/>
        </w:rPr>
        <w:t xml:space="preserve">visant à renforcer la coopération avec </w:t>
      </w:r>
      <w:r w:rsidR="00706E05" w:rsidRPr="002D499A">
        <w:rPr>
          <w:rFonts w:asciiTheme="minorHAnsi" w:hAnsiTheme="minorHAnsi"/>
          <w:b/>
          <w:sz w:val="22"/>
          <w:szCs w:val="22"/>
          <w:lang w:val="fr-FR"/>
        </w:rPr>
        <w:t>d’</w:t>
      </w:r>
      <w:r w:rsidR="00F5534D" w:rsidRPr="002D499A">
        <w:rPr>
          <w:rFonts w:asciiTheme="minorHAnsi" w:hAnsiTheme="minorHAnsi"/>
          <w:b/>
          <w:sz w:val="22"/>
          <w:szCs w:val="22"/>
          <w:lang w:val="fr-FR"/>
        </w:rPr>
        <w:t xml:space="preserve">autres AME </w:t>
      </w:r>
    </w:p>
    <w:p w14:paraId="7E86946D" w14:textId="77777777" w:rsidR="00EB447F" w:rsidRPr="002D499A" w:rsidRDefault="00EB447F" w:rsidP="00BA510D">
      <w:pPr>
        <w:autoSpaceDE w:val="0"/>
        <w:autoSpaceDN w:val="0"/>
        <w:adjustRightInd w:val="0"/>
        <w:rPr>
          <w:rFonts w:asciiTheme="minorHAnsi" w:hAnsiTheme="minorHAnsi"/>
          <w:b/>
          <w:sz w:val="22"/>
          <w:szCs w:val="22"/>
          <w:lang w:val="fr-FR"/>
        </w:rPr>
      </w:pPr>
    </w:p>
    <w:p w14:paraId="0BF909EB" w14:textId="645905B9" w:rsidR="00EB447F" w:rsidRPr="002D499A" w:rsidRDefault="00F5534D" w:rsidP="005522A4">
      <w:pPr>
        <w:pStyle w:val="ListParagraph"/>
        <w:numPr>
          <w:ilvl w:val="0"/>
          <w:numId w:val="19"/>
        </w:numPr>
        <w:autoSpaceDE w:val="0"/>
        <w:autoSpaceDN w:val="0"/>
        <w:adjustRightInd w:val="0"/>
        <w:ind w:left="426" w:hanging="426"/>
        <w:jc w:val="left"/>
        <w:rPr>
          <w:rStyle w:val="Strong"/>
          <w:rFonts w:asciiTheme="minorHAnsi" w:hAnsiTheme="minorHAnsi"/>
          <w:b w:val="0"/>
          <w:lang w:val="fr-FR"/>
        </w:rPr>
      </w:pPr>
      <w:r w:rsidRPr="002D499A">
        <w:rPr>
          <w:rFonts w:asciiTheme="minorHAnsi" w:hAnsiTheme="minorHAnsi"/>
          <w:lang w:val="fr-FR"/>
        </w:rPr>
        <w:t xml:space="preserve">Le Secrétariat a signé un mémorandum </w:t>
      </w:r>
      <w:r w:rsidR="00C67158" w:rsidRPr="002D499A">
        <w:rPr>
          <w:rFonts w:asciiTheme="minorHAnsi" w:hAnsiTheme="minorHAnsi"/>
          <w:lang w:val="fr-FR"/>
        </w:rPr>
        <w:t>d’accord</w:t>
      </w:r>
      <w:r w:rsidRPr="002D499A">
        <w:rPr>
          <w:rFonts w:asciiTheme="minorHAnsi" w:hAnsiTheme="minorHAnsi"/>
          <w:lang w:val="fr-FR"/>
        </w:rPr>
        <w:t xml:space="preserve"> et a convenu de plans de travail conjoints avec trois des conventions relatives à la biodiversité, la CDB, la CMS et la Convention du patrimoine mondial.</w:t>
      </w:r>
    </w:p>
    <w:p w14:paraId="6BFE3AA2" w14:textId="77777777" w:rsidR="00F65FDA" w:rsidRPr="002D499A" w:rsidRDefault="00F65FDA" w:rsidP="005522A4">
      <w:pPr>
        <w:autoSpaceDE w:val="0"/>
        <w:autoSpaceDN w:val="0"/>
        <w:adjustRightInd w:val="0"/>
        <w:ind w:left="426" w:hanging="426"/>
        <w:rPr>
          <w:rStyle w:val="Strong"/>
          <w:rFonts w:asciiTheme="minorHAnsi" w:hAnsiTheme="minorHAnsi"/>
          <w:b w:val="0"/>
          <w:sz w:val="22"/>
          <w:szCs w:val="22"/>
          <w:lang w:val="fr-FR"/>
        </w:rPr>
      </w:pPr>
    </w:p>
    <w:p w14:paraId="131C56E2" w14:textId="0EF652AC" w:rsidR="00376DDC" w:rsidRPr="002D499A" w:rsidRDefault="00F5534D" w:rsidP="005522A4">
      <w:pPr>
        <w:pStyle w:val="ListParagraph"/>
        <w:numPr>
          <w:ilvl w:val="0"/>
          <w:numId w:val="19"/>
        </w:numPr>
        <w:autoSpaceDE w:val="0"/>
        <w:autoSpaceDN w:val="0"/>
        <w:adjustRightInd w:val="0"/>
        <w:ind w:left="426" w:hanging="426"/>
        <w:jc w:val="left"/>
        <w:rPr>
          <w:rStyle w:val="Strong"/>
          <w:rFonts w:asciiTheme="minorHAnsi" w:hAnsiTheme="minorHAnsi"/>
          <w:b w:val="0"/>
          <w:lang w:val="fr-FR"/>
        </w:rPr>
      </w:pPr>
      <w:r w:rsidRPr="002D499A">
        <w:rPr>
          <w:rFonts w:asciiTheme="minorHAnsi" w:hAnsiTheme="minorHAnsi" w:cs="Calibri"/>
          <w:lang w:val="fr-FR"/>
        </w:rPr>
        <w:t xml:space="preserve">Le Secrétariat a également travaillé en collaboration avec des conventions relatives à la biodiversité, dans le cadre, par exemple, de l’Initiative des AME pour la gestion de l’information et des connaissances </w:t>
      </w:r>
      <w:r w:rsidR="003417FD" w:rsidRPr="002D499A">
        <w:rPr>
          <w:rFonts w:asciiTheme="minorHAnsi" w:hAnsiTheme="minorHAnsi" w:cs="Calibri"/>
          <w:lang w:val="fr-FR"/>
        </w:rPr>
        <w:t>(INFORMEA)</w:t>
      </w:r>
      <w:r w:rsidRPr="002D499A">
        <w:rPr>
          <w:rFonts w:asciiTheme="minorHAnsi" w:hAnsiTheme="minorHAnsi" w:cs="Calibri"/>
          <w:lang w:val="fr-FR"/>
        </w:rPr>
        <w:t xml:space="preserve"> et a pris part au projet « </w:t>
      </w:r>
      <w:r w:rsidRPr="002D499A">
        <w:rPr>
          <w:rFonts w:asciiTheme="minorHAnsi" w:hAnsiTheme="minorHAnsi" w:cs="Calibri"/>
          <w:i/>
          <w:lang w:val="fr-FR"/>
        </w:rPr>
        <w:t>Améliorer l’efficacité et la coopération entre les conventions relatives à la biodiversité et étudier des possibilités de nouvelles synergies</w:t>
      </w:r>
      <w:r w:rsidRPr="002D499A">
        <w:rPr>
          <w:rFonts w:asciiTheme="minorHAnsi" w:hAnsiTheme="minorHAnsi" w:cs="Calibri"/>
          <w:lang w:val="fr-FR"/>
        </w:rPr>
        <w:t xml:space="preserve"> » avec le PNUE. </w:t>
      </w:r>
    </w:p>
    <w:p w14:paraId="413DE3A9" w14:textId="77777777" w:rsidR="00376DDC" w:rsidRPr="002D499A" w:rsidRDefault="00376DDC" w:rsidP="005522A4">
      <w:pPr>
        <w:autoSpaceDE w:val="0"/>
        <w:autoSpaceDN w:val="0"/>
        <w:adjustRightInd w:val="0"/>
        <w:ind w:left="426" w:hanging="426"/>
        <w:rPr>
          <w:rStyle w:val="Strong"/>
          <w:rFonts w:asciiTheme="minorHAnsi" w:hAnsiTheme="minorHAnsi"/>
          <w:b w:val="0"/>
          <w:sz w:val="22"/>
          <w:szCs w:val="22"/>
          <w:lang w:val="fr-FR"/>
        </w:rPr>
      </w:pPr>
    </w:p>
    <w:p w14:paraId="7E538FC6" w14:textId="7F6F4F78" w:rsidR="00F65FDA" w:rsidRPr="002D499A" w:rsidRDefault="00A01C38" w:rsidP="005522A4">
      <w:pPr>
        <w:pStyle w:val="ListParagraph"/>
        <w:numPr>
          <w:ilvl w:val="0"/>
          <w:numId w:val="19"/>
        </w:numPr>
        <w:autoSpaceDE w:val="0"/>
        <w:autoSpaceDN w:val="0"/>
        <w:adjustRightInd w:val="0"/>
        <w:ind w:left="426" w:hanging="426"/>
        <w:jc w:val="left"/>
        <w:rPr>
          <w:rStyle w:val="Strong"/>
          <w:rFonts w:asciiTheme="minorHAnsi" w:hAnsiTheme="minorHAnsi"/>
          <w:b w:val="0"/>
          <w:lang w:val="fr-FR"/>
        </w:rPr>
      </w:pPr>
      <w:r w:rsidRPr="002D499A">
        <w:rPr>
          <w:rStyle w:val="Strong"/>
          <w:rFonts w:asciiTheme="minorHAnsi" w:hAnsiTheme="minorHAnsi"/>
          <w:b w:val="0"/>
          <w:lang w:val="fr-FR"/>
        </w:rPr>
        <w:t>Un mémorandum d’accord est en train d’être signé avec la CNULD et, au Congrès mondial sur les parcs de 2014, une alliance a été annoncée pour collaborer avec la CNULD en vue de garantir la restauration des terres arides et des zones humides. Des interventions sont prévues lors de la COP13 de la CNU</w:t>
      </w:r>
      <w:r w:rsidR="00700E50" w:rsidRPr="002D499A">
        <w:rPr>
          <w:rStyle w:val="Strong"/>
          <w:rFonts w:asciiTheme="minorHAnsi" w:hAnsiTheme="minorHAnsi"/>
          <w:b w:val="0"/>
          <w:lang w:val="fr-FR"/>
        </w:rPr>
        <w:t>LD</w:t>
      </w:r>
      <w:r w:rsidRPr="002D499A">
        <w:rPr>
          <w:rStyle w:val="Strong"/>
          <w:rFonts w:asciiTheme="minorHAnsi" w:hAnsiTheme="minorHAnsi"/>
          <w:b w:val="0"/>
          <w:lang w:val="fr-FR"/>
        </w:rPr>
        <w:t xml:space="preserve"> à Ankara, en octobre, et des activités lors de la COP21 de la CCNUCC à Paris tandis que les discussions se poursuivent sur les moyens de collaborer pour aider les Parties à accéder à un programme à grande échelle dirigé par la CNU</w:t>
      </w:r>
      <w:r w:rsidR="00700E50" w:rsidRPr="002D499A">
        <w:rPr>
          <w:rStyle w:val="Strong"/>
          <w:rFonts w:asciiTheme="minorHAnsi" w:hAnsiTheme="minorHAnsi"/>
          <w:b w:val="0"/>
          <w:lang w:val="fr-FR"/>
        </w:rPr>
        <w:t>L</w:t>
      </w:r>
      <w:r w:rsidRPr="002D499A">
        <w:rPr>
          <w:rStyle w:val="Strong"/>
          <w:rFonts w:asciiTheme="minorHAnsi" w:hAnsiTheme="minorHAnsi"/>
          <w:b w:val="0"/>
          <w:lang w:val="fr-FR"/>
        </w:rPr>
        <w:t xml:space="preserve">D et financé par le secteur privé afin </w:t>
      </w:r>
      <w:r w:rsidR="008A347F">
        <w:rPr>
          <w:rStyle w:val="Strong"/>
          <w:rFonts w:asciiTheme="minorHAnsi" w:hAnsiTheme="minorHAnsi"/>
          <w:b w:val="0"/>
          <w:lang w:val="fr-FR"/>
        </w:rPr>
        <w:t>d’assurer</w:t>
      </w:r>
      <w:r w:rsidRPr="002D499A">
        <w:rPr>
          <w:rStyle w:val="Strong"/>
          <w:rFonts w:asciiTheme="minorHAnsi" w:hAnsiTheme="minorHAnsi"/>
          <w:b w:val="0"/>
          <w:lang w:val="fr-FR"/>
        </w:rPr>
        <w:t xml:space="preserve"> la dégradation </w:t>
      </w:r>
      <w:r w:rsidR="008A347F">
        <w:rPr>
          <w:rStyle w:val="Strong"/>
          <w:rFonts w:asciiTheme="minorHAnsi" w:hAnsiTheme="minorHAnsi"/>
          <w:b w:val="0"/>
          <w:lang w:val="fr-FR"/>
        </w:rPr>
        <w:t>neutre des sols</w:t>
      </w:r>
      <w:r w:rsidRPr="002D499A">
        <w:rPr>
          <w:rStyle w:val="Strong"/>
          <w:rFonts w:asciiTheme="minorHAnsi" w:hAnsiTheme="minorHAnsi"/>
          <w:b w:val="0"/>
          <w:lang w:val="fr-FR"/>
        </w:rPr>
        <w:t xml:space="preserve"> et de restaurer 12 millions d’hectares de terres pour en faire des écosystèmes productifs chaque année, avec la possibilité de mettre l’accent sur la restauration des zones humides et des retombées majeures de cet effort de restauration.</w:t>
      </w:r>
      <w:r w:rsidR="002A65F4" w:rsidRPr="002D499A">
        <w:rPr>
          <w:rStyle w:val="Strong"/>
          <w:rFonts w:asciiTheme="minorHAnsi" w:hAnsiTheme="minorHAnsi"/>
          <w:b w:val="0"/>
          <w:lang w:val="fr-FR"/>
        </w:rPr>
        <w:t xml:space="preserve"> </w:t>
      </w:r>
    </w:p>
    <w:p w14:paraId="66BFA6C6" w14:textId="77777777" w:rsidR="00DC3C16" w:rsidRPr="002D499A" w:rsidRDefault="00DC3C16" w:rsidP="005522A4">
      <w:pPr>
        <w:pStyle w:val="ListParagraph"/>
        <w:ind w:left="426" w:hanging="426"/>
        <w:jc w:val="left"/>
        <w:rPr>
          <w:rStyle w:val="Strong"/>
          <w:rFonts w:asciiTheme="minorHAnsi" w:hAnsiTheme="minorHAnsi"/>
          <w:b w:val="0"/>
          <w:lang w:val="fr-FR"/>
        </w:rPr>
      </w:pPr>
    </w:p>
    <w:p w14:paraId="616DDFE8" w14:textId="7ECC095D" w:rsidR="00536ED0" w:rsidRPr="002D499A" w:rsidRDefault="00A01C38" w:rsidP="005522A4">
      <w:pPr>
        <w:pStyle w:val="ListParagraph"/>
        <w:numPr>
          <w:ilvl w:val="0"/>
          <w:numId w:val="19"/>
        </w:numPr>
        <w:autoSpaceDE w:val="0"/>
        <w:autoSpaceDN w:val="0"/>
        <w:adjustRightInd w:val="0"/>
        <w:ind w:left="426" w:hanging="426"/>
        <w:jc w:val="left"/>
        <w:rPr>
          <w:rStyle w:val="Strong"/>
          <w:rFonts w:asciiTheme="minorHAnsi" w:hAnsiTheme="minorHAnsi"/>
          <w:b w:val="0"/>
          <w:lang w:val="fr-FR"/>
        </w:rPr>
      </w:pPr>
      <w:r w:rsidRPr="002D499A">
        <w:rPr>
          <w:rStyle w:val="Strong"/>
          <w:rFonts w:asciiTheme="minorHAnsi" w:hAnsiTheme="minorHAnsi"/>
          <w:b w:val="0"/>
          <w:lang w:val="fr-FR"/>
        </w:rPr>
        <w:lastRenderedPageBreak/>
        <w:t>Le Secrétariat a resserré les relations avec la CCNUCC et a reçu son assistance directe pour la COP12</w:t>
      </w:r>
      <w:r w:rsidR="006A1FBD">
        <w:rPr>
          <w:rStyle w:val="Strong"/>
          <w:rFonts w:asciiTheme="minorHAnsi" w:hAnsiTheme="minorHAnsi"/>
          <w:b w:val="0"/>
          <w:lang w:val="fr-FR"/>
        </w:rPr>
        <w:t>;  en</w:t>
      </w:r>
      <w:r w:rsidRPr="002D499A">
        <w:rPr>
          <w:rStyle w:val="Strong"/>
          <w:rFonts w:asciiTheme="minorHAnsi" w:hAnsiTheme="minorHAnsi"/>
          <w:b w:val="0"/>
          <w:lang w:val="fr-FR"/>
        </w:rPr>
        <w:t xml:space="preserve"> préparation de </w:t>
      </w:r>
      <w:r w:rsidR="006A1FBD">
        <w:rPr>
          <w:rStyle w:val="Strong"/>
          <w:rFonts w:asciiTheme="minorHAnsi" w:hAnsiTheme="minorHAnsi"/>
          <w:b w:val="0"/>
          <w:lang w:val="fr-FR"/>
        </w:rPr>
        <w:t>l</w:t>
      </w:r>
      <w:r w:rsidRPr="002D499A">
        <w:rPr>
          <w:rStyle w:val="Strong"/>
          <w:rFonts w:asciiTheme="minorHAnsi" w:hAnsiTheme="minorHAnsi"/>
          <w:b w:val="0"/>
          <w:lang w:val="fr-FR"/>
        </w:rPr>
        <w:t xml:space="preserve">a COP21 </w:t>
      </w:r>
      <w:r w:rsidR="006A1FBD">
        <w:rPr>
          <w:rStyle w:val="Strong"/>
          <w:rFonts w:asciiTheme="minorHAnsi" w:hAnsiTheme="minorHAnsi"/>
          <w:b w:val="0"/>
          <w:lang w:val="fr-FR"/>
        </w:rPr>
        <w:t xml:space="preserve">de la CCNUCC </w:t>
      </w:r>
      <w:r w:rsidRPr="002D499A">
        <w:rPr>
          <w:rStyle w:val="Strong"/>
          <w:rFonts w:asciiTheme="minorHAnsi" w:hAnsiTheme="minorHAnsi"/>
          <w:b w:val="0"/>
          <w:lang w:val="fr-FR"/>
        </w:rPr>
        <w:t>à Paris</w:t>
      </w:r>
      <w:r w:rsidR="006A1FBD">
        <w:rPr>
          <w:rStyle w:val="Strong"/>
          <w:rFonts w:asciiTheme="minorHAnsi" w:hAnsiTheme="minorHAnsi"/>
          <w:b w:val="0"/>
          <w:lang w:val="fr-FR"/>
        </w:rPr>
        <w:t>, il</w:t>
      </w:r>
      <w:r w:rsidRPr="002D499A">
        <w:rPr>
          <w:rStyle w:val="Strong"/>
          <w:rFonts w:asciiTheme="minorHAnsi" w:hAnsiTheme="minorHAnsi"/>
          <w:b w:val="0"/>
          <w:lang w:val="fr-FR"/>
        </w:rPr>
        <w:t xml:space="preserve"> cherchera à </w:t>
      </w:r>
      <w:r w:rsidR="006A1FBD">
        <w:rPr>
          <w:rStyle w:val="Strong"/>
          <w:rFonts w:asciiTheme="minorHAnsi" w:hAnsiTheme="minorHAnsi"/>
          <w:b w:val="0"/>
          <w:lang w:val="fr-FR"/>
        </w:rPr>
        <w:t>renforcer</w:t>
      </w:r>
      <w:r w:rsidRPr="002D499A">
        <w:rPr>
          <w:rStyle w:val="Strong"/>
          <w:rFonts w:asciiTheme="minorHAnsi" w:hAnsiTheme="minorHAnsi"/>
          <w:b w:val="0"/>
          <w:lang w:val="fr-FR"/>
        </w:rPr>
        <w:t xml:space="preserve"> son engagement et </w:t>
      </w:r>
      <w:r w:rsidR="006A1FBD">
        <w:rPr>
          <w:rStyle w:val="Strong"/>
          <w:rFonts w:asciiTheme="minorHAnsi" w:hAnsiTheme="minorHAnsi"/>
          <w:b w:val="0"/>
          <w:lang w:val="fr-FR"/>
        </w:rPr>
        <w:t xml:space="preserve">d’obtenir </w:t>
      </w:r>
      <w:r w:rsidRPr="002D499A">
        <w:rPr>
          <w:rStyle w:val="Strong"/>
          <w:rFonts w:asciiTheme="minorHAnsi" w:hAnsiTheme="minorHAnsi"/>
          <w:b w:val="0"/>
          <w:lang w:val="fr-FR"/>
        </w:rPr>
        <w:t xml:space="preserve">la signature d’un mémorandum d’accord possible à la lumière de l’alignement des objectifs des deux conventions. La valeur élevée des zones humides du point de vue de la capture </w:t>
      </w:r>
      <w:r w:rsidR="00700E50" w:rsidRPr="002D499A">
        <w:rPr>
          <w:rStyle w:val="Strong"/>
          <w:rFonts w:asciiTheme="minorHAnsi" w:hAnsiTheme="minorHAnsi"/>
          <w:b w:val="0"/>
          <w:lang w:val="fr-FR"/>
        </w:rPr>
        <w:t xml:space="preserve">et de la libération possible </w:t>
      </w:r>
      <w:r w:rsidRPr="002D499A">
        <w:rPr>
          <w:rStyle w:val="Strong"/>
          <w:rFonts w:asciiTheme="minorHAnsi" w:hAnsiTheme="minorHAnsi"/>
          <w:b w:val="0"/>
          <w:lang w:val="fr-FR"/>
        </w:rPr>
        <w:t xml:space="preserve">du carbone est totalement </w:t>
      </w:r>
      <w:r w:rsidR="006A1FBD">
        <w:rPr>
          <w:rStyle w:val="Strong"/>
          <w:rFonts w:asciiTheme="minorHAnsi" w:hAnsiTheme="minorHAnsi"/>
          <w:b w:val="0"/>
          <w:lang w:val="fr-FR"/>
        </w:rPr>
        <w:t>acceptée</w:t>
      </w:r>
      <w:r w:rsidRPr="002D499A">
        <w:rPr>
          <w:rStyle w:val="Strong"/>
          <w:rFonts w:asciiTheme="minorHAnsi" w:hAnsiTheme="minorHAnsi"/>
          <w:b w:val="0"/>
          <w:lang w:val="fr-FR"/>
        </w:rPr>
        <w:t xml:space="preserve"> et des actions en vue de maintenir ou d’accroître les stocks de carbone dans les zones humides sont </w:t>
      </w:r>
      <w:r w:rsidR="00700E50" w:rsidRPr="002D499A">
        <w:rPr>
          <w:rStyle w:val="Strong"/>
          <w:rFonts w:asciiTheme="minorHAnsi" w:hAnsiTheme="minorHAnsi"/>
          <w:b w:val="0"/>
          <w:lang w:val="fr-FR"/>
        </w:rPr>
        <w:t>considérées</w:t>
      </w:r>
      <w:r w:rsidRPr="002D499A">
        <w:rPr>
          <w:rStyle w:val="Strong"/>
          <w:rFonts w:asciiTheme="minorHAnsi" w:hAnsiTheme="minorHAnsi"/>
          <w:b w:val="0"/>
          <w:lang w:val="fr-FR"/>
        </w:rPr>
        <w:t xml:space="preserve"> comme étant dans le champ d’action et l’intérêt de la CCNUCC.  </w:t>
      </w:r>
    </w:p>
    <w:p w14:paraId="4F33A949" w14:textId="77777777" w:rsidR="00536ED0" w:rsidRPr="002D499A" w:rsidRDefault="00536ED0" w:rsidP="005522A4">
      <w:pPr>
        <w:pStyle w:val="ListParagraph"/>
        <w:ind w:left="426" w:hanging="426"/>
        <w:jc w:val="left"/>
        <w:rPr>
          <w:rFonts w:asciiTheme="minorHAnsi" w:eastAsiaTheme="minorHAnsi" w:hAnsiTheme="minorHAnsi" w:cs="Garamond"/>
          <w:lang w:val="fr-FR"/>
        </w:rPr>
      </w:pPr>
    </w:p>
    <w:p w14:paraId="0BF245D7" w14:textId="6C48A9B3" w:rsidR="00536ED0" w:rsidRPr="002D499A" w:rsidRDefault="00A01A4C" w:rsidP="005522A4">
      <w:pPr>
        <w:pStyle w:val="ListParagraph"/>
        <w:numPr>
          <w:ilvl w:val="0"/>
          <w:numId w:val="19"/>
        </w:numPr>
        <w:autoSpaceDE w:val="0"/>
        <w:autoSpaceDN w:val="0"/>
        <w:adjustRightInd w:val="0"/>
        <w:ind w:left="426" w:hanging="426"/>
        <w:jc w:val="left"/>
        <w:rPr>
          <w:rFonts w:asciiTheme="minorHAnsi" w:hAnsiTheme="minorHAnsi"/>
          <w:bCs/>
          <w:lang w:val="fr-FR"/>
        </w:rPr>
      </w:pPr>
      <w:r w:rsidRPr="002D499A">
        <w:rPr>
          <w:rFonts w:asciiTheme="minorHAnsi" w:eastAsiaTheme="minorHAnsi" w:hAnsiTheme="minorHAnsi" w:cs="Garamond"/>
          <w:lang w:val="fr-FR"/>
        </w:rPr>
        <w:t>Des relations étroites sont maintenues avec la CEE</w:t>
      </w:r>
      <w:r w:rsidRPr="002D499A">
        <w:rPr>
          <w:rFonts w:asciiTheme="minorHAnsi" w:eastAsiaTheme="minorHAnsi" w:hAnsiTheme="minorHAnsi" w:cs="Garamond"/>
          <w:lang w:val="fr-FR"/>
        </w:rPr>
        <w:noBreakHyphen/>
        <w:t xml:space="preserve">ONU dans le cadre de nos efforts visant à relier Ramsar à la mise en œuvre des politiques de l’eau au niveau des bassins versants et en particulier </w:t>
      </w:r>
      <w:r w:rsidR="00700E50" w:rsidRPr="002D499A">
        <w:rPr>
          <w:rFonts w:asciiTheme="minorHAnsi" w:eastAsiaTheme="minorHAnsi" w:hAnsiTheme="minorHAnsi" w:cs="Garamond"/>
          <w:lang w:val="fr-FR"/>
        </w:rPr>
        <w:t xml:space="preserve">du fait </w:t>
      </w:r>
      <w:r w:rsidRPr="002D499A">
        <w:rPr>
          <w:rFonts w:asciiTheme="minorHAnsi" w:eastAsiaTheme="minorHAnsi" w:hAnsiTheme="minorHAnsi" w:cs="Garamond"/>
          <w:lang w:val="fr-FR"/>
        </w:rPr>
        <w:t>que la Convention sur l’eau de la CEE</w:t>
      </w:r>
      <w:r w:rsidRPr="002D499A">
        <w:rPr>
          <w:rFonts w:asciiTheme="minorHAnsi" w:eastAsiaTheme="minorHAnsi" w:hAnsiTheme="minorHAnsi" w:cs="Garamond"/>
          <w:lang w:val="fr-FR"/>
        </w:rPr>
        <w:noBreakHyphen/>
        <w:t>ONU est en passe de devenir une convention mondiale dans le cadre de laquelle les synergies entre nos deux conventions seront encore plus pertinentes et mutuellement bénéfiques. Nous participerons à la 3</w:t>
      </w:r>
      <w:r w:rsidRPr="002D499A">
        <w:rPr>
          <w:rFonts w:asciiTheme="minorHAnsi" w:eastAsiaTheme="minorHAnsi" w:hAnsiTheme="minorHAnsi" w:cs="Garamond"/>
          <w:vertAlign w:val="superscript"/>
          <w:lang w:val="fr-FR"/>
        </w:rPr>
        <w:t>e</w:t>
      </w:r>
      <w:r w:rsidRPr="002D499A">
        <w:rPr>
          <w:rFonts w:asciiTheme="minorHAnsi" w:eastAsiaTheme="minorHAnsi" w:hAnsiTheme="minorHAnsi" w:cs="Garamond"/>
          <w:lang w:val="fr-FR"/>
        </w:rPr>
        <w:t> Évaluation des cours d’eau, des lacs et des eaux souterraines transfrontières à venir comme nous avons participé à la 2</w:t>
      </w:r>
      <w:r w:rsidRPr="002D499A">
        <w:rPr>
          <w:rFonts w:asciiTheme="minorHAnsi" w:eastAsiaTheme="minorHAnsi" w:hAnsiTheme="minorHAnsi" w:cs="Garamond"/>
          <w:vertAlign w:val="superscript"/>
          <w:lang w:val="fr-FR"/>
        </w:rPr>
        <w:t>e</w:t>
      </w:r>
      <w:r w:rsidRPr="002D499A">
        <w:rPr>
          <w:rFonts w:asciiTheme="minorHAnsi" w:eastAsiaTheme="minorHAnsi" w:hAnsiTheme="minorHAnsi" w:cs="Garamond"/>
          <w:lang w:val="fr-FR"/>
        </w:rPr>
        <w:t> Évaluation. Nos Parties souhaitent vivement être témoins de relations resserrées entre les programmes de la CEE</w:t>
      </w:r>
      <w:r w:rsidRPr="002D499A">
        <w:rPr>
          <w:rFonts w:asciiTheme="minorHAnsi" w:eastAsiaTheme="minorHAnsi" w:hAnsiTheme="minorHAnsi" w:cs="Garamond"/>
          <w:lang w:val="fr-FR"/>
        </w:rPr>
        <w:noBreakHyphen/>
        <w:t xml:space="preserve">ONU et de </w:t>
      </w:r>
      <w:r w:rsidR="00536ED0" w:rsidRPr="002D499A">
        <w:rPr>
          <w:rFonts w:asciiTheme="minorHAnsi" w:eastAsiaTheme="minorHAnsi" w:hAnsiTheme="minorHAnsi" w:cs="Garamond"/>
          <w:lang w:val="fr-FR"/>
        </w:rPr>
        <w:t>Ramsar</w:t>
      </w:r>
      <w:r w:rsidR="002A65F4" w:rsidRPr="002D499A">
        <w:rPr>
          <w:rFonts w:asciiTheme="minorHAnsi" w:eastAsiaTheme="minorHAnsi" w:hAnsiTheme="minorHAnsi" w:cs="Garamond"/>
          <w:lang w:val="fr-FR"/>
        </w:rPr>
        <w:t xml:space="preserve"> </w:t>
      </w:r>
      <w:r w:rsidRPr="002D499A">
        <w:rPr>
          <w:rFonts w:asciiTheme="minorHAnsi" w:eastAsiaTheme="minorHAnsi" w:hAnsiTheme="minorHAnsi" w:cs="Garamond"/>
          <w:lang w:val="fr-FR"/>
        </w:rPr>
        <w:t xml:space="preserve">au niveau national, et nous nous efforçons de faciliter cela par un appui mutuel lors de nos réunions et </w:t>
      </w:r>
      <w:r w:rsidR="008A347F">
        <w:rPr>
          <w:rFonts w:asciiTheme="minorHAnsi" w:eastAsiaTheme="minorHAnsi" w:hAnsiTheme="minorHAnsi" w:cs="Garamond"/>
          <w:lang w:val="fr-FR"/>
        </w:rPr>
        <w:t xml:space="preserve">dans le cadre de nos </w:t>
      </w:r>
      <w:r w:rsidRPr="002D499A">
        <w:rPr>
          <w:rFonts w:asciiTheme="minorHAnsi" w:eastAsiaTheme="minorHAnsi" w:hAnsiTheme="minorHAnsi" w:cs="Garamond"/>
          <w:lang w:val="fr-FR"/>
        </w:rPr>
        <w:t>initiatives.</w:t>
      </w:r>
      <w:r w:rsidR="002A65F4" w:rsidRPr="002D499A">
        <w:rPr>
          <w:rFonts w:asciiTheme="minorHAnsi" w:eastAsiaTheme="minorHAnsi" w:hAnsiTheme="minorHAnsi" w:cs="Garamond"/>
          <w:lang w:val="fr-FR"/>
        </w:rPr>
        <w:t xml:space="preserve"> </w:t>
      </w:r>
    </w:p>
    <w:p w14:paraId="686E074B" w14:textId="77777777" w:rsidR="00536ED0" w:rsidRPr="002D499A" w:rsidRDefault="00536ED0" w:rsidP="005522A4">
      <w:pPr>
        <w:pStyle w:val="ListParagraph"/>
        <w:ind w:left="426" w:hanging="426"/>
        <w:jc w:val="left"/>
        <w:rPr>
          <w:rFonts w:asciiTheme="minorHAnsi" w:eastAsiaTheme="minorHAnsi" w:hAnsiTheme="minorHAnsi" w:cs="Garamond"/>
          <w:lang w:val="fr-FR"/>
        </w:rPr>
      </w:pPr>
    </w:p>
    <w:p w14:paraId="601ABF4E" w14:textId="3F1BA490" w:rsidR="00536ED0" w:rsidRPr="002D499A" w:rsidRDefault="00A01A4C" w:rsidP="005522A4">
      <w:pPr>
        <w:pStyle w:val="ListParagraph"/>
        <w:numPr>
          <w:ilvl w:val="0"/>
          <w:numId w:val="19"/>
        </w:numPr>
        <w:autoSpaceDE w:val="0"/>
        <w:autoSpaceDN w:val="0"/>
        <w:adjustRightInd w:val="0"/>
        <w:ind w:left="426" w:hanging="426"/>
        <w:jc w:val="left"/>
        <w:rPr>
          <w:rFonts w:asciiTheme="minorHAnsi" w:eastAsiaTheme="minorHAnsi" w:hAnsiTheme="minorHAnsi" w:cs="Garamond"/>
          <w:lang w:val="fr-FR"/>
        </w:rPr>
      </w:pPr>
      <w:r w:rsidRPr="002D499A">
        <w:rPr>
          <w:rFonts w:asciiTheme="minorHAnsi" w:eastAsiaTheme="minorHAnsi" w:hAnsiTheme="minorHAnsi" w:cs="Garamond"/>
          <w:lang w:val="fr-FR"/>
        </w:rPr>
        <w:t xml:space="preserve">Il reste encore beaucoup à faire </w:t>
      </w:r>
      <w:r w:rsidR="00FF11AC" w:rsidRPr="002D499A">
        <w:rPr>
          <w:rFonts w:asciiTheme="minorHAnsi" w:eastAsiaTheme="minorHAnsi" w:hAnsiTheme="minorHAnsi" w:cs="Garamond"/>
          <w:lang w:val="fr-FR"/>
        </w:rPr>
        <w:t>pour</w:t>
      </w:r>
      <w:r w:rsidR="008A347F">
        <w:rPr>
          <w:rFonts w:asciiTheme="minorHAnsi" w:eastAsiaTheme="minorHAnsi" w:hAnsiTheme="minorHAnsi" w:cs="Garamond"/>
          <w:lang w:val="fr-FR"/>
        </w:rPr>
        <w:t xml:space="preserve"> que cette relation atteigne son plein potentiel mais </w:t>
      </w:r>
      <w:r w:rsidR="00FF11AC" w:rsidRPr="002D499A">
        <w:rPr>
          <w:rFonts w:asciiTheme="minorHAnsi" w:eastAsiaTheme="minorHAnsi" w:hAnsiTheme="minorHAnsi" w:cs="Garamond"/>
          <w:lang w:val="fr-FR"/>
        </w:rPr>
        <w:t>les collègues de la CEE</w:t>
      </w:r>
      <w:r w:rsidR="00FF11AC" w:rsidRPr="002D499A">
        <w:rPr>
          <w:rFonts w:asciiTheme="minorHAnsi" w:eastAsiaTheme="minorHAnsi" w:hAnsiTheme="minorHAnsi" w:cs="Garamond"/>
          <w:lang w:val="fr-FR"/>
        </w:rPr>
        <w:noBreakHyphen/>
        <w:t>ONU et les Parties européennes soutiennent vivement cette collaboration. Notre réseau</w:t>
      </w:r>
      <w:r w:rsidR="008A347F">
        <w:rPr>
          <w:rFonts w:asciiTheme="minorHAnsi" w:eastAsiaTheme="minorHAnsi" w:hAnsiTheme="minorHAnsi" w:cs="Garamond"/>
          <w:lang w:val="fr-FR"/>
        </w:rPr>
        <w:t>,</w:t>
      </w:r>
      <w:r w:rsidR="00FF11AC" w:rsidRPr="002D499A">
        <w:rPr>
          <w:rFonts w:asciiTheme="minorHAnsi" w:eastAsiaTheme="minorHAnsi" w:hAnsiTheme="minorHAnsi" w:cs="Garamond"/>
          <w:lang w:val="fr-FR"/>
        </w:rPr>
        <w:t xml:space="preserve"> dans le monde entier</w:t>
      </w:r>
      <w:r w:rsidR="008A347F">
        <w:rPr>
          <w:rFonts w:asciiTheme="minorHAnsi" w:eastAsiaTheme="minorHAnsi" w:hAnsiTheme="minorHAnsi" w:cs="Garamond"/>
          <w:lang w:val="fr-FR"/>
        </w:rPr>
        <w:t>,</w:t>
      </w:r>
      <w:r w:rsidR="00FF11AC" w:rsidRPr="002D499A">
        <w:rPr>
          <w:rFonts w:asciiTheme="minorHAnsi" w:eastAsiaTheme="minorHAnsi" w:hAnsiTheme="minorHAnsi" w:cs="Garamond"/>
          <w:lang w:val="fr-FR"/>
        </w:rPr>
        <w:t xml:space="preserve"> sera utile à la CEE</w:t>
      </w:r>
      <w:r w:rsidR="00FF11AC" w:rsidRPr="002D499A">
        <w:rPr>
          <w:rFonts w:asciiTheme="minorHAnsi" w:eastAsiaTheme="minorHAnsi" w:hAnsiTheme="minorHAnsi" w:cs="Garamond"/>
          <w:lang w:val="fr-FR"/>
        </w:rPr>
        <w:noBreakHyphen/>
        <w:t xml:space="preserve">ONU à mesure qu’elle élargira </w:t>
      </w:r>
      <w:r w:rsidR="008A347F">
        <w:rPr>
          <w:rFonts w:asciiTheme="minorHAnsi" w:eastAsiaTheme="minorHAnsi" w:hAnsiTheme="minorHAnsi" w:cs="Garamond"/>
          <w:lang w:val="fr-FR"/>
        </w:rPr>
        <w:t>son influence</w:t>
      </w:r>
      <w:r w:rsidR="00FF11AC" w:rsidRPr="002D499A">
        <w:rPr>
          <w:rFonts w:asciiTheme="minorHAnsi" w:eastAsiaTheme="minorHAnsi" w:hAnsiTheme="minorHAnsi" w:cs="Garamond"/>
          <w:lang w:val="fr-FR"/>
        </w:rPr>
        <w:t xml:space="preserve"> à l’échelle </w:t>
      </w:r>
      <w:r w:rsidR="008A347F">
        <w:rPr>
          <w:rFonts w:asciiTheme="minorHAnsi" w:eastAsiaTheme="minorHAnsi" w:hAnsiTheme="minorHAnsi" w:cs="Garamond"/>
          <w:lang w:val="fr-FR"/>
        </w:rPr>
        <w:t>mondiale</w:t>
      </w:r>
      <w:r w:rsidR="00FF11AC" w:rsidRPr="002D499A">
        <w:rPr>
          <w:rFonts w:asciiTheme="minorHAnsi" w:eastAsiaTheme="minorHAnsi" w:hAnsiTheme="minorHAnsi" w:cs="Garamond"/>
          <w:lang w:val="fr-FR"/>
        </w:rPr>
        <w:t xml:space="preserve">. </w:t>
      </w:r>
      <w:r w:rsidR="00FF11AC" w:rsidRPr="008A347F">
        <w:rPr>
          <w:rFonts w:asciiTheme="minorHAnsi" w:eastAsiaTheme="minorHAnsi" w:hAnsiTheme="minorHAnsi" w:cs="Garamond"/>
          <w:lang w:val="fr-FR"/>
        </w:rPr>
        <w:t xml:space="preserve">La création </w:t>
      </w:r>
      <w:r w:rsidR="008A347F" w:rsidRPr="008A347F">
        <w:rPr>
          <w:rFonts w:asciiTheme="minorHAnsi" w:eastAsiaTheme="minorHAnsi" w:hAnsiTheme="minorHAnsi" w:cs="Garamond"/>
          <w:lang w:val="fr-FR"/>
        </w:rPr>
        <w:t>du</w:t>
      </w:r>
      <w:r w:rsidR="008A347F">
        <w:rPr>
          <w:rFonts w:asciiTheme="minorHAnsi" w:eastAsiaTheme="minorHAnsi" w:hAnsiTheme="minorHAnsi" w:cs="Garamond"/>
          <w:lang w:val="fr-FR"/>
        </w:rPr>
        <w:t xml:space="preserve"> Pôle Eau de</w:t>
      </w:r>
      <w:r w:rsidR="00FF11AC" w:rsidRPr="002D499A">
        <w:rPr>
          <w:rFonts w:asciiTheme="minorHAnsi" w:eastAsiaTheme="minorHAnsi" w:hAnsiTheme="minorHAnsi" w:cs="Garamond"/>
          <w:lang w:val="fr-FR"/>
        </w:rPr>
        <w:t xml:space="preserve"> Genève par le Gouvernement suisse nous aidera aussi à cimenter des relations plus étroites entre tous les organismes qui travaillent dans le domaine de l’eau et des zones humides.</w:t>
      </w:r>
      <w:r w:rsidR="002A65F4" w:rsidRPr="002D499A">
        <w:rPr>
          <w:rFonts w:asciiTheme="minorHAnsi" w:eastAsiaTheme="minorHAnsi" w:hAnsiTheme="minorHAnsi" w:cs="Garamond"/>
          <w:lang w:val="fr-FR"/>
        </w:rPr>
        <w:t xml:space="preserve"> </w:t>
      </w:r>
    </w:p>
    <w:p w14:paraId="7D2A0539" w14:textId="77777777" w:rsidR="00536ED0" w:rsidRPr="002D499A" w:rsidRDefault="00536ED0" w:rsidP="005522A4">
      <w:pPr>
        <w:pStyle w:val="ListParagraph"/>
        <w:ind w:left="426" w:hanging="426"/>
        <w:jc w:val="left"/>
        <w:rPr>
          <w:rFonts w:asciiTheme="minorHAnsi" w:hAnsiTheme="minorHAnsi"/>
          <w:lang w:val="fr-FR"/>
        </w:rPr>
      </w:pPr>
    </w:p>
    <w:p w14:paraId="50175F81" w14:textId="3E5C912E" w:rsidR="002B1E27" w:rsidRPr="002D499A" w:rsidRDefault="00FF11AC" w:rsidP="005522A4">
      <w:pPr>
        <w:pStyle w:val="ListParagraph"/>
        <w:numPr>
          <w:ilvl w:val="0"/>
          <w:numId w:val="19"/>
        </w:numPr>
        <w:autoSpaceDE w:val="0"/>
        <w:autoSpaceDN w:val="0"/>
        <w:adjustRightInd w:val="0"/>
        <w:ind w:left="426" w:hanging="426"/>
        <w:jc w:val="left"/>
        <w:rPr>
          <w:rFonts w:asciiTheme="minorHAnsi" w:eastAsiaTheme="minorHAnsi" w:hAnsiTheme="minorHAnsi" w:cs="Garamond"/>
          <w:lang w:val="fr-FR"/>
        </w:rPr>
      </w:pPr>
      <w:r w:rsidRPr="002D499A">
        <w:rPr>
          <w:rFonts w:asciiTheme="minorHAnsi" w:hAnsiTheme="minorHAnsi"/>
          <w:lang w:val="fr-FR"/>
        </w:rPr>
        <w:t xml:space="preserve">Comme indiqué dans la section précédente, le Secrétariat </w:t>
      </w:r>
      <w:r w:rsidR="008A347F">
        <w:rPr>
          <w:rFonts w:asciiTheme="minorHAnsi" w:hAnsiTheme="minorHAnsi"/>
          <w:lang w:val="fr-FR"/>
        </w:rPr>
        <w:t>collabore</w:t>
      </w:r>
      <w:r w:rsidRPr="002D499A">
        <w:rPr>
          <w:rFonts w:asciiTheme="minorHAnsi" w:hAnsiTheme="minorHAnsi"/>
          <w:lang w:val="fr-FR"/>
        </w:rPr>
        <w:t xml:space="preserve"> activement avec d’autres AME, et comme l’indique le paragraphe 44 de la Résolution </w:t>
      </w:r>
      <w:r w:rsidR="002B1E27" w:rsidRPr="002D499A">
        <w:rPr>
          <w:rFonts w:asciiTheme="minorHAnsi" w:hAnsiTheme="minorHAnsi"/>
          <w:lang w:val="fr-FR"/>
        </w:rPr>
        <w:t>XII.</w:t>
      </w:r>
      <w:r w:rsidR="00545DA3" w:rsidRPr="002D499A">
        <w:rPr>
          <w:rFonts w:asciiTheme="minorHAnsi" w:hAnsiTheme="minorHAnsi"/>
          <w:lang w:val="fr-FR"/>
        </w:rPr>
        <w:t>3,</w:t>
      </w:r>
      <w:r w:rsidR="002A65F4" w:rsidRPr="002D499A">
        <w:rPr>
          <w:rFonts w:asciiTheme="minorHAnsi" w:hAnsiTheme="minorHAnsi"/>
          <w:lang w:val="fr-FR"/>
        </w:rPr>
        <w:t xml:space="preserve"> </w:t>
      </w:r>
      <w:r w:rsidRPr="002D499A">
        <w:rPr>
          <w:rFonts w:asciiTheme="minorHAnsi" w:hAnsiTheme="minorHAnsi"/>
          <w:lang w:val="fr-FR"/>
        </w:rPr>
        <w:t xml:space="preserve">le Secrétariat étudiera, </w:t>
      </w:r>
      <w:r w:rsidR="00930B2F" w:rsidRPr="002D499A">
        <w:rPr>
          <w:rFonts w:asciiTheme="minorHAnsi" w:hAnsiTheme="minorHAnsi"/>
          <w:lang w:val="fr-FR"/>
        </w:rPr>
        <w:t>dans la limite de ses ressources</w:t>
      </w:r>
      <w:r w:rsidRPr="002D499A">
        <w:rPr>
          <w:rFonts w:asciiTheme="minorHAnsi" w:hAnsiTheme="minorHAnsi"/>
          <w:lang w:val="fr-FR"/>
        </w:rPr>
        <w:t xml:space="preserve">, comment </w:t>
      </w:r>
      <w:r w:rsidR="008A347F">
        <w:rPr>
          <w:rFonts w:asciiTheme="minorHAnsi" w:hAnsiTheme="minorHAnsi"/>
          <w:lang w:val="fr-FR"/>
        </w:rPr>
        <w:t>amplifier</w:t>
      </w:r>
      <w:r w:rsidRPr="002D499A">
        <w:rPr>
          <w:rFonts w:asciiTheme="minorHAnsi" w:hAnsiTheme="minorHAnsi"/>
          <w:lang w:val="fr-FR"/>
        </w:rPr>
        <w:t xml:space="preserve"> ses efforts</w:t>
      </w:r>
      <w:r w:rsidR="008A347F">
        <w:rPr>
          <w:rFonts w:asciiTheme="minorHAnsi" w:hAnsiTheme="minorHAnsi"/>
          <w:lang w:val="fr-FR"/>
        </w:rPr>
        <w:t xml:space="preserve"> pour</w:t>
      </w:r>
      <w:r w:rsidRPr="002D499A">
        <w:rPr>
          <w:rFonts w:asciiTheme="minorHAnsi" w:hAnsiTheme="minorHAnsi"/>
          <w:lang w:val="fr-FR"/>
        </w:rPr>
        <w:t xml:space="preserve"> : </w:t>
      </w:r>
    </w:p>
    <w:p w14:paraId="2BB7C52F" w14:textId="77777777" w:rsidR="002B1E27" w:rsidRPr="002D499A" w:rsidRDefault="002B1E27" w:rsidP="00BA510D">
      <w:pPr>
        <w:autoSpaceDE w:val="0"/>
        <w:autoSpaceDN w:val="0"/>
        <w:adjustRightInd w:val="0"/>
        <w:rPr>
          <w:rFonts w:asciiTheme="minorHAnsi" w:hAnsiTheme="minorHAnsi"/>
          <w:sz w:val="22"/>
          <w:szCs w:val="22"/>
          <w:lang w:val="fr-FR"/>
        </w:rPr>
      </w:pPr>
    </w:p>
    <w:p w14:paraId="44147670" w14:textId="69661897" w:rsidR="002B1E27" w:rsidRPr="002D499A" w:rsidRDefault="00FF11AC" w:rsidP="00534542">
      <w:pPr>
        <w:pStyle w:val="ListParagraph"/>
        <w:numPr>
          <w:ilvl w:val="0"/>
          <w:numId w:val="24"/>
        </w:numPr>
        <w:ind w:left="851" w:hanging="425"/>
        <w:jc w:val="left"/>
        <w:rPr>
          <w:rFonts w:asciiTheme="minorHAnsi" w:hAnsiTheme="minorHAnsi"/>
          <w:lang w:val="fr-FR"/>
        </w:rPr>
      </w:pPr>
      <w:r w:rsidRPr="002D499A">
        <w:rPr>
          <w:rFonts w:asciiTheme="minorHAnsi" w:hAnsiTheme="minorHAnsi"/>
          <w:lang w:val="fr-FR"/>
        </w:rPr>
        <w:t xml:space="preserve">renforcer la coopération, la coordination et l’attention </w:t>
      </w:r>
      <w:r w:rsidR="00930B2F" w:rsidRPr="002D499A">
        <w:rPr>
          <w:rFonts w:asciiTheme="minorHAnsi" w:hAnsiTheme="minorHAnsi"/>
          <w:lang w:val="fr-FR"/>
        </w:rPr>
        <w:t>accordée</w:t>
      </w:r>
      <w:r w:rsidRPr="002D499A">
        <w:rPr>
          <w:rFonts w:asciiTheme="minorHAnsi" w:hAnsiTheme="minorHAnsi"/>
          <w:lang w:val="fr-FR"/>
        </w:rPr>
        <w:t xml:space="preserve"> aux synergies en matière de systèmes de communication de rapport</w:t>
      </w:r>
      <w:r w:rsidR="007A5A2B" w:rsidRPr="002D499A">
        <w:rPr>
          <w:rFonts w:asciiTheme="minorHAnsi" w:hAnsiTheme="minorHAnsi"/>
          <w:lang w:val="fr-FR"/>
        </w:rPr>
        <w:t>s</w:t>
      </w:r>
      <w:r w:rsidRPr="002D499A">
        <w:rPr>
          <w:rFonts w:asciiTheme="minorHAnsi" w:hAnsiTheme="minorHAnsi"/>
          <w:lang w:val="fr-FR"/>
        </w:rPr>
        <w:t xml:space="preserve">, y compris </w:t>
      </w:r>
      <w:r w:rsidR="00930B2F" w:rsidRPr="002D499A">
        <w:rPr>
          <w:rFonts w:asciiTheme="minorHAnsi" w:hAnsiTheme="minorHAnsi"/>
          <w:lang w:val="fr-FR"/>
        </w:rPr>
        <w:t>l</w:t>
      </w:r>
      <w:r w:rsidRPr="002D499A">
        <w:rPr>
          <w:rFonts w:asciiTheme="minorHAnsi" w:hAnsiTheme="minorHAnsi"/>
          <w:lang w:val="fr-FR"/>
        </w:rPr>
        <w:t xml:space="preserve">es </w:t>
      </w:r>
      <w:r w:rsidR="00930B2F" w:rsidRPr="002D499A">
        <w:rPr>
          <w:rFonts w:asciiTheme="minorHAnsi" w:hAnsiTheme="minorHAnsi"/>
          <w:lang w:val="fr-FR"/>
        </w:rPr>
        <w:t xml:space="preserve">futurs </w:t>
      </w:r>
      <w:r w:rsidRPr="002D499A">
        <w:rPr>
          <w:rFonts w:asciiTheme="minorHAnsi" w:hAnsiTheme="minorHAnsi"/>
          <w:lang w:val="fr-FR"/>
        </w:rPr>
        <w:t xml:space="preserve">systèmes de </w:t>
      </w:r>
      <w:r w:rsidR="00930B2F" w:rsidRPr="002D499A">
        <w:rPr>
          <w:rFonts w:asciiTheme="minorHAnsi" w:hAnsiTheme="minorHAnsi"/>
          <w:lang w:val="fr-FR"/>
        </w:rPr>
        <w:t>transmission</w:t>
      </w:r>
      <w:r w:rsidRPr="002D499A">
        <w:rPr>
          <w:rFonts w:asciiTheme="minorHAnsi" w:hAnsiTheme="minorHAnsi"/>
          <w:lang w:val="fr-FR"/>
        </w:rPr>
        <w:t xml:space="preserve"> des rapports en </w:t>
      </w:r>
      <w:r w:rsidRPr="008A347F">
        <w:rPr>
          <w:rFonts w:asciiTheme="minorHAnsi" w:hAnsiTheme="minorHAnsi"/>
          <w:lang w:val="fr-FR"/>
        </w:rPr>
        <w:t>ligne et des indicateurs,</w:t>
      </w:r>
      <w:r w:rsidRPr="002D499A">
        <w:rPr>
          <w:rFonts w:asciiTheme="minorHAnsi" w:hAnsiTheme="minorHAnsi"/>
          <w:lang w:val="fr-FR"/>
        </w:rPr>
        <w:t xml:space="preserve"> comme moyen de renforcer les synergies en matière d’établissement des rapports nationaux dans le cadre des conventions relatives à la biodiversité; </w:t>
      </w:r>
    </w:p>
    <w:p w14:paraId="601082C6" w14:textId="77FFA31D" w:rsidR="002B1E27" w:rsidRPr="002D499A" w:rsidRDefault="00FF11AC" w:rsidP="00534542">
      <w:pPr>
        <w:pStyle w:val="ListParagraph"/>
        <w:numPr>
          <w:ilvl w:val="0"/>
          <w:numId w:val="24"/>
        </w:numPr>
        <w:ind w:left="851" w:hanging="425"/>
        <w:jc w:val="left"/>
        <w:rPr>
          <w:rFonts w:asciiTheme="minorHAnsi" w:hAnsiTheme="minorHAnsi"/>
          <w:lang w:val="fr-FR"/>
        </w:rPr>
      </w:pPr>
      <w:r w:rsidRPr="002D499A">
        <w:rPr>
          <w:rFonts w:asciiTheme="minorHAnsi" w:hAnsiTheme="minorHAnsi"/>
          <w:lang w:val="fr-FR"/>
        </w:rPr>
        <w:t>examiner des moyens de renforcer la coopération en matière de stratégies d’information et de communication;</w:t>
      </w:r>
      <w:r w:rsidR="008A347F">
        <w:rPr>
          <w:rFonts w:asciiTheme="minorHAnsi" w:hAnsiTheme="minorHAnsi"/>
          <w:lang w:val="fr-FR"/>
        </w:rPr>
        <w:t xml:space="preserve"> et</w:t>
      </w:r>
    </w:p>
    <w:p w14:paraId="7475C8D5" w14:textId="35D8269C" w:rsidR="002B1E27" w:rsidRPr="002D499A" w:rsidRDefault="00FF11AC" w:rsidP="00534542">
      <w:pPr>
        <w:pStyle w:val="ListParagraph"/>
        <w:numPr>
          <w:ilvl w:val="0"/>
          <w:numId w:val="24"/>
        </w:numPr>
        <w:autoSpaceDE w:val="0"/>
        <w:autoSpaceDN w:val="0"/>
        <w:adjustRightInd w:val="0"/>
        <w:ind w:left="851" w:hanging="425"/>
        <w:jc w:val="left"/>
        <w:rPr>
          <w:rFonts w:asciiTheme="minorHAnsi" w:hAnsiTheme="minorHAnsi"/>
          <w:lang w:val="fr-FR"/>
        </w:rPr>
      </w:pPr>
      <w:r w:rsidRPr="002D499A">
        <w:rPr>
          <w:rFonts w:asciiTheme="minorHAnsi" w:eastAsia="Times New Roman" w:hAnsiTheme="minorHAnsi"/>
          <w:lang w:val="fr-FR" w:eastAsia="lv-LV"/>
        </w:rPr>
        <w:t xml:space="preserve">trouver des possibilités de renforcer la coopération concernant des questions </w:t>
      </w:r>
      <w:r w:rsidR="008A347F">
        <w:rPr>
          <w:rFonts w:asciiTheme="minorHAnsi" w:eastAsia="Times New Roman" w:hAnsiTheme="minorHAnsi"/>
          <w:lang w:val="fr-FR" w:eastAsia="lv-LV"/>
        </w:rPr>
        <w:t>intersectorielles</w:t>
      </w:r>
      <w:r w:rsidRPr="002D499A">
        <w:rPr>
          <w:rFonts w:asciiTheme="minorHAnsi" w:eastAsia="Times New Roman" w:hAnsiTheme="minorHAnsi"/>
          <w:lang w:val="fr-FR" w:eastAsia="lv-LV"/>
        </w:rPr>
        <w:t xml:space="preserve">. </w:t>
      </w:r>
    </w:p>
    <w:p w14:paraId="65A68A96" w14:textId="77777777" w:rsidR="002B1E27" w:rsidRPr="002D499A" w:rsidRDefault="002B1E27" w:rsidP="00BA510D">
      <w:pPr>
        <w:autoSpaceDE w:val="0"/>
        <w:autoSpaceDN w:val="0"/>
        <w:adjustRightInd w:val="0"/>
        <w:rPr>
          <w:rFonts w:asciiTheme="minorHAnsi" w:hAnsiTheme="minorHAnsi"/>
          <w:sz w:val="22"/>
          <w:szCs w:val="22"/>
          <w:lang w:val="fr-FR"/>
        </w:rPr>
      </w:pPr>
    </w:p>
    <w:p w14:paraId="411F9C65" w14:textId="44964D4A" w:rsidR="00EB3C7C" w:rsidRPr="002D499A" w:rsidRDefault="00FF11AC" w:rsidP="005522A4">
      <w:pPr>
        <w:autoSpaceDE w:val="0"/>
        <w:autoSpaceDN w:val="0"/>
        <w:adjustRightInd w:val="0"/>
        <w:ind w:left="426"/>
        <w:rPr>
          <w:rFonts w:asciiTheme="minorHAnsi" w:hAnsiTheme="minorHAnsi"/>
          <w:sz w:val="22"/>
          <w:szCs w:val="22"/>
          <w:lang w:val="fr-FR"/>
        </w:rPr>
      </w:pPr>
      <w:r w:rsidRPr="002D499A">
        <w:rPr>
          <w:rFonts w:asciiTheme="minorHAnsi" w:hAnsiTheme="minorHAnsi"/>
          <w:sz w:val="22"/>
          <w:szCs w:val="22"/>
          <w:lang w:val="fr-FR"/>
        </w:rPr>
        <w:t>En s’appuyant sur ce qui précède, le Secrétariat présente à la 51</w:t>
      </w:r>
      <w:r w:rsidRPr="002D499A">
        <w:rPr>
          <w:rFonts w:asciiTheme="minorHAnsi" w:hAnsiTheme="minorHAnsi"/>
          <w:sz w:val="22"/>
          <w:szCs w:val="22"/>
          <w:vertAlign w:val="superscript"/>
          <w:lang w:val="fr-FR"/>
        </w:rPr>
        <w:t>e</w:t>
      </w:r>
      <w:r w:rsidRPr="002D499A">
        <w:rPr>
          <w:rFonts w:asciiTheme="minorHAnsi" w:hAnsiTheme="minorHAnsi"/>
          <w:sz w:val="22"/>
          <w:szCs w:val="22"/>
          <w:lang w:val="fr-FR"/>
        </w:rPr>
        <w:t xml:space="preserve"> Réunion du Comité permanent le plan annexé afin de renforcer la coopération avec </w:t>
      </w:r>
      <w:r w:rsidR="00AF043A">
        <w:rPr>
          <w:rFonts w:asciiTheme="minorHAnsi" w:hAnsiTheme="minorHAnsi"/>
          <w:sz w:val="22"/>
          <w:szCs w:val="22"/>
          <w:lang w:val="fr-FR"/>
        </w:rPr>
        <w:t>d’</w:t>
      </w:r>
      <w:r w:rsidRPr="002D499A">
        <w:rPr>
          <w:rFonts w:asciiTheme="minorHAnsi" w:hAnsiTheme="minorHAnsi"/>
          <w:sz w:val="22"/>
          <w:szCs w:val="22"/>
          <w:lang w:val="fr-FR"/>
        </w:rPr>
        <w:t>autres AME pour examen et avis.</w:t>
      </w:r>
    </w:p>
    <w:p w14:paraId="74BFAADA" w14:textId="77777777" w:rsidR="00EB3C7C" w:rsidRPr="002D499A" w:rsidRDefault="00EB3C7C" w:rsidP="00D56300">
      <w:pPr>
        <w:autoSpaceDE w:val="0"/>
        <w:autoSpaceDN w:val="0"/>
        <w:adjustRightInd w:val="0"/>
        <w:rPr>
          <w:rFonts w:asciiTheme="minorHAnsi" w:hAnsiTheme="minorHAnsi"/>
          <w:sz w:val="22"/>
          <w:szCs w:val="22"/>
          <w:lang w:val="fr-FR"/>
        </w:rPr>
      </w:pPr>
    </w:p>
    <w:p w14:paraId="780A5711" w14:textId="77777777" w:rsidR="006E19DD" w:rsidRPr="002D499A" w:rsidRDefault="006E19DD" w:rsidP="00D56300">
      <w:pPr>
        <w:autoSpaceDE w:val="0"/>
        <w:autoSpaceDN w:val="0"/>
        <w:adjustRightInd w:val="0"/>
        <w:rPr>
          <w:rFonts w:asciiTheme="minorHAnsi" w:hAnsiTheme="minorHAnsi"/>
          <w:b/>
          <w:sz w:val="22"/>
          <w:szCs w:val="22"/>
          <w:lang w:val="fr-FR"/>
        </w:rPr>
        <w:sectPr w:rsidR="006E19DD" w:rsidRPr="002D499A" w:rsidSect="006B6339">
          <w:footerReference w:type="default" r:id="rId9"/>
          <w:pgSz w:w="11906" w:h="16838"/>
          <w:pgMar w:top="1440" w:right="1440" w:bottom="1440" w:left="1440" w:header="708" w:footer="708" w:gutter="0"/>
          <w:cols w:space="708"/>
          <w:titlePg/>
          <w:docGrid w:linePitch="360"/>
        </w:sectPr>
      </w:pPr>
    </w:p>
    <w:p w14:paraId="3FBB1A57" w14:textId="222A2A2E" w:rsidR="00EB3C7C" w:rsidRPr="002D499A" w:rsidRDefault="00EB3C7C" w:rsidP="00D56300">
      <w:pPr>
        <w:autoSpaceDE w:val="0"/>
        <w:autoSpaceDN w:val="0"/>
        <w:adjustRightInd w:val="0"/>
        <w:rPr>
          <w:rFonts w:asciiTheme="minorHAnsi" w:hAnsiTheme="minorHAnsi"/>
          <w:b/>
          <w:sz w:val="22"/>
          <w:szCs w:val="22"/>
          <w:lang w:val="fr-FR"/>
        </w:rPr>
      </w:pPr>
      <w:r w:rsidRPr="002D499A">
        <w:rPr>
          <w:rFonts w:asciiTheme="minorHAnsi" w:hAnsiTheme="minorHAnsi"/>
          <w:b/>
          <w:sz w:val="22"/>
          <w:szCs w:val="22"/>
          <w:lang w:val="fr-FR"/>
        </w:rPr>
        <w:lastRenderedPageBreak/>
        <w:t>Plan</w:t>
      </w:r>
      <w:r w:rsidR="002A65F4" w:rsidRPr="002D499A">
        <w:rPr>
          <w:rFonts w:asciiTheme="minorHAnsi" w:hAnsiTheme="minorHAnsi"/>
          <w:b/>
          <w:sz w:val="22"/>
          <w:szCs w:val="22"/>
          <w:lang w:val="fr-FR"/>
        </w:rPr>
        <w:t xml:space="preserve"> </w:t>
      </w:r>
      <w:r w:rsidR="00BE5BA8" w:rsidRPr="002D499A">
        <w:rPr>
          <w:rFonts w:asciiTheme="minorHAnsi" w:hAnsiTheme="minorHAnsi"/>
          <w:b/>
          <w:sz w:val="22"/>
          <w:szCs w:val="22"/>
          <w:lang w:val="fr-FR"/>
        </w:rPr>
        <w:t xml:space="preserve">visant à renforcer la coopération avec les autres AME </w:t>
      </w:r>
    </w:p>
    <w:p w14:paraId="07EE5C7E" w14:textId="77777777" w:rsidR="00EB3C7C" w:rsidRPr="002D499A" w:rsidRDefault="00EB3C7C" w:rsidP="00D56300">
      <w:pPr>
        <w:autoSpaceDE w:val="0"/>
        <w:autoSpaceDN w:val="0"/>
        <w:adjustRightInd w:val="0"/>
        <w:rPr>
          <w:rFonts w:asciiTheme="minorHAnsi" w:hAnsiTheme="minorHAnsi"/>
          <w:b/>
          <w:sz w:val="22"/>
          <w:szCs w:val="22"/>
          <w:lang w:val="fr-FR"/>
        </w:rPr>
      </w:pPr>
    </w:p>
    <w:tbl>
      <w:tblPr>
        <w:tblStyle w:val="TableGrid1"/>
        <w:tblW w:w="14283" w:type="dxa"/>
        <w:tblCellMar>
          <w:top w:w="57" w:type="dxa"/>
          <w:left w:w="57" w:type="dxa"/>
          <w:bottom w:w="57" w:type="dxa"/>
          <w:right w:w="57" w:type="dxa"/>
        </w:tblCellMar>
        <w:tblLook w:val="04A0" w:firstRow="1" w:lastRow="0" w:firstColumn="1" w:lastColumn="0" w:noHBand="0" w:noVBand="1"/>
      </w:tblPr>
      <w:tblGrid>
        <w:gridCol w:w="2042"/>
        <w:gridCol w:w="7796"/>
        <w:gridCol w:w="2977"/>
        <w:gridCol w:w="1468"/>
      </w:tblGrid>
      <w:tr w:rsidR="00D3141D" w:rsidRPr="002D499A" w14:paraId="56CF187D" w14:textId="77777777" w:rsidTr="00D3141D">
        <w:trPr>
          <w:tblHeader/>
        </w:trPr>
        <w:tc>
          <w:tcPr>
            <w:tcW w:w="2042" w:type="dxa"/>
            <w:vAlign w:val="center"/>
          </w:tcPr>
          <w:p w14:paraId="5E5EFBEE" w14:textId="082BCF05" w:rsidR="00D3141D" w:rsidRPr="002D499A" w:rsidRDefault="0088481D" w:rsidP="00D3141D">
            <w:pPr>
              <w:autoSpaceDE w:val="0"/>
              <w:autoSpaceDN w:val="0"/>
              <w:adjustRightInd w:val="0"/>
              <w:jc w:val="center"/>
              <w:rPr>
                <w:rFonts w:asciiTheme="minorHAnsi" w:hAnsiTheme="minorHAnsi"/>
                <w:b/>
                <w:sz w:val="22"/>
                <w:szCs w:val="22"/>
                <w:lang w:val="fr-FR"/>
              </w:rPr>
            </w:pPr>
            <w:r w:rsidRPr="002D499A">
              <w:rPr>
                <w:rFonts w:asciiTheme="minorHAnsi" w:hAnsiTheme="minorHAnsi"/>
                <w:b/>
                <w:sz w:val="22"/>
                <w:szCs w:val="22"/>
                <w:lang w:val="fr-FR"/>
              </w:rPr>
              <w:t>Convention</w:t>
            </w:r>
          </w:p>
        </w:tc>
        <w:tc>
          <w:tcPr>
            <w:tcW w:w="7796" w:type="dxa"/>
            <w:vAlign w:val="center"/>
          </w:tcPr>
          <w:p w14:paraId="7CF3AF1A" w14:textId="77777777" w:rsidR="0088481D" w:rsidRPr="002D499A" w:rsidRDefault="0088481D" w:rsidP="00D3141D">
            <w:pPr>
              <w:autoSpaceDE w:val="0"/>
              <w:autoSpaceDN w:val="0"/>
              <w:adjustRightInd w:val="0"/>
              <w:jc w:val="center"/>
              <w:rPr>
                <w:rFonts w:asciiTheme="minorHAnsi" w:hAnsiTheme="minorHAnsi"/>
                <w:b/>
                <w:sz w:val="22"/>
                <w:szCs w:val="22"/>
                <w:lang w:val="fr-FR"/>
              </w:rPr>
            </w:pPr>
            <w:r w:rsidRPr="002D499A">
              <w:rPr>
                <w:rFonts w:asciiTheme="minorHAnsi" w:hAnsiTheme="minorHAnsi"/>
                <w:b/>
                <w:sz w:val="22"/>
                <w:szCs w:val="22"/>
                <w:lang w:val="fr-FR"/>
              </w:rPr>
              <w:t>Action</w:t>
            </w:r>
          </w:p>
        </w:tc>
        <w:tc>
          <w:tcPr>
            <w:tcW w:w="2977" w:type="dxa"/>
            <w:vAlign w:val="center"/>
          </w:tcPr>
          <w:p w14:paraId="2B9169E3" w14:textId="54CD6991" w:rsidR="0088481D" w:rsidRPr="002D499A" w:rsidRDefault="00BE5BA8" w:rsidP="003A3716">
            <w:pPr>
              <w:autoSpaceDE w:val="0"/>
              <w:autoSpaceDN w:val="0"/>
              <w:adjustRightInd w:val="0"/>
              <w:jc w:val="center"/>
              <w:rPr>
                <w:rFonts w:asciiTheme="minorHAnsi" w:hAnsiTheme="minorHAnsi"/>
                <w:b/>
                <w:sz w:val="22"/>
                <w:szCs w:val="22"/>
                <w:lang w:val="fr-FR"/>
              </w:rPr>
            </w:pPr>
            <w:r w:rsidRPr="002D499A">
              <w:rPr>
                <w:rFonts w:asciiTheme="minorHAnsi" w:hAnsiTheme="minorHAnsi"/>
                <w:b/>
                <w:sz w:val="22"/>
                <w:szCs w:val="22"/>
                <w:lang w:val="fr-FR"/>
              </w:rPr>
              <w:t>Indicat</w:t>
            </w:r>
            <w:r w:rsidR="003A3716">
              <w:rPr>
                <w:rFonts w:asciiTheme="minorHAnsi" w:hAnsiTheme="minorHAnsi"/>
                <w:b/>
                <w:sz w:val="22"/>
                <w:szCs w:val="22"/>
                <w:lang w:val="fr-FR"/>
              </w:rPr>
              <w:t>eur</w:t>
            </w:r>
          </w:p>
        </w:tc>
        <w:tc>
          <w:tcPr>
            <w:tcW w:w="1468" w:type="dxa"/>
            <w:vAlign w:val="center"/>
          </w:tcPr>
          <w:p w14:paraId="0498039C" w14:textId="5B4FB7E8" w:rsidR="0088481D" w:rsidRPr="002D499A" w:rsidRDefault="00BE5BA8" w:rsidP="00D3141D">
            <w:pPr>
              <w:autoSpaceDE w:val="0"/>
              <w:autoSpaceDN w:val="0"/>
              <w:adjustRightInd w:val="0"/>
              <w:jc w:val="center"/>
              <w:rPr>
                <w:rFonts w:asciiTheme="minorHAnsi" w:hAnsiTheme="minorHAnsi"/>
                <w:b/>
                <w:sz w:val="22"/>
                <w:szCs w:val="22"/>
                <w:lang w:val="fr-FR"/>
              </w:rPr>
            </w:pPr>
            <w:r w:rsidRPr="002D499A">
              <w:rPr>
                <w:rFonts w:asciiTheme="minorHAnsi" w:hAnsiTheme="minorHAnsi"/>
                <w:b/>
                <w:sz w:val="22"/>
                <w:szCs w:val="22"/>
                <w:lang w:val="fr-FR"/>
              </w:rPr>
              <w:t>Délai</w:t>
            </w:r>
          </w:p>
        </w:tc>
      </w:tr>
      <w:tr w:rsidR="00D3141D" w:rsidRPr="002D499A" w14:paraId="6D33BB7A" w14:textId="77777777" w:rsidTr="00D3141D">
        <w:tc>
          <w:tcPr>
            <w:tcW w:w="2042" w:type="dxa"/>
            <w:vMerge w:val="restart"/>
          </w:tcPr>
          <w:p w14:paraId="61EB62AD" w14:textId="7A3DD1A9" w:rsidR="0088481D" w:rsidRPr="002D499A" w:rsidRDefault="00BE5BA8" w:rsidP="00BE5BA8">
            <w:pPr>
              <w:autoSpaceDE w:val="0"/>
              <w:autoSpaceDN w:val="0"/>
              <w:adjustRightInd w:val="0"/>
              <w:rPr>
                <w:rFonts w:asciiTheme="minorHAnsi" w:hAnsiTheme="minorHAnsi"/>
                <w:sz w:val="22"/>
                <w:szCs w:val="22"/>
                <w:lang w:val="fr-FR"/>
              </w:rPr>
            </w:pPr>
            <w:r w:rsidRPr="002D499A">
              <w:rPr>
                <w:rFonts w:asciiTheme="minorHAnsi" w:hAnsiTheme="minorHAnsi"/>
                <w:sz w:val="22"/>
                <w:szCs w:val="22"/>
                <w:lang w:val="fr-FR"/>
              </w:rPr>
              <w:t>Groupe de liaison sur la biodiversité</w:t>
            </w:r>
            <w:r w:rsidR="005522A4" w:rsidRPr="002D499A">
              <w:rPr>
                <w:rFonts w:asciiTheme="minorHAnsi" w:hAnsiTheme="minorHAnsi"/>
                <w:sz w:val="22"/>
                <w:szCs w:val="22"/>
                <w:lang w:val="fr-FR"/>
              </w:rPr>
              <w:t xml:space="preserve"> (</w:t>
            </w:r>
            <w:r w:rsidRPr="002D499A">
              <w:rPr>
                <w:rFonts w:asciiTheme="minorHAnsi" w:hAnsiTheme="minorHAnsi"/>
                <w:sz w:val="22"/>
                <w:szCs w:val="22"/>
                <w:lang w:val="fr-FR"/>
              </w:rPr>
              <w:t>GLB</w:t>
            </w:r>
            <w:r w:rsidR="005522A4" w:rsidRPr="002D499A">
              <w:rPr>
                <w:rFonts w:asciiTheme="minorHAnsi" w:hAnsiTheme="minorHAnsi"/>
                <w:sz w:val="22"/>
                <w:szCs w:val="22"/>
                <w:lang w:val="fr-FR"/>
              </w:rPr>
              <w:t>)</w:t>
            </w:r>
          </w:p>
        </w:tc>
        <w:tc>
          <w:tcPr>
            <w:tcW w:w="7796" w:type="dxa"/>
          </w:tcPr>
          <w:p w14:paraId="1E357CF0" w14:textId="41CDAD20" w:rsidR="0088481D" w:rsidRPr="002D499A" w:rsidRDefault="00654113" w:rsidP="00654113">
            <w:pPr>
              <w:autoSpaceDE w:val="0"/>
              <w:autoSpaceDN w:val="0"/>
              <w:adjustRightInd w:val="0"/>
              <w:rPr>
                <w:rFonts w:asciiTheme="minorHAnsi" w:hAnsiTheme="minorHAnsi"/>
                <w:sz w:val="22"/>
                <w:szCs w:val="22"/>
                <w:lang w:val="fr-FR"/>
              </w:rPr>
            </w:pPr>
            <w:r w:rsidRPr="002D499A">
              <w:rPr>
                <w:rFonts w:asciiTheme="minorHAnsi" w:hAnsiTheme="minorHAnsi"/>
                <w:sz w:val="22"/>
                <w:szCs w:val="22"/>
                <w:lang w:val="fr-FR"/>
              </w:rPr>
              <w:t xml:space="preserve">Participer aux réunions du GLB et appliquer les actions convenues. </w:t>
            </w:r>
          </w:p>
        </w:tc>
        <w:tc>
          <w:tcPr>
            <w:tcW w:w="2977" w:type="dxa"/>
          </w:tcPr>
          <w:p w14:paraId="0506C0DB" w14:textId="394A824E" w:rsidR="0088481D" w:rsidRPr="002D499A" w:rsidRDefault="00654113" w:rsidP="00654113">
            <w:pPr>
              <w:autoSpaceDE w:val="0"/>
              <w:autoSpaceDN w:val="0"/>
              <w:adjustRightInd w:val="0"/>
              <w:rPr>
                <w:rFonts w:asciiTheme="minorHAnsi" w:hAnsiTheme="minorHAnsi"/>
                <w:sz w:val="22"/>
                <w:szCs w:val="22"/>
                <w:lang w:val="fr-FR"/>
              </w:rPr>
            </w:pPr>
            <w:r w:rsidRPr="002D499A">
              <w:rPr>
                <w:rFonts w:asciiTheme="minorHAnsi" w:hAnsiTheme="minorHAnsi"/>
                <w:sz w:val="22"/>
                <w:szCs w:val="22"/>
                <w:lang w:val="fr-FR"/>
              </w:rPr>
              <w:t xml:space="preserve">Application des actions convenues et rapport au Comité permanent, s’il y a lieu. </w:t>
            </w:r>
          </w:p>
        </w:tc>
        <w:tc>
          <w:tcPr>
            <w:tcW w:w="1468" w:type="dxa"/>
          </w:tcPr>
          <w:p w14:paraId="6F2157D7" w14:textId="0F282FBC" w:rsidR="0088481D" w:rsidRPr="002D499A" w:rsidRDefault="00654113" w:rsidP="005522A4">
            <w:pPr>
              <w:autoSpaceDE w:val="0"/>
              <w:autoSpaceDN w:val="0"/>
              <w:adjustRightInd w:val="0"/>
              <w:rPr>
                <w:rFonts w:asciiTheme="minorHAnsi" w:hAnsiTheme="minorHAnsi"/>
                <w:sz w:val="22"/>
                <w:szCs w:val="22"/>
                <w:lang w:val="fr-FR"/>
              </w:rPr>
            </w:pPr>
            <w:r w:rsidRPr="002D499A">
              <w:rPr>
                <w:rFonts w:asciiTheme="minorHAnsi" w:hAnsiTheme="minorHAnsi"/>
                <w:sz w:val="22"/>
                <w:szCs w:val="22"/>
                <w:lang w:val="fr-FR"/>
              </w:rPr>
              <w:t>CP</w:t>
            </w:r>
            <w:r w:rsidR="005522A4" w:rsidRPr="002D499A">
              <w:rPr>
                <w:rFonts w:asciiTheme="minorHAnsi" w:hAnsiTheme="minorHAnsi"/>
                <w:sz w:val="22"/>
                <w:szCs w:val="22"/>
                <w:lang w:val="fr-FR"/>
              </w:rPr>
              <w:t>52, 53, 54</w:t>
            </w:r>
          </w:p>
        </w:tc>
      </w:tr>
      <w:tr w:rsidR="00D3141D" w:rsidRPr="002D499A" w14:paraId="3D630E5B" w14:textId="77777777" w:rsidTr="00D3141D">
        <w:tc>
          <w:tcPr>
            <w:tcW w:w="2042" w:type="dxa"/>
            <w:vMerge/>
          </w:tcPr>
          <w:p w14:paraId="74AC3892" w14:textId="77777777" w:rsidR="0088481D" w:rsidRPr="002D499A" w:rsidRDefault="0088481D" w:rsidP="0088481D">
            <w:pPr>
              <w:autoSpaceDE w:val="0"/>
              <w:autoSpaceDN w:val="0"/>
              <w:adjustRightInd w:val="0"/>
              <w:rPr>
                <w:rFonts w:asciiTheme="minorHAnsi" w:hAnsiTheme="minorHAnsi"/>
                <w:sz w:val="22"/>
                <w:szCs w:val="22"/>
                <w:lang w:val="fr-FR"/>
              </w:rPr>
            </w:pPr>
          </w:p>
        </w:tc>
        <w:tc>
          <w:tcPr>
            <w:tcW w:w="7796" w:type="dxa"/>
          </w:tcPr>
          <w:p w14:paraId="0E031F9F" w14:textId="744B3478" w:rsidR="0088481D" w:rsidRPr="002D499A" w:rsidRDefault="00654113" w:rsidP="00654113">
            <w:pPr>
              <w:rPr>
                <w:rFonts w:asciiTheme="minorHAnsi" w:hAnsiTheme="minorHAnsi"/>
                <w:sz w:val="22"/>
                <w:szCs w:val="22"/>
                <w:lang w:val="fr-FR"/>
              </w:rPr>
            </w:pPr>
            <w:r w:rsidRPr="002D499A">
              <w:rPr>
                <w:rFonts w:asciiTheme="minorHAnsi" w:hAnsiTheme="minorHAnsi"/>
                <w:sz w:val="22"/>
                <w:szCs w:val="22"/>
                <w:lang w:val="fr-FR"/>
              </w:rPr>
              <w:t>Fournir une contribution à la mise à jour du cadre biennal de coopération pour 2013</w:t>
            </w:r>
            <w:r w:rsidRPr="002D499A">
              <w:rPr>
                <w:rFonts w:asciiTheme="minorHAnsi" w:hAnsiTheme="minorHAnsi"/>
                <w:sz w:val="22"/>
                <w:szCs w:val="22"/>
                <w:lang w:val="fr-FR"/>
              </w:rPr>
              <w:noBreakHyphen/>
            </w:r>
            <w:r w:rsidR="0088481D" w:rsidRPr="002D499A">
              <w:rPr>
                <w:rFonts w:asciiTheme="minorHAnsi" w:hAnsiTheme="minorHAnsi"/>
                <w:sz w:val="22"/>
                <w:szCs w:val="22"/>
                <w:lang w:val="fr-FR"/>
              </w:rPr>
              <w:t xml:space="preserve">2014 </w:t>
            </w:r>
            <w:r w:rsidRPr="002D499A">
              <w:rPr>
                <w:rFonts w:asciiTheme="minorHAnsi" w:hAnsiTheme="minorHAnsi"/>
                <w:sz w:val="22"/>
                <w:szCs w:val="22"/>
                <w:lang w:val="fr-FR"/>
              </w:rPr>
              <w:t xml:space="preserve">convenu par le GLB à sa huitième session. </w:t>
            </w:r>
          </w:p>
        </w:tc>
        <w:tc>
          <w:tcPr>
            <w:tcW w:w="2977" w:type="dxa"/>
          </w:tcPr>
          <w:p w14:paraId="28E0BD80" w14:textId="2AE87748" w:rsidR="0088481D" w:rsidRPr="002D499A" w:rsidRDefault="00654113" w:rsidP="00654113">
            <w:pPr>
              <w:autoSpaceDE w:val="0"/>
              <w:autoSpaceDN w:val="0"/>
              <w:adjustRightInd w:val="0"/>
              <w:rPr>
                <w:rFonts w:asciiTheme="minorHAnsi" w:hAnsiTheme="minorHAnsi"/>
                <w:sz w:val="22"/>
                <w:szCs w:val="22"/>
                <w:lang w:val="fr-FR"/>
              </w:rPr>
            </w:pPr>
            <w:r w:rsidRPr="002D499A">
              <w:rPr>
                <w:rFonts w:asciiTheme="minorHAnsi" w:hAnsiTheme="minorHAnsi"/>
                <w:sz w:val="22"/>
                <w:szCs w:val="22"/>
                <w:lang w:val="fr-FR"/>
              </w:rPr>
              <w:t xml:space="preserve">Cadre convenu pour la coopération </w:t>
            </w:r>
            <w:r w:rsidR="0088481D" w:rsidRPr="002D499A">
              <w:rPr>
                <w:rFonts w:asciiTheme="minorHAnsi" w:hAnsiTheme="minorHAnsi"/>
                <w:sz w:val="22"/>
                <w:szCs w:val="22"/>
                <w:lang w:val="fr-FR"/>
              </w:rPr>
              <w:t>2015-2016.</w:t>
            </w:r>
          </w:p>
        </w:tc>
        <w:tc>
          <w:tcPr>
            <w:tcW w:w="1468" w:type="dxa"/>
          </w:tcPr>
          <w:p w14:paraId="50D2ADD1" w14:textId="2E1253F2" w:rsidR="0088481D" w:rsidRPr="002D499A" w:rsidRDefault="00654113" w:rsidP="0088481D">
            <w:pPr>
              <w:autoSpaceDE w:val="0"/>
              <w:autoSpaceDN w:val="0"/>
              <w:adjustRightInd w:val="0"/>
              <w:rPr>
                <w:rFonts w:asciiTheme="minorHAnsi" w:hAnsiTheme="minorHAnsi"/>
                <w:sz w:val="22"/>
                <w:szCs w:val="22"/>
                <w:lang w:val="fr-FR"/>
              </w:rPr>
            </w:pPr>
            <w:r w:rsidRPr="002D499A">
              <w:rPr>
                <w:rFonts w:asciiTheme="minorHAnsi" w:hAnsiTheme="minorHAnsi"/>
                <w:sz w:val="22"/>
                <w:szCs w:val="22"/>
                <w:lang w:val="fr-FR"/>
              </w:rPr>
              <w:t>CP</w:t>
            </w:r>
            <w:r w:rsidR="005522A4" w:rsidRPr="002D499A">
              <w:rPr>
                <w:rFonts w:asciiTheme="minorHAnsi" w:hAnsiTheme="minorHAnsi"/>
                <w:sz w:val="22"/>
                <w:szCs w:val="22"/>
                <w:lang w:val="fr-FR"/>
              </w:rPr>
              <w:t>52, 53, 54</w:t>
            </w:r>
          </w:p>
        </w:tc>
      </w:tr>
      <w:tr w:rsidR="00D3141D" w:rsidRPr="002D499A" w14:paraId="3F5E83A4" w14:textId="77777777" w:rsidTr="00D3141D">
        <w:tc>
          <w:tcPr>
            <w:tcW w:w="2042" w:type="dxa"/>
            <w:vMerge/>
          </w:tcPr>
          <w:p w14:paraId="1C2A9453" w14:textId="77777777" w:rsidR="0088481D" w:rsidRPr="002D499A" w:rsidRDefault="0088481D" w:rsidP="0088481D">
            <w:pPr>
              <w:autoSpaceDE w:val="0"/>
              <w:autoSpaceDN w:val="0"/>
              <w:adjustRightInd w:val="0"/>
              <w:rPr>
                <w:rFonts w:asciiTheme="minorHAnsi" w:hAnsiTheme="minorHAnsi"/>
                <w:sz w:val="22"/>
                <w:szCs w:val="22"/>
                <w:lang w:val="fr-FR"/>
              </w:rPr>
            </w:pPr>
          </w:p>
        </w:tc>
        <w:tc>
          <w:tcPr>
            <w:tcW w:w="7796" w:type="dxa"/>
          </w:tcPr>
          <w:p w14:paraId="588818C3" w14:textId="6F4AB1DB" w:rsidR="00D3141D" w:rsidRPr="002D499A" w:rsidRDefault="00654113" w:rsidP="00D3141D">
            <w:pPr>
              <w:contextualSpacing/>
              <w:rPr>
                <w:rFonts w:asciiTheme="minorHAnsi" w:hAnsiTheme="minorHAnsi"/>
                <w:sz w:val="22"/>
                <w:szCs w:val="22"/>
                <w:lang w:val="fr-FR"/>
              </w:rPr>
            </w:pPr>
            <w:r w:rsidRPr="002D499A">
              <w:rPr>
                <w:rFonts w:asciiTheme="minorHAnsi" w:hAnsiTheme="minorHAnsi"/>
                <w:sz w:val="22"/>
                <w:szCs w:val="22"/>
                <w:lang w:val="fr-FR"/>
              </w:rPr>
              <w:t>Au titre du paragraphe 44 de la Résolution </w:t>
            </w:r>
            <w:r w:rsidR="00D3141D" w:rsidRPr="002D499A">
              <w:rPr>
                <w:rFonts w:asciiTheme="minorHAnsi" w:hAnsiTheme="minorHAnsi"/>
                <w:sz w:val="22"/>
                <w:szCs w:val="22"/>
                <w:lang w:val="fr-FR"/>
              </w:rPr>
              <w:t>XII.3</w:t>
            </w:r>
            <w:r w:rsidRPr="002D499A">
              <w:rPr>
                <w:rFonts w:asciiTheme="minorHAnsi" w:hAnsiTheme="minorHAnsi"/>
                <w:sz w:val="22"/>
                <w:szCs w:val="22"/>
                <w:lang w:val="fr-FR"/>
              </w:rPr>
              <w:t> </w:t>
            </w:r>
            <w:r w:rsidR="00D3141D" w:rsidRPr="002D499A">
              <w:rPr>
                <w:rFonts w:asciiTheme="minorHAnsi" w:hAnsiTheme="minorHAnsi"/>
                <w:sz w:val="22"/>
                <w:szCs w:val="22"/>
                <w:lang w:val="fr-FR"/>
              </w:rPr>
              <w:t>:</w:t>
            </w:r>
          </w:p>
          <w:p w14:paraId="5BA2CC1E" w14:textId="77777777" w:rsidR="00D3141D" w:rsidRPr="00DE4430" w:rsidRDefault="00D3141D" w:rsidP="00D3141D">
            <w:pPr>
              <w:contextualSpacing/>
              <w:rPr>
                <w:rFonts w:asciiTheme="minorHAnsi" w:hAnsiTheme="minorHAnsi"/>
                <w:sz w:val="16"/>
                <w:szCs w:val="16"/>
                <w:lang w:val="fr-FR"/>
              </w:rPr>
            </w:pPr>
          </w:p>
          <w:p w14:paraId="58791AB0" w14:textId="77777777" w:rsidR="00630B13" w:rsidRDefault="00630B13" w:rsidP="00630B13">
            <w:pPr>
              <w:numPr>
                <w:ilvl w:val="0"/>
                <w:numId w:val="26"/>
              </w:numPr>
              <w:ind w:left="298" w:hanging="270"/>
              <w:contextualSpacing/>
              <w:rPr>
                <w:rFonts w:asciiTheme="minorHAnsi" w:hAnsiTheme="minorHAnsi"/>
                <w:sz w:val="22"/>
                <w:szCs w:val="22"/>
                <w:lang w:val="fr-FR"/>
              </w:rPr>
            </w:pPr>
            <w:r w:rsidRPr="002D499A">
              <w:rPr>
                <w:rFonts w:asciiTheme="minorHAnsi" w:hAnsiTheme="minorHAnsi"/>
                <w:sz w:val="22"/>
                <w:szCs w:val="22"/>
                <w:lang w:val="fr-FR"/>
              </w:rPr>
              <w:t>renforcer la coopération, la coordination et l’attention accordées aux synergies pour l’exploration de systèmes d’établissement des rapports, y compris de futurs systèmes d’établissement des rapports et d’indicateurs en ligne, comme moyen d’améliorer la synergie en matière d’établissement des rapports nationaux aux conventions relatives à la biodiversité;</w:t>
            </w:r>
          </w:p>
          <w:p w14:paraId="43DDE479" w14:textId="77777777" w:rsidR="00DE4430" w:rsidRPr="00DE4430" w:rsidRDefault="00DE4430" w:rsidP="00DE4430">
            <w:pPr>
              <w:contextualSpacing/>
              <w:rPr>
                <w:rFonts w:asciiTheme="minorHAnsi" w:hAnsiTheme="minorHAnsi"/>
                <w:sz w:val="16"/>
                <w:szCs w:val="16"/>
                <w:lang w:val="fr-FR"/>
              </w:rPr>
            </w:pPr>
          </w:p>
          <w:p w14:paraId="3901B36C" w14:textId="77777777" w:rsidR="00630B13" w:rsidRDefault="00630B13" w:rsidP="00630B13">
            <w:pPr>
              <w:numPr>
                <w:ilvl w:val="0"/>
                <w:numId w:val="26"/>
              </w:numPr>
              <w:ind w:left="298" w:hanging="270"/>
              <w:contextualSpacing/>
              <w:rPr>
                <w:rFonts w:asciiTheme="minorHAnsi" w:hAnsiTheme="minorHAnsi"/>
                <w:sz w:val="22"/>
                <w:szCs w:val="22"/>
                <w:lang w:val="fr-FR"/>
              </w:rPr>
            </w:pPr>
            <w:r w:rsidRPr="002D499A">
              <w:rPr>
                <w:rFonts w:asciiTheme="minorHAnsi" w:hAnsiTheme="minorHAnsi"/>
                <w:sz w:val="22"/>
                <w:szCs w:val="22"/>
                <w:lang w:val="fr-FR"/>
              </w:rPr>
              <w:t>envisager des moyens de renforcer la coopération en matière de stratégies d’information et de communication;</w:t>
            </w:r>
          </w:p>
          <w:p w14:paraId="3292D860" w14:textId="77777777" w:rsidR="00DE4430" w:rsidRPr="00DE4430" w:rsidRDefault="00DE4430" w:rsidP="00DE4430">
            <w:pPr>
              <w:contextualSpacing/>
              <w:rPr>
                <w:rFonts w:asciiTheme="minorHAnsi" w:hAnsiTheme="minorHAnsi"/>
                <w:sz w:val="16"/>
                <w:szCs w:val="16"/>
                <w:lang w:val="fr-FR"/>
              </w:rPr>
            </w:pPr>
          </w:p>
          <w:p w14:paraId="4001BDF2" w14:textId="114CF5C7" w:rsidR="00D3141D" w:rsidRPr="002D499A" w:rsidRDefault="00630B13" w:rsidP="00630B13">
            <w:pPr>
              <w:numPr>
                <w:ilvl w:val="0"/>
                <w:numId w:val="26"/>
              </w:numPr>
              <w:ind w:left="298" w:hanging="270"/>
              <w:contextualSpacing/>
              <w:rPr>
                <w:rFonts w:asciiTheme="minorHAnsi" w:hAnsiTheme="minorHAnsi"/>
                <w:sz w:val="22"/>
                <w:szCs w:val="22"/>
                <w:lang w:val="fr-FR"/>
              </w:rPr>
            </w:pPr>
            <w:r w:rsidRPr="002D499A">
              <w:rPr>
                <w:rFonts w:asciiTheme="minorHAnsi" w:hAnsiTheme="minorHAnsi"/>
                <w:sz w:val="22"/>
                <w:szCs w:val="22"/>
                <w:lang w:val="fr-FR"/>
              </w:rPr>
              <w:t>définir des possibilités de renforcer la coopération pour les travaux relatifs à des questions intersectorielles.</w:t>
            </w:r>
          </w:p>
        </w:tc>
        <w:tc>
          <w:tcPr>
            <w:tcW w:w="2977" w:type="dxa"/>
          </w:tcPr>
          <w:p w14:paraId="1DE0C27C" w14:textId="784B31B4" w:rsidR="0088481D" w:rsidRPr="002D499A" w:rsidRDefault="00654113" w:rsidP="00E437B8">
            <w:pPr>
              <w:autoSpaceDE w:val="0"/>
              <w:autoSpaceDN w:val="0"/>
              <w:adjustRightInd w:val="0"/>
              <w:rPr>
                <w:rFonts w:asciiTheme="minorHAnsi" w:hAnsiTheme="minorHAnsi"/>
                <w:sz w:val="22"/>
                <w:szCs w:val="22"/>
                <w:lang w:val="fr-FR"/>
              </w:rPr>
            </w:pPr>
            <w:r w:rsidRPr="002D499A">
              <w:rPr>
                <w:rFonts w:asciiTheme="minorHAnsi" w:hAnsiTheme="minorHAnsi"/>
                <w:sz w:val="22"/>
                <w:szCs w:val="22"/>
                <w:lang w:val="fr-FR"/>
              </w:rPr>
              <w:t xml:space="preserve">Synergies accrues en matière de rapports nationaux dans le cadre des conventions relatives à la biodiversité, actions en coopération et stratégies de communication, et questions </w:t>
            </w:r>
            <w:r w:rsidR="00E437B8" w:rsidRPr="002D499A">
              <w:rPr>
                <w:rFonts w:asciiTheme="minorHAnsi" w:hAnsiTheme="minorHAnsi"/>
                <w:sz w:val="22"/>
                <w:szCs w:val="22"/>
                <w:lang w:val="fr-FR"/>
              </w:rPr>
              <w:t>intersectorielles</w:t>
            </w:r>
            <w:r w:rsidRPr="002D499A">
              <w:rPr>
                <w:rFonts w:asciiTheme="minorHAnsi" w:hAnsiTheme="minorHAnsi"/>
                <w:sz w:val="22"/>
                <w:szCs w:val="22"/>
                <w:lang w:val="fr-FR"/>
              </w:rPr>
              <w:t xml:space="preserve">. Rapport au Comité permanent. </w:t>
            </w:r>
          </w:p>
        </w:tc>
        <w:tc>
          <w:tcPr>
            <w:tcW w:w="1468" w:type="dxa"/>
          </w:tcPr>
          <w:p w14:paraId="5291D328" w14:textId="65054849" w:rsidR="0088481D" w:rsidRPr="002D499A" w:rsidRDefault="00654113" w:rsidP="0088481D">
            <w:pPr>
              <w:autoSpaceDE w:val="0"/>
              <w:autoSpaceDN w:val="0"/>
              <w:adjustRightInd w:val="0"/>
              <w:rPr>
                <w:rFonts w:asciiTheme="minorHAnsi" w:hAnsiTheme="minorHAnsi"/>
                <w:sz w:val="22"/>
                <w:szCs w:val="22"/>
                <w:lang w:val="fr-FR"/>
              </w:rPr>
            </w:pPr>
            <w:r w:rsidRPr="002D499A">
              <w:rPr>
                <w:rFonts w:asciiTheme="minorHAnsi" w:hAnsiTheme="minorHAnsi"/>
                <w:sz w:val="22"/>
                <w:szCs w:val="22"/>
                <w:lang w:val="fr-FR"/>
              </w:rPr>
              <w:t>CP</w:t>
            </w:r>
            <w:r w:rsidR="0088481D" w:rsidRPr="002D499A">
              <w:rPr>
                <w:rFonts w:asciiTheme="minorHAnsi" w:hAnsiTheme="minorHAnsi"/>
                <w:sz w:val="22"/>
                <w:szCs w:val="22"/>
                <w:lang w:val="fr-FR"/>
              </w:rPr>
              <w:t>52, 53, 54</w:t>
            </w:r>
          </w:p>
        </w:tc>
      </w:tr>
      <w:tr w:rsidR="00D3141D" w:rsidRPr="002D499A" w14:paraId="5E51045E" w14:textId="77777777" w:rsidTr="00D3141D">
        <w:tc>
          <w:tcPr>
            <w:tcW w:w="2042" w:type="dxa"/>
          </w:tcPr>
          <w:p w14:paraId="27ED09D0" w14:textId="28EC73A5" w:rsidR="0088481D" w:rsidRPr="002D499A" w:rsidRDefault="0088481D" w:rsidP="00654113">
            <w:pPr>
              <w:autoSpaceDE w:val="0"/>
              <w:autoSpaceDN w:val="0"/>
              <w:adjustRightInd w:val="0"/>
              <w:rPr>
                <w:rFonts w:asciiTheme="minorHAnsi" w:hAnsiTheme="minorHAnsi"/>
                <w:sz w:val="22"/>
                <w:szCs w:val="22"/>
                <w:lang w:val="fr-FR"/>
              </w:rPr>
            </w:pPr>
            <w:r w:rsidRPr="002D499A">
              <w:rPr>
                <w:rFonts w:asciiTheme="minorHAnsi" w:hAnsiTheme="minorHAnsi"/>
                <w:sz w:val="22"/>
                <w:szCs w:val="22"/>
                <w:lang w:val="fr-FR"/>
              </w:rPr>
              <w:t xml:space="preserve">Convention </w:t>
            </w:r>
            <w:r w:rsidR="00654113" w:rsidRPr="002D499A">
              <w:rPr>
                <w:rFonts w:asciiTheme="minorHAnsi" w:hAnsiTheme="minorHAnsi"/>
                <w:sz w:val="22"/>
                <w:szCs w:val="22"/>
                <w:lang w:val="fr-FR"/>
              </w:rPr>
              <w:t>sur la diversité biologique</w:t>
            </w:r>
            <w:r w:rsidRPr="002D499A">
              <w:rPr>
                <w:rFonts w:asciiTheme="minorHAnsi" w:hAnsiTheme="minorHAnsi"/>
                <w:sz w:val="22"/>
                <w:szCs w:val="22"/>
                <w:lang w:val="fr-FR"/>
              </w:rPr>
              <w:t xml:space="preserve"> </w:t>
            </w:r>
            <w:r w:rsidR="005522A4" w:rsidRPr="002D499A">
              <w:rPr>
                <w:rFonts w:asciiTheme="minorHAnsi" w:hAnsiTheme="minorHAnsi"/>
                <w:sz w:val="22"/>
                <w:szCs w:val="22"/>
                <w:lang w:val="fr-FR"/>
              </w:rPr>
              <w:t>(C</w:t>
            </w:r>
            <w:r w:rsidR="00654113" w:rsidRPr="002D499A">
              <w:rPr>
                <w:rFonts w:asciiTheme="minorHAnsi" w:hAnsiTheme="minorHAnsi"/>
                <w:sz w:val="22"/>
                <w:szCs w:val="22"/>
                <w:lang w:val="fr-FR"/>
              </w:rPr>
              <w:t>DB</w:t>
            </w:r>
            <w:r w:rsidR="005522A4" w:rsidRPr="002D499A">
              <w:rPr>
                <w:rFonts w:asciiTheme="minorHAnsi" w:hAnsiTheme="minorHAnsi"/>
                <w:sz w:val="22"/>
                <w:szCs w:val="22"/>
                <w:lang w:val="fr-FR"/>
              </w:rPr>
              <w:t>)</w:t>
            </w:r>
          </w:p>
        </w:tc>
        <w:tc>
          <w:tcPr>
            <w:tcW w:w="7796" w:type="dxa"/>
          </w:tcPr>
          <w:p w14:paraId="4B9E453B" w14:textId="22AC3D54" w:rsidR="0088481D" w:rsidRPr="002D499A" w:rsidRDefault="00654113" w:rsidP="00DE4430">
            <w:pPr>
              <w:autoSpaceDE w:val="0"/>
              <w:autoSpaceDN w:val="0"/>
              <w:adjustRightInd w:val="0"/>
              <w:rPr>
                <w:rFonts w:asciiTheme="minorHAnsi" w:hAnsiTheme="minorHAnsi"/>
                <w:sz w:val="22"/>
                <w:szCs w:val="22"/>
                <w:lang w:val="fr-FR"/>
              </w:rPr>
            </w:pPr>
            <w:r w:rsidRPr="002D499A">
              <w:rPr>
                <w:rFonts w:asciiTheme="minorHAnsi" w:hAnsiTheme="minorHAnsi"/>
                <w:sz w:val="22"/>
                <w:szCs w:val="22"/>
                <w:lang w:val="fr-FR"/>
              </w:rPr>
              <w:t>Application du 5</w:t>
            </w:r>
            <w:r w:rsidRPr="002D499A">
              <w:rPr>
                <w:rFonts w:asciiTheme="minorHAnsi" w:hAnsiTheme="minorHAnsi"/>
                <w:sz w:val="22"/>
                <w:szCs w:val="22"/>
                <w:vertAlign w:val="superscript"/>
                <w:lang w:val="fr-FR"/>
              </w:rPr>
              <w:t>e</w:t>
            </w:r>
            <w:r w:rsidRPr="002D499A">
              <w:rPr>
                <w:rFonts w:asciiTheme="minorHAnsi" w:hAnsiTheme="minorHAnsi"/>
                <w:sz w:val="22"/>
                <w:szCs w:val="22"/>
                <w:lang w:val="fr-FR"/>
              </w:rPr>
              <w:t xml:space="preserve"> Plan de travail conjoint avec la CDB dans les domaines d’intérêt commun, notamment : </w:t>
            </w:r>
          </w:p>
          <w:p w14:paraId="4683A102" w14:textId="77777777" w:rsidR="00DE4430" w:rsidRPr="00DE4430" w:rsidRDefault="00DE4430" w:rsidP="00DE4430">
            <w:pPr>
              <w:contextualSpacing/>
              <w:rPr>
                <w:rFonts w:asciiTheme="minorHAnsi" w:hAnsiTheme="minorHAnsi"/>
                <w:sz w:val="16"/>
                <w:szCs w:val="16"/>
                <w:lang w:val="fr-FR"/>
              </w:rPr>
            </w:pPr>
          </w:p>
          <w:p w14:paraId="5EE9784A" w14:textId="12D02C4A" w:rsidR="0088481D" w:rsidRDefault="00654113" w:rsidP="00DE4430">
            <w:pPr>
              <w:numPr>
                <w:ilvl w:val="0"/>
                <w:numId w:val="28"/>
              </w:numPr>
              <w:autoSpaceDE w:val="0"/>
              <w:autoSpaceDN w:val="0"/>
              <w:adjustRightInd w:val="0"/>
              <w:ind w:left="318" w:hanging="279"/>
              <w:contextualSpacing/>
              <w:rPr>
                <w:rFonts w:asciiTheme="minorHAnsi" w:eastAsiaTheme="minorHAnsi" w:hAnsiTheme="minorHAnsi"/>
                <w:color w:val="000000"/>
                <w:sz w:val="22"/>
                <w:szCs w:val="22"/>
                <w:lang w:val="fr-FR"/>
              </w:rPr>
            </w:pPr>
            <w:r w:rsidRPr="002D499A">
              <w:rPr>
                <w:rFonts w:asciiTheme="minorHAnsi" w:eastAsiaTheme="minorHAnsi" w:hAnsiTheme="minorHAnsi"/>
                <w:color w:val="000000"/>
                <w:sz w:val="22"/>
                <w:szCs w:val="22"/>
                <w:lang w:val="fr-FR"/>
              </w:rPr>
              <w:t xml:space="preserve">soutenir des rapports nationaux complémentaires et/ou harmonisés, intégrant le rôle de la CDB et les rapports nationaux Ramsar pour mesurer la mise en œuvre de ce </w:t>
            </w:r>
            <w:r w:rsidR="000A6FA8" w:rsidRPr="002D499A">
              <w:rPr>
                <w:rFonts w:asciiTheme="minorHAnsi" w:eastAsiaTheme="minorHAnsi" w:hAnsiTheme="minorHAnsi"/>
                <w:color w:val="000000"/>
                <w:sz w:val="22"/>
                <w:szCs w:val="22"/>
                <w:lang w:val="fr-FR"/>
              </w:rPr>
              <w:t>plan</w:t>
            </w:r>
            <w:r w:rsidRPr="002D499A">
              <w:rPr>
                <w:rFonts w:asciiTheme="minorHAnsi" w:eastAsiaTheme="minorHAnsi" w:hAnsiTheme="minorHAnsi"/>
                <w:color w:val="000000"/>
                <w:sz w:val="22"/>
                <w:szCs w:val="22"/>
                <w:lang w:val="fr-FR"/>
              </w:rPr>
              <w:t xml:space="preserve"> de travail conjoint; </w:t>
            </w:r>
          </w:p>
          <w:p w14:paraId="7AB3370D" w14:textId="77777777" w:rsidR="00DE4430" w:rsidRPr="00DE4430" w:rsidRDefault="00DE4430" w:rsidP="00DE4430">
            <w:pPr>
              <w:contextualSpacing/>
              <w:rPr>
                <w:rFonts w:asciiTheme="minorHAnsi" w:hAnsiTheme="minorHAnsi"/>
                <w:sz w:val="16"/>
                <w:szCs w:val="16"/>
                <w:lang w:val="fr-FR"/>
              </w:rPr>
            </w:pPr>
          </w:p>
          <w:p w14:paraId="6B847153" w14:textId="6FF092A9" w:rsidR="0088481D" w:rsidRPr="002D499A" w:rsidRDefault="0088481D" w:rsidP="00DE4430">
            <w:pPr>
              <w:numPr>
                <w:ilvl w:val="0"/>
                <w:numId w:val="28"/>
              </w:numPr>
              <w:autoSpaceDE w:val="0"/>
              <w:autoSpaceDN w:val="0"/>
              <w:adjustRightInd w:val="0"/>
              <w:ind w:left="318" w:hanging="279"/>
              <w:contextualSpacing/>
              <w:rPr>
                <w:rFonts w:asciiTheme="minorHAnsi" w:hAnsiTheme="minorHAnsi"/>
                <w:sz w:val="22"/>
                <w:szCs w:val="22"/>
                <w:lang w:val="fr-FR"/>
              </w:rPr>
            </w:pPr>
            <w:r w:rsidRPr="002D499A">
              <w:rPr>
                <w:rFonts w:asciiTheme="minorHAnsi" w:eastAsiaTheme="minorHAnsi" w:hAnsiTheme="minorHAnsi"/>
                <w:color w:val="000000"/>
                <w:sz w:val="22"/>
                <w:szCs w:val="22"/>
                <w:lang w:val="fr-FR"/>
              </w:rPr>
              <w:t>collabor</w:t>
            </w:r>
            <w:r w:rsidR="00654113" w:rsidRPr="002D499A">
              <w:rPr>
                <w:rFonts w:asciiTheme="minorHAnsi" w:eastAsiaTheme="minorHAnsi" w:hAnsiTheme="minorHAnsi"/>
                <w:color w:val="000000"/>
                <w:sz w:val="22"/>
                <w:szCs w:val="22"/>
                <w:lang w:val="fr-FR"/>
              </w:rPr>
              <w:t xml:space="preserve">er afin de remplir les objectifs des plans stratégiques des deux conventions, de mieux surveiller et évaluer les réalisations respectives dans le contexte de la biodiversité et des zones humides; </w:t>
            </w:r>
          </w:p>
          <w:p w14:paraId="52FC71D1" w14:textId="77777777" w:rsidR="0088481D" w:rsidRPr="002D499A" w:rsidRDefault="0088481D" w:rsidP="00DE4430">
            <w:pPr>
              <w:autoSpaceDE w:val="0"/>
              <w:autoSpaceDN w:val="0"/>
              <w:adjustRightInd w:val="0"/>
              <w:ind w:left="318" w:hanging="720"/>
              <w:rPr>
                <w:rFonts w:asciiTheme="minorHAnsi" w:hAnsiTheme="minorHAnsi"/>
                <w:sz w:val="22"/>
                <w:szCs w:val="22"/>
                <w:lang w:val="fr-FR"/>
              </w:rPr>
            </w:pPr>
          </w:p>
          <w:p w14:paraId="39A731B9" w14:textId="111E5276" w:rsidR="005522A4" w:rsidRPr="002D499A" w:rsidRDefault="00654113" w:rsidP="00DE4430">
            <w:pPr>
              <w:numPr>
                <w:ilvl w:val="0"/>
                <w:numId w:val="28"/>
              </w:numPr>
              <w:autoSpaceDE w:val="0"/>
              <w:autoSpaceDN w:val="0"/>
              <w:adjustRightInd w:val="0"/>
              <w:ind w:left="318" w:hanging="279"/>
              <w:contextualSpacing/>
              <w:rPr>
                <w:rFonts w:asciiTheme="minorHAnsi" w:eastAsia="Calibri" w:hAnsiTheme="minorHAnsi"/>
                <w:sz w:val="22"/>
                <w:szCs w:val="22"/>
                <w:lang w:val="fr-FR" w:eastAsia="en-US"/>
              </w:rPr>
            </w:pPr>
            <w:r w:rsidRPr="002D499A">
              <w:rPr>
                <w:rFonts w:asciiTheme="minorHAnsi" w:hAnsiTheme="minorHAnsi"/>
                <w:sz w:val="22"/>
                <w:szCs w:val="22"/>
                <w:lang w:val="fr-FR"/>
              </w:rPr>
              <w:lastRenderedPageBreak/>
              <w:t xml:space="preserve">faire participer des groupes et partenaires importants à la mise en œuvre pleine et entière des dispositions des deux conventions ayant trait à des questions prioritaires pour la conservation, l’utilisation rationnelle et la coopération internationale autour des zones humides. </w:t>
            </w:r>
          </w:p>
        </w:tc>
        <w:tc>
          <w:tcPr>
            <w:tcW w:w="2977" w:type="dxa"/>
          </w:tcPr>
          <w:p w14:paraId="5E2B5508" w14:textId="7538EE60" w:rsidR="0088481D" w:rsidRPr="002D499A" w:rsidRDefault="00654113" w:rsidP="00630B13">
            <w:pPr>
              <w:autoSpaceDE w:val="0"/>
              <w:autoSpaceDN w:val="0"/>
              <w:adjustRightInd w:val="0"/>
              <w:rPr>
                <w:rFonts w:asciiTheme="minorHAnsi" w:hAnsiTheme="minorHAnsi"/>
                <w:sz w:val="22"/>
                <w:szCs w:val="22"/>
                <w:lang w:val="fr-FR"/>
              </w:rPr>
            </w:pPr>
            <w:r w:rsidRPr="002D499A">
              <w:rPr>
                <w:rFonts w:asciiTheme="minorHAnsi" w:hAnsiTheme="minorHAnsi"/>
                <w:sz w:val="22"/>
                <w:szCs w:val="22"/>
                <w:lang w:val="fr-FR"/>
              </w:rPr>
              <w:lastRenderedPageBreak/>
              <w:t xml:space="preserve">Application effective des plans d’action conjoints et rapport aux organes </w:t>
            </w:r>
            <w:r w:rsidR="00630B13" w:rsidRPr="002D499A">
              <w:rPr>
                <w:rFonts w:asciiTheme="minorHAnsi" w:hAnsiTheme="minorHAnsi"/>
                <w:sz w:val="22"/>
                <w:szCs w:val="22"/>
                <w:lang w:val="fr-FR"/>
              </w:rPr>
              <w:t xml:space="preserve">respectifs </w:t>
            </w:r>
            <w:r w:rsidRPr="002D499A">
              <w:rPr>
                <w:rFonts w:asciiTheme="minorHAnsi" w:hAnsiTheme="minorHAnsi"/>
                <w:sz w:val="22"/>
                <w:szCs w:val="22"/>
                <w:lang w:val="fr-FR"/>
              </w:rPr>
              <w:t xml:space="preserve">des </w:t>
            </w:r>
            <w:r w:rsidR="00AF08E6" w:rsidRPr="002D499A">
              <w:rPr>
                <w:rFonts w:asciiTheme="minorHAnsi" w:hAnsiTheme="minorHAnsi"/>
                <w:sz w:val="22"/>
                <w:szCs w:val="22"/>
                <w:lang w:val="fr-FR"/>
              </w:rPr>
              <w:t>c</w:t>
            </w:r>
            <w:r w:rsidRPr="002D499A">
              <w:rPr>
                <w:rFonts w:asciiTheme="minorHAnsi" w:hAnsiTheme="minorHAnsi"/>
                <w:sz w:val="22"/>
                <w:szCs w:val="22"/>
                <w:lang w:val="fr-FR"/>
              </w:rPr>
              <w:t xml:space="preserve">onventions. </w:t>
            </w:r>
          </w:p>
        </w:tc>
        <w:tc>
          <w:tcPr>
            <w:tcW w:w="1468" w:type="dxa"/>
          </w:tcPr>
          <w:p w14:paraId="3F69F10B" w14:textId="6DF0D816" w:rsidR="0088481D" w:rsidRPr="002D499A" w:rsidRDefault="00654113" w:rsidP="0088481D">
            <w:pPr>
              <w:autoSpaceDE w:val="0"/>
              <w:autoSpaceDN w:val="0"/>
              <w:adjustRightInd w:val="0"/>
              <w:rPr>
                <w:rFonts w:asciiTheme="minorHAnsi" w:hAnsiTheme="minorHAnsi"/>
                <w:sz w:val="22"/>
                <w:szCs w:val="22"/>
                <w:lang w:val="fr-FR"/>
              </w:rPr>
            </w:pPr>
            <w:r w:rsidRPr="002D499A">
              <w:rPr>
                <w:rFonts w:asciiTheme="minorHAnsi" w:hAnsiTheme="minorHAnsi"/>
                <w:sz w:val="22"/>
                <w:szCs w:val="22"/>
                <w:lang w:val="fr-FR"/>
              </w:rPr>
              <w:t>CP</w:t>
            </w:r>
            <w:r w:rsidR="0088481D" w:rsidRPr="002D499A">
              <w:rPr>
                <w:rFonts w:asciiTheme="minorHAnsi" w:hAnsiTheme="minorHAnsi"/>
                <w:sz w:val="22"/>
                <w:szCs w:val="22"/>
                <w:lang w:val="fr-FR"/>
              </w:rPr>
              <w:t>52, 53, 54</w:t>
            </w:r>
          </w:p>
        </w:tc>
      </w:tr>
      <w:tr w:rsidR="005522A4" w:rsidRPr="002D499A" w14:paraId="49F3B923" w14:textId="77777777" w:rsidTr="00D3141D">
        <w:tc>
          <w:tcPr>
            <w:tcW w:w="2042" w:type="dxa"/>
          </w:tcPr>
          <w:p w14:paraId="65216E07" w14:textId="5C9B861A" w:rsidR="005522A4" w:rsidRPr="002D499A" w:rsidRDefault="00D964EB" w:rsidP="005522A4">
            <w:pPr>
              <w:autoSpaceDE w:val="0"/>
              <w:autoSpaceDN w:val="0"/>
              <w:adjustRightInd w:val="0"/>
              <w:rPr>
                <w:rFonts w:asciiTheme="minorHAnsi" w:hAnsiTheme="minorHAnsi"/>
                <w:sz w:val="22"/>
                <w:szCs w:val="22"/>
                <w:lang w:val="fr-FR"/>
              </w:rPr>
            </w:pPr>
            <w:r w:rsidRPr="002D499A">
              <w:rPr>
                <w:rFonts w:asciiTheme="minorHAnsi" w:hAnsiTheme="minorHAnsi"/>
                <w:sz w:val="22"/>
                <w:szCs w:val="22"/>
                <w:lang w:val="fr-FR"/>
              </w:rPr>
              <w:lastRenderedPageBreak/>
              <w:t>Convention sur la conservation des espèces migratrices appartenant à la faune sauvage (CMS)</w:t>
            </w:r>
          </w:p>
        </w:tc>
        <w:tc>
          <w:tcPr>
            <w:tcW w:w="7796" w:type="dxa"/>
          </w:tcPr>
          <w:p w14:paraId="4E86E140" w14:textId="079F5639" w:rsidR="005522A4" w:rsidRPr="002D499A" w:rsidRDefault="00324A0D" w:rsidP="005522A4">
            <w:pPr>
              <w:autoSpaceDE w:val="0"/>
              <w:autoSpaceDN w:val="0"/>
              <w:adjustRightInd w:val="0"/>
              <w:rPr>
                <w:rFonts w:asciiTheme="minorHAnsi" w:hAnsiTheme="minorHAnsi"/>
                <w:sz w:val="22"/>
                <w:szCs w:val="22"/>
                <w:lang w:val="fr-FR"/>
              </w:rPr>
            </w:pPr>
            <w:r w:rsidRPr="002D499A">
              <w:rPr>
                <w:rFonts w:asciiTheme="minorHAnsi" w:hAnsiTheme="minorHAnsi"/>
                <w:sz w:val="22"/>
                <w:szCs w:val="22"/>
                <w:lang w:val="fr-FR"/>
              </w:rPr>
              <w:t xml:space="preserve">Dans le cadre du mémorandum </w:t>
            </w:r>
            <w:r w:rsidR="00AF08E6" w:rsidRPr="002D499A">
              <w:rPr>
                <w:rFonts w:asciiTheme="minorHAnsi" w:hAnsiTheme="minorHAnsi"/>
                <w:sz w:val="22"/>
                <w:szCs w:val="22"/>
                <w:lang w:val="fr-FR"/>
              </w:rPr>
              <w:t>d’accord</w:t>
            </w:r>
            <w:r w:rsidRPr="002D499A">
              <w:rPr>
                <w:rFonts w:asciiTheme="minorHAnsi" w:hAnsiTheme="minorHAnsi"/>
                <w:sz w:val="22"/>
                <w:szCs w:val="22"/>
                <w:lang w:val="fr-FR"/>
              </w:rPr>
              <w:t xml:space="preserve"> et du Plan de travail conjoint </w:t>
            </w:r>
            <w:r w:rsidR="005522A4" w:rsidRPr="002D499A">
              <w:rPr>
                <w:rFonts w:asciiTheme="minorHAnsi" w:hAnsiTheme="minorHAnsi"/>
                <w:sz w:val="22"/>
                <w:szCs w:val="22"/>
                <w:lang w:val="fr-FR"/>
              </w:rPr>
              <w:t>2015</w:t>
            </w:r>
            <w:r w:rsidRPr="002D499A">
              <w:rPr>
                <w:rFonts w:asciiTheme="minorHAnsi" w:hAnsiTheme="minorHAnsi"/>
                <w:sz w:val="22"/>
                <w:szCs w:val="22"/>
                <w:lang w:val="fr-FR"/>
              </w:rPr>
              <w:noBreakHyphen/>
            </w:r>
            <w:r w:rsidR="005522A4" w:rsidRPr="002D499A">
              <w:rPr>
                <w:rFonts w:asciiTheme="minorHAnsi" w:hAnsiTheme="minorHAnsi"/>
                <w:sz w:val="22"/>
                <w:szCs w:val="22"/>
                <w:lang w:val="fr-FR"/>
              </w:rPr>
              <w:t>2017</w:t>
            </w:r>
            <w:r w:rsidRPr="002D499A">
              <w:rPr>
                <w:rFonts w:asciiTheme="minorHAnsi" w:hAnsiTheme="minorHAnsi"/>
                <w:sz w:val="22"/>
                <w:szCs w:val="22"/>
                <w:lang w:val="fr-FR"/>
              </w:rPr>
              <w:t> </w:t>
            </w:r>
            <w:r w:rsidR="005522A4" w:rsidRPr="002D499A">
              <w:rPr>
                <w:rFonts w:asciiTheme="minorHAnsi" w:hAnsiTheme="minorHAnsi"/>
                <w:sz w:val="22"/>
                <w:szCs w:val="22"/>
                <w:lang w:val="fr-FR"/>
              </w:rPr>
              <w:t>:</w:t>
            </w:r>
          </w:p>
          <w:p w14:paraId="2A69BB60" w14:textId="77777777" w:rsidR="00DE4430" w:rsidRPr="00DE4430" w:rsidRDefault="00DE4430" w:rsidP="00DE4430">
            <w:pPr>
              <w:contextualSpacing/>
              <w:rPr>
                <w:rFonts w:asciiTheme="minorHAnsi" w:hAnsiTheme="minorHAnsi"/>
                <w:sz w:val="16"/>
                <w:szCs w:val="16"/>
                <w:lang w:val="fr-FR"/>
              </w:rPr>
            </w:pPr>
          </w:p>
          <w:p w14:paraId="656AD2B6" w14:textId="03D706AE" w:rsidR="005522A4" w:rsidRPr="002D499A" w:rsidRDefault="003A3716" w:rsidP="005522A4">
            <w:pPr>
              <w:pStyle w:val="ListParagraph"/>
              <w:numPr>
                <w:ilvl w:val="0"/>
                <w:numId w:val="31"/>
              </w:numPr>
              <w:autoSpaceDE w:val="0"/>
              <w:autoSpaceDN w:val="0"/>
              <w:adjustRightInd w:val="0"/>
              <w:ind w:left="318" w:hanging="284"/>
              <w:rPr>
                <w:rFonts w:asciiTheme="minorHAnsi" w:eastAsiaTheme="minorHAnsi" w:hAnsiTheme="minorHAnsi" w:cs="Garamond"/>
                <w:color w:val="000000"/>
                <w:lang w:val="fr-FR"/>
              </w:rPr>
            </w:pPr>
            <w:r>
              <w:rPr>
                <w:rFonts w:asciiTheme="minorHAnsi" w:eastAsiaTheme="minorHAnsi" w:hAnsiTheme="minorHAnsi" w:cs="Garamond"/>
                <w:color w:val="000000"/>
                <w:lang w:val="fr-FR"/>
              </w:rPr>
              <w:t>s</w:t>
            </w:r>
            <w:r w:rsidR="005E7618" w:rsidRPr="002D499A">
              <w:rPr>
                <w:rFonts w:asciiTheme="minorHAnsi" w:eastAsiaTheme="minorHAnsi" w:hAnsiTheme="minorHAnsi" w:cs="Garamond"/>
                <w:color w:val="000000"/>
                <w:lang w:val="fr-FR"/>
              </w:rPr>
              <w:t>outenir les initiatives de politique nationale pour une application coordonnée de la Convention de Ramsar et de la CMS</w:t>
            </w:r>
            <w:r>
              <w:rPr>
                <w:rFonts w:asciiTheme="minorHAnsi" w:eastAsiaTheme="minorHAnsi" w:hAnsiTheme="minorHAnsi" w:cs="Garamond"/>
                <w:color w:val="000000"/>
                <w:lang w:val="fr-FR"/>
              </w:rPr>
              <w:t>;</w:t>
            </w:r>
          </w:p>
          <w:p w14:paraId="35462DF6" w14:textId="77777777" w:rsidR="00DE4430" w:rsidRPr="00DE4430" w:rsidRDefault="00DE4430" w:rsidP="00DE4430">
            <w:pPr>
              <w:contextualSpacing/>
              <w:rPr>
                <w:rFonts w:asciiTheme="minorHAnsi" w:hAnsiTheme="minorHAnsi"/>
                <w:sz w:val="16"/>
                <w:szCs w:val="16"/>
                <w:lang w:val="fr-FR"/>
              </w:rPr>
            </w:pPr>
          </w:p>
          <w:p w14:paraId="1B3057B1" w14:textId="1D765B36" w:rsidR="005522A4" w:rsidRPr="002D499A" w:rsidRDefault="003A3716" w:rsidP="005522A4">
            <w:pPr>
              <w:pStyle w:val="ListParagraph"/>
              <w:numPr>
                <w:ilvl w:val="0"/>
                <w:numId w:val="31"/>
              </w:numPr>
              <w:autoSpaceDE w:val="0"/>
              <w:autoSpaceDN w:val="0"/>
              <w:adjustRightInd w:val="0"/>
              <w:ind w:left="318" w:hanging="284"/>
              <w:rPr>
                <w:rFonts w:asciiTheme="minorHAnsi" w:eastAsiaTheme="minorHAnsi" w:hAnsiTheme="minorHAnsi" w:cs="Garamond"/>
                <w:color w:val="000000"/>
                <w:lang w:val="fr-FR"/>
              </w:rPr>
            </w:pPr>
            <w:r>
              <w:rPr>
                <w:rFonts w:asciiTheme="minorHAnsi" w:eastAsiaTheme="minorHAnsi" w:hAnsiTheme="minorHAnsi" w:cs="Garamond"/>
                <w:color w:val="000000"/>
                <w:lang w:val="fr-FR"/>
              </w:rPr>
              <w:t>s</w:t>
            </w:r>
            <w:r w:rsidR="005E7618" w:rsidRPr="002D499A">
              <w:rPr>
                <w:rFonts w:asciiTheme="minorHAnsi" w:eastAsiaTheme="minorHAnsi" w:hAnsiTheme="minorHAnsi" w:cs="Garamond"/>
                <w:color w:val="000000"/>
                <w:lang w:val="fr-FR"/>
              </w:rPr>
              <w:t>aisir les occasions de faciliter une participation mutuelle aux réunions pertinentes au titre de cha</w:t>
            </w:r>
            <w:r w:rsidR="002E1DF2" w:rsidRPr="002D499A">
              <w:rPr>
                <w:rFonts w:asciiTheme="minorHAnsi" w:eastAsiaTheme="minorHAnsi" w:hAnsiTheme="minorHAnsi" w:cs="Garamond"/>
                <w:color w:val="000000"/>
                <w:lang w:val="fr-FR"/>
              </w:rPr>
              <w:t>cune</w:t>
            </w:r>
            <w:r w:rsidR="005E7618" w:rsidRPr="002D499A">
              <w:rPr>
                <w:rFonts w:asciiTheme="minorHAnsi" w:eastAsiaTheme="minorHAnsi" w:hAnsiTheme="minorHAnsi" w:cs="Garamond"/>
                <w:color w:val="000000"/>
                <w:lang w:val="fr-FR"/>
              </w:rPr>
              <w:t xml:space="preserve"> </w:t>
            </w:r>
            <w:r>
              <w:rPr>
                <w:rFonts w:asciiTheme="minorHAnsi" w:eastAsiaTheme="minorHAnsi" w:hAnsiTheme="minorHAnsi" w:cs="Garamond"/>
                <w:color w:val="000000"/>
                <w:lang w:val="fr-FR"/>
              </w:rPr>
              <w:t>des conventions, y compris aux i</w:t>
            </w:r>
            <w:r w:rsidR="005E7618" w:rsidRPr="002D499A">
              <w:rPr>
                <w:rFonts w:asciiTheme="minorHAnsi" w:eastAsiaTheme="minorHAnsi" w:hAnsiTheme="minorHAnsi" w:cs="Garamond"/>
                <w:color w:val="000000"/>
                <w:lang w:val="fr-FR"/>
              </w:rPr>
              <w:t>nitiatives régionales Ramsar et aux réunions organisées sous les auspices de la CMS et ateliers techniques d’intérêt mutuel</w:t>
            </w:r>
            <w:r>
              <w:rPr>
                <w:rFonts w:asciiTheme="minorHAnsi" w:eastAsiaTheme="minorHAnsi" w:hAnsiTheme="minorHAnsi" w:cs="Garamond"/>
                <w:color w:val="000000"/>
                <w:lang w:val="fr-FR"/>
              </w:rPr>
              <w:t>;</w:t>
            </w:r>
            <w:r w:rsidR="005E7618" w:rsidRPr="002D499A">
              <w:rPr>
                <w:rFonts w:asciiTheme="minorHAnsi" w:eastAsiaTheme="minorHAnsi" w:hAnsiTheme="minorHAnsi" w:cs="Garamond"/>
                <w:color w:val="000000"/>
                <w:lang w:val="fr-FR"/>
              </w:rPr>
              <w:t xml:space="preserve"> </w:t>
            </w:r>
          </w:p>
          <w:p w14:paraId="605E1945" w14:textId="77777777" w:rsidR="00DE4430" w:rsidRPr="00DE4430" w:rsidRDefault="00DE4430" w:rsidP="00DE4430">
            <w:pPr>
              <w:contextualSpacing/>
              <w:rPr>
                <w:rFonts w:asciiTheme="minorHAnsi" w:hAnsiTheme="minorHAnsi"/>
                <w:sz w:val="16"/>
                <w:szCs w:val="16"/>
                <w:lang w:val="fr-FR"/>
              </w:rPr>
            </w:pPr>
          </w:p>
          <w:p w14:paraId="413CF7DB" w14:textId="4B014DB6" w:rsidR="005522A4" w:rsidRPr="002D499A" w:rsidRDefault="003A3716" w:rsidP="005522A4">
            <w:pPr>
              <w:pStyle w:val="ListParagraph"/>
              <w:numPr>
                <w:ilvl w:val="0"/>
                <w:numId w:val="31"/>
              </w:numPr>
              <w:autoSpaceDE w:val="0"/>
              <w:autoSpaceDN w:val="0"/>
              <w:adjustRightInd w:val="0"/>
              <w:ind w:left="318" w:hanging="284"/>
              <w:rPr>
                <w:rFonts w:asciiTheme="minorHAnsi" w:hAnsiTheme="minorHAnsi"/>
                <w:lang w:val="fr-FR"/>
              </w:rPr>
            </w:pPr>
            <w:r>
              <w:rPr>
                <w:rFonts w:asciiTheme="minorHAnsi" w:hAnsiTheme="minorHAnsi"/>
                <w:lang w:val="fr-FR"/>
              </w:rPr>
              <w:t>d</w:t>
            </w:r>
            <w:r w:rsidR="005E7618" w:rsidRPr="002D499A">
              <w:rPr>
                <w:rFonts w:asciiTheme="minorHAnsi" w:hAnsiTheme="minorHAnsi"/>
                <w:lang w:val="fr-FR"/>
              </w:rPr>
              <w:t>éfinir et mettre en œuvre (suivi, évaluation, rapport) les indicateurs de la biodiversité pertinents afin d’évaluer l’efficacité de l’application des conventions</w:t>
            </w:r>
            <w:r>
              <w:rPr>
                <w:rFonts w:asciiTheme="minorHAnsi" w:eastAsiaTheme="minorHAnsi" w:hAnsiTheme="minorHAnsi" w:cs="Garamond"/>
                <w:color w:val="000000"/>
                <w:lang w:val="fr-FR"/>
              </w:rPr>
              <w:t>;</w:t>
            </w:r>
          </w:p>
          <w:p w14:paraId="14FC6348" w14:textId="77777777" w:rsidR="00DE4430" w:rsidRPr="00DE4430" w:rsidRDefault="00DE4430" w:rsidP="00DE4430">
            <w:pPr>
              <w:contextualSpacing/>
              <w:rPr>
                <w:rFonts w:asciiTheme="minorHAnsi" w:hAnsiTheme="minorHAnsi"/>
                <w:sz w:val="16"/>
                <w:szCs w:val="16"/>
                <w:lang w:val="fr-FR"/>
              </w:rPr>
            </w:pPr>
          </w:p>
          <w:p w14:paraId="467666EA" w14:textId="3CD542CD" w:rsidR="005522A4" w:rsidRPr="002D499A" w:rsidRDefault="003A3716" w:rsidP="005E7618">
            <w:pPr>
              <w:pStyle w:val="ListParagraph"/>
              <w:numPr>
                <w:ilvl w:val="0"/>
                <w:numId w:val="31"/>
              </w:numPr>
              <w:autoSpaceDE w:val="0"/>
              <w:autoSpaceDN w:val="0"/>
              <w:adjustRightInd w:val="0"/>
              <w:ind w:left="318" w:hanging="284"/>
              <w:rPr>
                <w:rFonts w:asciiTheme="minorHAnsi" w:hAnsiTheme="minorHAnsi"/>
                <w:lang w:val="fr-FR"/>
              </w:rPr>
            </w:pPr>
            <w:r>
              <w:rPr>
                <w:rFonts w:asciiTheme="minorHAnsi" w:hAnsiTheme="minorHAnsi"/>
                <w:lang w:val="fr-FR"/>
              </w:rPr>
              <w:t>i</w:t>
            </w:r>
            <w:r w:rsidR="005E7618" w:rsidRPr="002D499A">
              <w:rPr>
                <w:rFonts w:asciiTheme="minorHAnsi" w:hAnsiTheme="minorHAnsi"/>
                <w:lang w:val="fr-FR"/>
              </w:rPr>
              <w:t>nformation et renforcement des capacités.</w:t>
            </w:r>
          </w:p>
        </w:tc>
        <w:tc>
          <w:tcPr>
            <w:tcW w:w="2977" w:type="dxa"/>
          </w:tcPr>
          <w:p w14:paraId="47570B6E" w14:textId="50F1342A" w:rsidR="005522A4" w:rsidRPr="002D499A" w:rsidRDefault="00D61ADA" w:rsidP="00D61ADA">
            <w:pPr>
              <w:autoSpaceDE w:val="0"/>
              <w:autoSpaceDN w:val="0"/>
              <w:adjustRightInd w:val="0"/>
              <w:rPr>
                <w:rFonts w:asciiTheme="minorHAnsi" w:hAnsiTheme="minorHAnsi"/>
                <w:sz w:val="22"/>
                <w:szCs w:val="22"/>
                <w:lang w:val="fr-FR"/>
              </w:rPr>
            </w:pPr>
            <w:r w:rsidRPr="002D499A">
              <w:rPr>
                <w:rFonts w:asciiTheme="minorHAnsi" w:hAnsiTheme="minorHAnsi"/>
                <w:sz w:val="22"/>
                <w:szCs w:val="22"/>
                <w:lang w:val="fr-FR"/>
              </w:rPr>
              <w:t>Application des activités convenues d’intérêt mutuel et rapport aux Comités permanents des deux conventions, selon les besoins.</w:t>
            </w:r>
          </w:p>
        </w:tc>
        <w:tc>
          <w:tcPr>
            <w:tcW w:w="1468" w:type="dxa"/>
          </w:tcPr>
          <w:p w14:paraId="715E4E6E" w14:textId="2562558D" w:rsidR="005522A4" w:rsidRPr="002D499A" w:rsidRDefault="00654113" w:rsidP="005522A4">
            <w:pPr>
              <w:autoSpaceDE w:val="0"/>
              <w:autoSpaceDN w:val="0"/>
              <w:adjustRightInd w:val="0"/>
              <w:rPr>
                <w:rFonts w:asciiTheme="minorHAnsi" w:hAnsiTheme="minorHAnsi"/>
                <w:sz w:val="22"/>
                <w:szCs w:val="22"/>
                <w:lang w:val="fr-FR"/>
              </w:rPr>
            </w:pPr>
            <w:r w:rsidRPr="002D499A">
              <w:rPr>
                <w:rFonts w:asciiTheme="minorHAnsi" w:hAnsiTheme="minorHAnsi"/>
                <w:sz w:val="22"/>
                <w:szCs w:val="22"/>
                <w:lang w:val="fr-FR"/>
              </w:rPr>
              <w:t>CP</w:t>
            </w:r>
            <w:r w:rsidR="005522A4" w:rsidRPr="002D499A">
              <w:rPr>
                <w:rFonts w:asciiTheme="minorHAnsi" w:hAnsiTheme="minorHAnsi"/>
                <w:sz w:val="22"/>
                <w:szCs w:val="22"/>
                <w:lang w:val="fr-FR"/>
              </w:rPr>
              <w:t>52, 53, 54</w:t>
            </w:r>
          </w:p>
        </w:tc>
      </w:tr>
      <w:tr w:rsidR="005522A4" w:rsidRPr="002D499A" w14:paraId="46C01E19" w14:textId="77777777" w:rsidTr="00D3141D">
        <w:tc>
          <w:tcPr>
            <w:tcW w:w="2042" w:type="dxa"/>
          </w:tcPr>
          <w:p w14:paraId="5A8A3DAA" w14:textId="4376E23C" w:rsidR="0088481D" w:rsidRPr="002D499A" w:rsidRDefault="0088481D" w:rsidP="00D61ADA">
            <w:pPr>
              <w:autoSpaceDE w:val="0"/>
              <w:autoSpaceDN w:val="0"/>
              <w:adjustRightInd w:val="0"/>
              <w:rPr>
                <w:rFonts w:asciiTheme="minorHAnsi" w:hAnsiTheme="minorHAnsi"/>
                <w:sz w:val="22"/>
                <w:szCs w:val="22"/>
                <w:lang w:val="fr-FR"/>
              </w:rPr>
            </w:pPr>
            <w:r w:rsidRPr="002D499A">
              <w:rPr>
                <w:rFonts w:asciiTheme="minorHAnsi" w:hAnsiTheme="minorHAnsi"/>
                <w:sz w:val="22"/>
                <w:szCs w:val="22"/>
                <w:lang w:val="fr-FR"/>
              </w:rPr>
              <w:t xml:space="preserve">Convention </w:t>
            </w:r>
            <w:r w:rsidR="00D61ADA" w:rsidRPr="002D499A">
              <w:rPr>
                <w:rFonts w:asciiTheme="minorHAnsi" w:hAnsiTheme="minorHAnsi"/>
                <w:sz w:val="22"/>
                <w:szCs w:val="22"/>
                <w:lang w:val="fr-FR"/>
              </w:rPr>
              <w:t xml:space="preserve">concernant la protection du patrimoine mondial culturel et naturel </w:t>
            </w:r>
            <w:r w:rsidRPr="002D499A">
              <w:rPr>
                <w:rFonts w:asciiTheme="minorHAnsi" w:hAnsiTheme="minorHAnsi"/>
                <w:sz w:val="22"/>
                <w:szCs w:val="22"/>
                <w:lang w:val="fr-FR"/>
              </w:rPr>
              <w:t xml:space="preserve">(UNESCO, </w:t>
            </w:r>
            <w:r w:rsidR="00D61ADA" w:rsidRPr="002D499A">
              <w:rPr>
                <w:rFonts w:asciiTheme="minorHAnsi" w:hAnsiTheme="minorHAnsi"/>
                <w:sz w:val="22"/>
                <w:szCs w:val="22"/>
                <w:lang w:val="fr-FR"/>
              </w:rPr>
              <w:t>Convention du patrimoine mondial</w:t>
            </w:r>
            <w:r w:rsidRPr="002D499A">
              <w:rPr>
                <w:rFonts w:asciiTheme="minorHAnsi" w:hAnsiTheme="minorHAnsi"/>
                <w:sz w:val="22"/>
                <w:szCs w:val="22"/>
                <w:lang w:val="fr-FR"/>
              </w:rPr>
              <w:t>)</w:t>
            </w:r>
          </w:p>
        </w:tc>
        <w:tc>
          <w:tcPr>
            <w:tcW w:w="7796" w:type="dxa"/>
          </w:tcPr>
          <w:p w14:paraId="046C84B1" w14:textId="38915D05" w:rsidR="0088481D" w:rsidRPr="002D499A" w:rsidRDefault="00D61ADA" w:rsidP="005522A4">
            <w:pPr>
              <w:autoSpaceDE w:val="0"/>
              <w:autoSpaceDN w:val="0"/>
              <w:adjustRightInd w:val="0"/>
              <w:rPr>
                <w:rFonts w:asciiTheme="minorHAnsi" w:hAnsiTheme="minorHAnsi"/>
                <w:sz w:val="22"/>
                <w:szCs w:val="22"/>
                <w:lang w:val="fr-FR"/>
              </w:rPr>
            </w:pPr>
            <w:r w:rsidRPr="002D499A">
              <w:rPr>
                <w:rFonts w:asciiTheme="minorHAnsi" w:hAnsiTheme="minorHAnsi"/>
                <w:sz w:val="22"/>
                <w:szCs w:val="22"/>
                <w:lang w:val="fr-FR"/>
              </w:rPr>
              <w:t>Dans le cadre du mémorandum d’accord :</w:t>
            </w:r>
          </w:p>
          <w:p w14:paraId="31797442" w14:textId="77777777" w:rsidR="00DE4430" w:rsidRPr="00DE4430" w:rsidRDefault="00DE4430" w:rsidP="00DE4430">
            <w:pPr>
              <w:contextualSpacing/>
              <w:rPr>
                <w:rFonts w:asciiTheme="minorHAnsi" w:hAnsiTheme="minorHAnsi"/>
                <w:sz w:val="16"/>
                <w:szCs w:val="16"/>
                <w:lang w:val="fr-FR"/>
              </w:rPr>
            </w:pPr>
          </w:p>
          <w:p w14:paraId="522B3D49" w14:textId="62B74BC0" w:rsidR="0088481D" w:rsidRPr="002D499A" w:rsidRDefault="007E17E6" w:rsidP="00D3141D">
            <w:pPr>
              <w:pStyle w:val="ListParagraph"/>
              <w:numPr>
                <w:ilvl w:val="0"/>
                <w:numId w:val="34"/>
              </w:numPr>
              <w:autoSpaceDE w:val="0"/>
              <w:autoSpaceDN w:val="0"/>
              <w:adjustRightInd w:val="0"/>
              <w:ind w:left="318" w:hanging="284"/>
              <w:rPr>
                <w:rFonts w:asciiTheme="minorHAnsi" w:hAnsiTheme="minorHAnsi"/>
                <w:lang w:val="fr-FR"/>
              </w:rPr>
            </w:pPr>
            <w:r w:rsidRPr="002D499A">
              <w:rPr>
                <w:rFonts w:asciiTheme="minorHAnsi" w:hAnsiTheme="minorHAnsi"/>
                <w:lang w:val="fr-FR"/>
              </w:rPr>
              <w:t>é</w:t>
            </w:r>
            <w:r w:rsidR="00D61ADA" w:rsidRPr="002D499A">
              <w:rPr>
                <w:rFonts w:asciiTheme="minorHAnsi" w:hAnsiTheme="minorHAnsi"/>
                <w:lang w:val="fr-FR"/>
              </w:rPr>
              <w:t>changer les informations de façon régulière sur les aspects spécifiques d’intérêt et d’avantage mutuels</w:t>
            </w:r>
            <w:r w:rsidRPr="002D499A">
              <w:rPr>
                <w:rFonts w:asciiTheme="minorHAnsi" w:hAnsiTheme="minorHAnsi"/>
                <w:lang w:val="fr-FR"/>
              </w:rPr>
              <w:t>;</w:t>
            </w:r>
          </w:p>
          <w:p w14:paraId="1B6DDD2C" w14:textId="77777777" w:rsidR="00DE4430" w:rsidRPr="00DE4430" w:rsidRDefault="00DE4430" w:rsidP="00DE4430">
            <w:pPr>
              <w:contextualSpacing/>
              <w:rPr>
                <w:rFonts w:asciiTheme="minorHAnsi" w:hAnsiTheme="minorHAnsi"/>
                <w:sz w:val="16"/>
                <w:szCs w:val="16"/>
                <w:lang w:val="fr-FR"/>
              </w:rPr>
            </w:pPr>
          </w:p>
          <w:p w14:paraId="5FDB0231" w14:textId="667F48ED" w:rsidR="0088481D" w:rsidRPr="002D499A" w:rsidRDefault="007E17E6" w:rsidP="00D3141D">
            <w:pPr>
              <w:pStyle w:val="ListParagraph"/>
              <w:numPr>
                <w:ilvl w:val="0"/>
                <w:numId w:val="34"/>
              </w:numPr>
              <w:autoSpaceDE w:val="0"/>
              <w:autoSpaceDN w:val="0"/>
              <w:adjustRightInd w:val="0"/>
              <w:ind w:left="318" w:hanging="284"/>
              <w:rPr>
                <w:rFonts w:asciiTheme="minorHAnsi" w:hAnsiTheme="minorHAnsi"/>
                <w:lang w:val="fr-FR"/>
              </w:rPr>
            </w:pPr>
            <w:r w:rsidRPr="002D499A">
              <w:rPr>
                <w:rFonts w:asciiTheme="minorHAnsi" w:hAnsiTheme="minorHAnsi"/>
                <w:lang w:val="fr-FR"/>
              </w:rPr>
              <w:t>p</w:t>
            </w:r>
            <w:r w:rsidR="00D61ADA" w:rsidRPr="002D499A">
              <w:rPr>
                <w:rFonts w:asciiTheme="minorHAnsi" w:hAnsiTheme="minorHAnsi"/>
                <w:lang w:val="fr-FR"/>
              </w:rPr>
              <w:t>artager l’information dans le but d’identifier et d’inscrire des zones humides potentielles qui pourraient remplir les critères du patrimoine mondial et/ou des zones humides d’importance internationale, y compris des sites transfrontières et habitats qui pourraient être d’importance critique pour la protection de bassins versant</w:t>
            </w:r>
            <w:r w:rsidR="00EE141A" w:rsidRPr="002D499A">
              <w:rPr>
                <w:rFonts w:asciiTheme="minorHAnsi" w:hAnsiTheme="minorHAnsi"/>
                <w:lang w:val="fr-FR"/>
              </w:rPr>
              <w:t>s</w:t>
            </w:r>
            <w:r w:rsidRPr="002D499A">
              <w:rPr>
                <w:rFonts w:asciiTheme="minorHAnsi" w:hAnsiTheme="minorHAnsi"/>
                <w:lang w:val="fr-FR"/>
              </w:rPr>
              <w:t>;</w:t>
            </w:r>
            <w:r w:rsidR="0088481D" w:rsidRPr="002D499A">
              <w:rPr>
                <w:rFonts w:asciiTheme="minorHAnsi" w:hAnsiTheme="minorHAnsi"/>
                <w:lang w:val="fr-FR"/>
              </w:rPr>
              <w:t xml:space="preserve"> </w:t>
            </w:r>
          </w:p>
          <w:p w14:paraId="60CAA89D" w14:textId="77777777" w:rsidR="00DE4430" w:rsidRPr="00DE4430" w:rsidRDefault="00DE4430" w:rsidP="00DE4430">
            <w:pPr>
              <w:contextualSpacing/>
              <w:rPr>
                <w:rFonts w:asciiTheme="minorHAnsi" w:hAnsiTheme="minorHAnsi"/>
                <w:sz w:val="16"/>
                <w:szCs w:val="16"/>
                <w:lang w:val="fr-FR"/>
              </w:rPr>
            </w:pPr>
          </w:p>
          <w:p w14:paraId="6FF0087C" w14:textId="1424878D" w:rsidR="0088481D" w:rsidRPr="002D499A" w:rsidRDefault="007E17E6" w:rsidP="00D3141D">
            <w:pPr>
              <w:pStyle w:val="ListParagraph"/>
              <w:numPr>
                <w:ilvl w:val="0"/>
                <w:numId w:val="34"/>
              </w:numPr>
              <w:autoSpaceDE w:val="0"/>
              <w:autoSpaceDN w:val="0"/>
              <w:adjustRightInd w:val="0"/>
              <w:ind w:left="318" w:hanging="284"/>
              <w:rPr>
                <w:rFonts w:asciiTheme="minorHAnsi" w:hAnsiTheme="minorHAnsi"/>
                <w:lang w:val="fr-FR"/>
              </w:rPr>
            </w:pPr>
            <w:r w:rsidRPr="002D499A">
              <w:rPr>
                <w:rFonts w:asciiTheme="minorHAnsi" w:hAnsiTheme="minorHAnsi"/>
                <w:lang w:val="fr-FR"/>
              </w:rPr>
              <w:t xml:space="preserve">partager l’information, les bases de données, les rapports de mission du personnel et autres matériels et entreprendre des missions conjointes pour permettre la détection rapide de menaces dans les Sites Ramsar qui sont aussi des </w:t>
            </w:r>
            <w:r w:rsidRPr="002D499A">
              <w:rPr>
                <w:rFonts w:asciiTheme="minorHAnsi" w:hAnsiTheme="minorHAnsi"/>
                <w:lang w:val="fr-FR"/>
              </w:rPr>
              <w:lastRenderedPageBreak/>
              <w:t xml:space="preserve">biens du patrimoine mondial et entreprendre les études et analyses nécessaires pour identifier les mesures d’atténuation de ces menaces; </w:t>
            </w:r>
          </w:p>
          <w:p w14:paraId="59B381C0" w14:textId="77777777" w:rsidR="00DE4430" w:rsidRPr="00DE4430" w:rsidRDefault="00DE4430" w:rsidP="00DE4430">
            <w:pPr>
              <w:contextualSpacing/>
              <w:rPr>
                <w:rFonts w:asciiTheme="minorHAnsi" w:hAnsiTheme="minorHAnsi"/>
                <w:sz w:val="16"/>
                <w:szCs w:val="16"/>
                <w:lang w:val="fr-FR"/>
              </w:rPr>
            </w:pPr>
          </w:p>
          <w:p w14:paraId="66827275" w14:textId="7285DDBD" w:rsidR="0088481D" w:rsidRPr="002D499A" w:rsidRDefault="007E17E6" w:rsidP="00D3141D">
            <w:pPr>
              <w:pStyle w:val="ListParagraph"/>
              <w:numPr>
                <w:ilvl w:val="0"/>
                <w:numId w:val="34"/>
              </w:numPr>
              <w:autoSpaceDE w:val="0"/>
              <w:autoSpaceDN w:val="0"/>
              <w:adjustRightInd w:val="0"/>
              <w:ind w:left="318" w:hanging="284"/>
              <w:rPr>
                <w:rFonts w:asciiTheme="minorHAnsi" w:hAnsiTheme="minorHAnsi"/>
                <w:lang w:val="fr-FR"/>
              </w:rPr>
            </w:pPr>
            <w:r w:rsidRPr="002D499A">
              <w:rPr>
                <w:rFonts w:asciiTheme="minorHAnsi" w:hAnsiTheme="minorHAnsi"/>
                <w:lang w:val="fr-FR"/>
              </w:rPr>
              <w:t xml:space="preserve">en coopération avec les Parties </w:t>
            </w:r>
            <w:r w:rsidR="003A3716">
              <w:rPr>
                <w:rFonts w:asciiTheme="minorHAnsi" w:hAnsiTheme="minorHAnsi"/>
                <w:lang w:val="fr-FR"/>
              </w:rPr>
              <w:t>aux</w:t>
            </w:r>
            <w:r w:rsidRPr="002D499A">
              <w:rPr>
                <w:rFonts w:asciiTheme="minorHAnsi" w:hAnsiTheme="minorHAnsi"/>
                <w:lang w:val="fr-FR"/>
              </w:rPr>
              <w:t xml:space="preserve"> deux conventions, élaborer des programmes et projets de renforcement de la conservation de sites particuliers reconnus par les deux conventions; </w:t>
            </w:r>
          </w:p>
          <w:p w14:paraId="5685801C" w14:textId="77777777" w:rsidR="00DE4430" w:rsidRPr="00DE4430" w:rsidRDefault="00DE4430" w:rsidP="00DE4430">
            <w:pPr>
              <w:contextualSpacing/>
              <w:rPr>
                <w:rFonts w:asciiTheme="minorHAnsi" w:hAnsiTheme="minorHAnsi"/>
                <w:sz w:val="16"/>
                <w:szCs w:val="16"/>
                <w:lang w:val="fr-FR"/>
              </w:rPr>
            </w:pPr>
          </w:p>
          <w:p w14:paraId="53E873BD" w14:textId="4631040E" w:rsidR="0088481D" w:rsidRPr="002D499A" w:rsidRDefault="007E17E6" w:rsidP="007E17E6">
            <w:pPr>
              <w:pStyle w:val="ListParagraph"/>
              <w:numPr>
                <w:ilvl w:val="0"/>
                <w:numId w:val="34"/>
              </w:numPr>
              <w:autoSpaceDE w:val="0"/>
              <w:autoSpaceDN w:val="0"/>
              <w:adjustRightInd w:val="0"/>
              <w:ind w:left="318" w:hanging="284"/>
              <w:rPr>
                <w:rFonts w:asciiTheme="minorHAnsi" w:hAnsiTheme="minorHAnsi"/>
                <w:lang w:val="fr-FR"/>
              </w:rPr>
            </w:pPr>
            <w:r w:rsidRPr="002D499A">
              <w:rPr>
                <w:rFonts w:asciiTheme="minorHAnsi" w:hAnsiTheme="minorHAnsi"/>
                <w:lang w:val="fr-FR"/>
              </w:rPr>
              <w:t xml:space="preserve">inviter l’autre convention à participer, s’il y a lieu, aux réunions, visites de sites, à la conception, organisation et conduite des activités de formation, éducation et diffusion de l’information et autres activités pour promouvoir la sensibilisation des Parties à la relation entre les deux conventions pour leur application. </w:t>
            </w:r>
          </w:p>
        </w:tc>
        <w:tc>
          <w:tcPr>
            <w:tcW w:w="2977" w:type="dxa"/>
          </w:tcPr>
          <w:p w14:paraId="17ACFA8C" w14:textId="47C5AC45" w:rsidR="0088481D" w:rsidRPr="002D499A" w:rsidRDefault="007E17E6" w:rsidP="007E17E6">
            <w:pPr>
              <w:autoSpaceDE w:val="0"/>
              <w:autoSpaceDN w:val="0"/>
              <w:adjustRightInd w:val="0"/>
              <w:rPr>
                <w:rFonts w:asciiTheme="minorHAnsi" w:hAnsiTheme="minorHAnsi"/>
                <w:sz w:val="22"/>
                <w:szCs w:val="22"/>
                <w:lang w:val="fr-FR"/>
              </w:rPr>
            </w:pPr>
            <w:r w:rsidRPr="002D499A">
              <w:rPr>
                <w:rFonts w:asciiTheme="minorHAnsi" w:hAnsiTheme="minorHAnsi"/>
                <w:sz w:val="22"/>
                <w:szCs w:val="22"/>
                <w:lang w:val="fr-FR"/>
              </w:rPr>
              <w:lastRenderedPageBreak/>
              <w:t xml:space="preserve">Mise en œuvre de domaines d’intérêt prioritaires et rapport aux organes des deux conventions, au besoin. </w:t>
            </w:r>
            <w:r w:rsidR="0088481D" w:rsidRPr="002D499A">
              <w:rPr>
                <w:rFonts w:asciiTheme="minorHAnsi" w:hAnsiTheme="minorHAnsi"/>
                <w:sz w:val="22"/>
                <w:szCs w:val="22"/>
                <w:lang w:val="fr-FR"/>
              </w:rPr>
              <w:t xml:space="preserve">   </w:t>
            </w:r>
          </w:p>
        </w:tc>
        <w:tc>
          <w:tcPr>
            <w:tcW w:w="1468" w:type="dxa"/>
          </w:tcPr>
          <w:p w14:paraId="62147B03" w14:textId="3465EC73" w:rsidR="0088481D" w:rsidRPr="002D499A" w:rsidRDefault="00654113" w:rsidP="0088481D">
            <w:pPr>
              <w:autoSpaceDE w:val="0"/>
              <w:autoSpaceDN w:val="0"/>
              <w:adjustRightInd w:val="0"/>
              <w:rPr>
                <w:rFonts w:asciiTheme="minorHAnsi" w:hAnsiTheme="minorHAnsi"/>
                <w:sz w:val="22"/>
                <w:szCs w:val="22"/>
                <w:lang w:val="fr-FR"/>
              </w:rPr>
            </w:pPr>
            <w:r w:rsidRPr="002D499A">
              <w:rPr>
                <w:rFonts w:asciiTheme="minorHAnsi" w:hAnsiTheme="minorHAnsi"/>
                <w:sz w:val="22"/>
                <w:szCs w:val="22"/>
                <w:lang w:val="fr-FR"/>
              </w:rPr>
              <w:t>CP</w:t>
            </w:r>
            <w:r w:rsidR="0088481D" w:rsidRPr="002D499A">
              <w:rPr>
                <w:rFonts w:asciiTheme="minorHAnsi" w:hAnsiTheme="minorHAnsi"/>
                <w:sz w:val="22"/>
                <w:szCs w:val="22"/>
                <w:lang w:val="fr-FR"/>
              </w:rPr>
              <w:t>52,</w:t>
            </w:r>
            <w:r w:rsidRPr="002D499A">
              <w:rPr>
                <w:rFonts w:asciiTheme="minorHAnsi" w:hAnsiTheme="minorHAnsi"/>
                <w:sz w:val="22"/>
                <w:szCs w:val="22"/>
                <w:lang w:val="fr-FR"/>
              </w:rPr>
              <w:t xml:space="preserve"> </w:t>
            </w:r>
            <w:r w:rsidR="0088481D" w:rsidRPr="002D499A">
              <w:rPr>
                <w:rFonts w:asciiTheme="minorHAnsi" w:hAnsiTheme="minorHAnsi"/>
                <w:sz w:val="22"/>
                <w:szCs w:val="22"/>
                <w:lang w:val="fr-FR"/>
              </w:rPr>
              <w:t>53, 54</w:t>
            </w:r>
          </w:p>
        </w:tc>
      </w:tr>
      <w:tr w:rsidR="005522A4" w:rsidRPr="002D499A" w14:paraId="48AE2B50" w14:textId="77777777" w:rsidTr="00D3141D">
        <w:tc>
          <w:tcPr>
            <w:tcW w:w="2042" w:type="dxa"/>
          </w:tcPr>
          <w:p w14:paraId="534F7029" w14:textId="5DBB4058" w:rsidR="001803EE" w:rsidRPr="002D499A" w:rsidRDefault="0008694B" w:rsidP="0008694B">
            <w:pPr>
              <w:autoSpaceDE w:val="0"/>
              <w:autoSpaceDN w:val="0"/>
              <w:adjustRightInd w:val="0"/>
              <w:rPr>
                <w:rFonts w:asciiTheme="minorHAnsi" w:hAnsiTheme="minorHAnsi"/>
                <w:sz w:val="22"/>
                <w:szCs w:val="22"/>
                <w:lang w:val="fr-FR"/>
              </w:rPr>
            </w:pPr>
            <w:r w:rsidRPr="002D499A">
              <w:rPr>
                <w:rFonts w:asciiTheme="minorHAnsi" w:hAnsiTheme="minorHAnsi"/>
                <w:sz w:val="22"/>
                <w:szCs w:val="22"/>
                <w:lang w:val="fr-FR"/>
              </w:rPr>
              <w:lastRenderedPageBreak/>
              <w:t xml:space="preserve">Convention des Nations Unies sur la lutte contre la désertification dans les pays gravement touchés par la sécheresse et/ou la désertification, en particulier en Afrique (CNULD) </w:t>
            </w:r>
          </w:p>
        </w:tc>
        <w:tc>
          <w:tcPr>
            <w:tcW w:w="7796" w:type="dxa"/>
          </w:tcPr>
          <w:p w14:paraId="298EAEE3" w14:textId="69B7A07D" w:rsidR="0088481D" w:rsidRPr="002D499A" w:rsidRDefault="0008694B" w:rsidP="001803EE">
            <w:pPr>
              <w:autoSpaceDE w:val="0"/>
              <w:autoSpaceDN w:val="0"/>
              <w:adjustRightInd w:val="0"/>
              <w:rPr>
                <w:rFonts w:asciiTheme="minorHAnsi" w:hAnsiTheme="minorHAnsi"/>
                <w:sz w:val="22"/>
                <w:szCs w:val="22"/>
                <w:lang w:val="fr-FR"/>
              </w:rPr>
            </w:pPr>
            <w:r w:rsidRPr="002D499A">
              <w:rPr>
                <w:rFonts w:asciiTheme="minorHAnsi" w:hAnsiTheme="minorHAnsi"/>
                <w:sz w:val="22"/>
                <w:szCs w:val="22"/>
                <w:lang w:val="fr-FR"/>
              </w:rPr>
              <w:t>Dans le cadre du mémorandum d’accord, préparer un programme de travail et élaborer un plan de travail conjoint sur les domaines de collaboration suivants :</w:t>
            </w:r>
          </w:p>
          <w:p w14:paraId="2F965C15" w14:textId="77777777" w:rsidR="00DE4430" w:rsidRPr="00DE4430" w:rsidRDefault="00DE4430" w:rsidP="00DE4430">
            <w:pPr>
              <w:contextualSpacing/>
              <w:rPr>
                <w:rFonts w:asciiTheme="minorHAnsi" w:hAnsiTheme="minorHAnsi"/>
                <w:sz w:val="16"/>
                <w:szCs w:val="16"/>
                <w:lang w:val="fr-FR"/>
              </w:rPr>
            </w:pPr>
          </w:p>
          <w:p w14:paraId="34AD5E44" w14:textId="1E3C8449" w:rsidR="0088481D" w:rsidRPr="002D499A" w:rsidRDefault="0088481D" w:rsidP="001803EE">
            <w:pPr>
              <w:pStyle w:val="ListParagraph"/>
              <w:numPr>
                <w:ilvl w:val="0"/>
                <w:numId w:val="32"/>
              </w:numPr>
              <w:autoSpaceDE w:val="0"/>
              <w:autoSpaceDN w:val="0"/>
              <w:adjustRightInd w:val="0"/>
              <w:ind w:left="318" w:hanging="284"/>
              <w:jc w:val="left"/>
              <w:rPr>
                <w:rFonts w:asciiTheme="minorHAnsi" w:hAnsiTheme="minorHAnsi"/>
                <w:lang w:val="fr-FR"/>
              </w:rPr>
            </w:pPr>
            <w:r w:rsidRPr="002D499A">
              <w:rPr>
                <w:rFonts w:asciiTheme="minorHAnsi" w:hAnsiTheme="minorHAnsi"/>
                <w:lang w:val="fr-FR"/>
              </w:rPr>
              <w:t>explore</w:t>
            </w:r>
            <w:r w:rsidR="0008694B" w:rsidRPr="002D499A">
              <w:rPr>
                <w:rFonts w:asciiTheme="minorHAnsi" w:hAnsiTheme="minorHAnsi"/>
                <w:lang w:val="fr-FR"/>
              </w:rPr>
              <w:t xml:space="preserve">r la possibilité d’harmoniser les besoins d’établissement de rapport des Parties contractantes dans le cadre des deux conventions; </w:t>
            </w:r>
            <w:r w:rsidRPr="002D499A">
              <w:rPr>
                <w:rFonts w:asciiTheme="minorHAnsi" w:hAnsiTheme="minorHAnsi"/>
                <w:lang w:val="fr-FR"/>
              </w:rPr>
              <w:t xml:space="preserve"> </w:t>
            </w:r>
          </w:p>
          <w:p w14:paraId="7A0625AD" w14:textId="0BB9E38C" w:rsidR="0088481D" w:rsidRPr="002D499A" w:rsidRDefault="0008694B" w:rsidP="001803EE">
            <w:pPr>
              <w:pStyle w:val="ListParagraph"/>
              <w:numPr>
                <w:ilvl w:val="0"/>
                <w:numId w:val="32"/>
              </w:numPr>
              <w:autoSpaceDE w:val="0"/>
              <w:autoSpaceDN w:val="0"/>
              <w:adjustRightInd w:val="0"/>
              <w:ind w:left="318" w:hanging="284"/>
              <w:jc w:val="left"/>
              <w:rPr>
                <w:rFonts w:asciiTheme="minorHAnsi" w:hAnsiTheme="minorHAnsi"/>
                <w:lang w:val="fr-FR"/>
              </w:rPr>
            </w:pPr>
            <w:r w:rsidRPr="002D499A">
              <w:rPr>
                <w:rFonts w:asciiTheme="minorHAnsi" w:hAnsiTheme="minorHAnsi"/>
                <w:lang w:val="fr-FR"/>
              </w:rPr>
              <w:t>coopération institutionnelle</w:t>
            </w:r>
            <w:r w:rsidR="001803EE" w:rsidRPr="002D499A">
              <w:rPr>
                <w:rFonts w:asciiTheme="minorHAnsi" w:hAnsiTheme="minorHAnsi"/>
                <w:lang w:val="fr-FR"/>
              </w:rPr>
              <w:t>;</w:t>
            </w:r>
          </w:p>
          <w:p w14:paraId="58E048EB" w14:textId="40225581" w:rsidR="0088481D" w:rsidRPr="002D499A" w:rsidRDefault="0008694B" w:rsidP="001803EE">
            <w:pPr>
              <w:pStyle w:val="ListParagraph"/>
              <w:numPr>
                <w:ilvl w:val="0"/>
                <w:numId w:val="32"/>
              </w:numPr>
              <w:autoSpaceDE w:val="0"/>
              <w:autoSpaceDN w:val="0"/>
              <w:adjustRightInd w:val="0"/>
              <w:ind w:left="318" w:hanging="284"/>
              <w:jc w:val="left"/>
              <w:rPr>
                <w:rFonts w:asciiTheme="minorHAnsi" w:hAnsiTheme="minorHAnsi"/>
                <w:lang w:val="fr-FR"/>
              </w:rPr>
            </w:pPr>
            <w:r w:rsidRPr="002D499A">
              <w:rPr>
                <w:rFonts w:asciiTheme="minorHAnsi" w:hAnsiTheme="minorHAnsi"/>
                <w:lang w:val="fr-FR"/>
              </w:rPr>
              <w:t>échange d’informations et d’expériences</w:t>
            </w:r>
            <w:r w:rsidR="001803EE" w:rsidRPr="002D499A">
              <w:rPr>
                <w:rFonts w:asciiTheme="minorHAnsi" w:hAnsiTheme="minorHAnsi"/>
                <w:lang w:val="fr-FR"/>
              </w:rPr>
              <w:t>;</w:t>
            </w:r>
          </w:p>
          <w:p w14:paraId="2F5A4EF1" w14:textId="65406B81" w:rsidR="0088481D" w:rsidRPr="002D499A" w:rsidRDefault="0008694B" w:rsidP="001803EE">
            <w:pPr>
              <w:pStyle w:val="ListParagraph"/>
              <w:numPr>
                <w:ilvl w:val="0"/>
                <w:numId w:val="32"/>
              </w:numPr>
              <w:autoSpaceDE w:val="0"/>
              <w:autoSpaceDN w:val="0"/>
              <w:adjustRightInd w:val="0"/>
              <w:ind w:left="318" w:hanging="284"/>
              <w:jc w:val="left"/>
              <w:rPr>
                <w:rFonts w:asciiTheme="minorHAnsi" w:hAnsiTheme="minorHAnsi"/>
                <w:lang w:val="fr-FR"/>
              </w:rPr>
            </w:pPr>
            <w:r w:rsidRPr="002D499A">
              <w:rPr>
                <w:rFonts w:asciiTheme="minorHAnsi" w:hAnsiTheme="minorHAnsi"/>
                <w:lang w:val="fr-FR"/>
              </w:rPr>
              <w:t>renforcement des capacités ou formation</w:t>
            </w:r>
            <w:r w:rsidR="001803EE" w:rsidRPr="002D499A">
              <w:rPr>
                <w:rFonts w:asciiTheme="minorHAnsi" w:hAnsiTheme="minorHAnsi"/>
                <w:lang w:val="fr-FR"/>
              </w:rPr>
              <w:t>;</w:t>
            </w:r>
          </w:p>
          <w:p w14:paraId="369338C9" w14:textId="3F1EA1BE" w:rsidR="0088481D" w:rsidRPr="002D499A" w:rsidRDefault="001803EE" w:rsidP="001803EE">
            <w:pPr>
              <w:pStyle w:val="ListParagraph"/>
              <w:numPr>
                <w:ilvl w:val="0"/>
                <w:numId w:val="32"/>
              </w:numPr>
              <w:autoSpaceDE w:val="0"/>
              <w:autoSpaceDN w:val="0"/>
              <w:adjustRightInd w:val="0"/>
              <w:ind w:left="318" w:hanging="284"/>
              <w:jc w:val="left"/>
              <w:rPr>
                <w:rFonts w:asciiTheme="minorHAnsi" w:hAnsiTheme="minorHAnsi"/>
                <w:lang w:val="fr-FR"/>
              </w:rPr>
            </w:pPr>
            <w:r w:rsidRPr="002D499A">
              <w:rPr>
                <w:rFonts w:asciiTheme="minorHAnsi" w:hAnsiTheme="minorHAnsi"/>
                <w:lang w:val="fr-FR"/>
              </w:rPr>
              <w:t xml:space="preserve">science </w:t>
            </w:r>
            <w:r w:rsidR="0008694B" w:rsidRPr="002D499A">
              <w:rPr>
                <w:rFonts w:asciiTheme="minorHAnsi" w:hAnsiTheme="minorHAnsi"/>
                <w:lang w:val="fr-FR"/>
              </w:rPr>
              <w:t>et technologie</w:t>
            </w:r>
            <w:r w:rsidRPr="002D499A">
              <w:rPr>
                <w:rFonts w:asciiTheme="minorHAnsi" w:hAnsiTheme="minorHAnsi"/>
                <w:lang w:val="fr-FR"/>
              </w:rPr>
              <w:t>;</w:t>
            </w:r>
          </w:p>
          <w:p w14:paraId="48F64A90" w14:textId="3BD0F549" w:rsidR="0088481D" w:rsidRPr="002D499A" w:rsidRDefault="0008694B" w:rsidP="001803EE">
            <w:pPr>
              <w:pStyle w:val="ListParagraph"/>
              <w:numPr>
                <w:ilvl w:val="0"/>
                <w:numId w:val="32"/>
              </w:numPr>
              <w:autoSpaceDE w:val="0"/>
              <w:autoSpaceDN w:val="0"/>
              <w:adjustRightInd w:val="0"/>
              <w:ind w:left="318" w:hanging="284"/>
              <w:jc w:val="left"/>
              <w:rPr>
                <w:rFonts w:asciiTheme="minorHAnsi" w:hAnsiTheme="minorHAnsi"/>
                <w:lang w:val="fr-FR"/>
              </w:rPr>
            </w:pPr>
            <w:r w:rsidRPr="002D499A">
              <w:rPr>
                <w:rFonts w:asciiTheme="minorHAnsi" w:hAnsiTheme="minorHAnsi"/>
                <w:lang w:val="fr-FR"/>
              </w:rPr>
              <w:t xml:space="preserve">« Défi de Bonn » pour aider à restaurer </w:t>
            </w:r>
            <w:r w:rsidR="0088481D" w:rsidRPr="002D499A">
              <w:rPr>
                <w:rFonts w:asciiTheme="minorHAnsi" w:hAnsiTheme="minorHAnsi"/>
                <w:lang w:val="fr-FR"/>
              </w:rPr>
              <w:t>150</w:t>
            </w:r>
            <w:r w:rsidRPr="002D499A">
              <w:rPr>
                <w:rFonts w:asciiTheme="minorHAnsi" w:hAnsiTheme="minorHAnsi"/>
                <w:lang w:val="fr-FR"/>
              </w:rPr>
              <w:t> </w:t>
            </w:r>
            <w:r w:rsidR="0088481D" w:rsidRPr="002D499A">
              <w:rPr>
                <w:rFonts w:asciiTheme="minorHAnsi" w:hAnsiTheme="minorHAnsi"/>
                <w:lang w:val="fr-FR"/>
              </w:rPr>
              <w:t>million</w:t>
            </w:r>
            <w:r w:rsidRPr="002D499A">
              <w:rPr>
                <w:rFonts w:asciiTheme="minorHAnsi" w:hAnsiTheme="minorHAnsi"/>
                <w:lang w:val="fr-FR"/>
              </w:rPr>
              <w:t>s d’</w:t>
            </w:r>
            <w:r w:rsidR="0088481D" w:rsidRPr="002D499A">
              <w:rPr>
                <w:rFonts w:asciiTheme="minorHAnsi" w:hAnsiTheme="minorHAnsi"/>
                <w:lang w:val="fr-FR"/>
              </w:rPr>
              <w:t xml:space="preserve">hectares </w:t>
            </w:r>
            <w:r w:rsidRPr="002D499A">
              <w:rPr>
                <w:rFonts w:asciiTheme="minorHAnsi" w:hAnsiTheme="minorHAnsi"/>
                <w:lang w:val="fr-FR"/>
              </w:rPr>
              <w:t xml:space="preserve">en collaboration, pour réaliser la restauration des zones humides et des terres arides; </w:t>
            </w:r>
          </w:p>
          <w:p w14:paraId="2B976475" w14:textId="03DA9AB6" w:rsidR="0088481D" w:rsidRPr="002D499A" w:rsidRDefault="0008694B" w:rsidP="0008694B">
            <w:pPr>
              <w:pStyle w:val="ListParagraph"/>
              <w:numPr>
                <w:ilvl w:val="0"/>
                <w:numId w:val="32"/>
              </w:numPr>
              <w:autoSpaceDE w:val="0"/>
              <w:autoSpaceDN w:val="0"/>
              <w:adjustRightInd w:val="0"/>
              <w:ind w:left="318" w:hanging="284"/>
              <w:jc w:val="left"/>
              <w:rPr>
                <w:rFonts w:asciiTheme="minorHAnsi" w:hAnsiTheme="minorHAnsi"/>
                <w:lang w:val="fr-FR"/>
              </w:rPr>
            </w:pPr>
            <w:r w:rsidRPr="002D499A">
              <w:rPr>
                <w:rFonts w:asciiTheme="minorHAnsi" w:hAnsiTheme="minorHAnsi"/>
                <w:lang w:val="fr-FR"/>
              </w:rPr>
              <w:t>établir une plateforme appropriée pour la coopération visant à fournir un appui scientifique et technique ainsi qu’à faciliter l’accès aux ressources financières pour les pays touchés.</w:t>
            </w:r>
          </w:p>
        </w:tc>
        <w:tc>
          <w:tcPr>
            <w:tcW w:w="2977" w:type="dxa"/>
          </w:tcPr>
          <w:p w14:paraId="69F5B6CA" w14:textId="4D0C4EFE" w:rsidR="0088481D" w:rsidRPr="002D499A" w:rsidRDefault="0008694B" w:rsidP="0008694B">
            <w:pPr>
              <w:autoSpaceDE w:val="0"/>
              <w:autoSpaceDN w:val="0"/>
              <w:adjustRightInd w:val="0"/>
              <w:rPr>
                <w:rFonts w:asciiTheme="minorHAnsi" w:hAnsiTheme="minorHAnsi"/>
                <w:sz w:val="22"/>
                <w:szCs w:val="22"/>
                <w:lang w:val="fr-FR"/>
              </w:rPr>
            </w:pPr>
            <w:r w:rsidRPr="002D499A">
              <w:rPr>
                <w:rFonts w:asciiTheme="minorHAnsi" w:hAnsiTheme="minorHAnsi"/>
                <w:sz w:val="22"/>
                <w:szCs w:val="22"/>
                <w:lang w:val="fr-FR"/>
              </w:rPr>
              <w:t>Programme de travail et plan de travail conjoint annuel convenus sur des domaines d’intérêt commun et rapport, selon les besoins, au Comité permanent.</w:t>
            </w:r>
            <w:r w:rsidR="0088481D" w:rsidRPr="002D499A">
              <w:rPr>
                <w:rFonts w:asciiTheme="minorHAnsi" w:hAnsiTheme="minorHAnsi"/>
                <w:sz w:val="22"/>
                <w:szCs w:val="22"/>
                <w:lang w:val="fr-FR"/>
              </w:rPr>
              <w:t xml:space="preserve">   </w:t>
            </w:r>
          </w:p>
        </w:tc>
        <w:tc>
          <w:tcPr>
            <w:tcW w:w="1468" w:type="dxa"/>
          </w:tcPr>
          <w:p w14:paraId="12725EDE" w14:textId="5123EEDD" w:rsidR="0088481D" w:rsidRPr="002D499A" w:rsidRDefault="0008694B" w:rsidP="0088481D">
            <w:pPr>
              <w:autoSpaceDE w:val="0"/>
              <w:autoSpaceDN w:val="0"/>
              <w:adjustRightInd w:val="0"/>
              <w:rPr>
                <w:rFonts w:asciiTheme="minorHAnsi" w:hAnsiTheme="minorHAnsi"/>
                <w:sz w:val="22"/>
                <w:szCs w:val="22"/>
                <w:lang w:val="fr-FR"/>
              </w:rPr>
            </w:pPr>
            <w:r w:rsidRPr="002D499A">
              <w:rPr>
                <w:rFonts w:asciiTheme="minorHAnsi" w:hAnsiTheme="minorHAnsi"/>
                <w:sz w:val="22"/>
                <w:szCs w:val="22"/>
                <w:lang w:val="fr-FR"/>
              </w:rPr>
              <w:t>CP</w:t>
            </w:r>
            <w:r w:rsidR="0088481D" w:rsidRPr="002D499A">
              <w:rPr>
                <w:rFonts w:asciiTheme="minorHAnsi" w:hAnsiTheme="minorHAnsi"/>
                <w:sz w:val="22"/>
                <w:szCs w:val="22"/>
                <w:lang w:val="fr-FR"/>
              </w:rPr>
              <w:t>52, 53, 54</w:t>
            </w:r>
          </w:p>
        </w:tc>
      </w:tr>
      <w:tr w:rsidR="005522A4" w:rsidRPr="002D499A" w14:paraId="64BB5829" w14:textId="77777777" w:rsidTr="00D3141D">
        <w:tc>
          <w:tcPr>
            <w:tcW w:w="2042" w:type="dxa"/>
          </w:tcPr>
          <w:p w14:paraId="5CC06C89" w14:textId="4FECD3A0" w:rsidR="0088481D" w:rsidRPr="002D499A" w:rsidRDefault="0008694B" w:rsidP="0008694B">
            <w:pPr>
              <w:autoSpaceDE w:val="0"/>
              <w:autoSpaceDN w:val="0"/>
              <w:adjustRightInd w:val="0"/>
              <w:rPr>
                <w:rFonts w:asciiTheme="minorHAnsi" w:eastAsiaTheme="minorHAnsi" w:hAnsiTheme="minorHAnsi"/>
                <w:sz w:val="22"/>
                <w:szCs w:val="22"/>
                <w:lang w:val="fr-FR"/>
              </w:rPr>
            </w:pPr>
            <w:r w:rsidRPr="002D499A">
              <w:rPr>
                <w:rFonts w:asciiTheme="minorHAnsi" w:hAnsiTheme="minorHAnsi"/>
                <w:sz w:val="22"/>
                <w:szCs w:val="22"/>
                <w:lang w:val="fr-FR"/>
              </w:rPr>
              <w:t xml:space="preserve">Convention-cadre des Nations Unies sur les changements climatiques (CCNUCC) </w:t>
            </w:r>
          </w:p>
        </w:tc>
        <w:tc>
          <w:tcPr>
            <w:tcW w:w="7796" w:type="dxa"/>
          </w:tcPr>
          <w:p w14:paraId="5D10A0C1" w14:textId="28CFDDFF" w:rsidR="0088481D" w:rsidRPr="002D499A" w:rsidRDefault="0088481D" w:rsidP="00630B13">
            <w:pPr>
              <w:autoSpaceDE w:val="0"/>
              <w:autoSpaceDN w:val="0"/>
              <w:adjustRightInd w:val="0"/>
              <w:rPr>
                <w:rFonts w:asciiTheme="minorHAnsi" w:hAnsiTheme="minorHAnsi"/>
                <w:sz w:val="22"/>
                <w:szCs w:val="22"/>
                <w:lang w:val="fr-FR"/>
              </w:rPr>
            </w:pPr>
            <w:r w:rsidRPr="002D499A">
              <w:rPr>
                <w:rFonts w:asciiTheme="minorHAnsi" w:hAnsiTheme="minorHAnsi"/>
                <w:sz w:val="22"/>
                <w:szCs w:val="22"/>
                <w:lang w:val="fr-FR"/>
              </w:rPr>
              <w:t xml:space="preserve">Participation </w:t>
            </w:r>
            <w:r w:rsidR="00630B13" w:rsidRPr="002D499A">
              <w:rPr>
                <w:rFonts w:asciiTheme="minorHAnsi" w:hAnsiTheme="minorHAnsi"/>
                <w:sz w:val="22"/>
                <w:szCs w:val="22"/>
                <w:lang w:val="fr-FR"/>
              </w:rPr>
              <w:t>au GIEC</w:t>
            </w:r>
            <w:r w:rsidRPr="002D499A">
              <w:rPr>
                <w:rFonts w:asciiTheme="minorHAnsi" w:hAnsiTheme="minorHAnsi"/>
                <w:sz w:val="22"/>
                <w:szCs w:val="22"/>
                <w:lang w:val="fr-FR"/>
              </w:rPr>
              <w:t xml:space="preserve"> </w:t>
            </w:r>
            <w:r w:rsidR="0008694B" w:rsidRPr="002D499A">
              <w:rPr>
                <w:rFonts w:asciiTheme="minorHAnsi" w:hAnsiTheme="minorHAnsi"/>
                <w:sz w:val="22"/>
                <w:szCs w:val="22"/>
                <w:lang w:val="fr-FR"/>
              </w:rPr>
              <w:t xml:space="preserve">et préparation d’un Plan de travail conjoint </w:t>
            </w:r>
            <w:r w:rsidR="0008694B" w:rsidRPr="003A3716">
              <w:rPr>
                <w:rFonts w:asciiTheme="minorHAnsi" w:hAnsiTheme="minorHAnsi"/>
                <w:sz w:val="22"/>
                <w:szCs w:val="22"/>
                <w:lang w:val="fr-FR"/>
              </w:rPr>
              <w:t>dans le cadre Ramsar sur les changements climatiques.</w:t>
            </w:r>
            <w:r w:rsidR="0008694B" w:rsidRPr="002D499A">
              <w:rPr>
                <w:rFonts w:asciiTheme="minorHAnsi" w:hAnsiTheme="minorHAnsi"/>
                <w:sz w:val="22"/>
                <w:szCs w:val="22"/>
                <w:lang w:val="fr-FR"/>
              </w:rPr>
              <w:t xml:space="preserve"> </w:t>
            </w:r>
          </w:p>
        </w:tc>
        <w:tc>
          <w:tcPr>
            <w:tcW w:w="2977" w:type="dxa"/>
          </w:tcPr>
          <w:p w14:paraId="61F3F5E9" w14:textId="6765A83D" w:rsidR="0088481D" w:rsidRPr="002D499A" w:rsidRDefault="0008694B" w:rsidP="00630B13">
            <w:pPr>
              <w:autoSpaceDE w:val="0"/>
              <w:autoSpaceDN w:val="0"/>
              <w:adjustRightInd w:val="0"/>
              <w:rPr>
                <w:rFonts w:asciiTheme="minorHAnsi" w:hAnsiTheme="minorHAnsi"/>
                <w:sz w:val="22"/>
                <w:szCs w:val="22"/>
                <w:lang w:val="fr-FR"/>
              </w:rPr>
            </w:pPr>
            <w:r w:rsidRPr="002D499A">
              <w:rPr>
                <w:rFonts w:asciiTheme="minorHAnsi" w:hAnsiTheme="minorHAnsi"/>
                <w:sz w:val="22"/>
                <w:szCs w:val="22"/>
                <w:lang w:val="fr-FR"/>
              </w:rPr>
              <w:t xml:space="preserve">Accords sur les domaines de travail en collaboration avec </w:t>
            </w:r>
            <w:r w:rsidR="00630B13" w:rsidRPr="002D499A">
              <w:rPr>
                <w:rFonts w:asciiTheme="minorHAnsi" w:hAnsiTheme="minorHAnsi"/>
                <w:sz w:val="22"/>
                <w:szCs w:val="22"/>
                <w:lang w:val="fr-FR"/>
              </w:rPr>
              <w:t>le GIEC</w:t>
            </w:r>
            <w:r w:rsidRPr="002D499A">
              <w:rPr>
                <w:rFonts w:asciiTheme="minorHAnsi" w:hAnsiTheme="minorHAnsi"/>
                <w:sz w:val="22"/>
                <w:szCs w:val="22"/>
                <w:lang w:val="fr-FR"/>
              </w:rPr>
              <w:t xml:space="preserve"> et Plan de travail conjoint avec la CCNUCC préparé. </w:t>
            </w:r>
          </w:p>
        </w:tc>
        <w:tc>
          <w:tcPr>
            <w:tcW w:w="1468" w:type="dxa"/>
          </w:tcPr>
          <w:p w14:paraId="672DD7C4" w14:textId="1AB19C9C" w:rsidR="0088481D" w:rsidRPr="002D499A" w:rsidRDefault="0008694B" w:rsidP="0088481D">
            <w:pPr>
              <w:autoSpaceDE w:val="0"/>
              <w:autoSpaceDN w:val="0"/>
              <w:adjustRightInd w:val="0"/>
              <w:rPr>
                <w:rFonts w:asciiTheme="minorHAnsi" w:hAnsiTheme="minorHAnsi"/>
                <w:sz w:val="22"/>
                <w:szCs w:val="22"/>
                <w:lang w:val="fr-FR"/>
              </w:rPr>
            </w:pPr>
            <w:r w:rsidRPr="002D499A">
              <w:rPr>
                <w:rFonts w:asciiTheme="minorHAnsi" w:hAnsiTheme="minorHAnsi"/>
                <w:sz w:val="22"/>
                <w:szCs w:val="22"/>
                <w:lang w:val="fr-FR"/>
              </w:rPr>
              <w:t>CP</w:t>
            </w:r>
            <w:r w:rsidR="0088481D" w:rsidRPr="002D499A">
              <w:rPr>
                <w:rFonts w:asciiTheme="minorHAnsi" w:hAnsiTheme="minorHAnsi"/>
                <w:sz w:val="22"/>
                <w:szCs w:val="22"/>
                <w:lang w:val="fr-FR"/>
              </w:rPr>
              <w:t xml:space="preserve">52, 53. 54 </w:t>
            </w:r>
          </w:p>
        </w:tc>
      </w:tr>
    </w:tbl>
    <w:p w14:paraId="0232148F" w14:textId="77777777" w:rsidR="00936945" w:rsidRPr="002D499A" w:rsidRDefault="00936945" w:rsidP="00D56300">
      <w:pPr>
        <w:autoSpaceDE w:val="0"/>
        <w:autoSpaceDN w:val="0"/>
        <w:adjustRightInd w:val="0"/>
        <w:rPr>
          <w:rFonts w:asciiTheme="minorHAnsi" w:hAnsiTheme="minorHAnsi"/>
          <w:sz w:val="22"/>
          <w:szCs w:val="22"/>
          <w:lang w:val="fr-FR"/>
        </w:rPr>
      </w:pPr>
    </w:p>
    <w:sectPr w:rsidR="00936945" w:rsidRPr="002D499A" w:rsidSect="005522A4">
      <w:footerReference w:type="default" r:id="rId10"/>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6B798" w14:textId="77777777" w:rsidR="00EE734F" w:rsidRDefault="00EE734F" w:rsidP="00FF697B">
      <w:r>
        <w:separator/>
      </w:r>
    </w:p>
  </w:endnote>
  <w:endnote w:type="continuationSeparator" w:id="0">
    <w:p w14:paraId="3A7FC607" w14:textId="77777777" w:rsidR="00EE734F" w:rsidRDefault="00EE734F" w:rsidP="00FF697B">
      <w:r>
        <w:continuationSeparator/>
      </w:r>
    </w:p>
  </w:endnote>
  <w:endnote w:type="continuationNotice" w:id="1">
    <w:p w14:paraId="7E19F645" w14:textId="77777777" w:rsidR="00EE734F" w:rsidRDefault="00EE73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742995360"/>
      <w:docPartObj>
        <w:docPartGallery w:val="Page Numbers (Bottom of Page)"/>
        <w:docPartUnique/>
      </w:docPartObj>
    </w:sdtPr>
    <w:sdtEndPr/>
    <w:sdtContent>
      <w:p w14:paraId="564B687F" w14:textId="44461B2B" w:rsidR="002A65F4" w:rsidRPr="002714E9" w:rsidRDefault="002A65F4" w:rsidP="006453C4">
        <w:pPr>
          <w:pStyle w:val="Footer"/>
          <w:tabs>
            <w:tab w:val="clear" w:pos="9360"/>
            <w:tab w:val="right" w:pos="9072"/>
          </w:tabs>
          <w:rPr>
            <w:rFonts w:asciiTheme="minorHAnsi" w:hAnsiTheme="minorHAnsi"/>
            <w:sz w:val="20"/>
            <w:szCs w:val="20"/>
          </w:rPr>
        </w:pPr>
        <w:r>
          <w:rPr>
            <w:rFonts w:asciiTheme="minorHAnsi" w:hAnsiTheme="minorHAnsi"/>
            <w:sz w:val="20"/>
            <w:szCs w:val="20"/>
          </w:rPr>
          <w:t>SC51-</w:t>
        </w:r>
        <w:r w:rsidR="005522A4">
          <w:rPr>
            <w:rFonts w:asciiTheme="minorHAnsi" w:hAnsiTheme="minorHAnsi"/>
            <w:sz w:val="20"/>
            <w:szCs w:val="20"/>
          </w:rPr>
          <w:t>10</w:t>
        </w:r>
        <w:r>
          <w:rPr>
            <w:rFonts w:asciiTheme="minorHAnsi" w:hAnsiTheme="minorHAnsi"/>
            <w:sz w:val="20"/>
            <w:szCs w:val="20"/>
          </w:rPr>
          <w:tab/>
        </w:r>
        <w:r>
          <w:rPr>
            <w:rFonts w:asciiTheme="minorHAnsi" w:hAnsiTheme="minorHAnsi"/>
            <w:sz w:val="20"/>
            <w:szCs w:val="20"/>
          </w:rPr>
          <w:tab/>
        </w:r>
        <w:r w:rsidRPr="006B6339">
          <w:rPr>
            <w:rFonts w:asciiTheme="minorHAnsi" w:hAnsiTheme="minorHAnsi"/>
            <w:sz w:val="20"/>
            <w:szCs w:val="20"/>
          </w:rPr>
          <w:fldChar w:fldCharType="begin"/>
        </w:r>
        <w:r w:rsidRPr="006B6339">
          <w:rPr>
            <w:rFonts w:asciiTheme="minorHAnsi" w:hAnsiTheme="minorHAnsi"/>
            <w:sz w:val="20"/>
            <w:szCs w:val="20"/>
          </w:rPr>
          <w:instrText xml:space="preserve"> PAGE   \* MERGEFORMAT </w:instrText>
        </w:r>
        <w:r w:rsidRPr="006B6339">
          <w:rPr>
            <w:rFonts w:asciiTheme="minorHAnsi" w:hAnsiTheme="minorHAnsi"/>
            <w:sz w:val="20"/>
            <w:szCs w:val="20"/>
          </w:rPr>
          <w:fldChar w:fldCharType="separate"/>
        </w:r>
        <w:r w:rsidR="006453C4">
          <w:rPr>
            <w:rFonts w:asciiTheme="minorHAnsi" w:hAnsiTheme="minorHAnsi"/>
            <w:noProof/>
            <w:sz w:val="20"/>
            <w:szCs w:val="20"/>
          </w:rPr>
          <w:t>2</w:t>
        </w:r>
        <w:r w:rsidRPr="006B6339">
          <w:rPr>
            <w:rFonts w:asciiTheme="minorHAnsi" w:hAnsiTheme="minorHAnsi"/>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486939314"/>
      <w:docPartObj>
        <w:docPartGallery w:val="Page Numbers (Bottom of Page)"/>
        <w:docPartUnique/>
      </w:docPartObj>
    </w:sdtPr>
    <w:sdtEndPr/>
    <w:sdtContent>
      <w:p w14:paraId="20FC02BB" w14:textId="77777777" w:rsidR="005522A4" w:rsidRPr="002714E9" w:rsidRDefault="005522A4" w:rsidP="005522A4">
        <w:pPr>
          <w:pStyle w:val="Footer"/>
          <w:tabs>
            <w:tab w:val="clear" w:pos="9360"/>
            <w:tab w:val="right" w:pos="14175"/>
          </w:tabs>
          <w:rPr>
            <w:rFonts w:asciiTheme="minorHAnsi" w:hAnsiTheme="minorHAnsi"/>
            <w:sz w:val="20"/>
            <w:szCs w:val="20"/>
          </w:rPr>
        </w:pPr>
        <w:r>
          <w:rPr>
            <w:rFonts w:asciiTheme="minorHAnsi" w:hAnsiTheme="minorHAnsi"/>
            <w:sz w:val="20"/>
            <w:szCs w:val="20"/>
          </w:rPr>
          <w:t>SC51-10</w:t>
        </w:r>
        <w:r>
          <w:rPr>
            <w:rFonts w:asciiTheme="minorHAnsi" w:hAnsiTheme="minorHAnsi"/>
            <w:sz w:val="20"/>
            <w:szCs w:val="20"/>
          </w:rPr>
          <w:tab/>
        </w:r>
        <w:r>
          <w:rPr>
            <w:rFonts w:asciiTheme="minorHAnsi" w:hAnsiTheme="minorHAnsi"/>
            <w:sz w:val="20"/>
            <w:szCs w:val="20"/>
          </w:rPr>
          <w:tab/>
        </w:r>
        <w:r w:rsidRPr="006B6339">
          <w:rPr>
            <w:rFonts w:asciiTheme="minorHAnsi" w:hAnsiTheme="minorHAnsi"/>
            <w:sz w:val="20"/>
            <w:szCs w:val="20"/>
          </w:rPr>
          <w:fldChar w:fldCharType="begin"/>
        </w:r>
        <w:r w:rsidRPr="006B6339">
          <w:rPr>
            <w:rFonts w:asciiTheme="minorHAnsi" w:hAnsiTheme="minorHAnsi"/>
            <w:sz w:val="20"/>
            <w:szCs w:val="20"/>
          </w:rPr>
          <w:instrText xml:space="preserve"> PAGE   \* MERGEFORMAT </w:instrText>
        </w:r>
        <w:r w:rsidRPr="006B6339">
          <w:rPr>
            <w:rFonts w:asciiTheme="minorHAnsi" w:hAnsiTheme="minorHAnsi"/>
            <w:sz w:val="20"/>
            <w:szCs w:val="20"/>
          </w:rPr>
          <w:fldChar w:fldCharType="separate"/>
        </w:r>
        <w:r w:rsidR="006453C4">
          <w:rPr>
            <w:rFonts w:asciiTheme="minorHAnsi" w:hAnsiTheme="minorHAnsi"/>
            <w:noProof/>
            <w:sz w:val="20"/>
            <w:szCs w:val="20"/>
          </w:rPr>
          <w:t>6</w:t>
        </w:r>
        <w:r w:rsidRPr="006B6339">
          <w:rPr>
            <w:rFonts w:asciiTheme="minorHAnsi" w:hAnsiTheme="minorHAns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8DB4E" w14:textId="77777777" w:rsidR="00EE734F" w:rsidRDefault="00EE734F" w:rsidP="00FF697B">
      <w:r>
        <w:separator/>
      </w:r>
    </w:p>
  </w:footnote>
  <w:footnote w:type="continuationSeparator" w:id="0">
    <w:p w14:paraId="45AAFE39" w14:textId="77777777" w:rsidR="00EE734F" w:rsidRDefault="00EE734F" w:rsidP="00FF697B">
      <w:r>
        <w:continuationSeparator/>
      </w:r>
    </w:p>
  </w:footnote>
  <w:footnote w:type="continuationNotice" w:id="1">
    <w:p w14:paraId="1027DE50" w14:textId="77777777" w:rsidR="00EE734F" w:rsidRDefault="00EE734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F2E"/>
    <w:multiLevelType w:val="hybridMultilevel"/>
    <w:tmpl w:val="98A0BFD8"/>
    <w:lvl w:ilvl="0" w:tplc="6DEEB5FE">
      <w:start w:val="1"/>
      <w:numFmt w:val="low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B52D0B"/>
    <w:multiLevelType w:val="hybridMultilevel"/>
    <w:tmpl w:val="8C38CF18"/>
    <w:lvl w:ilvl="0" w:tplc="E438E3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EE3E43"/>
    <w:multiLevelType w:val="hybridMultilevel"/>
    <w:tmpl w:val="256AD27C"/>
    <w:lvl w:ilvl="0" w:tplc="0C9C0494">
      <w:numFmt w:val="bullet"/>
      <w:lvlText w:val="•"/>
      <w:lvlJc w:val="left"/>
      <w:pPr>
        <w:ind w:left="1080" w:hanging="360"/>
      </w:pPr>
      <w:rPr>
        <w:rFonts w:ascii="Calibri" w:eastAsiaTheme="minorHAnsi" w:hAnsi="Calibri" w:cs="Palatino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C4334E"/>
    <w:multiLevelType w:val="hybridMultilevel"/>
    <w:tmpl w:val="5C989A58"/>
    <w:lvl w:ilvl="0" w:tplc="BC12AE0A">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7D3F26"/>
    <w:multiLevelType w:val="hybridMultilevel"/>
    <w:tmpl w:val="9E189A68"/>
    <w:lvl w:ilvl="0" w:tplc="0809000F">
      <w:start w:val="1"/>
      <w:numFmt w:val="decimal"/>
      <w:lvlText w:val="%1."/>
      <w:lvlJc w:val="left"/>
      <w:pPr>
        <w:ind w:left="720" w:hanging="360"/>
      </w:pPr>
    </w:lvl>
    <w:lvl w:ilvl="1" w:tplc="9EE0719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4934B3"/>
    <w:multiLevelType w:val="hybridMultilevel"/>
    <w:tmpl w:val="C9A2DC82"/>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1909173C"/>
    <w:multiLevelType w:val="hybridMultilevel"/>
    <w:tmpl w:val="FF4496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7A5F5D"/>
    <w:multiLevelType w:val="hybridMultilevel"/>
    <w:tmpl w:val="08CCE2C2"/>
    <w:lvl w:ilvl="0" w:tplc="E438E3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1C0529"/>
    <w:multiLevelType w:val="hybridMultilevel"/>
    <w:tmpl w:val="B4824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84129E"/>
    <w:multiLevelType w:val="hybridMultilevel"/>
    <w:tmpl w:val="C2723764"/>
    <w:lvl w:ilvl="0" w:tplc="0C9C0494">
      <w:numFmt w:val="bullet"/>
      <w:lvlText w:val="•"/>
      <w:lvlJc w:val="left"/>
      <w:pPr>
        <w:ind w:left="1506" w:hanging="360"/>
      </w:pPr>
      <w:rPr>
        <w:rFonts w:ascii="Calibri" w:eastAsiaTheme="minorHAnsi" w:hAnsi="Calibri" w:cs="Palatino Linotype"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217778D0"/>
    <w:multiLevelType w:val="hybridMultilevel"/>
    <w:tmpl w:val="E0EC3DA8"/>
    <w:lvl w:ilvl="0" w:tplc="7AF2F740">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1">
    <w:nsid w:val="22654747"/>
    <w:multiLevelType w:val="hybridMultilevel"/>
    <w:tmpl w:val="A116349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51F3E75"/>
    <w:multiLevelType w:val="hybridMultilevel"/>
    <w:tmpl w:val="6D62D9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5B4E8C"/>
    <w:multiLevelType w:val="hybridMultilevel"/>
    <w:tmpl w:val="BFBE82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A91C17"/>
    <w:multiLevelType w:val="hybridMultilevel"/>
    <w:tmpl w:val="85AA5D0E"/>
    <w:lvl w:ilvl="0" w:tplc="08090019">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5">
    <w:nsid w:val="2DDD3985"/>
    <w:multiLevelType w:val="hybridMultilevel"/>
    <w:tmpl w:val="D87E1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E47FBE"/>
    <w:multiLevelType w:val="hybridMultilevel"/>
    <w:tmpl w:val="85AA5D0E"/>
    <w:lvl w:ilvl="0" w:tplc="08090019">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7">
    <w:nsid w:val="330E4FF5"/>
    <w:multiLevelType w:val="hybridMultilevel"/>
    <w:tmpl w:val="7212B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8282480"/>
    <w:multiLevelType w:val="hybridMultilevel"/>
    <w:tmpl w:val="1230011A"/>
    <w:lvl w:ilvl="0" w:tplc="D77EA9D4">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9116F21"/>
    <w:multiLevelType w:val="hybridMultilevel"/>
    <w:tmpl w:val="40DC87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15C184B"/>
    <w:multiLevelType w:val="hybridMultilevel"/>
    <w:tmpl w:val="A1B89946"/>
    <w:lvl w:ilvl="0" w:tplc="05947E0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ED3A1A"/>
    <w:multiLevelType w:val="hybridMultilevel"/>
    <w:tmpl w:val="1E46C4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3F1F7F"/>
    <w:multiLevelType w:val="hybridMultilevel"/>
    <w:tmpl w:val="697C10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462977"/>
    <w:multiLevelType w:val="hybridMultilevel"/>
    <w:tmpl w:val="C71E5C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F5C2886"/>
    <w:multiLevelType w:val="hybridMultilevel"/>
    <w:tmpl w:val="AAC4930A"/>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nsid w:val="68043990"/>
    <w:multiLevelType w:val="hybridMultilevel"/>
    <w:tmpl w:val="F2DC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E5101C"/>
    <w:multiLevelType w:val="hybridMultilevel"/>
    <w:tmpl w:val="5E9CE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11633EE"/>
    <w:multiLevelType w:val="hybridMultilevel"/>
    <w:tmpl w:val="3A2C3A8E"/>
    <w:lvl w:ilvl="0" w:tplc="10BEC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A51DB6"/>
    <w:multiLevelType w:val="hybridMultilevel"/>
    <w:tmpl w:val="08CCE2C2"/>
    <w:lvl w:ilvl="0" w:tplc="E438E3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6F5791B"/>
    <w:multiLevelType w:val="hybridMultilevel"/>
    <w:tmpl w:val="C4FA3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73049A6"/>
    <w:multiLevelType w:val="hybridMultilevel"/>
    <w:tmpl w:val="642EA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7402A92"/>
    <w:multiLevelType w:val="hybridMultilevel"/>
    <w:tmpl w:val="CBAE5578"/>
    <w:lvl w:ilvl="0" w:tplc="783E8410">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B8B5CDE"/>
    <w:multiLevelType w:val="hybridMultilevel"/>
    <w:tmpl w:val="034A6B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BFE174C"/>
    <w:multiLevelType w:val="hybridMultilevel"/>
    <w:tmpl w:val="C58AF338"/>
    <w:lvl w:ilvl="0" w:tplc="7AF2F74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9"/>
  </w:num>
  <w:num w:numId="3">
    <w:abstractNumId w:val="13"/>
  </w:num>
  <w:num w:numId="4">
    <w:abstractNumId w:val="2"/>
  </w:num>
  <w:num w:numId="5">
    <w:abstractNumId w:val="9"/>
  </w:num>
  <w:num w:numId="6">
    <w:abstractNumId w:val="5"/>
  </w:num>
  <w:num w:numId="7">
    <w:abstractNumId w:val="24"/>
  </w:num>
  <w:num w:numId="8">
    <w:abstractNumId w:val="4"/>
  </w:num>
  <w:num w:numId="9">
    <w:abstractNumId w:val="11"/>
  </w:num>
  <w:num w:numId="10">
    <w:abstractNumId w:val="29"/>
  </w:num>
  <w:num w:numId="11">
    <w:abstractNumId w:val="17"/>
  </w:num>
  <w:num w:numId="12">
    <w:abstractNumId w:val="25"/>
  </w:num>
  <w:num w:numId="13">
    <w:abstractNumId w:val="22"/>
  </w:num>
  <w:num w:numId="14">
    <w:abstractNumId w:val="8"/>
  </w:num>
  <w:num w:numId="15">
    <w:abstractNumId w:val="31"/>
  </w:num>
  <w:num w:numId="16">
    <w:abstractNumId w:val="32"/>
  </w:num>
  <w:num w:numId="17">
    <w:abstractNumId w:val="10"/>
  </w:num>
  <w:num w:numId="18">
    <w:abstractNumId w:val="33"/>
  </w:num>
  <w:num w:numId="19">
    <w:abstractNumId w:val="3"/>
  </w:num>
  <w:num w:numId="20">
    <w:abstractNumId w:val="30"/>
  </w:num>
  <w:num w:numId="21">
    <w:abstractNumId w:val="26"/>
  </w:num>
  <w:num w:numId="22">
    <w:abstractNumId w:val="18"/>
  </w:num>
  <w:num w:numId="23">
    <w:abstractNumId w:val="20"/>
  </w:num>
  <w:num w:numId="24">
    <w:abstractNumId w:val="16"/>
  </w:num>
  <w:num w:numId="25">
    <w:abstractNumId w:val="14"/>
  </w:num>
  <w:num w:numId="26">
    <w:abstractNumId w:val="0"/>
  </w:num>
  <w:num w:numId="27">
    <w:abstractNumId w:val="6"/>
  </w:num>
  <w:num w:numId="28">
    <w:abstractNumId w:val="23"/>
  </w:num>
  <w:num w:numId="29">
    <w:abstractNumId w:val="12"/>
  </w:num>
  <w:num w:numId="30">
    <w:abstractNumId w:val="21"/>
  </w:num>
  <w:num w:numId="31">
    <w:abstractNumId w:val="28"/>
  </w:num>
  <w:num w:numId="32">
    <w:abstractNumId w:val="15"/>
  </w:num>
  <w:num w:numId="33">
    <w:abstractNumId w:val="1"/>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Formatting/>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B1"/>
    <w:rsid w:val="000119F7"/>
    <w:rsid w:val="00015F2A"/>
    <w:rsid w:val="00032C51"/>
    <w:rsid w:val="00033522"/>
    <w:rsid w:val="00041AFD"/>
    <w:rsid w:val="00051CDC"/>
    <w:rsid w:val="0005674C"/>
    <w:rsid w:val="00057770"/>
    <w:rsid w:val="00057E15"/>
    <w:rsid w:val="0007091C"/>
    <w:rsid w:val="000728A7"/>
    <w:rsid w:val="00073599"/>
    <w:rsid w:val="0007671F"/>
    <w:rsid w:val="00080B42"/>
    <w:rsid w:val="000815CF"/>
    <w:rsid w:val="00081961"/>
    <w:rsid w:val="0008694B"/>
    <w:rsid w:val="00092540"/>
    <w:rsid w:val="00094BDE"/>
    <w:rsid w:val="000A170F"/>
    <w:rsid w:val="000A5223"/>
    <w:rsid w:val="000A6728"/>
    <w:rsid w:val="000A6883"/>
    <w:rsid w:val="000A6FA8"/>
    <w:rsid w:val="000B3C8C"/>
    <w:rsid w:val="000B4FCC"/>
    <w:rsid w:val="000C7803"/>
    <w:rsid w:val="000D702D"/>
    <w:rsid w:val="000E0DD8"/>
    <w:rsid w:val="000E19EC"/>
    <w:rsid w:val="000F1D6E"/>
    <w:rsid w:val="001006BE"/>
    <w:rsid w:val="00100888"/>
    <w:rsid w:val="00104BBE"/>
    <w:rsid w:val="0010584A"/>
    <w:rsid w:val="0011563D"/>
    <w:rsid w:val="00116882"/>
    <w:rsid w:val="00117941"/>
    <w:rsid w:val="001233DE"/>
    <w:rsid w:val="001348B6"/>
    <w:rsid w:val="0013737A"/>
    <w:rsid w:val="00141F99"/>
    <w:rsid w:val="00146F43"/>
    <w:rsid w:val="001553B5"/>
    <w:rsid w:val="00172DDC"/>
    <w:rsid w:val="0017359A"/>
    <w:rsid w:val="00174630"/>
    <w:rsid w:val="001803EE"/>
    <w:rsid w:val="00183A30"/>
    <w:rsid w:val="001A0160"/>
    <w:rsid w:val="001B7AD6"/>
    <w:rsid w:val="001C02DA"/>
    <w:rsid w:val="001C64CD"/>
    <w:rsid w:val="001C7254"/>
    <w:rsid w:val="001D0F43"/>
    <w:rsid w:val="001D265C"/>
    <w:rsid w:val="001D4A5C"/>
    <w:rsid w:val="001E3547"/>
    <w:rsid w:val="001F1FBB"/>
    <w:rsid w:val="00212D24"/>
    <w:rsid w:val="00243645"/>
    <w:rsid w:val="002447E7"/>
    <w:rsid w:val="002514F1"/>
    <w:rsid w:val="002646FA"/>
    <w:rsid w:val="00265195"/>
    <w:rsid w:val="002660B1"/>
    <w:rsid w:val="002714E9"/>
    <w:rsid w:val="002835A3"/>
    <w:rsid w:val="002934B0"/>
    <w:rsid w:val="002953F3"/>
    <w:rsid w:val="002A65F4"/>
    <w:rsid w:val="002B1E27"/>
    <w:rsid w:val="002B42B8"/>
    <w:rsid w:val="002B7D26"/>
    <w:rsid w:val="002C0479"/>
    <w:rsid w:val="002C0555"/>
    <w:rsid w:val="002C1151"/>
    <w:rsid w:val="002C537A"/>
    <w:rsid w:val="002D499A"/>
    <w:rsid w:val="002D6856"/>
    <w:rsid w:val="002E19F0"/>
    <w:rsid w:val="002E1DF2"/>
    <w:rsid w:val="002E64DF"/>
    <w:rsid w:val="002F58A7"/>
    <w:rsid w:val="00324A0D"/>
    <w:rsid w:val="0032502F"/>
    <w:rsid w:val="00325679"/>
    <w:rsid w:val="00326F22"/>
    <w:rsid w:val="003320A7"/>
    <w:rsid w:val="00337C92"/>
    <w:rsid w:val="003417FD"/>
    <w:rsid w:val="00344C05"/>
    <w:rsid w:val="00376063"/>
    <w:rsid w:val="00376DDC"/>
    <w:rsid w:val="00382E89"/>
    <w:rsid w:val="003915FB"/>
    <w:rsid w:val="00391C56"/>
    <w:rsid w:val="00392E1D"/>
    <w:rsid w:val="003A3716"/>
    <w:rsid w:val="003B050A"/>
    <w:rsid w:val="003B253B"/>
    <w:rsid w:val="003B5014"/>
    <w:rsid w:val="003C128F"/>
    <w:rsid w:val="003C20FF"/>
    <w:rsid w:val="003C6A54"/>
    <w:rsid w:val="003E0E4E"/>
    <w:rsid w:val="003E11F9"/>
    <w:rsid w:val="003E6F76"/>
    <w:rsid w:val="003F2F88"/>
    <w:rsid w:val="003F7B34"/>
    <w:rsid w:val="00400BE4"/>
    <w:rsid w:val="0040531D"/>
    <w:rsid w:val="004070EF"/>
    <w:rsid w:val="00434554"/>
    <w:rsid w:val="004427DB"/>
    <w:rsid w:val="00446641"/>
    <w:rsid w:val="00457E6A"/>
    <w:rsid w:val="004731DE"/>
    <w:rsid w:val="004748C3"/>
    <w:rsid w:val="004819CC"/>
    <w:rsid w:val="00482DC9"/>
    <w:rsid w:val="00487333"/>
    <w:rsid w:val="004A08F0"/>
    <w:rsid w:val="004B4F43"/>
    <w:rsid w:val="004C3C9F"/>
    <w:rsid w:val="004C4C7E"/>
    <w:rsid w:val="004C7A23"/>
    <w:rsid w:val="004D7848"/>
    <w:rsid w:val="004E1F6C"/>
    <w:rsid w:val="004F034D"/>
    <w:rsid w:val="004F5DCB"/>
    <w:rsid w:val="004F5DCD"/>
    <w:rsid w:val="004F6FD2"/>
    <w:rsid w:val="00500752"/>
    <w:rsid w:val="00504F5D"/>
    <w:rsid w:val="005060BD"/>
    <w:rsid w:val="005153CF"/>
    <w:rsid w:val="005312F9"/>
    <w:rsid w:val="00533213"/>
    <w:rsid w:val="00534542"/>
    <w:rsid w:val="00536ED0"/>
    <w:rsid w:val="0053736B"/>
    <w:rsid w:val="00545DA3"/>
    <w:rsid w:val="005502D2"/>
    <w:rsid w:val="005518CD"/>
    <w:rsid w:val="005522A4"/>
    <w:rsid w:val="005526B6"/>
    <w:rsid w:val="00552FAB"/>
    <w:rsid w:val="005630B6"/>
    <w:rsid w:val="005667AA"/>
    <w:rsid w:val="00581EC3"/>
    <w:rsid w:val="00582948"/>
    <w:rsid w:val="00587498"/>
    <w:rsid w:val="00590622"/>
    <w:rsid w:val="00592107"/>
    <w:rsid w:val="00596A96"/>
    <w:rsid w:val="005A4493"/>
    <w:rsid w:val="005B581C"/>
    <w:rsid w:val="005B769D"/>
    <w:rsid w:val="005D09D4"/>
    <w:rsid w:val="005D2A79"/>
    <w:rsid w:val="005D5FFC"/>
    <w:rsid w:val="005D7F8A"/>
    <w:rsid w:val="005E538D"/>
    <w:rsid w:val="005E7618"/>
    <w:rsid w:val="005F4ABE"/>
    <w:rsid w:val="00617BD2"/>
    <w:rsid w:val="00630B13"/>
    <w:rsid w:val="00631532"/>
    <w:rsid w:val="006453C4"/>
    <w:rsid w:val="0064540F"/>
    <w:rsid w:val="00645412"/>
    <w:rsid w:val="00645FEF"/>
    <w:rsid w:val="0064751D"/>
    <w:rsid w:val="00651E2D"/>
    <w:rsid w:val="00654113"/>
    <w:rsid w:val="00657000"/>
    <w:rsid w:val="00667F55"/>
    <w:rsid w:val="006820B0"/>
    <w:rsid w:val="00685DA0"/>
    <w:rsid w:val="00694AC4"/>
    <w:rsid w:val="006961B7"/>
    <w:rsid w:val="006A1FBD"/>
    <w:rsid w:val="006A4A76"/>
    <w:rsid w:val="006B4949"/>
    <w:rsid w:val="006B6339"/>
    <w:rsid w:val="006D0C5F"/>
    <w:rsid w:val="006D12B3"/>
    <w:rsid w:val="006E19DD"/>
    <w:rsid w:val="006E3610"/>
    <w:rsid w:val="006F4786"/>
    <w:rsid w:val="00700E50"/>
    <w:rsid w:val="00706E05"/>
    <w:rsid w:val="00720D5C"/>
    <w:rsid w:val="00760D4B"/>
    <w:rsid w:val="00764684"/>
    <w:rsid w:val="00771876"/>
    <w:rsid w:val="00776D8F"/>
    <w:rsid w:val="00776F3B"/>
    <w:rsid w:val="00782506"/>
    <w:rsid w:val="007831BE"/>
    <w:rsid w:val="00787545"/>
    <w:rsid w:val="007A16D7"/>
    <w:rsid w:val="007A5606"/>
    <w:rsid w:val="007A5A2B"/>
    <w:rsid w:val="007A738C"/>
    <w:rsid w:val="007B419C"/>
    <w:rsid w:val="007E17E6"/>
    <w:rsid w:val="007E615D"/>
    <w:rsid w:val="007E7B4D"/>
    <w:rsid w:val="007F1BF9"/>
    <w:rsid w:val="007F1E7B"/>
    <w:rsid w:val="007F38E9"/>
    <w:rsid w:val="007F4615"/>
    <w:rsid w:val="00803E9B"/>
    <w:rsid w:val="00806209"/>
    <w:rsid w:val="00806CA6"/>
    <w:rsid w:val="00810F0C"/>
    <w:rsid w:val="00812CC5"/>
    <w:rsid w:val="008200FA"/>
    <w:rsid w:val="0082444A"/>
    <w:rsid w:val="00832899"/>
    <w:rsid w:val="00837832"/>
    <w:rsid w:val="00851C91"/>
    <w:rsid w:val="00863FEF"/>
    <w:rsid w:val="00870DF6"/>
    <w:rsid w:val="008723F0"/>
    <w:rsid w:val="00872A6F"/>
    <w:rsid w:val="00873D23"/>
    <w:rsid w:val="008769EA"/>
    <w:rsid w:val="0088481D"/>
    <w:rsid w:val="00892E1A"/>
    <w:rsid w:val="00896DF7"/>
    <w:rsid w:val="008A347F"/>
    <w:rsid w:val="008A43C7"/>
    <w:rsid w:val="008A6402"/>
    <w:rsid w:val="008A769A"/>
    <w:rsid w:val="008B2CBB"/>
    <w:rsid w:val="008C0144"/>
    <w:rsid w:val="008C445B"/>
    <w:rsid w:val="008C6DF8"/>
    <w:rsid w:val="008D14FE"/>
    <w:rsid w:val="008E03AA"/>
    <w:rsid w:val="008E23DC"/>
    <w:rsid w:val="008E4ED0"/>
    <w:rsid w:val="008E7A2A"/>
    <w:rsid w:val="00912820"/>
    <w:rsid w:val="009157D4"/>
    <w:rsid w:val="0092099E"/>
    <w:rsid w:val="00920D91"/>
    <w:rsid w:val="009211DF"/>
    <w:rsid w:val="00930B2F"/>
    <w:rsid w:val="00936945"/>
    <w:rsid w:val="00941D6F"/>
    <w:rsid w:val="00952C58"/>
    <w:rsid w:val="00954E10"/>
    <w:rsid w:val="00955DFF"/>
    <w:rsid w:val="00987A98"/>
    <w:rsid w:val="009D1E33"/>
    <w:rsid w:val="009D4081"/>
    <w:rsid w:val="009D7EE2"/>
    <w:rsid w:val="009F1447"/>
    <w:rsid w:val="00A018CD"/>
    <w:rsid w:val="00A01A4C"/>
    <w:rsid w:val="00A01C38"/>
    <w:rsid w:val="00A02F36"/>
    <w:rsid w:val="00A07D4F"/>
    <w:rsid w:val="00A10C01"/>
    <w:rsid w:val="00A14906"/>
    <w:rsid w:val="00A158A4"/>
    <w:rsid w:val="00A16BDF"/>
    <w:rsid w:val="00A222EB"/>
    <w:rsid w:val="00A228B2"/>
    <w:rsid w:val="00A36B41"/>
    <w:rsid w:val="00A43C7D"/>
    <w:rsid w:val="00A46E45"/>
    <w:rsid w:val="00A55093"/>
    <w:rsid w:val="00A6690C"/>
    <w:rsid w:val="00A8614B"/>
    <w:rsid w:val="00AA5FEC"/>
    <w:rsid w:val="00AB28A1"/>
    <w:rsid w:val="00AB674B"/>
    <w:rsid w:val="00AB7590"/>
    <w:rsid w:val="00AC669A"/>
    <w:rsid w:val="00AD39A4"/>
    <w:rsid w:val="00AE05E7"/>
    <w:rsid w:val="00AE6962"/>
    <w:rsid w:val="00AF043A"/>
    <w:rsid w:val="00AF08E6"/>
    <w:rsid w:val="00AF2442"/>
    <w:rsid w:val="00AF391D"/>
    <w:rsid w:val="00AF63F3"/>
    <w:rsid w:val="00B30085"/>
    <w:rsid w:val="00B31BC1"/>
    <w:rsid w:val="00B446EE"/>
    <w:rsid w:val="00B447BA"/>
    <w:rsid w:val="00B71417"/>
    <w:rsid w:val="00B8388D"/>
    <w:rsid w:val="00B94F41"/>
    <w:rsid w:val="00B96189"/>
    <w:rsid w:val="00BA1F7B"/>
    <w:rsid w:val="00BA2127"/>
    <w:rsid w:val="00BA25C6"/>
    <w:rsid w:val="00BA308D"/>
    <w:rsid w:val="00BA4D61"/>
    <w:rsid w:val="00BA510D"/>
    <w:rsid w:val="00BA6D1A"/>
    <w:rsid w:val="00BA70B5"/>
    <w:rsid w:val="00BB14C9"/>
    <w:rsid w:val="00BC245F"/>
    <w:rsid w:val="00BC621C"/>
    <w:rsid w:val="00BD0330"/>
    <w:rsid w:val="00BD5EA5"/>
    <w:rsid w:val="00BE5BA8"/>
    <w:rsid w:val="00BE5EAD"/>
    <w:rsid w:val="00BF3184"/>
    <w:rsid w:val="00C012D2"/>
    <w:rsid w:val="00C02C67"/>
    <w:rsid w:val="00C14551"/>
    <w:rsid w:val="00C17766"/>
    <w:rsid w:val="00C442D4"/>
    <w:rsid w:val="00C4689B"/>
    <w:rsid w:val="00C47C5B"/>
    <w:rsid w:val="00C53DB5"/>
    <w:rsid w:val="00C545EA"/>
    <w:rsid w:val="00C552A9"/>
    <w:rsid w:val="00C55392"/>
    <w:rsid w:val="00C57997"/>
    <w:rsid w:val="00C606CD"/>
    <w:rsid w:val="00C67158"/>
    <w:rsid w:val="00C7225E"/>
    <w:rsid w:val="00C74B34"/>
    <w:rsid w:val="00C770A9"/>
    <w:rsid w:val="00C80D1A"/>
    <w:rsid w:val="00C863DD"/>
    <w:rsid w:val="00C92309"/>
    <w:rsid w:val="00C931F7"/>
    <w:rsid w:val="00CA36DC"/>
    <w:rsid w:val="00CB4D8B"/>
    <w:rsid w:val="00CC52A6"/>
    <w:rsid w:val="00CD26B4"/>
    <w:rsid w:val="00CE06B5"/>
    <w:rsid w:val="00CE31CC"/>
    <w:rsid w:val="00D04074"/>
    <w:rsid w:val="00D12244"/>
    <w:rsid w:val="00D21621"/>
    <w:rsid w:val="00D3141D"/>
    <w:rsid w:val="00D33954"/>
    <w:rsid w:val="00D36866"/>
    <w:rsid w:val="00D55DD9"/>
    <w:rsid w:val="00D56300"/>
    <w:rsid w:val="00D61ADA"/>
    <w:rsid w:val="00D75281"/>
    <w:rsid w:val="00D76D82"/>
    <w:rsid w:val="00D8166D"/>
    <w:rsid w:val="00D91024"/>
    <w:rsid w:val="00D94A4D"/>
    <w:rsid w:val="00D94C75"/>
    <w:rsid w:val="00D964EB"/>
    <w:rsid w:val="00DB58A9"/>
    <w:rsid w:val="00DB7D67"/>
    <w:rsid w:val="00DC3C16"/>
    <w:rsid w:val="00DC4D8F"/>
    <w:rsid w:val="00DC7754"/>
    <w:rsid w:val="00DE135D"/>
    <w:rsid w:val="00DE297C"/>
    <w:rsid w:val="00DE4430"/>
    <w:rsid w:val="00DE6164"/>
    <w:rsid w:val="00DF047C"/>
    <w:rsid w:val="00DF0CB9"/>
    <w:rsid w:val="00DF1E83"/>
    <w:rsid w:val="00DF5AF4"/>
    <w:rsid w:val="00E039B7"/>
    <w:rsid w:val="00E06543"/>
    <w:rsid w:val="00E077BC"/>
    <w:rsid w:val="00E26DD6"/>
    <w:rsid w:val="00E437B8"/>
    <w:rsid w:val="00E441CB"/>
    <w:rsid w:val="00E61447"/>
    <w:rsid w:val="00E656E6"/>
    <w:rsid w:val="00E7270C"/>
    <w:rsid w:val="00E74E07"/>
    <w:rsid w:val="00E8018B"/>
    <w:rsid w:val="00E8264A"/>
    <w:rsid w:val="00E86897"/>
    <w:rsid w:val="00E929EF"/>
    <w:rsid w:val="00E959F6"/>
    <w:rsid w:val="00EA3FBC"/>
    <w:rsid w:val="00EB3C7C"/>
    <w:rsid w:val="00EB42CB"/>
    <w:rsid w:val="00EB447F"/>
    <w:rsid w:val="00EE0E62"/>
    <w:rsid w:val="00EE141A"/>
    <w:rsid w:val="00EE734F"/>
    <w:rsid w:val="00EF17EF"/>
    <w:rsid w:val="00EF2796"/>
    <w:rsid w:val="00EF2B14"/>
    <w:rsid w:val="00EF2E30"/>
    <w:rsid w:val="00EF3281"/>
    <w:rsid w:val="00EF4815"/>
    <w:rsid w:val="00F05AA5"/>
    <w:rsid w:val="00F110D1"/>
    <w:rsid w:val="00F35761"/>
    <w:rsid w:val="00F401EC"/>
    <w:rsid w:val="00F427E1"/>
    <w:rsid w:val="00F507B8"/>
    <w:rsid w:val="00F5534D"/>
    <w:rsid w:val="00F65FDA"/>
    <w:rsid w:val="00F66E12"/>
    <w:rsid w:val="00F73267"/>
    <w:rsid w:val="00F74B9B"/>
    <w:rsid w:val="00F83863"/>
    <w:rsid w:val="00F85A79"/>
    <w:rsid w:val="00F86463"/>
    <w:rsid w:val="00F92DD5"/>
    <w:rsid w:val="00F93B73"/>
    <w:rsid w:val="00FA2B25"/>
    <w:rsid w:val="00FA633D"/>
    <w:rsid w:val="00FB5873"/>
    <w:rsid w:val="00FC2FD7"/>
    <w:rsid w:val="00FC4460"/>
    <w:rsid w:val="00FD04F2"/>
    <w:rsid w:val="00FD0F57"/>
    <w:rsid w:val="00FE0FAB"/>
    <w:rsid w:val="00FE3C74"/>
    <w:rsid w:val="00FF0CE5"/>
    <w:rsid w:val="00FF11AC"/>
    <w:rsid w:val="00FF442B"/>
    <w:rsid w:val="00FF5496"/>
    <w:rsid w:val="00FF5C21"/>
    <w:rsid w:val="00FF697B"/>
    <w:rsid w:val="00FF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1"/>
    <w:unhideWhenUsed/>
    <w:qFormat/>
    <w:rsid w:val="00073599"/>
    <w:pPr>
      <w:spacing w:after="120"/>
    </w:pPr>
    <w:rPr>
      <w:lang w:eastAsia="en-US"/>
    </w:rPr>
  </w:style>
  <w:style w:type="character" w:customStyle="1" w:styleId="BodyTextChar">
    <w:name w:val="Body Text Char"/>
    <w:basedOn w:val="DefaultParagraphFont"/>
    <w:link w:val="BodyText"/>
    <w:uiPriority w:val="1"/>
    <w:rsid w:val="00073599"/>
    <w:rPr>
      <w:rFonts w:ascii="Times New Roman" w:eastAsia="Times New Roman" w:hAnsi="Times New Roman" w:cs="Times New Roman"/>
      <w:sz w:val="24"/>
      <w:szCs w:val="24"/>
    </w:rPr>
  </w:style>
  <w:style w:type="table" w:styleId="TableGrid">
    <w:name w:val="Table Grid"/>
    <w:basedOn w:val="TableNormal"/>
    <w:uiPriority w:val="59"/>
    <w:rsid w:val="00647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1F99"/>
    <w:rPr>
      <w:b/>
      <w:bCs/>
    </w:rPr>
  </w:style>
  <w:style w:type="paragraph" w:styleId="NormalWeb">
    <w:name w:val="Normal (Web)"/>
    <w:basedOn w:val="Normal"/>
    <w:uiPriority w:val="99"/>
    <w:semiHidden/>
    <w:unhideWhenUsed/>
    <w:rsid w:val="00376063"/>
    <w:pPr>
      <w:spacing w:before="100" w:beforeAutospacing="1" w:after="100" w:afterAutospacing="1"/>
    </w:pPr>
  </w:style>
  <w:style w:type="character" w:customStyle="1" w:styleId="apple-converted-space">
    <w:name w:val="apple-converted-space"/>
    <w:basedOn w:val="DefaultParagraphFont"/>
    <w:rsid w:val="004427DB"/>
  </w:style>
  <w:style w:type="character" w:styleId="Emphasis">
    <w:name w:val="Emphasis"/>
    <w:basedOn w:val="DefaultParagraphFont"/>
    <w:uiPriority w:val="20"/>
    <w:qFormat/>
    <w:rsid w:val="004427DB"/>
    <w:rPr>
      <w:i/>
      <w:iCs/>
    </w:rPr>
  </w:style>
  <w:style w:type="table" w:customStyle="1" w:styleId="TableGrid1">
    <w:name w:val="Table Grid1"/>
    <w:basedOn w:val="TableNormal"/>
    <w:next w:val="TableGrid"/>
    <w:uiPriority w:val="59"/>
    <w:rsid w:val="00884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1"/>
    <w:unhideWhenUsed/>
    <w:qFormat/>
    <w:rsid w:val="00073599"/>
    <w:pPr>
      <w:spacing w:after="120"/>
    </w:pPr>
    <w:rPr>
      <w:lang w:eastAsia="en-US"/>
    </w:rPr>
  </w:style>
  <w:style w:type="character" w:customStyle="1" w:styleId="BodyTextChar">
    <w:name w:val="Body Text Char"/>
    <w:basedOn w:val="DefaultParagraphFont"/>
    <w:link w:val="BodyText"/>
    <w:uiPriority w:val="1"/>
    <w:rsid w:val="00073599"/>
    <w:rPr>
      <w:rFonts w:ascii="Times New Roman" w:eastAsia="Times New Roman" w:hAnsi="Times New Roman" w:cs="Times New Roman"/>
      <w:sz w:val="24"/>
      <w:szCs w:val="24"/>
    </w:rPr>
  </w:style>
  <w:style w:type="table" w:styleId="TableGrid">
    <w:name w:val="Table Grid"/>
    <w:basedOn w:val="TableNormal"/>
    <w:uiPriority w:val="59"/>
    <w:rsid w:val="00647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1F99"/>
    <w:rPr>
      <w:b/>
      <w:bCs/>
    </w:rPr>
  </w:style>
  <w:style w:type="paragraph" w:styleId="NormalWeb">
    <w:name w:val="Normal (Web)"/>
    <w:basedOn w:val="Normal"/>
    <w:uiPriority w:val="99"/>
    <w:semiHidden/>
    <w:unhideWhenUsed/>
    <w:rsid w:val="00376063"/>
    <w:pPr>
      <w:spacing w:before="100" w:beforeAutospacing="1" w:after="100" w:afterAutospacing="1"/>
    </w:pPr>
  </w:style>
  <w:style w:type="character" w:customStyle="1" w:styleId="apple-converted-space">
    <w:name w:val="apple-converted-space"/>
    <w:basedOn w:val="DefaultParagraphFont"/>
    <w:rsid w:val="004427DB"/>
  </w:style>
  <w:style w:type="character" w:styleId="Emphasis">
    <w:name w:val="Emphasis"/>
    <w:basedOn w:val="DefaultParagraphFont"/>
    <w:uiPriority w:val="20"/>
    <w:qFormat/>
    <w:rsid w:val="004427DB"/>
    <w:rPr>
      <w:i/>
      <w:iCs/>
    </w:rPr>
  </w:style>
  <w:style w:type="table" w:customStyle="1" w:styleId="TableGrid1">
    <w:name w:val="Table Grid1"/>
    <w:basedOn w:val="TableNormal"/>
    <w:next w:val="TableGrid"/>
    <w:uiPriority w:val="59"/>
    <w:rsid w:val="00884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431148">
      <w:bodyDiv w:val="1"/>
      <w:marLeft w:val="0"/>
      <w:marRight w:val="0"/>
      <w:marTop w:val="0"/>
      <w:marBottom w:val="0"/>
      <w:divBdr>
        <w:top w:val="none" w:sz="0" w:space="0" w:color="auto"/>
        <w:left w:val="none" w:sz="0" w:space="0" w:color="auto"/>
        <w:bottom w:val="none" w:sz="0" w:space="0" w:color="auto"/>
        <w:right w:val="none" w:sz="0" w:space="0" w:color="auto"/>
      </w:divBdr>
      <w:divsChild>
        <w:div w:id="812597317">
          <w:marLeft w:val="0"/>
          <w:marRight w:val="0"/>
          <w:marTop w:val="0"/>
          <w:marBottom w:val="0"/>
          <w:divBdr>
            <w:top w:val="none" w:sz="0" w:space="0" w:color="auto"/>
            <w:left w:val="none" w:sz="0" w:space="0" w:color="auto"/>
            <w:bottom w:val="none" w:sz="0" w:space="0" w:color="auto"/>
            <w:right w:val="none" w:sz="0" w:space="0" w:color="auto"/>
          </w:divBdr>
          <w:divsChild>
            <w:div w:id="1501265289">
              <w:marLeft w:val="0"/>
              <w:marRight w:val="0"/>
              <w:marTop w:val="0"/>
              <w:marBottom w:val="0"/>
              <w:divBdr>
                <w:top w:val="none" w:sz="0" w:space="0" w:color="auto"/>
                <w:left w:val="none" w:sz="0" w:space="0" w:color="auto"/>
                <w:bottom w:val="none" w:sz="0" w:space="0" w:color="auto"/>
                <w:right w:val="none" w:sz="0" w:space="0" w:color="auto"/>
              </w:divBdr>
              <w:divsChild>
                <w:div w:id="1413963488">
                  <w:marLeft w:val="0"/>
                  <w:marRight w:val="0"/>
                  <w:marTop w:val="0"/>
                  <w:marBottom w:val="0"/>
                  <w:divBdr>
                    <w:top w:val="none" w:sz="0" w:space="0" w:color="auto"/>
                    <w:left w:val="none" w:sz="0" w:space="0" w:color="auto"/>
                    <w:bottom w:val="none" w:sz="0" w:space="0" w:color="auto"/>
                    <w:right w:val="none" w:sz="0" w:space="0" w:color="auto"/>
                  </w:divBdr>
                  <w:divsChild>
                    <w:div w:id="124992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18034390">
      <w:bodyDiv w:val="1"/>
      <w:marLeft w:val="0"/>
      <w:marRight w:val="0"/>
      <w:marTop w:val="0"/>
      <w:marBottom w:val="0"/>
      <w:divBdr>
        <w:top w:val="none" w:sz="0" w:space="0" w:color="auto"/>
        <w:left w:val="none" w:sz="0" w:space="0" w:color="auto"/>
        <w:bottom w:val="none" w:sz="0" w:space="0" w:color="auto"/>
        <w:right w:val="none" w:sz="0" w:space="0" w:color="auto"/>
      </w:divBdr>
    </w:div>
    <w:div w:id="156691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4ABC0-6DCD-462B-B3F6-D2E75938D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3420</Words>
  <Characters>18918</Characters>
  <Application>Microsoft Office Word</Application>
  <DocSecurity>0</DocSecurity>
  <Lines>411</Lines>
  <Paragraphs>116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22222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3</cp:revision>
  <cp:lastPrinted>2015-01-06T11:20:00Z</cp:lastPrinted>
  <dcterms:created xsi:type="dcterms:W3CDTF">2015-08-24T08:02:00Z</dcterms:created>
  <dcterms:modified xsi:type="dcterms:W3CDTF">2015-08-24T08:04:00Z</dcterms:modified>
</cp:coreProperties>
</file>