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B1"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CONVENTION ON WETLANDS (Ramsar, Iran, 1971)</w:t>
      </w:r>
    </w:p>
    <w:p w:rsidR="002660B1" w:rsidRDefault="008961E7"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51</w:t>
      </w:r>
      <w:r>
        <w:rPr>
          <w:rFonts w:asciiTheme="minorHAnsi" w:hAnsiTheme="minorHAnsi" w:cstheme="minorHAnsi"/>
          <w:bCs/>
          <w:szCs w:val="20"/>
          <w:vertAlign w:val="superscript"/>
        </w:rPr>
        <w:t>st</w:t>
      </w:r>
      <w:r>
        <w:rPr>
          <w:rFonts w:asciiTheme="minorHAnsi" w:hAnsiTheme="minorHAnsi" w:cstheme="minorHAnsi"/>
          <w:bCs/>
          <w:szCs w:val="20"/>
        </w:rPr>
        <w:t xml:space="preserve"> </w:t>
      </w:r>
      <w:r w:rsidR="002660B1">
        <w:rPr>
          <w:rFonts w:asciiTheme="minorHAnsi" w:hAnsiTheme="minorHAnsi" w:cstheme="minorHAnsi"/>
          <w:bCs/>
          <w:szCs w:val="20"/>
        </w:rPr>
        <w:t>Meeting of the Standing Committee</w:t>
      </w:r>
    </w:p>
    <w:p w:rsidR="002660B1"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 xml:space="preserve">Gland, Switzerland, </w:t>
      </w:r>
      <w:r w:rsidR="00AD39A4">
        <w:rPr>
          <w:rFonts w:asciiTheme="minorHAnsi" w:hAnsiTheme="minorHAnsi" w:cstheme="minorHAnsi"/>
          <w:bCs/>
          <w:szCs w:val="20"/>
        </w:rPr>
        <w:t>2</w:t>
      </w:r>
      <w:r w:rsidR="004F5DCD">
        <w:rPr>
          <w:rFonts w:asciiTheme="minorHAnsi" w:hAnsiTheme="minorHAnsi" w:cstheme="minorHAnsi"/>
          <w:bCs/>
          <w:szCs w:val="20"/>
        </w:rPr>
        <w:t>3</w:t>
      </w:r>
      <w:r w:rsidR="00AD39A4">
        <w:rPr>
          <w:rFonts w:asciiTheme="minorHAnsi" w:hAnsiTheme="minorHAnsi" w:cstheme="minorHAnsi"/>
          <w:bCs/>
          <w:szCs w:val="20"/>
        </w:rPr>
        <w:t>-</w:t>
      </w:r>
      <w:r w:rsidR="004F5DCD">
        <w:rPr>
          <w:rFonts w:asciiTheme="minorHAnsi" w:hAnsiTheme="minorHAnsi" w:cstheme="minorHAnsi"/>
          <w:bCs/>
          <w:szCs w:val="20"/>
        </w:rPr>
        <w:t>27</w:t>
      </w:r>
      <w:r w:rsidR="00AD39A4">
        <w:rPr>
          <w:rFonts w:asciiTheme="minorHAnsi" w:hAnsiTheme="minorHAnsi" w:cstheme="minorHAnsi"/>
          <w:bCs/>
          <w:szCs w:val="20"/>
        </w:rPr>
        <w:t xml:space="preserve"> </w:t>
      </w:r>
      <w:r w:rsidR="004F5DCD">
        <w:rPr>
          <w:rFonts w:asciiTheme="minorHAnsi" w:hAnsiTheme="minorHAnsi" w:cstheme="minorHAnsi"/>
          <w:bCs/>
          <w:szCs w:val="20"/>
        </w:rPr>
        <w:t>November</w:t>
      </w:r>
      <w:r>
        <w:rPr>
          <w:rFonts w:asciiTheme="minorHAnsi" w:hAnsiTheme="minorHAnsi" w:cstheme="minorHAnsi"/>
          <w:bCs/>
          <w:szCs w:val="20"/>
        </w:rPr>
        <w:t xml:space="preserve"> 2015</w:t>
      </w:r>
    </w:p>
    <w:p w:rsidR="00434554" w:rsidRPr="002E1289" w:rsidRDefault="00434554">
      <w:pPr>
        <w:rPr>
          <w:sz w:val="28"/>
          <w:szCs w:val="28"/>
        </w:rPr>
      </w:pPr>
    </w:p>
    <w:p w:rsidR="002660B1" w:rsidRPr="002E1289" w:rsidRDefault="002660B1" w:rsidP="002660B1">
      <w:pPr>
        <w:jc w:val="right"/>
        <w:rPr>
          <w:rFonts w:asciiTheme="minorHAnsi" w:hAnsiTheme="minorHAnsi" w:cstheme="minorHAnsi"/>
          <w:b/>
          <w:sz w:val="28"/>
          <w:szCs w:val="28"/>
        </w:rPr>
      </w:pPr>
      <w:r w:rsidRPr="002E1289">
        <w:rPr>
          <w:rFonts w:asciiTheme="minorHAnsi" w:hAnsiTheme="minorHAnsi" w:cstheme="minorHAnsi"/>
          <w:b/>
          <w:sz w:val="28"/>
          <w:szCs w:val="28"/>
        </w:rPr>
        <w:t>SC</w:t>
      </w:r>
      <w:r w:rsidR="004F5DCD" w:rsidRPr="002E1289">
        <w:rPr>
          <w:rFonts w:asciiTheme="minorHAnsi" w:hAnsiTheme="minorHAnsi" w:cstheme="minorHAnsi"/>
          <w:b/>
          <w:sz w:val="28"/>
          <w:szCs w:val="28"/>
        </w:rPr>
        <w:t>51</w:t>
      </w:r>
      <w:r w:rsidRPr="002E1289">
        <w:rPr>
          <w:rFonts w:asciiTheme="minorHAnsi" w:hAnsiTheme="minorHAnsi" w:cstheme="minorHAnsi"/>
          <w:b/>
          <w:sz w:val="28"/>
          <w:szCs w:val="28"/>
        </w:rPr>
        <w:t>-</w:t>
      </w:r>
      <w:r w:rsidR="002E1289" w:rsidRPr="002E1289">
        <w:rPr>
          <w:rFonts w:asciiTheme="minorHAnsi" w:hAnsiTheme="minorHAnsi" w:cstheme="minorHAnsi"/>
          <w:b/>
          <w:sz w:val="28"/>
          <w:szCs w:val="28"/>
        </w:rPr>
        <w:t>04</w:t>
      </w:r>
    </w:p>
    <w:p w:rsidR="001233DE" w:rsidRPr="002E1289" w:rsidRDefault="001233DE" w:rsidP="001233DE">
      <w:pPr>
        <w:jc w:val="center"/>
        <w:rPr>
          <w:rFonts w:asciiTheme="minorHAnsi" w:hAnsiTheme="minorHAnsi"/>
          <w:b/>
          <w:sz w:val="28"/>
          <w:szCs w:val="28"/>
        </w:rPr>
      </w:pPr>
    </w:p>
    <w:p w:rsidR="00D94C75" w:rsidRPr="002E1289" w:rsidRDefault="00675CA6" w:rsidP="00D94C75">
      <w:pPr>
        <w:autoSpaceDE w:val="0"/>
        <w:autoSpaceDN w:val="0"/>
        <w:adjustRightInd w:val="0"/>
        <w:jc w:val="center"/>
        <w:rPr>
          <w:rFonts w:asciiTheme="minorHAnsi" w:eastAsiaTheme="minorHAnsi" w:hAnsiTheme="minorHAnsi" w:cs="Garamond-Bold"/>
          <w:b/>
          <w:bCs/>
          <w:sz w:val="28"/>
          <w:szCs w:val="28"/>
          <w:lang w:eastAsia="en-US"/>
        </w:rPr>
      </w:pPr>
      <w:r w:rsidRPr="002E1289">
        <w:rPr>
          <w:rFonts w:asciiTheme="minorHAnsi" w:eastAsiaTheme="minorHAnsi" w:hAnsiTheme="minorHAnsi" w:cs="Garamond-Bold"/>
          <w:b/>
          <w:bCs/>
          <w:sz w:val="28"/>
          <w:szCs w:val="28"/>
          <w:lang w:eastAsia="en-US"/>
        </w:rPr>
        <w:t>Costs of actions to be taken to implement COP12 Resolutions</w:t>
      </w:r>
    </w:p>
    <w:p w:rsidR="00675CA6" w:rsidRPr="002E1289" w:rsidRDefault="00675CA6" w:rsidP="00D94C75">
      <w:pPr>
        <w:autoSpaceDE w:val="0"/>
        <w:autoSpaceDN w:val="0"/>
        <w:adjustRightInd w:val="0"/>
        <w:jc w:val="center"/>
        <w:rPr>
          <w:rFonts w:asciiTheme="minorHAnsi" w:eastAsiaTheme="minorHAnsi" w:hAnsiTheme="minorHAnsi" w:cs="Garamond-Bold"/>
          <w:b/>
          <w:bCs/>
          <w:sz w:val="28"/>
          <w:szCs w:val="28"/>
          <w:lang w:eastAsia="en-US"/>
        </w:rPr>
      </w:pPr>
      <w:r w:rsidRPr="002E1289">
        <w:rPr>
          <w:rFonts w:asciiTheme="minorHAnsi" w:eastAsiaTheme="minorHAnsi" w:hAnsiTheme="minorHAnsi" w:cs="Garamond-Bold"/>
          <w:b/>
          <w:bCs/>
          <w:sz w:val="28"/>
          <w:szCs w:val="28"/>
          <w:lang w:eastAsia="en-US"/>
        </w:rPr>
        <w:t>in the 2016-2018 triennium</w:t>
      </w:r>
    </w:p>
    <w:p w:rsidR="00675CA6" w:rsidRPr="002E1289" w:rsidRDefault="00675CA6" w:rsidP="00D94C75">
      <w:pPr>
        <w:autoSpaceDE w:val="0"/>
        <w:autoSpaceDN w:val="0"/>
        <w:adjustRightInd w:val="0"/>
        <w:jc w:val="center"/>
        <w:rPr>
          <w:rFonts w:asciiTheme="minorHAnsi" w:eastAsiaTheme="minorHAnsi" w:hAnsiTheme="minorHAnsi" w:cs="Garamond"/>
          <w:sz w:val="28"/>
          <w:szCs w:val="28"/>
          <w:lang w:eastAsia="en-US"/>
        </w:rPr>
      </w:pPr>
    </w:p>
    <w:p w:rsidR="00E7270C" w:rsidRPr="00BA6D1A" w:rsidRDefault="00C74B34" w:rsidP="00D94C75">
      <w:pPr>
        <w:autoSpaceDE w:val="0"/>
        <w:autoSpaceDN w:val="0"/>
        <w:adjustRightInd w:val="0"/>
        <w:jc w:val="center"/>
        <w:rPr>
          <w:rFonts w:asciiTheme="minorHAnsi" w:eastAsiaTheme="minorHAnsi" w:hAnsiTheme="minorHAnsi" w:cs="Garamond"/>
          <w:sz w:val="22"/>
          <w:szCs w:val="22"/>
          <w:lang w:eastAsia="en-US"/>
        </w:rPr>
      </w:pPr>
      <w:r>
        <w:rPr>
          <w:noProof/>
          <w:szCs w:val="20"/>
        </w:rPr>
        <mc:AlternateContent>
          <mc:Choice Requires="wps">
            <w:drawing>
              <wp:inline distT="0" distB="0" distL="0" distR="0" wp14:anchorId="5909ABD7" wp14:editId="63123C2F">
                <wp:extent cx="5842635" cy="1023938"/>
                <wp:effectExtent l="0" t="0" r="24765" b="2413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023938"/>
                        </a:xfrm>
                        <a:prstGeom prst="rect">
                          <a:avLst/>
                        </a:prstGeom>
                        <a:solidFill>
                          <a:srgbClr val="FFFFFF"/>
                        </a:solidFill>
                        <a:ln w="9525">
                          <a:solidFill>
                            <a:srgbClr val="000000"/>
                          </a:solidFill>
                          <a:miter lim="800000"/>
                          <a:headEnd/>
                          <a:tailEnd/>
                        </a:ln>
                      </wps:spPr>
                      <wps:txbx>
                        <w:txbxContent>
                          <w:p w:rsidR="00AD06E0" w:rsidRPr="00FC4460" w:rsidRDefault="00AD06E0" w:rsidP="00E7270C">
                            <w:pPr>
                              <w:rPr>
                                <w:rFonts w:ascii="Calibri" w:hAnsi="Calibri"/>
                                <w:b/>
                                <w:bCs/>
                                <w:sz w:val="22"/>
                                <w:szCs w:val="22"/>
                              </w:rPr>
                            </w:pPr>
                            <w:r w:rsidRPr="00FC4460">
                              <w:rPr>
                                <w:rFonts w:ascii="Calibri" w:hAnsi="Calibri"/>
                                <w:b/>
                                <w:bCs/>
                                <w:sz w:val="22"/>
                                <w:szCs w:val="22"/>
                              </w:rPr>
                              <w:t xml:space="preserve">Actions requested: </w:t>
                            </w:r>
                          </w:p>
                          <w:p w:rsidR="00AD06E0" w:rsidRPr="00837832" w:rsidRDefault="00AD06E0" w:rsidP="002E1289">
                            <w:pPr>
                              <w:rPr>
                                <w:rFonts w:asciiTheme="minorHAnsi" w:hAnsiTheme="minorHAnsi"/>
                                <w:sz w:val="22"/>
                                <w:szCs w:val="22"/>
                              </w:rPr>
                            </w:pPr>
                            <w:r w:rsidRPr="0005674C">
                              <w:rPr>
                                <w:rFonts w:asciiTheme="minorHAnsi" w:hAnsiTheme="minorHAnsi"/>
                                <w:sz w:val="22"/>
                                <w:szCs w:val="22"/>
                              </w:rPr>
                              <w:t>The Standing Committee is invited to</w:t>
                            </w:r>
                            <w:r>
                              <w:rPr>
                                <w:rFonts w:asciiTheme="minorHAnsi" w:hAnsiTheme="minorHAnsi"/>
                                <w:sz w:val="22"/>
                                <w:szCs w:val="22"/>
                              </w:rPr>
                              <w:t xml:space="preserve"> take note of the estimated costs of the actions that need to be taken to implement each of the COP12 Resolutions, and to advise</w:t>
                            </w:r>
                            <w:r w:rsidRPr="00837832">
                              <w:rPr>
                                <w:rFonts w:asciiTheme="minorHAnsi" w:hAnsiTheme="minorHAnsi"/>
                                <w:sz w:val="22"/>
                                <w:szCs w:val="22"/>
                              </w:rPr>
                              <w:t xml:space="preserve"> the Secretariat </w:t>
                            </w:r>
                            <w:r>
                              <w:rPr>
                                <w:rFonts w:asciiTheme="minorHAnsi" w:hAnsiTheme="minorHAnsi"/>
                                <w:sz w:val="22"/>
                                <w:szCs w:val="22"/>
                              </w:rPr>
                              <w:t>on priority actions for follow-up with existing funds, as well as those actions for follow-up through fundraising efforts.</w:t>
                            </w:r>
                          </w:p>
                          <w:p w:rsidR="00AD06E0" w:rsidRPr="0005674C" w:rsidRDefault="00AD06E0" w:rsidP="0005674C">
                            <w:pPr>
                              <w:autoSpaceDE w:val="0"/>
                              <w:autoSpaceDN w:val="0"/>
                              <w:adjustRightInd w:val="0"/>
                              <w:rPr>
                                <w:rFonts w:asciiTheme="minorHAnsi" w:eastAsiaTheme="minorHAnsi" w:hAnsiTheme="minorHAnsi" w:cs="Calibri-Bold"/>
                                <w:b/>
                                <w:bCs/>
                                <w:sz w:val="22"/>
                                <w:szCs w:val="22"/>
                                <w:lang w:eastAsia="en-US"/>
                              </w:rPr>
                            </w:pPr>
                            <w:r>
                              <w:rPr>
                                <w:rFonts w:asciiTheme="minorHAnsi" w:hAnsiTheme="minorHAnsi"/>
                                <w:sz w:val="22"/>
                                <w:szCs w:val="22"/>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">
                <v:textbox>
                  <w:txbxContent>
                    <w:p w:rsidR="00AD06E0" w:rsidRPr="00FC4460" w:rsidRDefault="00AD06E0" w:rsidP="00E7270C">
                      <w:pPr>
                        <w:rPr>
                          <w:rFonts w:ascii="Calibri" w:hAnsi="Calibri"/>
                          <w:b/>
                          <w:bCs/>
                          <w:sz w:val="22"/>
                          <w:szCs w:val="22"/>
                        </w:rPr>
                      </w:pPr>
                      <w:r w:rsidRPr="00FC4460">
                        <w:rPr>
                          <w:rFonts w:ascii="Calibri" w:hAnsi="Calibri"/>
                          <w:b/>
                          <w:bCs/>
                          <w:sz w:val="22"/>
                          <w:szCs w:val="22"/>
                        </w:rPr>
                        <w:t xml:space="preserve">Actions requested: </w:t>
                      </w:r>
                    </w:p>
                    <w:p w:rsidR="00AD06E0" w:rsidRPr="00837832" w:rsidRDefault="00AD06E0" w:rsidP="002E1289">
                      <w:pPr>
                        <w:rPr>
                          <w:rFonts w:asciiTheme="minorHAnsi" w:hAnsiTheme="minorHAnsi"/>
                          <w:sz w:val="22"/>
                          <w:szCs w:val="22"/>
                        </w:rPr>
                      </w:pPr>
                      <w:r w:rsidRPr="0005674C">
                        <w:rPr>
                          <w:rFonts w:asciiTheme="minorHAnsi" w:hAnsiTheme="minorHAnsi"/>
                          <w:sz w:val="22"/>
                          <w:szCs w:val="22"/>
                        </w:rPr>
                        <w:t>The Standing Committee is invited to</w:t>
                      </w:r>
                      <w:r>
                        <w:rPr>
                          <w:rFonts w:asciiTheme="minorHAnsi" w:hAnsiTheme="minorHAnsi"/>
                          <w:sz w:val="22"/>
                          <w:szCs w:val="22"/>
                        </w:rPr>
                        <w:t xml:space="preserve"> take note of the estimated costs of the actions that need to be taken to implement each of the COP12 Resolutions, and to advise</w:t>
                      </w:r>
                      <w:r w:rsidRPr="00837832">
                        <w:rPr>
                          <w:rFonts w:asciiTheme="minorHAnsi" w:hAnsiTheme="minorHAnsi"/>
                          <w:sz w:val="22"/>
                          <w:szCs w:val="22"/>
                        </w:rPr>
                        <w:t xml:space="preserve"> the Secretariat </w:t>
                      </w:r>
                      <w:r>
                        <w:rPr>
                          <w:rFonts w:asciiTheme="minorHAnsi" w:hAnsiTheme="minorHAnsi"/>
                          <w:sz w:val="22"/>
                          <w:szCs w:val="22"/>
                        </w:rPr>
                        <w:t>on priority actions for follow-up with existing funds, as well as those actions for follow-up through fundraising efforts.</w:t>
                      </w:r>
                    </w:p>
                    <w:p w:rsidR="00AD06E0" w:rsidRPr="0005674C" w:rsidRDefault="00AD06E0" w:rsidP="0005674C">
                      <w:pPr>
                        <w:autoSpaceDE w:val="0"/>
                        <w:autoSpaceDN w:val="0"/>
                        <w:adjustRightInd w:val="0"/>
                        <w:rPr>
                          <w:rFonts w:asciiTheme="minorHAnsi" w:eastAsiaTheme="minorHAnsi" w:hAnsiTheme="minorHAnsi" w:cs="Calibri-Bold"/>
                          <w:b/>
                          <w:bCs/>
                          <w:sz w:val="22"/>
                          <w:szCs w:val="22"/>
                          <w:lang w:eastAsia="en-US"/>
                        </w:rPr>
                      </w:pPr>
                      <w:r>
                        <w:rPr>
                          <w:rFonts w:asciiTheme="minorHAnsi" w:hAnsiTheme="minorHAnsi"/>
                          <w:sz w:val="22"/>
                          <w:szCs w:val="22"/>
                        </w:rPr>
                        <w:t xml:space="preserve"> </w:t>
                      </w:r>
                    </w:p>
                  </w:txbxContent>
                </v:textbox>
                <w10:anchorlock/>
              </v:shape>
            </w:pict>
          </mc:Fallback>
        </mc:AlternateContent>
      </w:r>
    </w:p>
    <w:p w:rsidR="002F0FC9" w:rsidRDefault="002F0FC9" w:rsidP="006B6339">
      <w:pPr>
        <w:autoSpaceDE w:val="0"/>
        <w:autoSpaceDN w:val="0"/>
        <w:adjustRightInd w:val="0"/>
      </w:pPr>
    </w:p>
    <w:p w:rsidR="00D94C75" w:rsidRDefault="00D94C75" w:rsidP="002E1289">
      <w:pPr>
        <w:autoSpaceDE w:val="0"/>
        <w:autoSpaceDN w:val="0"/>
        <w:adjustRightInd w:val="0"/>
        <w:rPr>
          <w:rFonts w:asciiTheme="minorHAnsi" w:eastAsiaTheme="minorHAnsi" w:hAnsiTheme="minorHAnsi" w:cs="Calibri-Bold"/>
          <w:b/>
          <w:bCs/>
          <w:sz w:val="22"/>
          <w:szCs w:val="22"/>
          <w:lang w:eastAsia="en-US"/>
        </w:rPr>
      </w:pPr>
      <w:r w:rsidRPr="006B6339">
        <w:rPr>
          <w:rFonts w:asciiTheme="minorHAnsi" w:eastAsiaTheme="minorHAnsi" w:hAnsiTheme="minorHAnsi" w:cs="Calibri-Bold"/>
          <w:b/>
          <w:bCs/>
          <w:sz w:val="22"/>
          <w:szCs w:val="22"/>
          <w:lang w:eastAsia="en-US"/>
        </w:rPr>
        <w:t xml:space="preserve">Background </w:t>
      </w:r>
    </w:p>
    <w:p w:rsidR="00BE5EAD" w:rsidRDefault="00BE5EAD" w:rsidP="002E1289">
      <w:pPr>
        <w:autoSpaceDE w:val="0"/>
        <w:autoSpaceDN w:val="0"/>
        <w:adjustRightInd w:val="0"/>
        <w:rPr>
          <w:rFonts w:asciiTheme="minorHAnsi" w:eastAsiaTheme="minorHAnsi" w:hAnsiTheme="minorHAnsi" w:cs="Calibri-Bold"/>
          <w:b/>
          <w:bCs/>
          <w:sz w:val="22"/>
          <w:szCs w:val="22"/>
          <w:lang w:eastAsia="en-US"/>
        </w:rPr>
      </w:pPr>
    </w:p>
    <w:p w:rsidR="00483B22" w:rsidRDefault="00EA3B55" w:rsidP="002E1289">
      <w:pPr>
        <w:pStyle w:val="ListParagraph"/>
        <w:numPr>
          <w:ilvl w:val="0"/>
          <w:numId w:val="19"/>
        </w:numPr>
        <w:autoSpaceDE w:val="0"/>
        <w:autoSpaceDN w:val="0"/>
        <w:adjustRightInd w:val="0"/>
        <w:ind w:left="426" w:hanging="426"/>
        <w:jc w:val="left"/>
        <w:rPr>
          <w:rFonts w:asciiTheme="minorHAnsi" w:hAnsiTheme="minorHAnsi"/>
        </w:rPr>
      </w:pPr>
      <w:r>
        <w:rPr>
          <w:rFonts w:asciiTheme="minorHAnsi" w:hAnsiTheme="minorHAnsi"/>
        </w:rPr>
        <w:t>In Decision SC48-20 the Standing Committee decid</w:t>
      </w:r>
      <w:r w:rsidR="006A71EC">
        <w:rPr>
          <w:rFonts w:asciiTheme="minorHAnsi" w:hAnsiTheme="minorHAnsi"/>
        </w:rPr>
        <w:t>ed that an unfunded non-core budget would be required to support the implementation of</w:t>
      </w:r>
      <w:r w:rsidR="003C7DE1">
        <w:rPr>
          <w:rFonts w:asciiTheme="minorHAnsi" w:hAnsiTheme="minorHAnsi"/>
        </w:rPr>
        <w:t xml:space="preserve"> the COP12 Resolutions, over the triennium</w:t>
      </w:r>
      <w:r w:rsidR="006A71EC">
        <w:rPr>
          <w:rFonts w:asciiTheme="minorHAnsi" w:hAnsiTheme="minorHAnsi"/>
        </w:rPr>
        <w:t xml:space="preserve"> 2016-2018</w:t>
      </w:r>
      <w:r w:rsidR="00BE5EAD" w:rsidRPr="00B30085">
        <w:rPr>
          <w:rFonts w:asciiTheme="minorHAnsi" w:hAnsiTheme="minorHAnsi"/>
        </w:rPr>
        <w:t>.</w:t>
      </w:r>
      <w:r w:rsidR="002E1289">
        <w:rPr>
          <w:rFonts w:asciiTheme="minorHAnsi" w:hAnsiTheme="minorHAnsi"/>
        </w:rPr>
        <w:t xml:space="preserve"> </w:t>
      </w:r>
      <w:r>
        <w:rPr>
          <w:rFonts w:asciiTheme="minorHAnsi" w:hAnsiTheme="minorHAnsi"/>
        </w:rPr>
        <w:t xml:space="preserve">A resource mobilization effort </w:t>
      </w:r>
      <w:r w:rsidR="000506A6">
        <w:rPr>
          <w:rFonts w:asciiTheme="minorHAnsi" w:hAnsiTheme="minorHAnsi"/>
        </w:rPr>
        <w:t xml:space="preserve">is </w:t>
      </w:r>
      <w:r>
        <w:rPr>
          <w:rFonts w:asciiTheme="minorHAnsi" w:hAnsiTheme="minorHAnsi"/>
        </w:rPr>
        <w:t xml:space="preserve">required to </w:t>
      </w:r>
      <w:r w:rsidR="000506A6">
        <w:rPr>
          <w:rFonts w:asciiTheme="minorHAnsi" w:hAnsiTheme="minorHAnsi"/>
        </w:rPr>
        <w:t xml:space="preserve">achieve </w:t>
      </w:r>
      <w:r>
        <w:rPr>
          <w:rFonts w:asciiTheme="minorHAnsi" w:hAnsiTheme="minorHAnsi"/>
        </w:rPr>
        <w:t>this budget</w:t>
      </w:r>
      <w:r w:rsidR="000506A6">
        <w:rPr>
          <w:rFonts w:asciiTheme="minorHAnsi" w:hAnsiTheme="minorHAnsi"/>
        </w:rPr>
        <w:t xml:space="preserve"> and has been set up, supported by the Head of Partnerships, and under the guidance of the Working Group on Resource Mobilization</w:t>
      </w:r>
      <w:r w:rsidR="00CB792A">
        <w:rPr>
          <w:rFonts w:asciiTheme="minorHAnsi" w:hAnsiTheme="minorHAnsi"/>
        </w:rPr>
        <w:t xml:space="preserve"> already</w:t>
      </w:r>
      <w:r w:rsidR="000506A6">
        <w:rPr>
          <w:rFonts w:asciiTheme="minorHAnsi" w:hAnsiTheme="minorHAnsi"/>
        </w:rPr>
        <w:t xml:space="preserve"> established by SC50</w:t>
      </w:r>
      <w:r>
        <w:rPr>
          <w:rFonts w:asciiTheme="minorHAnsi" w:hAnsiTheme="minorHAnsi"/>
        </w:rPr>
        <w:t>.</w:t>
      </w:r>
    </w:p>
    <w:p w:rsidR="00483B22" w:rsidRDefault="00483B22" w:rsidP="002E1289">
      <w:pPr>
        <w:pStyle w:val="ListParagraph"/>
        <w:autoSpaceDE w:val="0"/>
        <w:autoSpaceDN w:val="0"/>
        <w:adjustRightInd w:val="0"/>
        <w:ind w:left="426" w:hanging="426"/>
        <w:jc w:val="left"/>
        <w:rPr>
          <w:rFonts w:asciiTheme="minorHAnsi" w:hAnsiTheme="minorHAnsi"/>
        </w:rPr>
      </w:pPr>
    </w:p>
    <w:p w:rsidR="00CB792A" w:rsidRPr="009E5776" w:rsidRDefault="002E1289" w:rsidP="002E1289">
      <w:pPr>
        <w:pStyle w:val="ListParagraph"/>
        <w:numPr>
          <w:ilvl w:val="0"/>
          <w:numId w:val="19"/>
        </w:numPr>
        <w:autoSpaceDE w:val="0"/>
        <w:autoSpaceDN w:val="0"/>
        <w:adjustRightInd w:val="0"/>
        <w:ind w:left="426" w:hanging="426"/>
        <w:jc w:val="left"/>
        <w:rPr>
          <w:rFonts w:asciiTheme="minorHAnsi" w:hAnsiTheme="minorHAnsi"/>
        </w:rPr>
      </w:pPr>
      <w:r>
        <w:rPr>
          <w:rFonts w:asciiTheme="minorHAnsi" w:hAnsiTheme="minorHAnsi"/>
        </w:rPr>
        <w:t xml:space="preserve">Contracting Parties at COP12 set out an </w:t>
      </w:r>
      <w:r w:rsidR="00483B22">
        <w:rPr>
          <w:rFonts w:asciiTheme="minorHAnsi" w:hAnsiTheme="minorHAnsi"/>
        </w:rPr>
        <w:t xml:space="preserve">initial estimate for </w:t>
      </w:r>
      <w:r w:rsidR="001B72FB">
        <w:rPr>
          <w:rFonts w:asciiTheme="minorHAnsi" w:hAnsiTheme="minorHAnsi"/>
        </w:rPr>
        <w:t xml:space="preserve">these </w:t>
      </w:r>
      <w:r w:rsidR="00483B22">
        <w:rPr>
          <w:rFonts w:asciiTheme="minorHAnsi" w:hAnsiTheme="minorHAnsi"/>
        </w:rPr>
        <w:t xml:space="preserve">non-core funds in </w:t>
      </w:r>
      <w:r>
        <w:rPr>
          <w:rFonts w:asciiTheme="minorHAnsi" w:hAnsiTheme="minorHAnsi"/>
        </w:rPr>
        <w:t xml:space="preserve">Resolution </w:t>
      </w:r>
      <w:r w:rsidR="00483B22">
        <w:rPr>
          <w:rFonts w:asciiTheme="minorHAnsi" w:hAnsiTheme="minorHAnsi"/>
        </w:rPr>
        <w:t>XII.1 Annex 3</w:t>
      </w:r>
      <w:r>
        <w:rPr>
          <w:rFonts w:asciiTheme="minorHAnsi" w:hAnsiTheme="minorHAnsi"/>
        </w:rPr>
        <w:t>,</w:t>
      </w:r>
      <w:r w:rsidR="00483B22">
        <w:rPr>
          <w:rFonts w:asciiTheme="minorHAnsi" w:hAnsiTheme="minorHAnsi"/>
        </w:rPr>
        <w:t xml:space="preserve"> </w:t>
      </w:r>
      <w:r w:rsidR="001B72FB">
        <w:rPr>
          <w:rFonts w:asciiTheme="minorHAnsi" w:hAnsiTheme="minorHAnsi"/>
        </w:rPr>
        <w:t xml:space="preserve">and </w:t>
      </w:r>
      <w:r w:rsidR="00483B22">
        <w:rPr>
          <w:rFonts w:asciiTheme="minorHAnsi" w:hAnsiTheme="minorHAnsi"/>
        </w:rPr>
        <w:t xml:space="preserve">specified a </w:t>
      </w:r>
      <w:r w:rsidR="00EA3B55">
        <w:rPr>
          <w:rFonts w:asciiTheme="minorHAnsi" w:hAnsiTheme="minorHAnsi"/>
        </w:rPr>
        <w:t>total amount</w:t>
      </w:r>
      <w:r w:rsidR="00483B22">
        <w:rPr>
          <w:rFonts w:asciiTheme="minorHAnsi" w:hAnsiTheme="minorHAnsi"/>
        </w:rPr>
        <w:t xml:space="preserve"> </w:t>
      </w:r>
      <w:r w:rsidR="00EA3B55">
        <w:rPr>
          <w:rFonts w:asciiTheme="minorHAnsi" w:hAnsiTheme="minorHAnsi"/>
        </w:rPr>
        <w:t xml:space="preserve">of CHF 4.2m </w:t>
      </w:r>
      <w:r w:rsidR="00483B22">
        <w:rPr>
          <w:rFonts w:asciiTheme="minorHAnsi" w:hAnsiTheme="minorHAnsi"/>
        </w:rPr>
        <w:t>for non-core funding for priority projects over the triennium</w:t>
      </w:r>
      <w:r w:rsidR="00EA3B55">
        <w:rPr>
          <w:rFonts w:asciiTheme="minorHAnsi" w:hAnsiTheme="minorHAnsi"/>
        </w:rPr>
        <w:t xml:space="preserve"> 2016-2018</w:t>
      </w:r>
      <w:r w:rsidR="00483B22">
        <w:rPr>
          <w:rFonts w:asciiTheme="minorHAnsi" w:hAnsiTheme="minorHAnsi"/>
        </w:rPr>
        <w:t>.</w:t>
      </w:r>
      <w:r>
        <w:rPr>
          <w:rFonts w:asciiTheme="minorHAnsi" w:hAnsiTheme="minorHAnsi"/>
        </w:rPr>
        <w:t xml:space="preserve"> </w:t>
      </w:r>
      <w:r w:rsidR="00125BC4">
        <w:rPr>
          <w:rFonts w:asciiTheme="minorHAnsi" w:hAnsiTheme="minorHAnsi"/>
        </w:rPr>
        <w:t xml:space="preserve">Taking into account </w:t>
      </w:r>
      <w:r w:rsidR="000506A6">
        <w:rPr>
          <w:rFonts w:asciiTheme="minorHAnsi" w:hAnsiTheme="minorHAnsi"/>
        </w:rPr>
        <w:t xml:space="preserve">the actions detailed under </w:t>
      </w:r>
      <w:r w:rsidR="00125BC4">
        <w:rPr>
          <w:rFonts w:asciiTheme="minorHAnsi" w:hAnsiTheme="minorHAnsi"/>
        </w:rPr>
        <w:t xml:space="preserve">all the Resolutions agreed by the Parties at COP12, a number of other actions </w:t>
      </w:r>
      <w:r w:rsidR="000506A6">
        <w:rPr>
          <w:rFonts w:asciiTheme="minorHAnsi" w:hAnsiTheme="minorHAnsi"/>
        </w:rPr>
        <w:t>have been identified by the Secretariat</w:t>
      </w:r>
      <w:r w:rsidR="00125BC4">
        <w:rPr>
          <w:rFonts w:asciiTheme="minorHAnsi" w:hAnsiTheme="minorHAnsi"/>
        </w:rPr>
        <w:t xml:space="preserve"> </w:t>
      </w:r>
      <w:r w:rsidR="000506A6">
        <w:rPr>
          <w:rFonts w:asciiTheme="minorHAnsi" w:hAnsiTheme="minorHAnsi"/>
        </w:rPr>
        <w:t>as no</w:t>
      </w:r>
      <w:r w:rsidR="009E5776">
        <w:rPr>
          <w:rFonts w:asciiTheme="minorHAnsi" w:hAnsiTheme="minorHAnsi"/>
        </w:rPr>
        <w:t>t</w:t>
      </w:r>
      <w:r w:rsidR="009A48DD">
        <w:rPr>
          <w:rFonts w:asciiTheme="minorHAnsi" w:hAnsiTheme="minorHAnsi"/>
        </w:rPr>
        <w:t xml:space="preserve"> being </w:t>
      </w:r>
      <w:r w:rsidR="00125BC4" w:rsidRPr="009E5776">
        <w:rPr>
          <w:rFonts w:asciiTheme="minorHAnsi" w:hAnsiTheme="minorHAnsi"/>
        </w:rPr>
        <w:t xml:space="preserve">reflected </w:t>
      </w:r>
      <w:r w:rsidR="00CB792A" w:rsidRPr="009E5776">
        <w:rPr>
          <w:rFonts w:asciiTheme="minorHAnsi" w:hAnsiTheme="minorHAnsi"/>
        </w:rPr>
        <w:t>in the agreed budget for non-core funds as in</w:t>
      </w:r>
      <w:r w:rsidR="00125BC4" w:rsidRPr="009E5776">
        <w:rPr>
          <w:rFonts w:asciiTheme="minorHAnsi" w:hAnsiTheme="minorHAnsi"/>
        </w:rPr>
        <w:t xml:space="preserve"> </w:t>
      </w:r>
      <w:r w:rsidR="001B72FB" w:rsidRPr="009E5776">
        <w:rPr>
          <w:rFonts w:asciiTheme="minorHAnsi" w:hAnsiTheme="minorHAnsi"/>
        </w:rPr>
        <w:t xml:space="preserve">COP </w:t>
      </w:r>
      <w:r w:rsidR="00125BC4" w:rsidRPr="009E5776">
        <w:rPr>
          <w:rFonts w:asciiTheme="minorHAnsi" w:hAnsiTheme="minorHAnsi"/>
        </w:rPr>
        <w:t>XII.1 Annex 3. This present document was therefore prepared in order to complement the non-core funding for priority projects already agreed</w:t>
      </w:r>
      <w:r w:rsidR="009A48DD">
        <w:rPr>
          <w:rFonts w:asciiTheme="minorHAnsi" w:hAnsiTheme="minorHAnsi"/>
        </w:rPr>
        <w:t xml:space="preserve">, and to be in line with the workplans for the </w:t>
      </w:r>
      <w:r w:rsidR="008032A2">
        <w:rPr>
          <w:rFonts w:asciiTheme="minorHAnsi" w:hAnsiTheme="minorHAnsi"/>
        </w:rPr>
        <w:t>Secretariat as detailed in SC51</w:t>
      </w:r>
      <w:r w:rsidR="00F02BFF">
        <w:rPr>
          <w:rFonts w:asciiTheme="minorHAnsi" w:hAnsiTheme="minorHAnsi"/>
        </w:rPr>
        <w:t>-07</w:t>
      </w:r>
      <w:r w:rsidR="00CB792A" w:rsidRPr="009E5776">
        <w:rPr>
          <w:rFonts w:asciiTheme="minorHAnsi" w:hAnsiTheme="minorHAnsi"/>
        </w:rPr>
        <w:t>.</w:t>
      </w:r>
      <w:r w:rsidR="001B72FB" w:rsidRPr="009E5776">
        <w:rPr>
          <w:rFonts w:asciiTheme="minorHAnsi" w:hAnsiTheme="minorHAnsi"/>
        </w:rPr>
        <w:t xml:space="preserve"> </w:t>
      </w:r>
    </w:p>
    <w:p w:rsidR="00CB792A" w:rsidRPr="00CB792A" w:rsidRDefault="00CB792A" w:rsidP="002E1289">
      <w:pPr>
        <w:pStyle w:val="ListParagraph"/>
        <w:ind w:left="426" w:hanging="426"/>
        <w:jc w:val="left"/>
        <w:rPr>
          <w:rFonts w:asciiTheme="minorHAnsi" w:hAnsiTheme="minorHAnsi"/>
        </w:rPr>
      </w:pPr>
    </w:p>
    <w:p w:rsidR="00BE5EAD" w:rsidRPr="00B30085" w:rsidRDefault="00CB792A" w:rsidP="002E1289">
      <w:pPr>
        <w:pStyle w:val="ListParagraph"/>
        <w:numPr>
          <w:ilvl w:val="0"/>
          <w:numId w:val="19"/>
        </w:numPr>
        <w:autoSpaceDE w:val="0"/>
        <w:autoSpaceDN w:val="0"/>
        <w:adjustRightInd w:val="0"/>
        <w:ind w:left="426" w:hanging="426"/>
        <w:jc w:val="left"/>
        <w:rPr>
          <w:rFonts w:asciiTheme="minorHAnsi" w:hAnsiTheme="minorHAnsi"/>
        </w:rPr>
      </w:pPr>
      <w:r>
        <w:rPr>
          <w:rFonts w:asciiTheme="minorHAnsi" w:hAnsiTheme="minorHAnsi"/>
        </w:rPr>
        <w:t>The following costings</w:t>
      </w:r>
      <w:r w:rsidR="001B72FB">
        <w:rPr>
          <w:rFonts w:asciiTheme="minorHAnsi" w:hAnsiTheme="minorHAnsi"/>
        </w:rPr>
        <w:t xml:space="preserve"> indicate areas where further support </w:t>
      </w:r>
      <w:r w:rsidR="009A48DD">
        <w:rPr>
          <w:rFonts w:asciiTheme="minorHAnsi" w:hAnsiTheme="minorHAnsi"/>
        </w:rPr>
        <w:t xml:space="preserve">would </w:t>
      </w:r>
      <w:r w:rsidR="001B72FB">
        <w:rPr>
          <w:rFonts w:asciiTheme="minorHAnsi" w:hAnsiTheme="minorHAnsi"/>
        </w:rPr>
        <w:t>be needed</w:t>
      </w:r>
      <w:r>
        <w:rPr>
          <w:rFonts w:asciiTheme="minorHAnsi" w:hAnsiTheme="minorHAnsi"/>
        </w:rPr>
        <w:t xml:space="preserve"> to achieve the full implementation of the COP12 Resolutions, in line with the requirement of Rule 14 of the Rules of Procedure</w:t>
      </w:r>
      <w:r>
        <w:rPr>
          <w:rStyle w:val="FootnoteReference"/>
          <w:rFonts w:asciiTheme="minorHAnsi" w:hAnsiTheme="minorHAnsi"/>
        </w:rPr>
        <w:footnoteReference w:id="2"/>
      </w:r>
      <w:r>
        <w:rPr>
          <w:rFonts w:asciiTheme="minorHAnsi" w:hAnsiTheme="minorHAnsi"/>
        </w:rPr>
        <w:t xml:space="preserve">. The Secretariat notes that actions to comply with this Rule were not previously followed, and intends to include this in the </w:t>
      </w:r>
      <w:r w:rsidR="002E1289">
        <w:rPr>
          <w:rFonts w:asciiTheme="minorHAnsi" w:hAnsiTheme="minorHAnsi"/>
        </w:rPr>
        <w:t xml:space="preserve">preparations </w:t>
      </w:r>
      <w:r>
        <w:rPr>
          <w:rFonts w:asciiTheme="minorHAnsi" w:hAnsiTheme="minorHAnsi"/>
        </w:rPr>
        <w:t>for COP13</w:t>
      </w:r>
      <w:r w:rsidR="00125BC4">
        <w:rPr>
          <w:rFonts w:asciiTheme="minorHAnsi" w:hAnsiTheme="minorHAnsi"/>
        </w:rPr>
        <w:t>.</w:t>
      </w:r>
      <w:r w:rsidR="009A48DD">
        <w:rPr>
          <w:rFonts w:asciiTheme="minorHAnsi" w:hAnsiTheme="minorHAnsi"/>
        </w:rPr>
        <w:t xml:space="preserve"> This paper therefore reflects the requirement for the Secretariat to prepare details of the </w:t>
      </w:r>
      <w:r w:rsidR="009A48DD" w:rsidRPr="002E1289">
        <w:rPr>
          <w:rFonts w:asciiTheme="minorHAnsi" w:eastAsiaTheme="minorHAnsi" w:hAnsiTheme="minorHAnsi" w:cstheme="minorHAnsi"/>
          <w:sz w:val="20"/>
          <w:szCs w:val="20"/>
        </w:rPr>
        <w:t>projected administrative and financial implications of all</w:t>
      </w:r>
      <w:r w:rsidR="009A48DD">
        <w:rPr>
          <w:rFonts w:asciiTheme="minorHAnsi" w:eastAsiaTheme="minorHAnsi" w:hAnsiTheme="minorHAnsi" w:cstheme="minorHAnsi"/>
          <w:sz w:val="20"/>
          <w:szCs w:val="20"/>
        </w:rPr>
        <w:t xml:space="preserve"> COP12 decisions after their approval in June 2015</w:t>
      </w:r>
    </w:p>
    <w:p w:rsidR="00BE5EAD" w:rsidRDefault="00BE5EAD" w:rsidP="002E1289">
      <w:pPr>
        <w:autoSpaceDE w:val="0"/>
        <w:autoSpaceDN w:val="0"/>
        <w:adjustRightInd w:val="0"/>
        <w:rPr>
          <w:rFonts w:asciiTheme="minorHAnsi" w:hAnsiTheme="minorHAnsi"/>
          <w:sz w:val="22"/>
          <w:szCs w:val="22"/>
        </w:rPr>
      </w:pPr>
    </w:p>
    <w:p w:rsidR="00BF521A" w:rsidRDefault="00BF521A" w:rsidP="002E1289">
      <w:pPr>
        <w:autoSpaceDE w:val="0"/>
        <w:autoSpaceDN w:val="0"/>
        <w:adjustRightInd w:val="0"/>
        <w:rPr>
          <w:rFonts w:asciiTheme="minorHAnsi" w:hAnsiTheme="minorHAnsi"/>
          <w:sz w:val="22"/>
          <w:szCs w:val="22"/>
        </w:rPr>
      </w:pPr>
    </w:p>
    <w:p w:rsidR="00BF521A" w:rsidRDefault="00BF521A" w:rsidP="002E1289">
      <w:pPr>
        <w:autoSpaceDE w:val="0"/>
        <w:autoSpaceDN w:val="0"/>
        <w:adjustRightInd w:val="0"/>
        <w:rPr>
          <w:rFonts w:asciiTheme="minorHAnsi" w:hAnsiTheme="minorHAnsi"/>
          <w:sz w:val="22"/>
          <w:szCs w:val="22"/>
        </w:rPr>
      </w:pPr>
    </w:p>
    <w:p w:rsidR="00FE3C74" w:rsidRPr="00D12244" w:rsidRDefault="00D12244" w:rsidP="002E1289">
      <w:pPr>
        <w:ind w:left="720" w:hanging="720"/>
        <w:rPr>
          <w:rFonts w:asciiTheme="minorHAnsi" w:hAnsiTheme="minorHAnsi"/>
          <w:b/>
          <w:sz w:val="22"/>
          <w:szCs w:val="22"/>
        </w:rPr>
      </w:pPr>
      <w:r>
        <w:rPr>
          <w:rFonts w:asciiTheme="minorHAnsi" w:hAnsiTheme="minorHAnsi"/>
          <w:b/>
          <w:sz w:val="22"/>
          <w:szCs w:val="22"/>
        </w:rPr>
        <w:lastRenderedPageBreak/>
        <w:t xml:space="preserve">Consideration </w:t>
      </w:r>
      <w:r w:rsidR="003C7DE1">
        <w:rPr>
          <w:rFonts w:asciiTheme="minorHAnsi" w:hAnsiTheme="minorHAnsi"/>
          <w:b/>
          <w:sz w:val="22"/>
          <w:szCs w:val="22"/>
        </w:rPr>
        <w:t>of funds needed to implement</w:t>
      </w:r>
      <w:r w:rsidR="00EA3B55">
        <w:rPr>
          <w:rFonts w:asciiTheme="minorHAnsi" w:hAnsiTheme="minorHAnsi"/>
          <w:b/>
          <w:sz w:val="22"/>
          <w:szCs w:val="22"/>
        </w:rPr>
        <w:t xml:space="preserve"> all</w:t>
      </w:r>
      <w:r w:rsidR="003C7DE1">
        <w:rPr>
          <w:rFonts w:asciiTheme="minorHAnsi" w:hAnsiTheme="minorHAnsi"/>
          <w:b/>
          <w:sz w:val="22"/>
          <w:szCs w:val="22"/>
        </w:rPr>
        <w:t xml:space="preserve"> COP12 Resolutions over the triennium</w:t>
      </w:r>
    </w:p>
    <w:p w:rsidR="00A46E45" w:rsidRPr="00D12244" w:rsidRDefault="00A46E45" w:rsidP="002E1289">
      <w:pPr>
        <w:ind w:left="720" w:hanging="720"/>
        <w:rPr>
          <w:rFonts w:asciiTheme="minorHAnsi" w:hAnsiTheme="minorHAnsi"/>
          <w:b/>
          <w:sz w:val="22"/>
          <w:szCs w:val="22"/>
        </w:rPr>
      </w:pPr>
    </w:p>
    <w:p w:rsidR="00EA3B55" w:rsidRDefault="00125BC4" w:rsidP="002E1289">
      <w:pPr>
        <w:pStyle w:val="ListParagraph"/>
        <w:numPr>
          <w:ilvl w:val="0"/>
          <w:numId w:val="19"/>
        </w:numPr>
        <w:ind w:left="426" w:hanging="426"/>
        <w:jc w:val="left"/>
        <w:rPr>
          <w:rFonts w:asciiTheme="minorHAnsi" w:hAnsiTheme="minorHAnsi"/>
        </w:rPr>
      </w:pPr>
      <w:r>
        <w:rPr>
          <w:rFonts w:asciiTheme="minorHAnsi" w:hAnsiTheme="minorHAnsi"/>
        </w:rPr>
        <w:t>A</w:t>
      </w:r>
      <w:r w:rsidR="006A71EC">
        <w:rPr>
          <w:rFonts w:asciiTheme="minorHAnsi" w:hAnsiTheme="minorHAnsi"/>
        </w:rPr>
        <w:t xml:space="preserve">ll the </w:t>
      </w:r>
      <w:r w:rsidR="00483B22">
        <w:rPr>
          <w:rFonts w:asciiTheme="minorHAnsi" w:hAnsiTheme="minorHAnsi"/>
        </w:rPr>
        <w:t xml:space="preserve">COP12 Resolutions which require implementation involving non-core funds </w:t>
      </w:r>
      <w:r>
        <w:rPr>
          <w:rFonts w:asciiTheme="minorHAnsi" w:hAnsiTheme="minorHAnsi"/>
        </w:rPr>
        <w:t>are listed</w:t>
      </w:r>
      <w:r w:rsidR="006A71EC">
        <w:rPr>
          <w:rFonts w:asciiTheme="minorHAnsi" w:hAnsiTheme="minorHAnsi"/>
        </w:rPr>
        <w:t xml:space="preserve"> in A</w:t>
      </w:r>
      <w:r w:rsidR="00EA3B55">
        <w:rPr>
          <w:rFonts w:asciiTheme="minorHAnsi" w:hAnsiTheme="minorHAnsi"/>
        </w:rPr>
        <w:t>nnex 1</w:t>
      </w:r>
      <w:r>
        <w:rPr>
          <w:rFonts w:asciiTheme="minorHAnsi" w:hAnsiTheme="minorHAnsi"/>
        </w:rPr>
        <w:t>, with an estimate for each of the funds required</w:t>
      </w:r>
      <w:r w:rsidR="00EA3B55">
        <w:rPr>
          <w:rFonts w:asciiTheme="minorHAnsi" w:hAnsiTheme="minorHAnsi"/>
        </w:rPr>
        <w:t>.</w:t>
      </w:r>
      <w:r w:rsidR="002E1289">
        <w:rPr>
          <w:rFonts w:asciiTheme="minorHAnsi" w:hAnsiTheme="minorHAnsi"/>
        </w:rPr>
        <w:t xml:space="preserve"> </w:t>
      </w:r>
      <w:r>
        <w:rPr>
          <w:rFonts w:asciiTheme="minorHAnsi" w:hAnsiTheme="minorHAnsi"/>
        </w:rPr>
        <w:t>These funds are listed as one of the following:</w:t>
      </w:r>
    </w:p>
    <w:p w:rsidR="00125BC4" w:rsidRDefault="00125BC4" w:rsidP="002E1289">
      <w:pPr>
        <w:pStyle w:val="ListParagraph"/>
        <w:numPr>
          <w:ilvl w:val="1"/>
          <w:numId w:val="23"/>
        </w:numPr>
        <w:ind w:left="851" w:hanging="425"/>
        <w:jc w:val="left"/>
        <w:rPr>
          <w:rFonts w:asciiTheme="minorHAnsi" w:hAnsiTheme="minorHAnsi"/>
        </w:rPr>
      </w:pPr>
      <w:r>
        <w:rPr>
          <w:rFonts w:asciiTheme="minorHAnsi" w:hAnsiTheme="minorHAnsi"/>
        </w:rPr>
        <w:t>Non-core funds</w:t>
      </w:r>
      <w:r w:rsidR="002E1289">
        <w:rPr>
          <w:rFonts w:asciiTheme="minorHAnsi" w:hAnsiTheme="minorHAnsi"/>
        </w:rPr>
        <w:t xml:space="preserve"> </w:t>
      </w:r>
      <w:r w:rsidR="00CB792A">
        <w:rPr>
          <w:rFonts w:asciiTheme="minorHAnsi" w:hAnsiTheme="minorHAnsi"/>
        </w:rPr>
        <w:t>that are</w:t>
      </w:r>
      <w:r w:rsidR="001B72FB">
        <w:rPr>
          <w:rFonts w:asciiTheme="minorHAnsi" w:hAnsiTheme="minorHAnsi"/>
        </w:rPr>
        <w:t xml:space="preserve"> already </w:t>
      </w:r>
      <w:r>
        <w:rPr>
          <w:rFonts w:asciiTheme="minorHAnsi" w:hAnsiTheme="minorHAnsi"/>
        </w:rPr>
        <w:t xml:space="preserve">budgeted for under </w:t>
      </w:r>
      <w:r w:rsidR="001B72FB">
        <w:rPr>
          <w:rFonts w:asciiTheme="minorHAnsi" w:hAnsiTheme="minorHAnsi"/>
        </w:rPr>
        <w:t xml:space="preserve">COP </w:t>
      </w:r>
      <w:r>
        <w:rPr>
          <w:rFonts w:asciiTheme="minorHAnsi" w:hAnsiTheme="minorHAnsi"/>
        </w:rPr>
        <w:t>XII.1 Annex 3 (“Budgeted non-core funds”)</w:t>
      </w:r>
    </w:p>
    <w:p w:rsidR="00125BC4" w:rsidRDefault="00125BC4" w:rsidP="002E1289">
      <w:pPr>
        <w:pStyle w:val="ListParagraph"/>
        <w:numPr>
          <w:ilvl w:val="1"/>
          <w:numId w:val="23"/>
        </w:numPr>
        <w:ind w:left="851" w:hanging="425"/>
        <w:jc w:val="left"/>
        <w:rPr>
          <w:rFonts w:asciiTheme="minorHAnsi" w:hAnsiTheme="minorHAnsi"/>
        </w:rPr>
      </w:pPr>
      <w:r>
        <w:rPr>
          <w:rFonts w:asciiTheme="minorHAnsi" w:hAnsiTheme="minorHAnsi"/>
        </w:rPr>
        <w:t xml:space="preserve">Non-core funds </w:t>
      </w:r>
      <w:r w:rsidR="001B72FB">
        <w:rPr>
          <w:rFonts w:asciiTheme="minorHAnsi" w:hAnsiTheme="minorHAnsi"/>
        </w:rPr>
        <w:t xml:space="preserve">that may be </w:t>
      </w:r>
      <w:r>
        <w:rPr>
          <w:rFonts w:asciiTheme="minorHAnsi" w:hAnsiTheme="minorHAnsi"/>
        </w:rPr>
        <w:t>needed to support other implementation actions arising from the various COP12 Resolutions (“Additional non-core funds”)</w:t>
      </w:r>
    </w:p>
    <w:p w:rsidR="006B5FCE" w:rsidRPr="006B5FCE" w:rsidRDefault="006B5FCE" w:rsidP="006B5FCE">
      <w:pPr>
        <w:rPr>
          <w:rFonts w:asciiTheme="minorHAnsi" w:hAnsiTheme="minorHAnsi"/>
        </w:rPr>
      </w:pPr>
    </w:p>
    <w:p w:rsidR="00483B22" w:rsidRDefault="00125BC4" w:rsidP="002E1289">
      <w:pPr>
        <w:pStyle w:val="ListParagraph"/>
        <w:numPr>
          <w:ilvl w:val="0"/>
          <w:numId w:val="19"/>
        </w:numPr>
        <w:ind w:left="426" w:hanging="426"/>
        <w:jc w:val="left"/>
        <w:rPr>
          <w:rFonts w:asciiTheme="minorHAnsi" w:hAnsiTheme="minorHAnsi"/>
        </w:rPr>
      </w:pPr>
      <w:r>
        <w:rPr>
          <w:rFonts w:asciiTheme="minorHAnsi" w:hAnsiTheme="minorHAnsi"/>
        </w:rPr>
        <w:t>The actions to be implemented</w:t>
      </w:r>
      <w:r w:rsidR="00EA3B55">
        <w:rPr>
          <w:rFonts w:asciiTheme="minorHAnsi" w:hAnsiTheme="minorHAnsi"/>
        </w:rPr>
        <w:t xml:space="preserve"> and </w:t>
      </w:r>
      <w:r w:rsidR="001B72FB">
        <w:rPr>
          <w:rFonts w:asciiTheme="minorHAnsi" w:hAnsiTheme="minorHAnsi"/>
        </w:rPr>
        <w:t xml:space="preserve">the </w:t>
      </w:r>
      <w:r w:rsidR="00EA3B55">
        <w:rPr>
          <w:rFonts w:asciiTheme="minorHAnsi" w:hAnsiTheme="minorHAnsi"/>
        </w:rPr>
        <w:t>funds needed</w:t>
      </w:r>
      <w:r>
        <w:rPr>
          <w:rFonts w:asciiTheme="minorHAnsi" w:hAnsiTheme="minorHAnsi"/>
        </w:rPr>
        <w:t xml:space="preserve"> </w:t>
      </w:r>
      <w:r w:rsidR="00CB792A">
        <w:rPr>
          <w:rFonts w:asciiTheme="minorHAnsi" w:hAnsiTheme="minorHAnsi"/>
        </w:rPr>
        <w:t>again</w:t>
      </w:r>
      <w:r w:rsidR="009E5776">
        <w:rPr>
          <w:rFonts w:asciiTheme="minorHAnsi" w:hAnsiTheme="minorHAnsi"/>
        </w:rPr>
        <w:t>s</w:t>
      </w:r>
      <w:r w:rsidR="00CB792A">
        <w:rPr>
          <w:rFonts w:asciiTheme="minorHAnsi" w:hAnsiTheme="minorHAnsi"/>
        </w:rPr>
        <w:t xml:space="preserve">t </w:t>
      </w:r>
      <w:r>
        <w:rPr>
          <w:rFonts w:asciiTheme="minorHAnsi" w:hAnsiTheme="minorHAnsi"/>
        </w:rPr>
        <w:t>each</w:t>
      </w:r>
      <w:r w:rsidR="00EA3B55">
        <w:rPr>
          <w:rFonts w:asciiTheme="minorHAnsi" w:hAnsiTheme="minorHAnsi"/>
        </w:rPr>
        <w:t xml:space="preserve"> </w:t>
      </w:r>
      <w:r w:rsidR="001B72FB">
        <w:rPr>
          <w:rFonts w:asciiTheme="minorHAnsi" w:hAnsiTheme="minorHAnsi"/>
        </w:rPr>
        <w:t>COP</w:t>
      </w:r>
      <w:r w:rsidR="002E1289">
        <w:rPr>
          <w:rFonts w:asciiTheme="minorHAnsi" w:hAnsiTheme="minorHAnsi"/>
        </w:rPr>
        <w:t xml:space="preserve">12 </w:t>
      </w:r>
      <w:r w:rsidR="001B72FB">
        <w:rPr>
          <w:rFonts w:asciiTheme="minorHAnsi" w:hAnsiTheme="minorHAnsi"/>
        </w:rPr>
        <w:t xml:space="preserve">Resolution </w:t>
      </w:r>
      <w:r w:rsidR="00EA3B55">
        <w:rPr>
          <w:rFonts w:asciiTheme="minorHAnsi" w:hAnsiTheme="minorHAnsi"/>
        </w:rPr>
        <w:t>are set out in more detail in Annex 2</w:t>
      </w:r>
      <w:r>
        <w:rPr>
          <w:rFonts w:asciiTheme="minorHAnsi" w:hAnsiTheme="minorHAnsi"/>
        </w:rPr>
        <w:t>,</w:t>
      </w:r>
      <w:r w:rsidR="00EA3B55">
        <w:rPr>
          <w:rFonts w:asciiTheme="minorHAnsi" w:hAnsiTheme="minorHAnsi"/>
        </w:rPr>
        <w:t xml:space="preserve"> </w:t>
      </w:r>
      <w:r w:rsidR="00CB792A">
        <w:rPr>
          <w:rFonts w:asciiTheme="minorHAnsi" w:hAnsiTheme="minorHAnsi"/>
        </w:rPr>
        <w:t xml:space="preserve">referenced to </w:t>
      </w:r>
      <w:r w:rsidR="00EA3B55">
        <w:rPr>
          <w:rFonts w:asciiTheme="minorHAnsi" w:hAnsiTheme="minorHAnsi"/>
        </w:rPr>
        <w:t>the text of the relevant paragraphs from each of the Resolutions</w:t>
      </w:r>
      <w:r w:rsidR="00483B22" w:rsidRPr="00B30085">
        <w:rPr>
          <w:rFonts w:asciiTheme="minorHAnsi" w:hAnsiTheme="minorHAnsi"/>
        </w:rPr>
        <w:t xml:space="preserve">. </w:t>
      </w:r>
    </w:p>
    <w:p w:rsidR="00483B22" w:rsidRPr="00B30085" w:rsidRDefault="00483B22" w:rsidP="002E1289">
      <w:pPr>
        <w:pStyle w:val="ListParagraph"/>
        <w:ind w:left="426" w:hanging="426"/>
        <w:jc w:val="left"/>
        <w:rPr>
          <w:rFonts w:asciiTheme="minorHAnsi" w:hAnsiTheme="minorHAnsi"/>
        </w:rPr>
      </w:pPr>
    </w:p>
    <w:p w:rsidR="00442350" w:rsidRPr="00802DF7" w:rsidRDefault="00483B22" w:rsidP="00802DF7">
      <w:pPr>
        <w:pStyle w:val="ListParagraph"/>
        <w:numPr>
          <w:ilvl w:val="0"/>
          <w:numId w:val="19"/>
        </w:numPr>
        <w:ind w:left="426" w:hanging="426"/>
        <w:jc w:val="left"/>
        <w:rPr>
          <w:rFonts w:asciiTheme="minorHAnsi" w:eastAsiaTheme="minorHAnsi" w:hAnsiTheme="minorHAnsi" w:cs="Calibri-Bold"/>
          <w:b/>
          <w:bCs/>
        </w:rPr>
      </w:pPr>
      <w:r w:rsidRPr="009A48DD">
        <w:rPr>
          <w:rFonts w:asciiTheme="minorHAnsi" w:hAnsiTheme="minorHAnsi"/>
        </w:rPr>
        <w:t xml:space="preserve">Annex 1 shows a total non-core funding requirement </w:t>
      </w:r>
      <w:r w:rsidR="00802DF7">
        <w:rPr>
          <w:rFonts w:asciiTheme="minorHAnsi" w:hAnsiTheme="minorHAnsi"/>
        </w:rPr>
        <w:t>for the triennium of CHF 6,</w:t>
      </w:r>
      <w:r w:rsidR="0035558F">
        <w:rPr>
          <w:rFonts w:asciiTheme="minorHAnsi" w:hAnsiTheme="minorHAnsi"/>
        </w:rPr>
        <w:t>925</w:t>
      </w:r>
      <w:r w:rsidR="00442350" w:rsidRPr="009A48DD">
        <w:rPr>
          <w:rFonts w:asciiTheme="minorHAnsi" w:hAnsiTheme="minorHAnsi"/>
        </w:rPr>
        <w:t>,000</w:t>
      </w:r>
      <w:r w:rsidR="00CB792A" w:rsidRPr="009A48DD">
        <w:rPr>
          <w:rFonts w:asciiTheme="minorHAnsi" w:hAnsiTheme="minorHAnsi"/>
        </w:rPr>
        <w:t>, including</w:t>
      </w:r>
      <w:r w:rsidR="00442350" w:rsidRPr="009A48DD">
        <w:rPr>
          <w:rFonts w:asciiTheme="minorHAnsi" w:hAnsiTheme="minorHAnsi"/>
        </w:rPr>
        <w:t xml:space="preserve"> budgeted non-core funds</w:t>
      </w:r>
      <w:r w:rsidR="009A48DD" w:rsidRPr="009A48DD">
        <w:rPr>
          <w:rFonts w:asciiTheme="minorHAnsi" w:hAnsiTheme="minorHAnsi"/>
        </w:rPr>
        <w:t xml:space="preserve"> and </w:t>
      </w:r>
      <w:r w:rsidR="00442350" w:rsidRPr="009A48DD">
        <w:rPr>
          <w:rFonts w:asciiTheme="minorHAnsi" w:hAnsiTheme="minorHAnsi"/>
        </w:rPr>
        <w:t xml:space="preserve">additional non-core funds </w:t>
      </w:r>
      <w:r w:rsidR="009A48DD" w:rsidRPr="009A48DD">
        <w:rPr>
          <w:rFonts w:asciiTheme="minorHAnsi" w:hAnsiTheme="minorHAnsi"/>
        </w:rPr>
        <w:t>needed.</w:t>
      </w:r>
      <w:r w:rsidR="004825FD">
        <w:rPr>
          <w:rFonts w:asciiTheme="minorHAnsi" w:hAnsiTheme="minorHAnsi"/>
        </w:rPr>
        <w:t xml:space="preserve"> </w:t>
      </w:r>
      <w:r w:rsidR="00442350">
        <w:rPr>
          <w:rFonts w:asciiTheme="minorHAnsi" w:hAnsiTheme="minorHAnsi"/>
        </w:rPr>
        <w:t xml:space="preserve"> </w:t>
      </w:r>
      <w:r w:rsidR="009A48DD">
        <w:rPr>
          <w:rFonts w:asciiTheme="minorHAnsi" w:hAnsiTheme="minorHAnsi"/>
        </w:rPr>
        <w:t xml:space="preserve">In total, the </w:t>
      </w:r>
      <w:r w:rsidR="00442350">
        <w:rPr>
          <w:rFonts w:asciiTheme="minorHAnsi" w:hAnsiTheme="minorHAnsi"/>
        </w:rPr>
        <w:t xml:space="preserve">non-core funding that </w:t>
      </w:r>
      <w:r w:rsidR="009A48DD">
        <w:rPr>
          <w:rFonts w:asciiTheme="minorHAnsi" w:hAnsiTheme="minorHAnsi"/>
        </w:rPr>
        <w:t>would need</w:t>
      </w:r>
      <w:r w:rsidR="00442350">
        <w:rPr>
          <w:rFonts w:asciiTheme="minorHAnsi" w:hAnsiTheme="minorHAnsi"/>
        </w:rPr>
        <w:t xml:space="preserve"> to be raised</w:t>
      </w:r>
      <w:r w:rsidR="004825FD">
        <w:rPr>
          <w:rFonts w:asciiTheme="minorHAnsi" w:hAnsiTheme="minorHAnsi"/>
        </w:rPr>
        <w:t>, if all the costings are accepted,</w:t>
      </w:r>
      <w:r w:rsidR="00442350">
        <w:rPr>
          <w:rFonts w:asciiTheme="minorHAnsi" w:hAnsiTheme="minorHAnsi"/>
        </w:rPr>
        <w:t xml:space="preserve"> is a</w:t>
      </w:r>
      <w:r w:rsidR="005D1BB0">
        <w:rPr>
          <w:rFonts w:asciiTheme="minorHAnsi" w:hAnsiTheme="minorHAnsi"/>
        </w:rPr>
        <w:t>n</w:t>
      </w:r>
      <w:r w:rsidR="00802DF7">
        <w:rPr>
          <w:rFonts w:asciiTheme="minorHAnsi" w:hAnsiTheme="minorHAnsi"/>
        </w:rPr>
        <w:t xml:space="preserve"> amount of CHF 6,</w:t>
      </w:r>
      <w:r w:rsidR="0035558F">
        <w:rPr>
          <w:rFonts w:asciiTheme="minorHAnsi" w:hAnsiTheme="minorHAnsi"/>
        </w:rPr>
        <w:t>925</w:t>
      </w:r>
      <w:r w:rsidR="00442350" w:rsidRPr="00802DF7">
        <w:rPr>
          <w:rFonts w:asciiTheme="minorHAnsi" w:hAnsiTheme="minorHAnsi"/>
        </w:rPr>
        <w:t>,000.</w:t>
      </w:r>
      <w:r w:rsidR="002E1289" w:rsidRPr="00802DF7">
        <w:rPr>
          <w:rFonts w:asciiTheme="minorHAnsi" w:hAnsiTheme="minorHAnsi"/>
        </w:rPr>
        <w:t xml:space="preserve"> </w:t>
      </w:r>
    </w:p>
    <w:p w:rsidR="00442350" w:rsidRPr="00442350" w:rsidRDefault="00442350" w:rsidP="002E1289">
      <w:pPr>
        <w:pStyle w:val="ListParagraph"/>
        <w:ind w:left="426" w:hanging="426"/>
        <w:jc w:val="left"/>
        <w:rPr>
          <w:rFonts w:asciiTheme="minorHAnsi" w:hAnsiTheme="minorHAnsi"/>
        </w:rPr>
      </w:pPr>
    </w:p>
    <w:p w:rsidR="00C80D1A" w:rsidRPr="009E5776" w:rsidRDefault="00442350" w:rsidP="002E1289">
      <w:pPr>
        <w:pStyle w:val="ListParagraph"/>
        <w:numPr>
          <w:ilvl w:val="0"/>
          <w:numId w:val="19"/>
        </w:numPr>
        <w:ind w:left="426" w:hanging="426"/>
        <w:jc w:val="left"/>
        <w:rPr>
          <w:rFonts w:asciiTheme="minorHAnsi" w:eastAsiaTheme="minorHAnsi" w:hAnsiTheme="minorHAnsi" w:cs="Calibri-Bold"/>
          <w:b/>
          <w:bCs/>
        </w:rPr>
      </w:pPr>
      <w:r w:rsidRPr="009E5776">
        <w:rPr>
          <w:rFonts w:asciiTheme="minorHAnsi" w:hAnsiTheme="minorHAnsi"/>
        </w:rPr>
        <w:t>Included in the</w:t>
      </w:r>
      <w:r w:rsidR="005D1BB0">
        <w:rPr>
          <w:rFonts w:asciiTheme="minorHAnsi" w:hAnsiTheme="minorHAnsi"/>
        </w:rPr>
        <w:t>se</w:t>
      </w:r>
      <w:r w:rsidRPr="009E5776">
        <w:rPr>
          <w:rFonts w:asciiTheme="minorHAnsi" w:hAnsiTheme="minorHAnsi"/>
        </w:rPr>
        <w:t xml:space="preserve"> non-core funding requirements is</w:t>
      </w:r>
      <w:r w:rsidR="00483B22" w:rsidRPr="009E5776">
        <w:rPr>
          <w:rFonts w:asciiTheme="minorHAnsi" w:hAnsiTheme="minorHAnsi"/>
        </w:rPr>
        <w:t xml:space="preserve"> a sum of CHF 300,000 </w:t>
      </w:r>
      <w:r w:rsidRPr="009E5776">
        <w:rPr>
          <w:rFonts w:asciiTheme="minorHAnsi" w:hAnsiTheme="minorHAnsi"/>
        </w:rPr>
        <w:t>which</w:t>
      </w:r>
      <w:r w:rsidR="00483B22" w:rsidRPr="009E5776">
        <w:rPr>
          <w:rFonts w:asciiTheme="minorHAnsi" w:hAnsiTheme="minorHAnsi"/>
        </w:rPr>
        <w:t xml:space="preserve"> is </w:t>
      </w:r>
      <w:r w:rsidR="003F2E97" w:rsidRPr="009E5776">
        <w:rPr>
          <w:rFonts w:asciiTheme="minorHAnsi" w:hAnsiTheme="minorHAnsi"/>
        </w:rPr>
        <w:t xml:space="preserve">set aside </w:t>
      </w:r>
      <w:r w:rsidR="00483B22" w:rsidRPr="009E5776">
        <w:rPr>
          <w:rFonts w:asciiTheme="minorHAnsi" w:hAnsiTheme="minorHAnsi"/>
        </w:rPr>
        <w:t xml:space="preserve">for developing new fundraising approaches and tools </w:t>
      </w:r>
      <w:r w:rsidRPr="009E5776">
        <w:rPr>
          <w:rFonts w:asciiTheme="minorHAnsi" w:hAnsiTheme="minorHAnsi"/>
        </w:rPr>
        <w:t>(as described</w:t>
      </w:r>
      <w:r w:rsidR="00483B22" w:rsidRPr="009E5776">
        <w:rPr>
          <w:rFonts w:asciiTheme="minorHAnsi" w:hAnsiTheme="minorHAnsi"/>
        </w:rPr>
        <w:t xml:space="preserve"> in Res.XII.1.20</w:t>
      </w:r>
      <w:r w:rsidRPr="009E5776">
        <w:rPr>
          <w:rFonts w:asciiTheme="minorHAnsi" w:hAnsiTheme="minorHAnsi"/>
        </w:rPr>
        <w:t>)</w:t>
      </w:r>
      <w:r w:rsidR="00483B22" w:rsidRPr="009E5776">
        <w:rPr>
          <w:rFonts w:asciiTheme="minorHAnsi" w:hAnsiTheme="minorHAnsi"/>
        </w:rPr>
        <w:t>.</w:t>
      </w:r>
      <w:r w:rsidR="002E1289">
        <w:rPr>
          <w:rFonts w:asciiTheme="minorHAnsi" w:hAnsiTheme="minorHAnsi"/>
        </w:rPr>
        <w:t xml:space="preserve"> </w:t>
      </w:r>
    </w:p>
    <w:p w:rsidR="00003727" w:rsidRPr="002046D5" w:rsidRDefault="00003727" w:rsidP="002E1289">
      <w:pPr>
        <w:pStyle w:val="ListParagraph"/>
        <w:ind w:left="426" w:hanging="426"/>
        <w:jc w:val="left"/>
        <w:rPr>
          <w:rFonts w:asciiTheme="minorHAnsi" w:eastAsiaTheme="minorHAnsi" w:hAnsiTheme="minorHAnsi" w:cs="Calibri-Bold"/>
          <w:bCs/>
        </w:rPr>
      </w:pPr>
    </w:p>
    <w:p w:rsidR="00003727" w:rsidRPr="002046D5" w:rsidRDefault="00003727" w:rsidP="002E1289">
      <w:pPr>
        <w:pStyle w:val="ListParagraph"/>
        <w:numPr>
          <w:ilvl w:val="0"/>
          <w:numId w:val="19"/>
        </w:numPr>
        <w:ind w:left="426" w:hanging="426"/>
        <w:jc w:val="left"/>
        <w:rPr>
          <w:rFonts w:asciiTheme="minorHAnsi" w:eastAsiaTheme="minorHAnsi" w:hAnsiTheme="minorHAnsi" w:cs="Calibri-Bold"/>
          <w:bCs/>
        </w:rPr>
      </w:pPr>
      <w:r w:rsidRPr="002046D5">
        <w:rPr>
          <w:rFonts w:asciiTheme="minorHAnsi" w:eastAsiaTheme="minorHAnsi" w:hAnsiTheme="minorHAnsi" w:cs="Calibri-Bold"/>
          <w:bCs/>
        </w:rPr>
        <w:t xml:space="preserve">If the resources </w:t>
      </w:r>
      <w:r w:rsidR="002E1289" w:rsidRPr="002046D5">
        <w:rPr>
          <w:rFonts w:asciiTheme="minorHAnsi" w:eastAsiaTheme="minorHAnsi" w:hAnsiTheme="minorHAnsi" w:cs="Calibri-Bold"/>
          <w:bCs/>
        </w:rPr>
        <w:t>mobili</w:t>
      </w:r>
      <w:r w:rsidR="002E1289">
        <w:rPr>
          <w:rFonts w:asciiTheme="minorHAnsi" w:eastAsiaTheme="minorHAnsi" w:hAnsiTheme="minorHAnsi" w:cs="Calibri-Bold"/>
          <w:bCs/>
        </w:rPr>
        <w:t>z</w:t>
      </w:r>
      <w:r w:rsidR="002E1289" w:rsidRPr="002046D5">
        <w:rPr>
          <w:rFonts w:asciiTheme="minorHAnsi" w:eastAsiaTheme="minorHAnsi" w:hAnsiTheme="minorHAnsi" w:cs="Calibri-Bold"/>
          <w:bCs/>
        </w:rPr>
        <w:t xml:space="preserve">ed </w:t>
      </w:r>
      <w:r w:rsidRPr="002046D5">
        <w:rPr>
          <w:rFonts w:asciiTheme="minorHAnsi" w:eastAsiaTheme="minorHAnsi" w:hAnsiTheme="minorHAnsi" w:cs="Calibri-Bold"/>
          <w:bCs/>
        </w:rPr>
        <w:t>a</w:t>
      </w:r>
      <w:r w:rsidR="00802DF7">
        <w:rPr>
          <w:rFonts w:asciiTheme="minorHAnsi" w:eastAsiaTheme="minorHAnsi" w:hAnsiTheme="minorHAnsi" w:cs="Calibri-Bold"/>
          <w:bCs/>
        </w:rPr>
        <w:t>re below the amount of CHF 6,</w:t>
      </w:r>
      <w:r w:rsidR="0035558F">
        <w:rPr>
          <w:rFonts w:asciiTheme="minorHAnsi" w:eastAsiaTheme="minorHAnsi" w:hAnsiTheme="minorHAnsi" w:cs="Calibri-Bold"/>
          <w:bCs/>
        </w:rPr>
        <w:t>925</w:t>
      </w:r>
      <w:r w:rsidRPr="002046D5">
        <w:rPr>
          <w:rFonts w:asciiTheme="minorHAnsi" w:eastAsiaTheme="minorHAnsi" w:hAnsiTheme="minorHAnsi" w:cs="Calibri-Bold"/>
          <w:bCs/>
        </w:rPr>
        <w:t>,000 then</w:t>
      </w:r>
      <w:r w:rsidR="001B72FB" w:rsidRPr="002046D5">
        <w:rPr>
          <w:rFonts w:asciiTheme="minorHAnsi" w:eastAsiaTheme="minorHAnsi" w:hAnsiTheme="minorHAnsi" w:cs="Calibri-Bold"/>
          <w:bCs/>
        </w:rPr>
        <w:t xml:space="preserve"> it is possible that</w:t>
      </w:r>
      <w:r w:rsidR="002E1289">
        <w:rPr>
          <w:rFonts w:asciiTheme="minorHAnsi" w:eastAsiaTheme="minorHAnsi" w:hAnsiTheme="minorHAnsi" w:cs="Calibri-Bold"/>
          <w:bCs/>
        </w:rPr>
        <w:t xml:space="preserve"> </w:t>
      </w:r>
      <w:r w:rsidRPr="002046D5">
        <w:rPr>
          <w:rFonts w:asciiTheme="minorHAnsi" w:eastAsiaTheme="minorHAnsi" w:hAnsiTheme="minorHAnsi" w:cs="Calibri-Bold"/>
          <w:bCs/>
        </w:rPr>
        <w:t xml:space="preserve">not all actions agreed at COP12 can be </w:t>
      </w:r>
      <w:r w:rsidR="00CB792A" w:rsidRPr="002046D5">
        <w:rPr>
          <w:rFonts w:asciiTheme="minorHAnsi" w:eastAsiaTheme="minorHAnsi" w:hAnsiTheme="minorHAnsi" w:cs="Calibri-Bold"/>
          <w:bCs/>
        </w:rPr>
        <w:t xml:space="preserve">fully </w:t>
      </w:r>
      <w:r w:rsidRPr="002046D5">
        <w:rPr>
          <w:rFonts w:asciiTheme="minorHAnsi" w:eastAsiaTheme="minorHAnsi" w:hAnsiTheme="minorHAnsi" w:cs="Calibri-Bold"/>
          <w:bCs/>
        </w:rPr>
        <w:t>implemented.</w:t>
      </w:r>
    </w:p>
    <w:p w:rsidR="00003727" w:rsidRPr="002046D5" w:rsidRDefault="00003727" w:rsidP="002E1289">
      <w:pPr>
        <w:pStyle w:val="ListParagraph"/>
        <w:ind w:left="426" w:hanging="426"/>
        <w:jc w:val="left"/>
        <w:rPr>
          <w:rFonts w:asciiTheme="minorHAnsi" w:eastAsiaTheme="minorHAnsi" w:hAnsiTheme="minorHAnsi" w:cs="Calibri-Bold"/>
          <w:bCs/>
        </w:rPr>
      </w:pPr>
    </w:p>
    <w:p w:rsidR="00003727" w:rsidRPr="002046D5" w:rsidRDefault="00003727" w:rsidP="002E1289">
      <w:pPr>
        <w:pStyle w:val="ListParagraph"/>
        <w:numPr>
          <w:ilvl w:val="0"/>
          <w:numId w:val="19"/>
        </w:numPr>
        <w:ind w:left="426" w:hanging="426"/>
        <w:jc w:val="left"/>
        <w:rPr>
          <w:rFonts w:asciiTheme="minorHAnsi" w:eastAsiaTheme="minorHAnsi" w:hAnsiTheme="minorHAnsi" w:cs="Calibri-Bold"/>
          <w:bCs/>
        </w:rPr>
      </w:pPr>
      <w:r w:rsidRPr="002046D5">
        <w:rPr>
          <w:rFonts w:asciiTheme="minorHAnsi" w:eastAsiaTheme="minorHAnsi" w:hAnsiTheme="minorHAnsi" w:cs="Calibri-Bold"/>
          <w:bCs/>
        </w:rPr>
        <w:t xml:space="preserve">Resources </w:t>
      </w:r>
      <w:r w:rsidR="002E1289" w:rsidRPr="002046D5">
        <w:rPr>
          <w:rFonts w:asciiTheme="minorHAnsi" w:eastAsiaTheme="minorHAnsi" w:hAnsiTheme="minorHAnsi" w:cs="Calibri-Bold"/>
          <w:bCs/>
        </w:rPr>
        <w:t>mobili</w:t>
      </w:r>
      <w:r w:rsidR="002E1289">
        <w:rPr>
          <w:rFonts w:asciiTheme="minorHAnsi" w:eastAsiaTheme="minorHAnsi" w:hAnsiTheme="minorHAnsi" w:cs="Calibri-Bold"/>
          <w:bCs/>
        </w:rPr>
        <w:t>z</w:t>
      </w:r>
      <w:r w:rsidR="002E1289" w:rsidRPr="002046D5">
        <w:rPr>
          <w:rFonts w:asciiTheme="minorHAnsi" w:eastAsiaTheme="minorHAnsi" w:hAnsiTheme="minorHAnsi" w:cs="Calibri-Bold"/>
          <w:bCs/>
        </w:rPr>
        <w:t xml:space="preserve">ed </w:t>
      </w:r>
      <w:r w:rsidR="001B72FB" w:rsidRPr="002046D5">
        <w:rPr>
          <w:rFonts w:asciiTheme="minorHAnsi" w:eastAsiaTheme="minorHAnsi" w:hAnsiTheme="minorHAnsi" w:cs="Calibri-Bold"/>
          <w:bCs/>
        </w:rPr>
        <w:t xml:space="preserve">for the “budgeted non-core” items </w:t>
      </w:r>
      <w:r w:rsidR="009E5776" w:rsidRPr="002046D5">
        <w:rPr>
          <w:rFonts w:asciiTheme="minorHAnsi" w:eastAsiaTheme="minorHAnsi" w:hAnsiTheme="minorHAnsi" w:cs="Calibri-Bold"/>
          <w:bCs/>
        </w:rPr>
        <w:t>will be used</w:t>
      </w:r>
      <w:r w:rsidR="00CB792A" w:rsidRPr="002046D5">
        <w:rPr>
          <w:rFonts w:asciiTheme="minorHAnsi" w:eastAsiaTheme="minorHAnsi" w:hAnsiTheme="minorHAnsi" w:cs="Calibri-Bold"/>
          <w:bCs/>
        </w:rPr>
        <w:t xml:space="preserve"> </w:t>
      </w:r>
      <w:r w:rsidRPr="002046D5">
        <w:rPr>
          <w:rFonts w:asciiTheme="minorHAnsi" w:eastAsiaTheme="minorHAnsi" w:hAnsiTheme="minorHAnsi" w:cs="Calibri-Bold"/>
          <w:bCs/>
        </w:rPr>
        <w:t>on the</w:t>
      </w:r>
      <w:r w:rsidR="009A48DD">
        <w:rPr>
          <w:rFonts w:asciiTheme="minorHAnsi" w:eastAsiaTheme="minorHAnsi" w:hAnsiTheme="minorHAnsi" w:cs="Calibri-Bold"/>
          <w:bCs/>
        </w:rPr>
        <w:t xml:space="preserve"> specific</w:t>
      </w:r>
      <w:r w:rsidR="001B72FB" w:rsidRPr="002046D5">
        <w:rPr>
          <w:rFonts w:asciiTheme="minorHAnsi" w:eastAsiaTheme="minorHAnsi" w:hAnsiTheme="minorHAnsi" w:cs="Calibri-Bold"/>
          <w:bCs/>
        </w:rPr>
        <w:t xml:space="preserve"> items</w:t>
      </w:r>
      <w:r w:rsidRPr="002046D5">
        <w:rPr>
          <w:rFonts w:asciiTheme="minorHAnsi" w:eastAsiaTheme="minorHAnsi" w:hAnsiTheme="minorHAnsi" w:cs="Calibri-Bold"/>
          <w:bCs/>
        </w:rPr>
        <w:t xml:space="preserve"> as set out in Res.XII.1 Annex 3</w:t>
      </w:r>
      <w:r w:rsidR="001B72FB" w:rsidRPr="002046D5">
        <w:rPr>
          <w:rFonts w:asciiTheme="minorHAnsi" w:eastAsiaTheme="minorHAnsi" w:hAnsiTheme="minorHAnsi" w:cs="Calibri-Bold"/>
          <w:bCs/>
        </w:rPr>
        <w:t>. Once</w:t>
      </w:r>
      <w:r w:rsidRPr="002046D5">
        <w:rPr>
          <w:rFonts w:asciiTheme="minorHAnsi" w:eastAsiaTheme="minorHAnsi" w:hAnsiTheme="minorHAnsi" w:cs="Calibri-Bold"/>
          <w:bCs/>
        </w:rPr>
        <w:t xml:space="preserve"> priority needs have been met, further funds </w:t>
      </w:r>
      <w:r w:rsidR="009E5776" w:rsidRPr="002046D5">
        <w:rPr>
          <w:rFonts w:asciiTheme="minorHAnsi" w:eastAsiaTheme="minorHAnsi" w:hAnsiTheme="minorHAnsi" w:cs="Calibri-Bold"/>
          <w:bCs/>
        </w:rPr>
        <w:t xml:space="preserve">raised would then </w:t>
      </w:r>
      <w:r w:rsidRPr="002046D5">
        <w:rPr>
          <w:rFonts w:asciiTheme="minorHAnsi" w:eastAsiaTheme="minorHAnsi" w:hAnsiTheme="minorHAnsi" w:cs="Calibri-Bold"/>
          <w:bCs/>
        </w:rPr>
        <w:t>be used on the “additional non-core” items.</w:t>
      </w:r>
    </w:p>
    <w:p w:rsidR="00CB792A" w:rsidRPr="002046D5" w:rsidRDefault="00CB792A" w:rsidP="002E1289">
      <w:pPr>
        <w:pStyle w:val="ListParagraph"/>
        <w:ind w:left="426" w:hanging="426"/>
        <w:jc w:val="left"/>
        <w:rPr>
          <w:rFonts w:asciiTheme="minorHAnsi" w:eastAsiaTheme="minorHAnsi" w:hAnsiTheme="minorHAnsi" w:cs="Calibri-Bold"/>
          <w:bCs/>
        </w:rPr>
      </w:pPr>
    </w:p>
    <w:p w:rsidR="00CB792A" w:rsidRPr="002046D5" w:rsidRDefault="00CB792A" w:rsidP="002E1289">
      <w:pPr>
        <w:pStyle w:val="ListParagraph"/>
        <w:numPr>
          <w:ilvl w:val="0"/>
          <w:numId w:val="19"/>
        </w:numPr>
        <w:ind w:left="426" w:hanging="426"/>
        <w:jc w:val="left"/>
        <w:rPr>
          <w:rFonts w:asciiTheme="minorHAnsi" w:eastAsiaTheme="minorHAnsi" w:hAnsiTheme="minorHAnsi" w:cs="Calibri-Bold"/>
          <w:bCs/>
        </w:rPr>
      </w:pPr>
      <w:r w:rsidRPr="002046D5">
        <w:rPr>
          <w:rFonts w:asciiTheme="minorHAnsi" w:eastAsiaTheme="minorHAnsi" w:hAnsiTheme="minorHAnsi" w:cs="Calibri-Bold"/>
          <w:bCs/>
        </w:rPr>
        <w:t xml:space="preserve">The Standing Committee is asked to guide the Secretariat on </w:t>
      </w:r>
      <w:r w:rsidR="009D4C02" w:rsidRPr="002046D5">
        <w:rPr>
          <w:rFonts w:asciiTheme="minorHAnsi" w:eastAsiaTheme="minorHAnsi" w:hAnsiTheme="minorHAnsi" w:cs="Calibri-Bold"/>
          <w:bCs/>
        </w:rPr>
        <w:t xml:space="preserve">further </w:t>
      </w:r>
      <w:r w:rsidRPr="002046D5">
        <w:rPr>
          <w:rFonts w:asciiTheme="minorHAnsi" w:eastAsiaTheme="minorHAnsi" w:hAnsiTheme="minorHAnsi" w:cs="Calibri-Bold"/>
          <w:bCs/>
        </w:rPr>
        <w:t>action</w:t>
      </w:r>
      <w:r w:rsidR="009D4C02" w:rsidRPr="002046D5">
        <w:rPr>
          <w:rFonts w:asciiTheme="minorHAnsi" w:eastAsiaTheme="minorHAnsi" w:hAnsiTheme="minorHAnsi" w:cs="Calibri-Bold"/>
          <w:bCs/>
        </w:rPr>
        <w:t>s</w:t>
      </w:r>
      <w:r w:rsidRPr="002046D5">
        <w:rPr>
          <w:rFonts w:asciiTheme="minorHAnsi" w:eastAsiaTheme="minorHAnsi" w:hAnsiTheme="minorHAnsi" w:cs="Calibri-Bold"/>
          <w:bCs/>
        </w:rPr>
        <w:t xml:space="preserve"> to be taken and to indicate </w:t>
      </w:r>
      <w:r w:rsidR="009D4C02" w:rsidRPr="002046D5">
        <w:rPr>
          <w:rFonts w:asciiTheme="minorHAnsi" w:eastAsiaTheme="minorHAnsi" w:hAnsiTheme="minorHAnsi" w:cs="Calibri-Bold"/>
          <w:bCs/>
        </w:rPr>
        <w:t>priorities</w:t>
      </w:r>
      <w:r w:rsidRPr="002046D5">
        <w:rPr>
          <w:rFonts w:asciiTheme="minorHAnsi" w:eastAsiaTheme="minorHAnsi" w:hAnsiTheme="minorHAnsi" w:cs="Calibri-Bold"/>
          <w:bCs/>
        </w:rPr>
        <w:t xml:space="preserve"> for </w:t>
      </w:r>
      <w:r w:rsidR="009D4C02" w:rsidRPr="002046D5">
        <w:rPr>
          <w:rFonts w:asciiTheme="minorHAnsi" w:eastAsiaTheme="minorHAnsi" w:hAnsiTheme="minorHAnsi" w:cs="Calibri-Bold"/>
          <w:bCs/>
        </w:rPr>
        <w:t>work</w:t>
      </w:r>
      <w:r w:rsidR="009E5776" w:rsidRPr="002046D5">
        <w:rPr>
          <w:rFonts w:asciiTheme="minorHAnsi" w:eastAsiaTheme="minorHAnsi" w:hAnsiTheme="minorHAnsi" w:cs="Calibri-Bold"/>
          <w:bCs/>
        </w:rPr>
        <w:t xml:space="preserve"> in the 2016-2018 triennium.</w:t>
      </w:r>
      <w:r w:rsidRPr="002046D5">
        <w:rPr>
          <w:rFonts w:asciiTheme="minorHAnsi" w:eastAsiaTheme="minorHAnsi" w:hAnsiTheme="minorHAnsi" w:cs="Calibri-Bold"/>
          <w:bCs/>
        </w:rPr>
        <w:t xml:space="preserve"> </w:t>
      </w:r>
    </w:p>
    <w:p w:rsidR="003F2E97" w:rsidRPr="003F2E97" w:rsidRDefault="003F2E97" w:rsidP="002E1289">
      <w:pPr>
        <w:pStyle w:val="ListParagraph"/>
        <w:jc w:val="left"/>
        <w:rPr>
          <w:rFonts w:asciiTheme="minorHAnsi" w:eastAsiaTheme="minorHAnsi" w:hAnsiTheme="minorHAnsi" w:cs="Calibri-Bold"/>
          <w:b/>
          <w:bCs/>
        </w:rPr>
      </w:pPr>
    </w:p>
    <w:p w:rsidR="00442350" w:rsidRDefault="00442350" w:rsidP="002E1289">
      <w:pPr>
        <w:spacing w:after="200" w:line="276" w:lineRule="auto"/>
        <w:rPr>
          <w:rFonts w:asciiTheme="minorHAnsi" w:hAnsiTheme="minorHAnsi" w:cs="Calibri"/>
          <w:b/>
        </w:rPr>
      </w:pPr>
      <w:r>
        <w:rPr>
          <w:rFonts w:asciiTheme="minorHAnsi" w:hAnsiTheme="minorHAnsi" w:cs="Calibri"/>
          <w:b/>
        </w:rPr>
        <w:br w:type="page"/>
      </w:r>
    </w:p>
    <w:p w:rsidR="00613092" w:rsidRDefault="00613092" w:rsidP="00613092">
      <w:pPr>
        <w:rPr>
          <w:rFonts w:asciiTheme="minorHAnsi" w:hAnsiTheme="minorHAnsi" w:cs="Calibri"/>
          <w:b/>
        </w:rPr>
      </w:pPr>
      <w:r>
        <w:rPr>
          <w:rFonts w:asciiTheme="minorHAnsi" w:hAnsiTheme="minorHAnsi" w:cs="Calibri"/>
          <w:b/>
        </w:rPr>
        <w:lastRenderedPageBreak/>
        <w:t>Annex 1</w:t>
      </w:r>
    </w:p>
    <w:p w:rsidR="00613092" w:rsidRDefault="00613092" w:rsidP="00613092">
      <w:pPr>
        <w:tabs>
          <w:tab w:val="left" w:pos="1095"/>
        </w:tabs>
        <w:rPr>
          <w:rFonts w:asciiTheme="minorHAnsi" w:hAnsiTheme="minorHAnsi" w:cs="Calibri"/>
          <w:b/>
        </w:rPr>
      </w:pPr>
    </w:p>
    <w:p w:rsidR="00613092" w:rsidRDefault="006A71EC" w:rsidP="00613092">
      <w:pPr>
        <w:ind w:left="567" w:hanging="567"/>
        <w:rPr>
          <w:rFonts w:asciiTheme="minorHAnsi" w:hAnsiTheme="minorHAnsi"/>
        </w:rPr>
      </w:pPr>
      <w:r>
        <w:rPr>
          <w:rFonts w:asciiTheme="minorHAnsi" w:hAnsiTheme="minorHAnsi"/>
          <w:b/>
          <w:bCs/>
        </w:rPr>
        <w:t>2016-2018</w:t>
      </w:r>
      <w:r w:rsidR="00613092">
        <w:rPr>
          <w:rFonts w:asciiTheme="minorHAnsi" w:hAnsiTheme="minorHAnsi"/>
          <w:b/>
          <w:bCs/>
        </w:rPr>
        <w:t xml:space="preserve"> </w:t>
      </w:r>
      <w:r>
        <w:rPr>
          <w:rFonts w:asciiTheme="minorHAnsi" w:hAnsiTheme="minorHAnsi"/>
          <w:b/>
          <w:bCs/>
        </w:rPr>
        <w:t>non-c</w:t>
      </w:r>
      <w:r w:rsidR="00613092">
        <w:rPr>
          <w:rFonts w:asciiTheme="minorHAnsi" w:hAnsiTheme="minorHAnsi"/>
          <w:b/>
          <w:bCs/>
        </w:rPr>
        <w:t xml:space="preserve">ore expenditures </w:t>
      </w:r>
      <w:r>
        <w:rPr>
          <w:rFonts w:asciiTheme="minorHAnsi" w:hAnsiTheme="minorHAnsi"/>
          <w:b/>
          <w:bCs/>
        </w:rPr>
        <w:t>needed to implement COP12 Resolutions</w:t>
      </w:r>
    </w:p>
    <w:p w:rsidR="00613092" w:rsidRDefault="00613092" w:rsidP="00613092">
      <w:r>
        <w:t> </w:t>
      </w:r>
    </w:p>
    <w:tbl>
      <w:tblPr>
        <w:tblW w:w="8330" w:type="dxa"/>
        <w:tblInd w:w="-98" w:type="dxa"/>
        <w:tblLayout w:type="fixed"/>
        <w:tblCellMar>
          <w:left w:w="57" w:type="dxa"/>
          <w:right w:w="57" w:type="dxa"/>
        </w:tblCellMar>
        <w:tblLook w:val="04A0" w:firstRow="1" w:lastRow="0" w:firstColumn="1" w:lastColumn="0" w:noHBand="0" w:noVBand="1"/>
      </w:tblPr>
      <w:tblGrid>
        <w:gridCol w:w="1148"/>
        <w:gridCol w:w="4630"/>
        <w:gridCol w:w="1276"/>
        <w:gridCol w:w="1276"/>
      </w:tblGrid>
      <w:tr w:rsidR="00BF521A" w:rsidRPr="00FF15AC" w:rsidTr="00AD06E0">
        <w:tc>
          <w:tcPr>
            <w:tcW w:w="114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F521A" w:rsidRPr="00FF15AC" w:rsidRDefault="00BF521A" w:rsidP="00FF15AC">
            <w:pPr>
              <w:jc w:val="center"/>
              <w:rPr>
                <w:rFonts w:asciiTheme="minorHAnsi" w:eastAsia="MS PGothic" w:hAnsiTheme="minorHAnsi" w:cs="Calibri"/>
                <w:b/>
                <w:sz w:val="20"/>
                <w:szCs w:val="20"/>
                <w:lang w:val="en-US" w:eastAsia="ja-JP"/>
              </w:rPr>
            </w:pPr>
            <w:r w:rsidRPr="00FF15AC">
              <w:rPr>
                <w:rFonts w:asciiTheme="minorHAnsi" w:hAnsiTheme="minorHAnsi"/>
                <w:b/>
                <w:sz w:val="20"/>
                <w:szCs w:val="20"/>
              </w:rPr>
              <w:t>Resolution no.</w:t>
            </w:r>
          </w:p>
        </w:tc>
        <w:tc>
          <w:tcPr>
            <w:tcW w:w="463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BF521A" w:rsidRPr="00FF15AC" w:rsidRDefault="00BF521A" w:rsidP="00FF15AC">
            <w:pPr>
              <w:pStyle w:val="MGfulltext"/>
              <w:spacing w:after="0"/>
              <w:ind w:left="284" w:right="-106" w:hanging="142"/>
              <w:jc w:val="center"/>
              <w:rPr>
                <w:rFonts w:asciiTheme="minorHAnsi" w:eastAsia="Times New Roman" w:hAnsiTheme="minorHAnsi"/>
                <w:sz w:val="20"/>
                <w:szCs w:val="20"/>
              </w:rPr>
            </w:pPr>
          </w:p>
          <w:p w:rsidR="00BF521A" w:rsidRPr="00FF15AC" w:rsidRDefault="00BF521A" w:rsidP="00FF15AC">
            <w:pPr>
              <w:pStyle w:val="MGfulltext"/>
              <w:spacing w:after="0"/>
              <w:ind w:left="284" w:right="-106" w:hanging="142"/>
              <w:jc w:val="center"/>
              <w:rPr>
                <w:rFonts w:asciiTheme="minorHAnsi" w:hAnsiTheme="minorHAnsi"/>
                <w:sz w:val="20"/>
                <w:szCs w:val="20"/>
                <w:lang w:eastAsia="ja-JP"/>
              </w:rPr>
            </w:pPr>
          </w:p>
        </w:tc>
        <w:tc>
          <w:tcPr>
            <w:tcW w:w="1276" w:type="dxa"/>
            <w:tcBorders>
              <w:top w:val="single" w:sz="8" w:space="0" w:color="000000"/>
              <w:left w:val="nil"/>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BF521A" w:rsidRPr="00FF15AC" w:rsidRDefault="00BF521A" w:rsidP="00FF15AC">
            <w:pPr>
              <w:jc w:val="center"/>
              <w:rPr>
                <w:rFonts w:asciiTheme="minorHAnsi" w:hAnsiTheme="minorHAnsi"/>
                <w:b/>
                <w:sz w:val="20"/>
                <w:szCs w:val="20"/>
              </w:rPr>
            </w:pPr>
            <w:r w:rsidRPr="00FF15AC">
              <w:rPr>
                <w:rFonts w:asciiTheme="minorHAnsi" w:hAnsiTheme="minorHAnsi"/>
                <w:b/>
                <w:sz w:val="20"/>
                <w:szCs w:val="20"/>
              </w:rPr>
              <w:t>Budgeted non-core funds</w:t>
            </w:r>
          </w:p>
          <w:p w:rsidR="00BF521A" w:rsidRPr="00FF15AC" w:rsidRDefault="00BF521A" w:rsidP="00FF15AC">
            <w:pPr>
              <w:jc w:val="center"/>
              <w:rPr>
                <w:rFonts w:asciiTheme="minorHAnsi" w:eastAsia="MS PGothic" w:hAnsiTheme="minorHAnsi" w:cs="Calibri"/>
                <w:b/>
                <w:sz w:val="20"/>
                <w:szCs w:val="20"/>
                <w:lang w:val="en-US" w:eastAsia="ja-JP"/>
              </w:rPr>
            </w:pPr>
            <w:r w:rsidRPr="00FF15AC">
              <w:rPr>
                <w:rFonts w:asciiTheme="minorHAnsi" w:hAnsiTheme="minorHAnsi"/>
                <w:b/>
                <w:sz w:val="20"/>
                <w:szCs w:val="20"/>
              </w:rPr>
              <w:t>(Annex 3)</w:t>
            </w:r>
          </w:p>
        </w:tc>
        <w:tc>
          <w:tcPr>
            <w:tcW w:w="1276" w:type="dxa"/>
            <w:tcBorders>
              <w:top w:val="single" w:sz="8" w:space="0" w:color="000000"/>
              <w:left w:val="nil"/>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BF521A" w:rsidRPr="00FF15AC" w:rsidRDefault="00BF521A" w:rsidP="00FF15AC">
            <w:pPr>
              <w:jc w:val="center"/>
              <w:rPr>
                <w:rFonts w:asciiTheme="minorHAnsi" w:eastAsia="MS PGothic" w:hAnsiTheme="minorHAnsi" w:cs="Calibri"/>
                <w:b/>
                <w:sz w:val="20"/>
                <w:szCs w:val="20"/>
                <w:lang w:val="en-US" w:eastAsia="ja-JP"/>
              </w:rPr>
            </w:pPr>
            <w:r w:rsidRPr="00FF15AC">
              <w:rPr>
                <w:rFonts w:asciiTheme="minorHAnsi" w:hAnsiTheme="minorHAnsi"/>
                <w:b/>
                <w:sz w:val="20"/>
                <w:szCs w:val="20"/>
              </w:rPr>
              <w:t>Additional non-core funds</w:t>
            </w: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BF521A">
            <w:pPr>
              <w:pStyle w:val="MGfulltext"/>
              <w:spacing w:after="0"/>
              <w:rPr>
                <w:rFonts w:asciiTheme="minorHAnsi" w:hAnsiTheme="minorHAnsi"/>
                <w:sz w:val="20"/>
                <w:szCs w:val="20"/>
                <w:lang w:eastAsia="ja-JP"/>
              </w:rPr>
            </w:pPr>
            <w:r w:rsidRPr="00FF15AC">
              <w:rPr>
                <w:rFonts w:asciiTheme="minorHAnsi" w:hAnsiTheme="minorHAnsi"/>
                <w:sz w:val="20"/>
                <w:szCs w:val="20"/>
                <w:lang w:val="en-US"/>
              </w:rPr>
              <w:t>Regional meetings; s</w:t>
            </w:r>
            <w:r w:rsidRPr="00FF15AC">
              <w:rPr>
                <w:rFonts w:asciiTheme="minorHAnsi" w:hAnsiTheme="minorHAnsi"/>
                <w:sz w:val="20"/>
                <w:szCs w:val="20"/>
              </w:rPr>
              <w:t>ponsorship of delegates to COP13; new fund-raising approaches</w:t>
            </w:r>
            <w:r>
              <w:rPr>
                <w:rFonts w:asciiTheme="minorHAnsi" w:hAnsiTheme="minorHAnsi"/>
                <w:sz w:val="20"/>
                <w:szCs w:val="20"/>
              </w:rPr>
              <w:t>.</w:t>
            </w:r>
            <w:r w:rsidRPr="00FF15AC">
              <w:rPr>
                <w:rFonts w:asciiTheme="minorHAnsi" w:hAnsiTheme="minorHAnsi"/>
                <w:sz w:val="20"/>
                <w:szCs w:val="20"/>
              </w:rPr>
              <w:t xml:space="preserve">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r>
              <w:rPr>
                <w:rFonts w:asciiTheme="minorHAnsi" w:hAnsiTheme="minorHAnsi"/>
                <w:sz w:val="20"/>
                <w:szCs w:val="20"/>
              </w:rPr>
              <w:t>1,25</w:t>
            </w:r>
            <w:r w:rsidRPr="00FF15AC">
              <w:rPr>
                <w:rFonts w:asciiTheme="minorHAnsi" w:hAnsiTheme="minorHAnsi"/>
                <w:sz w:val="20"/>
                <w:szCs w:val="20"/>
              </w:rPr>
              <w:t>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66576E">
            <w:pPr>
              <w:jc w:val="right"/>
              <w:rPr>
                <w:rFonts w:asciiTheme="minorHAnsi" w:hAnsiTheme="minorHAnsi"/>
                <w:sz w:val="20"/>
                <w:szCs w:val="20"/>
              </w:rPr>
            </w:pPr>
            <w:r w:rsidRPr="00FF15AC">
              <w:rPr>
                <w:rFonts w:asciiTheme="minorHAnsi" w:hAnsiTheme="minorHAnsi"/>
                <w:sz w:val="20"/>
                <w:szCs w:val="20"/>
              </w:rPr>
              <w:t>300,000</w:t>
            </w: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Res.XII.2</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Indigenous people and local communities strategic project; preparation of mid-term review of 4</w:t>
            </w:r>
            <w:r w:rsidRPr="00FF15AC">
              <w:rPr>
                <w:rFonts w:asciiTheme="minorHAnsi" w:hAnsiTheme="minorHAnsi"/>
                <w:sz w:val="20"/>
                <w:szCs w:val="20"/>
                <w:vertAlign w:val="superscript"/>
              </w:rPr>
              <w:t>th</w:t>
            </w:r>
            <w:r w:rsidRPr="00FF15AC">
              <w:rPr>
                <w:rFonts w:asciiTheme="minorHAnsi" w:hAnsiTheme="minorHAnsi"/>
                <w:sz w:val="20"/>
                <w:szCs w:val="20"/>
              </w:rPr>
              <w:t xml:space="preserve"> Ramsar Strategic Plan.</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r w:rsidRPr="00FF15AC">
              <w:rPr>
                <w:rFonts w:asciiTheme="minorHAnsi" w:hAnsiTheme="minorHAnsi"/>
                <w:sz w:val="20"/>
                <w:szCs w:val="20"/>
              </w:rPr>
              <w:t>175,000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eastAsia="MS PGothic" w:hAnsiTheme="minorHAnsi" w:cs="Calibri"/>
                <w:sz w:val="20"/>
                <w:szCs w:val="20"/>
                <w:lang w:val="en-US" w:eastAsia="ja-JP"/>
              </w:rPr>
            </w:pPr>
            <w:r w:rsidRPr="00FF15AC">
              <w:rPr>
                <w:rFonts w:asciiTheme="minorHAnsi" w:hAnsiTheme="minorHAnsi"/>
                <w:sz w:val="20"/>
                <w:szCs w:val="20"/>
              </w:rPr>
              <w:t>250,000</w:t>
            </w: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Res.XII.3</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003727">
            <w:pPr>
              <w:pStyle w:val="MGfulltext"/>
              <w:spacing w:after="0"/>
              <w:rPr>
                <w:rFonts w:asciiTheme="minorHAnsi" w:hAnsiTheme="minorHAnsi"/>
                <w:sz w:val="20"/>
                <w:szCs w:val="20"/>
              </w:rPr>
            </w:pPr>
            <w:r w:rsidRPr="00FF15AC">
              <w:rPr>
                <w:rFonts w:asciiTheme="minorHAnsi" w:hAnsiTheme="minorHAnsi"/>
                <w:sz w:val="20"/>
                <w:szCs w:val="20"/>
              </w:rPr>
              <w:t xml:space="preserve">Increasing visibility and status of the Ramsar Convention, including  Small Grant Funds.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r w:rsidRPr="00FF15AC">
              <w:rPr>
                <w:rFonts w:asciiTheme="minorHAnsi" w:hAnsiTheme="minorHAnsi"/>
                <w:sz w:val="20"/>
                <w:szCs w:val="20"/>
              </w:rPr>
              <w:t>1,000,000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2426E4">
            <w:pPr>
              <w:jc w:val="right"/>
              <w:rPr>
                <w:rFonts w:asciiTheme="minorHAnsi" w:hAnsiTheme="minorHAnsi"/>
                <w:sz w:val="20"/>
                <w:szCs w:val="20"/>
              </w:rPr>
            </w:pPr>
            <w:r w:rsidRPr="00FF15AC">
              <w:rPr>
                <w:rFonts w:asciiTheme="minorHAnsi" w:hAnsiTheme="minorHAnsi"/>
                <w:sz w:val="20"/>
                <w:szCs w:val="20"/>
              </w:rPr>
              <w:t>660,000</w:t>
            </w:r>
          </w:p>
          <w:p w:rsidR="00BF521A" w:rsidRPr="00FF15AC" w:rsidRDefault="00BF521A" w:rsidP="002426E4">
            <w:pPr>
              <w:rPr>
                <w:rFonts w:asciiTheme="minorHAnsi" w:eastAsia="MS PGothic" w:hAnsiTheme="minorHAnsi" w:cs="Calibri"/>
                <w:sz w:val="20"/>
                <w:szCs w:val="20"/>
                <w:lang w:val="en-US" w:eastAsia="ja-JP"/>
              </w:rPr>
            </w:pP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Res.XII.5</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STRP programme of work for 2016-2018.</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r w:rsidRPr="00FF15AC">
              <w:rPr>
                <w:rFonts w:asciiTheme="minorHAnsi" w:hAnsiTheme="minorHAnsi"/>
                <w:sz w:val="20"/>
                <w:szCs w:val="20"/>
              </w:rPr>
              <w:t>300,000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hAnsiTheme="minorHAnsi"/>
                <w:sz w:val="20"/>
                <w:szCs w:val="20"/>
              </w:rPr>
            </w:pPr>
            <w:r w:rsidRPr="00FF15AC">
              <w:rPr>
                <w:rFonts w:asciiTheme="minorHAnsi" w:hAnsiTheme="minorHAnsi"/>
                <w:sz w:val="20"/>
                <w:szCs w:val="20"/>
              </w:rPr>
              <w:t>250,000</w:t>
            </w:r>
          </w:p>
          <w:p w:rsidR="00BF521A" w:rsidRPr="00FF15AC" w:rsidRDefault="00BF521A">
            <w:pPr>
              <w:jc w:val="right"/>
              <w:rPr>
                <w:rFonts w:asciiTheme="minorHAnsi" w:eastAsia="MS PGothic" w:hAnsiTheme="minorHAnsi" w:cs="Calibri"/>
                <w:sz w:val="20"/>
                <w:szCs w:val="20"/>
                <w:lang w:val="en-US" w:eastAsia="ja-JP"/>
              </w:rPr>
            </w:pP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Res.XII.6</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RSIS updates and monitoring of changes in ecological character.</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r w:rsidRPr="00FF15AC">
              <w:rPr>
                <w:rFonts w:asciiTheme="minorHAnsi" w:hAnsiTheme="minorHAnsi"/>
                <w:sz w:val="20"/>
                <w:szCs w:val="20"/>
              </w:rPr>
              <w:t>775,000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eastAsia="MS PGothic" w:hAnsiTheme="minorHAnsi" w:cs="Calibri"/>
                <w:sz w:val="20"/>
                <w:szCs w:val="20"/>
                <w:lang w:val="en-US" w:eastAsia="ja-JP"/>
              </w:rPr>
            </w:pPr>
            <w:r w:rsidRPr="00FF15AC">
              <w:rPr>
                <w:rFonts w:asciiTheme="minorHAnsi" w:hAnsiTheme="minorHAnsi"/>
                <w:sz w:val="20"/>
                <w:szCs w:val="20"/>
              </w:rPr>
              <w:t>200,000</w:t>
            </w:r>
          </w:p>
        </w:tc>
      </w:tr>
      <w:tr w:rsidR="00BF521A" w:rsidRPr="00FF15AC" w:rsidTr="00AD06E0">
        <w:trPr>
          <w:trHeight w:val="343"/>
        </w:trPr>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Res.XII.7</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Increasing synergies with other MEAs.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eastAsia="MS PGothic" w:hAnsiTheme="minorHAnsi" w:cs="Calibri"/>
                <w:sz w:val="20"/>
                <w:szCs w:val="20"/>
                <w:lang w:val="en-US" w:eastAsia="ja-JP"/>
              </w:rPr>
            </w:pPr>
            <w:r w:rsidRPr="00FF15AC">
              <w:rPr>
                <w:rFonts w:asciiTheme="minorHAnsi" w:hAnsiTheme="minorHAnsi"/>
                <w:sz w:val="20"/>
                <w:szCs w:val="20"/>
              </w:rPr>
              <w:t>45,000</w:t>
            </w:r>
          </w:p>
        </w:tc>
      </w:tr>
      <w:tr w:rsidR="00BF521A" w:rsidRPr="00FF15AC" w:rsidTr="00AD06E0">
        <w:trPr>
          <w:trHeight w:val="450"/>
        </w:trPr>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Res.XII.8</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Additional support to Regional Initiatives development.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35558F" w:rsidP="004E623F">
            <w:pPr>
              <w:jc w:val="right"/>
              <w:rPr>
                <w:rFonts w:asciiTheme="minorHAnsi" w:eastAsia="MS PGothic" w:hAnsiTheme="minorHAnsi" w:cs="Calibri"/>
                <w:sz w:val="20"/>
                <w:szCs w:val="20"/>
                <w:lang w:val="en-US" w:eastAsia="ja-JP"/>
              </w:rPr>
            </w:pPr>
            <w:r>
              <w:rPr>
                <w:rFonts w:asciiTheme="minorHAnsi" w:hAnsiTheme="minorHAnsi"/>
                <w:sz w:val="20"/>
                <w:szCs w:val="20"/>
              </w:rPr>
              <w:t>150,000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2426E4">
            <w:pPr>
              <w:jc w:val="right"/>
              <w:rPr>
                <w:rFonts w:asciiTheme="minorHAnsi" w:hAnsiTheme="minorHAnsi"/>
                <w:sz w:val="20"/>
                <w:szCs w:val="20"/>
              </w:rPr>
            </w:pPr>
            <w:r w:rsidRPr="00FF15AC">
              <w:rPr>
                <w:rFonts w:asciiTheme="minorHAnsi" w:hAnsiTheme="minorHAnsi"/>
                <w:sz w:val="20"/>
                <w:szCs w:val="20"/>
              </w:rPr>
              <w:t>115,000</w:t>
            </w: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Res.XII.9</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New CEPA networks and implementation of workplan.</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r w:rsidRPr="00FF15AC">
              <w:rPr>
                <w:rFonts w:asciiTheme="minorHAnsi" w:hAnsiTheme="minorHAnsi"/>
                <w:sz w:val="20"/>
                <w:szCs w:val="20"/>
              </w:rPr>
              <w:t>300,000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eastAsia="MS PGothic" w:hAnsiTheme="minorHAnsi" w:cs="Calibri"/>
                <w:sz w:val="20"/>
                <w:szCs w:val="20"/>
                <w:lang w:val="en-US" w:eastAsia="ja-JP"/>
              </w:rPr>
            </w:pPr>
            <w:r w:rsidRPr="00FF15AC">
              <w:rPr>
                <w:rFonts w:asciiTheme="minorHAnsi" w:hAnsiTheme="minorHAnsi"/>
                <w:sz w:val="20"/>
                <w:szCs w:val="20"/>
              </w:rPr>
              <w:t>120,000</w:t>
            </w: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Res.XII.10</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Wetland City Accreditation.</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eastAsia="MS PGothic" w:hAnsiTheme="minorHAnsi" w:cs="Calibri"/>
                <w:sz w:val="20"/>
                <w:szCs w:val="20"/>
                <w:lang w:val="en-US" w:eastAsia="ja-JP"/>
              </w:rPr>
            </w:pPr>
            <w:r w:rsidRPr="00FF15AC">
              <w:rPr>
                <w:rFonts w:asciiTheme="minorHAnsi" w:hAnsiTheme="minorHAnsi"/>
                <w:sz w:val="20"/>
                <w:szCs w:val="20"/>
              </w:rPr>
              <w:t>400,000</w:t>
            </w: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Res.XII.11 </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Peatland network of site managers; best practice manuals.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eastAsia="MS PGothic" w:hAnsiTheme="minorHAnsi" w:cs="Calibri"/>
                <w:sz w:val="20"/>
                <w:szCs w:val="20"/>
                <w:lang w:val="en-US" w:eastAsia="ja-JP"/>
              </w:rPr>
            </w:pPr>
            <w:r w:rsidRPr="00FF15AC">
              <w:rPr>
                <w:rFonts w:asciiTheme="minorHAnsi" w:hAnsiTheme="minorHAnsi"/>
                <w:sz w:val="20"/>
                <w:szCs w:val="20"/>
              </w:rPr>
              <w:t>280,000</w:t>
            </w: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Res.XII.12</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Handbook on water reserves and environmental flows.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eastAsia="MS PGothic" w:hAnsiTheme="minorHAnsi" w:cs="Calibri"/>
                <w:sz w:val="20"/>
                <w:szCs w:val="20"/>
                <w:lang w:val="en-US" w:eastAsia="ja-JP"/>
              </w:rPr>
            </w:pPr>
            <w:r w:rsidRPr="00FF15AC">
              <w:rPr>
                <w:rFonts w:asciiTheme="minorHAnsi" w:hAnsiTheme="minorHAnsi"/>
                <w:sz w:val="20"/>
                <w:szCs w:val="20"/>
              </w:rPr>
              <w:t>100,000</w:t>
            </w: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Res.XII.13</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 xml:space="preserve">Wetlands and DRR partnerships.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eastAsia="MS PGothic" w:hAnsiTheme="minorHAnsi" w:cs="Calibri"/>
                <w:sz w:val="20"/>
                <w:szCs w:val="20"/>
                <w:lang w:val="en-US" w:eastAsia="ja-JP"/>
              </w:rPr>
            </w:pPr>
            <w:r w:rsidRPr="00FF15AC">
              <w:rPr>
                <w:rFonts w:asciiTheme="minorHAnsi" w:hAnsiTheme="minorHAnsi"/>
                <w:sz w:val="20"/>
                <w:szCs w:val="20"/>
              </w:rPr>
              <w:t>95,000</w:t>
            </w: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Res.XII.14</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Mediterranean island wetlands inventory and information-sharing.</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eastAsia="MS PGothic" w:hAnsiTheme="minorHAnsi" w:cs="Calibri"/>
                <w:sz w:val="20"/>
                <w:szCs w:val="20"/>
                <w:lang w:val="en-US" w:eastAsia="ja-JP"/>
              </w:rPr>
            </w:pPr>
            <w:r w:rsidRPr="00FF15AC">
              <w:rPr>
                <w:rFonts w:asciiTheme="minorHAnsi" w:hAnsiTheme="minorHAnsi"/>
                <w:sz w:val="20"/>
                <w:szCs w:val="20"/>
              </w:rPr>
              <w:t>40,000</w:t>
            </w: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Res.XII.15</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Implementation of Ramsar Management Effectiveness Tracking Tool (R-METT).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eastAsia="MS PGothic" w:hAnsiTheme="minorHAnsi" w:cs="Calibri"/>
                <w:sz w:val="20"/>
                <w:szCs w:val="20"/>
                <w:lang w:val="en-US" w:eastAsia="ja-JP"/>
              </w:rPr>
            </w:pPr>
            <w:r w:rsidRPr="00FF15AC">
              <w:rPr>
                <w:rFonts w:asciiTheme="minorHAnsi" w:hAnsiTheme="minorHAnsi"/>
                <w:sz w:val="20"/>
                <w:szCs w:val="20"/>
              </w:rPr>
              <w:t>120,000</w:t>
            </w: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F15AC" w:rsidRDefault="00BF521A" w:rsidP="009A48DD">
            <w:pPr>
              <w:rPr>
                <w:rFonts w:asciiTheme="minorHAnsi" w:hAnsiTheme="minorHAnsi"/>
                <w:b/>
                <w:sz w:val="20"/>
                <w:szCs w:val="20"/>
                <w:u w:val="single"/>
              </w:rPr>
            </w:pPr>
          </w:p>
          <w:p w:rsidR="00BF521A" w:rsidRPr="00FF15AC" w:rsidRDefault="00BF521A" w:rsidP="004E623F">
            <w:pPr>
              <w:jc w:val="center"/>
              <w:rPr>
                <w:rFonts w:asciiTheme="minorHAnsi" w:eastAsia="MS PGothic" w:hAnsiTheme="minorHAnsi" w:cs="Calibri"/>
                <w:b/>
                <w:sz w:val="20"/>
                <w:szCs w:val="20"/>
                <w:lang w:val="en-US" w:eastAsia="ja-JP"/>
              </w:rPr>
            </w:pPr>
            <w:r w:rsidRPr="00FF15AC">
              <w:rPr>
                <w:rFonts w:asciiTheme="minorHAnsi" w:hAnsiTheme="minorHAnsi"/>
                <w:b/>
                <w:sz w:val="20"/>
                <w:szCs w:val="20"/>
              </w:rPr>
              <w:t>CHF</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pPr>
              <w:ind w:left="284" w:hanging="142"/>
              <w:rPr>
                <w:rFonts w:asciiTheme="minorHAnsi" w:hAnsiTheme="minorHAnsi"/>
                <w:b/>
                <w:sz w:val="20"/>
                <w:szCs w:val="20"/>
                <w:u w:val="single"/>
              </w:rPr>
            </w:pPr>
          </w:p>
          <w:p w:rsidR="00BF521A" w:rsidRPr="00FF15AC" w:rsidRDefault="00BF521A">
            <w:pPr>
              <w:ind w:left="284" w:hanging="142"/>
              <w:rPr>
                <w:rFonts w:asciiTheme="minorHAnsi" w:hAnsiTheme="minorHAnsi"/>
                <w:b/>
                <w:sz w:val="20"/>
                <w:szCs w:val="20"/>
              </w:rPr>
            </w:pPr>
            <w:r w:rsidRPr="00FF15AC">
              <w:rPr>
                <w:rFonts w:asciiTheme="minorHAnsi" w:hAnsiTheme="minorHAnsi"/>
                <w:b/>
                <w:sz w:val="20"/>
                <w:szCs w:val="20"/>
              </w:rPr>
              <w:t>TOTAL</w:t>
            </w:r>
          </w:p>
          <w:p w:rsidR="00BF521A" w:rsidRPr="00FF15AC" w:rsidRDefault="00BF521A">
            <w:pPr>
              <w:ind w:left="284" w:hanging="142"/>
              <w:rPr>
                <w:rFonts w:asciiTheme="minorHAnsi" w:eastAsia="MS PGothic" w:hAnsiTheme="minorHAnsi" w:cs="Calibri"/>
                <w:b/>
                <w:sz w:val="20"/>
                <w:szCs w:val="20"/>
                <w:u w:val="single"/>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rPr>
                <w:rFonts w:asciiTheme="minorHAnsi" w:hAnsiTheme="minorHAnsi"/>
                <w:b/>
                <w:sz w:val="20"/>
                <w:szCs w:val="20"/>
                <w:u w:val="single"/>
              </w:rPr>
            </w:pPr>
          </w:p>
          <w:p w:rsidR="00BF521A" w:rsidRPr="0035558F" w:rsidRDefault="00802DF7" w:rsidP="0035558F">
            <w:pPr>
              <w:jc w:val="right"/>
              <w:rPr>
                <w:rFonts w:asciiTheme="minorHAnsi" w:hAnsiTheme="minorHAnsi"/>
                <w:b/>
                <w:sz w:val="20"/>
                <w:szCs w:val="20"/>
              </w:rPr>
            </w:pPr>
            <w:r>
              <w:rPr>
                <w:rFonts w:asciiTheme="minorHAnsi" w:hAnsiTheme="minorHAnsi"/>
                <w:b/>
                <w:sz w:val="20"/>
                <w:szCs w:val="20"/>
              </w:rPr>
              <w:t>3,</w:t>
            </w:r>
            <w:r w:rsidR="0035558F">
              <w:rPr>
                <w:rFonts w:asciiTheme="minorHAnsi" w:hAnsiTheme="minorHAnsi"/>
                <w:b/>
                <w:sz w:val="20"/>
                <w:szCs w:val="20"/>
              </w:rPr>
              <w:t>95</w:t>
            </w:r>
            <w:r w:rsidR="00BF521A" w:rsidRPr="00FF15AC">
              <w:rPr>
                <w:rFonts w:asciiTheme="minorHAnsi" w:hAnsiTheme="minorHAnsi"/>
                <w:b/>
                <w:sz w:val="20"/>
                <w:szCs w:val="20"/>
              </w:rPr>
              <w:t>0,000</w:t>
            </w:r>
          </w:p>
          <w:p w:rsidR="00BF521A" w:rsidRPr="00FF15AC" w:rsidRDefault="00BF521A" w:rsidP="004E623F">
            <w:pPr>
              <w:rPr>
                <w:rFonts w:asciiTheme="minorHAnsi" w:eastAsia="MS PGothic" w:hAnsiTheme="minorHAnsi" w:cs="Calibri"/>
                <w:b/>
                <w:sz w:val="20"/>
                <w:szCs w:val="20"/>
                <w:u w:val="single"/>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hAnsiTheme="minorHAnsi"/>
                <w:b/>
                <w:sz w:val="20"/>
                <w:szCs w:val="20"/>
                <w:u w:val="single"/>
              </w:rPr>
            </w:pPr>
          </w:p>
          <w:p w:rsidR="00BF521A" w:rsidRPr="00FF15AC" w:rsidRDefault="00802DF7">
            <w:pPr>
              <w:jc w:val="right"/>
              <w:rPr>
                <w:rFonts w:asciiTheme="minorHAnsi" w:eastAsia="MS PGothic" w:hAnsiTheme="minorHAnsi" w:cs="Calibri"/>
                <w:b/>
                <w:sz w:val="20"/>
                <w:szCs w:val="20"/>
                <w:lang w:val="en-US" w:eastAsia="ja-JP"/>
              </w:rPr>
            </w:pPr>
            <w:r>
              <w:rPr>
                <w:rFonts w:asciiTheme="minorHAnsi" w:hAnsiTheme="minorHAnsi"/>
                <w:b/>
                <w:sz w:val="20"/>
                <w:szCs w:val="20"/>
              </w:rPr>
              <w:t>2,</w:t>
            </w:r>
            <w:r w:rsidR="0035558F">
              <w:rPr>
                <w:rFonts w:asciiTheme="minorHAnsi" w:hAnsiTheme="minorHAnsi"/>
                <w:b/>
                <w:sz w:val="20"/>
                <w:szCs w:val="20"/>
              </w:rPr>
              <w:t>975</w:t>
            </w:r>
            <w:r w:rsidR="00BF521A" w:rsidRPr="00FF15AC">
              <w:rPr>
                <w:rFonts w:asciiTheme="minorHAnsi" w:hAnsiTheme="minorHAnsi"/>
                <w:b/>
                <w:sz w:val="20"/>
                <w:szCs w:val="20"/>
              </w:rPr>
              <w:t>,000</w:t>
            </w:r>
          </w:p>
          <w:p w:rsidR="00BF521A" w:rsidRPr="00FF15AC" w:rsidRDefault="00BF521A">
            <w:pPr>
              <w:jc w:val="right"/>
              <w:rPr>
                <w:rFonts w:asciiTheme="minorHAnsi" w:eastAsia="MS PGothic" w:hAnsiTheme="minorHAnsi" w:cs="Calibri"/>
                <w:b/>
                <w:sz w:val="20"/>
                <w:szCs w:val="20"/>
                <w:u w:val="single"/>
                <w:lang w:val="en-US" w:eastAsia="ja-JP"/>
              </w:rPr>
            </w:pPr>
          </w:p>
        </w:tc>
      </w:tr>
    </w:tbl>
    <w:p w:rsidR="00613092" w:rsidRPr="004E623F" w:rsidRDefault="00613092" w:rsidP="00613092">
      <w:pPr>
        <w:rPr>
          <w:rFonts w:ascii="Calibri" w:eastAsia="MS PGothic" w:hAnsi="Calibri" w:cs="Calibri"/>
          <w:sz w:val="22"/>
          <w:szCs w:val="22"/>
          <w:u w:val="single"/>
          <w:lang w:val="en-US" w:eastAsia="ja-JP"/>
        </w:rPr>
      </w:pPr>
    </w:p>
    <w:p w:rsidR="00125BC4" w:rsidRDefault="00FF15AC" w:rsidP="00FF15AC">
      <w:pPr>
        <w:shd w:val="clear" w:color="auto" w:fill="FFFFFF" w:themeFill="background1"/>
        <w:rPr>
          <w:rFonts w:ascii="Calibri" w:eastAsia="Batang" w:hAnsi="Calibri" w:cs="Calibri"/>
          <w:b/>
          <w:sz w:val="22"/>
          <w:szCs w:val="22"/>
          <w:lang w:eastAsia="en-US"/>
        </w:rPr>
      </w:pPr>
      <w:r w:rsidRPr="00FF15AC">
        <w:rPr>
          <w:rFonts w:ascii="Calibri" w:eastAsia="Batang" w:hAnsi="Calibri" w:cs="Calibri"/>
          <w:b/>
          <w:sz w:val="22"/>
          <w:szCs w:val="22"/>
          <w:lang w:eastAsia="en-US"/>
        </w:rPr>
        <w:t xml:space="preserve">Total non-core funds required for 2016-2018 </w:t>
      </w:r>
      <w:r w:rsidR="00BF521A">
        <w:rPr>
          <w:rFonts w:ascii="Calibri" w:eastAsia="Batang" w:hAnsi="Calibri" w:cs="Calibri"/>
          <w:b/>
          <w:sz w:val="22"/>
          <w:szCs w:val="22"/>
          <w:lang w:eastAsia="en-US"/>
        </w:rPr>
        <w:t>triennium = CHF 6</w:t>
      </w:r>
      <w:r w:rsidRPr="00FF15AC">
        <w:rPr>
          <w:rFonts w:ascii="Calibri" w:eastAsia="Batang" w:hAnsi="Calibri" w:cs="Calibri"/>
          <w:b/>
          <w:sz w:val="22"/>
          <w:szCs w:val="22"/>
          <w:lang w:eastAsia="en-US"/>
        </w:rPr>
        <w:t>,</w:t>
      </w:r>
      <w:r w:rsidR="0035558F">
        <w:rPr>
          <w:rFonts w:ascii="Calibri" w:eastAsia="Batang" w:hAnsi="Calibri" w:cs="Calibri"/>
          <w:b/>
          <w:sz w:val="22"/>
          <w:szCs w:val="22"/>
          <w:lang w:eastAsia="en-US"/>
        </w:rPr>
        <w:t>925</w:t>
      </w:r>
      <w:r w:rsidRPr="00FF15AC">
        <w:rPr>
          <w:rFonts w:ascii="Calibri" w:eastAsia="Batang" w:hAnsi="Calibri" w:cs="Calibri"/>
          <w:b/>
          <w:sz w:val="22"/>
          <w:szCs w:val="22"/>
          <w:lang w:eastAsia="en-US"/>
        </w:rPr>
        <w:t>,000</w:t>
      </w:r>
    </w:p>
    <w:p w:rsidR="00FF15AC" w:rsidRDefault="00FF15AC" w:rsidP="00FF15AC">
      <w:pPr>
        <w:shd w:val="clear" w:color="auto" w:fill="FFFFFF" w:themeFill="background1"/>
        <w:rPr>
          <w:rFonts w:ascii="Calibri" w:eastAsia="Batang" w:hAnsi="Calibri" w:cs="Calibri"/>
          <w:b/>
          <w:sz w:val="22"/>
          <w:szCs w:val="22"/>
          <w:lang w:eastAsia="en-US"/>
        </w:rPr>
      </w:pPr>
    </w:p>
    <w:p w:rsidR="00FF15AC" w:rsidRDefault="00FF15AC">
      <w:pPr>
        <w:spacing w:after="200" w:line="276" w:lineRule="auto"/>
        <w:rPr>
          <w:rFonts w:ascii="Calibri" w:eastAsia="Batang" w:hAnsi="Calibri" w:cs="Calibri"/>
          <w:b/>
          <w:sz w:val="22"/>
          <w:szCs w:val="22"/>
          <w:lang w:eastAsia="en-US"/>
        </w:rPr>
        <w:sectPr w:rsidR="00FF15AC" w:rsidSect="002E1289">
          <w:footerReference w:type="default" r:id="rId9"/>
          <w:pgSz w:w="11906" w:h="16838"/>
          <w:pgMar w:top="1440" w:right="1440" w:bottom="1440" w:left="1418" w:header="708" w:footer="708" w:gutter="0"/>
          <w:cols w:space="708"/>
          <w:titlePg/>
          <w:docGrid w:linePitch="360"/>
        </w:sectPr>
      </w:pPr>
    </w:p>
    <w:p w:rsidR="00FF15AC" w:rsidRDefault="00FF15AC" w:rsidP="00FF15AC">
      <w:pPr>
        <w:rPr>
          <w:rFonts w:asciiTheme="minorHAnsi" w:hAnsiTheme="minorHAnsi" w:cs="Calibri"/>
          <w:b/>
        </w:rPr>
      </w:pPr>
      <w:r>
        <w:rPr>
          <w:rFonts w:asciiTheme="minorHAnsi" w:hAnsiTheme="minorHAnsi" w:cs="Calibri"/>
          <w:b/>
        </w:rPr>
        <w:lastRenderedPageBreak/>
        <w:t>Annex 2</w:t>
      </w:r>
    </w:p>
    <w:p w:rsidR="00FF15AC" w:rsidRDefault="00FF15AC" w:rsidP="00FF15AC">
      <w:pPr>
        <w:shd w:val="clear" w:color="auto" w:fill="FFFFFF" w:themeFill="background1"/>
        <w:rPr>
          <w:rFonts w:ascii="Calibri" w:eastAsia="Batang" w:hAnsi="Calibri" w:cs="Calibri"/>
          <w:b/>
          <w:sz w:val="22"/>
          <w:szCs w:val="22"/>
          <w:lang w:eastAsia="en-US"/>
        </w:rPr>
      </w:pPr>
    </w:p>
    <w:p w:rsidR="00FF15AC" w:rsidRDefault="00FF15AC" w:rsidP="00FF15AC">
      <w:pPr>
        <w:shd w:val="clear" w:color="auto" w:fill="FFFFFF" w:themeFill="background1"/>
        <w:rPr>
          <w:rFonts w:ascii="Calibri" w:eastAsia="Batang" w:hAnsi="Calibri" w:cs="Calibri"/>
          <w:b/>
          <w:lang w:eastAsia="en-US"/>
        </w:rPr>
      </w:pPr>
      <w:r w:rsidRPr="00FF15AC">
        <w:rPr>
          <w:rFonts w:ascii="Calibri" w:eastAsia="Batang" w:hAnsi="Calibri" w:cs="Calibri"/>
          <w:b/>
          <w:lang w:eastAsia="en-US"/>
        </w:rPr>
        <w:t xml:space="preserve">Costing of action list from COP12 </w:t>
      </w:r>
      <w:r>
        <w:rPr>
          <w:rFonts w:ascii="Calibri" w:eastAsia="Batang" w:hAnsi="Calibri" w:cs="Calibri"/>
          <w:b/>
          <w:lang w:eastAsia="en-US"/>
        </w:rPr>
        <w:t xml:space="preserve">for </w:t>
      </w:r>
      <w:r w:rsidRPr="00FF15AC">
        <w:rPr>
          <w:rFonts w:ascii="Calibri" w:eastAsia="Batang" w:hAnsi="Calibri" w:cs="Calibri"/>
          <w:b/>
          <w:lang w:eastAsia="en-US"/>
        </w:rPr>
        <w:t>2016-2018</w:t>
      </w:r>
    </w:p>
    <w:p w:rsidR="00FF15AC" w:rsidRDefault="00FF15AC" w:rsidP="00FF15AC">
      <w:pPr>
        <w:shd w:val="clear" w:color="auto" w:fill="FFFFFF" w:themeFill="background1"/>
        <w:rPr>
          <w:rFonts w:ascii="Calibri" w:eastAsia="Batang" w:hAnsi="Calibri" w:cs="Calibri"/>
          <w:b/>
          <w:lang w:eastAsia="en-US"/>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1275"/>
        <w:gridCol w:w="1276"/>
        <w:gridCol w:w="3827"/>
        <w:gridCol w:w="1276"/>
        <w:gridCol w:w="1276"/>
        <w:gridCol w:w="1134"/>
      </w:tblGrid>
      <w:tr w:rsidR="00AD06E0" w:rsidRPr="00FF15AC" w:rsidTr="006B5FCE">
        <w:trPr>
          <w:cantSplit/>
          <w:tblHeader/>
        </w:trPr>
        <w:tc>
          <w:tcPr>
            <w:tcW w:w="4679" w:type="dxa"/>
            <w:shd w:val="clear" w:color="auto" w:fill="B8CCE4" w:themeFill="accent1" w:themeFillTint="66"/>
            <w:vAlign w:val="center"/>
          </w:tcPr>
          <w:p w:rsidR="00AD06E0" w:rsidRPr="00FF15AC" w:rsidRDefault="00AD06E0" w:rsidP="006B5FCE">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Action</w:t>
            </w:r>
          </w:p>
        </w:tc>
        <w:tc>
          <w:tcPr>
            <w:tcW w:w="1275" w:type="dxa"/>
            <w:shd w:val="clear" w:color="auto" w:fill="B8CCE4" w:themeFill="accent1" w:themeFillTint="66"/>
            <w:vAlign w:val="center"/>
          </w:tcPr>
          <w:p w:rsidR="00AD06E0" w:rsidRPr="00FF15AC" w:rsidRDefault="00AD06E0" w:rsidP="006B5FCE">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Responsible WP Team</w:t>
            </w:r>
          </w:p>
        </w:tc>
        <w:tc>
          <w:tcPr>
            <w:tcW w:w="1276" w:type="dxa"/>
            <w:shd w:val="clear" w:color="auto" w:fill="B8CCE4" w:themeFill="accent1" w:themeFillTint="66"/>
            <w:vAlign w:val="center"/>
          </w:tcPr>
          <w:p w:rsidR="00AD06E0" w:rsidRPr="00FF15AC" w:rsidRDefault="00AD06E0" w:rsidP="006B5FCE">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Deadline in Resolution</w:t>
            </w:r>
          </w:p>
        </w:tc>
        <w:tc>
          <w:tcPr>
            <w:tcW w:w="3827" w:type="dxa"/>
            <w:shd w:val="clear" w:color="auto" w:fill="B8CCE4" w:themeFill="accent1" w:themeFillTint="66"/>
            <w:vAlign w:val="center"/>
          </w:tcPr>
          <w:p w:rsidR="00AD06E0" w:rsidRPr="00FF15AC" w:rsidRDefault="00AD06E0" w:rsidP="006B5FCE">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Status and comments</w:t>
            </w:r>
          </w:p>
        </w:tc>
        <w:tc>
          <w:tcPr>
            <w:tcW w:w="1276" w:type="dxa"/>
            <w:shd w:val="clear" w:color="auto" w:fill="B8CCE4" w:themeFill="accent1" w:themeFillTint="66"/>
            <w:vAlign w:val="center"/>
          </w:tcPr>
          <w:p w:rsidR="00AD06E0" w:rsidRPr="00FF15AC" w:rsidRDefault="00AD06E0" w:rsidP="006B5FCE">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 xml:space="preserve">Total cost in CHF per Resolution over 3 </w:t>
            </w:r>
            <w:r>
              <w:rPr>
                <w:rFonts w:ascii="Calibri" w:eastAsiaTheme="minorHAnsi" w:hAnsi="Calibri" w:cs="Calibri"/>
                <w:b/>
                <w:bCs/>
                <w:sz w:val="20"/>
                <w:szCs w:val="20"/>
                <w:lang w:eastAsia="en-US"/>
              </w:rPr>
              <w:t>y</w:t>
            </w:r>
            <w:r w:rsidRPr="00FF15AC">
              <w:rPr>
                <w:rFonts w:ascii="Calibri" w:eastAsiaTheme="minorHAnsi" w:hAnsi="Calibri" w:cs="Calibri"/>
                <w:b/>
                <w:bCs/>
                <w:sz w:val="20"/>
                <w:szCs w:val="20"/>
                <w:lang w:eastAsia="en-US"/>
              </w:rPr>
              <w:t>ears</w:t>
            </w:r>
          </w:p>
        </w:tc>
        <w:tc>
          <w:tcPr>
            <w:tcW w:w="1276" w:type="dxa"/>
            <w:shd w:val="clear" w:color="auto" w:fill="B8CCE4" w:themeFill="accent1" w:themeFillTint="66"/>
            <w:vAlign w:val="center"/>
          </w:tcPr>
          <w:p w:rsidR="00AD06E0" w:rsidRPr="00FF15AC" w:rsidRDefault="00AD06E0" w:rsidP="006B5FCE">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 xml:space="preserve">Budgeted non-core funds </w:t>
            </w:r>
            <w:r>
              <w:rPr>
                <w:rFonts w:ascii="Calibri" w:eastAsiaTheme="minorHAnsi" w:hAnsi="Calibri" w:cs="Calibri"/>
                <w:b/>
                <w:bCs/>
                <w:sz w:val="20"/>
                <w:szCs w:val="20"/>
                <w:lang w:eastAsia="en-US"/>
              </w:rPr>
              <w:br/>
            </w:r>
            <w:r w:rsidRPr="00FF15AC">
              <w:rPr>
                <w:rFonts w:ascii="Calibri" w:eastAsiaTheme="minorHAnsi" w:hAnsi="Calibri" w:cs="Calibri"/>
                <w:b/>
                <w:bCs/>
                <w:sz w:val="20"/>
                <w:szCs w:val="20"/>
                <w:lang w:eastAsia="en-US"/>
              </w:rPr>
              <w:t>(Res.</w:t>
            </w:r>
            <w:r>
              <w:rPr>
                <w:rFonts w:ascii="Calibri" w:eastAsiaTheme="minorHAnsi" w:hAnsi="Calibri" w:cs="Calibri"/>
                <w:b/>
                <w:bCs/>
                <w:sz w:val="20"/>
                <w:szCs w:val="20"/>
                <w:lang w:eastAsia="en-US"/>
              </w:rPr>
              <w:t xml:space="preserve"> XII.1</w:t>
            </w:r>
            <w:r w:rsidRPr="00FF15AC">
              <w:rPr>
                <w:rFonts w:ascii="Calibri" w:eastAsiaTheme="minorHAnsi" w:hAnsi="Calibri" w:cs="Calibri"/>
                <w:b/>
                <w:bCs/>
                <w:sz w:val="20"/>
                <w:szCs w:val="20"/>
                <w:lang w:eastAsia="en-US"/>
              </w:rPr>
              <w:t xml:space="preserve"> Annex 3)</w:t>
            </w:r>
          </w:p>
        </w:tc>
        <w:tc>
          <w:tcPr>
            <w:tcW w:w="1134" w:type="dxa"/>
            <w:shd w:val="clear" w:color="auto" w:fill="B8CCE4" w:themeFill="accent1" w:themeFillTint="66"/>
            <w:vAlign w:val="center"/>
          </w:tcPr>
          <w:p w:rsidR="00AD06E0" w:rsidRPr="00FF15AC" w:rsidRDefault="00AD06E0" w:rsidP="006B5FCE">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Additional non-core funds</w:t>
            </w:r>
          </w:p>
        </w:tc>
      </w:tr>
      <w:tr w:rsidR="00AD06E0" w:rsidTr="006B5FCE">
        <w:trPr>
          <w:cantSplit/>
        </w:trPr>
        <w:tc>
          <w:tcPr>
            <w:tcW w:w="4679" w:type="dxa"/>
            <w:shd w:val="clear" w:color="auto" w:fill="D9D9D9" w:themeFill="background1" w:themeFillShade="D9"/>
          </w:tcPr>
          <w:p w:rsidR="00AD06E0" w:rsidRDefault="00AD06E0" w:rsidP="006B5FCE">
            <w:pPr>
              <w:autoSpaceDE w:val="0"/>
              <w:autoSpaceDN w:val="0"/>
              <w:adjustRightInd w:val="0"/>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Resolution XII.1 Financial and budgetary matters (all Strategic Goals)</w:t>
            </w:r>
          </w:p>
        </w:tc>
        <w:tc>
          <w:tcPr>
            <w:tcW w:w="1275" w:type="dxa"/>
            <w:shd w:val="clear" w:color="auto" w:fill="D9D9D9" w:themeFill="background1" w:themeFillShade="D9"/>
          </w:tcPr>
          <w:p w:rsidR="00AD06E0" w:rsidRDefault="00AD06E0" w:rsidP="006B5FCE">
            <w:pPr>
              <w:autoSpaceDE w:val="0"/>
              <w:autoSpaceDN w:val="0"/>
              <w:adjustRightInd w:val="0"/>
              <w:rPr>
                <w:rFonts w:ascii="Calibri" w:eastAsiaTheme="minorHAnsi" w:hAnsi="Calibri" w:cs="Calibri"/>
                <w:b/>
                <w:bCs/>
                <w:color w:val="000000"/>
                <w:sz w:val="20"/>
                <w:szCs w:val="20"/>
                <w:lang w:eastAsia="en-US"/>
              </w:rPr>
            </w:pPr>
          </w:p>
        </w:tc>
        <w:tc>
          <w:tcPr>
            <w:tcW w:w="1276" w:type="dxa"/>
            <w:shd w:val="clear" w:color="auto" w:fill="D9D9D9" w:themeFill="background1" w:themeFillShade="D9"/>
          </w:tcPr>
          <w:p w:rsidR="00AD06E0" w:rsidRDefault="00AD06E0" w:rsidP="006B5FCE">
            <w:pPr>
              <w:autoSpaceDE w:val="0"/>
              <w:autoSpaceDN w:val="0"/>
              <w:adjustRightInd w:val="0"/>
              <w:jc w:val="right"/>
              <w:rPr>
                <w:rFonts w:ascii="Calibri" w:eastAsiaTheme="minorHAnsi" w:hAnsi="Calibri" w:cs="Calibri"/>
                <w:color w:val="000000"/>
                <w:sz w:val="20"/>
                <w:szCs w:val="20"/>
                <w:lang w:eastAsia="en-US"/>
              </w:rPr>
            </w:pPr>
          </w:p>
        </w:tc>
        <w:tc>
          <w:tcPr>
            <w:tcW w:w="3827" w:type="dxa"/>
            <w:shd w:val="clear" w:color="auto" w:fill="D9D9D9" w:themeFill="background1" w:themeFillShade="D9"/>
          </w:tcPr>
          <w:p w:rsidR="00AD06E0" w:rsidRDefault="00AD06E0" w:rsidP="006B5FCE">
            <w:pPr>
              <w:autoSpaceDE w:val="0"/>
              <w:autoSpaceDN w:val="0"/>
              <w:adjustRightInd w:val="0"/>
              <w:jc w:val="right"/>
              <w:rPr>
                <w:rFonts w:ascii="Calibri" w:eastAsiaTheme="minorHAnsi" w:hAnsi="Calibri" w:cs="Calibri"/>
                <w:color w:val="000000"/>
                <w:sz w:val="20"/>
                <w:szCs w:val="20"/>
                <w:lang w:eastAsia="en-US"/>
              </w:rPr>
            </w:pPr>
          </w:p>
        </w:tc>
        <w:tc>
          <w:tcPr>
            <w:tcW w:w="1276" w:type="dxa"/>
            <w:shd w:val="clear" w:color="auto" w:fill="D9D9D9" w:themeFill="background1" w:themeFillShade="D9"/>
          </w:tcPr>
          <w:p w:rsidR="00AD06E0" w:rsidRDefault="00AD06E0" w:rsidP="006B5FCE">
            <w:pPr>
              <w:autoSpaceDE w:val="0"/>
              <w:autoSpaceDN w:val="0"/>
              <w:adjustRightInd w:val="0"/>
              <w:jc w:val="right"/>
              <w:rPr>
                <w:rFonts w:ascii="Calibri" w:eastAsiaTheme="minorHAnsi" w:hAnsi="Calibri" w:cs="Calibri"/>
                <w:b/>
                <w:bCs/>
                <w:color w:val="000000"/>
                <w:sz w:val="20"/>
                <w:szCs w:val="20"/>
                <w:lang w:eastAsia="en-US"/>
              </w:rPr>
            </w:pPr>
            <w:r w:rsidRPr="00AD06E0">
              <w:rPr>
                <w:rFonts w:ascii="Calibri" w:eastAsiaTheme="minorHAnsi" w:hAnsi="Calibri" w:cs="Calibri"/>
                <w:b/>
                <w:bCs/>
                <w:color w:val="000000"/>
                <w:sz w:val="20"/>
                <w:szCs w:val="20"/>
                <w:lang w:eastAsia="en-US"/>
              </w:rPr>
              <w:t>1</w:t>
            </w:r>
            <w:r>
              <w:rPr>
                <w:rFonts w:ascii="Calibri" w:eastAsiaTheme="minorHAnsi" w:hAnsi="Calibri" w:cs="Calibri"/>
                <w:b/>
                <w:bCs/>
                <w:color w:val="000000"/>
                <w:sz w:val="20"/>
                <w:szCs w:val="20"/>
                <w:lang w:eastAsia="en-US"/>
              </w:rPr>
              <w:t>,</w:t>
            </w:r>
            <w:r w:rsidRPr="00AD06E0">
              <w:rPr>
                <w:rFonts w:ascii="Calibri" w:eastAsiaTheme="minorHAnsi" w:hAnsi="Calibri" w:cs="Calibri"/>
                <w:b/>
                <w:bCs/>
                <w:color w:val="000000"/>
                <w:sz w:val="20"/>
                <w:szCs w:val="20"/>
                <w:lang w:eastAsia="en-US"/>
              </w:rPr>
              <w:t>550</w:t>
            </w:r>
            <w:r>
              <w:rPr>
                <w:rFonts w:ascii="Calibri" w:eastAsiaTheme="minorHAnsi" w:hAnsi="Calibri" w:cs="Calibri"/>
                <w:b/>
                <w:bCs/>
                <w:color w:val="000000"/>
                <w:sz w:val="20"/>
                <w:szCs w:val="20"/>
                <w:lang w:eastAsia="en-US"/>
              </w:rPr>
              <w:t>,</w:t>
            </w:r>
            <w:r w:rsidRPr="00AD06E0">
              <w:rPr>
                <w:rFonts w:ascii="Calibri" w:eastAsiaTheme="minorHAnsi" w:hAnsi="Calibri" w:cs="Calibri"/>
                <w:b/>
                <w:bCs/>
                <w:color w:val="000000"/>
                <w:sz w:val="20"/>
                <w:szCs w:val="20"/>
                <w:lang w:eastAsia="en-US"/>
              </w:rPr>
              <w:t>000</w:t>
            </w:r>
          </w:p>
        </w:tc>
        <w:tc>
          <w:tcPr>
            <w:tcW w:w="1276" w:type="dxa"/>
            <w:shd w:val="clear" w:color="auto" w:fill="D9D9D9" w:themeFill="background1" w:themeFillShade="D9"/>
          </w:tcPr>
          <w:p w:rsidR="00AD06E0" w:rsidRDefault="00AD06E0" w:rsidP="006B5FCE">
            <w:pPr>
              <w:autoSpaceDE w:val="0"/>
              <w:autoSpaceDN w:val="0"/>
              <w:adjustRightInd w:val="0"/>
              <w:jc w:val="right"/>
              <w:rPr>
                <w:rFonts w:ascii="Calibri" w:eastAsiaTheme="minorHAnsi" w:hAnsi="Calibri" w:cs="Calibri"/>
                <w:color w:val="000000"/>
                <w:sz w:val="20"/>
                <w:szCs w:val="20"/>
                <w:lang w:eastAsia="en-US"/>
              </w:rPr>
            </w:pPr>
          </w:p>
        </w:tc>
        <w:tc>
          <w:tcPr>
            <w:tcW w:w="1134" w:type="dxa"/>
            <w:shd w:val="clear" w:color="auto" w:fill="D9D9D9" w:themeFill="background1" w:themeFillShade="D9"/>
          </w:tcPr>
          <w:p w:rsidR="00AD06E0" w:rsidRDefault="00AD06E0" w:rsidP="006B5FCE">
            <w:pPr>
              <w:autoSpaceDE w:val="0"/>
              <w:autoSpaceDN w:val="0"/>
              <w:adjustRightInd w:val="0"/>
              <w:jc w:val="right"/>
              <w:rPr>
                <w:rFonts w:ascii="Arial" w:eastAsiaTheme="minorHAnsi" w:hAnsi="Arial" w:cs="Arial"/>
                <w:color w:val="000000"/>
                <w:sz w:val="22"/>
                <w:szCs w:val="22"/>
                <w:lang w:eastAsia="en-US"/>
              </w:rPr>
            </w:pPr>
          </w:p>
        </w:tc>
      </w:tr>
      <w:tr w:rsidR="00AD06E0" w:rsidRPr="00AD06E0" w:rsidTr="006B5FCE">
        <w:trPr>
          <w:cantSplit/>
        </w:trPr>
        <w:tc>
          <w:tcPr>
            <w:tcW w:w="4679"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1.20. Develop new approaches and tools, including</w:t>
            </w:r>
            <w:r w:rsidRPr="00AD06E0">
              <w:rPr>
                <w:rFonts w:ascii="Calibri" w:hAnsi="Calibri" w:cs="Arial"/>
                <w:color w:val="000000"/>
                <w:sz w:val="20"/>
                <w:szCs w:val="20"/>
              </w:rPr>
              <w:br/>
              <w:t>signature initiatives, as appropriate, to secure voluntary financial support for currently unfunded priority projects</w:t>
            </w:r>
          </w:p>
        </w:tc>
        <w:tc>
          <w:tcPr>
            <w:tcW w:w="1275"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Ramsar Secretariat</w:t>
            </w:r>
            <w:r w:rsidRPr="00AD06E0">
              <w:rPr>
                <w:rFonts w:ascii="Calibri" w:hAnsi="Calibri" w:cs="Arial"/>
                <w:color w:val="000000"/>
                <w:sz w:val="20"/>
                <w:szCs w:val="20"/>
              </w:rPr>
              <w:br/>
              <w:t>(Fin&amp;Admin/ Part/Reg)</w:t>
            </w:r>
          </w:p>
        </w:tc>
        <w:tc>
          <w:tcPr>
            <w:tcW w:w="1276"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On-going</w:t>
            </w:r>
          </w:p>
        </w:tc>
        <w:tc>
          <w:tcPr>
            <w:tcW w:w="3827"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Raise non-core funds of CHF 5m over 3 years 2016-2018 (target increased by CHF 800,000 compared to the estimate in Res.XII.1 Annex 3). One staff appointment for fund-raising, support for innovative initiatives and programmes to be developed, writing proposals, organizing fund-raising events (see Res.XII.7.11 below)</w:t>
            </w:r>
          </w:p>
        </w:tc>
        <w:tc>
          <w:tcPr>
            <w:tcW w:w="1276" w:type="dxa"/>
            <w:shd w:val="clear" w:color="auto" w:fill="auto"/>
          </w:tcPr>
          <w:p w:rsidR="00AD06E0" w:rsidRPr="00AD06E0" w:rsidRDefault="00AD06E0" w:rsidP="006B5FCE">
            <w:pPr>
              <w:rPr>
                <w:rFonts w:ascii="Calibri" w:hAnsi="Calibri" w:cs="Arial"/>
                <w:b/>
                <w:bCs/>
                <w:color w:val="000000"/>
                <w:sz w:val="20"/>
                <w:szCs w:val="20"/>
              </w:rPr>
            </w:pPr>
            <w:r w:rsidRPr="00AD06E0">
              <w:rPr>
                <w:rFonts w:ascii="Calibri" w:hAnsi="Calibri" w:cs="Arial"/>
                <w:b/>
                <w:bCs/>
                <w:color w:val="000000"/>
                <w:sz w:val="20"/>
                <w:szCs w:val="20"/>
              </w:rPr>
              <w:t> </w:t>
            </w:r>
          </w:p>
        </w:tc>
        <w:tc>
          <w:tcPr>
            <w:tcW w:w="1276" w:type="dxa"/>
            <w:shd w:val="clear" w:color="auto" w:fill="auto"/>
            <w:vAlign w:val="bottom"/>
          </w:tcPr>
          <w:p w:rsidR="00AD06E0" w:rsidRPr="00AD06E0" w:rsidRDefault="00AD06E0" w:rsidP="006B5FCE">
            <w:pPr>
              <w:rPr>
                <w:rFonts w:ascii="Arial" w:hAnsi="Arial" w:cs="Arial"/>
                <w:color w:val="000000"/>
                <w:sz w:val="22"/>
                <w:szCs w:val="22"/>
              </w:rPr>
            </w:pPr>
            <w:r w:rsidRPr="00AD06E0">
              <w:rPr>
                <w:rFonts w:ascii="Arial" w:hAnsi="Arial" w:cs="Arial"/>
                <w:color w:val="000000"/>
                <w:sz w:val="22"/>
                <w:szCs w:val="22"/>
              </w:rPr>
              <w:t> </w:t>
            </w:r>
          </w:p>
        </w:tc>
        <w:tc>
          <w:tcPr>
            <w:tcW w:w="1134" w:type="dxa"/>
            <w:shd w:val="clear" w:color="auto" w:fill="auto"/>
          </w:tcPr>
          <w:p w:rsidR="00AD06E0" w:rsidRPr="00AD06E0" w:rsidRDefault="00AD06E0" w:rsidP="006B5FCE">
            <w:pPr>
              <w:jc w:val="right"/>
              <w:rPr>
                <w:rFonts w:ascii="Calibri" w:hAnsi="Calibri" w:cs="Arial"/>
                <w:color w:val="000000"/>
                <w:sz w:val="20"/>
                <w:szCs w:val="20"/>
              </w:rPr>
            </w:pPr>
            <w:r w:rsidRPr="00AD06E0">
              <w:rPr>
                <w:rFonts w:ascii="Calibri" w:hAnsi="Calibri" w:cs="Arial"/>
                <w:color w:val="000000"/>
                <w:sz w:val="20"/>
                <w:szCs w:val="20"/>
              </w:rPr>
              <w:t>300,000</w:t>
            </w:r>
          </w:p>
        </w:tc>
      </w:tr>
      <w:tr w:rsidR="00AD06E0" w:rsidRPr="00AD06E0" w:rsidTr="006B5FCE">
        <w:trPr>
          <w:cantSplit/>
        </w:trPr>
        <w:tc>
          <w:tcPr>
            <w:tcW w:w="4679"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1.Annex 3</w:t>
            </w:r>
          </w:p>
        </w:tc>
        <w:tc>
          <w:tcPr>
            <w:tcW w:w="1275"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Ramsar Secretariat (DSG/Reg)</w:t>
            </w:r>
          </w:p>
        </w:tc>
        <w:tc>
          <w:tcPr>
            <w:tcW w:w="1276"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Jun-18</w:t>
            </w:r>
          </w:p>
        </w:tc>
        <w:tc>
          <w:tcPr>
            <w:tcW w:w="3827"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Pre-COP13 Regional Meetings (delegate support and meeting costs for preparatory meetings)</w:t>
            </w:r>
          </w:p>
        </w:tc>
        <w:tc>
          <w:tcPr>
            <w:tcW w:w="1276" w:type="dxa"/>
            <w:shd w:val="clear" w:color="auto" w:fill="auto"/>
          </w:tcPr>
          <w:p w:rsidR="00AD06E0" w:rsidRPr="00AD06E0" w:rsidRDefault="00AD06E0" w:rsidP="006B5FCE">
            <w:pPr>
              <w:rPr>
                <w:rFonts w:ascii="Calibri" w:hAnsi="Calibri" w:cs="Arial"/>
                <w:b/>
                <w:bCs/>
                <w:color w:val="000000"/>
                <w:sz w:val="20"/>
                <w:szCs w:val="20"/>
              </w:rPr>
            </w:pPr>
            <w:r w:rsidRPr="00AD06E0">
              <w:rPr>
                <w:rFonts w:ascii="Calibri" w:hAnsi="Calibri" w:cs="Arial"/>
                <w:b/>
                <w:bCs/>
                <w:color w:val="000000"/>
                <w:sz w:val="20"/>
                <w:szCs w:val="20"/>
              </w:rPr>
              <w:t> </w:t>
            </w:r>
          </w:p>
        </w:tc>
        <w:tc>
          <w:tcPr>
            <w:tcW w:w="1276" w:type="dxa"/>
            <w:shd w:val="clear" w:color="auto" w:fill="auto"/>
          </w:tcPr>
          <w:p w:rsidR="00AD06E0" w:rsidRPr="00AD06E0" w:rsidRDefault="00AD06E0" w:rsidP="006B5FCE">
            <w:pPr>
              <w:jc w:val="right"/>
              <w:rPr>
                <w:rFonts w:ascii="Calibri" w:hAnsi="Calibri" w:cs="Arial"/>
                <w:color w:val="000000"/>
                <w:sz w:val="20"/>
                <w:szCs w:val="20"/>
              </w:rPr>
            </w:pPr>
            <w:r w:rsidRPr="00AD06E0">
              <w:rPr>
                <w:rFonts w:ascii="Calibri" w:hAnsi="Calibri" w:cs="Arial"/>
                <w:color w:val="000000"/>
                <w:sz w:val="20"/>
                <w:szCs w:val="20"/>
              </w:rPr>
              <w:t>650,000</w:t>
            </w:r>
          </w:p>
        </w:tc>
        <w:tc>
          <w:tcPr>
            <w:tcW w:w="1134"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 </w:t>
            </w:r>
          </w:p>
        </w:tc>
      </w:tr>
      <w:tr w:rsidR="00AD06E0" w:rsidTr="006B5FCE">
        <w:trPr>
          <w:cantSplit/>
        </w:trPr>
        <w:tc>
          <w:tcPr>
            <w:tcW w:w="4679"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1.Annex 3</w:t>
            </w:r>
          </w:p>
        </w:tc>
        <w:tc>
          <w:tcPr>
            <w:tcW w:w="1275"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Ramsar Secretariat (SG/DSG, Part, Reg)</w:t>
            </w:r>
          </w:p>
        </w:tc>
        <w:tc>
          <w:tcPr>
            <w:tcW w:w="1276"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COP13</w:t>
            </w:r>
          </w:p>
        </w:tc>
        <w:tc>
          <w:tcPr>
            <w:tcW w:w="3827"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COP13 (2018) sponsorship to eligible delegates</w:t>
            </w:r>
          </w:p>
        </w:tc>
        <w:tc>
          <w:tcPr>
            <w:tcW w:w="1276" w:type="dxa"/>
            <w:shd w:val="clear" w:color="auto" w:fill="auto"/>
          </w:tcPr>
          <w:p w:rsidR="00AD06E0" w:rsidRPr="00AD06E0" w:rsidRDefault="00AD06E0" w:rsidP="006B5FCE">
            <w:pPr>
              <w:rPr>
                <w:rFonts w:ascii="Calibri" w:hAnsi="Calibri" w:cs="Arial"/>
                <w:b/>
                <w:bCs/>
                <w:color w:val="000000"/>
                <w:sz w:val="20"/>
                <w:szCs w:val="20"/>
              </w:rPr>
            </w:pPr>
            <w:r w:rsidRPr="00AD06E0">
              <w:rPr>
                <w:rFonts w:ascii="Calibri" w:hAnsi="Calibri" w:cs="Arial"/>
                <w:b/>
                <w:bCs/>
                <w:color w:val="000000"/>
                <w:sz w:val="20"/>
                <w:szCs w:val="20"/>
              </w:rPr>
              <w:t> </w:t>
            </w:r>
          </w:p>
        </w:tc>
        <w:tc>
          <w:tcPr>
            <w:tcW w:w="1276" w:type="dxa"/>
            <w:shd w:val="clear" w:color="auto" w:fill="auto"/>
          </w:tcPr>
          <w:p w:rsidR="00AD06E0" w:rsidRDefault="00AD06E0" w:rsidP="006B5FCE">
            <w:pPr>
              <w:jc w:val="right"/>
              <w:rPr>
                <w:rFonts w:ascii="Calibri" w:hAnsi="Calibri" w:cs="Arial"/>
                <w:color w:val="000000"/>
                <w:sz w:val="20"/>
                <w:szCs w:val="20"/>
              </w:rPr>
            </w:pPr>
            <w:r w:rsidRPr="00AD06E0">
              <w:rPr>
                <w:rFonts w:ascii="Calibri" w:hAnsi="Calibri" w:cs="Arial"/>
                <w:color w:val="000000"/>
                <w:sz w:val="20"/>
                <w:szCs w:val="20"/>
              </w:rPr>
              <w:t>600,000</w:t>
            </w:r>
          </w:p>
        </w:tc>
        <w:tc>
          <w:tcPr>
            <w:tcW w:w="1134"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 </w:t>
            </w:r>
          </w:p>
        </w:tc>
      </w:tr>
      <w:tr w:rsidR="00AD06E0" w:rsidTr="006B5FCE">
        <w:trPr>
          <w:cantSplit/>
        </w:trPr>
        <w:tc>
          <w:tcPr>
            <w:tcW w:w="4679" w:type="dxa"/>
            <w:shd w:val="clear" w:color="auto" w:fill="D9D9D9" w:themeFill="background1" w:themeFillShade="D9"/>
          </w:tcPr>
          <w:p w:rsidR="00AD06E0" w:rsidRDefault="00AD06E0" w:rsidP="006B5FCE">
            <w:pPr>
              <w:rPr>
                <w:rFonts w:ascii="Calibri" w:hAnsi="Calibri" w:cs="Arial"/>
                <w:b/>
                <w:bCs/>
                <w:color w:val="000000"/>
                <w:sz w:val="20"/>
                <w:szCs w:val="20"/>
              </w:rPr>
            </w:pPr>
            <w:r>
              <w:rPr>
                <w:rFonts w:ascii="Calibri" w:hAnsi="Calibri" w:cs="Arial"/>
                <w:b/>
                <w:bCs/>
                <w:color w:val="000000"/>
                <w:sz w:val="20"/>
                <w:szCs w:val="20"/>
              </w:rPr>
              <w:t>Resolution XII.2  The Ramsar Strategic Plan 2016-2024 (all Strategic Goals)</w:t>
            </w:r>
          </w:p>
        </w:tc>
        <w:tc>
          <w:tcPr>
            <w:tcW w:w="1275" w:type="dxa"/>
            <w:shd w:val="clear" w:color="auto" w:fill="D9D9D9" w:themeFill="background1" w:themeFillShade="D9"/>
          </w:tcPr>
          <w:p w:rsidR="00AD06E0" w:rsidRDefault="00AD06E0"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AD06E0" w:rsidRDefault="00AD06E0"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AD06E0" w:rsidRDefault="00AD06E0"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AD06E0" w:rsidRDefault="00AD06E0" w:rsidP="006B5FCE">
            <w:pPr>
              <w:jc w:val="right"/>
              <w:rPr>
                <w:rFonts w:ascii="Calibri" w:hAnsi="Calibri" w:cs="Arial"/>
                <w:b/>
                <w:bCs/>
                <w:color w:val="000000"/>
                <w:sz w:val="20"/>
                <w:szCs w:val="20"/>
              </w:rPr>
            </w:pPr>
            <w:r>
              <w:rPr>
                <w:rFonts w:ascii="Calibri" w:hAnsi="Calibri" w:cs="Arial"/>
                <w:b/>
                <w:bCs/>
                <w:color w:val="000000"/>
                <w:sz w:val="20"/>
                <w:szCs w:val="20"/>
              </w:rPr>
              <w:t>425,000</w:t>
            </w:r>
          </w:p>
        </w:tc>
        <w:tc>
          <w:tcPr>
            <w:tcW w:w="1276" w:type="dxa"/>
            <w:shd w:val="clear" w:color="auto" w:fill="D9D9D9" w:themeFill="background1" w:themeFillShade="D9"/>
          </w:tcPr>
          <w:p w:rsidR="00AD06E0" w:rsidRDefault="00AD06E0"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vAlign w:val="bottom"/>
          </w:tcPr>
          <w:p w:rsidR="00AD06E0" w:rsidRDefault="00AD06E0" w:rsidP="006B5FCE">
            <w:pPr>
              <w:rPr>
                <w:rFonts w:ascii="Arial" w:hAnsi="Arial" w:cs="Arial"/>
                <w:color w:val="000000"/>
                <w:sz w:val="22"/>
                <w:szCs w:val="22"/>
              </w:rPr>
            </w:pPr>
            <w:r>
              <w:rPr>
                <w:rFonts w:ascii="Arial" w:hAnsi="Arial" w:cs="Arial"/>
                <w:color w:val="000000"/>
                <w:sz w:val="22"/>
                <w:szCs w:val="22"/>
              </w:rPr>
              <w:t> </w:t>
            </w:r>
          </w:p>
        </w:tc>
      </w:tr>
      <w:tr w:rsidR="00AD06E0" w:rsidTr="006B5FCE">
        <w:trPr>
          <w:cantSplit/>
        </w:trPr>
        <w:tc>
          <w:tcPr>
            <w:tcW w:w="4679"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2.17. REQUESTS the Secretariat and the Standing Committee to develop the COP13 National Report Template to provide a more user- friendly instrument that reflects the goals and targets of the new Ramsar Strategic Plan, for consideration at the 51st Meeting of the Standing Committee (SC51)</w:t>
            </w:r>
          </w:p>
        </w:tc>
        <w:tc>
          <w:tcPr>
            <w:tcW w:w="1275"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Ramsar Secretariat (SRAs/SG/</w:t>
            </w:r>
            <w:r w:rsidR="006B5FCE">
              <w:rPr>
                <w:rFonts w:ascii="Calibri" w:hAnsi="Calibri" w:cs="Arial"/>
                <w:color w:val="000000"/>
                <w:sz w:val="20"/>
                <w:szCs w:val="20"/>
              </w:rPr>
              <w:br/>
            </w:r>
            <w:r>
              <w:rPr>
                <w:rFonts w:ascii="Calibri" w:hAnsi="Calibri" w:cs="Arial"/>
                <w:color w:val="000000"/>
                <w:sz w:val="20"/>
                <w:szCs w:val="20"/>
              </w:rPr>
              <w:t xml:space="preserve">DSG/IT officer) </w:t>
            </w:r>
          </w:p>
        </w:tc>
        <w:tc>
          <w:tcPr>
            <w:tcW w:w="1276"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SC52</w:t>
            </w:r>
          </w:p>
        </w:tc>
        <w:tc>
          <w:tcPr>
            <w:tcW w:w="3827"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Preparation of National Report Template for COP13 with inputs from Contracting Parties and key stakeholders (WCMC, STRP, CMS and other MEAs, and others), development of on-line system for National Reports, reporting and indicator development</w:t>
            </w:r>
          </w:p>
        </w:tc>
        <w:tc>
          <w:tcPr>
            <w:tcW w:w="1276" w:type="dxa"/>
            <w:shd w:val="clear" w:color="auto" w:fill="auto"/>
          </w:tcPr>
          <w:p w:rsidR="00AD06E0" w:rsidRDefault="00AD06E0"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AD06E0" w:rsidRDefault="00AD06E0" w:rsidP="006B5FCE">
            <w:pPr>
              <w:jc w:val="right"/>
              <w:rPr>
                <w:rFonts w:ascii="Calibri" w:hAnsi="Calibri" w:cs="Arial"/>
                <w:color w:val="000000"/>
                <w:sz w:val="20"/>
                <w:szCs w:val="20"/>
              </w:rPr>
            </w:pPr>
            <w:r>
              <w:rPr>
                <w:rFonts w:ascii="Calibri" w:hAnsi="Calibri" w:cs="Arial"/>
                <w:color w:val="000000"/>
                <w:sz w:val="20"/>
                <w:szCs w:val="20"/>
              </w:rPr>
              <w:t>175,000</w:t>
            </w:r>
          </w:p>
        </w:tc>
        <w:tc>
          <w:tcPr>
            <w:tcW w:w="1134" w:type="dxa"/>
            <w:shd w:val="clear" w:color="auto" w:fill="auto"/>
            <w:vAlign w:val="bottom"/>
          </w:tcPr>
          <w:p w:rsidR="00AD06E0" w:rsidRDefault="00AD06E0" w:rsidP="006B5FCE">
            <w:pPr>
              <w:rPr>
                <w:rFonts w:ascii="Arial" w:hAnsi="Arial" w:cs="Arial"/>
                <w:color w:val="000000"/>
                <w:sz w:val="22"/>
                <w:szCs w:val="22"/>
              </w:rPr>
            </w:pPr>
            <w:r>
              <w:rPr>
                <w:rFonts w:ascii="Arial" w:hAnsi="Arial" w:cs="Arial"/>
                <w:color w:val="000000"/>
                <w:sz w:val="22"/>
                <w:szCs w:val="22"/>
              </w:rPr>
              <w:t> </w:t>
            </w:r>
          </w:p>
        </w:tc>
      </w:tr>
      <w:tr w:rsidR="00AD06E0" w:rsidTr="006B5FCE">
        <w:trPr>
          <w:cantSplit/>
        </w:trPr>
        <w:tc>
          <w:tcPr>
            <w:tcW w:w="4679"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lastRenderedPageBreak/>
              <w:t>2.20.  Compile data on the relationship of indigenous peoples and local communities with wetlands</w:t>
            </w:r>
          </w:p>
        </w:tc>
        <w:tc>
          <w:tcPr>
            <w:tcW w:w="1275"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Ramsar Secretariat</w:t>
            </w:r>
            <w:r>
              <w:rPr>
                <w:rFonts w:ascii="Calibri" w:hAnsi="Calibri" w:cs="Arial"/>
                <w:color w:val="000000"/>
                <w:sz w:val="20"/>
                <w:szCs w:val="20"/>
              </w:rPr>
              <w:br/>
              <w:t>(F&amp;A/Part/</w:t>
            </w:r>
            <w:r w:rsidR="006B5FCE">
              <w:rPr>
                <w:rFonts w:ascii="Calibri" w:hAnsi="Calibri" w:cs="Arial"/>
                <w:color w:val="000000"/>
                <w:sz w:val="20"/>
                <w:szCs w:val="20"/>
              </w:rPr>
              <w:br/>
            </w:r>
            <w:r>
              <w:rPr>
                <w:rFonts w:ascii="Calibri" w:hAnsi="Calibri" w:cs="Arial"/>
                <w:color w:val="000000"/>
                <w:sz w:val="20"/>
                <w:szCs w:val="20"/>
              </w:rPr>
              <w:t>Reg)</w:t>
            </w:r>
          </w:p>
        </w:tc>
        <w:tc>
          <w:tcPr>
            <w:tcW w:w="1276"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SC52</w:t>
            </w:r>
          </w:p>
        </w:tc>
        <w:tc>
          <w:tcPr>
            <w:tcW w:w="3827"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CHF 50,000</w:t>
            </w:r>
            <w:r>
              <w:rPr>
                <w:rFonts w:ascii="Calibri" w:hAnsi="Calibri" w:cs="Arial"/>
                <w:color w:val="0000FF"/>
                <w:sz w:val="20"/>
                <w:szCs w:val="20"/>
              </w:rPr>
              <w:t xml:space="preserve"> </w:t>
            </w:r>
            <w:r>
              <w:rPr>
                <w:rFonts w:ascii="Calibri" w:hAnsi="Calibri" w:cs="Arial"/>
                <w:color w:val="000000"/>
                <w:sz w:val="20"/>
                <w:szCs w:val="20"/>
              </w:rPr>
              <w:t xml:space="preserve">per year for support on data gathering </w:t>
            </w:r>
          </w:p>
        </w:tc>
        <w:tc>
          <w:tcPr>
            <w:tcW w:w="1276" w:type="dxa"/>
            <w:shd w:val="clear" w:color="auto" w:fill="auto"/>
          </w:tcPr>
          <w:p w:rsidR="00AD06E0" w:rsidRDefault="00AD06E0"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vAlign w:val="bottom"/>
          </w:tcPr>
          <w:p w:rsidR="00AD06E0" w:rsidRDefault="00AD06E0" w:rsidP="006B5FCE">
            <w:pPr>
              <w:rPr>
                <w:rFonts w:ascii="Arial" w:hAnsi="Arial" w:cs="Arial"/>
                <w:color w:val="000000"/>
                <w:sz w:val="22"/>
                <w:szCs w:val="22"/>
              </w:rPr>
            </w:pPr>
            <w:r>
              <w:rPr>
                <w:rFonts w:ascii="Arial" w:hAnsi="Arial" w:cs="Arial"/>
                <w:color w:val="000000"/>
                <w:sz w:val="22"/>
                <w:szCs w:val="22"/>
              </w:rPr>
              <w:t> </w:t>
            </w:r>
          </w:p>
        </w:tc>
        <w:tc>
          <w:tcPr>
            <w:tcW w:w="1134" w:type="dxa"/>
            <w:shd w:val="clear" w:color="auto" w:fill="auto"/>
          </w:tcPr>
          <w:p w:rsidR="00AD06E0" w:rsidRDefault="00AD06E0" w:rsidP="006B5FCE">
            <w:pPr>
              <w:jc w:val="right"/>
              <w:rPr>
                <w:rFonts w:ascii="Calibri" w:hAnsi="Calibri" w:cs="Arial"/>
                <w:color w:val="000000"/>
                <w:sz w:val="20"/>
                <w:szCs w:val="20"/>
              </w:rPr>
            </w:pPr>
            <w:r>
              <w:rPr>
                <w:rFonts w:ascii="Calibri" w:hAnsi="Calibri" w:cs="Arial"/>
                <w:color w:val="000000"/>
                <w:sz w:val="20"/>
                <w:szCs w:val="20"/>
              </w:rPr>
              <w:t>150,000</w:t>
            </w:r>
          </w:p>
        </w:tc>
      </w:tr>
      <w:tr w:rsidR="00AD06E0" w:rsidTr="006B5FCE">
        <w:trPr>
          <w:cantSplit/>
        </w:trPr>
        <w:tc>
          <w:tcPr>
            <w:tcW w:w="4679"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2.26.  Undertake a review of the 4</w:t>
            </w:r>
            <w:r>
              <w:rPr>
                <w:rFonts w:ascii="Calibri" w:hAnsi="Calibri" w:cs="Arial"/>
                <w:color w:val="000000"/>
                <w:sz w:val="20"/>
                <w:szCs w:val="20"/>
                <w:vertAlign w:val="superscript"/>
              </w:rPr>
              <w:t>th</w:t>
            </w:r>
            <w:r>
              <w:rPr>
                <w:rFonts w:ascii="Calibri" w:hAnsi="Calibri" w:cs="Arial"/>
                <w:color w:val="000000"/>
                <w:sz w:val="20"/>
                <w:szCs w:val="20"/>
              </w:rPr>
              <w:t xml:space="preserve"> Ramsar Strategic Plan at COP14 and to establish the modalities and scope for this review at COP13, taking into account inter alia the outcomes of the discussions of the Post-2015 Sustainable Development agenda and Sustainable Development Goals, the work of IPBES and the coordination needs with regard to the review of the Strategic Plan for Biodiversity 2011-2020</w:t>
            </w:r>
          </w:p>
        </w:tc>
        <w:tc>
          <w:tcPr>
            <w:tcW w:w="1275"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Ramsar Secretariat (SG/DSG/</w:t>
            </w:r>
            <w:r w:rsidR="006B5FCE">
              <w:rPr>
                <w:rFonts w:ascii="Calibri" w:hAnsi="Calibri" w:cs="Arial"/>
                <w:color w:val="000000"/>
                <w:sz w:val="20"/>
                <w:szCs w:val="20"/>
              </w:rPr>
              <w:br/>
            </w:r>
            <w:r>
              <w:rPr>
                <w:rFonts w:ascii="Calibri" w:hAnsi="Calibri" w:cs="Arial"/>
                <w:color w:val="000000"/>
                <w:sz w:val="20"/>
                <w:szCs w:val="20"/>
              </w:rPr>
              <w:t>Reg)</w:t>
            </w:r>
          </w:p>
        </w:tc>
        <w:tc>
          <w:tcPr>
            <w:tcW w:w="1276"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COP13</w:t>
            </w:r>
          </w:p>
        </w:tc>
        <w:tc>
          <w:tcPr>
            <w:tcW w:w="3827"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Establish modalities and scope of the strategic review, for COP13.  Consultancy fees to attend pre-COP meetings and gather information regarding all other relevant global processes, identify coordination needs, develop a document proposing the modalities and scope of the necessary mid-term review.</w:t>
            </w:r>
          </w:p>
        </w:tc>
        <w:tc>
          <w:tcPr>
            <w:tcW w:w="1276" w:type="dxa"/>
            <w:shd w:val="clear" w:color="auto" w:fill="auto"/>
          </w:tcPr>
          <w:p w:rsidR="00AD06E0" w:rsidRDefault="00AD06E0"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vAlign w:val="bottom"/>
          </w:tcPr>
          <w:p w:rsidR="00AD06E0" w:rsidRDefault="00AD06E0" w:rsidP="006B5FCE">
            <w:pPr>
              <w:rPr>
                <w:rFonts w:ascii="Arial" w:hAnsi="Arial" w:cs="Arial"/>
                <w:color w:val="000000"/>
                <w:sz w:val="22"/>
                <w:szCs w:val="22"/>
              </w:rPr>
            </w:pPr>
            <w:r>
              <w:rPr>
                <w:rFonts w:ascii="Arial" w:hAnsi="Arial" w:cs="Arial"/>
                <w:color w:val="000000"/>
                <w:sz w:val="22"/>
                <w:szCs w:val="22"/>
              </w:rPr>
              <w:t> </w:t>
            </w:r>
          </w:p>
        </w:tc>
        <w:tc>
          <w:tcPr>
            <w:tcW w:w="1134" w:type="dxa"/>
            <w:shd w:val="clear" w:color="auto" w:fill="auto"/>
          </w:tcPr>
          <w:p w:rsidR="00AD06E0" w:rsidRDefault="00AD06E0" w:rsidP="006B5FCE">
            <w:pPr>
              <w:jc w:val="right"/>
              <w:rPr>
                <w:rFonts w:ascii="Calibri" w:hAnsi="Calibri" w:cs="Arial"/>
                <w:color w:val="000000"/>
                <w:sz w:val="20"/>
                <w:szCs w:val="20"/>
              </w:rPr>
            </w:pPr>
            <w:r>
              <w:rPr>
                <w:rFonts w:ascii="Calibri" w:hAnsi="Calibri" w:cs="Arial"/>
                <w:color w:val="000000"/>
                <w:sz w:val="20"/>
                <w:szCs w:val="20"/>
              </w:rPr>
              <w:t>100,000</w:t>
            </w:r>
          </w:p>
        </w:tc>
      </w:tr>
      <w:tr w:rsidR="006B5FCE" w:rsidTr="006B5FCE">
        <w:trPr>
          <w:cantSplit/>
        </w:trPr>
        <w:tc>
          <w:tcPr>
            <w:tcW w:w="4679" w:type="dxa"/>
            <w:shd w:val="clear" w:color="auto" w:fill="D9D9D9" w:themeFill="background1" w:themeFillShade="D9"/>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Resolution XII.3 Enhancing the languages of the Convention and its visibility and stature, and increasing synergies with other MEAs</w:t>
            </w:r>
          </w:p>
        </w:tc>
        <w:tc>
          <w:tcPr>
            <w:tcW w:w="1275" w:type="dxa"/>
            <w:shd w:val="clear" w:color="auto" w:fill="D9D9D9" w:themeFill="background1" w:themeFillShade="D9"/>
          </w:tcPr>
          <w:p w:rsidR="00073E0C" w:rsidRDefault="00073E0C" w:rsidP="006B5FCE">
            <w:pPr>
              <w:rPr>
                <w:rFonts w:ascii="Calibri" w:hAnsi="Calibri" w:cs="Arial"/>
                <w:color w:val="000000"/>
                <w:sz w:val="20"/>
                <w:szCs w:val="20"/>
              </w:rPr>
            </w:pPr>
          </w:p>
        </w:tc>
        <w:tc>
          <w:tcPr>
            <w:tcW w:w="1276"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73E0C" w:rsidRDefault="00073E0C" w:rsidP="006B5FCE">
            <w:pPr>
              <w:jc w:val="right"/>
              <w:rPr>
                <w:rFonts w:ascii="Calibri" w:hAnsi="Calibri" w:cs="Arial"/>
                <w:b/>
                <w:bCs/>
                <w:color w:val="000000"/>
                <w:sz w:val="20"/>
                <w:szCs w:val="20"/>
              </w:rPr>
            </w:pPr>
            <w:r>
              <w:rPr>
                <w:rFonts w:ascii="Calibri" w:hAnsi="Calibri" w:cs="Arial"/>
                <w:b/>
                <w:bCs/>
                <w:color w:val="000000"/>
                <w:sz w:val="20"/>
                <w:szCs w:val="20"/>
              </w:rPr>
              <w:t>1,660,000</w:t>
            </w:r>
          </w:p>
        </w:tc>
        <w:tc>
          <w:tcPr>
            <w:tcW w:w="1276" w:type="dxa"/>
            <w:shd w:val="clear" w:color="auto" w:fill="D9D9D9" w:themeFill="background1" w:themeFillShade="D9"/>
          </w:tcPr>
          <w:p w:rsidR="00073E0C" w:rsidRDefault="00073E0C" w:rsidP="006B5FCE">
            <w:pPr>
              <w:jc w:val="right"/>
              <w:rPr>
                <w:rFonts w:ascii="Calibri" w:hAnsi="Calibri" w:cs="Arial"/>
                <w:color w:val="000000"/>
                <w:sz w:val="20"/>
                <w:szCs w:val="20"/>
              </w:rPr>
            </w:pPr>
          </w:p>
        </w:tc>
        <w:tc>
          <w:tcPr>
            <w:tcW w:w="1134" w:type="dxa"/>
            <w:shd w:val="clear" w:color="auto" w:fill="D9D9D9" w:themeFill="background1" w:themeFillShade="D9"/>
            <w:vAlign w:val="bottom"/>
          </w:tcPr>
          <w:p w:rsidR="00073E0C" w:rsidRDefault="00073E0C" w:rsidP="006B5FCE">
            <w:pPr>
              <w:rPr>
                <w:rFonts w:ascii="Arial" w:hAnsi="Arial" w:cs="Arial"/>
                <w:color w:val="000000"/>
                <w:sz w:val="22"/>
                <w:szCs w:val="22"/>
              </w:rPr>
            </w:pP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3.26.   Develop a strategy, subject to the availability of resources, outlining the potential phased integration of Arabic or other UN languages into the work of the Ramsar Convention; Prepare a draft text for a Resolution addressing accommodation of the Arabic Language into the Convention, outlining in detail the financial implications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(Reg)</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SC51</w:t>
            </w:r>
          </w:p>
        </w:tc>
        <w:tc>
          <w:tcPr>
            <w:tcW w:w="3827" w:type="dxa"/>
            <w:shd w:val="clear" w:color="auto" w:fill="auto"/>
          </w:tcPr>
          <w:p w:rsidR="00073E0C" w:rsidRDefault="00073E0C" w:rsidP="0016172E">
            <w:pPr>
              <w:rPr>
                <w:rFonts w:ascii="Calibri" w:hAnsi="Calibri" w:cs="Arial"/>
                <w:color w:val="000000"/>
                <w:sz w:val="20"/>
                <w:szCs w:val="20"/>
              </w:rPr>
            </w:pPr>
            <w:r>
              <w:rPr>
                <w:rFonts w:ascii="Calibri" w:hAnsi="Calibri" w:cs="Arial"/>
                <w:color w:val="000000"/>
                <w:sz w:val="20"/>
                <w:szCs w:val="20"/>
              </w:rPr>
              <w:t>Preparation of strategy alone, as set out in paper SC51-</w:t>
            </w:r>
            <w:r w:rsidR="0016172E">
              <w:rPr>
                <w:rFonts w:ascii="Calibri" w:hAnsi="Calibri" w:cs="Arial"/>
                <w:color w:val="000000"/>
                <w:sz w:val="20"/>
                <w:szCs w:val="20"/>
              </w:rPr>
              <w:t>17</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vAlign w:val="bottom"/>
          </w:tcPr>
          <w:p w:rsidR="00073E0C" w:rsidRDefault="00073E0C" w:rsidP="006B5FCE">
            <w:pPr>
              <w:rPr>
                <w:rFonts w:ascii="Arial" w:hAnsi="Arial" w:cs="Arial"/>
                <w:color w:val="000000"/>
                <w:sz w:val="22"/>
                <w:szCs w:val="22"/>
              </w:rPr>
            </w:pPr>
            <w:r>
              <w:rPr>
                <w:rFonts w:ascii="Arial" w:hAnsi="Arial" w:cs="Arial"/>
                <w:color w:val="000000"/>
                <w:sz w:val="22"/>
                <w:szCs w:val="22"/>
              </w:rPr>
              <w:t> </w:t>
            </w:r>
          </w:p>
        </w:tc>
        <w:tc>
          <w:tcPr>
            <w:tcW w:w="1134"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30,000</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3.40.  Continue supporting Ramsar Regional Initiatives and applying the Operational Guidelines 2016-2018 for regional initiatives in the framework of the Convention on Wetlands (approved through Resolution XII.8 Regional initiatives 2016-2018 in the framework of the Ramsar Convention) to foster increased national- and regional-level political engagement and implementation of the Convention</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 and IOPs</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Cost of additional coordination workshops CHF 20,000 per year</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60,000</w:t>
            </w:r>
          </w:p>
        </w:tc>
      </w:tr>
      <w:tr w:rsidR="00073E0C" w:rsidTr="006B5FCE">
        <w:trPr>
          <w:cantSplit/>
        </w:trPr>
        <w:tc>
          <w:tcPr>
            <w:tcW w:w="4679" w:type="dxa"/>
            <w:shd w:val="clear" w:color="auto" w:fill="auto"/>
          </w:tcPr>
          <w:p w:rsidR="00073E0C" w:rsidRDefault="00073E0C" w:rsidP="006B5FCE">
            <w:pPr>
              <w:rPr>
                <w:rFonts w:ascii="Calibri" w:hAnsi="Calibri" w:cs="Arial"/>
                <w:sz w:val="20"/>
                <w:szCs w:val="20"/>
              </w:rPr>
            </w:pPr>
            <w:r>
              <w:rPr>
                <w:rFonts w:ascii="Calibri" w:hAnsi="Calibri" w:cs="Arial"/>
                <w:sz w:val="20"/>
                <w:szCs w:val="20"/>
              </w:rPr>
              <w:lastRenderedPageBreak/>
              <w:t xml:space="preserve">3.44. </w:t>
            </w:r>
            <w:r>
              <w:rPr>
                <w:rFonts w:ascii="Calibri" w:hAnsi="Calibri" w:cs="Arial"/>
                <w:color w:val="000000"/>
                <w:sz w:val="20"/>
                <w:szCs w:val="20"/>
              </w:rPr>
              <w:t>Work with the Biodiversity Liaison Group to enhance coherence and cooperation and to continue efforts to improve efficiency and reduce unnecessary overlap and duplication at all relevant levels among the biodiversity-related conventions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w:t>
            </w:r>
            <w:r>
              <w:rPr>
                <w:rFonts w:ascii="Calibri" w:hAnsi="Calibri" w:cs="Arial"/>
                <w:color w:val="000000"/>
                <w:sz w:val="20"/>
                <w:szCs w:val="20"/>
              </w:rPr>
              <w:br/>
              <w:t>(SG/DSG/Reg)</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Every SC meeting</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Travel budget for supporting meeting attendance (working both with the BLG and the Interagency Advisory Group, the IAG)</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30,000</w:t>
            </w:r>
          </w:p>
        </w:tc>
      </w:tr>
      <w:tr w:rsidR="00073E0C" w:rsidTr="006B5FCE">
        <w:trPr>
          <w:cantSplit/>
        </w:trPr>
        <w:tc>
          <w:tcPr>
            <w:tcW w:w="4679" w:type="dxa"/>
            <w:shd w:val="clear" w:color="auto" w:fill="auto"/>
          </w:tcPr>
          <w:p w:rsidR="00073E0C" w:rsidRDefault="00073E0C" w:rsidP="006B5FCE">
            <w:pPr>
              <w:rPr>
                <w:rFonts w:ascii="Calibri" w:hAnsi="Calibri" w:cs="Arial"/>
                <w:sz w:val="20"/>
                <w:szCs w:val="20"/>
              </w:rPr>
            </w:pPr>
            <w:r>
              <w:rPr>
                <w:rFonts w:ascii="Calibri" w:hAnsi="Calibri" w:cs="Arial"/>
                <w:sz w:val="20"/>
                <w:szCs w:val="20"/>
              </w:rPr>
              <w:t>3.45. Work with UNEP on the implementation of the MOU and report progress of the activities concerned</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w:t>
            </w:r>
            <w:r>
              <w:rPr>
                <w:rFonts w:ascii="Calibri" w:hAnsi="Calibri" w:cs="Arial"/>
                <w:color w:val="000000"/>
                <w:sz w:val="20"/>
                <w:szCs w:val="20"/>
              </w:rPr>
              <w:br/>
              <w:t>(Part)</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Every SC meeting</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Project implementation under the MOU</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100,000</w:t>
            </w:r>
          </w:p>
        </w:tc>
      </w:tr>
      <w:tr w:rsidR="00073E0C" w:rsidTr="006B5FCE">
        <w:trPr>
          <w:cantSplit/>
        </w:trPr>
        <w:tc>
          <w:tcPr>
            <w:tcW w:w="4679" w:type="dxa"/>
            <w:shd w:val="clear" w:color="auto" w:fill="auto"/>
          </w:tcPr>
          <w:p w:rsidR="00073E0C" w:rsidRDefault="00073E0C" w:rsidP="006B5FCE">
            <w:pPr>
              <w:rPr>
                <w:rFonts w:ascii="Calibri" w:hAnsi="Calibri" w:cs="Arial"/>
                <w:sz w:val="20"/>
                <w:szCs w:val="20"/>
              </w:rPr>
            </w:pPr>
            <w:r>
              <w:rPr>
                <w:rFonts w:ascii="Calibri" w:hAnsi="Calibri" w:cs="Arial"/>
                <w:sz w:val="20"/>
                <w:szCs w:val="20"/>
              </w:rPr>
              <w:t>3.47. Implement the Joint Work Plan with UNCBD to promote awareness of, and capacity-building for, ecosystem-based solutions for water management as a contribution to sustainable development, in line with CBD Decision XI/23</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w:t>
            </w:r>
            <w:r>
              <w:rPr>
                <w:rFonts w:ascii="Calibri" w:hAnsi="Calibri" w:cs="Arial"/>
                <w:color w:val="000000"/>
                <w:sz w:val="20"/>
                <w:szCs w:val="20"/>
              </w:rPr>
              <w:br/>
              <w:t>(Part/Reg)</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Dec-16</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Support the activities under the Joint Work Plan and the organization of a side event about the Ramsar Convention at the next COP of the CBD</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50,000</w:t>
            </w:r>
          </w:p>
        </w:tc>
      </w:tr>
      <w:tr w:rsidR="00073E0C" w:rsidTr="006B5FCE">
        <w:trPr>
          <w:cantSplit/>
        </w:trPr>
        <w:tc>
          <w:tcPr>
            <w:tcW w:w="4679" w:type="dxa"/>
            <w:shd w:val="clear" w:color="auto" w:fill="auto"/>
          </w:tcPr>
          <w:p w:rsidR="00073E0C" w:rsidRDefault="00073E0C" w:rsidP="006B5FCE">
            <w:pPr>
              <w:rPr>
                <w:rFonts w:ascii="Calibri" w:hAnsi="Calibri" w:cs="Arial"/>
                <w:sz w:val="20"/>
                <w:szCs w:val="20"/>
              </w:rPr>
            </w:pPr>
            <w:r>
              <w:rPr>
                <w:rFonts w:ascii="Calibri" w:hAnsi="Calibri" w:cs="Arial"/>
                <w:sz w:val="20"/>
                <w:szCs w:val="20"/>
              </w:rPr>
              <w:t xml:space="preserve">3.50. </w:t>
            </w:r>
            <w:r>
              <w:rPr>
                <w:rFonts w:ascii="Calibri" w:hAnsi="Calibri" w:cs="Arial"/>
                <w:color w:val="000000"/>
                <w:sz w:val="20"/>
                <w:szCs w:val="20"/>
              </w:rPr>
              <w:t xml:space="preserve">Implement the Conceptual Framework for the wise use of wetlands (Resolution IX.1 Annex A) the Integrated Framework for the Convention’s water-related guidance (Resolution IX.1 Annex C) and Resolution XI.21 </w:t>
            </w:r>
            <w:r w:rsidRPr="00046B7D">
              <w:rPr>
                <w:rFonts w:ascii="Calibri" w:hAnsi="Calibri" w:cs="Arial"/>
                <w:i/>
                <w:color w:val="000000"/>
                <w:sz w:val="20"/>
                <w:szCs w:val="20"/>
              </w:rPr>
              <w:t xml:space="preserve">Wetlands and sustainable development </w:t>
            </w:r>
            <w:r>
              <w:rPr>
                <w:rFonts w:ascii="Calibri" w:hAnsi="Calibri" w:cs="Arial"/>
                <w:color w:val="000000"/>
                <w:sz w:val="20"/>
                <w:szCs w:val="20"/>
              </w:rPr>
              <w:t>through Small Grants Funds for the protection and wise use of wetlands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Include Partners and other interested stakeholders</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1,000,000</w:t>
            </w:r>
          </w:p>
        </w:tc>
        <w:tc>
          <w:tcPr>
            <w:tcW w:w="1134"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3.52.  Contribute on wetland issues to any eventual monitoring and indicator framework for relevant Sustainable Development Goals and targets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STRP</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Support STRP involvement in indicator development, including project links with UNEP-WCMC</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50,000</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3.53. Estimate the costs of options for working with relevant partners (e.g., UNEP-GRID) and for strengthening Parties’ access to such data and monitoring tools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(Part)</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Project supporting development of monitoring tools and enabling Parties to access these (including ongoing work with GlobWetland II, GlobWetland Africa, Global Mangrove Watch and others)</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100,000</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lastRenderedPageBreak/>
              <w:t>3.54. Increase efforts to integrate wetland management plans into integrated water resources management plans and efficiency plans at basin level, as well as into spatial planning/land-use plans.</w:t>
            </w:r>
            <w:r>
              <w:rPr>
                <w:rFonts w:ascii="Calibri" w:hAnsi="Calibri" w:cs="Arial"/>
                <w:b/>
                <w:bCs/>
                <w:color w:val="000000"/>
                <w:sz w:val="20"/>
                <w:szCs w:val="20"/>
              </w:rPr>
              <w:t xml:space="preserve"> {Important for Strategic Goal 1}</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Develop projects with river basin commissions to strengthen integration of wetland management plans into their work, with 3 basins at CHF 60,000 per basin (eg. Mekong, Limpopo, La Plata)</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180,000</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3.55.  Increase efforts to communicate on the values of ecosystem services of wetlands in other sectors’ strategies, plans and regulations, and integrate them into a basin approach to land-use plans and other relevant local, national and global decisions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On-going</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Communications budget of CHF 20,000 for each of the basin projects described above</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60,000</w:t>
            </w:r>
          </w:p>
        </w:tc>
      </w:tr>
      <w:tr w:rsidR="006B5FCE" w:rsidTr="006B5FCE">
        <w:trPr>
          <w:cantSplit/>
        </w:trPr>
        <w:tc>
          <w:tcPr>
            <w:tcW w:w="4679" w:type="dxa"/>
            <w:shd w:val="clear" w:color="auto" w:fill="D9D9D9" w:themeFill="background1" w:themeFillShade="D9"/>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xml:space="preserve">Resolution XII.5  Proposed new framework for delivery of scientific and technical advice and guidance on the Convention (all Strategic Goals) </w:t>
            </w:r>
          </w:p>
        </w:tc>
        <w:tc>
          <w:tcPr>
            <w:tcW w:w="1275"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73E0C" w:rsidRDefault="00073E0C" w:rsidP="006B5FCE">
            <w:pPr>
              <w:jc w:val="right"/>
              <w:rPr>
                <w:rFonts w:ascii="Calibri" w:hAnsi="Calibri" w:cs="Arial"/>
                <w:b/>
                <w:bCs/>
                <w:color w:val="000000"/>
                <w:sz w:val="20"/>
                <w:szCs w:val="20"/>
              </w:rPr>
            </w:pPr>
            <w:r>
              <w:rPr>
                <w:rFonts w:ascii="Calibri" w:hAnsi="Calibri" w:cs="Arial"/>
                <w:b/>
                <w:bCs/>
                <w:color w:val="000000"/>
                <w:sz w:val="20"/>
                <w:szCs w:val="20"/>
              </w:rPr>
              <w:t>550,000</w:t>
            </w:r>
          </w:p>
        </w:tc>
        <w:tc>
          <w:tcPr>
            <w:tcW w:w="1276"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vAlign w:val="bottom"/>
          </w:tcPr>
          <w:p w:rsidR="00073E0C" w:rsidRDefault="00073E0C" w:rsidP="006B5FCE">
            <w:pPr>
              <w:rPr>
                <w:rFonts w:ascii="Arial" w:hAnsi="Arial" w:cs="Arial"/>
                <w:color w:val="000000"/>
                <w:sz w:val="22"/>
                <w:szCs w:val="22"/>
              </w:rPr>
            </w:pPr>
            <w:r>
              <w:rPr>
                <w:rFonts w:ascii="Arial" w:hAnsi="Arial" w:cs="Arial"/>
                <w:color w:val="000000"/>
                <w:sz w:val="22"/>
                <w:szCs w:val="22"/>
              </w:rPr>
              <w:t> </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5.22.  Continue to provide support to the STRP as detailed in Annex 1</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(DSG/Reg)</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On-going</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Non-core support of CHF 100,000 per year to support additional project involvement from non-STRP partners</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300,000</w:t>
            </w:r>
          </w:p>
        </w:tc>
        <w:tc>
          <w:tcPr>
            <w:tcW w:w="1134" w:type="dxa"/>
            <w:shd w:val="clear" w:color="auto" w:fill="auto"/>
            <w:vAlign w:val="bottom"/>
          </w:tcPr>
          <w:p w:rsidR="00073E0C" w:rsidRDefault="00073E0C" w:rsidP="006B5FCE">
            <w:pPr>
              <w:rPr>
                <w:rFonts w:ascii="Arial" w:hAnsi="Arial" w:cs="Arial"/>
                <w:color w:val="000000"/>
                <w:sz w:val="22"/>
                <w:szCs w:val="22"/>
              </w:rPr>
            </w:pPr>
            <w:r>
              <w:rPr>
                <w:rFonts w:ascii="Arial" w:hAnsi="Arial" w:cs="Arial"/>
                <w:color w:val="000000"/>
                <w:sz w:val="22"/>
                <w:szCs w:val="22"/>
              </w:rPr>
              <w:t> </w:t>
            </w:r>
          </w:p>
        </w:tc>
      </w:tr>
      <w:tr w:rsidR="00073E0C" w:rsidTr="006B5FCE">
        <w:trPr>
          <w:cantSplit/>
        </w:trPr>
        <w:tc>
          <w:tcPr>
            <w:tcW w:w="4679"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5.24. Mobilize additional resources for implementation of technical guidance and advice, and including for supporting Contracting Parties’ implementation of recommendations for conservation and wise use of Ramsar wetlands</w:t>
            </w:r>
          </w:p>
        </w:tc>
        <w:tc>
          <w:tcPr>
            <w:tcW w:w="1275"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(Part)</w:t>
            </w:r>
          </w:p>
        </w:tc>
        <w:tc>
          <w:tcPr>
            <w:tcW w:w="1276"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On-going</w:t>
            </w:r>
          </w:p>
        </w:tc>
        <w:tc>
          <w:tcPr>
            <w:tcW w:w="3827"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Additional resources of CHF 50,000 per year to support small projects on conservation and wise use, involving specialized guidance</w:t>
            </w:r>
          </w:p>
        </w:tc>
        <w:tc>
          <w:tcPr>
            <w:tcW w:w="1276" w:type="dxa"/>
            <w:tcBorders>
              <w:bottom w:val="single" w:sz="4" w:space="0" w:color="auto"/>
            </w:tcBorders>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tcBorders>
              <w:bottom w:val="single" w:sz="4" w:space="0" w:color="auto"/>
            </w:tcBorders>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150,000</w:t>
            </w:r>
          </w:p>
        </w:tc>
      </w:tr>
      <w:tr w:rsidR="00073E0C" w:rsidTr="006B5FCE">
        <w:trPr>
          <w:cantSplit/>
        </w:trPr>
        <w:tc>
          <w:tcPr>
            <w:tcW w:w="4679"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5.25.  Finalize the production of the current version of The State of the World’s Wetlands and their Services to People and explore modalities for its subsequent improvement and updating as a periodic flagship report of the Convention</w:t>
            </w:r>
          </w:p>
        </w:tc>
        <w:tc>
          <w:tcPr>
            <w:tcW w:w="1275"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STRP</w:t>
            </w:r>
            <w:r>
              <w:rPr>
                <w:rFonts w:ascii="Calibri" w:hAnsi="Calibri" w:cs="Arial"/>
                <w:color w:val="000000"/>
                <w:sz w:val="20"/>
                <w:szCs w:val="20"/>
              </w:rPr>
              <w:br/>
              <w:t>Ramsar Secretariat (SG/DSG)</w:t>
            </w:r>
          </w:p>
        </w:tc>
        <w:tc>
          <w:tcPr>
            <w:tcW w:w="1276"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COP13</w:t>
            </w:r>
          </w:p>
        </w:tc>
        <w:tc>
          <w:tcPr>
            <w:tcW w:w="3827"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 one-off cost of CHF 100,000 for producing a substantial publication (book) on the 2018 State of the World's Wetlands for COP13, thereby also contributing to the Global Biodiversity Outlook of the Convention on Biological Diversity</w:t>
            </w:r>
          </w:p>
        </w:tc>
        <w:tc>
          <w:tcPr>
            <w:tcW w:w="1276" w:type="dxa"/>
            <w:tcBorders>
              <w:bottom w:val="single" w:sz="4" w:space="0" w:color="auto"/>
            </w:tcBorders>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tcBorders>
              <w:bottom w:val="single" w:sz="4" w:space="0" w:color="auto"/>
            </w:tcBorders>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100,000</w:t>
            </w:r>
          </w:p>
        </w:tc>
      </w:tr>
      <w:tr w:rsidR="006B5FCE" w:rsidTr="006B5FCE">
        <w:trPr>
          <w:cantSplit/>
        </w:trPr>
        <w:tc>
          <w:tcPr>
            <w:tcW w:w="4679" w:type="dxa"/>
            <w:tcBorders>
              <w:top w:val="single" w:sz="4" w:space="0" w:color="auto"/>
              <w:left w:val="nil"/>
              <w:bottom w:val="nil"/>
              <w:right w:val="nil"/>
            </w:tcBorders>
            <w:shd w:val="clear" w:color="auto" w:fill="auto"/>
          </w:tcPr>
          <w:p w:rsidR="006B5FCE" w:rsidRDefault="006B5FCE" w:rsidP="006B5FCE">
            <w:pPr>
              <w:rPr>
                <w:rFonts w:ascii="Calibri" w:hAnsi="Calibri" w:cs="Arial"/>
                <w:color w:val="000000"/>
                <w:sz w:val="20"/>
                <w:szCs w:val="20"/>
              </w:rPr>
            </w:pPr>
          </w:p>
          <w:p w:rsidR="006B5FCE" w:rsidRDefault="006B5FCE" w:rsidP="006B5FCE">
            <w:pPr>
              <w:rPr>
                <w:rFonts w:ascii="Calibri" w:hAnsi="Calibri" w:cs="Arial"/>
                <w:color w:val="000000"/>
                <w:sz w:val="20"/>
                <w:szCs w:val="20"/>
              </w:rPr>
            </w:pPr>
          </w:p>
          <w:p w:rsidR="006B5FCE" w:rsidRDefault="006B5FCE" w:rsidP="006B5FCE">
            <w:pPr>
              <w:rPr>
                <w:rFonts w:ascii="Calibri" w:hAnsi="Calibri" w:cs="Arial"/>
                <w:color w:val="000000"/>
                <w:sz w:val="20"/>
                <w:szCs w:val="20"/>
              </w:rPr>
            </w:pPr>
          </w:p>
        </w:tc>
        <w:tc>
          <w:tcPr>
            <w:tcW w:w="1275" w:type="dxa"/>
            <w:tcBorders>
              <w:top w:val="single" w:sz="4" w:space="0" w:color="auto"/>
              <w:left w:val="nil"/>
              <w:bottom w:val="nil"/>
              <w:right w:val="nil"/>
            </w:tcBorders>
            <w:shd w:val="clear" w:color="auto" w:fill="auto"/>
          </w:tcPr>
          <w:p w:rsidR="006B5FCE" w:rsidRDefault="006B5FCE" w:rsidP="006B5FCE">
            <w:pPr>
              <w:rPr>
                <w:rFonts w:ascii="Calibri" w:hAnsi="Calibri" w:cs="Arial"/>
                <w:color w:val="000000"/>
                <w:sz w:val="20"/>
                <w:szCs w:val="20"/>
              </w:rPr>
            </w:pPr>
          </w:p>
        </w:tc>
        <w:tc>
          <w:tcPr>
            <w:tcW w:w="1276" w:type="dxa"/>
            <w:tcBorders>
              <w:top w:val="single" w:sz="4" w:space="0" w:color="auto"/>
              <w:left w:val="nil"/>
              <w:bottom w:val="nil"/>
              <w:right w:val="nil"/>
            </w:tcBorders>
            <w:shd w:val="clear" w:color="auto" w:fill="auto"/>
          </w:tcPr>
          <w:p w:rsidR="006B5FCE" w:rsidRDefault="006B5FCE" w:rsidP="006B5FCE">
            <w:pPr>
              <w:rPr>
                <w:rFonts w:ascii="Calibri" w:hAnsi="Calibri" w:cs="Arial"/>
                <w:color w:val="000000"/>
                <w:sz w:val="20"/>
                <w:szCs w:val="20"/>
              </w:rPr>
            </w:pPr>
          </w:p>
        </w:tc>
        <w:tc>
          <w:tcPr>
            <w:tcW w:w="3827" w:type="dxa"/>
            <w:tcBorders>
              <w:top w:val="single" w:sz="4" w:space="0" w:color="auto"/>
              <w:left w:val="nil"/>
              <w:bottom w:val="nil"/>
              <w:right w:val="nil"/>
            </w:tcBorders>
            <w:shd w:val="clear" w:color="auto" w:fill="auto"/>
          </w:tcPr>
          <w:p w:rsidR="006B5FCE" w:rsidRDefault="006B5FCE" w:rsidP="006B5FCE">
            <w:pPr>
              <w:rPr>
                <w:rFonts w:ascii="Calibri" w:hAnsi="Calibri" w:cs="Arial"/>
                <w:color w:val="000000"/>
                <w:sz w:val="20"/>
                <w:szCs w:val="20"/>
              </w:rPr>
            </w:pPr>
          </w:p>
        </w:tc>
        <w:tc>
          <w:tcPr>
            <w:tcW w:w="1276" w:type="dxa"/>
            <w:tcBorders>
              <w:top w:val="single" w:sz="4" w:space="0" w:color="auto"/>
              <w:left w:val="nil"/>
              <w:bottom w:val="nil"/>
              <w:right w:val="nil"/>
            </w:tcBorders>
            <w:shd w:val="clear" w:color="auto" w:fill="auto"/>
          </w:tcPr>
          <w:p w:rsidR="006B5FCE" w:rsidRDefault="006B5FCE" w:rsidP="006B5FCE">
            <w:pPr>
              <w:rPr>
                <w:rFonts w:ascii="Calibri" w:hAnsi="Calibri" w:cs="Arial"/>
                <w:b/>
                <w:bCs/>
                <w:color w:val="000000"/>
                <w:sz w:val="20"/>
                <w:szCs w:val="20"/>
              </w:rPr>
            </w:pPr>
          </w:p>
        </w:tc>
        <w:tc>
          <w:tcPr>
            <w:tcW w:w="1276" w:type="dxa"/>
            <w:tcBorders>
              <w:top w:val="single" w:sz="4" w:space="0" w:color="auto"/>
              <w:left w:val="nil"/>
              <w:bottom w:val="nil"/>
              <w:right w:val="nil"/>
            </w:tcBorders>
            <w:shd w:val="clear" w:color="auto" w:fill="auto"/>
          </w:tcPr>
          <w:p w:rsidR="006B5FCE" w:rsidRDefault="006B5FCE" w:rsidP="006B5FCE">
            <w:pPr>
              <w:rPr>
                <w:rFonts w:ascii="Calibri" w:hAnsi="Calibri" w:cs="Arial"/>
                <w:color w:val="000000"/>
                <w:sz w:val="20"/>
                <w:szCs w:val="20"/>
              </w:rPr>
            </w:pPr>
          </w:p>
        </w:tc>
        <w:tc>
          <w:tcPr>
            <w:tcW w:w="1134" w:type="dxa"/>
            <w:tcBorders>
              <w:top w:val="single" w:sz="4" w:space="0" w:color="auto"/>
              <w:left w:val="nil"/>
              <w:bottom w:val="nil"/>
              <w:right w:val="nil"/>
            </w:tcBorders>
            <w:shd w:val="clear" w:color="auto" w:fill="auto"/>
          </w:tcPr>
          <w:p w:rsidR="006B5FCE" w:rsidRDefault="006B5FCE" w:rsidP="006B5FCE">
            <w:pPr>
              <w:jc w:val="right"/>
              <w:rPr>
                <w:rFonts w:ascii="Calibri" w:hAnsi="Calibri" w:cs="Arial"/>
                <w:color w:val="000000"/>
                <w:sz w:val="20"/>
                <w:szCs w:val="20"/>
              </w:rPr>
            </w:pPr>
          </w:p>
        </w:tc>
      </w:tr>
      <w:tr w:rsidR="006B5FCE" w:rsidTr="006B5FCE">
        <w:trPr>
          <w:cantSplit/>
        </w:trPr>
        <w:tc>
          <w:tcPr>
            <w:tcW w:w="4679" w:type="dxa"/>
            <w:tcBorders>
              <w:top w:val="nil"/>
            </w:tcBorders>
            <w:shd w:val="clear" w:color="auto" w:fill="D9D9D9" w:themeFill="background1" w:themeFillShade="D9"/>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lastRenderedPageBreak/>
              <w:t>Resolution XII.6  Status of Sites in the Ramsar List of Wetlands of Int</w:t>
            </w:r>
            <w:r w:rsidR="006B5FCE">
              <w:rPr>
                <w:rFonts w:ascii="Calibri" w:hAnsi="Calibri" w:cs="Arial"/>
                <w:b/>
                <w:bCs/>
                <w:color w:val="000000"/>
                <w:sz w:val="20"/>
                <w:szCs w:val="20"/>
              </w:rPr>
              <w:t>ernational Importance (Goal 2)</w:t>
            </w:r>
          </w:p>
        </w:tc>
        <w:tc>
          <w:tcPr>
            <w:tcW w:w="1275"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tcBorders>
              <w:top w:val="nil"/>
            </w:tcBorders>
            <w:shd w:val="clear" w:color="auto" w:fill="D9D9D9" w:themeFill="background1" w:themeFillShade="D9"/>
          </w:tcPr>
          <w:p w:rsidR="00073E0C" w:rsidRDefault="00073E0C" w:rsidP="006B5FCE">
            <w:pPr>
              <w:jc w:val="right"/>
              <w:rPr>
                <w:rFonts w:ascii="Calibri" w:hAnsi="Calibri" w:cs="Arial"/>
                <w:b/>
                <w:bCs/>
                <w:color w:val="000000"/>
                <w:sz w:val="20"/>
                <w:szCs w:val="20"/>
              </w:rPr>
            </w:pPr>
            <w:r>
              <w:rPr>
                <w:rFonts w:ascii="Calibri" w:hAnsi="Calibri" w:cs="Arial"/>
                <w:b/>
                <w:bCs/>
                <w:color w:val="000000"/>
                <w:sz w:val="20"/>
                <w:szCs w:val="20"/>
              </w:rPr>
              <w:t>975,000</w:t>
            </w:r>
          </w:p>
        </w:tc>
        <w:tc>
          <w:tcPr>
            <w:tcW w:w="1276"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tcBorders>
              <w:top w:val="nil"/>
            </w:tcBorders>
            <w:shd w:val="clear" w:color="auto" w:fill="D9D9D9" w:themeFill="background1" w:themeFillShade="D9"/>
            <w:vAlign w:val="bottom"/>
          </w:tcPr>
          <w:p w:rsidR="00073E0C" w:rsidRDefault="00073E0C" w:rsidP="006B5FCE">
            <w:pPr>
              <w:rPr>
                <w:rFonts w:ascii="Arial" w:hAnsi="Arial" w:cs="Arial"/>
                <w:color w:val="000000"/>
                <w:sz w:val="22"/>
                <w:szCs w:val="22"/>
              </w:rPr>
            </w:pPr>
            <w:r>
              <w:rPr>
                <w:rFonts w:ascii="Arial" w:hAnsi="Arial" w:cs="Arial"/>
                <w:color w:val="000000"/>
                <w:sz w:val="22"/>
                <w:szCs w:val="22"/>
              </w:rPr>
              <w:t> </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6.13. Fulfil, as a matter of urgency, the terms of Resolution VI.13 and submit updated information of Ramsar Sites at least every six years using the most up-to-date format of the Ramsar Information Sheet (RIS), also for designating new Sites and extending existing Sites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CPs listed in Annex 3b of the SG’s report</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RSIS, IM/IT (website) continuing development.  Also small grants of CHF 10,000 per site for capacity-building (especially in GIS) to designate new Ramsar Sites or update/extend existing Sites. 10 Sites supported over the triennium.</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175,000</w:t>
            </w:r>
          </w:p>
        </w:tc>
        <w:tc>
          <w:tcPr>
            <w:tcW w:w="1134"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100,000</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6.15.  Adopt and apply a suitable monitoring regime, such as that outlined in the annex to Resolution VI.1 (1996), which incorporates the Convention’s Wetland Risk Assessment Framework (Resolution VII.10), in order to be able to report change or likely change in the ecological character of Ramsar sites in line with Article 3.2</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COP13</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Analytical work on the Ramsar Site Information System to assess the number of sites whose ecological character is under threat, and develop a monitoring regime together with the Parties concerned, which collects information on certain agreed parameters relating to ecological character on an ongoing basis</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50,000</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6.18. Assist and encourage Parties in their actions in response to change or likely change in the ecological character of Ramsar Sites, eg. with direct advice on the application of the wise use principles, or, when relevant, proposing to Parties to add the Site(s) to the Montreux Record or to invite a Ramsar Advisory Mission</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(Reg)</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On-going</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Additional funds needed to those in Res. 5.24 above  (CHF 150,000 already listed for STRP support)</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600,000</w:t>
            </w:r>
          </w:p>
        </w:tc>
        <w:tc>
          <w:tcPr>
            <w:tcW w:w="1134" w:type="dxa"/>
            <w:shd w:val="clear" w:color="auto" w:fill="auto"/>
            <w:vAlign w:val="bottom"/>
          </w:tcPr>
          <w:p w:rsidR="00073E0C" w:rsidRDefault="00073E0C" w:rsidP="006B5FCE">
            <w:pPr>
              <w:rPr>
                <w:rFonts w:ascii="Arial" w:hAnsi="Arial" w:cs="Arial"/>
                <w:color w:val="000000"/>
                <w:sz w:val="22"/>
                <w:szCs w:val="22"/>
              </w:rPr>
            </w:pPr>
            <w:r>
              <w:rPr>
                <w:rFonts w:ascii="Arial" w:hAnsi="Arial" w:cs="Arial"/>
                <w:color w:val="000000"/>
                <w:sz w:val="22"/>
                <w:szCs w:val="22"/>
              </w:rPr>
              <w:t> </w:t>
            </w:r>
          </w:p>
        </w:tc>
      </w:tr>
      <w:tr w:rsidR="00073E0C" w:rsidTr="006B5FCE">
        <w:trPr>
          <w:cantSplit/>
        </w:trPr>
        <w:tc>
          <w:tcPr>
            <w:tcW w:w="4679"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6.22.   Use tools and information provided by technical partners in assessing changes to the ecological character of Ramsar Sites</w:t>
            </w:r>
          </w:p>
        </w:tc>
        <w:tc>
          <w:tcPr>
            <w:tcW w:w="1275"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w:t>
            </w:r>
          </w:p>
        </w:tc>
        <w:tc>
          <w:tcPr>
            <w:tcW w:w="1276"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On-going</w:t>
            </w:r>
          </w:p>
        </w:tc>
        <w:tc>
          <w:tcPr>
            <w:tcW w:w="3827"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Additional work with tools and information from IOPs and others in developing monitoring regime and guidance for Article 3.2 sites</w:t>
            </w:r>
          </w:p>
        </w:tc>
        <w:tc>
          <w:tcPr>
            <w:tcW w:w="1276" w:type="dxa"/>
            <w:tcBorders>
              <w:bottom w:val="single" w:sz="4" w:space="0" w:color="auto"/>
            </w:tcBorders>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tcBorders>
              <w:bottom w:val="single" w:sz="4" w:space="0" w:color="auto"/>
            </w:tcBorders>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50,000</w:t>
            </w:r>
          </w:p>
        </w:tc>
      </w:tr>
      <w:tr w:rsidR="006B5FCE" w:rsidTr="006B5FCE">
        <w:trPr>
          <w:cantSplit/>
        </w:trPr>
        <w:tc>
          <w:tcPr>
            <w:tcW w:w="4679" w:type="dxa"/>
            <w:tcBorders>
              <w:top w:val="single" w:sz="4" w:space="0" w:color="auto"/>
              <w:left w:val="nil"/>
              <w:bottom w:val="nil"/>
              <w:right w:val="nil"/>
            </w:tcBorders>
            <w:shd w:val="clear" w:color="auto" w:fill="auto"/>
          </w:tcPr>
          <w:p w:rsidR="006B5FCE" w:rsidRDefault="006B5FCE" w:rsidP="009504A1">
            <w:pPr>
              <w:rPr>
                <w:rFonts w:ascii="Calibri" w:hAnsi="Calibri" w:cs="Arial"/>
                <w:color w:val="000000"/>
                <w:sz w:val="20"/>
                <w:szCs w:val="20"/>
              </w:rPr>
            </w:pPr>
          </w:p>
          <w:p w:rsidR="006B5FCE" w:rsidRDefault="006B5FCE" w:rsidP="009504A1">
            <w:pPr>
              <w:rPr>
                <w:rFonts w:ascii="Calibri" w:hAnsi="Calibri" w:cs="Arial"/>
                <w:color w:val="000000"/>
                <w:sz w:val="20"/>
                <w:szCs w:val="20"/>
              </w:rPr>
            </w:pPr>
          </w:p>
          <w:p w:rsidR="006B5FCE" w:rsidRDefault="006B5FCE" w:rsidP="009504A1">
            <w:pPr>
              <w:rPr>
                <w:rFonts w:ascii="Calibri" w:hAnsi="Calibri" w:cs="Arial"/>
                <w:color w:val="000000"/>
                <w:sz w:val="20"/>
                <w:szCs w:val="20"/>
              </w:rPr>
            </w:pPr>
          </w:p>
        </w:tc>
        <w:tc>
          <w:tcPr>
            <w:tcW w:w="1275" w:type="dxa"/>
            <w:tcBorders>
              <w:top w:val="single" w:sz="4" w:space="0" w:color="auto"/>
              <w:left w:val="nil"/>
              <w:bottom w:val="nil"/>
              <w:right w:val="nil"/>
            </w:tcBorders>
            <w:shd w:val="clear" w:color="auto" w:fill="auto"/>
          </w:tcPr>
          <w:p w:rsidR="006B5FCE" w:rsidRDefault="006B5FCE" w:rsidP="009504A1">
            <w:pPr>
              <w:rPr>
                <w:rFonts w:ascii="Calibri" w:hAnsi="Calibri" w:cs="Arial"/>
                <w:color w:val="000000"/>
                <w:sz w:val="20"/>
                <w:szCs w:val="20"/>
              </w:rPr>
            </w:pPr>
          </w:p>
        </w:tc>
        <w:tc>
          <w:tcPr>
            <w:tcW w:w="1276" w:type="dxa"/>
            <w:tcBorders>
              <w:top w:val="single" w:sz="4" w:space="0" w:color="auto"/>
              <w:left w:val="nil"/>
              <w:bottom w:val="nil"/>
              <w:right w:val="nil"/>
            </w:tcBorders>
            <w:shd w:val="clear" w:color="auto" w:fill="auto"/>
          </w:tcPr>
          <w:p w:rsidR="006B5FCE" w:rsidRDefault="006B5FCE" w:rsidP="009504A1">
            <w:pPr>
              <w:rPr>
                <w:rFonts w:ascii="Calibri" w:hAnsi="Calibri" w:cs="Arial"/>
                <w:color w:val="000000"/>
                <w:sz w:val="20"/>
                <w:szCs w:val="20"/>
              </w:rPr>
            </w:pPr>
          </w:p>
        </w:tc>
        <w:tc>
          <w:tcPr>
            <w:tcW w:w="3827" w:type="dxa"/>
            <w:tcBorders>
              <w:top w:val="single" w:sz="4" w:space="0" w:color="auto"/>
              <w:left w:val="nil"/>
              <w:bottom w:val="nil"/>
              <w:right w:val="nil"/>
            </w:tcBorders>
            <w:shd w:val="clear" w:color="auto" w:fill="auto"/>
          </w:tcPr>
          <w:p w:rsidR="006B5FCE" w:rsidRDefault="006B5FCE" w:rsidP="009504A1">
            <w:pPr>
              <w:rPr>
                <w:rFonts w:ascii="Calibri" w:hAnsi="Calibri" w:cs="Arial"/>
                <w:color w:val="000000"/>
                <w:sz w:val="20"/>
                <w:szCs w:val="20"/>
              </w:rPr>
            </w:pPr>
          </w:p>
        </w:tc>
        <w:tc>
          <w:tcPr>
            <w:tcW w:w="1276" w:type="dxa"/>
            <w:tcBorders>
              <w:top w:val="single" w:sz="4" w:space="0" w:color="auto"/>
              <w:left w:val="nil"/>
              <w:bottom w:val="nil"/>
              <w:right w:val="nil"/>
            </w:tcBorders>
            <w:shd w:val="clear" w:color="auto" w:fill="auto"/>
          </w:tcPr>
          <w:p w:rsidR="006B5FCE" w:rsidRDefault="006B5FCE" w:rsidP="009504A1">
            <w:pPr>
              <w:rPr>
                <w:rFonts w:ascii="Calibri" w:hAnsi="Calibri" w:cs="Arial"/>
                <w:b/>
                <w:bCs/>
                <w:color w:val="000000"/>
                <w:sz w:val="20"/>
                <w:szCs w:val="20"/>
              </w:rPr>
            </w:pPr>
          </w:p>
        </w:tc>
        <w:tc>
          <w:tcPr>
            <w:tcW w:w="1276" w:type="dxa"/>
            <w:tcBorders>
              <w:top w:val="single" w:sz="4" w:space="0" w:color="auto"/>
              <w:left w:val="nil"/>
              <w:bottom w:val="nil"/>
              <w:right w:val="nil"/>
            </w:tcBorders>
            <w:shd w:val="clear" w:color="auto" w:fill="auto"/>
          </w:tcPr>
          <w:p w:rsidR="006B5FCE" w:rsidRDefault="006B5FCE" w:rsidP="009504A1">
            <w:pPr>
              <w:rPr>
                <w:rFonts w:ascii="Calibri" w:hAnsi="Calibri" w:cs="Arial"/>
                <w:color w:val="000000"/>
                <w:sz w:val="20"/>
                <w:szCs w:val="20"/>
              </w:rPr>
            </w:pPr>
          </w:p>
        </w:tc>
        <w:tc>
          <w:tcPr>
            <w:tcW w:w="1134" w:type="dxa"/>
            <w:tcBorders>
              <w:top w:val="single" w:sz="4" w:space="0" w:color="auto"/>
              <w:left w:val="nil"/>
              <w:bottom w:val="nil"/>
              <w:right w:val="nil"/>
            </w:tcBorders>
            <w:shd w:val="clear" w:color="auto" w:fill="auto"/>
          </w:tcPr>
          <w:p w:rsidR="006B5FCE" w:rsidRDefault="006B5FCE" w:rsidP="009504A1">
            <w:pPr>
              <w:jc w:val="right"/>
              <w:rPr>
                <w:rFonts w:ascii="Calibri" w:hAnsi="Calibri" w:cs="Arial"/>
                <w:color w:val="000000"/>
                <w:sz w:val="20"/>
                <w:szCs w:val="20"/>
              </w:rPr>
            </w:pPr>
          </w:p>
        </w:tc>
      </w:tr>
      <w:tr w:rsidR="006B5FCE" w:rsidTr="006B5FCE">
        <w:trPr>
          <w:cantSplit/>
        </w:trPr>
        <w:tc>
          <w:tcPr>
            <w:tcW w:w="4679" w:type="dxa"/>
            <w:tcBorders>
              <w:top w:val="nil"/>
            </w:tcBorders>
            <w:shd w:val="clear" w:color="auto" w:fill="D9D9D9" w:themeFill="background1" w:themeFillShade="D9"/>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lastRenderedPageBreak/>
              <w:t>Resolution XII.7  Resource Mobilization and Partnership Framework of the Ramsar Convention) (Goals 3 and 4)</w:t>
            </w:r>
          </w:p>
        </w:tc>
        <w:tc>
          <w:tcPr>
            <w:tcW w:w="1275"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tcBorders>
              <w:top w:val="nil"/>
            </w:tcBorders>
            <w:shd w:val="clear" w:color="auto" w:fill="D9D9D9" w:themeFill="background1" w:themeFillShade="D9"/>
          </w:tcPr>
          <w:p w:rsidR="00073E0C" w:rsidRDefault="00073E0C" w:rsidP="006B5FCE">
            <w:pPr>
              <w:jc w:val="right"/>
              <w:rPr>
                <w:rFonts w:ascii="Calibri" w:hAnsi="Calibri" w:cs="Arial"/>
                <w:b/>
                <w:bCs/>
                <w:color w:val="000000"/>
                <w:sz w:val="20"/>
                <w:szCs w:val="20"/>
              </w:rPr>
            </w:pPr>
            <w:r>
              <w:rPr>
                <w:rFonts w:ascii="Calibri" w:hAnsi="Calibri" w:cs="Arial"/>
                <w:b/>
                <w:bCs/>
                <w:color w:val="000000"/>
                <w:sz w:val="20"/>
                <w:szCs w:val="20"/>
              </w:rPr>
              <w:t>45,000</w:t>
            </w:r>
          </w:p>
        </w:tc>
        <w:tc>
          <w:tcPr>
            <w:tcW w:w="1276"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tcBorders>
              <w:top w:val="nil"/>
            </w:tcBorders>
            <w:shd w:val="clear" w:color="auto" w:fill="D9D9D9" w:themeFill="background1" w:themeFillShade="D9"/>
            <w:vAlign w:val="bottom"/>
          </w:tcPr>
          <w:p w:rsidR="00073E0C" w:rsidRDefault="00073E0C" w:rsidP="006B5FCE">
            <w:pPr>
              <w:rPr>
                <w:rFonts w:ascii="Arial" w:hAnsi="Arial" w:cs="Arial"/>
                <w:color w:val="000000"/>
                <w:sz w:val="22"/>
                <w:szCs w:val="22"/>
              </w:rPr>
            </w:pPr>
            <w:r>
              <w:rPr>
                <w:rFonts w:ascii="Arial" w:hAnsi="Arial" w:cs="Arial"/>
                <w:color w:val="000000"/>
                <w:sz w:val="22"/>
                <w:szCs w:val="22"/>
              </w:rPr>
              <w:t> </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7.11.  Prioritize fundraising activities to fund non-core budget activities from all sources, with a view to significantly increasing non-Party contributions, and to report regularly to the Standing Committee</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w:t>
            </w:r>
            <w:r>
              <w:rPr>
                <w:rFonts w:ascii="Calibri" w:hAnsi="Calibri" w:cs="Arial"/>
                <w:color w:val="000000"/>
                <w:sz w:val="20"/>
                <w:szCs w:val="20"/>
              </w:rPr>
              <w:br/>
              <w:t>(Part)</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On-going</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Raise non-core funds of CHF 4.6m over 3 years 2016-2018, as in Res 1.20 above (CHF 300,000 for fund-raising support already listed)</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vAlign w:val="bottom"/>
          </w:tcPr>
          <w:p w:rsidR="00073E0C" w:rsidRDefault="00073E0C" w:rsidP="006B5FCE">
            <w:pPr>
              <w:rPr>
                <w:rFonts w:ascii="Arial" w:hAnsi="Arial" w:cs="Arial"/>
                <w:color w:val="000000"/>
                <w:sz w:val="22"/>
                <w:szCs w:val="22"/>
              </w:rPr>
            </w:pPr>
            <w:r>
              <w:rPr>
                <w:rFonts w:ascii="Arial" w:hAnsi="Arial" w:cs="Arial"/>
                <w:color w:val="000000"/>
                <w:sz w:val="22"/>
                <w:szCs w:val="22"/>
              </w:rPr>
              <w:t> </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7.21.  Strengthen partnerships with other MEAs such as inter alia the United Nations Convention to Combat Desertification (UNCCD), the CBD and others, in order to enhance synergies and sharing of resources, avoid duplication and enhance implementation; provide a plan on how to increase cooperation with other MEAs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(Part)</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SC51 and subsequent</w:t>
            </w:r>
            <w:r>
              <w:rPr>
                <w:rFonts w:ascii="Calibri" w:hAnsi="Calibri" w:cs="Arial"/>
                <w:color w:val="000000"/>
                <w:sz w:val="20"/>
                <w:szCs w:val="20"/>
              </w:rPr>
              <w:br/>
              <w:t>SC meetings</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Joint workshops and projects developing  synergies among MEAs</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45,000</w:t>
            </w:r>
          </w:p>
        </w:tc>
      </w:tr>
      <w:tr w:rsidR="006B5FCE" w:rsidTr="006B5FCE">
        <w:trPr>
          <w:cantSplit/>
        </w:trPr>
        <w:tc>
          <w:tcPr>
            <w:tcW w:w="4679" w:type="dxa"/>
            <w:shd w:val="clear" w:color="auto" w:fill="D9D9D9" w:themeFill="background1" w:themeFillShade="D9"/>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Resolution XII.8  Regional initiatives (RIs) 2016-2018 in the framework of the Ramsar Convention (Goal 4)</w:t>
            </w:r>
          </w:p>
        </w:tc>
        <w:tc>
          <w:tcPr>
            <w:tcW w:w="1275"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73E0C" w:rsidRDefault="00073E0C" w:rsidP="006B5FCE">
            <w:pPr>
              <w:jc w:val="right"/>
              <w:rPr>
                <w:rFonts w:ascii="Calibri" w:hAnsi="Calibri" w:cs="Arial"/>
                <w:b/>
                <w:bCs/>
                <w:color w:val="000000"/>
                <w:sz w:val="20"/>
                <w:szCs w:val="20"/>
              </w:rPr>
            </w:pPr>
            <w:r>
              <w:rPr>
                <w:rFonts w:ascii="Calibri" w:hAnsi="Calibri" w:cs="Arial"/>
                <w:b/>
                <w:bCs/>
                <w:color w:val="000000"/>
                <w:sz w:val="20"/>
                <w:szCs w:val="20"/>
              </w:rPr>
              <w:t>265,000</w:t>
            </w:r>
          </w:p>
        </w:tc>
        <w:tc>
          <w:tcPr>
            <w:tcW w:w="1276"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vAlign w:val="bottom"/>
          </w:tcPr>
          <w:p w:rsidR="00073E0C" w:rsidRDefault="00073E0C" w:rsidP="006B5FCE">
            <w:pPr>
              <w:rPr>
                <w:rFonts w:ascii="Arial" w:hAnsi="Arial" w:cs="Arial"/>
                <w:color w:val="000000"/>
                <w:sz w:val="22"/>
                <w:szCs w:val="22"/>
              </w:rPr>
            </w:pPr>
            <w:r>
              <w:rPr>
                <w:rFonts w:ascii="Arial" w:hAnsi="Arial" w:cs="Arial"/>
                <w:color w:val="000000"/>
                <w:sz w:val="22"/>
                <w:szCs w:val="22"/>
              </w:rPr>
              <w:t> </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8.11. Continue to submit annual reports on their progress and operations, and specifically on their success in fulfilling the Operational Guidelines, and continue to submit annual plans according to the timetable and format adopted by the Standing Committee.</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RIs endorsed by the Convention</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Every SC meeting</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Regional Initiative Networks and Centres support (priority activities, including annual workshop together with the Ramsar Secretariat)</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150,000</w:t>
            </w:r>
          </w:p>
        </w:tc>
        <w:tc>
          <w:tcPr>
            <w:tcW w:w="1134"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8.18.  Publicize at global level regional initiatives as an operational means to provide support for the implementation of the objectives of the Ramsar Convention</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(Reg)</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On-going</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Web costs to upgrade Ris websites and linkage with the Ramsar home site</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40,000</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8.20.  Continue publishing information provided by the regional initiatives, including reports on their success in fulfilling the Operational Guidelines and work plans, on the Convention’s website, to make it accessible for the parties and the public</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(Reg)</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On-going</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Budget of CHF 15,000 per annum to develop and disseminate publications highlighting the work of the Ris in implementing the work of the Ramsar Convention</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45,000</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lastRenderedPageBreak/>
              <w:t>8.23. Identify, for possible inclusion among regional initiatives, transboundary river/groundwater basin organizations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On-going</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Travel costs of CHF 30,000 per year to support missions to River Basin Commissions to inform about Ramsar through workshops, and encourage registration as a Ramsar Regional Initiative. Maintain links with UNECE (Helsinki Convention) and UN Watercourses Convention)</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30,000</w:t>
            </w:r>
          </w:p>
        </w:tc>
      </w:tr>
      <w:tr w:rsidR="006B5FCE" w:rsidTr="006B5FCE">
        <w:trPr>
          <w:cantSplit/>
        </w:trPr>
        <w:tc>
          <w:tcPr>
            <w:tcW w:w="4679" w:type="dxa"/>
            <w:shd w:val="clear" w:color="auto" w:fill="D9D9D9" w:themeFill="background1" w:themeFillShade="D9"/>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Resolution XII.9 The Ramsar Convention’s Programme on communication, capacity building, education, participation and awareness (CEPA) (all Strategic Goals)</w:t>
            </w:r>
          </w:p>
        </w:tc>
        <w:tc>
          <w:tcPr>
            <w:tcW w:w="1275"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jc w:val="right"/>
              <w:rPr>
                <w:rFonts w:ascii="Calibri" w:hAnsi="Calibri" w:cs="Arial"/>
                <w:b/>
                <w:bCs/>
                <w:color w:val="000000"/>
                <w:sz w:val="20"/>
                <w:szCs w:val="20"/>
              </w:rPr>
            </w:pPr>
            <w:r>
              <w:rPr>
                <w:rFonts w:ascii="Calibri" w:hAnsi="Calibri" w:cs="Arial"/>
                <w:b/>
                <w:bCs/>
                <w:color w:val="000000"/>
                <w:sz w:val="20"/>
                <w:szCs w:val="20"/>
              </w:rPr>
              <w:t>420,000</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vAlign w:val="bottom"/>
          </w:tcPr>
          <w:p w:rsidR="000F555E" w:rsidRDefault="000F555E" w:rsidP="006B5FCE">
            <w:pPr>
              <w:rPr>
                <w:rFonts w:ascii="Arial" w:hAnsi="Arial" w:cs="Arial"/>
                <w:color w:val="000000"/>
                <w:sz w:val="22"/>
                <w:szCs w:val="22"/>
              </w:rPr>
            </w:pPr>
            <w:r>
              <w:rPr>
                <w:rFonts w:ascii="Arial" w:hAnsi="Arial" w:cs="Arial"/>
                <w:color w:val="000000"/>
                <w:sz w:val="22"/>
                <w:szCs w:val="22"/>
              </w:rPr>
              <w:t> </w:t>
            </w: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9.17. REQUESTS the Secretariat subject to available resources to assist in strengthening the capacity</w:t>
            </w:r>
            <w:r>
              <w:rPr>
                <w:rFonts w:ascii="Calibri" w:hAnsi="Calibri" w:cs="Arial"/>
                <w:color w:val="000000"/>
                <w:sz w:val="20"/>
                <w:szCs w:val="20"/>
              </w:rPr>
              <w:br/>
              <w:t>of the CEPA Focal Points through the provision of training, toolkits, and templates for CEPA action planning, and further URGES the Secretariat to provide technical support for CEPA National Focal Points through the establishment of a network for their knowledge sharing;</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Secretariat (Comms, STRP, Reg)</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On-going</w:t>
            </w:r>
          </w:p>
        </w:tc>
        <w:tc>
          <w:tcPr>
            <w:tcW w:w="3827"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Over the triennium, one workshop (CHF 20,000) in each of the five regions to establish a network of CEPA Focal Points in each region</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r>
              <w:rPr>
                <w:rFonts w:ascii="Calibri" w:hAnsi="Calibri" w:cs="Arial"/>
                <w:color w:val="000000"/>
                <w:sz w:val="20"/>
                <w:szCs w:val="20"/>
              </w:rPr>
              <w:t>100,000</w:t>
            </w: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9.21. ENCOURAGES those Contracting Parties with established, or proposed, wetland education centres and/or similar facilities to support the development of those centres as key places of learning and training about wetlands and wetland‐related CEPA and to support their participation in global networks of such centres</w:t>
            </w:r>
            <w:r>
              <w:rPr>
                <w:rFonts w:ascii="Calibri" w:hAnsi="Calibri" w:cs="Arial"/>
                <w:color w:val="000000"/>
                <w:sz w:val="20"/>
                <w:szCs w:val="20"/>
              </w:rPr>
              <w:br/>
              <w:t>REQUESTS the Secretariat to compile a list of global networks and make it available on the Ramsar website.</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All CPs</w:t>
            </w:r>
            <w:r>
              <w:rPr>
                <w:rFonts w:ascii="Calibri" w:hAnsi="Calibri" w:cs="Arial"/>
                <w:color w:val="000000"/>
                <w:sz w:val="20"/>
                <w:szCs w:val="20"/>
              </w:rPr>
              <w:br/>
            </w:r>
            <w:r>
              <w:rPr>
                <w:rFonts w:ascii="Calibri" w:hAnsi="Calibri" w:cs="Arial"/>
                <w:color w:val="000000"/>
                <w:sz w:val="20"/>
                <w:szCs w:val="20"/>
              </w:rPr>
              <w:br/>
            </w:r>
            <w:r>
              <w:rPr>
                <w:rFonts w:ascii="Calibri" w:hAnsi="Calibri" w:cs="Arial"/>
                <w:color w:val="000000"/>
                <w:sz w:val="20"/>
                <w:szCs w:val="20"/>
              </w:rPr>
              <w:br/>
            </w:r>
            <w:r>
              <w:rPr>
                <w:rFonts w:ascii="Calibri" w:hAnsi="Calibri" w:cs="Arial"/>
                <w:color w:val="000000"/>
                <w:sz w:val="20"/>
                <w:szCs w:val="20"/>
              </w:rPr>
              <w:br/>
            </w:r>
            <w:r>
              <w:rPr>
                <w:rFonts w:ascii="Calibri" w:hAnsi="Calibri" w:cs="Arial"/>
                <w:color w:val="000000"/>
                <w:sz w:val="20"/>
                <w:szCs w:val="20"/>
              </w:rPr>
              <w:br/>
              <w:t xml:space="preserve">Ramsar Secretariat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On-going</w:t>
            </w:r>
          </w:p>
        </w:tc>
        <w:tc>
          <w:tcPr>
            <w:tcW w:w="3827"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To support network of wetland education centres and gather relevant information for webpage on same</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r>
              <w:rPr>
                <w:rFonts w:ascii="Calibri" w:hAnsi="Calibri" w:cs="Arial"/>
                <w:color w:val="000000"/>
                <w:sz w:val="20"/>
                <w:szCs w:val="20"/>
              </w:rPr>
              <w:t>20,000</w:t>
            </w:r>
          </w:p>
        </w:tc>
      </w:tr>
      <w:tr w:rsidR="000F555E" w:rsidTr="006B5FCE">
        <w:trPr>
          <w:cantSplit/>
        </w:trPr>
        <w:tc>
          <w:tcPr>
            <w:tcW w:w="4679"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lastRenderedPageBreak/>
              <w:t>9.Annex I : Goals and Targets of the CEPA Programme</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Secretariat (Comms)</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Non-core budget required to support the CEPA programme as set out in the workplan 2016-2018</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jc w:val="right"/>
              <w:rPr>
                <w:rFonts w:ascii="Calibri" w:hAnsi="Calibri" w:cs="Arial"/>
                <w:color w:val="000000"/>
                <w:sz w:val="20"/>
                <w:szCs w:val="20"/>
              </w:rPr>
            </w:pPr>
            <w:r>
              <w:rPr>
                <w:rFonts w:ascii="Calibri" w:hAnsi="Calibri" w:cs="Arial"/>
                <w:color w:val="000000"/>
                <w:sz w:val="20"/>
                <w:szCs w:val="20"/>
              </w:rPr>
              <w:t>300,000</w:t>
            </w:r>
          </w:p>
        </w:tc>
        <w:tc>
          <w:tcPr>
            <w:tcW w:w="1134" w:type="dxa"/>
            <w:shd w:val="clear" w:color="auto" w:fill="auto"/>
            <w:vAlign w:val="bottom"/>
          </w:tcPr>
          <w:p w:rsidR="000F555E" w:rsidRDefault="000F555E" w:rsidP="006B5FCE">
            <w:pPr>
              <w:rPr>
                <w:rFonts w:ascii="Arial" w:hAnsi="Arial" w:cs="Arial"/>
                <w:color w:val="000000"/>
                <w:sz w:val="22"/>
                <w:szCs w:val="22"/>
              </w:rPr>
            </w:pPr>
            <w:r>
              <w:rPr>
                <w:rFonts w:ascii="Arial" w:hAnsi="Arial" w:cs="Arial"/>
                <w:color w:val="000000"/>
                <w:sz w:val="22"/>
                <w:szCs w:val="22"/>
              </w:rPr>
              <w:t> </w:t>
            </w:r>
          </w:p>
        </w:tc>
      </w:tr>
      <w:tr w:rsidR="006B5FCE" w:rsidTr="006B5FCE">
        <w:trPr>
          <w:cantSplit/>
        </w:trPr>
        <w:tc>
          <w:tcPr>
            <w:tcW w:w="4679" w:type="dxa"/>
            <w:shd w:val="clear" w:color="auto" w:fill="D9D9D9" w:themeFill="background1" w:themeFillShade="D9"/>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Resolution XII.10: Wetland City Accreditation of the Ramsar Convention (Goals 2 and 3)</w:t>
            </w:r>
          </w:p>
        </w:tc>
        <w:tc>
          <w:tcPr>
            <w:tcW w:w="1275"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jc w:val="right"/>
              <w:rPr>
                <w:rFonts w:ascii="Calibri" w:hAnsi="Calibri" w:cs="Arial"/>
                <w:b/>
                <w:bCs/>
                <w:color w:val="000000"/>
                <w:sz w:val="20"/>
                <w:szCs w:val="20"/>
              </w:rPr>
            </w:pPr>
            <w:r>
              <w:rPr>
                <w:rFonts w:ascii="Calibri" w:hAnsi="Calibri" w:cs="Arial"/>
                <w:b/>
                <w:bCs/>
                <w:color w:val="000000"/>
                <w:sz w:val="20"/>
                <w:szCs w:val="20"/>
              </w:rPr>
              <w:t>400,000</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vAlign w:val="bottom"/>
          </w:tcPr>
          <w:p w:rsidR="000F555E" w:rsidRDefault="000F555E" w:rsidP="006B5FCE">
            <w:pPr>
              <w:rPr>
                <w:rFonts w:ascii="Arial" w:hAnsi="Arial" w:cs="Arial"/>
                <w:color w:val="000000"/>
                <w:sz w:val="22"/>
                <w:szCs w:val="22"/>
              </w:rPr>
            </w:pPr>
            <w:r>
              <w:rPr>
                <w:rFonts w:ascii="Arial" w:hAnsi="Arial" w:cs="Arial"/>
                <w:color w:val="000000"/>
                <w:sz w:val="22"/>
                <w:szCs w:val="22"/>
              </w:rPr>
              <w:t> </w:t>
            </w: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10.14. INSTRUCTS the Ramsar Secretariat, through their relevant Senior Regional Advisors, to submit the nominations received to the Independent Advisory Committee (IAC) for its consideration;</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(Reg)</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Non-core budget to support the work of the Wetland City IAC.  This budget will be used to support the meetings and accreditation visits to candidate cities to be carried out by the IAC.</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r>
              <w:rPr>
                <w:rFonts w:ascii="Calibri" w:hAnsi="Calibri" w:cs="Arial"/>
                <w:color w:val="000000"/>
                <w:sz w:val="20"/>
                <w:szCs w:val="20"/>
              </w:rPr>
              <w:t>300,000</w:t>
            </w: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10.16. INSTRUCTS the Ramsar Secretariat to develop a global online network of cities which have obtained the Wetland City accreditation of the Ramsar Convention.</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(Reg, Comms)</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Web development, branding and associated publicity for Ramsar Wetland Cities</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r>
              <w:rPr>
                <w:rFonts w:ascii="Calibri" w:hAnsi="Calibri" w:cs="Arial"/>
                <w:color w:val="000000"/>
                <w:sz w:val="20"/>
                <w:szCs w:val="20"/>
              </w:rPr>
              <w:t>100,000</w:t>
            </w:r>
          </w:p>
        </w:tc>
      </w:tr>
      <w:tr w:rsidR="006B5FCE" w:rsidTr="006B5FCE">
        <w:trPr>
          <w:cantSplit/>
        </w:trPr>
        <w:tc>
          <w:tcPr>
            <w:tcW w:w="4679" w:type="dxa"/>
            <w:shd w:val="clear" w:color="auto" w:fill="D9D9D9" w:themeFill="background1" w:themeFillShade="D9"/>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Resolution XII.11: Peatlands, climate change and wise use: Implications for the Ramsar Convention (Goals 2 and 3)</w:t>
            </w:r>
          </w:p>
        </w:tc>
        <w:tc>
          <w:tcPr>
            <w:tcW w:w="1275"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jc w:val="right"/>
              <w:rPr>
                <w:rFonts w:ascii="Calibri" w:hAnsi="Calibri" w:cs="Arial"/>
                <w:b/>
                <w:bCs/>
                <w:color w:val="000000"/>
                <w:sz w:val="20"/>
                <w:szCs w:val="20"/>
              </w:rPr>
            </w:pPr>
            <w:r>
              <w:rPr>
                <w:rFonts w:ascii="Calibri" w:hAnsi="Calibri" w:cs="Arial"/>
                <w:b/>
                <w:bCs/>
                <w:color w:val="000000"/>
                <w:sz w:val="20"/>
                <w:szCs w:val="20"/>
              </w:rPr>
              <w:t>280,000</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vAlign w:val="bottom"/>
          </w:tcPr>
          <w:p w:rsidR="000F555E" w:rsidRDefault="000F555E" w:rsidP="006B5FCE">
            <w:pPr>
              <w:rPr>
                <w:rFonts w:ascii="Arial" w:hAnsi="Arial" w:cs="Arial"/>
                <w:color w:val="000000"/>
                <w:sz w:val="22"/>
                <w:szCs w:val="22"/>
              </w:rPr>
            </w:pPr>
            <w:r>
              <w:rPr>
                <w:rFonts w:ascii="Arial" w:hAnsi="Arial" w:cs="Arial"/>
                <w:color w:val="000000"/>
                <w:sz w:val="22"/>
                <w:szCs w:val="22"/>
              </w:rPr>
              <w:t> </w:t>
            </w: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11.23. ENCOURAGES Contracting Parties, the Secretariat and other organizations to facilitate information exchange and cooperation among the administrative or managing bodies of these sites;</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(Reg), All CPs</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on-going</w:t>
            </w:r>
          </w:p>
        </w:tc>
        <w:tc>
          <w:tcPr>
            <w:tcW w:w="3827"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organize workshops (one per region) to bring together site managers and NFPs responsible for peatland sites</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r>
              <w:rPr>
                <w:rFonts w:ascii="Calibri" w:hAnsi="Calibri" w:cs="Arial"/>
                <w:color w:val="000000"/>
                <w:sz w:val="20"/>
                <w:szCs w:val="20"/>
              </w:rPr>
              <w:t>200,000</w:t>
            </w: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11.26. REQUESTS the Secretariat to facilitate national and regional capacity building to enable Contracting Party experts to create inventories of peatlands;</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(Reg)</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On-going</w:t>
            </w:r>
          </w:p>
        </w:tc>
        <w:tc>
          <w:tcPr>
            <w:tcW w:w="3827"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See 28 below</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vAlign w:val="bottom"/>
          </w:tcPr>
          <w:p w:rsidR="000F555E" w:rsidRDefault="000F555E" w:rsidP="006B5FCE">
            <w:pPr>
              <w:rPr>
                <w:rFonts w:ascii="Arial" w:hAnsi="Arial" w:cs="Arial"/>
                <w:color w:val="000000"/>
                <w:sz w:val="22"/>
                <w:szCs w:val="22"/>
              </w:rPr>
            </w:pPr>
            <w:r>
              <w:rPr>
                <w:rFonts w:ascii="Arial" w:hAnsi="Arial" w:cs="Arial"/>
                <w:color w:val="000000"/>
                <w:sz w:val="22"/>
                <w:szCs w:val="22"/>
              </w:rPr>
              <w:t> </w:t>
            </w: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11.28. REQUESTS the Secretariat, working with the STRP, IOPs and other stakeholders, to compile best practices in peatland restoration techniques to support the work of wetland managers and share them through the official Ramsar Convention website;</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(STRP, Reg, comms)</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To develop four best practice manuals (one per eco-region) which bring together best practices for peatland sites in that eco-region, to be developed together with partner organizations in the region</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r>
              <w:rPr>
                <w:rFonts w:ascii="Calibri" w:hAnsi="Calibri" w:cs="Arial"/>
                <w:color w:val="000000"/>
                <w:sz w:val="20"/>
                <w:szCs w:val="20"/>
              </w:rPr>
              <w:t>80,000</w:t>
            </w:r>
          </w:p>
        </w:tc>
      </w:tr>
      <w:tr w:rsidR="006B5FCE" w:rsidTr="006B5FCE">
        <w:trPr>
          <w:cantSplit/>
        </w:trPr>
        <w:tc>
          <w:tcPr>
            <w:tcW w:w="4679" w:type="dxa"/>
            <w:shd w:val="clear" w:color="auto" w:fill="D9D9D9" w:themeFill="background1" w:themeFillShade="D9"/>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lastRenderedPageBreak/>
              <w:t>Resolution XII.12: Call to action to ensure and protect the water requirements of wetlands for the present and the future (Strategic Goals 1-3)</w:t>
            </w:r>
          </w:p>
        </w:tc>
        <w:tc>
          <w:tcPr>
            <w:tcW w:w="1275"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jc w:val="right"/>
              <w:rPr>
                <w:rFonts w:ascii="Calibri" w:hAnsi="Calibri" w:cs="Arial"/>
                <w:b/>
                <w:bCs/>
                <w:color w:val="000000"/>
                <w:sz w:val="20"/>
                <w:szCs w:val="20"/>
              </w:rPr>
            </w:pPr>
            <w:r>
              <w:rPr>
                <w:rFonts w:ascii="Calibri" w:hAnsi="Calibri" w:cs="Arial"/>
                <w:b/>
                <w:bCs/>
                <w:color w:val="000000"/>
                <w:sz w:val="20"/>
                <w:szCs w:val="20"/>
              </w:rPr>
              <w:t>100,000</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vAlign w:val="bottom"/>
          </w:tcPr>
          <w:p w:rsidR="000F555E" w:rsidRDefault="000F555E" w:rsidP="006B5FCE">
            <w:pPr>
              <w:rPr>
                <w:rFonts w:ascii="Arial" w:hAnsi="Arial" w:cs="Arial"/>
                <w:color w:val="000000"/>
                <w:sz w:val="22"/>
                <w:szCs w:val="22"/>
              </w:rPr>
            </w:pPr>
            <w:r>
              <w:rPr>
                <w:rFonts w:ascii="Arial" w:hAnsi="Arial" w:cs="Arial"/>
                <w:color w:val="000000"/>
                <w:sz w:val="22"/>
                <w:szCs w:val="22"/>
              </w:rPr>
              <w:t> </w:t>
            </w: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12.24. REQUESTS that the Scientific and Technical Review Panel and the Communication, Education, Participation, and Awareness Oversight Panel consider drawing up, in cooperation with existing networks and initiatives, guidelines for the elaboration of national action plans, to conserve the water necessary to maintain the wise use of wetlands, which may be implemented at the regional and/or national level, in line with the 4th Strategic Plan.</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STRP, CEPA Oversight Panel</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On-going</w:t>
            </w:r>
          </w:p>
        </w:tc>
        <w:tc>
          <w:tcPr>
            <w:tcW w:w="3827"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Major publication (handbook) as official Ramsar guidance on water reserves and environmental flow requirements</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r>
              <w:rPr>
                <w:rFonts w:ascii="Calibri" w:hAnsi="Calibri" w:cs="Arial"/>
                <w:color w:val="000000"/>
                <w:sz w:val="20"/>
                <w:szCs w:val="20"/>
              </w:rPr>
              <w:t>100,000</w:t>
            </w:r>
          </w:p>
        </w:tc>
      </w:tr>
      <w:tr w:rsidR="006B5FCE" w:rsidTr="006B5FCE">
        <w:trPr>
          <w:cantSplit/>
        </w:trPr>
        <w:tc>
          <w:tcPr>
            <w:tcW w:w="4679" w:type="dxa"/>
            <w:shd w:val="clear" w:color="auto" w:fill="D9D9D9" w:themeFill="background1" w:themeFillShade="D9"/>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Resolution XII.13: Wetlands and disaster risk reduction (Strategic Goals 1-3)</w:t>
            </w:r>
          </w:p>
        </w:tc>
        <w:tc>
          <w:tcPr>
            <w:tcW w:w="1275"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jc w:val="right"/>
              <w:rPr>
                <w:rFonts w:ascii="Calibri" w:hAnsi="Calibri" w:cs="Arial"/>
                <w:b/>
                <w:bCs/>
                <w:color w:val="000000"/>
                <w:sz w:val="20"/>
                <w:szCs w:val="20"/>
              </w:rPr>
            </w:pPr>
            <w:r>
              <w:rPr>
                <w:rFonts w:ascii="Calibri" w:hAnsi="Calibri" w:cs="Arial"/>
                <w:b/>
                <w:bCs/>
                <w:color w:val="000000"/>
                <w:sz w:val="20"/>
                <w:szCs w:val="20"/>
              </w:rPr>
              <w:t>95,000</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vAlign w:val="bottom"/>
          </w:tcPr>
          <w:p w:rsidR="000F555E" w:rsidRDefault="000F555E" w:rsidP="006B5FCE">
            <w:pPr>
              <w:rPr>
                <w:rFonts w:ascii="Arial" w:hAnsi="Arial" w:cs="Arial"/>
                <w:color w:val="000000"/>
                <w:sz w:val="22"/>
                <w:szCs w:val="22"/>
              </w:rPr>
            </w:pPr>
            <w:r>
              <w:rPr>
                <w:rFonts w:ascii="Arial" w:hAnsi="Arial" w:cs="Arial"/>
                <w:color w:val="000000"/>
                <w:sz w:val="22"/>
                <w:szCs w:val="22"/>
              </w:rPr>
              <w:t> </w:t>
            </w:r>
          </w:p>
        </w:tc>
      </w:tr>
      <w:tr w:rsidR="000F555E" w:rsidTr="006B5FCE">
        <w:trPr>
          <w:cantSplit/>
        </w:trPr>
        <w:tc>
          <w:tcPr>
            <w:tcW w:w="4679" w:type="dxa"/>
            <w:shd w:val="clear" w:color="auto" w:fill="auto"/>
          </w:tcPr>
          <w:p w:rsidR="000F555E" w:rsidRDefault="0016172E" w:rsidP="006B5FCE">
            <w:pPr>
              <w:rPr>
                <w:rFonts w:ascii="Calibri" w:hAnsi="Calibri" w:cs="Arial"/>
                <w:color w:val="000000"/>
                <w:sz w:val="20"/>
                <w:szCs w:val="20"/>
              </w:rPr>
            </w:pPr>
            <w:r>
              <w:rPr>
                <w:rFonts w:ascii="Calibri" w:hAnsi="Calibri" w:cs="Arial"/>
                <w:color w:val="000000"/>
                <w:sz w:val="20"/>
                <w:szCs w:val="20"/>
              </w:rPr>
              <w:t>13</w:t>
            </w:r>
            <w:r w:rsidR="000F555E">
              <w:rPr>
                <w:rFonts w:ascii="Calibri" w:hAnsi="Calibri" w:cs="Arial"/>
                <w:color w:val="000000"/>
                <w:sz w:val="20"/>
                <w:szCs w:val="20"/>
              </w:rPr>
              <w:t>.26. URGES the Secretariat to build a strategic partnership with related international bodies and conventions, namely the United Nations Convention to Combat Desertification (UNCCD), to establish an appropriate platform for cooperation aiming at providing scientific and technical support as well as easing the access to financial resources for affected countries</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(Part, SG/DSG)</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On-going</w:t>
            </w:r>
          </w:p>
        </w:tc>
        <w:tc>
          <w:tcPr>
            <w:tcW w:w="3827"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Combined project on eco-DRR with UNCCD to provide technical guidance as well as access to financial resources (also to link with and input into the inter-agency flood and drought management programmes (APFM and IDMP) based at WMO)</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r>
              <w:rPr>
                <w:rFonts w:ascii="Calibri" w:hAnsi="Calibri" w:cs="Arial"/>
                <w:color w:val="000000"/>
                <w:sz w:val="20"/>
                <w:szCs w:val="20"/>
              </w:rPr>
              <w:t>50,000</w:t>
            </w:r>
          </w:p>
        </w:tc>
      </w:tr>
      <w:tr w:rsidR="000F555E" w:rsidTr="006B5FCE">
        <w:trPr>
          <w:cantSplit/>
        </w:trPr>
        <w:tc>
          <w:tcPr>
            <w:tcW w:w="4679" w:type="dxa"/>
            <w:shd w:val="clear" w:color="auto" w:fill="auto"/>
          </w:tcPr>
          <w:p w:rsidR="000F555E" w:rsidRDefault="0016172E" w:rsidP="006B5FCE">
            <w:pPr>
              <w:rPr>
                <w:rFonts w:ascii="Calibri" w:hAnsi="Calibri" w:cs="Arial"/>
                <w:color w:val="000000"/>
                <w:sz w:val="20"/>
                <w:szCs w:val="20"/>
              </w:rPr>
            </w:pPr>
            <w:r>
              <w:rPr>
                <w:rFonts w:ascii="Calibri" w:hAnsi="Calibri" w:cs="Arial"/>
                <w:color w:val="000000"/>
                <w:sz w:val="20"/>
                <w:szCs w:val="20"/>
              </w:rPr>
              <w:t>13</w:t>
            </w:r>
            <w:bookmarkStart w:id="0" w:name="_GoBack"/>
            <w:bookmarkEnd w:id="0"/>
            <w:r w:rsidR="000F555E">
              <w:rPr>
                <w:rFonts w:ascii="Calibri" w:hAnsi="Calibri" w:cs="Arial"/>
                <w:color w:val="000000"/>
                <w:sz w:val="20"/>
                <w:szCs w:val="20"/>
              </w:rPr>
              <w:t>.35. REQUESTS that the Ramsar Secretariat liaise with the Secretariats of the UN ISDR and UNFCCC, in highlighting the importance of wetlands in climate change adaptation, especially for countries identified as vulnerable to climate change; and ALSO REQUESTS that the Ramsar Secretariat establish strategic partnerships to ensure collaboration on DRR and access to global trust funds</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(SG/DSG, Part)</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CHF 15,000 per annum to support additional travel to workshops and events, to develop strategic partnerships on eco-DRR and access to funding sources</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r>
              <w:rPr>
                <w:rFonts w:ascii="Calibri" w:hAnsi="Calibri" w:cs="Arial"/>
                <w:color w:val="000000"/>
                <w:sz w:val="20"/>
                <w:szCs w:val="20"/>
              </w:rPr>
              <w:t>45</w:t>
            </w:r>
            <w:r w:rsidR="006B5FCE">
              <w:rPr>
                <w:rFonts w:ascii="Calibri" w:hAnsi="Calibri" w:cs="Arial"/>
                <w:color w:val="000000"/>
                <w:sz w:val="20"/>
                <w:szCs w:val="20"/>
              </w:rPr>
              <w:t>,</w:t>
            </w:r>
            <w:r>
              <w:rPr>
                <w:rFonts w:ascii="Calibri" w:hAnsi="Calibri" w:cs="Arial"/>
                <w:color w:val="000000"/>
                <w:sz w:val="20"/>
                <w:szCs w:val="20"/>
              </w:rPr>
              <w:t>000</w:t>
            </w:r>
          </w:p>
        </w:tc>
      </w:tr>
      <w:tr w:rsidR="006B5FCE" w:rsidTr="006B5FCE">
        <w:trPr>
          <w:cantSplit/>
        </w:trPr>
        <w:tc>
          <w:tcPr>
            <w:tcW w:w="4679" w:type="dxa"/>
            <w:shd w:val="clear" w:color="auto" w:fill="D9D9D9" w:themeFill="background1" w:themeFillShade="D9"/>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lastRenderedPageBreak/>
              <w:t>Resolution XII.14: Conservation of Mediterranean Basin island wetlands (Strategic Goals 2 and 3)</w:t>
            </w:r>
          </w:p>
        </w:tc>
        <w:tc>
          <w:tcPr>
            <w:tcW w:w="1275"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6B5FCE" w:rsidRDefault="006B5FCE" w:rsidP="006B5FCE">
            <w:pPr>
              <w:jc w:val="right"/>
              <w:rPr>
                <w:rFonts w:ascii="Calibri" w:hAnsi="Calibri" w:cs="Arial"/>
                <w:b/>
                <w:bCs/>
                <w:color w:val="000000"/>
                <w:sz w:val="20"/>
                <w:szCs w:val="20"/>
              </w:rPr>
            </w:pPr>
            <w:r>
              <w:rPr>
                <w:rFonts w:ascii="Calibri" w:hAnsi="Calibri" w:cs="Arial"/>
                <w:b/>
                <w:bCs/>
                <w:color w:val="000000"/>
                <w:sz w:val="20"/>
                <w:szCs w:val="20"/>
              </w:rPr>
              <w:t>40,000</w:t>
            </w:r>
          </w:p>
        </w:tc>
        <w:tc>
          <w:tcPr>
            <w:tcW w:w="1276"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vAlign w:val="bottom"/>
          </w:tcPr>
          <w:p w:rsidR="006B5FCE" w:rsidRDefault="006B5FCE" w:rsidP="006B5FCE">
            <w:pPr>
              <w:rPr>
                <w:rFonts w:ascii="Arial" w:hAnsi="Arial" w:cs="Arial"/>
                <w:color w:val="000000"/>
                <w:sz w:val="22"/>
                <w:szCs w:val="22"/>
              </w:rPr>
            </w:pPr>
            <w:r>
              <w:rPr>
                <w:rFonts w:ascii="Arial" w:hAnsi="Arial" w:cs="Arial"/>
                <w:color w:val="000000"/>
                <w:sz w:val="22"/>
                <w:szCs w:val="22"/>
              </w:rPr>
              <w:t> </w:t>
            </w:r>
          </w:p>
        </w:tc>
      </w:tr>
      <w:tr w:rsidR="006B5FCE" w:rsidTr="006B5FCE">
        <w:trPr>
          <w:cantSplit/>
        </w:trPr>
        <w:tc>
          <w:tcPr>
            <w:tcW w:w="4679"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14.16. URGES Mediterranean Contracting Parties in the framework of the MedWet Initiative, to produce or update as a matter of high priority a complete, science-based inventory of their island wetlands, based on appropriate methodologies, and to share it with neighbouring countries, for example, through a MedWet database;</w:t>
            </w:r>
          </w:p>
        </w:tc>
        <w:tc>
          <w:tcPr>
            <w:tcW w:w="1275"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Mediterranean CPs</w:t>
            </w:r>
          </w:p>
        </w:tc>
        <w:tc>
          <w:tcPr>
            <w:tcW w:w="1276"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On-going</w:t>
            </w:r>
          </w:p>
        </w:tc>
        <w:tc>
          <w:tcPr>
            <w:tcW w:w="3827"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Non-core funds needed to support the development of a MedWet database and information-sharing on island wetlands, and to share this information with other regions through the work of Regional Initiatives and other bodies</w:t>
            </w:r>
          </w:p>
        </w:tc>
        <w:tc>
          <w:tcPr>
            <w:tcW w:w="1276" w:type="dxa"/>
            <w:shd w:val="clear" w:color="auto" w:fill="auto"/>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6B5FCE" w:rsidRDefault="006B5FCE" w:rsidP="006B5FCE">
            <w:pPr>
              <w:jc w:val="right"/>
              <w:rPr>
                <w:rFonts w:ascii="Calibri" w:hAnsi="Calibri" w:cs="Arial"/>
                <w:color w:val="000000"/>
                <w:sz w:val="20"/>
                <w:szCs w:val="20"/>
              </w:rPr>
            </w:pPr>
            <w:r>
              <w:rPr>
                <w:rFonts w:ascii="Calibri" w:hAnsi="Calibri" w:cs="Arial"/>
                <w:color w:val="000000"/>
                <w:sz w:val="20"/>
                <w:szCs w:val="20"/>
              </w:rPr>
              <w:t>40,000</w:t>
            </w:r>
          </w:p>
        </w:tc>
      </w:tr>
      <w:tr w:rsidR="006B5FCE" w:rsidTr="006B5FCE">
        <w:trPr>
          <w:cantSplit/>
        </w:trPr>
        <w:tc>
          <w:tcPr>
            <w:tcW w:w="4679" w:type="dxa"/>
            <w:shd w:val="clear" w:color="auto" w:fill="D9D9D9" w:themeFill="background1" w:themeFillShade="D9"/>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Resolution XII.15: Evaluation of the management and conservation effectiveness of Ramsar Sites (Strategic Goals 1-3)</w:t>
            </w:r>
          </w:p>
        </w:tc>
        <w:tc>
          <w:tcPr>
            <w:tcW w:w="1275"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6B5FCE" w:rsidRDefault="006B5FCE" w:rsidP="006B5FCE">
            <w:pPr>
              <w:jc w:val="right"/>
              <w:rPr>
                <w:rFonts w:ascii="Calibri" w:hAnsi="Calibri" w:cs="Arial"/>
                <w:b/>
                <w:bCs/>
                <w:color w:val="000000"/>
                <w:sz w:val="20"/>
                <w:szCs w:val="20"/>
              </w:rPr>
            </w:pPr>
            <w:r>
              <w:rPr>
                <w:rFonts w:ascii="Calibri" w:hAnsi="Calibri" w:cs="Arial"/>
                <w:b/>
                <w:bCs/>
                <w:color w:val="000000"/>
                <w:sz w:val="20"/>
                <w:szCs w:val="20"/>
              </w:rPr>
              <w:t>120,000</w:t>
            </w:r>
          </w:p>
        </w:tc>
        <w:tc>
          <w:tcPr>
            <w:tcW w:w="1276"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vAlign w:val="bottom"/>
          </w:tcPr>
          <w:p w:rsidR="006B5FCE" w:rsidRDefault="006B5FCE" w:rsidP="006B5FCE">
            <w:pPr>
              <w:rPr>
                <w:rFonts w:ascii="Arial" w:hAnsi="Arial" w:cs="Arial"/>
                <w:color w:val="000000"/>
                <w:sz w:val="22"/>
                <w:szCs w:val="22"/>
              </w:rPr>
            </w:pPr>
            <w:r>
              <w:rPr>
                <w:rFonts w:ascii="Arial" w:hAnsi="Arial" w:cs="Arial"/>
                <w:color w:val="000000"/>
                <w:sz w:val="22"/>
                <w:szCs w:val="22"/>
              </w:rPr>
              <w:t> </w:t>
            </w:r>
          </w:p>
        </w:tc>
      </w:tr>
      <w:tr w:rsidR="006B5FCE" w:rsidTr="006B5FCE">
        <w:trPr>
          <w:cantSplit/>
        </w:trPr>
        <w:tc>
          <w:tcPr>
            <w:tcW w:w="4679"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15.21. URGES the Ramsar Secretariat, STRP, International</w:t>
            </w:r>
            <w:r>
              <w:rPr>
                <w:rFonts w:ascii="Calibri" w:hAnsi="Calibri" w:cs="Arial"/>
                <w:color w:val="000000"/>
                <w:sz w:val="20"/>
                <w:szCs w:val="20"/>
              </w:rPr>
              <w:br/>
              <w:t>Organization Partners (IOPs), Ramsar Regional Centres and other partners to consider supporting the Contracting Parties in their efforts, including capacity building to apply</w:t>
            </w:r>
            <w:r>
              <w:rPr>
                <w:rFonts w:ascii="Calibri" w:hAnsi="Calibri" w:cs="Arial"/>
                <w:color w:val="000000"/>
                <w:sz w:val="20"/>
                <w:szCs w:val="20"/>
              </w:rPr>
              <w:br/>
              <w:t>management effectiveness tools</w:t>
            </w:r>
          </w:p>
        </w:tc>
        <w:tc>
          <w:tcPr>
            <w:tcW w:w="1275"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Ramsar Secretariat (Reg), STRP, IOPs, RRCs, Partners</w:t>
            </w:r>
          </w:p>
        </w:tc>
        <w:tc>
          <w:tcPr>
            <w:tcW w:w="1276"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 xml:space="preserve">On-going </w:t>
            </w:r>
          </w:p>
        </w:tc>
        <w:tc>
          <w:tcPr>
            <w:tcW w:w="3827"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One workshop in each of five regions to build capacity on the application of the R-METT tool</w:t>
            </w:r>
          </w:p>
        </w:tc>
        <w:tc>
          <w:tcPr>
            <w:tcW w:w="1276" w:type="dxa"/>
            <w:shd w:val="clear" w:color="auto" w:fill="auto"/>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6B5FCE" w:rsidRDefault="006B5FCE" w:rsidP="006B5FCE">
            <w:pPr>
              <w:jc w:val="right"/>
              <w:rPr>
                <w:rFonts w:ascii="Calibri" w:hAnsi="Calibri" w:cs="Arial"/>
                <w:color w:val="000000"/>
                <w:sz w:val="20"/>
                <w:szCs w:val="20"/>
              </w:rPr>
            </w:pPr>
            <w:r>
              <w:rPr>
                <w:rFonts w:ascii="Calibri" w:hAnsi="Calibri" w:cs="Arial"/>
                <w:color w:val="000000"/>
                <w:sz w:val="20"/>
                <w:szCs w:val="20"/>
              </w:rPr>
              <w:t>100,000</w:t>
            </w:r>
          </w:p>
        </w:tc>
      </w:tr>
      <w:tr w:rsidR="006B5FCE" w:rsidTr="006B5FCE">
        <w:trPr>
          <w:cantSplit/>
        </w:trPr>
        <w:tc>
          <w:tcPr>
            <w:tcW w:w="4679"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15.22. APPROVES the Ramsar Site Management Effectiveness Tracking Tool (R-METT) annexed to this</w:t>
            </w:r>
            <w:r>
              <w:rPr>
                <w:rFonts w:ascii="Calibri" w:hAnsi="Calibri" w:cs="Arial"/>
                <w:color w:val="000000"/>
                <w:sz w:val="20"/>
                <w:szCs w:val="20"/>
              </w:rPr>
              <w:br/>
              <w:t>Resolution, as a voluntary self-assessment tool for evaluating the management effectiveness of</w:t>
            </w:r>
            <w:r>
              <w:rPr>
                <w:rFonts w:ascii="Calibri" w:hAnsi="Calibri" w:cs="Arial"/>
                <w:color w:val="000000"/>
                <w:sz w:val="20"/>
                <w:szCs w:val="20"/>
              </w:rPr>
              <w:br/>
              <w:t>Ramsar Sites and other wetlands</w:t>
            </w:r>
          </w:p>
        </w:tc>
        <w:tc>
          <w:tcPr>
            <w:tcW w:w="1275"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To build capacity within the Ramsar Secretariat on the use of R-METT</w:t>
            </w:r>
          </w:p>
        </w:tc>
        <w:tc>
          <w:tcPr>
            <w:tcW w:w="1276" w:type="dxa"/>
            <w:shd w:val="clear" w:color="auto" w:fill="auto"/>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6B5FCE" w:rsidRDefault="006B5FCE" w:rsidP="006B5FCE">
            <w:pPr>
              <w:jc w:val="right"/>
              <w:rPr>
                <w:rFonts w:ascii="Calibri" w:hAnsi="Calibri" w:cs="Arial"/>
                <w:color w:val="000000"/>
                <w:sz w:val="20"/>
                <w:szCs w:val="20"/>
              </w:rPr>
            </w:pPr>
            <w:r>
              <w:rPr>
                <w:rFonts w:ascii="Calibri" w:hAnsi="Calibri" w:cs="Arial"/>
                <w:color w:val="000000"/>
                <w:sz w:val="20"/>
                <w:szCs w:val="20"/>
              </w:rPr>
              <w:t>20,000</w:t>
            </w:r>
          </w:p>
        </w:tc>
      </w:tr>
      <w:tr w:rsidR="006B5FCE" w:rsidTr="006B5FCE">
        <w:trPr>
          <w:cantSplit/>
        </w:trPr>
        <w:tc>
          <w:tcPr>
            <w:tcW w:w="4679" w:type="dxa"/>
            <w:shd w:val="clear" w:color="auto" w:fill="BFBFBF" w:themeFill="background1" w:themeFillShade="BF"/>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TOTAL</w:t>
            </w:r>
          </w:p>
        </w:tc>
        <w:tc>
          <w:tcPr>
            <w:tcW w:w="1275" w:type="dxa"/>
            <w:shd w:val="clear" w:color="auto" w:fill="BFBFBF" w:themeFill="background1" w:themeFillShade="BF"/>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BFBFBF" w:themeFill="background1" w:themeFillShade="BF"/>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 </w:t>
            </w:r>
          </w:p>
        </w:tc>
        <w:tc>
          <w:tcPr>
            <w:tcW w:w="3827" w:type="dxa"/>
            <w:shd w:val="clear" w:color="auto" w:fill="BFBFBF" w:themeFill="background1" w:themeFillShade="BF"/>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Of which CHF 300,000 is support for the non-core fundraising effort itself  as set out in Resolutions 1.20 and 7.11 above</w:t>
            </w:r>
          </w:p>
        </w:tc>
        <w:tc>
          <w:tcPr>
            <w:tcW w:w="1276" w:type="dxa"/>
            <w:shd w:val="clear" w:color="auto" w:fill="BFBFBF" w:themeFill="background1" w:themeFillShade="BF"/>
          </w:tcPr>
          <w:p w:rsidR="006B5FCE" w:rsidRDefault="006B5FCE" w:rsidP="006B5FCE">
            <w:pPr>
              <w:jc w:val="right"/>
              <w:rPr>
                <w:rFonts w:ascii="Calibri" w:hAnsi="Calibri" w:cs="Arial"/>
                <w:b/>
                <w:bCs/>
                <w:color w:val="000000"/>
                <w:sz w:val="20"/>
                <w:szCs w:val="20"/>
              </w:rPr>
            </w:pPr>
            <w:r>
              <w:rPr>
                <w:rFonts w:ascii="Calibri" w:hAnsi="Calibri" w:cs="Arial"/>
                <w:b/>
                <w:bCs/>
                <w:color w:val="000000"/>
                <w:sz w:val="20"/>
                <w:szCs w:val="20"/>
              </w:rPr>
              <w:t>6,925,000</w:t>
            </w:r>
          </w:p>
        </w:tc>
        <w:tc>
          <w:tcPr>
            <w:tcW w:w="1276" w:type="dxa"/>
            <w:shd w:val="clear" w:color="auto" w:fill="BFBFBF" w:themeFill="background1" w:themeFillShade="BF"/>
          </w:tcPr>
          <w:p w:rsidR="006B5FCE" w:rsidRDefault="006B5FCE" w:rsidP="006B5FCE">
            <w:pPr>
              <w:jc w:val="right"/>
              <w:rPr>
                <w:rFonts w:ascii="Calibri" w:hAnsi="Calibri" w:cs="Arial"/>
                <w:b/>
                <w:bCs/>
                <w:color w:val="000000"/>
                <w:sz w:val="20"/>
                <w:szCs w:val="20"/>
              </w:rPr>
            </w:pPr>
            <w:r>
              <w:rPr>
                <w:rFonts w:ascii="Calibri" w:hAnsi="Calibri" w:cs="Arial"/>
                <w:b/>
                <w:bCs/>
                <w:color w:val="000000"/>
                <w:sz w:val="20"/>
                <w:szCs w:val="20"/>
              </w:rPr>
              <w:t>3,950,000</w:t>
            </w:r>
          </w:p>
        </w:tc>
        <w:tc>
          <w:tcPr>
            <w:tcW w:w="1134" w:type="dxa"/>
            <w:shd w:val="clear" w:color="auto" w:fill="BFBFBF" w:themeFill="background1" w:themeFillShade="BF"/>
          </w:tcPr>
          <w:p w:rsidR="006B5FCE" w:rsidRDefault="006B5FCE" w:rsidP="006B5FCE">
            <w:pPr>
              <w:jc w:val="right"/>
              <w:rPr>
                <w:rFonts w:ascii="Calibri" w:hAnsi="Calibri" w:cs="Arial"/>
                <w:b/>
                <w:bCs/>
                <w:color w:val="000000"/>
                <w:sz w:val="20"/>
                <w:szCs w:val="20"/>
              </w:rPr>
            </w:pPr>
            <w:r>
              <w:rPr>
                <w:rFonts w:ascii="Calibri" w:hAnsi="Calibri" w:cs="Arial"/>
                <w:b/>
                <w:bCs/>
                <w:color w:val="000000"/>
                <w:sz w:val="20"/>
                <w:szCs w:val="20"/>
              </w:rPr>
              <w:t>2,975,000</w:t>
            </w:r>
          </w:p>
        </w:tc>
      </w:tr>
    </w:tbl>
    <w:p w:rsidR="00FF15AC" w:rsidRPr="00FF15AC" w:rsidRDefault="00FF15AC" w:rsidP="00331C37">
      <w:pPr>
        <w:shd w:val="clear" w:color="auto" w:fill="FFFFFF" w:themeFill="background1"/>
        <w:rPr>
          <w:rFonts w:ascii="Calibri" w:eastAsia="Batang" w:hAnsi="Calibri" w:cs="Calibri"/>
          <w:b/>
          <w:lang w:eastAsia="en-US"/>
        </w:rPr>
      </w:pPr>
    </w:p>
    <w:sectPr w:rsidR="00FF15AC" w:rsidRPr="00FF15AC" w:rsidSect="00FF15AC">
      <w:footerReference w:type="default" r:id="rId10"/>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E0" w:rsidRDefault="00AD06E0" w:rsidP="00FF697B">
      <w:r>
        <w:separator/>
      </w:r>
    </w:p>
  </w:endnote>
  <w:endnote w:type="continuationSeparator" w:id="0">
    <w:p w:rsidR="00AD06E0" w:rsidRDefault="00AD06E0" w:rsidP="00FF697B">
      <w:r>
        <w:continuationSeparator/>
      </w:r>
    </w:p>
  </w:endnote>
  <w:endnote w:type="continuationNotice" w:id="1">
    <w:p w:rsidR="00AD06E0" w:rsidRDefault="00AD0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946664"/>
      <w:docPartObj>
        <w:docPartGallery w:val="Page Numbers (Bottom of Page)"/>
        <w:docPartUnique/>
      </w:docPartObj>
    </w:sdtPr>
    <w:sdtEndPr/>
    <w:sdtContent>
      <w:p w:rsidR="00AD06E0" w:rsidRPr="002714E9" w:rsidRDefault="00AD06E0" w:rsidP="00FD503E">
        <w:pPr>
          <w:pStyle w:val="Footer"/>
          <w:tabs>
            <w:tab w:val="clear" w:pos="9360"/>
            <w:tab w:val="right" w:pos="4680"/>
            <w:tab w:val="left" w:pos="8931"/>
          </w:tabs>
          <w:rPr>
            <w:rFonts w:asciiTheme="minorHAnsi" w:hAnsiTheme="minorHAnsi"/>
            <w:sz w:val="20"/>
            <w:szCs w:val="20"/>
          </w:rPr>
        </w:pPr>
        <w:r>
          <w:rPr>
            <w:rFonts w:asciiTheme="minorHAnsi" w:hAnsiTheme="minorHAnsi"/>
            <w:sz w:val="20"/>
            <w:szCs w:val="20"/>
          </w:rPr>
          <w:t>SC51-04</w:t>
        </w:r>
        <w:r>
          <w:rPr>
            <w:rFonts w:asciiTheme="minorHAnsi" w:hAnsiTheme="minorHAnsi"/>
            <w:sz w:val="20"/>
            <w:szCs w:val="20"/>
          </w:rPr>
          <w:tab/>
        </w:r>
        <w:r>
          <w:rPr>
            <w:rFonts w:asciiTheme="minorHAnsi" w:hAnsiTheme="minorHAnsi"/>
            <w:sz w:val="20"/>
            <w:szCs w:val="20"/>
          </w:rPr>
          <w:tab/>
        </w:r>
        <w:r w:rsidRPr="00FD503E">
          <w:rPr>
            <w:rFonts w:asciiTheme="minorHAnsi" w:hAnsiTheme="minorHAnsi"/>
            <w:sz w:val="20"/>
            <w:szCs w:val="20"/>
          </w:rPr>
          <w:fldChar w:fldCharType="begin"/>
        </w:r>
        <w:r w:rsidRPr="00FD503E">
          <w:rPr>
            <w:rFonts w:asciiTheme="minorHAnsi" w:hAnsiTheme="minorHAnsi"/>
            <w:sz w:val="20"/>
            <w:szCs w:val="20"/>
          </w:rPr>
          <w:instrText xml:space="preserve"> PAGE   \* MERGEFORMAT </w:instrText>
        </w:r>
        <w:r w:rsidRPr="00FD503E">
          <w:rPr>
            <w:rFonts w:asciiTheme="minorHAnsi" w:hAnsiTheme="minorHAnsi"/>
            <w:sz w:val="20"/>
            <w:szCs w:val="20"/>
          </w:rPr>
          <w:fldChar w:fldCharType="separate"/>
        </w:r>
        <w:r w:rsidR="0016172E">
          <w:rPr>
            <w:rFonts w:asciiTheme="minorHAnsi" w:hAnsiTheme="minorHAnsi"/>
            <w:noProof/>
            <w:sz w:val="20"/>
            <w:szCs w:val="20"/>
          </w:rPr>
          <w:t>2</w:t>
        </w:r>
        <w:r w:rsidRPr="00FD503E">
          <w:rPr>
            <w:rFonts w:asciiTheme="minorHAnsi" w:hAnsiTheme="minorHAnsi"/>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33630235"/>
      <w:docPartObj>
        <w:docPartGallery w:val="Page Numbers (Bottom of Page)"/>
        <w:docPartUnique/>
      </w:docPartObj>
    </w:sdtPr>
    <w:sdtEndPr/>
    <w:sdtContent>
      <w:p w:rsidR="00AD06E0" w:rsidRPr="002714E9" w:rsidRDefault="00AD06E0" w:rsidP="00FD503E">
        <w:pPr>
          <w:pStyle w:val="Footer"/>
          <w:tabs>
            <w:tab w:val="clear" w:pos="9360"/>
            <w:tab w:val="right" w:pos="4680"/>
            <w:tab w:val="left" w:pos="13750"/>
          </w:tabs>
          <w:rPr>
            <w:rFonts w:asciiTheme="minorHAnsi" w:hAnsiTheme="minorHAnsi"/>
            <w:sz w:val="20"/>
            <w:szCs w:val="20"/>
          </w:rPr>
        </w:pPr>
        <w:r>
          <w:rPr>
            <w:rFonts w:asciiTheme="minorHAnsi" w:hAnsiTheme="minorHAnsi"/>
            <w:sz w:val="20"/>
            <w:szCs w:val="20"/>
          </w:rPr>
          <w:t>SC51-04</w:t>
        </w:r>
        <w:r>
          <w:rPr>
            <w:rFonts w:asciiTheme="minorHAnsi" w:hAnsiTheme="minorHAnsi"/>
            <w:sz w:val="20"/>
            <w:szCs w:val="20"/>
          </w:rPr>
          <w:tab/>
        </w:r>
        <w:r>
          <w:rPr>
            <w:rFonts w:asciiTheme="minorHAnsi" w:hAnsiTheme="minorHAnsi"/>
            <w:sz w:val="20"/>
            <w:szCs w:val="20"/>
          </w:rPr>
          <w:tab/>
        </w:r>
        <w:r w:rsidRPr="00FD503E">
          <w:rPr>
            <w:rFonts w:asciiTheme="minorHAnsi" w:hAnsiTheme="minorHAnsi"/>
            <w:sz w:val="20"/>
            <w:szCs w:val="20"/>
          </w:rPr>
          <w:fldChar w:fldCharType="begin"/>
        </w:r>
        <w:r w:rsidRPr="00FD503E">
          <w:rPr>
            <w:rFonts w:asciiTheme="minorHAnsi" w:hAnsiTheme="minorHAnsi"/>
            <w:sz w:val="20"/>
            <w:szCs w:val="20"/>
          </w:rPr>
          <w:instrText xml:space="preserve"> PAGE   \* MERGEFORMAT </w:instrText>
        </w:r>
        <w:r w:rsidRPr="00FD503E">
          <w:rPr>
            <w:rFonts w:asciiTheme="minorHAnsi" w:hAnsiTheme="minorHAnsi"/>
            <w:sz w:val="20"/>
            <w:szCs w:val="20"/>
          </w:rPr>
          <w:fldChar w:fldCharType="separate"/>
        </w:r>
        <w:r w:rsidR="0016172E">
          <w:rPr>
            <w:rFonts w:asciiTheme="minorHAnsi" w:hAnsiTheme="minorHAnsi"/>
            <w:noProof/>
            <w:sz w:val="20"/>
            <w:szCs w:val="20"/>
          </w:rPr>
          <w:t>12</w:t>
        </w:r>
        <w:r w:rsidRPr="00FD503E">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E0" w:rsidRDefault="00AD06E0" w:rsidP="00FF697B">
      <w:r>
        <w:separator/>
      </w:r>
    </w:p>
  </w:footnote>
  <w:footnote w:type="continuationSeparator" w:id="0">
    <w:p w:rsidR="00AD06E0" w:rsidRDefault="00AD06E0" w:rsidP="00FF697B">
      <w:r>
        <w:continuationSeparator/>
      </w:r>
    </w:p>
  </w:footnote>
  <w:footnote w:type="continuationNotice" w:id="1">
    <w:p w:rsidR="00AD06E0" w:rsidRDefault="00AD06E0"/>
  </w:footnote>
  <w:footnote w:id="2">
    <w:p w:rsidR="00AD06E0" w:rsidRPr="002E1289" w:rsidRDefault="00AD06E0" w:rsidP="002E1289">
      <w:pPr>
        <w:autoSpaceDE w:val="0"/>
        <w:autoSpaceDN w:val="0"/>
        <w:adjustRightInd w:val="0"/>
        <w:rPr>
          <w:sz w:val="20"/>
          <w:szCs w:val="20"/>
        </w:rPr>
      </w:pPr>
      <w:r w:rsidRPr="002E1289">
        <w:rPr>
          <w:rStyle w:val="FootnoteReference"/>
          <w:rFonts w:asciiTheme="minorHAnsi" w:hAnsiTheme="minorHAnsi"/>
          <w:sz w:val="20"/>
          <w:szCs w:val="20"/>
        </w:rPr>
        <w:footnoteRef/>
      </w:r>
      <w:r w:rsidRPr="002E1289">
        <w:rPr>
          <w:rFonts w:asciiTheme="minorHAnsi" w:hAnsiTheme="minorHAnsi"/>
          <w:sz w:val="20"/>
          <w:szCs w:val="20"/>
        </w:rPr>
        <w:t xml:space="preserve"> </w:t>
      </w:r>
      <w:r>
        <w:rPr>
          <w:rFonts w:asciiTheme="minorHAnsi" w:hAnsiTheme="minorHAnsi"/>
          <w:sz w:val="20"/>
          <w:szCs w:val="20"/>
        </w:rPr>
        <w:t xml:space="preserve">See </w:t>
      </w:r>
      <w:hyperlink r:id="rId1" w:history="1">
        <w:r w:rsidRPr="00A04DEF">
          <w:rPr>
            <w:rStyle w:val="Hyperlink"/>
            <w:rFonts w:asciiTheme="minorHAnsi" w:hAnsiTheme="minorHAnsi"/>
            <w:sz w:val="20"/>
            <w:szCs w:val="20"/>
          </w:rPr>
          <w:t>www.ramsar.org/sites/default/files/documents/library/ramsar_rules_of_procedure_e.pdf</w:t>
        </w:r>
      </w:hyperlink>
      <w:r>
        <w:rPr>
          <w:rFonts w:asciiTheme="minorHAnsi" w:hAnsiTheme="minorHAnsi"/>
          <w:sz w:val="20"/>
          <w:szCs w:val="20"/>
        </w:rPr>
        <w:t xml:space="preserve">. </w:t>
      </w:r>
      <w:r w:rsidRPr="002E1289">
        <w:rPr>
          <w:rFonts w:asciiTheme="minorHAnsi" w:eastAsiaTheme="minorHAnsi" w:hAnsiTheme="minorHAnsi" w:cstheme="minorHAnsi"/>
          <w:b/>
          <w:bCs/>
          <w:sz w:val="20"/>
          <w:szCs w:val="20"/>
          <w:lang w:eastAsia="en-US"/>
        </w:rPr>
        <w:t>Rule 14 Secretariat’s report on administrative and financi</w:t>
      </w:r>
      <w:r>
        <w:rPr>
          <w:rFonts w:asciiTheme="minorHAnsi" w:eastAsiaTheme="minorHAnsi" w:hAnsiTheme="minorHAnsi" w:cstheme="minorHAnsi"/>
          <w:b/>
          <w:bCs/>
          <w:sz w:val="20"/>
          <w:szCs w:val="20"/>
          <w:lang w:eastAsia="en-US"/>
        </w:rPr>
        <w:t xml:space="preserve">al implications of agenda items: </w:t>
      </w:r>
      <w:r w:rsidRPr="002E1289">
        <w:rPr>
          <w:rFonts w:asciiTheme="minorHAnsi" w:eastAsiaTheme="minorHAnsi" w:hAnsiTheme="minorHAnsi" w:cstheme="minorHAnsi"/>
          <w:sz w:val="20"/>
          <w:szCs w:val="20"/>
          <w:lang w:eastAsia="en-US"/>
        </w:rPr>
        <w:t xml:space="preserve">The Secretariat shall report, within 24 hours of the opening of the meeting of the Conference of the Parties, on the projected administrative and financial implications of all substantive agenda items submitted to the meeting and before decisions on these items are taken by the Conference of the Parties.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4334E"/>
    <w:multiLevelType w:val="hybridMultilevel"/>
    <w:tmpl w:val="D538509C"/>
    <w:lvl w:ilvl="0" w:tplc="38129D9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17778D0"/>
    <w:multiLevelType w:val="hybridMultilevel"/>
    <w:tmpl w:val="E0EC3DA8"/>
    <w:lvl w:ilvl="0" w:tplc="7AF2F74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34D3431"/>
    <w:multiLevelType w:val="hybridMultilevel"/>
    <w:tmpl w:val="33CC91C6"/>
    <w:lvl w:ilvl="0" w:tplc="38129D90">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9A484B"/>
    <w:multiLevelType w:val="hybridMultilevel"/>
    <w:tmpl w:val="36C8E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5101C"/>
    <w:multiLevelType w:val="hybridMultilevel"/>
    <w:tmpl w:val="5E9C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3049A6"/>
    <w:multiLevelType w:val="hybridMultilevel"/>
    <w:tmpl w:val="642E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FE174C"/>
    <w:multiLevelType w:val="hybridMultilevel"/>
    <w:tmpl w:val="C58AF338"/>
    <w:lvl w:ilvl="0" w:tplc="7AF2F7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0"/>
  </w:num>
  <w:num w:numId="5">
    <w:abstractNumId w:val="5"/>
  </w:num>
  <w:num w:numId="6">
    <w:abstractNumId w:val="3"/>
  </w:num>
  <w:num w:numId="7">
    <w:abstractNumId w:val="14"/>
  </w:num>
  <w:num w:numId="8">
    <w:abstractNumId w:val="2"/>
  </w:num>
  <w:num w:numId="9">
    <w:abstractNumId w:val="7"/>
  </w:num>
  <w:num w:numId="10">
    <w:abstractNumId w:val="18"/>
  </w:num>
  <w:num w:numId="11">
    <w:abstractNumId w:val="9"/>
  </w:num>
  <w:num w:numId="12">
    <w:abstractNumId w:val="15"/>
  </w:num>
  <w:num w:numId="13">
    <w:abstractNumId w:val="12"/>
  </w:num>
  <w:num w:numId="14">
    <w:abstractNumId w:val="4"/>
  </w:num>
  <w:num w:numId="15">
    <w:abstractNumId w:val="20"/>
  </w:num>
  <w:num w:numId="16">
    <w:abstractNumId w:val="21"/>
  </w:num>
  <w:num w:numId="17">
    <w:abstractNumId w:val="6"/>
  </w:num>
  <w:num w:numId="18">
    <w:abstractNumId w:val="22"/>
  </w:num>
  <w:num w:numId="19">
    <w:abstractNumId w:val="1"/>
  </w:num>
  <w:num w:numId="20">
    <w:abstractNumId w:val="19"/>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17B3"/>
    <w:rsid w:val="00003727"/>
    <w:rsid w:val="00015F2A"/>
    <w:rsid w:val="00025A82"/>
    <w:rsid w:val="00032C51"/>
    <w:rsid w:val="00033522"/>
    <w:rsid w:val="000359C6"/>
    <w:rsid w:val="00041AFD"/>
    <w:rsid w:val="00046B7D"/>
    <w:rsid w:val="000506A6"/>
    <w:rsid w:val="00051CDC"/>
    <w:rsid w:val="0005674C"/>
    <w:rsid w:val="00057770"/>
    <w:rsid w:val="000728A7"/>
    <w:rsid w:val="00073E0C"/>
    <w:rsid w:val="0007671F"/>
    <w:rsid w:val="00080B42"/>
    <w:rsid w:val="000815CF"/>
    <w:rsid w:val="00081961"/>
    <w:rsid w:val="00092540"/>
    <w:rsid w:val="000A5223"/>
    <w:rsid w:val="000A6728"/>
    <w:rsid w:val="000B4FCC"/>
    <w:rsid w:val="000C7803"/>
    <w:rsid w:val="000E0DD8"/>
    <w:rsid w:val="000E19EC"/>
    <w:rsid w:val="000F1D6E"/>
    <w:rsid w:val="000F555E"/>
    <w:rsid w:val="001006BE"/>
    <w:rsid w:val="00100888"/>
    <w:rsid w:val="00104BBE"/>
    <w:rsid w:val="0010584A"/>
    <w:rsid w:val="0011563D"/>
    <w:rsid w:val="00117941"/>
    <w:rsid w:val="001233DE"/>
    <w:rsid w:val="00125BC4"/>
    <w:rsid w:val="00133E5A"/>
    <w:rsid w:val="001348B6"/>
    <w:rsid w:val="0013737A"/>
    <w:rsid w:val="00146F43"/>
    <w:rsid w:val="0016172E"/>
    <w:rsid w:val="00172DDC"/>
    <w:rsid w:val="0017359A"/>
    <w:rsid w:val="00174630"/>
    <w:rsid w:val="00183A30"/>
    <w:rsid w:val="001A0160"/>
    <w:rsid w:val="001B72FB"/>
    <w:rsid w:val="001C3EA2"/>
    <w:rsid w:val="001C64CD"/>
    <w:rsid w:val="001D0F43"/>
    <w:rsid w:val="001D265C"/>
    <w:rsid w:val="001D4A5C"/>
    <w:rsid w:val="001F1FBB"/>
    <w:rsid w:val="002046D5"/>
    <w:rsid w:val="002426E4"/>
    <w:rsid w:val="002447E7"/>
    <w:rsid w:val="002514F1"/>
    <w:rsid w:val="002646FA"/>
    <w:rsid w:val="002660B1"/>
    <w:rsid w:val="002714E9"/>
    <w:rsid w:val="002934B0"/>
    <w:rsid w:val="002953F3"/>
    <w:rsid w:val="002B42B8"/>
    <w:rsid w:val="002C0479"/>
    <w:rsid w:val="002C0555"/>
    <w:rsid w:val="002D6856"/>
    <w:rsid w:val="002E1289"/>
    <w:rsid w:val="002E64DF"/>
    <w:rsid w:val="002F0FC9"/>
    <w:rsid w:val="002F58A7"/>
    <w:rsid w:val="003125B0"/>
    <w:rsid w:val="00326F22"/>
    <w:rsid w:val="00331C37"/>
    <w:rsid w:val="003320A7"/>
    <w:rsid w:val="00337C92"/>
    <w:rsid w:val="0035558F"/>
    <w:rsid w:val="00382E89"/>
    <w:rsid w:val="003915FB"/>
    <w:rsid w:val="00391C56"/>
    <w:rsid w:val="00392E1D"/>
    <w:rsid w:val="003B050A"/>
    <w:rsid w:val="003B253B"/>
    <w:rsid w:val="003B5014"/>
    <w:rsid w:val="003C128F"/>
    <w:rsid w:val="003C20FF"/>
    <w:rsid w:val="003C6A54"/>
    <w:rsid w:val="003C7DE1"/>
    <w:rsid w:val="003D1A52"/>
    <w:rsid w:val="003E0E4E"/>
    <w:rsid w:val="003E11F9"/>
    <w:rsid w:val="003F2E97"/>
    <w:rsid w:val="003F7B34"/>
    <w:rsid w:val="00400BE4"/>
    <w:rsid w:val="00434554"/>
    <w:rsid w:val="00442350"/>
    <w:rsid w:val="00446641"/>
    <w:rsid w:val="00457E6A"/>
    <w:rsid w:val="004731DE"/>
    <w:rsid w:val="00473889"/>
    <w:rsid w:val="004825FD"/>
    <w:rsid w:val="00482DC9"/>
    <w:rsid w:val="00483B22"/>
    <w:rsid w:val="00487333"/>
    <w:rsid w:val="004A08F0"/>
    <w:rsid w:val="004B4F43"/>
    <w:rsid w:val="004C3C9F"/>
    <w:rsid w:val="004C7A23"/>
    <w:rsid w:val="004E623F"/>
    <w:rsid w:val="004F5DCB"/>
    <w:rsid w:val="004F5DCD"/>
    <w:rsid w:val="004F6FD2"/>
    <w:rsid w:val="00504F5D"/>
    <w:rsid w:val="005153CF"/>
    <w:rsid w:val="005158E3"/>
    <w:rsid w:val="00526E84"/>
    <w:rsid w:val="00533213"/>
    <w:rsid w:val="005502D2"/>
    <w:rsid w:val="005518CD"/>
    <w:rsid w:val="005630B6"/>
    <w:rsid w:val="00581EC3"/>
    <w:rsid w:val="00582948"/>
    <w:rsid w:val="00587498"/>
    <w:rsid w:val="00590622"/>
    <w:rsid w:val="00592107"/>
    <w:rsid w:val="00596A96"/>
    <w:rsid w:val="005A4493"/>
    <w:rsid w:val="005B581C"/>
    <w:rsid w:val="005B769D"/>
    <w:rsid w:val="005D1BB0"/>
    <w:rsid w:val="005D2101"/>
    <w:rsid w:val="005D5FFC"/>
    <w:rsid w:val="005D7F8A"/>
    <w:rsid w:val="005F4ABE"/>
    <w:rsid w:val="00613092"/>
    <w:rsid w:val="00631532"/>
    <w:rsid w:val="0064540F"/>
    <w:rsid w:val="00645412"/>
    <w:rsid w:val="00651E2D"/>
    <w:rsid w:val="00657000"/>
    <w:rsid w:val="0066576E"/>
    <w:rsid w:val="00667F55"/>
    <w:rsid w:val="00675CA6"/>
    <w:rsid w:val="006820B0"/>
    <w:rsid w:val="00694AC4"/>
    <w:rsid w:val="006961B7"/>
    <w:rsid w:val="006A4A76"/>
    <w:rsid w:val="006A71EC"/>
    <w:rsid w:val="006B4949"/>
    <w:rsid w:val="006B5FCE"/>
    <w:rsid w:val="006B6339"/>
    <w:rsid w:val="006D0C5F"/>
    <w:rsid w:val="006D12B3"/>
    <w:rsid w:val="0072398B"/>
    <w:rsid w:val="00760D4B"/>
    <w:rsid w:val="00771876"/>
    <w:rsid w:val="00776F3B"/>
    <w:rsid w:val="00787545"/>
    <w:rsid w:val="00793B13"/>
    <w:rsid w:val="007A16D7"/>
    <w:rsid w:val="007A5606"/>
    <w:rsid w:val="007B419C"/>
    <w:rsid w:val="007C5A10"/>
    <w:rsid w:val="007E7B4D"/>
    <w:rsid w:val="007F1E7B"/>
    <w:rsid w:val="007F38E9"/>
    <w:rsid w:val="007F4615"/>
    <w:rsid w:val="00802DF7"/>
    <w:rsid w:val="008032A2"/>
    <w:rsid w:val="00806209"/>
    <w:rsid w:val="00810F0C"/>
    <w:rsid w:val="008200FA"/>
    <w:rsid w:val="0082444A"/>
    <w:rsid w:val="00837832"/>
    <w:rsid w:val="00863FEF"/>
    <w:rsid w:val="00870DF6"/>
    <w:rsid w:val="008723F0"/>
    <w:rsid w:val="00873D23"/>
    <w:rsid w:val="008769EA"/>
    <w:rsid w:val="008776F2"/>
    <w:rsid w:val="00892E1A"/>
    <w:rsid w:val="008961E7"/>
    <w:rsid w:val="00896DF7"/>
    <w:rsid w:val="008A6402"/>
    <w:rsid w:val="008A769A"/>
    <w:rsid w:val="008B2CBB"/>
    <w:rsid w:val="008C445B"/>
    <w:rsid w:val="008D14FE"/>
    <w:rsid w:val="008E03AA"/>
    <w:rsid w:val="008E23DC"/>
    <w:rsid w:val="008E7A2A"/>
    <w:rsid w:val="009157D4"/>
    <w:rsid w:val="00920D91"/>
    <w:rsid w:val="00941D6F"/>
    <w:rsid w:val="00952C58"/>
    <w:rsid w:val="00954E10"/>
    <w:rsid w:val="00955DFF"/>
    <w:rsid w:val="009A48DD"/>
    <w:rsid w:val="009B52DA"/>
    <w:rsid w:val="009C09B1"/>
    <w:rsid w:val="009D1E33"/>
    <w:rsid w:val="009D3985"/>
    <w:rsid w:val="009D4081"/>
    <w:rsid w:val="009D4C02"/>
    <w:rsid w:val="009D7EE2"/>
    <w:rsid w:val="009E5776"/>
    <w:rsid w:val="00A02F36"/>
    <w:rsid w:val="00A07D4F"/>
    <w:rsid w:val="00A10C01"/>
    <w:rsid w:val="00A14906"/>
    <w:rsid w:val="00A158A4"/>
    <w:rsid w:val="00A16BDF"/>
    <w:rsid w:val="00A214E2"/>
    <w:rsid w:val="00A228B2"/>
    <w:rsid w:val="00A36B41"/>
    <w:rsid w:val="00A43C7D"/>
    <w:rsid w:val="00A46E45"/>
    <w:rsid w:val="00A55093"/>
    <w:rsid w:val="00A6690C"/>
    <w:rsid w:val="00A8614B"/>
    <w:rsid w:val="00AB28A1"/>
    <w:rsid w:val="00AB7590"/>
    <w:rsid w:val="00AC410C"/>
    <w:rsid w:val="00AC669A"/>
    <w:rsid w:val="00AD06E0"/>
    <w:rsid w:val="00AD39A4"/>
    <w:rsid w:val="00AE05E7"/>
    <w:rsid w:val="00AF2442"/>
    <w:rsid w:val="00AF391D"/>
    <w:rsid w:val="00AF63F3"/>
    <w:rsid w:val="00B30085"/>
    <w:rsid w:val="00B31BC1"/>
    <w:rsid w:val="00B447BA"/>
    <w:rsid w:val="00B94F41"/>
    <w:rsid w:val="00B96189"/>
    <w:rsid w:val="00BA1F7B"/>
    <w:rsid w:val="00BA2127"/>
    <w:rsid w:val="00BA4D61"/>
    <w:rsid w:val="00BA6D1A"/>
    <w:rsid w:val="00BA70B5"/>
    <w:rsid w:val="00BC245F"/>
    <w:rsid w:val="00BC621C"/>
    <w:rsid w:val="00BD0330"/>
    <w:rsid w:val="00BD5EA5"/>
    <w:rsid w:val="00BE5EAD"/>
    <w:rsid w:val="00BF3184"/>
    <w:rsid w:val="00BF521A"/>
    <w:rsid w:val="00C1530C"/>
    <w:rsid w:val="00C17766"/>
    <w:rsid w:val="00C4689B"/>
    <w:rsid w:val="00C53DB5"/>
    <w:rsid w:val="00C545EA"/>
    <w:rsid w:val="00C552A9"/>
    <w:rsid w:val="00C55392"/>
    <w:rsid w:val="00C57997"/>
    <w:rsid w:val="00C606CD"/>
    <w:rsid w:val="00C7225E"/>
    <w:rsid w:val="00C74B34"/>
    <w:rsid w:val="00C770A9"/>
    <w:rsid w:val="00C80D1A"/>
    <w:rsid w:val="00C931F7"/>
    <w:rsid w:val="00C96B54"/>
    <w:rsid w:val="00CA36DC"/>
    <w:rsid w:val="00CB792A"/>
    <w:rsid w:val="00CD26B4"/>
    <w:rsid w:val="00CE06B5"/>
    <w:rsid w:val="00D12244"/>
    <w:rsid w:val="00D21621"/>
    <w:rsid w:val="00D33954"/>
    <w:rsid w:val="00D36866"/>
    <w:rsid w:val="00D55DD9"/>
    <w:rsid w:val="00D75281"/>
    <w:rsid w:val="00D76D82"/>
    <w:rsid w:val="00D8166D"/>
    <w:rsid w:val="00D91024"/>
    <w:rsid w:val="00D94C75"/>
    <w:rsid w:val="00DA4296"/>
    <w:rsid w:val="00DC4D8F"/>
    <w:rsid w:val="00DC7754"/>
    <w:rsid w:val="00DE0D6A"/>
    <w:rsid w:val="00DE297C"/>
    <w:rsid w:val="00DF047C"/>
    <w:rsid w:val="00DF0CB9"/>
    <w:rsid w:val="00DF1E83"/>
    <w:rsid w:val="00E039B7"/>
    <w:rsid w:val="00E077BC"/>
    <w:rsid w:val="00E26DD6"/>
    <w:rsid w:val="00E441CB"/>
    <w:rsid w:val="00E45412"/>
    <w:rsid w:val="00E61EBB"/>
    <w:rsid w:val="00E656E6"/>
    <w:rsid w:val="00E7270C"/>
    <w:rsid w:val="00E8018B"/>
    <w:rsid w:val="00E86897"/>
    <w:rsid w:val="00E929EF"/>
    <w:rsid w:val="00E959F6"/>
    <w:rsid w:val="00EA3B55"/>
    <w:rsid w:val="00EA3FBC"/>
    <w:rsid w:val="00EC77AD"/>
    <w:rsid w:val="00EE0E62"/>
    <w:rsid w:val="00EF17EF"/>
    <w:rsid w:val="00EF2B14"/>
    <w:rsid w:val="00EF2E30"/>
    <w:rsid w:val="00EF4815"/>
    <w:rsid w:val="00F02BFF"/>
    <w:rsid w:val="00F05AA5"/>
    <w:rsid w:val="00F110D1"/>
    <w:rsid w:val="00F35761"/>
    <w:rsid w:val="00F427E1"/>
    <w:rsid w:val="00F507B8"/>
    <w:rsid w:val="00F66E12"/>
    <w:rsid w:val="00F6710A"/>
    <w:rsid w:val="00F73267"/>
    <w:rsid w:val="00F83863"/>
    <w:rsid w:val="00F85A79"/>
    <w:rsid w:val="00F86463"/>
    <w:rsid w:val="00FA2B25"/>
    <w:rsid w:val="00FB151C"/>
    <w:rsid w:val="00FB5873"/>
    <w:rsid w:val="00FC2FD7"/>
    <w:rsid w:val="00FC4460"/>
    <w:rsid w:val="00FD04F2"/>
    <w:rsid w:val="00FD0F57"/>
    <w:rsid w:val="00FD503E"/>
    <w:rsid w:val="00FE0FAB"/>
    <w:rsid w:val="00FE3C74"/>
    <w:rsid w:val="00FF0CE5"/>
    <w:rsid w:val="00FF15AC"/>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character" w:customStyle="1" w:styleId="MGfulltextChar">
    <w:name w:val="MG_fulltext Char"/>
    <w:basedOn w:val="DefaultParagraphFont"/>
    <w:link w:val="MGfulltext"/>
    <w:locked/>
    <w:rsid w:val="00613092"/>
    <w:rPr>
      <w:rFonts w:ascii="Arial" w:hAnsi="Arial" w:cs="Arial"/>
    </w:rPr>
  </w:style>
  <w:style w:type="paragraph" w:customStyle="1" w:styleId="MGfulltext">
    <w:name w:val="MG_fulltext"/>
    <w:basedOn w:val="Normal"/>
    <w:link w:val="MGfulltextChar"/>
    <w:rsid w:val="00613092"/>
    <w:pPr>
      <w:spacing w:after="120"/>
    </w:pPr>
    <w:rPr>
      <w:rFonts w:ascii="Arial" w:eastAsiaTheme="minorHAnsi" w:hAnsi="Arial" w:cs="Arial"/>
      <w:sz w:val="22"/>
      <w:szCs w:val="22"/>
      <w:lang w:eastAsia="en-US"/>
    </w:rPr>
  </w:style>
  <w:style w:type="paragraph" w:styleId="FootnoteText">
    <w:name w:val="footnote text"/>
    <w:basedOn w:val="Normal"/>
    <w:link w:val="FootnoteTextChar"/>
    <w:uiPriority w:val="99"/>
    <w:semiHidden/>
    <w:unhideWhenUsed/>
    <w:rsid w:val="00CB792A"/>
    <w:rPr>
      <w:sz w:val="20"/>
      <w:szCs w:val="20"/>
    </w:rPr>
  </w:style>
  <w:style w:type="character" w:customStyle="1" w:styleId="FootnoteTextChar">
    <w:name w:val="Footnote Text Char"/>
    <w:basedOn w:val="DefaultParagraphFont"/>
    <w:link w:val="FootnoteText"/>
    <w:uiPriority w:val="99"/>
    <w:semiHidden/>
    <w:rsid w:val="00CB792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B79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character" w:customStyle="1" w:styleId="MGfulltextChar">
    <w:name w:val="MG_fulltext Char"/>
    <w:basedOn w:val="DefaultParagraphFont"/>
    <w:link w:val="MGfulltext"/>
    <w:locked/>
    <w:rsid w:val="00613092"/>
    <w:rPr>
      <w:rFonts w:ascii="Arial" w:hAnsi="Arial" w:cs="Arial"/>
    </w:rPr>
  </w:style>
  <w:style w:type="paragraph" w:customStyle="1" w:styleId="MGfulltext">
    <w:name w:val="MG_fulltext"/>
    <w:basedOn w:val="Normal"/>
    <w:link w:val="MGfulltextChar"/>
    <w:rsid w:val="00613092"/>
    <w:pPr>
      <w:spacing w:after="120"/>
    </w:pPr>
    <w:rPr>
      <w:rFonts w:ascii="Arial" w:eastAsiaTheme="minorHAnsi" w:hAnsi="Arial" w:cs="Arial"/>
      <w:sz w:val="22"/>
      <w:szCs w:val="22"/>
      <w:lang w:eastAsia="en-US"/>
    </w:rPr>
  </w:style>
  <w:style w:type="paragraph" w:styleId="FootnoteText">
    <w:name w:val="footnote text"/>
    <w:basedOn w:val="Normal"/>
    <w:link w:val="FootnoteTextChar"/>
    <w:uiPriority w:val="99"/>
    <w:semiHidden/>
    <w:unhideWhenUsed/>
    <w:rsid w:val="00CB792A"/>
    <w:rPr>
      <w:sz w:val="20"/>
      <w:szCs w:val="20"/>
    </w:rPr>
  </w:style>
  <w:style w:type="character" w:customStyle="1" w:styleId="FootnoteTextChar">
    <w:name w:val="Footnote Text Char"/>
    <w:basedOn w:val="DefaultParagraphFont"/>
    <w:link w:val="FootnoteText"/>
    <w:uiPriority w:val="99"/>
    <w:semiHidden/>
    <w:rsid w:val="00CB792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B7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6184">
      <w:bodyDiv w:val="1"/>
      <w:marLeft w:val="0"/>
      <w:marRight w:val="0"/>
      <w:marTop w:val="0"/>
      <w:marBottom w:val="0"/>
      <w:divBdr>
        <w:top w:val="none" w:sz="0" w:space="0" w:color="auto"/>
        <w:left w:val="none" w:sz="0" w:space="0" w:color="auto"/>
        <w:bottom w:val="none" w:sz="0" w:space="0" w:color="auto"/>
        <w:right w:val="none" w:sz="0" w:space="0" w:color="auto"/>
      </w:divBdr>
    </w:div>
    <w:div w:id="925309815">
      <w:bodyDiv w:val="1"/>
      <w:marLeft w:val="0"/>
      <w:marRight w:val="0"/>
      <w:marTop w:val="0"/>
      <w:marBottom w:val="0"/>
      <w:divBdr>
        <w:top w:val="none" w:sz="0" w:space="0" w:color="auto"/>
        <w:left w:val="none" w:sz="0" w:space="0" w:color="auto"/>
        <w:bottom w:val="none" w:sz="0" w:space="0" w:color="auto"/>
        <w:right w:val="none" w:sz="0" w:space="0" w:color="auto"/>
      </w:divBdr>
    </w:div>
    <w:div w:id="1919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amsar.org/sites/default/files/documents/library/ramsar_rules_of_procedure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FA4B-39D4-4911-A4EC-EC1454CC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3916</Words>
  <Characters>21384</Characters>
  <Application>Microsoft Office Word</Application>
  <DocSecurity>0</DocSecurity>
  <Lines>1018</Lines>
  <Paragraphs>316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2015-08-04T15:36:00Z</cp:lastPrinted>
  <dcterms:created xsi:type="dcterms:W3CDTF">2015-08-31T07:27:00Z</dcterms:created>
  <dcterms:modified xsi:type="dcterms:W3CDTF">2015-08-31T07:27:00Z</dcterms:modified>
</cp:coreProperties>
</file>