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B3" w:rsidRPr="000605C4" w:rsidRDefault="001F558F"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bookmarkStart w:id="0" w:name="OLE_LINK1"/>
      <w:r w:rsidRPr="000605C4">
        <w:rPr>
          <w:rFonts w:eastAsia="Times New Roman"/>
          <w:bCs/>
          <w:sz w:val="24"/>
          <w:szCs w:val="20"/>
          <w:lang w:val="fr-FR"/>
        </w:rPr>
        <w:t xml:space="preserve">CONVENTION </w:t>
      </w:r>
      <w:r w:rsidR="00CB551F" w:rsidRPr="000605C4">
        <w:rPr>
          <w:rFonts w:eastAsia="Times New Roman"/>
          <w:bCs/>
          <w:sz w:val="24"/>
          <w:szCs w:val="20"/>
          <w:lang w:val="fr-FR"/>
        </w:rPr>
        <w:t>SUR LES ZONES HUMIDES</w:t>
      </w:r>
      <w:r w:rsidRPr="000605C4">
        <w:rPr>
          <w:rFonts w:eastAsia="Times New Roman"/>
          <w:bCs/>
          <w:sz w:val="24"/>
          <w:szCs w:val="20"/>
          <w:lang w:val="fr-FR"/>
        </w:rPr>
        <w:t xml:space="preserve"> (Ramsar, Iran, 1971)</w:t>
      </w:r>
    </w:p>
    <w:p w:rsidR="00066FB3" w:rsidRPr="000605C4" w:rsidRDefault="00245F61"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0605C4">
        <w:rPr>
          <w:rFonts w:eastAsia="Times New Roman"/>
          <w:bCs/>
          <w:sz w:val="24"/>
          <w:szCs w:val="20"/>
          <w:lang w:val="fr-FR"/>
        </w:rPr>
        <w:t>51</w:t>
      </w:r>
      <w:r w:rsidR="00CB551F" w:rsidRPr="000605C4">
        <w:rPr>
          <w:rFonts w:eastAsia="Times New Roman"/>
          <w:bCs/>
          <w:sz w:val="24"/>
          <w:szCs w:val="20"/>
          <w:vertAlign w:val="superscript"/>
          <w:lang w:val="fr-FR"/>
        </w:rPr>
        <w:t>e</w:t>
      </w:r>
      <w:r w:rsidR="001F558F" w:rsidRPr="000605C4">
        <w:rPr>
          <w:rFonts w:eastAsia="Times New Roman"/>
          <w:bCs/>
          <w:sz w:val="24"/>
          <w:szCs w:val="20"/>
          <w:lang w:val="fr-FR"/>
        </w:rPr>
        <w:t xml:space="preserve"> </w:t>
      </w:r>
      <w:r w:rsidR="001C3B64" w:rsidRPr="000605C4">
        <w:rPr>
          <w:rFonts w:eastAsia="Times New Roman"/>
          <w:bCs/>
          <w:sz w:val="24"/>
          <w:szCs w:val="20"/>
          <w:lang w:val="fr-FR"/>
        </w:rPr>
        <w:t>Réunion</w:t>
      </w:r>
      <w:r w:rsidR="00CB551F" w:rsidRPr="000605C4">
        <w:rPr>
          <w:rFonts w:eastAsia="Times New Roman"/>
          <w:bCs/>
          <w:sz w:val="24"/>
          <w:szCs w:val="20"/>
          <w:lang w:val="fr-FR"/>
        </w:rPr>
        <w:t xml:space="preserve"> du Comité permanent</w:t>
      </w:r>
    </w:p>
    <w:p w:rsidR="00066FB3" w:rsidRPr="000605C4" w:rsidRDefault="00F60C42"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0605C4">
        <w:rPr>
          <w:rFonts w:eastAsia="Times New Roman"/>
          <w:bCs/>
          <w:sz w:val="24"/>
          <w:szCs w:val="20"/>
          <w:lang w:val="fr-FR"/>
        </w:rPr>
        <w:t xml:space="preserve">Gland, Suisse, </w:t>
      </w:r>
      <w:r w:rsidR="00245F61" w:rsidRPr="000605C4">
        <w:rPr>
          <w:rFonts w:eastAsia="Times New Roman"/>
          <w:bCs/>
          <w:sz w:val="24"/>
          <w:szCs w:val="20"/>
          <w:lang w:val="fr-FR"/>
        </w:rPr>
        <w:t>23</w:t>
      </w:r>
      <w:r w:rsidRPr="000605C4">
        <w:rPr>
          <w:rFonts w:eastAsia="Times New Roman"/>
          <w:bCs/>
          <w:sz w:val="24"/>
          <w:szCs w:val="20"/>
          <w:lang w:val="fr-FR"/>
        </w:rPr>
        <w:t xml:space="preserve"> au </w:t>
      </w:r>
      <w:r w:rsidR="00245F61" w:rsidRPr="000605C4">
        <w:rPr>
          <w:rFonts w:eastAsia="Times New Roman"/>
          <w:bCs/>
          <w:sz w:val="24"/>
          <w:szCs w:val="20"/>
          <w:lang w:val="fr-FR"/>
        </w:rPr>
        <w:t>27</w:t>
      </w:r>
      <w:r w:rsidRPr="000605C4">
        <w:rPr>
          <w:rFonts w:eastAsia="Times New Roman"/>
          <w:bCs/>
          <w:sz w:val="24"/>
          <w:szCs w:val="20"/>
          <w:lang w:val="fr-FR"/>
        </w:rPr>
        <w:t xml:space="preserve"> </w:t>
      </w:r>
      <w:r w:rsidR="00245F61" w:rsidRPr="000605C4">
        <w:rPr>
          <w:rFonts w:eastAsia="Times New Roman"/>
          <w:bCs/>
          <w:sz w:val="24"/>
          <w:szCs w:val="20"/>
          <w:lang w:val="fr-FR"/>
        </w:rPr>
        <w:t>novembre</w:t>
      </w:r>
      <w:r w:rsidRPr="000605C4">
        <w:rPr>
          <w:rFonts w:eastAsia="Times New Roman"/>
          <w:bCs/>
          <w:sz w:val="24"/>
          <w:szCs w:val="20"/>
          <w:lang w:val="fr-FR"/>
        </w:rPr>
        <w:t xml:space="preserve"> 201</w:t>
      </w:r>
      <w:r w:rsidR="00783D06" w:rsidRPr="000605C4">
        <w:rPr>
          <w:rFonts w:eastAsia="Times New Roman"/>
          <w:bCs/>
          <w:sz w:val="24"/>
          <w:szCs w:val="20"/>
          <w:lang w:val="fr-FR"/>
        </w:rPr>
        <w:t>5</w:t>
      </w:r>
    </w:p>
    <w:p w:rsidR="00066FB3" w:rsidRPr="000605C4" w:rsidRDefault="00066FB3" w:rsidP="00066FB3">
      <w:pPr>
        <w:keepNext/>
        <w:jc w:val="right"/>
        <w:outlineLvl w:val="0"/>
        <w:rPr>
          <w:rFonts w:eastAsia="Times New Roman"/>
          <w:b/>
          <w:sz w:val="32"/>
          <w:szCs w:val="20"/>
          <w:lang w:val="fr-FR"/>
        </w:rPr>
      </w:pPr>
    </w:p>
    <w:p w:rsidR="00066FB3" w:rsidRPr="00DB6212" w:rsidRDefault="001F558F" w:rsidP="00066FB3">
      <w:pPr>
        <w:keepNext/>
        <w:jc w:val="right"/>
        <w:outlineLvl w:val="0"/>
        <w:rPr>
          <w:rFonts w:eastAsia="Times New Roman"/>
          <w:b/>
          <w:sz w:val="28"/>
          <w:szCs w:val="28"/>
          <w:lang w:val="fr-FR"/>
        </w:rPr>
      </w:pPr>
      <w:r w:rsidRPr="00DB6212">
        <w:rPr>
          <w:rFonts w:eastAsia="Times New Roman"/>
          <w:b/>
          <w:sz w:val="28"/>
          <w:szCs w:val="28"/>
          <w:lang w:val="fr-FR"/>
        </w:rPr>
        <w:t>SC</w:t>
      </w:r>
      <w:r w:rsidR="00245F61" w:rsidRPr="00DB6212">
        <w:rPr>
          <w:rFonts w:eastAsia="Times New Roman"/>
          <w:b/>
          <w:sz w:val="28"/>
          <w:szCs w:val="28"/>
          <w:lang w:val="fr-FR"/>
        </w:rPr>
        <w:t>51</w:t>
      </w:r>
      <w:r w:rsidRPr="00DB6212">
        <w:rPr>
          <w:rFonts w:eastAsia="Times New Roman"/>
          <w:b/>
          <w:sz w:val="28"/>
          <w:szCs w:val="28"/>
          <w:lang w:val="fr-FR"/>
        </w:rPr>
        <w:t>-01</w:t>
      </w:r>
      <w:bookmarkEnd w:id="0"/>
      <w:r w:rsidR="001874DE" w:rsidRPr="00DB6212">
        <w:rPr>
          <w:rFonts w:eastAsia="Times New Roman"/>
          <w:b/>
          <w:sz w:val="28"/>
          <w:szCs w:val="28"/>
          <w:lang w:val="fr-FR"/>
        </w:rPr>
        <w:t xml:space="preserve"> Rev.</w:t>
      </w:r>
      <w:r w:rsidR="006947E0" w:rsidRPr="00DB6212">
        <w:rPr>
          <w:rFonts w:eastAsia="Times New Roman"/>
          <w:b/>
          <w:sz w:val="28"/>
          <w:szCs w:val="28"/>
          <w:lang w:val="fr-FR"/>
        </w:rPr>
        <w:t>7</w:t>
      </w:r>
    </w:p>
    <w:p w:rsidR="00066FB3" w:rsidRPr="00DB6212" w:rsidRDefault="00066FB3" w:rsidP="00066FB3">
      <w:pPr>
        <w:keepNext/>
        <w:jc w:val="right"/>
        <w:outlineLvl w:val="0"/>
        <w:rPr>
          <w:rFonts w:eastAsia="Times New Roman"/>
          <w:b/>
          <w:sz w:val="28"/>
          <w:szCs w:val="28"/>
          <w:lang w:val="fr-FR"/>
        </w:rPr>
      </w:pPr>
    </w:p>
    <w:p w:rsidR="00066FB3" w:rsidRPr="00DB6212" w:rsidRDefault="00245F61" w:rsidP="00D76939">
      <w:pPr>
        <w:ind w:right="-46"/>
        <w:jc w:val="center"/>
        <w:rPr>
          <w:rFonts w:eastAsia="Times New Roman"/>
          <w:b/>
          <w:sz w:val="28"/>
          <w:szCs w:val="28"/>
          <w:lang w:val="fr-FR"/>
        </w:rPr>
      </w:pPr>
      <w:r w:rsidRPr="00DB6212">
        <w:rPr>
          <w:rFonts w:eastAsia="Times New Roman"/>
          <w:b/>
          <w:bCs/>
          <w:sz w:val="28"/>
          <w:szCs w:val="28"/>
          <w:lang w:val="fr-FR"/>
        </w:rPr>
        <w:t>51</w:t>
      </w:r>
      <w:r w:rsidR="00CB551F" w:rsidRPr="00DB6212">
        <w:rPr>
          <w:rFonts w:eastAsia="Times New Roman"/>
          <w:b/>
          <w:bCs/>
          <w:sz w:val="28"/>
          <w:szCs w:val="28"/>
          <w:vertAlign w:val="superscript"/>
          <w:lang w:val="fr-FR"/>
        </w:rPr>
        <w:t>e</w:t>
      </w:r>
      <w:r w:rsidR="00066FB3" w:rsidRPr="00DB6212">
        <w:rPr>
          <w:rFonts w:eastAsia="Times New Roman"/>
          <w:b/>
          <w:bCs/>
          <w:sz w:val="28"/>
          <w:szCs w:val="28"/>
          <w:lang w:val="fr-FR"/>
        </w:rPr>
        <w:t xml:space="preserve"> </w:t>
      </w:r>
      <w:r w:rsidR="001C3B64" w:rsidRPr="00DB6212">
        <w:rPr>
          <w:rFonts w:eastAsia="Times New Roman"/>
          <w:b/>
          <w:bCs/>
          <w:sz w:val="28"/>
          <w:szCs w:val="28"/>
          <w:lang w:val="fr-FR"/>
        </w:rPr>
        <w:t>Réunion</w:t>
      </w:r>
      <w:r w:rsidR="00CB551F" w:rsidRPr="00DB6212">
        <w:rPr>
          <w:rFonts w:eastAsia="Times New Roman"/>
          <w:b/>
          <w:bCs/>
          <w:sz w:val="28"/>
          <w:szCs w:val="28"/>
          <w:lang w:val="fr-FR"/>
        </w:rPr>
        <w:t xml:space="preserve"> du Comité permanent</w:t>
      </w:r>
    </w:p>
    <w:p w:rsidR="00066FB3" w:rsidRPr="000605C4" w:rsidRDefault="006947E0" w:rsidP="00066FB3">
      <w:pPr>
        <w:jc w:val="center"/>
        <w:rPr>
          <w:color w:val="000000"/>
          <w:sz w:val="32"/>
          <w:szCs w:val="32"/>
          <w:lang w:val="fr-FR"/>
        </w:rPr>
      </w:pPr>
      <w:r w:rsidRPr="00DB6212">
        <w:rPr>
          <w:b/>
          <w:bCs/>
          <w:color w:val="000000"/>
          <w:sz w:val="28"/>
          <w:szCs w:val="28"/>
          <w:lang w:val="fr-FR"/>
        </w:rPr>
        <w:t>O</w:t>
      </w:r>
      <w:r w:rsidR="00A74E30" w:rsidRPr="00DB6212">
        <w:rPr>
          <w:b/>
          <w:bCs/>
          <w:color w:val="000000"/>
          <w:sz w:val="28"/>
          <w:szCs w:val="28"/>
          <w:lang w:val="fr-FR"/>
        </w:rPr>
        <w:t>rdre</w:t>
      </w:r>
      <w:r w:rsidR="001C3B64" w:rsidRPr="00DB6212">
        <w:rPr>
          <w:b/>
          <w:bCs/>
          <w:color w:val="000000"/>
          <w:sz w:val="28"/>
          <w:szCs w:val="28"/>
          <w:lang w:val="fr-FR"/>
        </w:rPr>
        <w:t xml:space="preserve"> du </w:t>
      </w:r>
      <w:r w:rsidR="00CB551F" w:rsidRPr="00DB6212">
        <w:rPr>
          <w:b/>
          <w:bCs/>
          <w:color w:val="000000"/>
          <w:sz w:val="28"/>
          <w:szCs w:val="28"/>
          <w:lang w:val="fr-FR"/>
        </w:rPr>
        <w:t>jou</w:t>
      </w:r>
      <w:r w:rsidR="001C3B64" w:rsidRPr="00DB6212">
        <w:rPr>
          <w:b/>
          <w:bCs/>
          <w:color w:val="000000"/>
          <w:sz w:val="28"/>
          <w:szCs w:val="28"/>
          <w:lang w:val="fr-FR"/>
        </w:rPr>
        <w:t>r</w:t>
      </w:r>
      <w:r w:rsidR="00A74E30" w:rsidRPr="00DB6212">
        <w:rPr>
          <w:b/>
          <w:bCs/>
          <w:color w:val="000000"/>
          <w:sz w:val="28"/>
          <w:szCs w:val="28"/>
          <w:lang w:val="fr-FR"/>
        </w:rPr>
        <w:t xml:space="preserve"> </w:t>
      </w:r>
      <w:r w:rsidRPr="00DB6212">
        <w:rPr>
          <w:b/>
          <w:bCs/>
          <w:color w:val="000000"/>
          <w:sz w:val="28"/>
          <w:szCs w:val="28"/>
          <w:lang w:val="fr-FR"/>
        </w:rPr>
        <w:t xml:space="preserve">final </w:t>
      </w:r>
      <w:r w:rsidR="008F1E6D" w:rsidRPr="00DB6212">
        <w:rPr>
          <w:b/>
          <w:bCs/>
          <w:color w:val="000000"/>
          <w:sz w:val="28"/>
          <w:szCs w:val="28"/>
          <w:lang w:val="fr-FR"/>
        </w:rPr>
        <w:t>et programme</w:t>
      </w:r>
      <w:r w:rsidR="001C3B64" w:rsidRPr="000605C4">
        <w:rPr>
          <w:b/>
          <w:bCs/>
          <w:color w:val="000000"/>
          <w:sz w:val="32"/>
          <w:szCs w:val="32"/>
          <w:lang w:val="fr-FR"/>
        </w:rPr>
        <w:t xml:space="preserve"> </w:t>
      </w:r>
    </w:p>
    <w:p w:rsidR="00066FB3" w:rsidRPr="000605C4" w:rsidRDefault="00066FB3" w:rsidP="00066FB3">
      <w:pPr>
        <w:jc w:val="center"/>
        <w:rPr>
          <w:color w:val="000000"/>
          <w:sz w:val="32"/>
          <w:szCs w:val="32"/>
          <w:lang w:val="fr-FR"/>
        </w:rPr>
      </w:pPr>
    </w:p>
    <w:p w:rsidR="00066FB3" w:rsidRPr="000605C4" w:rsidRDefault="00F9360C" w:rsidP="00F9360C">
      <w:pPr>
        <w:rPr>
          <w:b/>
          <w:color w:val="000000"/>
          <w:lang w:val="fr-FR"/>
        </w:rPr>
      </w:pPr>
      <w:bookmarkStart w:id="1" w:name="OLE_LINK3"/>
      <w:bookmarkStart w:id="2" w:name="OLE_LINK2"/>
      <w:bookmarkEnd w:id="1"/>
      <w:bookmarkEnd w:id="2"/>
      <w:r w:rsidRPr="000605C4">
        <w:rPr>
          <w:b/>
          <w:color w:val="000000"/>
          <w:lang w:val="fr-FR"/>
        </w:rPr>
        <w:t xml:space="preserve">Lundi </w:t>
      </w:r>
      <w:r w:rsidR="00245F61" w:rsidRPr="000605C4">
        <w:rPr>
          <w:b/>
          <w:color w:val="000000"/>
          <w:lang w:val="fr-FR"/>
        </w:rPr>
        <w:t>23 novembre</w:t>
      </w:r>
      <w:r w:rsidR="00757912" w:rsidRPr="000605C4">
        <w:rPr>
          <w:b/>
          <w:color w:val="000000"/>
          <w:lang w:val="fr-FR"/>
        </w:rPr>
        <w:t xml:space="preserve"> 201</w:t>
      </w:r>
      <w:r w:rsidR="00783D06" w:rsidRPr="000605C4">
        <w:rPr>
          <w:b/>
          <w:color w:val="000000"/>
          <w:lang w:val="fr-FR"/>
        </w:rPr>
        <w:t>5</w:t>
      </w:r>
    </w:p>
    <w:p w:rsidR="00245F61" w:rsidRPr="000605C4" w:rsidRDefault="00245F61" w:rsidP="00F9360C">
      <w:pPr>
        <w:rPr>
          <w:b/>
          <w:color w:val="000000"/>
          <w:lang w:val="fr-FR"/>
        </w:rPr>
      </w:pPr>
    </w:p>
    <w:p w:rsidR="00245F61" w:rsidRPr="000605C4" w:rsidRDefault="00245F61" w:rsidP="00245F61">
      <w:pPr>
        <w:ind w:left="1276" w:right="-20" w:hanging="1276"/>
        <w:rPr>
          <w:rFonts w:eastAsia="Garamond" w:cs="Garamond"/>
          <w:lang w:val="fr-FR"/>
        </w:rPr>
      </w:pPr>
      <w:r w:rsidRPr="000605C4">
        <w:rPr>
          <w:rFonts w:eastAsia="Garamond" w:cs="Garamond"/>
          <w:b/>
          <w:bCs/>
          <w:lang w:val="fr-FR"/>
        </w:rPr>
        <w:t>09:00-</w:t>
      </w:r>
      <w:r w:rsidR="006947E0" w:rsidRPr="000605C4">
        <w:rPr>
          <w:rFonts w:eastAsia="Garamond" w:cs="Garamond"/>
          <w:b/>
          <w:bCs/>
          <w:lang w:val="fr-FR"/>
        </w:rPr>
        <w:t>1</w:t>
      </w:r>
      <w:r w:rsidR="006947E0">
        <w:rPr>
          <w:rFonts w:eastAsia="Garamond" w:cs="Garamond"/>
          <w:b/>
          <w:bCs/>
          <w:lang w:val="fr-FR"/>
        </w:rPr>
        <w:t>9</w:t>
      </w:r>
      <w:r w:rsidRPr="000605C4">
        <w:rPr>
          <w:rFonts w:eastAsia="Garamond" w:cs="Garamond"/>
          <w:b/>
          <w:bCs/>
          <w:lang w:val="fr-FR"/>
        </w:rPr>
        <w:t>:00</w:t>
      </w:r>
      <w:r w:rsidRPr="000605C4">
        <w:rPr>
          <w:rFonts w:eastAsia="Garamond" w:cs="Garamond"/>
          <w:b/>
          <w:bCs/>
          <w:lang w:val="fr-FR"/>
        </w:rPr>
        <w:tab/>
      </w:r>
      <w:r w:rsidR="004D4558" w:rsidRPr="000605C4">
        <w:rPr>
          <w:rFonts w:eastAsia="Garamond" w:cs="Garamond"/>
          <w:b/>
          <w:bCs/>
          <w:lang w:val="fr-FR"/>
        </w:rPr>
        <w:t>Séance à huis clos du Comité de t</w:t>
      </w:r>
      <w:r w:rsidRPr="000605C4">
        <w:rPr>
          <w:rFonts w:eastAsia="Garamond" w:cs="Garamond"/>
          <w:b/>
          <w:bCs/>
          <w:lang w:val="fr-FR"/>
        </w:rPr>
        <w:t>ransition</w:t>
      </w:r>
      <w:r w:rsidR="004362DD" w:rsidRPr="000605C4">
        <w:rPr>
          <w:rFonts w:eastAsia="Garamond" w:cs="Garamond"/>
          <w:b/>
          <w:bCs/>
          <w:lang w:val="fr-FR"/>
        </w:rPr>
        <w:t xml:space="preserve"> </w:t>
      </w:r>
      <w:r w:rsidR="004D4558" w:rsidRPr="000605C4">
        <w:rPr>
          <w:rFonts w:eastAsia="Garamond" w:cs="Garamond"/>
          <w:b/>
          <w:bCs/>
          <w:lang w:val="fr-FR"/>
        </w:rPr>
        <w:t>du Groupe de travail sur la gestion</w:t>
      </w:r>
      <w:r w:rsidRPr="000605C4">
        <w:rPr>
          <w:rFonts w:eastAsia="Garamond" w:cs="Garamond"/>
          <w:b/>
          <w:bCs/>
          <w:lang w:val="fr-FR"/>
        </w:rPr>
        <w:t xml:space="preserve"> </w:t>
      </w:r>
    </w:p>
    <w:p w:rsidR="00245F61" w:rsidRPr="000605C4" w:rsidRDefault="00245F61" w:rsidP="00245F61">
      <w:pPr>
        <w:rPr>
          <w:lang w:val="fr-FR"/>
        </w:rPr>
      </w:pPr>
    </w:p>
    <w:p w:rsidR="00245F61" w:rsidRPr="000605C4" w:rsidRDefault="00245F61" w:rsidP="00245F61">
      <w:pPr>
        <w:rPr>
          <w:b/>
          <w:lang w:val="fr-FR"/>
        </w:rPr>
      </w:pPr>
      <w:r w:rsidRPr="000605C4">
        <w:rPr>
          <w:b/>
          <w:lang w:val="fr-FR"/>
        </w:rPr>
        <w:t>Mardi 24 novembre 2015</w:t>
      </w:r>
    </w:p>
    <w:p w:rsidR="00F9360C" w:rsidRPr="000605C4" w:rsidRDefault="00F9360C" w:rsidP="00F9360C">
      <w:pPr>
        <w:rPr>
          <w:color w:val="000000"/>
          <w:lang w:val="fr-FR"/>
        </w:rPr>
      </w:pPr>
    </w:p>
    <w:p w:rsidR="00F004B2" w:rsidRPr="000605C4" w:rsidRDefault="00F004B2" w:rsidP="00F004B2">
      <w:pPr>
        <w:tabs>
          <w:tab w:val="left" w:pos="1710"/>
        </w:tabs>
        <w:rPr>
          <w:b/>
          <w:color w:val="000000"/>
          <w:lang w:val="fr-FR"/>
        </w:rPr>
      </w:pPr>
      <w:r w:rsidRPr="000605C4">
        <w:rPr>
          <w:b/>
          <w:color w:val="000000"/>
          <w:lang w:val="fr-FR"/>
        </w:rPr>
        <w:t>08:</w:t>
      </w:r>
      <w:r w:rsidR="00AC60B0">
        <w:rPr>
          <w:b/>
          <w:color w:val="000000"/>
          <w:lang w:val="fr-FR"/>
        </w:rPr>
        <w:t>00</w:t>
      </w:r>
      <w:r w:rsidRPr="000605C4">
        <w:rPr>
          <w:b/>
          <w:color w:val="000000"/>
          <w:lang w:val="fr-FR"/>
        </w:rPr>
        <w:t>-</w:t>
      </w:r>
      <w:r w:rsidR="00AC60B0">
        <w:rPr>
          <w:b/>
          <w:color w:val="000000"/>
          <w:lang w:val="fr-FR"/>
        </w:rPr>
        <w:t>18</w:t>
      </w:r>
      <w:r w:rsidRPr="000605C4">
        <w:rPr>
          <w:b/>
          <w:color w:val="000000"/>
          <w:lang w:val="fr-FR"/>
        </w:rPr>
        <w:t>:</w:t>
      </w:r>
      <w:r w:rsidR="00AC60B0">
        <w:rPr>
          <w:b/>
          <w:color w:val="000000"/>
          <w:lang w:val="fr-FR"/>
        </w:rPr>
        <w:t>00</w:t>
      </w:r>
      <w:r w:rsidRPr="000605C4">
        <w:rPr>
          <w:b/>
          <w:color w:val="000000"/>
          <w:lang w:val="fr-FR"/>
        </w:rPr>
        <w:tab/>
      </w:r>
      <w:r w:rsidR="00AC60B0">
        <w:rPr>
          <w:b/>
          <w:color w:val="000000"/>
          <w:lang w:val="fr-FR"/>
        </w:rPr>
        <w:t>Séances à huis clos</w:t>
      </w:r>
    </w:p>
    <w:p w:rsidR="00F004B2" w:rsidRPr="000605C4" w:rsidRDefault="00F004B2" w:rsidP="00F004B2">
      <w:pPr>
        <w:tabs>
          <w:tab w:val="left" w:pos="1710"/>
        </w:tabs>
        <w:rPr>
          <w:color w:val="000000"/>
          <w:lang w:val="fr-FR"/>
        </w:rPr>
      </w:pPr>
      <w:r w:rsidRPr="000605C4">
        <w:rPr>
          <w:color w:val="000000"/>
          <w:lang w:val="fr-FR"/>
        </w:rPr>
        <w:tab/>
      </w:r>
    </w:p>
    <w:p w:rsidR="003E034F" w:rsidRPr="000605C4" w:rsidRDefault="00AC60B0" w:rsidP="003E034F">
      <w:pPr>
        <w:tabs>
          <w:tab w:val="left" w:pos="1701"/>
        </w:tabs>
        <w:ind w:left="1701" w:hanging="1701"/>
        <w:rPr>
          <w:rFonts w:eastAsia="Times New Roman"/>
          <w:b/>
          <w:lang w:val="fr-FR"/>
        </w:rPr>
      </w:pPr>
      <w:r w:rsidRPr="000605C4">
        <w:rPr>
          <w:rFonts w:eastAsia="Times New Roman"/>
          <w:b/>
          <w:lang w:val="fr-FR"/>
        </w:rPr>
        <w:t>1</w:t>
      </w:r>
      <w:r>
        <w:rPr>
          <w:rFonts w:eastAsia="Times New Roman"/>
          <w:b/>
          <w:lang w:val="fr-FR"/>
        </w:rPr>
        <w:t>8</w:t>
      </w:r>
      <w:r w:rsidR="003E034F" w:rsidRPr="000605C4">
        <w:rPr>
          <w:rFonts w:eastAsia="Times New Roman"/>
          <w:b/>
          <w:lang w:val="fr-FR"/>
        </w:rPr>
        <w:t>:00-</w:t>
      </w:r>
      <w:r w:rsidRPr="000605C4">
        <w:rPr>
          <w:rFonts w:eastAsia="Times New Roman"/>
          <w:b/>
          <w:lang w:val="fr-FR"/>
        </w:rPr>
        <w:t>1</w:t>
      </w:r>
      <w:r>
        <w:rPr>
          <w:rFonts w:eastAsia="Times New Roman"/>
          <w:b/>
          <w:lang w:val="fr-FR"/>
        </w:rPr>
        <w:t>9</w:t>
      </w:r>
      <w:r w:rsidR="003E034F" w:rsidRPr="000605C4">
        <w:rPr>
          <w:rFonts w:eastAsia="Times New Roman"/>
          <w:b/>
          <w:lang w:val="fr-FR"/>
        </w:rPr>
        <w:t>:00</w:t>
      </w:r>
      <w:r w:rsidR="003E034F" w:rsidRPr="000605C4">
        <w:rPr>
          <w:rFonts w:eastAsia="Times New Roman"/>
          <w:b/>
          <w:lang w:val="fr-FR"/>
        </w:rPr>
        <w:tab/>
      </w:r>
      <w:r w:rsidR="00245F61" w:rsidRPr="000605C4">
        <w:rPr>
          <w:rFonts w:eastAsia="Times New Roman"/>
          <w:b/>
          <w:lang w:val="fr-FR"/>
        </w:rPr>
        <w:t>Séance plénière du Comité permanent</w:t>
      </w:r>
    </w:p>
    <w:p w:rsidR="00F004B2" w:rsidRPr="000605C4" w:rsidRDefault="00F004B2" w:rsidP="00F004B2">
      <w:pPr>
        <w:tabs>
          <w:tab w:val="left" w:pos="0"/>
        </w:tabs>
        <w:rPr>
          <w:rFonts w:eastAsia="Times New Roman"/>
          <w:lang w:val="fr-FR"/>
        </w:rPr>
      </w:pPr>
    </w:p>
    <w:p w:rsidR="00245F61" w:rsidRPr="000605C4" w:rsidRDefault="00245F61" w:rsidP="00245F61">
      <w:pPr>
        <w:tabs>
          <w:tab w:val="left" w:pos="360"/>
          <w:tab w:val="left" w:pos="1260"/>
        </w:tabs>
        <w:ind w:left="1701" w:hanging="1701"/>
        <w:rPr>
          <w:rFonts w:eastAsia="Times New Roman"/>
          <w:lang w:val="fr-FR"/>
        </w:rPr>
      </w:pPr>
      <w:r w:rsidRPr="000605C4">
        <w:rPr>
          <w:rFonts w:eastAsia="Times New Roman"/>
          <w:lang w:val="fr-FR"/>
        </w:rPr>
        <w:t>1.</w:t>
      </w:r>
      <w:r w:rsidRPr="000605C4">
        <w:rPr>
          <w:rFonts w:eastAsia="Times New Roman"/>
          <w:lang w:val="fr-FR"/>
        </w:rPr>
        <w:tab/>
        <w:t>Allocutions d’ouverture</w:t>
      </w:r>
    </w:p>
    <w:p w:rsidR="00245F61" w:rsidRPr="000605C4" w:rsidRDefault="00245F61" w:rsidP="00DB6212">
      <w:pPr>
        <w:numPr>
          <w:ilvl w:val="0"/>
          <w:numId w:val="9"/>
        </w:numPr>
        <w:ind w:left="851" w:hanging="425"/>
        <w:rPr>
          <w:rFonts w:eastAsia="Times New Roman"/>
          <w:lang w:val="fr-FR"/>
        </w:rPr>
      </w:pPr>
      <w:r w:rsidRPr="000605C4">
        <w:rPr>
          <w:rFonts w:eastAsia="Times New Roman"/>
          <w:lang w:val="fr-FR"/>
        </w:rPr>
        <w:t>Président du Comité permanent (Uruguay)</w:t>
      </w:r>
    </w:p>
    <w:p w:rsidR="00245F61" w:rsidRPr="000605C4" w:rsidRDefault="00245F61" w:rsidP="00DB6212">
      <w:pPr>
        <w:numPr>
          <w:ilvl w:val="0"/>
          <w:numId w:val="9"/>
        </w:numPr>
        <w:ind w:left="851" w:hanging="425"/>
        <w:rPr>
          <w:rFonts w:eastAsia="Times New Roman"/>
          <w:lang w:val="fr-FR"/>
        </w:rPr>
      </w:pPr>
      <w:r w:rsidRPr="000605C4">
        <w:rPr>
          <w:rFonts w:eastAsia="Times New Roman"/>
          <w:lang w:val="fr-FR"/>
        </w:rPr>
        <w:t>Directrice générale de l’UICN (ou son représentant)</w:t>
      </w:r>
    </w:p>
    <w:p w:rsidR="00245F61" w:rsidRPr="000605C4" w:rsidRDefault="00245F61" w:rsidP="00DB6212">
      <w:pPr>
        <w:numPr>
          <w:ilvl w:val="0"/>
          <w:numId w:val="9"/>
        </w:numPr>
        <w:ind w:left="851" w:hanging="425"/>
        <w:rPr>
          <w:rFonts w:eastAsia="Times New Roman"/>
          <w:lang w:val="fr-FR"/>
        </w:rPr>
      </w:pPr>
      <w:r w:rsidRPr="000605C4">
        <w:rPr>
          <w:rFonts w:eastAsia="Times New Roman"/>
          <w:lang w:val="fr-FR"/>
        </w:rPr>
        <w:t>Déclaration au nom des six organisations internationales partenaires (OIP)</w:t>
      </w:r>
    </w:p>
    <w:p w:rsidR="00245F61" w:rsidRPr="000605C4" w:rsidRDefault="00245F61" w:rsidP="00DB6212">
      <w:pPr>
        <w:numPr>
          <w:ilvl w:val="0"/>
          <w:numId w:val="9"/>
        </w:numPr>
        <w:ind w:left="851" w:hanging="425"/>
        <w:rPr>
          <w:rFonts w:eastAsia="Times New Roman"/>
          <w:lang w:val="fr-FR"/>
        </w:rPr>
      </w:pPr>
      <w:r w:rsidRPr="000605C4">
        <w:rPr>
          <w:rFonts w:eastAsia="Times New Roman"/>
          <w:lang w:val="fr-FR"/>
        </w:rPr>
        <w:t>Secrétaire général</w:t>
      </w:r>
      <w:r w:rsidR="001132B7" w:rsidRPr="000605C4">
        <w:rPr>
          <w:rFonts w:eastAsia="Times New Roman"/>
          <w:lang w:val="fr-FR"/>
        </w:rPr>
        <w:t>, Christopher Briggs</w:t>
      </w:r>
    </w:p>
    <w:p w:rsidR="00245F61" w:rsidRPr="000605C4" w:rsidRDefault="00245F61" w:rsidP="00245F61">
      <w:pPr>
        <w:tabs>
          <w:tab w:val="left" w:pos="360"/>
          <w:tab w:val="left" w:pos="1260"/>
        </w:tabs>
        <w:ind w:left="1701" w:hanging="1701"/>
        <w:rPr>
          <w:rFonts w:eastAsia="Times New Roman"/>
          <w:lang w:val="fr-FR"/>
        </w:rPr>
      </w:pPr>
    </w:p>
    <w:p w:rsidR="00245F61" w:rsidRPr="000605C4" w:rsidRDefault="00245F61" w:rsidP="00245F61">
      <w:pPr>
        <w:tabs>
          <w:tab w:val="left" w:pos="900"/>
          <w:tab w:val="left" w:pos="1920"/>
        </w:tabs>
        <w:ind w:left="360" w:hanging="360"/>
        <w:rPr>
          <w:rFonts w:eastAsia="Times New Roman"/>
          <w:lang w:val="fr-FR"/>
        </w:rPr>
      </w:pPr>
      <w:r w:rsidRPr="000605C4">
        <w:rPr>
          <w:rFonts w:eastAsia="Times New Roman"/>
          <w:lang w:val="fr-FR"/>
        </w:rPr>
        <w:t>2.</w:t>
      </w:r>
      <w:r w:rsidRPr="000605C4">
        <w:rPr>
          <w:rFonts w:eastAsia="Times New Roman"/>
          <w:lang w:val="fr-FR"/>
        </w:rPr>
        <w:tab/>
      </w:r>
      <w:r w:rsidR="00AC60B0" w:rsidRPr="00AC60B0">
        <w:rPr>
          <w:rFonts w:eastAsia="Times New Roman"/>
          <w:lang w:val="fr-FR"/>
        </w:rPr>
        <w:t xml:space="preserve"> </w:t>
      </w:r>
      <w:r w:rsidR="00AC60B0" w:rsidRPr="000605C4">
        <w:rPr>
          <w:rFonts w:eastAsia="Times New Roman"/>
          <w:lang w:val="fr-FR"/>
        </w:rPr>
        <w:t>Admission des observateurs</w:t>
      </w:r>
    </w:p>
    <w:p w:rsidR="00245F61" w:rsidRPr="000605C4" w:rsidRDefault="00245F61" w:rsidP="00245F61">
      <w:pPr>
        <w:tabs>
          <w:tab w:val="left" w:pos="900"/>
          <w:tab w:val="left" w:pos="1920"/>
        </w:tabs>
        <w:ind w:left="360" w:hanging="360"/>
        <w:rPr>
          <w:rFonts w:eastAsia="Times New Roman"/>
          <w:b/>
          <w:lang w:val="fr-FR"/>
        </w:rPr>
      </w:pPr>
    </w:p>
    <w:p w:rsidR="00DB6212" w:rsidRDefault="00DB6212" w:rsidP="005A71DE">
      <w:pPr>
        <w:ind w:left="567" w:hanging="567"/>
        <w:rPr>
          <w:rFonts w:eastAsia="Times New Roman"/>
          <w:b/>
          <w:lang w:val="fr-FR"/>
        </w:rPr>
      </w:pPr>
    </w:p>
    <w:p w:rsidR="005A71DE" w:rsidRPr="000605C4" w:rsidRDefault="00365078" w:rsidP="005A71DE">
      <w:pPr>
        <w:ind w:left="567" w:hanging="567"/>
        <w:rPr>
          <w:rFonts w:eastAsia="Times New Roman"/>
          <w:b/>
          <w:lang w:val="fr-FR"/>
        </w:rPr>
      </w:pPr>
      <w:r w:rsidRPr="000605C4">
        <w:rPr>
          <w:rFonts w:eastAsia="Times New Roman"/>
          <w:b/>
          <w:lang w:val="fr-FR"/>
        </w:rPr>
        <w:t>Mercredi</w:t>
      </w:r>
      <w:r w:rsidR="005A71DE" w:rsidRPr="000605C4">
        <w:rPr>
          <w:rFonts w:eastAsia="Times New Roman"/>
          <w:b/>
          <w:lang w:val="fr-FR"/>
        </w:rPr>
        <w:t xml:space="preserve"> </w:t>
      </w:r>
      <w:r w:rsidR="00823421" w:rsidRPr="000605C4">
        <w:rPr>
          <w:rFonts w:eastAsia="Times New Roman"/>
          <w:b/>
          <w:lang w:val="fr-FR"/>
        </w:rPr>
        <w:t>2</w:t>
      </w:r>
      <w:r w:rsidRPr="000605C4">
        <w:rPr>
          <w:rFonts w:eastAsia="Times New Roman"/>
          <w:b/>
          <w:lang w:val="fr-FR"/>
        </w:rPr>
        <w:t>5</w:t>
      </w:r>
      <w:r w:rsidR="005A71DE" w:rsidRPr="000605C4">
        <w:rPr>
          <w:rFonts w:eastAsia="Times New Roman"/>
          <w:b/>
          <w:lang w:val="fr-FR"/>
        </w:rPr>
        <w:t xml:space="preserve"> </w:t>
      </w:r>
      <w:r w:rsidRPr="000605C4">
        <w:rPr>
          <w:b/>
          <w:color w:val="000000"/>
          <w:lang w:val="fr-FR"/>
        </w:rPr>
        <w:t>novembre</w:t>
      </w:r>
      <w:r w:rsidR="00783D06" w:rsidRPr="000605C4">
        <w:rPr>
          <w:b/>
          <w:color w:val="000000"/>
          <w:lang w:val="fr-FR"/>
        </w:rPr>
        <w:t xml:space="preserve"> 2015</w:t>
      </w:r>
    </w:p>
    <w:p w:rsidR="00823421" w:rsidRPr="000605C4" w:rsidRDefault="00823421" w:rsidP="005A71DE">
      <w:pPr>
        <w:ind w:left="567" w:hanging="567"/>
        <w:rPr>
          <w:rFonts w:eastAsia="Times New Roman"/>
          <w:lang w:val="fr-FR"/>
        </w:rPr>
      </w:pPr>
    </w:p>
    <w:p w:rsidR="00980D0C" w:rsidRPr="000605C4" w:rsidRDefault="00980D0C" w:rsidP="00980D0C">
      <w:pPr>
        <w:tabs>
          <w:tab w:val="left" w:pos="1710"/>
        </w:tabs>
        <w:rPr>
          <w:b/>
          <w:color w:val="000000"/>
          <w:lang w:val="fr-FR"/>
        </w:rPr>
      </w:pPr>
      <w:r w:rsidRPr="000605C4">
        <w:rPr>
          <w:b/>
          <w:color w:val="000000"/>
          <w:lang w:val="fr-FR"/>
        </w:rPr>
        <w:t>08:</w:t>
      </w:r>
      <w:r w:rsidR="00AC60B0">
        <w:rPr>
          <w:b/>
          <w:color w:val="000000"/>
          <w:lang w:val="fr-FR"/>
        </w:rPr>
        <w:t>00</w:t>
      </w:r>
      <w:r w:rsidRPr="000605C4">
        <w:rPr>
          <w:b/>
          <w:color w:val="000000"/>
          <w:lang w:val="fr-FR"/>
        </w:rPr>
        <w:t>-</w:t>
      </w:r>
      <w:r w:rsidR="00AC60B0">
        <w:rPr>
          <w:b/>
          <w:color w:val="000000"/>
          <w:lang w:val="fr-FR"/>
        </w:rPr>
        <w:t>16</w:t>
      </w:r>
      <w:r w:rsidRPr="000605C4">
        <w:rPr>
          <w:b/>
          <w:color w:val="000000"/>
          <w:lang w:val="fr-FR"/>
        </w:rPr>
        <w:t>:</w:t>
      </w:r>
      <w:r w:rsidR="00AC60B0">
        <w:rPr>
          <w:b/>
          <w:color w:val="000000"/>
          <w:lang w:val="fr-FR"/>
        </w:rPr>
        <w:t>00</w:t>
      </w:r>
      <w:r w:rsidRPr="000605C4">
        <w:rPr>
          <w:b/>
          <w:color w:val="000000"/>
          <w:lang w:val="fr-FR"/>
        </w:rPr>
        <w:tab/>
      </w:r>
      <w:r w:rsidR="00AC60B0">
        <w:rPr>
          <w:b/>
          <w:color w:val="000000"/>
          <w:lang w:val="fr-FR"/>
        </w:rPr>
        <w:t>Séances à huis clos</w:t>
      </w:r>
    </w:p>
    <w:p w:rsidR="00980D0C" w:rsidRPr="000605C4" w:rsidRDefault="00980D0C" w:rsidP="005A71DE">
      <w:pPr>
        <w:ind w:left="567" w:hanging="567"/>
        <w:rPr>
          <w:rFonts w:eastAsia="Times New Roman"/>
          <w:lang w:val="fr-FR"/>
        </w:rPr>
      </w:pPr>
    </w:p>
    <w:p w:rsidR="00823421" w:rsidRDefault="00AC60B0" w:rsidP="00365078">
      <w:pPr>
        <w:tabs>
          <w:tab w:val="left" w:pos="1701"/>
        </w:tabs>
        <w:ind w:left="1701" w:hanging="1701"/>
        <w:rPr>
          <w:rFonts w:eastAsia="Times New Roman"/>
          <w:b/>
          <w:lang w:val="fr-FR"/>
        </w:rPr>
      </w:pPr>
      <w:r w:rsidRPr="000605C4">
        <w:rPr>
          <w:rFonts w:eastAsia="Times New Roman"/>
          <w:b/>
          <w:lang w:val="fr-FR"/>
        </w:rPr>
        <w:t>1</w:t>
      </w:r>
      <w:r>
        <w:rPr>
          <w:rFonts w:eastAsia="Times New Roman"/>
          <w:b/>
          <w:lang w:val="fr-FR"/>
        </w:rPr>
        <w:t>6</w:t>
      </w:r>
      <w:r w:rsidR="005A71DE" w:rsidRPr="000605C4">
        <w:rPr>
          <w:rFonts w:eastAsia="Times New Roman"/>
          <w:b/>
          <w:lang w:val="fr-FR"/>
        </w:rPr>
        <w:t>:00-</w:t>
      </w:r>
      <w:r w:rsidRPr="000605C4">
        <w:rPr>
          <w:rFonts w:eastAsia="Times New Roman"/>
          <w:b/>
          <w:lang w:val="fr-FR"/>
        </w:rPr>
        <w:t>1</w:t>
      </w:r>
      <w:r>
        <w:rPr>
          <w:rFonts w:eastAsia="Times New Roman"/>
          <w:b/>
          <w:lang w:val="fr-FR"/>
        </w:rPr>
        <w:t>8</w:t>
      </w:r>
      <w:r w:rsidR="005A71DE" w:rsidRPr="000605C4">
        <w:rPr>
          <w:rFonts w:eastAsia="Times New Roman"/>
          <w:b/>
          <w:lang w:val="fr-FR"/>
        </w:rPr>
        <w:t>:00</w:t>
      </w:r>
      <w:r w:rsidR="005A71DE" w:rsidRPr="000605C4">
        <w:rPr>
          <w:rFonts w:eastAsia="Times New Roman"/>
          <w:b/>
          <w:lang w:val="fr-FR"/>
        </w:rPr>
        <w:tab/>
      </w:r>
      <w:r w:rsidR="00854068">
        <w:rPr>
          <w:rFonts w:eastAsia="Times New Roman"/>
          <w:b/>
          <w:lang w:val="fr-FR"/>
        </w:rPr>
        <w:t>Réunion</w:t>
      </w:r>
      <w:r w:rsidR="00854068" w:rsidRPr="000605C4">
        <w:rPr>
          <w:rFonts w:eastAsia="Times New Roman"/>
          <w:b/>
          <w:lang w:val="fr-FR"/>
        </w:rPr>
        <w:t xml:space="preserve"> </w:t>
      </w:r>
      <w:r>
        <w:rPr>
          <w:rFonts w:eastAsia="Times New Roman"/>
          <w:b/>
          <w:lang w:val="fr-FR"/>
        </w:rPr>
        <w:t>du Sous-groupe sur les finances</w:t>
      </w:r>
    </w:p>
    <w:p w:rsidR="000B29BB" w:rsidRPr="000605C4" w:rsidRDefault="000B29BB" w:rsidP="00365078">
      <w:pPr>
        <w:tabs>
          <w:tab w:val="left" w:pos="1701"/>
        </w:tabs>
        <w:ind w:left="1701" w:hanging="1701"/>
        <w:rPr>
          <w:rFonts w:eastAsia="Times New Roman"/>
          <w:b/>
          <w:lang w:val="fr-FR"/>
        </w:rPr>
      </w:pPr>
    </w:p>
    <w:p w:rsidR="00854068" w:rsidRDefault="00854068" w:rsidP="00DB6212">
      <w:pPr>
        <w:pStyle w:val="ListParagraph"/>
        <w:numPr>
          <w:ilvl w:val="0"/>
          <w:numId w:val="15"/>
        </w:numPr>
        <w:tabs>
          <w:tab w:val="left" w:pos="426"/>
        </w:tabs>
        <w:ind w:left="426" w:right="-20" w:hanging="425"/>
        <w:rPr>
          <w:rFonts w:ascii="Calibri" w:eastAsia="Garamond" w:hAnsi="Calibri" w:cs="Garamond"/>
          <w:lang w:val="fr-FR"/>
        </w:rPr>
      </w:pPr>
      <w:r w:rsidRPr="000605C4">
        <w:rPr>
          <w:rFonts w:ascii="Calibri" w:eastAsia="Garamond" w:hAnsi="Calibri" w:cs="Garamond"/>
          <w:lang w:val="fr-FR"/>
        </w:rPr>
        <w:t>Mise à jour sur le paiement des contributions (DOC. SC51-19)</w:t>
      </w:r>
    </w:p>
    <w:p w:rsidR="00C43B93" w:rsidRDefault="00C43B93" w:rsidP="00DB6212">
      <w:pPr>
        <w:pStyle w:val="ListParagraph"/>
        <w:tabs>
          <w:tab w:val="left" w:pos="426"/>
        </w:tabs>
        <w:ind w:left="426" w:right="-20" w:hanging="425"/>
        <w:rPr>
          <w:rFonts w:ascii="Calibri" w:eastAsia="Garamond" w:hAnsi="Calibri" w:cs="Garamond"/>
          <w:lang w:val="fr-FR"/>
        </w:rPr>
      </w:pPr>
    </w:p>
    <w:p w:rsidR="00854068" w:rsidRPr="00DB6212" w:rsidRDefault="00854068" w:rsidP="00DB6212">
      <w:pPr>
        <w:pStyle w:val="ListParagraph"/>
        <w:numPr>
          <w:ilvl w:val="0"/>
          <w:numId w:val="15"/>
        </w:numPr>
        <w:tabs>
          <w:tab w:val="left" w:pos="426"/>
        </w:tabs>
        <w:ind w:left="426" w:right="-20" w:hanging="425"/>
        <w:rPr>
          <w:rFonts w:ascii="Calibri" w:eastAsia="Garamond" w:hAnsi="Calibri" w:cs="Garamond"/>
          <w:lang w:val="fr-FR"/>
        </w:rPr>
      </w:pPr>
      <w:r w:rsidRPr="00DB6212">
        <w:rPr>
          <w:rFonts w:ascii="Calibri" w:eastAsia="Garamond" w:hAnsi="Calibri" w:cs="Garamond"/>
          <w:lang w:val="fr-FR"/>
        </w:rPr>
        <w:t>Rapport sur les efforts d’appels de fonds en faveur des délégués à la COP12, conformément à la Résolution </w:t>
      </w:r>
      <w:r w:rsidRPr="000605C4">
        <w:rPr>
          <w:rFonts w:ascii="Calibri" w:eastAsia="Garamond" w:hAnsi="Calibri" w:cs="Garamond"/>
          <w:lang w:val="fr-FR"/>
        </w:rPr>
        <w:t xml:space="preserve">XII.1 (DOC. SC51-20) </w:t>
      </w:r>
    </w:p>
    <w:p w:rsidR="00C43B93" w:rsidRPr="00DB6212" w:rsidRDefault="00C43B93" w:rsidP="00DB6212">
      <w:pPr>
        <w:pStyle w:val="ListParagraph"/>
        <w:tabs>
          <w:tab w:val="left" w:pos="426"/>
        </w:tabs>
        <w:ind w:left="426" w:right="-20"/>
        <w:rPr>
          <w:rFonts w:ascii="Calibri" w:eastAsia="Garamond" w:hAnsi="Calibri" w:cs="Garamond"/>
          <w:lang w:val="fr-FR"/>
        </w:rPr>
      </w:pPr>
    </w:p>
    <w:p w:rsidR="00854068" w:rsidRDefault="00854068" w:rsidP="00DB6212">
      <w:pPr>
        <w:pStyle w:val="ListParagraph"/>
        <w:numPr>
          <w:ilvl w:val="0"/>
          <w:numId w:val="15"/>
        </w:numPr>
        <w:tabs>
          <w:tab w:val="left" w:pos="426"/>
        </w:tabs>
        <w:ind w:left="426" w:right="-20" w:hanging="425"/>
        <w:rPr>
          <w:rFonts w:ascii="Calibri" w:eastAsia="Garamond" w:hAnsi="Calibri" w:cs="Garamond"/>
          <w:lang w:val="fr-FR"/>
        </w:rPr>
      </w:pPr>
      <w:r w:rsidRPr="00DB6212">
        <w:rPr>
          <w:rFonts w:ascii="Calibri" w:eastAsia="Garamond" w:hAnsi="Calibri" w:cs="Garamond"/>
          <w:lang w:val="fr-FR"/>
        </w:rPr>
        <w:t xml:space="preserve">Rapport et discussion sur la priorisation des activités d’appels de fonds pour financer les activités du budget non administratif de toutes les sources, dans l’optique d’accroître de manière significative les contributions ne provenant pas des Parties </w:t>
      </w:r>
      <w:r w:rsidRPr="000605C4">
        <w:rPr>
          <w:rFonts w:ascii="Calibri" w:eastAsia="Garamond" w:hAnsi="Calibri" w:cs="Garamond"/>
          <w:lang w:val="fr-FR"/>
        </w:rPr>
        <w:t>(DOC. SC51-21)</w:t>
      </w:r>
    </w:p>
    <w:p w:rsidR="00C43B93" w:rsidRPr="000605C4" w:rsidRDefault="00C43B93" w:rsidP="00DB6212">
      <w:pPr>
        <w:pStyle w:val="ListParagraph"/>
        <w:tabs>
          <w:tab w:val="left" w:pos="426"/>
        </w:tabs>
        <w:ind w:left="426" w:right="-20"/>
        <w:rPr>
          <w:rFonts w:ascii="Calibri" w:eastAsia="Garamond" w:hAnsi="Calibri" w:cs="Garamond"/>
          <w:lang w:val="fr-FR"/>
        </w:rPr>
      </w:pPr>
    </w:p>
    <w:p w:rsidR="00854068" w:rsidRDefault="00854068" w:rsidP="00DB6212">
      <w:pPr>
        <w:pStyle w:val="ListParagraph"/>
        <w:numPr>
          <w:ilvl w:val="0"/>
          <w:numId w:val="15"/>
        </w:numPr>
        <w:tabs>
          <w:tab w:val="left" w:pos="426"/>
        </w:tabs>
        <w:ind w:left="426" w:right="-20" w:hanging="425"/>
        <w:rPr>
          <w:rFonts w:ascii="Calibri" w:eastAsia="Garamond" w:hAnsi="Calibri" w:cs="Garamond"/>
          <w:lang w:val="fr-FR"/>
        </w:rPr>
      </w:pPr>
      <w:r w:rsidRPr="00DB6212">
        <w:rPr>
          <w:rFonts w:ascii="Calibri" w:eastAsia="Garamond" w:hAnsi="Calibri" w:cs="Garamond"/>
          <w:lang w:val="fr-FR"/>
        </w:rPr>
        <w:t>Rapport sur l’utilisation du Fonds de petites subventions</w:t>
      </w:r>
      <w:r w:rsidRPr="000605C4">
        <w:rPr>
          <w:rFonts w:ascii="Calibri" w:eastAsia="Garamond" w:hAnsi="Calibri" w:cs="Garamond"/>
          <w:lang w:val="fr-FR"/>
        </w:rPr>
        <w:t xml:space="preserve"> (FPS) (DOC. SC51-22)</w:t>
      </w:r>
    </w:p>
    <w:p w:rsidR="00F67A1F" w:rsidRPr="00DB6212" w:rsidRDefault="00F67A1F" w:rsidP="00DB6212">
      <w:pPr>
        <w:pStyle w:val="ListParagraph"/>
        <w:tabs>
          <w:tab w:val="left" w:pos="851"/>
        </w:tabs>
        <w:ind w:left="851" w:right="-20"/>
        <w:rPr>
          <w:rFonts w:ascii="Calibri" w:eastAsia="Garamond" w:hAnsi="Calibri" w:cs="Garamond"/>
          <w:lang w:val="fr-FR"/>
        </w:rPr>
      </w:pPr>
    </w:p>
    <w:p w:rsidR="00DB6212" w:rsidRDefault="00DB6212" w:rsidP="00F67A1F">
      <w:pPr>
        <w:ind w:right="-20"/>
        <w:rPr>
          <w:rFonts w:eastAsia="Garamond" w:cs="Garamond"/>
          <w:b/>
          <w:bCs/>
          <w:lang w:val="fr-FR"/>
        </w:rPr>
      </w:pPr>
    </w:p>
    <w:p w:rsidR="000B29BB" w:rsidRPr="000B29BB" w:rsidRDefault="000B29BB" w:rsidP="00F67A1F">
      <w:pPr>
        <w:ind w:right="-20"/>
        <w:rPr>
          <w:rFonts w:eastAsia="Garamond" w:cs="Garamond"/>
          <w:bCs/>
          <w:lang w:val="fr-FR"/>
        </w:rPr>
      </w:pPr>
      <w:bookmarkStart w:id="3" w:name="_GoBack"/>
      <w:bookmarkEnd w:id="3"/>
      <w:r w:rsidRPr="000605C4">
        <w:rPr>
          <w:rFonts w:eastAsia="Garamond" w:cs="Garamond"/>
          <w:b/>
          <w:bCs/>
          <w:lang w:val="fr-FR"/>
        </w:rPr>
        <w:t xml:space="preserve">Jeudi 26 novembre 2015 </w:t>
      </w:r>
    </w:p>
    <w:p w:rsidR="000B29BB" w:rsidRPr="000605C4" w:rsidRDefault="000B29BB" w:rsidP="000B29BB">
      <w:pPr>
        <w:tabs>
          <w:tab w:val="left" w:pos="1701"/>
        </w:tabs>
        <w:ind w:left="720"/>
        <w:rPr>
          <w:rFonts w:eastAsia="Times New Roman"/>
          <w:lang w:val="fr-FR"/>
        </w:rPr>
      </w:pPr>
    </w:p>
    <w:p w:rsidR="000B29BB" w:rsidRPr="000605C4" w:rsidRDefault="000B29BB" w:rsidP="000B29BB">
      <w:pPr>
        <w:ind w:right="-20"/>
        <w:rPr>
          <w:rFonts w:eastAsia="Garamond" w:cs="Garamond"/>
          <w:b/>
          <w:lang w:val="fr-FR"/>
        </w:rPr>
      </w:pPr>
      <w:r w:rsidRPr="000605C4">
        <w:rPr>
          <w:rFonts w:eastAsia="Garamond" w:cs="Garamond"/>
          <w:b/>
          <w:bCs/>
          <w:lang w:val="fr-FR"/>
        </w:rPr>
        <w:t>10:00-1</w:t>
      </w:r>
      <w:r>
        <w:rPr>
          <w:rFonts w:eastAsia="Garamond" w:cs="Garamond"/>
          <w:b/>
          <w:bCs/>
          <w:lang w:val="fr-FR"/>
        </w:rPr>
        <w:t>0</w:t>
      </w:r>
      <w:r w:rsidRPr="000605C4">
        <w:rPr>
          <w:rFonts w:eastAsia="Garamond" w:cs="Garamond"/>
          <w:b/>
          <w:bCs/>
          <w:lang w:val="fr-FR"/>
        </w:rPr>
        <w:t>:</w:t>
      </w:r>
      <w:r>
        <w:rPr>
          <w:rFonts w:eastAsia="Garamond" w:cs="Garamond"/>
          <w:b/>
          <w:bCs/>
          <w:lang w:val="fr-FR"/>
        </w:rPr>
        <w:t>3</w:t>
      </w:r>
      <w:r w:rsidRPr="000605C4">
        <w:rPr>
          <w:rFonts w:eastAsia="Garamond" w:cs="Garamond"/>
          <w:b/>
          <w:bCs/>
          <w:lang w:val="fr-FR"/>
        </w:rPr>
        <w:t>0</w:t>
      </w:r>
      <w:r w:rsidRPr="000605C4">
        <w:rPr>
          <w:rFonts w:eastAsia="Garamond" w:cs="Garamond"/>
          <w:b/>
          <w:bCs/>
          <w:lang w:val="fr-FR"/>
        </w:rPr>
        <w:tab/>
      </w:r>
      <w:r w:rsidRPr="000605C4">
        <w:rPr>
          <w:rFonts w:eastAsia="Times New Roman"/>
          <w:b/>
          <w:lang w:val="fr-FR"/>
        </w:rPr>
        <w:t>Séance plénière du Comité permanent</w:t>
      </w:r>
    </w:p>
    <w:p w:rsidR="000B29BB" w:rsidRDefault="000B29BB" w:rsidP="000B29BB">
      <w:pPr>
        <w:tabs>
          <w:tab w:val="left" w:pos="567"/>
        </w:tabs>
        <w:ind w:left="720" w:right="-20"/>
        <w:rPr>
          <w:rFonts w:eastAsia="Garamond" w:cs="Garamond"/>
          <w:lang w:val="fr-FR"/>
        </w:rPr>
      </w:pPr>
    </w:p>
    <w:p w:rsidR="000B29BB" w:rsidRDefault="000B29BB" w:rsidP="000B29BB">
      <w:pPr>
        <w:tabs>
          <w:tab w:val="left" w:pos="567"/>
        </w:tabs>
        <w:ind w:right="-20"/>
        <w:rPr>
          <w:rFonts w:eastAsia="Garamond" w:cs="Garamond"/>
          <w:lang w:val="fr-FR"/>
        </w:rPr>
      </w:pPr>
      <w:r>
        <w:rPr>
          <w:rFonts w:eastAsia="Garamond" w:cs="Garamond"/>
          <w:lang w:val="fr-FR"/>
        </w:rPr>
        <w:t>3.</w:t>
      </w:r>
      <w:r>
        <w:rPr>
          <w:rFonts w:eastAsia="Garamond" w:cs="Garamond"/>
          <w:lang w:val="fr-FR"/>
        </w:rPr>
        <w:tab/>
        <w:t>Adoption de l’ordre du jour révisé (DOC. SC51-01 Rev.5)</w:t>
      </w:r>
    </w:p>
    <w:p w:rsidR="000B29BB" w:rsidRDefault="000B29BB" w:rsidP="000B29BB">
      <w:pPr>
        <w:tabs>
          <w:tab w:val="left" w:pos="567"/>
        </w:tabs>
        <w:ind w:left="720" w:right="-20"/>
        <w:rPr>
          <w:rFonts w:eastAsia="Garamond" w:cs="Garamond"/>
          <w:lang w:val="fr-FR"/>
        </w:rPr>
      </w:pPr>
    </w:p>
    <w:p w:rsidR="000B29BB" w:rsidRPr="00712020" w:rsidRDefault="000B29BB" w:rsidP="000B29BB">
      <w:pPr>
        <w:pStyle w:val="ListParagraph"/>
        <w:tabs>
          <w:tab w:val="left" w:pos="426"/>
        </w:tabs>
        <w:ind w:left="0" w:right="-23"/>
        <w:rPr>
          <w:rFonts w:ascii="Calibri" w:eastAsia="Times New Roman" w:hAnsi="Calibri"/>
          <w:b/>
          <w:lang w:val="fr-FR"/>
        </w:rPr>
      </w:pPr>
      <w:r w:rsidRPr="00712020">
        <w:rPr>
          <w:rFonts w:ascii="Calibri" w:eastAsia="Garamond" w:hAnsi="Calibri" w:cs="Garamond"/>
          <w:b/>
          <w:lang w:val="fr-FR"/>
        </w:rPr>
        <w:t>10:30-11:30</w:t>
      </w:r>
      <w:r w:rsidRPr="00712020">
        <w:rPr>
          <w:rFonts w:ascii="Calibri" w:eastAsia="Garamond" w:hAnsi="Calibri" w:cs="Garamond"/>
          <w:lang w:val="fr-FR"/>
        </w:rPr>
        <w:tab/>
      </w:r>
      <w:r w:rsidRPr="00712020">
        <w:rPr>
          <w:rFonts w:ascii="Calibri" w:eastAsia="Times New Roman" w:hAnsi="Calibri"/>
          <w:b/>
          <w:lang w:val="fr-FR"/>
        </w:rPr>
        <w:t>Réunion du Sous-groupe sur les finances</w:t>
      </w:r>
    </w:p>
    <w:p w:rsidR="000B29BB" w:rsidRDefault="000B29BB" w:rsidP="000B29BB">
      <w:pPr>
        <w:pStyle w:val="ListParagraph"/>
        <w:tabs>
          <w:tab w:val="left" w:pos="426"/>
        </w:tabs>
        <w:ind w:right="-23"/>
        <w:rPr>
          <w:rFonts w:ascii="Calibri" w:eastAsia="Garamond" w:hAnsi="Calibri" w:cs="Garamond"/>
          <w:lang w:val="fr-FR"/>
        </w:rPr>
      </w:pPr>
    </w:p>
    <w:p w:rsidR="000B29BB" w:rsidRPr="000605C4" w:rsidRDefault="000B29BB" w:rsidP="00DB6212">
      <w:pPr>
        <w:pStyle w:val="ListParagraph"/>
        <w:numPr>
          <w:ilvl w:val="0"/>
          <w:numId w:val="15"/>
        </w:numPr>
        <w:tabs>
          <w:tab w:val="left" w:pos="426"/>
        </w:tabs>
        <w:ind w:left="426" w:right="-20" w:hanging="425"/>
        <w:rPr>
          <w:rFonts w:ascii="Calibri" w:eastAsia="Garamond" w:hAnsi="Calibri" w:cs="Garamond"/>
          <w:lang w:val="fr-FR"/>
        </w:rPr>
      </w:pPr>
      <w:r w:rsidRPr="000605C4">
        <w:rPr>
          <w:rFonts w:ascii="Calibri" w:eastAsia="Garamond" w:hAnsi="Calibri" w:cs="Garamond"/>
          <w:lang w:val="fr-FR"/>
        </w:rPr>
        <w:t>Approbation du budget 2016 (DOC. SC51-18)</w:t>
      </w:r>
    </w:p>
    <w:p w:rsidR="000B29BB" w:rsidRPr="000605C4" w:rsidRDefault="000B29BB" w:rsidP="00DB6212">
      <w:pPr>
        <w:pStyle w:val="ListParagraph"/>
        <w:tabs>
          <w:tab w:val="left" w:pos="426"/>
        </w:tabs>
        <w:ind w:left="426" w:right="-20" w:hanging="425"/>
        <w:rPr>
          <w:rFonts w:ascii="Calibri" w:eastAsia="Garamond" w:hAnsi="Calibri" w:cs="Garamond"/>
          <w:lang w:val="fr-FR"/>
        </w:rPr>
      </w:pPr>
    </w:p>
    <w:p w:rsidR="000B29BB" w:rsidRPr="000605C4" w:rsidRDefault="000B29BB" w:rsidP="00DB6212">
      <w:pPr>
        <w:pStyle w:val="ListParagraph"/>
        <w:numPr>
          <w:ilvl w:val="0"/>
          <w:numId w:val="15"/>
        </w:numPr>
        <w:tabs>
          <w:tab w:val="left" w:pos="426"/>
        </w:tabs>
        <w:ind w:left="426" w:right="-20" w:hanging="425"/>
        <w:rPr>
          <w:rFonts w:ascii="Calibri" w:eastAsia="Garamond" w:hAnsi="Calibri" w:cs="Garamond"/>
          <w:lang w:val="fr-FR"/>
        </w:rPr>
      </w:pPr>
      <w:r w:rsidRPr="000605C4">
        <w:rPr>
          <w:rFonts w:ascii="Calibri" w:eastAsia="Garamond" w:hAnsi="Calibri" w:cs="Garamond"/>
          <w:lang w:val="fr-FR"/>
        </w:rPr>
        <w:t xml:space="preserve">État du budget administratif et non administratif (Examen des recettes et dépenses de projets et du budget administratif, y compris états financiers vérifiés) </w:t>
      </w:r>
    </w:p>
    <w:p w:rsidR="000B29BB" w:rsidRPr="000605C4" w:rsidRDefault="000B29BB" w:rsidP="00DB6212">
      <w:pPr>
        <w:pStyle w:val="ListParagraph"/>
        <w:tabs>
          <w:tab w:val="left" w:pos="426"/>
        </w:tabs>
        <w:ind w:left="426" w:right="-20" w:hanging="425"/>
        <w:rPr>
          <w:rFonts w:ascii="Calibri" w:eastAsia="Garamond" w:hAnsi="Calibri" w:cs="Garamond"/>
          <w:lang w:val="fr-FR"/>
        </w:rPr>
      </w:pPr>
    </w:p>
    <w:p w:rsidR="000B29BB" w:rsidRDefault="000B29BB" w:rsidP="00DB6212">
      <w:pPr>
        <w:pStyle w:val="ListParagraph"/>
        <w:numPr>
          <w:ilvl w:val="0"/>
          <w:numId w:val="15"/>
        </w:numPr>
        <w:tabs>
          <w:tab w:val="left" w:pos="426"/>
        </w:tabs>
        <w:ind w:left="426" w:right="-20" w:hanging="425"/>
        <w:rPr>
          <w:rFonts w:ascii="Calibri" w:eastAsia="Garamond" w:hAnsi="Calibri" w:cs="Garamond"/>
          <w:lang w:val="fr-FR"/>
        </w:rPr>
      </w:pPr>
      <w:r w:rsidRPr="000605C4">
        <w:rPr>
          <w:rFonts w:ascii="Calibri" w:eastAsia="Garamond" w:hAnsi="Calibri" w:cs="Garamond"/>
          <w:lang w:val="fr-FR"/>
        </w:rPr>
        <w:t>État du Fonds de réserve et propositions pour l’utilisation des fonds excédentaires restant</w:t>
      </w:r>
      <w:r>
        <w:rPr>
          <w:rFonts w:ascii="Calibri" w:eastAsia="Garamond" w:hAnsi="Calibri" w:cs="Garamond"/>
          <w:lang w:val="fr-FR"/>
        </w:rPr>
        <w:t>s</w:t>
      </w:r>
    </w:p>
    <w:p w:rsidR="000B29BB" w:rsidRDefault="000B29BB" w:rsidP="00DB6212">
      <w:pPr>
        <w:pStyle w:val="ListParagraph"/>
        <w:tabs>
          <w:tab w:val="left" w:pos="426"/>
        </w:tabs>
        <w:ind w:left="426" w:right="-20" w:hanging="425"/>
        <w:rPr>
          <w:rFonts w:ascii="Calibri" w:eastAsia="Garamond" w:hAnsi="Calibri" w:cs="Garamond"/>
          <w:lang w:val="fr-FR"/>
        </w:rPr>
      </w:pPr>
    </w:p>
    <w:p w:rsidR="000B29BB" w:rsidRPr="000605C4" w:rsidRDefault="000B29BB" w:rsidP="00DB6212">
      <w:pPr>
        <w:pStyle w:val="ListParagraph"/>
        <w:numPr>
          <w:ilvl w:val="0"/>
          <w:numId w:val="15"/>
        </w:numPr>
        <w:tabs>
          <w:tab w:val="left" w:pos="426"/>
        </w:tabs>
        <w:ind w:left="426" w:right="-20" w:hanging="425"/>
        <w:rPr>
          <w:rFonts w:ascii="Calibri" w:eastAsia="Garamond" w:hAnsi="Calibri" w:cs="Garamond"/>
          <w:lang w:val="fr-FR"/>
        </w:rPr>
      </w:pPr>
      <w:r w:rsidRPr="00DB6212">
        <w:rPr>
          <w:rFonts w:ascii="Calibri" w:eastAsia="Garamond" w:hAnsi="Calibri" w:cs="Garamond"/>
          <w:lang w:val="fr-FR"/>
        </w:rPr>
        <w:t>Vue d’ensemble sur le personnel et les contrats des consultants</w:t>
      </w:r>
      <w:r w:rsidRPr="000605C4">
        <w:rPr>
          <w:rFonts w:ascii="Calibri" w:eastAsia="Garamond" w:hAnsi="Calibri" w:cs="Garamond"/>
          <w:lang w:val="fr-FR"/>
        </w:rPr>
        <w:t xml:space="preserve"> </w:t>
      </w:r>
    </w:p>
    <w:p w:rsidR="000B29BB" w:rsidRPr="000605C4" w:rsidRDefault="000B29BB" w:rsidP="000B29BB">
      <w:pPr>
        <w:pStyle w:val="ListParagraph"/>
        <w:tabs>
          <w:tab w:val="left" w:pos="426"/>
        </w:tabs>
        <w:ind w:right="-23"/>
        <w:rPr>
          <w:rFonts w:ascii="Calibri" w:eastAsia="Garamond" w:hAnsi="Calibri" w:cs="Garamond"/>
          <w:lang w:val="fr-FR"/>
        </w:rPr>
      </w:pPr>
    </w:p>
    <w:p w:rsidR="00DC0E12" w:rsidRPr="000605C4" w:rsidRDefault="00201C34" w:rsidP="00DC0E12">
      <w:pPr>
        <w:ind w:left="1276" w:right="-20" w:hanging="1276"/>
        <w:rPr>
          <w:rFonts w:eastAsia="Garamond" w:cs="Garamond"/>
          <w:b/>
          <w:lang w:val="fr-FR"/>
        </w:rPr>
      </w:pPr>
      <w:r w:rsidRPr="000605C4">
        <w:rPr>
          <w:rFonts w:eastAsia="Garamond" w:cs="Garamond"/>
          <w:b/>
          <w:bCs/>
          <w:lang w:val="fr-FR"/>
        </w:rPr>
        <w:t>1</w:t>
      </w:r>
      <w:r>
        <w:rPr>
          <w:rFonts w:eastAsia="Garamond" w:cs="Garamond"/>
          <w:b/>
          <w:bCs/>
          <w:lang w:val="fr-FR"/>
        </w:rPr>
        <w:t>1</w:t>
      </w:r>
      <w:r w:rsidR="00DC0E12" w:rsidRPr="000605C4">
        <w:rPr>
          <w:rFonts w:eastAsia="Garamond" w:cs="Garamond"/>
          <w:b/>
          <w:bCs/>
          <w:lang w:val="fr-FR"/>
        </w:rPr>
        <w:t>:</w:t>
      </w:r>
      <w:r>
        <w:rPr>
          <w:rFonts w:eastAsia="Garamond" w:cs="Garamond"/>
          <w:b/>
          <w:bCs/>
          <w:lang w:val="fr-FR"/>
        </w:rPr>
        <w:t>3</w:t>
      </w:r>
      <w:r w:rsidRPr="000605C4">
        <w:rPr>
          <w:rFonts w:eastAsia="Garamond" w:cs="Garamond"/>
          <w:b/>
          <w:bCs/>
          <w:lang w:val="fr-FR"/>
        </w:rPr>
        <w:t>0</w:t>
      </w:r>
      <w:r w:rsidR="00DC0E12" w:rsidRPr="000605C4">
        <w:rPr>
          <w:rFonts w:eastAsia="Garamond" w:cs="Garamond"/>
          <w:b/>
          <w:bCs/>
          <w:lang w:val="fr-FR"/>
        </w:rPr>
        <w:t>-</w:t>
      </w:r>
      <w:r w:rsidRPr="000605C4">
        <w:rPr>
          <w:rFonts w:eastAsia="Garamond" w:cs="Garamond"/>
          <w:b/>
          <w:bCs/>
          <w:lang w:val="fr-FR"/>
        </w:rPr>
        <w:t>1</w:t>
      </w:r>
      <w:r>
        <w:rPr>
          <w:rFonts w:eastAsia="Garamond" w:cs="Garamond"/>
          <w:b/>
          <w:bCs/>
          <w:lang w:val="fr-FR"/>
        </w:rPr>
        <w:t>3</w:t>
      </w:r>
      <w:r w:rsidR="00DC0E12" w:rsidRPr="000605C4">
        <w:rPr>
          <w:rFonts w:eastAsia="Garamond" w:cs="Garamond"/>
          <w:b/>
          <w:bCs/>
          <w:lang w:val="fr-FR"/>
        </w:rPr>
        <w:t>:00</w:t>
      </w:r>
      <w:r w:rsidR="00DC0E12" w:rsidRPr="000605C4">
        <w:rPr>
          <w:rFonts w:eastAsia="Garamond" w:cs="Garamond"/>
          <w:b/>
          <w:bCs/>
          <w:lang w:val="fr-FR"/>
        </w:rPr>
        <w:tab/>
      </w:r>
      <w:r w:rsidR="00DC0E12" w:rsidRPr="000605C4">
        <w:rPr>
          <w:rFonts w:eastAsia="Times New Roman"/>
          <w:b/>
          <w:lang w:val="fr-FR"/>
        </w:rPr>
        <w:t>Séance plénière du Comité permanent</w:t>
      </w:r>
    </w:p>
    <w:p w:rsidR="00DC0E12" w:rsidRPr="000605C4" w:rsidRDefault="00DC0E12" w:rsidP="00DC0E12">
      <w:pPr>
        <w:tabs>
          <w:tab w:val="left" w:pos="0"/>
        </w:tabs>
        <w:ind w:right="-20"/>
        <w:rPr>
          <w:rFonts w:eastAsia="Garamond" w:cs="Garamond"/>
          <w:lang w:val="fr-FR"/>
        </w:rPr>
      </w:pPr>
    </w:p>
    <w:p w:rsidR="00201C34" w:rsidRPr="000605C4" w:rsidRDefault="00C43B93" w:rsidP="00201C34">
      <w:pPr>
        <w:tabs>
          <w:tab w:val="left" w:pos="900"/>
          <w:tab w:val="left" w:pos="1920"/>
        </w:tabs>
        <w:ind w:left="360" w:hanging="360"/>
        <w:rPr>
          <w:rFonts w:eastAsia="Times New Roman"/>
          <w:lang w:val="fr-FR"/>
        </w:rPr>
      </w:pPr>
      <w:r>
        <w:rPr>
          <w:rFonts w:eastAsia="Times New Roman"/>
          <w:lang w:val="fr-FR"/>
        </w:rPr>
        <w:t>4.</w:t>
      </w:r>
      <w:r>
        <w:rPr>
          <w:rFonts w:eastAsia="Times New Roman"/>
          <w:lang w:val="fr-FR"/>
        </w:rPr>
        <w:tab/>
      </w:r>
      <w:r w:rsidR="00201C34" w:rsidRPr="000605C4">
        <w:rPr>
          <w:rFonts w:eastAsia="Times New Roman"/>
          <w:lang w:val="fr-FR"/>
        </w:rPr>
        <w:t>Questions découlant des décisions prises par le Comité permanent à ses 49</w:t>
      </w:r>
      <w:r w:rsidR="00201C34" w:rsidRPr="000605C4">
        <w:rPr>
          <w:rFonts w:eastAsia="Times New Roman"/>
          <w:vertAlign w:val="superscript"/>
          <w:lang w:val="fr-FR"/>
        </w:rPr>
        <w:t>e</w:t>
      </w:r>
      <w:r w:rsidR="00201C34" w:rsidRPr="000605C4">
        <w:rPr>
          <w:rFonts w:eastAsia="Times New Roman"/>
          <w:lang w:val="fr-FR"/>
        </w:rPr>
        <w:t xml:space="preserve"> et 50</w:t>
      </w:r>
      <w:r w:rsidR="00201C34" w:rsidRPr="000605C4">
        <w:rPr>
          <w:rFonts w:eastAsia="Times New Roman"/>
          <w:vertAlign w:val="superscript"/>
          <w:lang w:val="fr-FR"/>
        </w:rPr>
        <w:t>e</w:t>
      </w:r>
      <w:r w:rsidR="00201C34" w:rsidRPr="000605C4">
        <w:rPr>
          <w:rFonts w:eastAsia="Times New Roman"/>
          <w:lang w:val="fr-FR"/>
        </w:rPr>
        <w:t xml:space="preserve"> réunions (DOC.SC51-02)</w:t>
      </w:r>
    </w:p>
    <w:p w:rsidR="00201C34" w:rsidRPr="000605C4" w:rsidRDefault="00201C34" w:rsidP="00201C34">
      <w:pPr>
        <w:tabs>
          <w:tab w:val="left" w:pos="900"/>
          <w:tab w:val="left" w:pos="1920"/>
        </w:tabs>
        <w:ind w:left="360" w:hanging="360"/>
        <w:rPr>
          <w:rFonts w:eastAsia="Times New Roman"/>
          <w:lang w:val="fr-FR"/>
        </w:rPr>
      </w:pPr>
    </w:p>
    <w:p w:rsidR="00201C34" w:rsidRDefault="00C43B93" w:rsidP="00201C34">
      <w:pPr>
        <w:tabs>
          <w:tab w:val="left" w:pos="900"/>
          <w:tab w:val="left" w:pos="1920"/>
        </w:tabs>
        <w:ind w:left="360" w:hanging="360"/>
        <w:rPr>
          <w:rFonts w:eastAsia="Times New Roman"/>
          <w:lang w:val="fr-FR"/>
        </w:rPr>
      </w:pPr>
      <w:r>
        <w:rPr>
          <w:rFonts w:eastAsia="Times New Roman"/>
          <w:lang w:val="fr-FR"/>
        </w:rPr>
        <w:t>5.</w:t>
      </w:r>
      <w:r>
        <w:rPr>
          <w:rFonts w:eastAsia="Times New Roman"/>
          <w:lang w:val="fr-FR"/>
        </w:rPr>
        <w:tab/>
      </w:r>
      <w:r w:rsidR="00201C34" w:rsidRPr="000605C4">
        <w:rPr>
          <w:rFonts w:eastAsia="Times New Roman"/>
          <w:lang w:val="fr-FR"/>
        </w:rPr>
        <w:t>Questions découlant des décisions de la COP12 (DOC SC51-03 et DOC SC51-04)</w:t>
      </w:r>
    </w:p>
    <w:p w:rsidR="00DB1B5F" w:rsidRDefault="00DB1B5F" w:rsidP="00201C34">
      <w:pPr>
        <w:tabs>
          <w:tab w:val="left" w:pos="900"/>
          <w:tab w:val="left" w:pos="1920"/>
        </w:tabs>
        <w:ind w:left="360" w:hanging="360"/>
        <w:rPr>
          <w:rFonts w:eastAsia="Times New Roman"/>
          <w:lang w:val="fr-FR"/>
        </w:rPr>
      </w:pPr>
    </w:p>
    <w:p w:rsidR="00DB1B5F" w:rsidRPr="00DB6212" w:rsidRDefault="00DB1B5F" w:rsidP="00201C34">
      <w:pPr>
        <w:tabs>
          <w:tab w:val="left" w:pos="900"/>
          <w:tab w:val="left" w:pos="1920"/>
        </w:tabs>
        <w:ind w:left="360" w:hanging="360"/>
        <w:rPr>
          <w:rFonts w:eastAsia="Times New Roman"/>
          <w:spacing w:val="-4"/>
          <w:lang w:val="fr-FR"/>
        </w:rPr>
      </w:pPr>
      <w:r w:rsidRPr="00DB6212">
        <w:rPr>
          <w:rFonts w:eastAsia="Times New Roman" w:cs="Times New Roman"/>
          <w:spacing w:val="-4"/>
          <w:lang w:val="fr-FR" w:eastAsia="el-GR"/>
        </w:rPr>
        <w:t>6.</w:t>
      </w:r>
      <w:r w:rsidRPr="00DB6212">
        <w:rPr>
          <w:rFonts w:eastAsia="Times New Roman" w:cs="Times New Roman"/>
          <w:spacing w:val="-4"/>
          <w:lang w:val="fr-FR" w:eastAsia="el-GR"/>
        </w:rPr>
        <w:tab/>
        <w:t xml:space="preserve">a) Rapport vidéo du Président du GEST et examen du programme de travail du GEST </w:t>
      </w:r>
      <w:r w:rsidRPr="00DB6212">
        <w:rPr>
          <w:rFonts w:eastAsia="Times New Roman"/>
          <w:spacing w:val="-4"/>
          <w:lang w:val="fr-FR"/>
        </w:rPr>
        <w:t>(DOC.SC51-13)</w:t>
      </w:r>
    </w:p>
    <w:p w:rsidR="00DB6212" w:rsidRDefault="00DB6212" w:rsidP="00201C34">
      <w:pPr>
        <w:tabs>
          <w:tab w:val="left" w:pos="900"/>
          <w:tab w:val="left" w:pos="1920"/>
        </w:tabs>
        <w:ind w:left="360" w:hanging="360"/>
        <w:rPr>
          <w:rFonts w:eastAsia="Times New Roman"/>
          <w:lang w:val="fr-FR"/>
        </w:rPr>
      </w:pPr>
    </w:p>
    <w:p w:rsidR="00DB1B5F" w:rsidRDefault="00DB1B5F" w:rsidP="00201C34">
      <w:pPr>
        <w:tabs>
          <w:tab w:val="left" w:pos="900"/>
          <w:tab w:val="left" w:pos="1920"/>
        </w:tabs>
        <w:ind w:left="360" w:hanging="360"/>
        <w:rPr>
          <w:rFonts w:eastAsia="Garamond" w:cs="Garamond"/>
          <w:lang w:val="fr-FR"/>
        </w:rPr>
      </w:pPr>
      <w:r>
        <w:rPr>
          <w:rFonts w:eastAsia="Times New Roman"/>
          <w:lang w:val="fr-FR"/>
        </w:rPr>
        <w:tab/>
        <w:t xml:space="preserve">b) </w:t>
      </w:r>
      <w:r w:rsidRPr="000605C4">
        <w:rPr>
          <w:rFonts w:eastAsia="Garamond" w:cs="Garamond"/>
          <w:lang w:val="fr-FR"/>
        </w:rPr>
        <w:t>Rapport sur la soumission à l’IPBES d’une demande d’évaluation thématique de l’état actuel et des tendances des zones humides, y compris de leurs conditions, et sur l’exploration de moyens par lesquels la Convention peut contribuer aux travaux de l’IPBES, y compris aux évaluations régionales et mondiales de la biodiversité et des services écosystémiques</w:t>
      </w:r>
    </w:p>
    <w:p w:rsidR="00DB1B5F" w:rsidRDefault="00DB1B5F" w:rsidP="00201C34">
      <w:pPr>
        <w:tabs>
          <w:tab w:val="left" w:pos="900"/>
          <w:tab w:val="left" w:pos="1920"/>
        </w:tabs>
        <w:ind w:left="360" w:hanging="360"/>
        <w:rPr>
          <w:rFonts w:eastAsia="Garamond" w:cs="Garamond"/>
          <w:lang w:val="fr-FR"/>
        </w:rPr>
      </w:pPr>
    </w:p>
    <w:p w:rsidR="00DB1B5F" w:rsidRDefault="00DB1B5F" w:rsidP="00201C34">
      <w:pPr>
        <w:tabs>
          <w:tab w:val="left" w:pos="900"/>
          <w:tab w:val="left" w:pos="1920"/>
        </w:tabs>
        <w:ind w:left="360" w:hanging="360"/>
        <w:rPr>
          <w:rFonts w:eastAsia="Times New Roman"/>
          <w:lang w:val="fr-FR"/>
        </w:rPr>
      </w:pPr>
      <w:r>
        <w:rPr>
          <w:rFonts w:eastAsia="Garamond" w:cs="Garamond"/>
          <w:lang w:val="fr-FR"/>
        </w:rPr>
        <w:t>7.</w:t>
      </w:r>
      <w:r>
        <w:rPr>
          <w:rFonts w:eastAsia="Garamond" w:cs="Garamond"/>
          <w:lang w:val="fr-FR"/>
        </w:rPr>
        <w:tab/>
      </w:r>
      <w:r w:rsidRPr="000605C4">
        <w:rPr>
          <w:rFonts w:eastAsia="Times New Roman"/>
          <w:lang w:val="fr-FR"/>
        </w:rPr>
        <w:t>Établissement du Sous-groupe du Comité perman</w:t>
      </w:r>
      <w:r w:rsidR="00FF78D0">
        <w:rPr>
          <w:rFonts w:eastAsia="Times New Roman"/>
          <w:lang w:val="fr-FR"/>
        </w:rPr>
        <w:t>e</w:t>
      </w:r>
      <w:r w:rsidRPr="000605C4">
        <w:rPr>
          <w:rFonts w:eastAsia="Times New Roman"/>
          <w:lang w:val="fr-FR"/>
        </w:rPr>
        <w:t>nt sur la COP13</w:t>
      </w:r>
    </w:p>
    <w:p w:rsidR="00DB1B5F" w:rsidRDefault="00DB1B5F" w:rsidP="00201C34">
      <w:pPr>
        <w:tabs>
          <w:tab w:val="left" w:pos="900"/>
          <w:tab w:val="left" w:pos="1920"/>
        </w:tabs>
        <w:ind w:left="360" w:hanging="360"/>
        <w:rPr>
          <w:rFonts w:eastAsia="Times New Roman"/>
          <w:lang w:val="fr-FR"/>
        </w:rPr>
      </w:pPr>
    </w:p>
    <w:p w:rsidR="00DB1B5F" w:rsidRDefault="00DB1B5F" w:rsidP="00DC0E12">
      <w:pPr>
        <w:ind w:left="426" w:right="-20" w:hanging="426"/>
        <w:rPr>
          <w:rFonts w:eastAsia="Times New Roman"/>
          <w:b/>
          <w:lang w:val="fr-FR"/>
        </w:rPr>
      </w:pPr>
      <w:r w:rsidRPr="000605C4">
        <w:rPr>
          <w:rFonts w:eastAsia="Times New Roman"/>
          <w:b/>
          <w:lang w:val="fr-FR"/>
        </w:rPr>
        <w:t>1</w:t>
      </w:r>
      <w:r>
        <w:rPr>
          <w:rFonts w:eastAsia="Times New Roman"/>
          <w:b/>
          <w:lang w:val="fr-FR"/>
        </w:rPr>
        <w:t>5</w:t>
      </w:r>
      <w:r w:rsidRPr="000605C4">
        <w:rPr>
          <w:rFonts w:eastAsia="Times New Roman"/>
          <w:b/>
          <w:lang w:val="fr-FR"/>
        </w:rPr>
        <w:t>:00-1</w:t>
      </w:r>
      <w:r>
        <w:rPr>
          <w:rFonts w:eastAsia="Times New Roman"/>
          <w:b/>
          <w:lang w:val="fr-FR"/>
        </w:rPr>
        <w:t>6</w:t>
      </w:r>
      <w:r w:rsidRPr="000605C4">
        <w:rPr>
          <w:rFonts w:eastAsia="Times New Roman"/>
          <w:b/>
          <w:lang w:val="fr-FR"/>
        </w:rPr>
        <w:t>:00</w:t>
      </w:r>
      <w:r>
        <w:rPr>
          <w:rFonts w:eastAsia="Times New Roman"/>
          <w:b/>
          <w:lang w:val="fr-FR"/>
        </w:rPr>
        <w:tab/>
        <w:t>Séances à huis clos</w:t>
      </w:r>
    </w:p>
    <w:p w:rsidR="00DB1B5F" w:rsidRDefault="00DB1B5F" w:rsidP="00DC0E12">
      <w:pPr>
        <w:ind w:left="426" w:right="-20" w:hanging="426"/>
        <w:rPr>
          <w:rFonts w:eastAsia="Times New Roman"/>
          <w:b/>
          <w:lang w:val="fr-FR"/>
        </w:rPr>
      </w:pPr>
    </w:p>
    <w:p w:rsidR="00DB1B5F" w:rsidRDefault="00DB1B5F" w:rsidP="00DC0E12">
      <w:pPr>
        <w:ind w:left="426" w:right="-20" w:hanging="426"/>
        <w:rPr>
          <w:rFonts w:eastAsia="Times New Roman"/>
          <w:b/>
          <w:lang w:val="fr-FR"/>
        </w:rPr>
      </w:pPr>
      <w:r w:rsidRPr="000605C4">
        <w:rPr>
          <w:rFonts w:eastAsia="Times New Roman"/>
          <w:b/>
          <w:lang w:val="fr-FR"/>
        </w:rPr>
        <w:t>1</w:t>
      </w:r>
      <w:r>
        <w:rPr>
          <w:rFonts w:eastAsia="Times New Roman"/>
          <w:b/>
          <w:lang w:val="fr-FR"/>
        </w:rPr>
        <w:t>6</w:t>
      </w:r>
      <w:r w:rsidRPr="000605C4">
        <w:rPr>
          <w:rFonts w:eastAsia="Times New Roman"/>
          <w:b/>
          <w:lang w:val="fr-FR"/>
        </w:rPr>
        <w:t>:00-1</w:t>
      </w:r>
      <w:r>
        <w:rPr>
          <w:rFonts w:eastAsia="Times New Roman"/>
          <w:b/>
          <w:lang w:val="fr-FR"/>
        </w:rPr>
        <w:t>8</w:t>
      </w:r>
      <w:r w:rsidRPr="000605C4">
        <w:rPr>
          <w:rFonts w:eastAsia="Times New Roman"/>
          <w:b/>
          <w:lang w:val="fr-FR"/>
        </w:rPr>
        <w:t>:00</w:t>
      </w:r>
      <w:r>
        <w:rPr>
          <w:rFonts w:eastAsia="Times New Roman"/>
          <w:b/>
          <w:lang w:val="fr-FR"/>
        </w:rPr>
        <w:tab/>
      </w:r>
      <w:r w:rsidRPr="000605C4">
        <w:rPr>
          <w:rFonts w:eastAsia="Times New Roman"/>
          <w:b/>
          <w:lang w:val="fr-FR"/>
        </w:rPr>
        <w:t>Séance plénière du Comité permanent</w:t>
      </w:r>
    </w:p>
    <w:p w:rsidR="00DB1B5F" w:rsidRDefault="00DB1B5F" w:rsidP="00DC0E12">
      <w:pPr>
        <w:ind w:left="426" w:right="-20" w:hanging="426"/>
        <w:rPr>
          <w:rFonts w:eastAsia="Times New Roman"/>
          <w:b/>
          <w:lang w:val="fr-FR"/>
        </w:rPr>
      </w:pPr>
    </w:p>
    <w:p w:rsidR="00FF78D0" w:rsidRDefault="00FF78D0" w:rsidP="00FF78D0">
      <w:pPr>
        <w:ind w:left="426" w:right="-20" w:hanging="426"/>
        <w:rPr>
          <w:rFonts w:eastAsia="Times New Roman" w:cs="Times New Roman"/>
          <w:lang w:val="fr-FR" w:eastAsia="el-GR"/>
        </w:rPr>
      </w:pPr>
      <w:r>
        <w:rPr>
          <w:rFonts w:eastAsia="Garamond" w:cs="Garamond"/>
          <w:lang w:val="fr-FR"/>
        </w:rPr>
        <w:t>8.</w:t>
      </w:r>
      <w:r>
        <w:rPr>
          <w:rFonts w:eastAsia="Garamond" w:cs="Garamond"/>
          <w:lang w:val="fr-FR"/>
        </w:rPr>
        <w:tab/>
        <w:t xml:space="preserve">Sélection de cinq représentants régionaux du Comité permanent pour assister </w:t>
      </w:r>
      <w:r w:rsidRPr="00FF78D0">
        <w:rPr>
          <w:rFonts w:eastAsia="Times New Roman" w:cs="Times New Roman"/>
          <w:lang w:val="fr-FR" w:eastAsia="el-GR"/>
        </w:rPr>
        <w:t>à l’atelier coopératif des conventions relatives à la biodiversité</w:t>
      </w:r>
    </w:p>
    <w:p w:rsidR="00FF78D0" w:rsidRDefault="00FF78D0" w:rsidP="00FF78D0">
      <w:pPr>
        <w:ind w:left="426" w:right="-20" w:hanging="426"/>
        <w:rPr>
          <w:rFonts w:eastAsia="Times New Roman" w:cs="Times New Roman"/>
          <w:lang w:val="fr-FR" w:eastAsia="el-GR"/>
        </w:rPr>
      </w:pPr>
    </w:p>
    <w:p w:rsidR="00FF78D0" w:rsidRDefault="00FF78D0" w:rsidP="00FF78D0">
      <w:pPr>
        <w:ind w:left="426" w:right="-20" w:hanging="426"/>
        <w:rPr>
          <w:rFonts w:eastAsia="Times New Roman"/>
          <w:lang w:val="fr-FR"/>
        </w:rPr>
      </w:pPr>
      <w:r>
        <w:rPr>
          <w:rFonts w:eastAsia="Times New Roman" w:cs="Times New Roman"/>
          <w:lang w:val="fr-FR" w:eastAsia="el-GR"/>
        </w:rPr>
        <w:t>9.</w:t>
      </w:r>
      <w:r>
        <w:rPr>
          <w:rFonts w:eastAsia="Times New Roman" w:cs="Times New Roman"/>
          <w:lang w:val="fr-FR" w:eastAsia="el-GR"/>
        </w:rPr>
        <w:tab/>
      </w:r>
      <w:r w:rsidRPr="000605C4">
        <w:rPr>
          <w:rFonts w:eastAsia="Times New Roman"/>
          <w:lang w:val="fr-FR"/>
        </w:rPr>
        <w:t>Rapport du Président du Groupe de travail sur la gestion</w:t>
      </w:r>
    </w:p>
    <w:p w:rsidR="00FF78D0" w:rsidRDefault="00FF78D0" w:rsidP="00FF78D0">
      <w:pPr>
        <w:ind w:left="426" w:right="-20" w:hanging="426"/>
        <w:rPr>
          <w:rFonts w:eastAsia="Times New Roman"/>
          <w:lang w:val="fr-FR"/>
        </w:rPr>
      </w:pPr>
    </w:p>
    <w:p w:rsidR="00DC0E12" w:rsidRDefault="00FF78D0" w:rsidP="00FF78D0">
      <w:pPr>
        <w:ind w:left="426" w:right="-20" w:hanging="426"/>
        <w:rPr>
          <w:rFonts w:eastAsia="Times New Roman"/>
          <w:lang w:val="fr-FR"/>
        </w:rPr>
      </w:pPr>
      <w:r>
        <w:rPr>
          <w:rFonts w:eastAsia="Times New Roman"/>
          <w:lang w:val="fr-FR"/>
        </w:rPr>
        <w:t>10.</w:t>
      </w:r>
      <w:r>
        <w:rPr>
          <w:rFonts w:eastAsia="Times New Roman"/>
          <w:lang w:val="fr-FR"/>
        </w:rPr>
        <w:tab/>
      </w:r>
      <w:r w:rsidRPr="000605C4">
        <w:rPr>
          <w:rFonts w:eastAsia="Times New Roman"/>
          <w:lang w:val="fr-FR"/>
        </w:rPr>
        <w:t>Rapport du Président du Comité permanent</w:t>
      </w:r>
    </w:p>
    <w:p w:rsidR="00FF78D0" w:rsidRDefault="00FF78D0" w:rsidP="00FF78D0">
      <w:pPr>
        <w:ind w:left="426" w:right="-20" w:hanging="426"/>
        <w:rPr>
          <w:rFonts w:eastAsia="Times New Roman"/>
          <w:lang w:val="fr-FR"/>
        </w:rPr>
      </w:pPr>
    </w:p>
    <w:p w:rsidR="00FF78D0" w:rsidRDefault="00FF78D0" w:rsidP="00FF78D0">
      <w:pPr>
        <w:ind w:left="426" w:right="-20" w:hanging="426"/>
        <w:rPr>
          <w:rFonts w:eastAsia="Times New Roman"/>
          <w:lang w:val="fr-FR"/>
        </w:rPr>
      </w:pPr>
      <w:r>
        <w:rPr>
          <w:rFonts w:eastAsia="Times New Roman"/>
          <w:lang w:val="fr-FR"/>
        </w:rPr>
        <w:t>11.</w:t>
      </w:r>
      <w:r>
        <w:rPr>
          <w:rFonts w:eastAsia="Times New Roman"/>
          <w:lang w:val="fr-FR"/>
        </w:rPr>
        <w:tab/>
      </w:r>
      <w:r w:rsidRPr="000605C4">
        <w:rPr>
          <w:rFonts w:eastAsia="Times New Roman"/>
          <w:lang w:val="fr-FR"/>
        </w:rPr>
        <w:t>Plans de travail du Secrétariat pour la période triennale 2016-2018 et pour 2016 (DOC. SC51-07 et DOC. SC51-08)</w:t>
      </w:r>
    </w:p>
    <w:p w:rsidR="00FF78D0" w:rsidRDefault="00FF78D0" w:rsidP="00FF78D0">
      <w:pPr>
        <w:ind w:left="426" w:right="-20" w:hanging="426"/>
        <w:rPr>
          <w:rFonts w:eastAsia="Times New Roman"/>
          <w:lang w:val="fr-FR"/>
        </w:rPr>
      </w:pPr>
    </w:p>
    <w:p w:rsidR="00FF78D0" w:rsidRDefault="00FF78D0" w:rsidP="00FF78D0">
      <w:pPr>
        <w:ind w:left="426" w:right="-20" w:hanging="426"/>
        <w:rPr>
          <w:rFonts w:eastAsia="Times New Roman"/>
          <w:lang w:val="fr-FR"/>
        </w:rPr>
      </w:pPr>
      <w:r>
        <w:rPr>
          <w:rFonts w:eastAsia="Times New Roman"/>
          <w:lang w:val="fr-FR"/>
        </w:rPr>
        <w:t>12.</w:t>
      </w:r>
      <w:r>
        <w:rPr>
          <w:rFonts w:eastAsia="Times New Roman"/>
          <w:lang w:val="fr-FR"/>
        </w:rPr>
        <w:tab/>
      </w:r>
      <w:r w:rsidR="00860F90" w:rsidRPr="00860F90">
        <w:rPr>
          <w:rFonts w:eastAsia="Times New Roman" w:cs="Times New Roman"/>
          <w:lang w:val="fr-FR" w:eastAsia="el-GR"/>
        </w:rPr>
        <w:t>Rapport des initiatives régionales dans le cadre de la Convention et approbation de nouvelles initiatives régionales pour la période 2016-2018</w:t>
      </w:r>
      <w:r w:rsidR="00860F90">
        <w:rPr>
          <w:rFonts w:eastAsia="Times New Roman" w:cs="Times New Roman"/>
          <w:lang w:val="fr-FR" w:eastAsia="el-GR"/>
        </w:rPr>
        <w:t xml:space="preserve"> (DOC. </w:t>
      </w:r>
      <w:r w:rsidR="00860F90" w:rsidRPr="000605C4">
        <w:rPr>
          <w:rFonts w:eastAsia="Times New Roman"/>
          <w:lang w:val="fr-FR"/>
        </w:rPr>
        <w:t>SC51-</w:t>
      </w:r>
      <w:r w:rsidR="00860F90">
        <w:rPr>
          <w:rFonts w:eastAsia="Times New Roman"/>
          <w:lang w:val="fr-FR"/>
        </w:rPr>
        <w:t>11</w:t>
      </w:r>
      <w:r w:rsidR="00860F90" w:rsidRPr="000605C4">
        <w:rPr>
          <w:rFonts w:eastAsia="Times New Roman"/>
          <w:lang w:val="fr-FR"/>
        </w:rPr>
        <w:t xml:space="preserve"> et DOC. SC51-</w:t>
      </w:r>
      <w:r w:rsidR="00860F90">
        <w:rPr>
          <w:rFonts w:eastAsia="Times New Roman"/>
          <w:lang w:val="fr-FR"/>
        </w:rPr>
        <w:t>12</w:t>
      </w:r>
      <w:r w:rsidR="00860F90" w:rsidRPr="000605C4">
        <w:rPr>
          <w:rFonts w:eastAsia="Times New Roman"/>
          <w:lang w:val="fr-FR"/>
        </w:rPr>
        <w:t>)</w:t>
      </w:r>
    </w:p>
    <w:p w:rsidR="00860F90" w:rsidRDefault="00860F90" w:rsidP="00FF78D0">
      <w:pPr>
        <w:ind w:left="426" w:right="-20" w:hanging="426"/>
        <w:rPr>
          <w:rFonts w:eastAsia="Times New Roman"/>
          <w:lang w:val="fr-FR"/>
        </w:rPr>
      </w:pPr>
    </w:p>
    <w:p w:rsidR="00860F90" w:rsidRPr="000605C4" w:rsidRDefault="00860F90" w:rsidP="00FF78D0">
      <w:pPr>
        <w:ind w:left="426" w:right="-20" w:hanging="426"/>
        <w:rPr>
          <w:rFonts w:eastAsia="Garamond" w:cs="Garamond"/>
          <w:b/>
          <w:lang w:val="fr-FR"/>
        </w:rPr>
      </w:pPr>
      <w:r>
        <w:rPr>
          <w:rFonts w:eastAsia="Times New Roman"/>
          <w:lang w:val="fr-FR"/>
        </w:rPr>
        <w:t>13.</w:t>
      </w:r>
      <w:r>
        <w:rPr>
          <w:rFonts w:eastAsia="Times New Roman"/>
          <w:lang w:val="fr-FR"/>
        </w:rPr>
        <w:tab/>
      </w:r>
      <w:r w:rsidRPr="00860F90">
        <w:rPr>
          <w:rFonts w:eastAsia="Times New Roman" w:cs="Times New Roman"/>
          <w:lang w:val="fr-FR" w:eastAsia="el-GR"/>
        </w:rPr>
        <w:t>Rapport sur les progrès de préparation du Modèle de rapport national pour la COP13</w:t>
      </w:r>
      <w:r>
        <w:rPr>
          <w:rFonts w:eastAsia="Times New Roman" w:cs="Times New Roman"/>
          <w:lang w:val="fr-FR" w:eastAsia="el-GR"/>
        </w:rPr>
        <w:t xml:space="preserve"> (DOC. </w:t>
      </w:r>
      <w:r w:rsidRPr="000605C4">
        <w:rPr>
          <w:rFonts w:eastAsia="Times New Roman"/>
          <w:lang w:val="fr-FR"/>
        </w:rPr>
        <w:t>SC51-</w:t>
      </w:r>
      <w:r>
        <w:rPr>
          <w:rFonts w:eastAsia="Times New Roman"/>
          <w:lang w:val="fr-FR"/>
        </w:rPr>
        <w:t>09)</w:t>
      </w:r>
    </w:p>
    <w:p w:rsidR="00DC0E12" w:rsidRDefault="00DC0E12" w:rsidP="00DC0E12">
      <w:pPr>
        <w:ind w:left="426" w:right="-20" w:hanging="426"/>
        <w:rPr>
          <w:rFonts w:eastAsia="Garamond" w:cs="Garamond"/>
          <w:b/>
          <w:lang w:val="fr-FR"/>
        </w:rPr>
      </w:pPr>
    </w:p>
    <w:p w:rsidR="00DB6212" w:rsidRPr="000605C4" w:rsidRDefault="00DB6212" w:rsidP="00DC0E12">
      <w:pPr>
        <w:ind w:left="426" w:right="-20" w:hanging="426"/>
        <w:rPr>
          <w:rFonts w:eastAsia="Garamond" w:cs="Garamond"/>
          <w:b/>
          <w:lang w:val="fr-FR"/>
        </w:rPr>
      </w:pPr>
    </w:p>
    <w:p w:rsidR="002C7E0B" w:rsidRPr="000605C4" w:rsidRDefault="00DC0E12" w:rsidP="004D5355">
      <w:pPr>
        <w:ind w:left="1134" w:hanging="1134"/>
        <w:rPr>
          <w:rFonts w:eastAsia="Times New Roman"/>
          <w:b/>
          <w:lang w:val="fr-FR"/>
        </w:rPr>
      </w:pPr>
      <w:r w:rsidRPr="000605C4">
        <w:rPr>
          <w:rFonts w:eastAsia="Times New Roman"/>
          <w:b/>
          <w:lang w:val="fr-FR"/>
        </w:rPr>
        <w:lastRenderedPageBreak/>
        <w:t>Vendredi 27 novembre</w:t>
      </w:r>
      <w:r w:rsidR="00B07124" w:rsidRPr="000605C4">
        <w:rPr>
          <w:rFonts w:eastAsia="Times New Roman"/>
          <w:b/>
          <w:lang w:val="fr-FR"/>
        </w:rPr>
        <w:t xml:space="preserve"> 2015</w:t>
      </w:r>
    </w:p>
    <w:p w:rsidR="002C7E0B" w:rsidRPr="000605C4" w:rsidRDefault="002C7E0B" w:rsidP="002C7E0B">
      <w:pPr>
        <w:tabs>
          <w:tab w:val="left" w:pos="1701"/>
        </w:tabs>
        <w:ind w:left="1701" w:hanging="1161"/>
        <w:rPr>
          <w:rFonts w:eastAsia="Times New Roman"/>
          <w:b/>
          <w:lang w:val="fr-FR"/>
        </w:rPr>
      </w:pPr>
    </w:p>
    <w:p w:rsidR="0016650B" w:rsidRPr="000605C4" w:rsidRDefault="002C7E0B" w:rsidP="00E54D2D">
      <w:pPr>
        <w:tabs>
          <w:tab w:val="left" w:pos="1710"/>
        </w:tabs>
        <w:ind w:left="1701" w:hanging="1701"/>
        <w:rPr>
          <w:rFonts w:eastAsia="Times New Roman"/>
          <w:b/>
          <w:lang w:val="fr-FR"/>
        </w:rPr>
      </w:pPr>
      <w:r w:rsidRPr="000605C4">
        <w:rPr>
          <w:rFonts w:eastAsia="Times New Roman"/>
          <w:b/>
          <w:lang w:val="fr-FR"/>
        </w:rPr>
        <w:t>08:15-09:45</w:t>
      </w:r>
      <w:r w:rsidRPr="000605C4">
        <w:rPr>
          <w:rFonts w:eastAsia="Times New Roman"/>
          <w:b/>
          <w:lang w:val="fr-FR"/>
        </w:rPr>
        <w:tab/>
        <w:t>Réunions régionales</w:t>
      </w:r>
    </w:p>
    <w:p w:rsidR="002C7E0B" w:rsidRPr="000605C4" w:rsidRDefault="002C7E0B" w:rsidP="004D5355">
      <w:pPr>
        <w:tabs>
          <w:tab w:val="left" w:pos="1260"/>
        </w:tabs>
        <w:ind w:left="1701" w:hanging="1701"/>
        <w:rPr>
          <w:rFonts w:eastAsia="Times New Roman"/>
          <w:b/>
          <w:lang w:val="fr-FR"/>
        </w:rPr>
      </w:pPr>
      <w:r w:rsidRPr="000605C4">
        <w:rPr>
          <w:rFonts w:eastAsia="Times New Roman"/>
          <w:b/>
          <w:lang w:val="fr-FR"/>
        </w:rPr>
        <w:tab/>
      </w:r>
    </w:p>
    <w:p w:rsidR="002C7E0B" w:rsidRDefault="002C7E0B" w:rsidP="00E54D2D">
      <w:pPr>
        <w:tabs>
          <w:tab w:val="left" w:pos="1710"/>
        </w:tabs>
        <w:ind w:left="1701" w:hanging="1701"/>
        <w:rPr>
          <w:rFonts w:eastAsia="Times New Roman"/>
          <w:b/>
          <w:lang w:val="fr-FR"/>
        </w:rPr>
      </w:pPr>
      <w:r w:rsidRPr="000605C4">
        <w:rPr>
          <w:rFonts w:eastAsia="Times New Roman"/>
          <w:b/>
          <w:lang w:val="fr-FR"/>
        </w:rPr>
        <w:t>1</w:t>
      </w:r>
      <w:r w:rsidR="002832F7">
        <w:rPr>
          <w:rFonts w:eastAsia="Times New Roman"/>
          <w:b/>
          <w:lang w:val="fr-FR"/>
        </w:rPr>
        <w:t>2</w:t>
      </w:r>
      <w:r w:rsidRPr="000605C4">
        <w:rPr>
          <w:rFonts w:eastAsia="Times New Roman"/>
          <w:b/>
          <w:lang w:val="fr-FR"/>
        </w:rPr>
        <w:t>:00-1</w:t>
      </w:r>
      <w:r w:rsidR="002832F7">
        <w:rPr>
          <w:rFonts w:eastAsia="Times New Roman"/>
          <w:b/>
          <w:lang w:val="fr-FR"/>
        </w:rPr>
        <w:t>2</w:t>
      </w:r>
      <w:r w:rsidRPr="000605C4">
        <w:rPr>
          <w:rFonts w:eastAsia="Times New Roman"/>
          <w:b/>
          <w:lang w:val="fr-FR"/>
        </w:rPr>
        <w:t>:</w:t>
      </w:r>
      <w:r w:rsidR="002832F7">
        <w:rPr>
          <w:rFonts w:eastAsia="Times New Roman"/>
          <w:b/>
          <w:lang w:val="fr-FR"/>
        </w:rPr>
        <w:t>3</w:t>
      </w:r>
      <w:r w:rsidRPr="000605C4">
        <w:rPr>
          <w:rFonts w:eastAsia="Times New Roman"/>
          <w:b/>
          <w:lang w:val="fr-FR"/>
        </w:rPr>
        <w:t>0</w:t>
      </w:r>
      <w:r w:rsidRPr="000605C4">
        <w:rPr>
          <w:rFonts w:eastAsia="Times New Roman"/>
          <w:b/>
          <w:lang w:val="fr-FR"/>
        </w:rPr>
        <w:tab/>
        <w:t>Séance plénière du Comité permanent</w:t>
      </w:r>
    </w:p>
    <w:p w:rsidR="002832F7" w:rsidRDefault="002832F7" w:rsidP="00E54D2D">
      <w:pPr>
        <w:tabs>
          <w:tab w:val="left" w:pos="1710"/>
        </w:tabs>
        <w:ind w:left="1701" w:hanging="1701"/>
        <w:rPr>
          <w:rFonts w:eastAsia="Times New Roman"/>
          <w:b/>
          <w:lang w:val="fr-FR"/>
        </w:rPr>
      </w:pPr>
    </w:p>
    <w:p w:rsidR="002832F7" w:rsidRDefault="002832F7" w:rsidP="002832F7">
      <w:pPr>
        <w:tabs>
          <w:tab w:val="left" w:pos="900"/>
          <w:tab w:val="left" w:pos="1920"/>
        </w:tabs>
        <w:ind w:left="360" w:hanging="360"/>
        <w:rPr>
          <w:rFonts w:eastAsia="Times New Roman"/>
          <w:lang w:val="fr-FR"/>
        </w:rPr>
      </w:pPr>
      <w:r>
        <w:rPr>
          <w:rFonts w:eastAsia="Garamond" w:cs="Garamond"/>
          <w:lang w:val="fr-FR"/>
        </w:rPr>
        <w:t>7.</w:t>
      </w:r>
      <w:r>
        <w:rPr>
          <w:rFonts w:eastAsia="Garamond" w:cs="Garamond"/>
          <w:lang w:val="fr-FR"/>
        </w:rPr>
        <w:tab/>
      </w:r>
      <w:r w:rsidRPr="000605C4">
        <w:rPr>
          <w:rFonts w:eastAsia="Times New Roman"/>
          <w:lang w:val="fr-FR"/>
        </w:rPr>
        <w:t>Établissement du Sous-groupe du Comité perman</w:t>
      </w:r>
      <w:r>
        <w:rPr>
          <w:rFonts w:eastAsia="Times New Roman"/>
          <w:lang w:val="fr-FR"/>
        </w:rPr>
        <w:t>e</w:t>
      </w:r>
      <w:r w:rsidRPr="000605C4">
        <w:rPr>
          <w:rFonts w:eastAsia="Times New Roman"/>
          <w:lang w:val="fr-FR"/>
        </w:rPr>
        <w:t>nt sur la COP13</w:t>
      </w:r>
      <w:r>
        <w:rPr>
          <w:rFonts w:eastAsia="Times New Roman"/>
          <w:lang w:val="fr-FR"/>
        </w:rPr>
        <w:t xml:space="preserve"> (suite)</w:t>
      </w:r>
    </w:p>
    <w:p w:rsidR="002832F7" w:rsidRDefault="002832F7" w:rsidP="002832F7">
      <w:pPr>
        <w:tabs>
          <w:tab w:val="left" w:pos="900"/>
          <w:tab w:val="left" w:pos="1920"/>
        </w:tabs>
        <w:ind w:left="360" w:hanging="360"/>
        <w:rPr>
          <w:rFonts w:eastAsia="Times New Roman"/>
          <w:lang w:val="fr-FR"/>
        </w:rPr>
      </w:pPr>
    </w:p>
    <w:p w:rsidR="002832F7" w:rsidRDefault="002832F7" w:rsidP="002832F7">
      <w:pPr>
        <w:tabs>
          <w:tab w:val="left" w:pos="900"/>
          <w:tab w:val="left" w:pos="1920"/>
        </w:tabs>
        <w:ind w:left="1710" w:hanging="1710"/>
        <w:rPr>
          <w:rFonts w:eastAsia="Times New Roman"/>
          <w:b/>
          <w:lang w:val="fr-FR"/>
        </w:rPr>
      </w:pPr>
      <w:r w:rsidRPr="000605C4">
        <w:rPr>
          <w:rFonts w:eastAsia="Times New Roman"/>
          <w:b/>
          <w:lang w:val="fr-FR"/>
        </w:rPr>
        <w:t>1</w:t>
      </w:r>
      <w:r>
        <w:rPr>
          <w:rFonts w:eastAsia="Times New Roman"/>
          <w:b/>
          <w:lang w:val="fr-FR"/>
        </w:rPr>
        <w:t>2</w:t>
      </w:r>
      <w:r w:rsidRPr="000605C4">
        <w:rPr>
          <w:rFonts w:eastAsia="Times New Roman"/>
          <w:b/>
          <w:lang w:val="fr-FR"/>
        </w:rPr>
        <w:t>:</w:t>
      </w:r>
      <w:r>
        <w:rPr>
          <w:rFonts w:eastAsia="Times New Roman"/>
          <w:b/>
          <w:lang w:val="fr-FR"/>
        </w:rPr>
        <w:t>3</w:t>
      </w:r>
      <w:r w:rsidRPr="000605C4">
        <w:rPr>
          <w:rFonts w:eastAsia="Times New Roman"/>
          <w:b/>
          <w:lang w:val="fr-FR"/>
        </w:rPr>
        <w:t>0</w:t>
      </w:r>
      <w:r>
        <w:rPr>
          <w:rFonts w:eastAsia="Times New Roman"/>
          <w:b/>
          <w:lang w:val="fr-FR"/>
        </w:rPr>
        <w:t>-13:00</w:t>
      </w:r>
      <w:r>
        <w:rPr>
          <w:rFonts w:eastAsia="Times New Roman"/>
          <w:b/>
          <w:lang w:val="fr-FR"/>
        </w:rPr>
        <w:tab/>
        <w:t>Réunions du Sous-groupe sur la COP</w:t>
      </w:r>
      <w:r w:rsidR="00F67A1F">
        <w:rPr>
          <w:rFonts w:eastAsia="Times New Roman"/>
          <w:b/>
          <w:lang w:val="fr-FR"/>
        </w:rPr>
        <w:t>13</w:t>
      </w:r>
      <w:r>
        <w:rPr>
          <w:rFonts w:eastAsia="Times New Roman"/>
          <w:b/>
          <w:lang w:val="fr-FR"/>
        </w:rPr>
        <w:t xml:space="preserve"> et du Sous-groupe sur les finances</w:t>
      </w:r>
    </w:p>
    <w:p w:rsidR="002832F7" w:rsidRDefault="002832F7" w:rsidP="002832F7">
      <w:pPr>
        <w:tabs>
          <w:tab w:val="left" w:pos="900"/>
          <w:tab w:val="left" w:pos="1920"/>
        </w:tabs>
        <w:ind w:left="1710" w:hanging="1710"/>
        <w:rPr>
          <w:rFonts w:eastAsia="Times New Roman"/>
          <w:b/>
          <w:lang w:val="fr-FR"/>
        </w:rPr>
      </w:pPr>
    </w:p>
    <w:p w:rsidR="002832F7" w:rsidRDefault="002832F7" w:rsidP="002832F7">
      <w:pPr>
        <w:tabs>
          <w:tab w:val="left" w:pos="900"/>
          <w:tab w:val="left" w:pos="1920"/>
        </w:tabs>
        <w:ind w:left="1710" w:hanging="1710"/>
        <w:rPr>
          <w:rFonts w:eastAsia="Times New Roman"/>
          <w:b/>
          <w:lang w:val="fr-FR"/>
        </w:rPr>
      </w:pPr>
      <w:r>
        <w:rPr>
          <w:rFonts w:eastAsia="Times New Roman"/>
          <w:b/>
          <w:lang w:val="fr-FR"/>
        </w:rPr>
        <w:t>14:00-</w:t>
      </w:r>
      <w:r w:rsidRPr="000605C4">
        <w:rPr>
          <w:rFonts w:eastAsia="Times New Roman"/>
          <w:b/>
          <w:lang w:val="fr-FR"/>
        </w:rPr>
        <w:t>1</w:t>
      </w:r>
      <w:r>
        <w:rPr>
          <w:rFonts w:eastAsia="Times New Roman"/>
          <w:b/>
          <w:lang w:val="fr-FR"/>
        </w:rPr>
        <w:t>4</w:t>
      </w:r>
      <w:r w:rsidRPr="000605C4">
        <w:rPr>
          <w:rFonts w:eastAsia="Times New Roman"/>
          <w:b/>
          <w:lang w:val="fr-FR"/>
        </w:rPr>
        <w:t>:</w:t>
      </w:r>
      <w:r>
        <w:rPr>
          <w:rFonts w:eastAsia="Times New Roman"/>
          <w:b/>
          <w:lang w:val="fr-FR"/>
        </w:rPr>
        <w:t>3</w:t>
      </w:r>
      <w:r w:rsidRPr="000605C4">
        <w:rPr>
          <w:rFonts w:eastAsia="Times New Roman"/>
          <w:b/>
          <w:lang w:val="fr-FR"/>
        </w:rPr>
        <w:t>0</w:t>
      </w:r>
      <w:r>
        <w:rPr>
          <w:rFonts w:eastAsia="Times New Roman"/>
          <w:b/>
          <w:lang w:val="fr-FR"/>
        </w:rPr>
        <w:tab/>
      </w:r>
      <w:r w:rsidRPr="000605C4">
        <w:rPr>
          <w:rFonts w:eastAsia="Times New Roman"/>
          <w:b/>
          <w:lang w:val="fr-FR"/>
        </w:rPr>
        <w:t>Séance plénière du Comité permanent</w:t>
      </w:r>
    </w:p>
    <w:p w:rsidR="002832F7" w:rsidRDefault="002832F7" w:rsidP="002832F7">
      <w:pPr>
        <w:tabs>
          <w:tab w:val="left" w:pos="900"/>
          <w:tab w:val="left" w:pos="1920"/>
        </w:tabs>
        <w:ind w:left="1710" w:hanging="1710"/>
        <w:rPr>
          <w:rFonts w:eastAsia="Times New Roman"/>
          <w:b/>
          <w:lang w:val="fr-FR"/>
        </w:rPr>
      </w:pPr>
    </w:p>
    <w:p w:rsidR="002832F7" w:rsidRDefault="002832F7" w:rsidP="002832F7">
      <w:pPr>
        <w:tabs>
          <w:tab w:val="left" w:pos="450"/>
          <w:tab w:val="left" w:pos="900"/>
          <w:tab w:val="left" w:pos="1920"/>
        </w:tabs>
        <w:ind w:left="1710" w:hanging="1710"/>
        <w:rPr>
          <w:rFonts w:eastAsia="Times New Roman"/>
          <w:lang w:val="fr-FR"/>
        </w:rPr>
      </w:pPr>
      <w:r w:rsidRPr="002832F7">
        <w:rPr>
          <w:rFonts w:eastAsia="Times New Roman"/>
          <w:lang w:val="fr-FR"/>
        </w:rPr>
        <w:t>14.</w:t>
      </w:r>
      <w:r w:rsidRPr="002832F7">
        <w:rPr>
          <w:rFonts w:eastAsia="Times New Roman"/>
          <w:lang w:val="fr-FR"/>
        </w:rPr>
        <w:tab/>
      </w:r>
      <w:r w:rsidRPr="000605C4">
        <w:rPr>
          <w:rFonts w:eastAsia="Times New Roman"/>
          <w:lang w:val="fr-FR"/>
        </w:rPr>
        <w:t>Rapport du</w:t>
      </w:r>
      <w:r w:rsidRPr="002832F7">
        <w:rPr>
          <w:rFonts w:eastAsia="Times New Roman"/>
          <w:lang w:val="fr-FR"/>
        </w:rPr>
        <w:t xml:space="preserve"> </w:t>
      </w:r>
      <w:r w:rsidRPr="000605C4">
        <w:rPr>
          <w:rFonts w:eastAsia="Times New Roman"/>
          <w:lang w:val="fr-FR"/>
        </w:rPr>
        <w:t>Sous-groupe du Comité perman</w:t>
      </w:r>
      <w:r>
        <w:rPr>
          <w:rFonts w:eastAsia="Times New Roman"/>
          <w:lang w:val="fr-FR"/>
        </w:rPr>
        <w:t>e</w:t>
      </w:r>
      <w:r w:rsidRPr="000605C4">
        <w:rPr>
          <w:rFonts w:eastAsia="Times New Roman"/>
          <w:lang w:val="fr-FR"/>
        </w:rPr>
        <w:t>nt sur la COP13</w:t>
      </w:r>
    </w:p>
    <w:p w:rsidR="002832F7" w:rsidRDefault="002832F7" w:rsidP="002832F7">
      <w:pPr>
        <w:tabs>
          <w:tab w:val="left" w:pos="450"/>
          <w:tab w:val="left" w:pos="900"/>
          <w:tab w:val="left" w:pos="1920"/>
        </w:tabs>
        <w:ind w:left="1710" w:hanging="1710"/>
        <w:rPr>
          <w:rFonts w:eastAsia="Times New Roman"/>
          <w:lang w:val="fr-FR"/>
        </w:rPr>
      </w:pPr>
    </w:p>
    <w:p w:rsidR="002832F7" w:rsidRDefault="002832F7" w:rsidP="00E54D2D">
      <w:pPr>
        <w:tabs>
          <w:tab w:val="left" w:pos="1710"/>
        </w:tabs>
        <w:ind w:left="1701" w:hanging="1701"/>
        <w:rPr>
          <w:rFonts w:eastAsia="Times New Roman"/>
          <w:b/>
          <w:lang w:val="fr-FR"/>
        </w:rPr>
      </w:pPr>
      <w:r w:rsidRPr="000605C4">
        <w:rPr>
          <w:rFonts w:eastAsia="Times New Roman"/>
          <w:b/>
          <w:lang w:val="fr-FR"/>
        </w:rPr>
        <w:t>1</w:t>
      </w:r>
      <w:r>
        <w:rPr>
          <w:rFonts w:eastAsia="Times New Roman"/>
          <w:b/>
          <w:lang w:val="fr-FR"/>
        </w:rPr>
        <w:t>5</w:t>
      </w:r>
      <w:r w:rsidRPr="000605C4">
        <w:rPr>
          <w:rFonts w:eastAsia="Times New Roman"/>
          <w:b/>
          <w:lang w:val="fr-FR"/>
        </w:rPr>
        <w:t>:00-1</w:t>
      </w:r>
      <w:r>
        <w:rPr>
          <w:rFonts w:eastAsia="Times New Roman"/>
          <w:b/>
          <w:lang w:val="fr-FR"/>
        </w:rPr>
        <w:t>8</w:t>
      </w:r>
      <w:r w:rsidRPr="000605C4">
        <w:rPr>
          <w:rFonts w:eastAsia="Times New Roman"/>
          <w:b/>
          <w:lang w:val="fr-FR"/>
        </w:rPr>
        <w:t>:</w:t>
      </w:r>
      <w:r>
        <w:rPr>
          <w:rFonts w:eastAsia="Times New Roman"/>
          <w:b/>
          <w:lang w:val="fr-FR"/>
        </w:rPr>
        <w:t>0</w:t>
      </w:r>
      <w:r w:rsidRPr="000605C4">
        <w:rPr>
          <w:rFonts w:eastAsia="Times New Roman"/>
          <w:b/>
          <w:lang w:val="fr-FR"/>
        </w:rPr>
        <w:t>0</w:t>
      </w:r>
      <w:r>
        <w:rPr>
          <w:rFonts w:eastAsia="Times New Roman"/>
          <w:b/>
          <w:lang w:val="fr-FR"/>
        </w:rPr>
        <w:tab/>
      </w:r>
      <w:r w:rsidRPr="000605C4">
        <w:rPr>
          <w:rFonts w:eastAsia="Times New Roman"/>
          <w:b/>
          <w:lang w:val="fr-FR"/>
        </w:rPr>
        <w:t>Séance plénière du Comité permanent</w:t>
      </w:r>
    </w:p>
    <w:p w:rsidR="002832F7" w:rsidRDefault="002832F7" w:rsidP="00E54D2D">
      <w:pPr>
        <w:tabs>
          <w:tab w:val="left" w:pos="1710"/>
        </w:tabs>
        <w:ind w:left="1701" w:hanging="1701"/>
        <w:rPr>
          <w:rFonts w:eastAsia="Times New Roman"/>
          <w:b/>
          <w:lang w:val="fr-FR"/>
        </w:rPr>
      </w:pPr>
    </w:p>
    <w:p w:rsidR="002832F7" w:rsidRDefault="002832F7" w:rsidP="002832F7">
      <w:pPr>
        <w:tabs>
          <w:tab w:val="left" w:pos="450"/>
        </w:tabs>
        <w:ind w:left="450" w:hanging="450"/>
        <w:rPr>
          <w:rFonts w:eastAsia="Times New Roman" w:cs="Times New Roman"/>
          <w:lang w:val="fr-FR" w:eastAsia="el-GR"/>
        </w:rPr>
      </w:pPr>
      <w:r w:rsidRPr="002832F7">
        <w:rPr>
          <w:rFonts w:eastAsia="Times New Roman"/>
          <w:lang w:val="fr-FR"/>
        </w:rPr>
        <w:t>15</w:t>
      </w:r>
      <w:r>
        <w:rPr>
          <w:rFonts w:eastAsia="Times New Roman"/>
          <w:lang w:val="fr-FR"/>
        </w:rPr>
        <w:t>.</w:t>
      </w:r>
      <w:r>
        <w:rPr>
          <w:rFonts w:eastAsia="Times New Roman"/>
          <w:lang w:val="fr-FR"/>
        </w:rPr>
        <w:tab/>
      </w:r>
      <w:r w:rsidRPr="002832F7">
        <w:rPr>
          <w:rFonts w:eastAsia="Times New Roman" w:cs="Times New Roman"/>
          <w:lang w:val="fr-FR" w:eastAsia="el-GR"/>
        </w:rPr>
        <w:t>Rapport sur la mise en œuvre du Label Ville des Zones Humides accréditée par la Convention de</w:t>
      </w:r>
      <w:r>
        <w:rPr>
          <w:rFonts w:eastAsia="Times New Roman" w:cs="Times New Roman"/>
          <w:lang w:val="fr-FR" w:eastAsia="el-GR"/>
        </w:rPr>
        <w:t xml:space="preserve"> </w:t>
      </w:r>
      <w:r w:rsidRPr="002832F7">
        <w:rPr>
          <w:rFonts w:eastAsia="Times New Roman" w:cs="Times New Roman"/>
          <w:lang w:val="fr-FR" w:eastAsia="el-GR"/>
        </w:rPr>
        <w:t>Ramsar et sélection d’un Comité consultatif indépendant</w:t>
      </w:r>
    </w:p>
    <w:p w:rsidR="002832F7" w:rsidRDefault="002832F7" w:rsidP="002832F7">
      <w:pPr>
        <w:tabs>
          <w:tab w:val="left" w:pos="450"/>
        </w:tabs>
        <w:ind w:left="450" w:hanging="450"/>
        <w:rPr>
          <w:rFonts w:eastAsia="Times New Roman" w:cs="Times New Roman"/>
          <w:lang w:val="fr-FR" w:eastAsia="el-GR"/>
        </w:rPr>
      </w:pPr>
    </w:p>
    <w:p w:rsidR="00E3081D" w:rsidRDefault="002832F7" w:rsidP="002832F7">
      <w:pPr>
        <w:tabs>
          <w:tab w:val="left" w:pos="450"/>
        </w:tabs>
        <w:ind w:left="450" w:hanging="450"/>
        <w:rPr>
          <w:rFonts w:eastAsia="Times New Roman" w:cs="Times New Roman"/>
          <w:lang w:val="fr-FR" w:eastAsia="el-GR"/>
        </w:rPr>
      </w:pPr>
      <w:r>
        <w:rPr>
          <w:rFonts w:eastAsia="Times New Roman" w:cs="Times New Roman"/>
          <w:lang w:val="fr-FR" w:eastAsia="el-GR"/>
        </w:rPr>
        <w:t>16.</w:t>
      </w:r>
      <w:r>
        <w:rPr>
          <w:rFonts w:eastAsia="Times New Roman" w:cs="Times New Roman"/>
          <w:lang w:val="fr-FR" w:eastAsia="el-GR"/>
        </w:rPr>
        <w:tab/>
        <w:t xml:space="preserve">a)  </w:t>
      </w:r>
      <w:r w:rsidRPr="002832F7">
        <w:rPr>
          <w:rFonts w:eastAsia="Times New Roman" w:cs="Times New Roman"/>
          <w:lang w:val="fr-FR" w:eastAsia="el-GR"/>
        </w:rPr>
        <w:t>Progrès d’application de la Résolution XI.6, Partenariats et synergies avec les Accords multilatéraux sur l'environnement et autres institutions et plan visant à renforcer la coopération avec d’autres AME</w:t>
      </w:r>
      <w:r>
        <w:rPr>
          <w:rFonts w:eastAsia="Times New Roman" w:cs="Times New Roman"/>
          <w:lang w:val="fr-FR" w:eastAsia="el-GR"/>
        </w:rPr>
        <w:t xml:space="preserve"> (DOC. SC51-10) </w:t>
      </w:r>
      <w:r w:rsidR="00E3081D" w:rsidRPr="00E3081D">
        <w:rPr>
          <w:rFonts w:eastAsia="Times New Roman" w:cs="Times New Roman"/>
          <w:lang w:val="fr-FR" w:eastAsia="el-GR"/>
        </w:rPr>
        <w:t>accompagné de mises à jour sur les accords officiels et plans de travail conjoints entre la Convention de Ramsar et ses partenaires (DOC. SC51-23 Rev.2) et sur un document du PNUE sur l’élaboration d’options pour renforcer les synergies entre les AME (SC51 INF.DOC.04)</w:t>
      </w:r>
    </w:p>
    <w:p w:rsidR="00E3081D" w:rsidRDefault="00E3081D" w:rsidP="002832F7">
      <w:pPr>
        <w:tabs>
          <w:tab w:val="left" w:pos="450"/>
        </w:tabs>
        <w:ind w:left="450" w:hanging="450"/>
        <w:rPr>
          <w:rFonts w:eastAsia="Times New Roman" w:cs="Times New Roman"/>
          <w:lang w:val="fr-FR" w:eastAsia="el-GR"/>
        </w:rPr>
      </w:pPr>
    </w:p>
    <w:p w:rsidR="002832F7" w:rsidRPr="002832F7" w:rsidRDefault="00E3081D" w:rsidP="002832F7">
      <w:pPr>
        <w:tabs>
          <w:tab w:val="left" w:pos="450"/>
        </w:tabs>
        <w:ind w:left="450" w:hanging="450"/>
        <w:rPr>
          <w:rFonts w:eastAsia="Times New Roman"/>
          <w:lang w:val="fr-FR"/>
        </w:rPr>
      </w:pPr>
      <w:r>
        <w:rPr>
          <w:rFonts w:eastAsia="Times New Roman" w:cs="Times New Roman"/>
          <w:lang w:val="fr-FR" w:eastAsia="el-GR"/>
        </w:rPr>
        <w:tab/>
        <w:t xml:space="preserve">b) </w:t>
      </w:r>
      <w:r>
        <w:rPr>
          <w:rFonts w:eastAsia="Garamond" w:cs="Garamond"/>
          <w:lang w:val="fr-FR"/>
        </w:rPr>
        <w:t>Sélection de cinq représentants régionaux du Comité permanent pour assister au groupe consultatif informel du Groupe de liaison sur la biodiversité (GLB)</w:t>
      </w:r>
      <w:r w:rsidR="002832F7">
        <w:rPr>
          <w:lang w:val="fr-FR"/>
        </w:rPr>
        <w:t xml:space="preserve"> </w:t>
      </w:r>
    </w:p>
    <w:p w:rsidR="0016650B" w:rsidRPr="000605C4" w:rsidRDefault="0016650B" w:rsidP="004D5355">
      <w:pPr>
        <w:tabs>
          <w:tab w:val="left" w:pos="1260"/>
        </w:tabs>
        <w:ind w:left="1701" w:hanging="1701"/>
        <w:rPr>
          <w:rFonts w:eastAsia="Times New Roman"/>
          <w:lang w:val="fr-FR"/>
        </w:rPr>
      </w:pPr>
    </w:p>
    <w:p w:rsidR="00E3081D" w:rsidRDefault="00E3081D" w:rsidP="001874DE">
      <w:pPr>
        <w:ind w:left="426" w:right="-20" w:hanging="426"/>
        <w:rPr>
          <w:rFonts w:eastAsia="Garamond" w:cs="Garamond"/>
          <w:lang w:val="fr-FR"/>
        </w:rPr>
      </w:pPr>
      <w:r>
        <w:rPr>
          <w:rFonts w:eastAsia="Garamond" w:cs="Garamond"/>
          <w:lang w:val="fr-FR"/>
        </w:rPr>
        <w:t>17</w:t>
      </w:r>
      <w:r w:rsidR="00DC0E12" w:rsidRPr="000605C4">
        <w:rPr>
          <w:rFonts w:eastAsia="Garamond" w:cs="Garamond"/>
          <w:lang w:val="fr-FR"/>
        </w:rPr>
        <w:t>.</w:t>
      </w:r>
      <w:r w:rsidR="00DC0E12" w:rsidRPr="000605C4">
        <w:rPr>
          <w:rFonts w:eastAsia="Garamond" w:cs="Garamond"/>
          <w:lang w:val="fr-FR"/>
        </w:rPr>
        <w:tab/>
      </w:r>
      <w:r w:rsidRPr="000605C4">
        <w:rPr>
          <w:rFonts w:eastAsia="Garamond" w:cs="Garamond"/>
          <w:lang w:val="fr-FR"/>
        </w:rPr>
        <w:t xml:space="preserve">Rapport sur la composition du Groupe de surveillance des activités de CESP et Plan d’action </w:t>
      </w:r>
      <w:r>
        <w:rPr>
          <w:rFonts w:eastAsia="Garamond" w:cs="Garamond"/>
          <w:lang w:val="fr-FR"/>
        </w:rPr>
        <w:t>de</w:t>
      </w:r>
      <w:r w:rsidRPr="000605C4">
        <w:rPr>
          <w:rFonts w:eastAsia="Garamond" w:cs="Garamond"/>
          <w:lang w:val="fr-FR"/>
        </w:rPr>
        <w:t xml:space="preserve"> CESP (DOC. SC51-14)</w:t>
      </w:r>
    </w:p>
    <w:p w:rsidR="00E3081D" w:rsidRDefault="00E3081D" w:rsidP="001874DE">
      <w:pPr>
        <w:ind w:left="426" w:right="-20" w:hanging="426"/>
        <w:rPr>
          <w:rFonts w:eastAsia="Garamond" w:cs="Garamond"/>
          <w:lang w:val="fr-FR"/>
        </w:rPr>
      </w:pPr>
    </w:p>
    <w:p w:rsidR="00E3081D" w:rsidRDefault="00E3081D" w:rsidP="001874DE">
      <w:pPr>
        <w:ind w:left="426" w:right="-20" w:hanging="426"/>
        <w:rPr>
          <w:rFonts w:eastAsia="Garamond" w:cs="Garamond"/>
          <w:lang w:val="fr-FR"/>
        </w:rPr>
      </w:pPr>
      <w:r>
        <w:rPr>
          <w:rFonts w:eastAsia="Garamond" w:cs="Garamond"/>
          <w:lang w:val="fr-FR"/>
        </w:rPr>
        <w:t>18.</w:t>
      </w:r>
      <w:r>
        <w:rPr>
          <w:rFonts w:eastAsia="Garamond" w:cs="Garamond"/>
          <w:lang w:val="fr-FR"/>
        </w:rPr>
        <w:tab/>
      </w:r>
      <w:r w:rsidRPr="000605C4">
        <w:rPr>
          <w:rFonts w:eastAsia="Garamond" w:cs="Garamond"/>
          <w:lang w:val="fr-FR"/>
        </w:rPr>
        <w:t>Rapport sur les préparatifs de la Journée mondiale des zones humides 2016 et thèmes de la Journée mondiale des zones humides pour 2017 et 2018 (DOC. SC51-15)</w:t>
      </w:r>
    </w:p>
    <w:p w:rsidR="00E3081D" w:rsidRDefault="00E3081D" w:rsidP="001874DE">
      <w:pPr>
        <w:ind w:left="426" w:right="-20" w:hanging="426"/>
        <w:rPr>
          <w:rFonts w:eastAsia="Garamond" w:cs="Garamond"/>
          <w:lang w:val="fr-FR"/>
        </w:rPr>
      </w:pPr>
    </w:p>
    <w:p w:rsidR="00DC0E12" w:rsidRDefault="00E3081D" w:rsidP="001874DE">
      <w:pPr>
        <w:ind w:left="426" w:right="-20" w:hanging="426"/>
        <w:rPr>
          <w:rFonts w:eastAsia="Garamond" w:cs="Garamond"/>
          <w:lang w:val="fr-FR"/>
        </w:rPr>
      </w:pPr>
      <w:r>
        <w:rPr>
          <w:rFonts w:eastAsia="Garamond" w:cs="Garamond"/>
          <w:lang w:val="fr-FR"/>
        </w:rPr>
        <w:t>19.</w:t>
      </w:r>
      <w:r>
        <w:rPr>
          <w:rFonts w:eastAsia="Garamond" w:cs="Garamond"/>
          <w:lang w:val="fr-FR"/>
        </w:rPr>
        <w:tab/>
      </w:r>
      <w:r w:rsidR="00DC0E12" w:rsidRPr="000605C4">
        <w:rPr>
          <w:lang w:val="fr-FR"/>
        </w:rPr>
        <w:t xml:space="preserve">Rapport du Sous-groupe sur les finances </w:t>
      </w:r>
      <w:r w:rsidR="00DC0E12" w:rsidRPr="000605C4">
        <w:rPr>
          <w:rFonts w:eastAsia="Garamond" w:cs="Garamond"/>
          <w:lang w:val="fr-FR"/>
        </w:rPr>
        <w:t>(DOC. SC51-18, DOC.</w:t>
      </w:r>
      <w:r w:rsidR="00C96580" w:rsidRPr="000605C4">
        <w:rPr>
          <w:rFonts w:eastAsia="Garamond" w:cs="Garamond"/>
          <w:lang w:val="fr-FR"/>
        </w:rPr>
        <w:t> </w:t>
      </w:r>
      <w:r w:rsidR="00DC0E12" w:rsidRPr="000605C4">
        <w:rPr>
          <w:rFonts w:eastAsia="Garamond" w:cs="Garamond"/>
          <w:lang w:val="fr-FR"/>
        </w:rPr>
        <w:t xml:space="preserve">SC51-19, </w:t>
      </w:r>
      <w:r w:rsidR="00B65727" w:rsidRPr="000605C4">
        <w:rPr>
          <w:rFonts w:eastAsia="Garamond" w:cs="Garamond"/>
          <w:lang w:val="fr-FR"/>
        </w:rPr>
        <w:t>DOC.</w:t>
      </w:r>
      <w:r w:rsidR="00C96580" w:rsidRPr="000605C4">
        <w:rPr>
          <w:rFonts w:eastAsia="Garamond" w:cs="Garamond"/>
          <w:lang w:val="fr-FR"/>
        </w:rPr>
        <w:t> </w:t>
      </w:r>
      <w:r w:rsidR="00DC0E12" w:rsidRPr="000605C4">
        <w:rPr>
          <w:rFonts w:eastAsia="Garamond" w:cs="Garamond"/>
          <w:lang w:val="fr-FR"/>
        </w:rPr>
        <w:t xml:space="preserve">SC51-20, </w:t>
      </w:r>
      <w:r w:rsidR="00B65727" w:rsidRPr="000605C4">
        <w:rPr>
          <w:rFonts w:eastAsia="Garamond" w:cs="Garamond"/>
          <w:lang w:val="fr-FR"/>
        </w:rPr>
        <w:t>DOC.</w:t>
      </w:r>
      <w:r w:rsidR="00C96580" w:rsidRPr="000605C4">
        <w:rPr>
          <w:rFonts w:eastAsia="Garamond" w:cs="Garamond"/>
          <w:lang w:val="fr-FR"/>
        </w:rPr>
        <w:t> </w:t>
      </w:r>
      <w:r w:rsidR="00DC0E12" w:rsidRPr="000605C4">
        <w:rPr>
          <w:rFonts w:eastAsia="Garamond" w:cs="Garamond"/>
          <w:lang w:val="fr-FR"/>
        </w:rPr>
        <w:t xml:space="preserve">SC51-21 </w:t>
      </w:r>
      <w:r w:rsidR="00B65727" w:rsidRPr="000605C4">
        <w:rPr>
          <w:rFonts w:eastAsia="Garamond" w:cs="Garamond"/>
          <w:lang w:val="fr-FR"/>
        </w:rPr>
        <w:t>et</w:t>
      </w:r>
      <w:r w:rsidR="00DC0E12" w:rsidRPr="000605C4">
        <w:rPr>
          <w:rFonts w:eastAsia="Garamond" w:cs="Garamond"/>
          <w:lang w:val="fr-FR"/>
        </w:rPr>
        <w:t xml:space="preserve"> </w:t>
      </w:r>
      <w:r w:rsidR="00B65727" w:rsidRPr="000605C4">
        <w:rPr>
          <w:rFonts w:eastAsia="Garamond" w:cs="Garamond"/>
          <w:lang w:val="fr-FR"/>
        </w:rPr>
        <w:t>DOC.</w:t>
      </w:r>
      <w:r w:rsidR="00C96580" w:rsidRPr="000605C4">
        <w:rPr>
          <w:rFonts w:eastAsia="Garamond" w:cs="Garamond"/>
          <w:lang w:val="fr-FR"/>
        </w:rPr>
        <w:t> </w:t>
      </w:r>
      <w:r w:rsidR="00DC0E12" w:rsidRPr="000605C4">
        <w:rPr>
          <w:rFonts w:eastAsia="Garamond" w:cs="Garamond"/>
          <w:lang w:val="fr-FR"/>
        </w:rPr>
        <w:t>SC51-22)</w:t>
      </w:r>
    </w:p>
    <w:p w:rsidR="00B47900" w:rsidRDefault="00B47900" w:rsidP="001874DE">
      <w:pPr>
        <w:ind w:left="426" w:right="-20" w:hanging="426"/>
        <w:rPr>
          <w:rFonts w:eastAsia="Garamond" w:cs="Garamond"/>
          <w:lang w:val="fr-FR"/>
        </w:rPr>
      </w:pPr>
    </w:p>
    <w:p w:rsidR="00B47900" w:rsidRPr="000605C4" w:rsidRDefault="00E3081D" w:rsidP="001874DE">
      <w:pPr>
        <w:ind w:left="426" w:right="-20" w:hanging="426"/>
        <w:rPr>
          <w:rFonts w:eastAsia="Times New Roman"/>
          <w:lang w:val="fr-FR"/>
        </w:rPr>
      </w:pPr>
      <w:r>
        <w:rPr>
          <w:rFonts w:eastAsia="Garamond" w:cs="Garamond"/>
          <w:lang w:val="fr-FR"/>
        </w:rPr>
        <w:t>20</w:t>
      </w:r>
      <w:r w:rsidR="00B47900">
        <w:rPr>
          <w:rFonts w:eastAsia="Garamond" w:cs="Garamond"/>
          <w:lang w:val="fr-FR"/>
        </w:rPr>
        <w:t>.</w:t>
      </w:r>
      <w:r w:rsidR="00B47900">
        <w:rPr>
          <w:rFonts w:eastAsia="Garamond" w:cs="Garamond"/>
          <w:lang w:val="fr-FR"/>
        </w:rPr>
        <w:tab/>
        <w:t xml:space="preserve">Rapport </w:t>
      </w:r>
      <w:r>
        <w:rPr>
          <w:rFonts w:eastAsia="Garamond" w:cs="Garamond"/>
          <w:lang w:val="fr-FR"/>
        </w:rPr>
        <w:t>sur la représentation Ramsar au groupe consultatif informel du GLB</w:t>
      </w:r>
    </w:p>
    <w:p w:rsidR="00DC0E12" w:rsidRPr="000605C4" w:rsidRDefault="00DC0E12" w:rsidP="00E54D2D">
      <w:pPr>
        <w:tabs>
          <w:tab w:val="left" w:pos="900"/>
          <w:tab w:val="left" w:pos="1800"/>
          <w:tab w:val="left" w:pos="1920"/>
        </w:tabs>
        <w:rPr>
          <w:rFonts w:eastAsia="Times New Roman"/>
          <w:b/>
          <w:lang w:val="fr-FR"/>
        </w:rPr>
      </w:pPr>
    </w:p>
    <w:p w:rsidR="00D76939" w:rsidRPr="000605C4" w:rsidRDefault="00D76939" w:rsidP="00D76939">
      <w:pPr>
        <w:tabs>
          <w:tab w:val="left" w:pos="1920"/>
        </w:tabs>
        <w:ind w:left="360" w:hanging="360"/>
        <w:rPr>
          <w:rFonts w:eastAsia="Times New Roman"/>
          <w:b/>
          <w:lang w:val="fr-FR"/>
        </w:rPr>
      </w:pPr>
      <w:r w:rsidRPr="000605C4">
        <w:rPr>
          <w:rFonts w:eastAsia="Times New Roman"/>
          <w:b/>
          <w:lang w:val="fr-FR"/>
        </w:rPr>
        <w:t>Divers</w:t>
      </w:r>
    </w:p>
    <w:p w:rsidR="00B65727" w:rsidRPr="000605C4" w:rsidRDefault="00B65727" w:rsidP="00D76939">
      <w:pPr>
        <w:tabs>
          <w:tab w:val="left" w:pos="1920"/>
        </w:tabs>
        <w:ind w:left="360" w:hanging="360"/>
        <w:rPr>
          <w:rFonts w:eastAsia="Times New Roman"/>
          <w:b/>
          <w:lang w:val="fr-FR"/>
        </w:rPr>
      </w:pPr>
    </w:p>
    <w:p w:rsidR="0044026B" w:rsidRPr="000605C4" w:rsidRDefault="009F4000" w:rsidP="00B65727">
      <w:pPr>
        <w:tabs>
          <w:tab w:val="left" w:pos="426"/>
          <w:tab w:val="left" w:pos="630"/>
        </w:tabs>
        <w:rPr>
          <w:rFonts w:eastAsia="Times New Roman"/>
          <w:lang w:val="fr-FR"/>
        </w:rPr>
      </w:pPr>
      <w:r w:rsidRPr="000605C4">
        <w:rPr>
          <w:rFonts w:eastAsia="Times New Roman"/>
          <w:lang w:val="fr-FR"/>
        </w:rPr>
        <w:t>2</w:t>
      </w:r>
      <w:r w:rsidR="00D943D9">
        <w:rPr>
          <w:rFonts w:eastAsia="Times New Roman"/>
          <w:lang w:val="fr-FR"/>
        </w:rPr>
        <w:t>1</w:t>
      </w:r>
      <w:r w:rsidR="00B65727" w:rsidRPr="000605C4">
        <w:rPr>
          <w:rFonts w:eastAsia="Times New Roman"/>
          <w:lang w:val="fr-FR"/>
        </w:rPr>
        <w:t>.</w:t>
      </w:r>
      <w:r w:rsidR="00B65727" w:rsidRPr="000605C4">
        <w:rPr>
          <w:rFonts w:eastAsia="Times New Roman"/>
          <w:lang w:val="fr-FR"/>
        </w:rPr>
        <w:tab/>
      </w:r>
      <w:r w:rsidR="00D76939" w:rsidRPr="000605C4">
        <w:rPr>
          <w:rFonts w:eastAsia="Times New Roman"/>
          <w:lang w:val="fr-FR"/>
        </w:rPr>
        <w:t xml:space="preserve">Date et lieu de la </w:t>
      </w:r>
      <w:r w:rsidR="00B65727" w:rsidRPr="000605C4">
        <w:rPr>
          <w:rFonts w:eastAsia="Times New Roman"/>
          <w:lang w:val="fr-FR"/>
        </w:rPr>
        <w:t>52</w:t>
      </w:r>
      <w:r w:rsidR="00D76939" w:rsidRPr="000605C4">
        <w:rPr>
          <w:rFonts w:eastAsia="Times New Roman"/>
          <w:vertAlign w:val="superscript"/>
          <w:lang w:val="fr-FR"/>
        </w:rPr>
        <w:t>e</w:t>
      </w:r>
      <w:r w:rsidR="00D76939" w:rsidRPr="000605C4">
        <w:rPr>
          <w:rFonts w:eastAsia="Times New Roman"/>
          <w:lang w:val="fr-FR"/>
        </w:rPr>
        <w:t xml:space="preserve"> Réunion du Comité permanent </w:t>
      </w:r>
    </w:p>
    <w:p w:rsidR="00B65727" w:rsidRPr="000605C4" w:rsidRDefault="00B65727" w:rsidP="00B65727">
      <w:pPr>
        <w:tabs>
          <w:tab w:val="left" w:pos="426"/>
          <w:tab w:val="left" w:pos="630"/>
        </w:tabs>
        <w:rPr>
          <w:rFonts w:eastAsia="Times New Roman"/>
          <w:lang w:val="fr-FR"/>
        </w:rPr>
      </w:pPr>
    </w:p>
    <w:p w:rsidR="00D76939" w:rsidRPr="000605C4" w:rsidRDefault="009F4000" w:rsidP="00B65727">
      <w:pPr>
        <w:tabs>
          <w:tab w:val="left" w:pos="426"/>
          <w:tab w:val="left" w:pos="630"/>
        </w:tabs>
        <w:rPr>
          <w:rFonts w:eastAsia="Times New Roman"/>
          <w:lang w:val="fr-FR"/>
        </w:rPr>
      </w:pPr>
      <w:r w:rsidRPr="000605C4">
        <w:rPr>
          <w:rFonts w:eastAsia="Times New Roman"/>
          <w:lang w:val="fr-FR"/>
        </w:rPr>
        <w:t>2</w:t>
      </w:r>
      <w:r w:rsidR="00D943D9">
        <w:rPr>
          <w:rFonts w:eastAsia="Times New Roman"/>
          <w:lang w:val="fr-FR"/>
        </w:rPr>
        <w:t>2</w:t>
      </w:r>
      <w:r w:rsidR="00B65727" w:rsidRPr="000605C4">
        <w:rPr>
          <w:rFonts w:eastAsia="Times New Roman"/>
          <w:lang w:val="fr-FR"/>
        </w:rPr>
        <w:t>.</w:t>
      </w:r>
      <w:r w:rsidR="00B65727" w:rsidRPr="000605C4">
        <w:rPr>
          <w:rFonts w:eastAsia="Times New Roman"/>
          <w:lang w:val="fr-FR"/>
        </w:rPr>
        <w:tab/>
      </w:r>
      <w:r w:rsidR="00D76939" w:rsidRPr="000605C4">
        <w:rPr>
          <w:rFonts w:eastAsia="Times New Roman"/>
          <w:lang w:val="fr-FR"/>
        </w:rPr>
        <w:t xml:space="preserve">Adoption du rapport de la </w:t>
      </w:r>
      <w:r w:rsidR="00B65727" w:rsidRPr="000605C4">
        <w:rPr>
          <w:rFonts w:eastAsia="Times New Roman"/>
          <w:lang w:val="fr-FR"/>
        </w:rPr>
        <w:t>51</w:t>
      </w:r>
      <w:r w:rsidR="00D76939" w:rsidRPr="000605C4">
        <w:rPr>
          <w:rFonts w:eastAsia="Times New Roman"/>
          <w:vertAlign w:val="superscript"/>
          <w:lang w:val="fr-FR"/>
        </w:rPr>
        <w:t>e</w:t>
      </w:r>
      <w:r w:rsidR="00D76939" w:rsidRPr="000605C4">
        <w:rPr>
          <w:rFonts w:eastAsia="Times New Roman"/>
          <w:lang w:val="fr-FR"/>
        </w:rPr>
        <w:t xml:space="preserve"> Réunion</w:t>
      </w:r>
    </w:p>
    <w:p w:rsidR="00B65727" w:rsidRPr="000605C4" w:rsidRDefault="00B65727" w:rsidP="00B65727">
      <w:pPr>
        <w:tabs>
          <w:tab w:val="left" w:pos="426"/>
          <w:tab w:val="left" w:pos="630"/>
        </w:tabs>
        <w:rPr>
          <w:rFonts w:eastAsia="Times New Roman"/>
          <w:lang w:val="fr-FR"/>
        </w:rPr>
      </w:pPr>
    </w:p>
    <w:p w:rsidR="00D76939" w:rsidRPr="000605C4" w:rsidRDefault="001874DE" w:rsidP="00B65727">
      <w:pPr>
        <w:tabs>
          <w:tab w:val="left" w:pos="426"/>
          <w:tab w:val="left" w:pos="630"/>
        </w:tabs>
        <w:rPr>
          <w:rFonts w:eastAsia="Times New Roman"/>
          <w:lang w:val="fr-FR"/>
        </w:rPr>
      </w:pPr>
      <w:r>
        <w:rPr>
          <w:rFonts w:eastAsia="Times New Roman"/>
          <w:lang w:val="fr-FR"/>
        </w:rPr>
        <w:t>2</w:t>
      </w:r>
      <w:r w:rsidR="00D943D9">
        <w:rPr>
          <w:rFonts w:eastAsia="Times New Roman"/>
          <w:lang w:val="fr-FR"/>
        </w:rPr>
        <w:t>3</w:t>
      </w:r>
      <w:r w:rsidR="00B65727" w:rsidRPr="000605C4">
        <w:rPr>
          <w:rFonts w:eastAsia="Times New Roman"/>
          <w:lang w:val="fr-FR"/>
        </w:rPr>
        <w:t>.</w:t>
      </w:r>
      <w:r w:rsidR="00B65727" w:rsidRPr="000605C4">
        <w:rPr>
          <w:rFonts w:eastAsia="Times New Roman"/>
          <w:lang w:val="fr-FR"/>
        </w:rPr>
        <w:tab/>
      </w:r>
      <w:r w:rsidR="00D76939" w:rsidRPr="000605C4">
        <w:rPr>
          <w:rFonts w:eastAsia="Times New Roman"/>
          <w:lang w:val="fr-FR"/>
        </w:rPr>
        <w:t>Autres questions</w:t>
      </w:r>
    </w:p>
    <w:p w:rsidR="00B65727" w:rsidRPr="000605C4" w:rsidRDefault="00B65727" w:rsidP="00B65727">
      <w:pPr>
        <w:tabs>
          <w:tab w:val="left" w:pos="426"/>
          <w:tab w:val="left" w:pos="630"/>
        </w:tabs>
        <w:rPr>
          <w:rFonts w:eastAsia="Times New Roman"/>
          <w:lang w:val="fr-FR"/>
        </w:rPr>
      </w:pPr>
    </w:p>
    <w:p w:rsidR="00D76939" w:rsidRPr="000605C4" w:rsidRDefault="00D943D9" w:rsidP="00B65727">
      <w:pPr>
        <w:tabs>
          <w:tab w:val="left" w:pos="426"/>
          <w:tab w:val="left" w:pos="630"/>
        </w:tabs>
        <w:rPr>
          <w:rFonts w:eastAsia="Times New Roman"/>
          <w:lang w:val="fr-FR"/>
        </w:rPr>
      </w:pPr>
      <w:r>
        <w:rPr>
          <w:rFonts w:eastAsia="Times New Roman"/>
          <w:lang w:val="fr-FR"/>
        </w:rPr>
        <w:t>24</w:t>
      </w:r>
      <w:r w:rsidR="00B65727" w:rsidRPr="000605C4">
        <w:rPr>
          <w:rFonts w:eastAsia="Times New Roman"/>
          <w:lang w:val="fr-FR"/>
        </w:rPr>
        <w:t>.</w:t>
      </w:r>
      <w:r w:rsidR="00B65727" w:rsidRPr="000605C4">
        <w:rPr>
          <w:rFonts w:eastAsia="Times New Roman"/>
          <w:lang w:val="fr-FR"/>
        </w:rPr>
        <w:tab/>
      </w:r>
      <w:r w:rsidR="00D76939" w:rsidRPr="000605C4">
        <w:rPr>
          <w:rFonts w:eastAsia="Times New Roman"/>
          <w:lang w:val="fr-FR"/>
        </w:rPr>
        <w:t>Remarques de clôture</w:t>
      </w:r>
    </w:p>
    <w:p w:rsidR="00A61548" w:rsidRPr="000605C4" w:rsidRDefault="00A61548" w:rsidP="00343C72">
      <w:pPr>
        <w:pStyle w:val="ListParagraph"/>
        <w:tabs>
          <w:tab w:val="left" w:pos="1170"/>
        </w:tabs>
        <w:ind w:left="0"/>
        <w:rPr>
          <w:rFonts w:ascii="Calibri" w:eastAsia="Times New Roman" w:hAnsi="Calibri"/>
          <w:lang w:val="fr-FR"/>
        </w:rPr>
      </w:pPr>
    </w:p>
    <w:sectPr w:rsidR="00A61548" w:rsidRPr="000605C4" w:rsidSect="00066FB3">
      <w:headerReference w:type="default" r:id="rId9"/>
      <w:footerReference w:type="default" r:id="rId10"/>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C" w:rsidRDefault="00915FDC" w:rsidP="00066FB3">
      <w:r>
        <w:separator/>
      </w:r>
    </w:p>
  </w:endnote>
  <w:endnote w:type="continuationSeparator" w:id="0">
    <w:p w:rsidR="00915FDC" w:rsidRDefault="00915FDC" w:rsidP="000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E" w:rsidRPr="001874DE" w:rsidRDefault="001874DE">
    <w:pPr>
      <w:pStyle w:val="Footer"/>
    </w:pPr>
    <w:r w:rsidRPr="001874DE">
      <w:t>SC51-01 Rev.</w:t>
    </w:r>
    <w:r w:rsidR="00DB6212">
      <w:t>7</w:t>
    </w:r>
  </w:p>
  <w:p w:rsidR="001874DE" w:rsidRDefault="0018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C" w:rsidRDefault="00915FDC" w:rsidP="00066FB3">
      <w:r>
        <w:separator/>
      </w:r>
    </w:p>
  </w:footnote>
  <w:footnote w:type="continuationSeparator" w:id="0">
    <w:p w:rsidR="00915FDC" w:rsidRDefault="00915FDC" w:rsidP="0006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066FB3">
    <w:pPr>
      <w:pStyle w:val="Header"/>
      <w:jc w:val="right"/>
      <w:rPr>
        <w:rFonts w:ascii="Garamond" w:hAnsi="Garamond"/>
        <w:b/>
        <w:lang w:val="en-US"/>
      </w:rPr>
    </w:pPr>
  </w:p>
  <w:p w:rsidR="00066FB3" w:rsidRPr="00066FB3" w:rsidRDefault="00066FB3" w:rsidP="00066FB3">
    <w:pPr>
      <w:pStyle w:val="Header"/>
      <w:jc w:val="right"/>
      <w:rPr>
        <w:rFonts w:ascii="Garamond" w:hAnsi="Garamond"/>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7028E"/>
    <w:multiLevelType w:val="hybridMultilevel"/>
    <w:tmpl w:val="7CCE7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B00FA"/>
    <w:multiLevelType w:val="hybridMultilevel"/>
    <w:tmpl w:val="951A86A2"/>
    <w:lvl w:ilvl="0" w:tplc="C1C0769A">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ED22615"/>
    <w:multiLevelType w:val="hybridMultilevel"/>
    <w:tmpl w:val="4308D698"/>
    <w:lvl w:ilvl="0" w:tplc="04090017">
      <w:start w:val="1"/>
      <w:numFmt w:val="lowerLetter"/>
      <w:lvlText w:val="%1)"/>
      <w:lvlJc w:val="left"/>
      <w:pPr>
        <w:ind w:left="3366" w:hanging="360"/>
      </w:pPr>
    </w:lvl>
    <w:lvl w:ilvl="1" w:tplc="04090019" w:tentative="1">
      <w:start w:val="1"/>
      <w:numFmt w:val="lowerLetter"/>
      <w:lvlText w:val="%2."/>
      <w:lvlJc w:val="left"/>
      <w:pPr>
        <w:ind w:left="4086" w:hanging="360"/>
      </w:pPr>
    </w:lvl>
    <w:lvl w:ilvl="2" w:tplc="0409001B" w:tentative="1">
      <w:start w:val="1"/>
      <w:numFmt w:val="lowerRoman"/>
      <w:lvlText w:val="%3."/>
      <w:lvlJc w:val="right"/>
      <w:pPr>
        <w:ind w:left="4806" w:hanging="180"/>
      </w:pPr>
    </w:lvl>
    <w:lvl w:ilvl="3" w:tplc="0409000F" w:tentative="1">
      <w:start w:val="1"/>
      <w:numFmt w:val="decimal"/>
      <w:lvlText w:val="%4."/>
      <w:lvlJc w:val="left"/>
      <w:pPr>
        <w:ind w:left="5526" w:hanging="360"/>
      </w:pPr>
    </w:lvl>
    <w:lvl w:ilvl="4" w:tplc="04090019" w:tentative="1">
      <w:start w:val="1"/>
      <w:numFmt w:val="lowerLetter"/>
      <w:lvlText w:val="%5."/>
      <w:lvlJc w:val="left"/>
      <w:pPr>
        <w:ind w:left="6246" w:hanging="360"/>
      </w:pPr>
    </w:lvl>
    <w:lvl w:ilvl="5" w:tplc="0409001B" w:tentative="1">
      <w:start w:val="1"/>
      <w:numFmt w:val="lowerRoman"/>
      <w:lvlText w:val="%6."/>
      <w:lvlJc w:val="right"/>
      <w:pPr>
        <w:ind w:left="6966" w:hanging="180"/>
      </w:pPr>
    </w:lvl>
    <w:lvl w:ilvl="6" w:tplc="0409000F" w:tentative="1">
      <w:start w:val="1"/>
      <w:numFmt w:val="decimal"/>
      <w:lvlText w:val="%7."/>
      <w:lvlJc w:val="left"/>
      <w:pPr>
        <w:ind w:left="7686" w:hanging="360"/>
      </w:pPr>
    </w:lvl>
    <w:lvl w:ilvl="7" w:tplc="04090019" w:tentative="1">
      <w:start w:val="1"/>
      <w:numFmt w:val="lowerLetter"/>
      <w:lvlText w:val="%8."/>
      <w:lvlJc w:val="left"/>
      <w:pPr>
        <w:ind w:left="8406" w:hanging="360"/>
      </w:pPr>
    </w:lvl>
    <w:lvl w:ilvl="8" w:tplc="0409001B" w:tentative="1">
      <w:start w:val="1"/>
      <w:numFmt w:val="lowerRoman"/>
      <w:lvlText w:val="%9."/>
      <w:lvlJc w:val="right"/>
      <w:pPr>
        <w:ind w:left="9126" w:hanging="180"/>
      </w:pPr>
    </w:lvl>
  </w:abstractNum>
  <w:abstractNum w:abstractNumId="4">
    <w:nsid w:val="22106964"/>
    <w:multiLevelType w:val="hybridMultilevel"/>
    <w:tmpl w:val="FBE04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F5334"/>
    <w:multiLevelType w:val="hybridMultilevel"/>
    <w:tmpl w:val="8DBE17F2"/>
    <w:lvl w:ilvl="0" w:tplc="D39ED8AC">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6">
    <w:nsid w:val="2CEE6A0D"/>
    <w:multiLevelType w:val="hybridMultilevel"/>
    <w:tmpl w:val="80B87C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8">
    <w:nsid w:val="3FF260E5"/>
    <w:multiLevelType w:val="hybridMultilevel"/>
    <w:tmpl w:val="E3A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072F2"/>
    <w:multiLevelType w:val="hybridMultilevel"/>
    <w:tmpl w:val="4078C83A"/>
    <w:lvl w:ilvl="0" w:tplc="E0526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3231BD1"/>
    <w:multiLevelType w:val="hybridMultilevel"/>
    <w:tmpl w:val="A738B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B43FB"/>
    <w:multiLevelType w:val="hybridMultilevel"/>
    <w:tmpl w:val="4B9040E4"/>
    <w:lvl w:ilvl="0" w:tplc="F36C2ED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8102085"/>
    <w:multiLevelType w:val="hybridMultilevel"/>
    <w:tmpl w:val="705877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D7EA8"/>
    <w:multiLevelType w:val="hybridMultilevel"/>
    <w:tmpl w:val="99C0F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A033B31"/>
    <w:multiLevelType w:val="hybridMultilevel"/>
    <w:tmpl w:val="5C94F766"/>
    <w:lvl w:ilvl="0" w:tplc="04090017">
      <w:start w:val="1"/>
      <w:numFmt w:val="lowerLetter"/>
      <w:lvlText w:val="%1)"/>
      <w:lvlJc w:val="left"/>
      <w:pPr>
        <w:ind w:left="3366" w:hanging="360"/>
      </w:pPr>
    </w:lvl>
    <w:lvl w:ilvl="1" w:tplc="04090019" w:tentative="1">
      <w:start w:val="1"/>
      <w:numFmt w:val="lowerLetter"/>
      <w:lvlText w:val="%2."/>
      <w:lvlJc w:val="left"/>
      <w:pPr>
        <w:ind w:left="4086" w:hanging="360"/>
      </w:pPr>
    </w:lvl>
    <w:lvl w:ilvl="2" w:tplc="0409001B" w:tentative="1">
      <w:start w:val="1"/>
      <w:numFmt w:val="lowerRoman"/>
      <w:lvlText w:val="%3."/>
      <w:lvlJc w:val="right"/>
      <w:pPr>
        <w:ind w:left="4806" w:hanging="180"/>
      </w:pPr>
    </w:lvl>
    <w:lvl w:ilvl="3" w:tplc="0409000F" w:tentative="1">
      <w:start w:val="1"/>
      <w:numFmt w:val="decimal"/>
      <w:lvlText w:val="%4."/>
      <w:lvlJc w:val="left"/>
      <w:pPr>
        <w:ind w:left="5526" w:hanging="360"/>
      </w:pPr>
    </w:lvl>
    <w:lvl w:ilvl="4" w:tplc="04090019" w:tentative="1">
      <w:start w:val="1"/>
      <w:numFmt w:val="lowerLetter"/>
      <w:lvlText w:val="%5."/>
      <w:lvlJc w:val="left"/>
      <w:pPr>
        <w:ind w:left="6246" w:hanging="360"/>
      </w:pPr>
    </w:lvl>
    <w:lvl w:ilvl="5" w:tplc="0409001B" w:tentative="1">
      <w:start w:val="1"/>
      <w:numFmt w:val="lowerRoman"/>
      <w:lvlText w:val="%6."/>
      <w:lvlJc w:val="right"/>
      <w:pPr>
        <w:ind w:left="6966" w:hanging="180"/>
      </w:pPr>
    </w:lvl>
    <w:lvl w:ilvl="6" w:tplc="0409000F" w:tentative="1">
      <w:start w:val="1"/>
      <w:numFmt w:val="decimal"/>
      <w:lvlText w:val="%7."/>
      <w:lvlJc w:val="left"/>
      <w:pPr>
        <w:ind w:left="7686" w:hanging="360"/>
      </w:pPr>
    </w:lvl>
    <w:lvl w:ilvl="7" w:tplc="04090019" w:tentative="1">
      <w:start w:val="1"/>
      <w:numFmt w:val="lowerLetter"/>
      <w:lvlText w:val="%8."/>
      <w:lvlJc w:val="left"/>
      <w:pPr>
        <w:ind w:left="8406" w:hanging="360"/>
      </w:pPr>
    </w:lvl>
    <w:lvl w:ilvl="8" w:tplc="0409001B" w:tentative="1">
      <w:start w:val="1"/>
      <w:numFmt w:val="lowerRoman"/>
      <w:lvlText w:val="%9."/>
      <w:lvlJc w:val="right"/>
      <w:pPr>
        <w:ind w:left="9126" w:hanging="180"/>
      </w:pPr>
    </w:lvl>
  </w:abstractNum>
  <w:abstractNum w:abstractNumId="15">
    <w:nsid w:val="6CCF2086"/>
    <w:multiLevelType w:val="hybridMultilevel"/>
    <w:tmpl w:val="F404FA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2"/>
  </w:num>
  <w:num w:numId="5">
    <w:abstractNumId w:val="13"/>
  </w:num>
  <w:num w:numId="6">
    <w:abstractNumId w:val="8"/>
  </w:num>
  <w:num w:numId="7">
    <w:abstractNumId w:val="7"/>
  </w:num>
  <w:num w:numId="8">
    <w:abstractNumId w:val="0"/>
  </w:num>
  <w:num w:numId="9">
    <w:abstractNumId w:val="15"/>
  </w:num>
  <w:num w:numId="10">
    <w:abstractNumId w:val="10"/>
  </w:num>
  <w:num w:numId="11">
    <w:abstractNumId w:val="12"/>
  </w:num>
  <w:num w:numId="12">
    <w:abstractNumId w:val="1"/>
  </w:num>
  <w:num w:numId="13">
    <w:abstractNumId w:val="6"/>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15864"/>
    <w:rsid w:val="00027145"/>
    <w:rsid w:val="000605C4"/>
    <w:rsid w:val="00066FB3"/>
    <w:rsid w:val="00072F3C"/>
    <w:rsid w:val="00077E25"/>
    <w:rsid w:val="000A1B6F"/>
    <w:rsid w:val="000B29BB"/>
    <w:rsid w:val="000B6D82"/>
    <w:rsid w:val="000E71E9"/>
    <w:rsid w:val="001132B7"/>
    <w:rsid w:val="0013195E"/>
    <w:rsid w:val="0016650B"/>
    <w:rsid w:val="0018213C"/>
    <w:rsid w:val="001874DE"/>
    <w:rsid w:val="001B730A"/>
    <w:rsid w:val="001C3B64"/>
    <w:rsid w:val="001D6EB0"/>
    <w:rsid w:val="001F558F"/>
    <w:rsid w:val="00201C34"/>
    <w:rsid w:val="00223B1C"/>
    <w:rsid w:val="00231EC7"/>
    <w:rsid w:val="00241F9B"/>
    <w:rsid w:val="00245F61"/>
    <w:rsid w:val="00246052"/>
    <w:rsid w:val="00262541"/>
    <w:rsid w:val="002808CD"/>
    <w:rsid w:val="002832F7"/>
    <w:rsid w:val="00297316"/>
    <w:rsid w:val="002A1F5A"/>
    <w:rsid w:val="002C7E0B"/>
    <w:rsid w:val="002F0F9D"/>
    <w:rsid w:val="00330559"/>
    <w:rsid w:val="00337BFC"/>
    <w:rsid w:val="00343C72"/>
    <w:rsid w:val="00363984"/>
    <w:rsid w:val="00365078"/>
    <w:rsid w:val="003A09BA"/>
    <w:rsid w:val="003E034F"/>
    <w:rsid w:val="003E1206"/>
    <w:rsid w:val="003F7874"/>
    <w:rsid w:val="0041175A"/>
    <w:rsid w:val="004336F5"/>
    <w:rsid w:val="004362DD"/>
    <w:rsid w:val="0044026B"/>
    <w:rsid w:val="00465802"/>
    <w:rsid w:val="004823AC"/>
    <w:rsid w:val="004A3BB1"/>
    <w:rsid w:val="004B3C99"/>
    <w:rsid w:val="004C1337"/>
    <w:rsid w:val="004D4558"/>
    <w:rsid w:val="004D5355"/>
    <w:rsid w:val="004E5076"/>
    <w:rsid w:val="0050026F"/>
    <w:rsid w:val="00504ED4"/>
    <w:rsid w:val="00525B3B"/>
    <w:rsid w:val="0053770A"/>
    <w:rsid w:val="00540CC3"/>
    <w:rsid w:val="00566560"/>
    <w:rsid w:val="005A08B4"/>
    <w:rsid w:val="005A71DE"/>
    <w:rsid w:val="005C40DD"/>
    <w:rsid w:val="005D1D1C"/>
    <w:rsid w:val="005D2715"/>
    <w:rsid w:val="005D5100"/>
    <w:rsid w:val="005D61A5"/>
    <w:rsid w:val="005E350D"/>
    <w:rsid w:val="005F0025"/>
    <w:rsid w:val="0062129B"/>
    <w:rsid w:val="00652659"/>
    <w:rsid w:val="006947E0"/>
    <w:rsid w:val="006C655D"/>
    <w:rsid w:val="007001E9"/>
    <w:rsid w:val="00712020"/>
    <w:rsid w:val="00757912"/>
    <w:rsid w:val="00762B97"/>
    <w:rsid w:val="00783D06"/>
    <w:rsid w:val="008040D9"/>
    <w:rsid w:val="00823421"/>
    <w:rsid w:val="00843659"/>
    <w:rsid w:val="00854068"/>
    <w:rsid w:val="00860F90"/>
    <w:rsid w:val="0086546D"/>
    <w:rsid w:val="00880146"/>
    <w:rsid w:val="008B3850"/>
    <w:rsid w:val="008B510D"/>
    <w:rsid w:val="008F1E6D"/>
    <w:rsid w:val="00915DD7"/>
    <w:rsid w:val="00915FDC"/>
    <w:rsid w:val="009318E4"/>
    <w:rsid w:val="00980D0C"/>
    <w:rsid w:val="00984B16"/>
    <w:rsid w:val="00994AAE"/>
    <w:rsid w:val="009B25F9"/>
    <w:rsid w:val="009C3AEA"/>
    <w:rsid w:val="009E2B40"/>
    <w:rsid w:val="009F4000"/>
    <w:rsid w:val="00A36E15"/>
    <w:rsid w:val="00A61548"/>
    <w:rsid w:val="00A74E30"/>
    <w:rsid w:val="00A9645E"/>
    <w:rsid w:val="00AA3CCA"/>
    <w:rsid w:val="00AA6F10"/>
    <w:rsid w:val="00AB6087"/>
    <w:rsid w:val="00AB6F98"/>
    <w:rsid w:val="00AC60B0"/>
    <w:rsid w:val="00B07124"/>
    <w:rsid w:val="00B404A0"/>
    <w:rsid w:val="00B47900"/>
    <w:rsid w:val="00B579EB"/>
    <w:rsid w:val="00B65727"/>
    <w:rsid w:val="00B82697"/>
    <w:rsid w:val="00B947F5"/>
    <w:rsid w:val="00BA4FF6"/>
    <w:rsid w:val="00BC7A3F"/>
    <w:rsid w:val="00BE483B"/>
    <w:rsid w:val="00C337AB"/>
    <w:rsid w:val="00C43B93"/>
    <w:rsid w:val="00C8279D"/>
    <w:rsid w:val="00C96580"/>
    <w:rsid w:val="00CA4626"/>
    <w:rsid w:val="00CA715A"/>
    <w:rsid w:val="00CB1B1C"/>
    <w:rsid w:val="00CB551F"/>
    <w:rsid w:val="00CE190E"/>
    <w:rsid w:val="00D00060"/>
    <w:rsid w:val="00D206DD"/>
    <w:rsid w:val="00D20E9A"/>
    <w:rsid w:val="00D30701"/>
    <w:rsid w:val="00D62021"/>
    <w:rsid w:val="00D76939"/>
    <w:rsid w:val="00D943D9"/>
    <w:rsid w:val="00DB1B5F"/>
    <w:rsid w:val="00DB6212"/>
    <w:rsid w:val="00DC0E12"/>
    <w:rsid w:val="00E05436"/>
    <w:rsid w:val="00E074B5"/>
    <w:rsid w:val="00E24DA1"/>
    <w:rsid w:val="00E3081D"/>
    <w:rsid w:val="00E54D2D"/>
    <w:rsid w:val="00E568F8"/>
    <w:rsid w:val="00E70B87"/>
    <w:rsid w:val="00E7448A"/>
    <w:rsid w:val="00E910BA"/>
    <w:rsid w:val="00EA7002"/>
    <w:rsid w:val="00F004B2"/>
    <w:rsid w:val="00F16DD4"/>
    <w:rsid w:val="00F60C42"/>
    <w:rsid w:val="00F65550"/>
    <w:rsid w:val="00F67A1F"/>
    <w:rsid w:val="00F9360C"/>
    <w:rsid w:val="00F977B0"/>
    <w:rsid w:val="00FC63CF"/>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A"/>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0A"/>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4591-2AE1-46C5-855A-7E10BF0F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2</cp:revision>
  <cp:lastPrinted>2015-08-08T16:25:00Z</cp:lastPrinted>
  <dcterms:created xsi:type="dcterms:W3CDTF">2016-02-18T09:13:00Z</dcterms:created>
  <dcterms:modified xsi:type="dcterms:W3CDTF">2016-02-18T09:13:00Z</dcterms:modified>
</cp:coreProperties>
</file>