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35655" w14:textId="77CA4A25" w:rsidR="00920E7F" w:rsidRPr="0081702E"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lang w:val="fr-CA"/>
        </w:rPr>
      </w:pPr>
      <w:bookmarkStart w:id="0" w:name="OLE_LINK1"/>
      <w:bookmarkStart w:id="1" w:name="OLE_LINK2"/>
      <w:r w:rsidRPr="0081702E">
        <w:rPr>
          <w:rFonts w:asciiTheme="majorHAnsi" w:eastAsia="Batang" w:hAnsiTheme="majorHAnsi"/>
          <w:bCs/>
          <w:lang w:val="fr-CA"/>
        </w:rPr>
        <w:t>CONVENTION</w:t>
      </w:r>
      <w:r w:rsidR="00E01336" w:rsidRPr="0081702E">
        <w:rPr>
          <w:rFonts w:asciiTheme="majorHAnsi" w:eastAsia="Batang" w:hAnsiTheme="majorHAnsi"/>
          <w:bCs/>
          <w:lang w:val="fr-CA"/>
        </w:rPr>
        <w:t xml:space="preserve"> </w:t>
      </w:r>
      <w:r w:rsidR="00082ACC">
        <w:rPr>
          <w:rFonts w:asciiTheme="majorHAnsi" w:eastAsia="Batang" w:hAnsiTheme="majorHAnsi"/>
          <w:bCs/>
          <w:lang w:val="fr-CA"/>
        </w:rPr>
        <w:t>SUR LES ZONES HUMIDES</w:t>
      </w:r>
      <w:r w:rsidR="00E01336" w:rsidRPr="0081702E">
        <w:rPr>
          <w:rFonts w:asciiTheme="majorHAnsi" w:eastAsia="Batang" w:hAnsiTheme="majorHAnsi"/>
          <w:bCs/>
          <w:lang w:val="fr-CA"/>
        </w:rPr>
        <w:t xml:space="preserve"> </w:t>
      </w:r>
      <w:r w:rsidRPr="0081702E">
        <w:rPr>
          <w:rFonts w:asciiTheme="majorHAnsi" w:eastAsia="Batang" w:hAnsiTheme="majorHAnsi"/>
          <w:bCs/>
          <w:lang w:val="fr-CA"/>
        </w:rPr>
        <w:t>(Ramsar,</w:t>
      </w:r>
      <w:r w:rsidR="00E01336" w:rsidRPr="0081702E">
        <w:rPr>
          <w:rFonts w:asciiTheme="majorHAnsi" w:eastAsia="Batang" w:hAnsiTheme="majorHAnsi"/>
          <w:bCs/>
          <w:lang w:val="fr-CA"/>
        </w:rPr>
        <w:t xml:space="preserve"> </w:t>
      </w:r>
      <w:r w:rsidRPr="0081702E">
        <w:rPr>
          <w:rFonts w:asciiTheme="majorHAnsi" w:eastAsia="Batang" w:hAnsiTheme="majorHAnsi"/>
          <w:bCs/>
          <w:lang w:val="fr-CA"/>
        </w:rPr>
        <w:t>Iran,</w:t>
      </w:r>
      <w:r w:rsidR="00E01336" w:rsidRPr="0081702E">
        <w:rPr>
          <w:rFonts w:asciiTheme="majorHAnsi" w:eastAsia="Batang" w:hAnsiTheme="majorHAnsi"/>
          <w:bCs/>
          <w:lang w:val="fr-CA"/>
        </w:rPr>
        <w:t xml:space="preserve"> </w:t>
      </w:r>
      <w:r w:rsidRPr="0081702E">
        <w:rPr>
          <w:rFonts w:asciiTheme="majorHAnsi" w:eastAsia="Batang" w:hAnsiTheme="majorHAnsi"/>
          <w:bCs/>
          <w:lang w:val="fr-CA"/>
        </w:rPr>
        <w:t>1971)</w:t>
      </w:r>
    </w:p>
    <w:p w14:paraId="1B13BE2B" w14:textId="79E23143" w:rsidR="00920E7F" w:rsidRPr="0081702E"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lang w:val="fr-CA"/>
        </w:rPr>
      </w:pPr>
      <w:r w:rsidRPr="0081702E">
        <w:rPr>
          <w:rFonts w:asciiTheme="majorHAnsi" w:eastAsia="Batang" w:hAnsiTheme="majorHAnsi"/>
          <w:bCs/>
          <w:lang w:val="fr-CA"/>
        </w:rPr>
        <w:t>51</w:t>
      </w:r>
      <w:r w:rsidR="00082ACC">
        <w:rPr>
          <w:rFonts w:asciiTheme="majorHAnsi" w:eastAsia="Batang" w:hAnsiTheme="majorHAnsi"/>
          <w:bCs/>
          <w:vertAlign w:val="superscript"/>
          <w:lang w:val="fr-CA"/>
        </w:rPr>
        <w:t>e</w:t>
      </w:r>
      <w:r w:rsidR="00E01336" w:rsidRPr="0081702E">
        <w:rPr>
          <w:rFonts w:asciiTheme="majorHAnsi" w:eastAsia="Batang" w:hAnsiTheme="majorHAnsi"/>
          <w:bCs/>
          <w:lang w:val="fr-CA"/>
        </w:rPr>
        <w:t xml:space="preserve"> </w:t>
      </w:r>
      <w:r w:rsidR="00082ACC">
        <w:rPr>
          <w:rFonts w:asciiTheme="majorHAnsi" w:eastAsia="Batang" w:hAnsiTheme="majorHAnsi"/>
          <w:bCs/>
          <w:lang w:val="fr-CA"/>
        </w:rPr>
        <w:t>Réunion du Comité permanent</w:t>
      </w:r>
    </w:p>
    <w:p w14:paraId="5F732F71" w14:textId="2926926A" w:rsidR="00920E7F" w:rsidRPr="0081702E" w:rsidRDefault="00920E7F" w:rsidP="00914A1A">
      <w:pPr>
        <w:pBdr>
          <w:top w:val="single" w:sz="12" w:space="0" w:color="auto" w:shadow="1"/>
          <w:left w:val="single" w:sz="12" w:space="4" w:color="auto" w:shadow="1"/>
          <w:bottom w:val="single" w:sz="12" w:space="0" w:color="auto" w:shadow="1"/>
          <w:right w:val="single" w:sz="12" w:space="7" w:color="auto" w:shadow="1"/>
        </w:pBdr>
        <w:suppressAutoHyphens/>
        <w:ind w:right="2790"/>
        <w:rPr>
          <w:rFonts w:asciiTheme="majorHAnsi" w:eastAsia="Batang" w:hAnsiTheme="majorHAnsi"/>
          <w:bCs/>
          <w:lang w:val="fr-CA"/>
        </w:rPr>
      </w:pPr>
      <w:r w:rsidRPr="0081702E">
        <w:rPr>
          <w:rFonts w:asciiTheme="majorHAnsi" w:eastAsia="Batang" w:hAnsiTheme="majorHAnsi"/>
          <w:bCs/>
          <w:lang w:val="fr-CA"/>
        </w:rPr>
        <w:t>Gland,</w:t>
      </w:r>
      <w:r w:rsidR="00E01336" w:rsidRPr="0081702E">
        <w:rPr>
          <w:rFonts w:asciiTheme="majorHAnsi" w:eastAsia="Batang" w:hAnsiTheme="majorHAnsi"/>
          <w:bCs/>
          <w:lang w:val="fr-CA"/>
        </w:rPr>
        <w:t xml:space="preserve"> </w:t>
      </w:r>
      <w:r w:rsidR="00082ACC">
        <w:rPr>
          <w:rFonts w:asciiTheme="majorHAnsi" w:eastAsia="Batang" w:hAnsiTheme="majorHAnsi"/>
          <w:bCs/>
          <w:lang w:val="fr-CA"/>
        </w:rPr>
        <w:t>Suisse</w:t>
      </w:r>
      <w:r w:rsidRPr="0081702E">
        <w:rPr>
          <w:rFonts w:asciiTheme="majorHAnsi" w:eastAsia="Batang" w:hAnsiTheme="majorHAnsi"/>
          <w:bCs/>
          <w:lang w:val="fr-CA"/>
        </w:rPr>
        <w:t>,</w:t>
      </w:r>
      <w:r w:rsidR="00E01336" w:rsidRPr="0081702E">
        <w:rPr>
          <w:rFonts w:asciiTheme="majorHAnsi" w:eastAsia="Batang" w:hAnsiTheme="majorHAnsi"/>
          <w:bCs/>
          <w:lang w:val="fr-CA"/>
        </w:rPr>
        <w:t xml:space="preserve"> </w:t>
      </w:r>
      <w:r w:rsidR="00082ACC">
        <w:rPr>
          <w:rFonts w:asciiTheme="majorHAnsi" w:eastAsia="Batang" w:hAnsiTheme="majorHAnsi"/>
          <w:bCs/>
          <w:lang w:val="fr-CA"/>
        </w:rPr>
        <w:t xml:space="preserve">23 au </w:t>
      </w:r>
      <w:r w:rsidRPr="0081702E">
        <w:rPr>
          <w:rFonts w:asciiTheme="majorHAnsi" w:eastAsia="Batang" w:hAnsiTheme="majorHAnsi"/>
          <w:bCs/>
          <w:lang w:val="fr-CA"/>
        </w:rPr>
        <w:t>27</w:t>
      </w:r>
      <w:r w:rsidR="00082ACC">
        <w:rPr>
          <w:rFonts w:asciiTheme="majorHAnsi" w:eastAsia="Batang" w:hAnsiTheme="majorHAnsi"/>
          <w:bCs/>
          <w:lang w:val="fr-CA"/>
        </w:rPr>
        <w:t> novembre</w:t>
      </w:r>
      <w:r w:rsidR="00E01336" w:rsidRPr="0081702E">
        <w:rPr>
          <w:rFonts w:asciiTheme="majorHAnsi" w:eastAsia="Batang" w:hAnsiTheme="majorHAnsi"/>
          <w:bCs/>
          <w:lang w:val="fr-CA"/>
        </w:rPr>
        <w:t xml:space="preserve"> </w:t>
      </w:r>
      <w:r w:rsidRPr="0081702E">
        <w:rPr>
          <w:rFonts w:asciiTheme="majorHAnsi" w:eastAsia="Batang" w:hAnsiTheme="majorHAnsi"/>
          <w:bCs/>
          <w:lang w:val="fr-CA"/>
        </w:rPr>
        <w:t>2015</w:t>
      </w:r>
    </w:p>
    <w:p w14:paraId="60EFF613" w14:textId="77777777" w:rsidR="00920E7F" w:rsidRPr="0081702E" w:rsidRDefault="00920E7F" w:rsidP="00914A1A">
      <w:pPr>
        <w:keepNext/>
        <w:suppressAutoHyphens/>
        <w:outlineLvl w:val="0"/>
        <w:rPr>
          <w:rFonts w:asciiTheme="majorHAnsi" w:eastAsia="Batang" w:hAnsiTheme="majorHAnsi"/>
          <w:b/>
          <w:lang w:val="fr-CA"/>
        </w:rPr>
      </w:pPr>
    </w:p>
    <w:p w14:paraId="70C02E56" w14:textId="03655AF2" w:rsidR="00920E7F" w:rsidRPr="0081702E" w:rsidRDefault="00920E7F" w:rsidP="00914A1A">
      <w:pPr>
        <w:jc w:val="right"/>
        <w:rPr>
          <w:rFonts w:asciiTheme="majorHAnsi" w:eastAsiaTheme="minorHAnsi" w:hAnsiTheme="majorHAnsi" w:cstheme="minorBidi"/>
          <w:b/>
          <w:sz w:val="28"/>
          <w:szCs w:val="28"/>
          <w:lang w:val="fr-CA"/>
        </w:rPr>
      </w:pPr>
      <w:r w:rsidRPr="0081702E">
        <w:rPr>
          <w:rFonts w:asciiTheme="majorHAnsi" w:eastAsiaTheme="minorHAnsi" w:hAnsiTheme="majorHAnsi" w:cstheme="minorBidi"/>
          <w:b/>
          <w:sz w:val="28"/>
          <w:szCs w:val="28"/>
          <w:lang w:val="fr-CA"/>
        </w:rPr>
        <w:t>SC51-13</w:t>
      </w:r>
    </w:p>
    <w:p w14:paraId="4EA7375A" w14:textId="77777777" w:rsidR="00920E7F" w:rsidRPr="0081702E" w:rsidRDefault="00920E7F" w:rsidP="00914A1A">
      <w:pPr>
        <w:jc w:val="center"/>
        <w:rPr>
          <w:rFonts w:asciiTheme="majorHAnsi" w:eastAsiaTheme="minorHAnsi" w:hAnsiTheme="majorHAnsi" w:cstheme="minorBidi"/>
          <w:b/>
          <w:sz w:val="28"/>
          <w:szCs w:val="28"/>
          <w:lang w:val="fr-CA"/>
        </w:rPr>
      </w:pPr>
    </w:p>
    <w:p w14:paraId="697379D6" w14:textId="788DDD03" w:rsidR="00372E0C" w:rsidRPr="0081702E" w:rsidRDefault="00E01336" w:rsidP="002309E9">
      <w:pPr>
        <w:jc w:val="center"/>
        <w:rPr>
          <w:rFonts w:asciiTheme="majorHAnsi" w:eastAsiaTheme="minorHAnsi" w:hAnsiTheme="majorHAnsi" w:cstheme="minorBidi"/>
          <w:b/>
          <w:sz w:val="28"/>
          <w:szCs w:val="28"/>
          <w:lang w:val="fr-CA"/>
        </w:rPr>
      </w:pPr>
      <w:r w:rsidRPr="0081702E">
        <w:rPr>
          <w:rFonts w:asciiTheme="majorHAnsi" w:eastAsiaTheme="minorHAnsi" w:hAnsiTheme="majorHAnsi" w:cstheme="minorBidi"/>
          <w:b/>
          <w:sz w:val="28"/>
          <w:szCs w:val="28"/>
          <w:lang w:val="fr-CA"/>
        </w:rPr>
        <w:t xml:space="preserve"> </w:t>
      </w:r>
      <w:r w:rsidR="00372E0C" w:rsidRPr="0081702E">
        <w:rPr>
          <w:rFonts w:asciiTheme="majorHAnsi" w:eastAsiaTheme="minorHAnsi" w:hAnsiTheme="majorHAnsi" w:cstheme="minorBidi"/>
          <w:b/>
          <w:sz w:val="28"/>
          <w:szCs w:val="28"/>
          <w:lang w:val="fr-CA"/>
        </w:rPr>
        <w:t>R</w:t>
      </w:r>
      <w:r w:rsidR="00082ACC">
        <w:rPr>
          <w:rFonts w:asciiTheme="majorHAnsi" w:eastAsiaTheme="minorHAnsi" w:hAnsiTheme="majorHAnsi" w:cstheme="minorBidi"/>
          <w:b/>
          <w:sz w:val="28"/>
          <w:szCs w:val="28"/>
          <w:lang w:val="fr-CA"/>
        </w:rPr>
        <w:t xml:space="preserve">apport du Président du Groupe </w:t>
      </w:r>
      <w:r w:rsidR="002309E9">
        <w:rPr>
          <w:rFonts w:asciiTheme="majorHAnsi" w:eastAsiaTheme="minorHAnsi" w:hAnsiTheme="majorHAnsi" w:cstheme="minorBidi"/>
          <w:b/>
          <w:sz w:val="28"/>
          <w:szCs w:val="28"/>
          <w:lang w:val="fr-CA"/>
        </w:rPr>
        <w:t xml:space="preserve">d’évaluation </w:t>
      </w:r>
      <w:r w:rsidR="00082ACC">
        <w:rPr>
          <w:rFonts w:asciiTheme="majorHAnsi" w:eastAsiaTheme="minorHAnsi" w:hAnsiTheme="majorHAnsi" w:cstheme="minorBidi"/>
          <w:b/>
          <w:sz w:val="28"/>
          <w:szCs w:val="28"/>
          <w:lang w:val="fr-CA"/>
        </w:rPr>
        <w:t xml:space="preserve">scientifique et technique (GEST) et </w:t>
      </w:r>
      <w:r w:rsidR="002309E9">
        <w:rPr>
          <w:rFonts w:asciiTheme="majorHAnsi" w:eastAsiaTheme="minorHAnsi" w:hAnsiTheme="majorHAnsi" w:cstheme="minorBidi"/>
          <w:b/>
          <w:sz w:val="28"/>
          <w:szCs w:val="28"/>
          <w:lang w:val="fr-CA"/>
        </w:rPr>
        <w:t xml:space="preserve">projet de plan de travail du GEST </w:t>
      </w:r>
      <w:r w:rsidR="00372E0C" w:rsidRPr="0081702E">
        <w:rPr>
          <w:rFonts w:asciiTheme="majorHAnsi" w:eastAsiaTheme="minorHAnsi" w:hAnsiTheme="majorHAnsi" w:cstheme="minorBidi"/>
          <w:b/>
          <w:sz w:val="28"/>
          <w:szCs w:val="28"/>
          <w:lang w:val="fr-CA"/>
        </w:rPr>
        <w:t>20</w:t>
      </w:r>
      <w:r w:rsidR="007E34EC" w:rsidRPr="0081702E">
        <w:rPr>
          <w:rFonts w:asciiTheme="majorHAnsi" w:eastAsiaTheme="minorHAnsi" w:hAnsiTheme="majorHAnsi" w:cstheme="minorBidi"/>
          <w:b/>
          <w:sz w:val="28"/>
          <w:szCs w:val="28"/>
          <w:lang w:val="fr-CA"/>
        </w:rPr>
        <w:t>16</w:t>
      </w:r>
      <w:r w:rsidR="00372E0C" w:rsidRPr="0081702E">
        <w:rPr>
          <w:rFonts w:asciiTheme="majorHAnsi" w:eastAsiaTheme="minorHAnsi" w:hAnsiTheme="majorHAnsi" w:cstheme="minorBidi"/>
          <w:b/>
          <w:sz w:val="28"/>
          <w:szCs w:val="28"/>
          <w:lang w:val="fr-CA"/>
        </w:rPr>
        <w:t>-201</w:t>
      </w:r>
      <w:r w:rsidR="007E34EC" w:rsidRPr="0081702E">
        <w:rPr>
          <w:rFonts w:asciiTheme="majorHAnsi" w:eastAsiaTheme="minorHAnsi" w:hAnsiTheme="majorHAnsi" w:cstheme="minorBidi"/>
          <w:b/>
          <w:sz w:val="28"/>
          <w:szCs w:val="28"/>
          <w:lang w:val="fr-CA"/>
        </w:rPr>
        <w:t>8</w:t>
      </w:r>
      <w:r w:rsidRPr="0081702E">
        <w:rPr>
          <w:rFonts w:asciiTheme="majorHAnsi" w:eastAsiaTheme="minorHAnsi" w:hAnsiTheme="majorHAnsi" w:cstheme="minorBidi"/>
          <w:b/>
          <w:sz w:val="28"/>
          <w:szCs w:val="28"/>
          <w:lang w:val="fr-CA"/>
        </w:rPr>
        <w:t xml:space="preserve"> </w:t>
      </w:r>
    </w:p>
    <w:p w14:paraId="229278D8" w14:textId="77777777" w:rsidR="00920E7F" w:rsidRPr="0081702E" w:rsidRDefault="00920E7F" w:rsidP="00914A1A">
      <w:pPr>
        <w:jc w:val="center"/>
        <w:rPr>
          <w:rFonts w:asciiTheme="majorHAnsi" w:eastAsiaTheme="minorHAnsi" w:hAnsiTheme="majorHAnsi" w:cstheme="minorBidi"/>
          <w:b/>
          <w:sz w:val="28"/>
          <w:szCs w:val="28"/>
          <w:lang w:val="fr-CA"/>
        </w:rPr>
      </w:pPr>
    </w:p>
    <w:bookmarkEnd w:id="0"/>
    <w:bookmarkEnd w:id="1"/>
    <w:p w14:paraId="0642857B" w14:textId="34C658ED" w:rsidR="00703261" w:rsidRPr="0081702E" w:rsidRDefault="00372E0C" w:rsidP="00914A1A">
      <w:pPr>
        <w:pBdr>
          <w:top w:val="single" w:sz="4" w:space="1" w:color="auto"/>
          <w:left w:val="single" w:sz="4" w:space="4" w:color="auto"/>
          <w:bottom w:val="single" w:sz="4" w:space="1" w:color="auto"/>
          <w:right w:val="single" w:sz="4" w:space="4" w:color="auto"/>
        </w:pBdr>
        <w:rPr>
          <w:rFonts w:asciiTheme="majorHAnsi" w:hAnsiTheme="majorHAnsi"/>
          <w:b/>
          <w:sz w:val="22"/>
          <w:szCs w:val="22"/>
          <w:lang w:val="fr-CA"/>
        </w:rPr>
      </w:pPr>
      <w:r w:rsidRPr="0081702E">
        <w:rPr>
          <w:rFonts w:asciiTheme="majorHAnsi" w:hAnsiTheme="majorHAnsi"/>
          <w:b/>
          <w:sz w:val="22"/>
          <w:szCs w:val="22"/>
          <w:lang w:val="fr-CA"/>
        </w:rPr>
        <w:t>Action</w:t>
      </w:r>
      <w:r w:rsidR="00EF211E" w:rsidRPr="0081702E">
        <w:rPr>
          <w:rFonts w:asciiTheme="majorHAnsi" w:hAnsiTheme="majorHAnsi"/>
          <w:b/>
          <w:sz w:val="22"/>
          <w:szCs w:val="22"/>
          <w:lang w:val="fr-CA"/>
        </w:rPr>
        <w:t>s</w:t>
      </w:r>
      <w:r w:rsidR="00E01336" w:rsidRPr="0081702E">
        <w:rPr>
          <w:rFonts w:asciiTheme="majorHAnsi" w:hAnsiTheme="majorHAnsi"/>
          <w:b/>
          <w:sz w:val="22"/>
          <w:szCs w:val="22"/>
          <w:lang w:val="fr-CA"/>
        </w:rPr>
        <w:t xml:space="preserve"> </w:t>
      </w:r>
      <w:r w:rsidR="002309E9">
        <w:rPr>
          <w:rFonts w:asciiTheme="majorHAnsi" w:hAnsiTheme="majorHAnsi"/>
          <w:b/>
          <w:sz w:val="22"/>
          <w:szCs w:val="22"/>
          <w:lang w:val="fr-CA"/>
        </w:rPr>
        <w:t>requises </w:t>
      </w:r>
      <w:r w:rsidRPr="0081702E">
        <w:rPr>
          <w:rFonts w:asciiTheme="majorHAnsi" w:hAnsiTheme="majorHAnsi"/>
          <w:b/>
          <w:sz w:val="22"/>
          <w:szCs w:val="22"/>
          <w:lang w:val="fr-CA"/>
        </w:rPr>
        <w:t>:</w:t>
      </w:r>
      <w:r w:rsidR="00E01336" w:rsidRPr="0081702E">
        <w:rPr>
          <w:rFonts w:asciiTheme="majorHAnsi" w:hAnsiTheme="majorHAnsi"/>
          <w:b/>
          <w:sz w:val="22"/>
          <w:szCs w:val="22"/>
          <w:lang w:val="fr-CA"/>
        </w:rPr>
        <w:t xml:space="preserve"> </w:t>
      </w:r>
    </w:p>
    <w:p w14:paraId="78EDDEF1" w14:textId="2E449664" w:rsidR="00656349" w:rsidRPr="0081702E" w:rsidRDefault="002309E9" w:rsidP="00914A1A">
      <w:pPr>
        <w:pBdr>
          <w:top w:val="single" w:sz="4" w:space="1" w:color="auto"/>
          <w:left w:val="single" w:sz="4" w:space="4" w:color="auto"/>
          <w:bottom w:val="single" w:sz="4" w:space="1" w:color="auto"/>
          <w:right w:val="single" w:sz="4" w:space="4" w:color="auto"/>
        </w:pBdr>
        <w:rPr>
          <w:rFonts w:asciiTheme="majorHAnsi" w:hAnsiTheme="majorHAnsi"/>
          <w:sz w:val="22"/>
          <w:szCs w:val="22"/>
          <w:lang w:val="fr-CA"/>
        </w:rPr>
      </w:pPr>
      <w:r>
        <w:rPr>
          <w:rFonts w:asciiTheme="majorHAnsi" w:hAnsiTheme="majorHAnsi"/>
          <w:sz w:val="22"/>
          <w:szCs w:val="22"/>
          <w:lang w:val="fr-CA"/>
        </w:rPr>
        <w:t>Le Comité permanent est invité à :</w:t>
      </w:r>
    </w:p>
    <w:p w14:paraId="588ECF11" w14:textId="616ED4EA" w:rsidR="00656349" w:rsidRPr="0081702E"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sz w:val="22"/>
          <w:szCs w:val="22"/>
          <w:lang w:val="fr-CA"/>
        </w:rPr>
      </w:pPr>
      <w:r w:rsidRPr="0081702E">
        <w:rPr>
          <w:rFonts w:asciiTheme="majorHAnsi" w:hAnsiTheme="majorHAnsi"/>
          <w:sz w:val="22"/>
          <w:szCs w:val="22"/>
          <w:lang w:val="fr-CA"/>
        </w:rPr>
        <w:tab/>
      </w:r>
      <w:r w:rsidR="00656349" w:rsidRPr="0081702E">
        <w:rPr>
          <w:rFonts w:asciiTheme="majorHAnsi" w:hAnsiTheme="majorHAnsi"/>
          <w:sz w:val="22"/>
          <w:szCs w:val="22"/>
          <w:lang w:val="fr-CA"/>
        </w:rPr>
        <w:t>a)</w:t>
      </w:r>
      <w:r w:rsidR="00E01336" w:rsidRPr="0081702E">
        <w:rPr>
          <w:rFonts w:asciiTheme="majorHAnsi" w:hAnsiTheme="majorHAnsi"/>
          <w:sz w:val="22"/>
          <w:szCs w:val="22"/>
          <w:lang w:val="fr-CA"/>
        </w:rPr>
        <w:t xml:space="preserve"> </w:t>
      </w:r>
      <w:r w:rsidRPr="0081702E">
        <w:rPr>
          <w:rFonts w:asciiTheme="majorHAnsi" w:hAnsiTheme="majorHAnsi"/>
          <w:sz w:val="22"/>
          <w:szCs w:val="22"/>
          <w:lang w:val="fr-CA"/>
        </w:rPr>
        <w:tab/>
      </w:r>
      <w:r w:rsidR="002309E9">
        <w:rPr>
          <w:rFonts w:asciiTheme="majorHAnsi" w:hAnsiTheme="majorHAnsi"/>
          <w:sz w:val="22"/>
          <w:szCs w:val="22"/>
          <w:lang w:val="fr-CA"/>
        </w:rPr>
        <w:t>prendre note du rapport du Président du GEST;</w:t>
      </w:r>
    </w:p>
    <w:p w14:paraId="79AAA167" w14:textId="3DAEBE66" w:rsidR="00656349" w:rsidRPr="0081702E"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sz w:val="22"/>
          <w:szCs w:val="22"/>
          <w:lang w:val="fr-CA"/>
        </w:rPr>
      </w:pPr>
      <w:r w:rsidRPr="0081702E">
        <w:rPr>
          <w:rFonts w:asciiTheme="majorHAnsi" w:hAnsiTheme="majorHAnsi"/>
          <w:sz w:val="22"/>
          <w:szCs w:val="22"/>
          <w:lang w:val="fr-CA"/>
        </w:rPr>
        <w:tab/>
      </w:r>
      <w:r w:rsidR="00656349" w:rsidRPr="0081702E">
        <w:rPr>
          <w:rFonts w:asciiTheme="majorHAnsi" w:hAnsiTheme="majorHAnsi"/>
          <w:sz w:val="22"/>
          <w:szCs w:val="22"/>
          <w:lang w:val="fr-CA"/>
        </w:rPr>
        <w:t>b)</w:t>
      </w:r>
      <w:r w:rsidR="00E01336" w:rsidRPr="0081702E">
        <w:rPr>
          <w:rFonts w:asciiTheme="majorHAnsi" w:hAnsiTheme="majorHAnsi"/>
          <w:sz w:val="22"/>
          <w:szCs w:val="22"/>
          <w:lang w:val="fr-CA"/>
        </w:rPr>
        <w:t xml:space="preserve"> </w:t>
      </w:r>
      <w:r w:rsidRPr="0081702E">
        <w:rPr>
          <w:rFonts w:asciiTheme="majorHAnsi" w:hAnsiTheme="majorHAnsi"/>
          <w:sz w:val="22"/>
          <w:szCs w:val="22"/>
          <w:lang w:val="fr-CA"/>
        </w:rPr>
        <w:tab/>
      </w:r>
      <w:r w:rsidR="002309E9">
        <w:rPr>
          <w:rFonts w:asciiTheme="majorHAnsi" w:hAnsiTheme="majorHAnsi"/>
          <w:sz w:val="22"/>
          <w:szCs w:val="22"/>
          <w:lang w:val="fr-CA"/>
        </w:rPr>
        <w:t xml:space="preserve">examiner et approuver le projet de plan de travail du GEST </w:t>
      </w:r>
      <w:r w:rsidR="007B5675" w:rsidRPr="0081702E">
        <w:rPr>
          <w:rFonts w:asciiTheme="majorHAnsi" w:hAnsiTheme="majorHAnsi"/>
          <w:sz w:val="22"/>
          <w:szCs w:val="22"/>
          <w:lang w:val="fr-CA"/>
        </w:rPr>
        <w:t>2016-2018</w:t>
      </w:r>
      <w:r w:rsidR="00E01336" w:rsidRPr="0081702E">
        <w:rPr>
          <w:rFonts w:asciiTheme="majorHAnsi" w:hAnsiTheme="majorHAnsi"/>
          <w:sz w:val="22"/>
          <w:szCs w:val="22"/>
          <w:lang w:val="fr-CA"/>
        </w:rPr>
        <w:t xml:space="preserve"> </w:t>
      </w:r>
      <w:r w:rsidR="007B5675" w:rsidRPr="0081702E">
        <w:rPr>
          <w:rFonts w:asciiTheme="majorHAnsi" w:hAnsiTheme="majorHAnsi"/>
          <w:sz w:val="22"/>
          <w:szCs w:val="22"/>
          <w:lang w:val="fr-CA"/>
        </w:rPr>
        <w:t>(</w:t>
      </w:r>
      <w:r w:rsidR="00F80EF2">
        <w:rPr>
          <w:rFonts w:asciiTheme="majorHAnsi" w:hAnsiTheme="majorHAnsi"/>
          <w:sz w:val="22"/>
          <w:szCs w:val="22"/>
          <w:lang w:val="fr-CA"/>
        </w:rPr>
        <w:t>a</w:t>
      </w:r>
      <w:r w:rsidR="007B5675" w:rsidRPr="0081702E">
        <w:rPr>
          <w:rFonts w:asciiTheme="majorHAnsi" w:hAnsiTheme="majorHAnsi"/>
          <w:sz w:val="22"/>
          <w:szCs w:val="22"/>
          <w:lang w:val="fr-CA"/>
        </w:rPr>
        <w:t>nnex</w:t>
      </w:r>
      <w:r w:rsidR="002309E9">
        <w:rPr>
          <w:rFonts w:asciiTheme="majorHAnsi" w:hAnsiTheme="majorHAnsi"/>
          <w:sz w:val="22"/>
          <w:szCs w:val="22"/>
          <w:lang w:val="fr-CA"/>
        </w:rPr>
        <w:t>e </w:t>
      </w:r>
      <w:r w:rsidR="00F80EF2">
        <w:rPr>
          <w:rFonts w:asciiTheme="majorHAnsi" w:hAnsiTheme="majorHAnsi"/>
          <w:sz w:val="22"/>
          <w:szCs w:val="22"/>
          <w:lang w:val="fr-CA"/>
        </w:rPr>
        <w:t>1</w:t>
      </w:r>
      <w:r w:rsidR="007B5675" w:rsidRPr="0081702E">
        <w:rPr>
          <w:rFonts w:asciiTheme="majorHAnsi" w:hAnsiTheme="majorHAnsi"/>
          <w:sz w:val="22"/>
          <w:szCs w:val="22"/>
          <w:lang w:val="fr-CA"/>
        </w:rPr>
        <w:t>)</w:t>
      </w:r>
      <w:r w:rsidR="00656349" w:rsidRPr="0081702E">
        <w:rPr>
          <w:rFonts w:asciiTheme="majorHAnsi" w:hAnsiTheme="majorHAnsi"/>
          <w:sz w:val="22"/>
          <w:szCs w:val="22"/>
          <w:lang w:val="fr-CA"/>
        </w:rPr>
        <w:t>;</w:t>
      </w:r>
      <w:r w:rsidR="00E01336" w:rsidRPr="0081702E">
        <w:rPr>
          <w:rFonts w:asciiTheme="majorHAnsi" w:hAnsiTheme="majorHAnsi"/>
          <w:sz w:val="22"/>
          <w:szCs w:val="22"/>
          <w:lang w:val="fr-CA"/>
        </w:rPr>
        <w:t xml:space="preserve"> </w:t>
      </w:r>
    </w:p>
    <w:p w14:paraId="21FEF1A5" w14:textId="3B308B9F" w:rsidR="00656349" w:rsidRPr="0081702E"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sz w:val="22"/>
          <w:szCs w:val="22"/>
          <w:lang w:val="fr-CA"/>
        </w:rPr>
      </w:pPr>
      <w:r w:rsidRPr="0081702E">
        <w:rPr>
          <w:rFonts w:asciiTheme="majorHAnsi" w:hAnsiTheme="majorHAnsi"/>
          <w:sz w:val="22"/>
          <w:szCs w:val="22"/>
          <w:lang w:val="fr-CA"/>
        </w:rPr>
        <w:tab/>
      </w:r>
      <w:r w:rsidR="00656349" w:rsidRPr="0081702E">
        <w:rPr>
          <w:rFonts w:asciiTheme="majorHAnsi" w:hAnsiTheme="majorHAnsi"/>
          <w:sz w:val="22"/>
          <w:szCs w:val="22"/>
          <w:lang w:val="fr-CA"/>
        </w:rPr>
        <w:t>c)</w:t>
      </w:r>
      <w:r w:rsidR="00E01336" w:rsidRPr="0081702E">
        <w:rPr>
          <w:rFonts w:asciiTheme="majorHAnsi" w:hAnsiTheme="majorHAnsi"/>
          <w:sz w:val="22"/>
          <w:szCs w:val="22"/>
          <w:lang w:val="fr-CA"/>
        </w:rPr>
        <w:t xml:space="preserve"> </w:t>
      </w:r>
      <w:r w:rsidRPr="0081702E">
        <w:rPr>
          <w:rFonts w:asciiTheme="majorHAnsi" w:hAnsiTheme="majorHAnsi"/>
          <w:sz w:val="22"/>
          <w:szCs w:val="22"/>
          <w:lang w:val="fr-CA"/>
        </w:rPr>
        <w:tab/>
      </w:r>
      <w:r w:rsidR="002309E9">
        <w:rPr>
          <w:rFonts w:asciiTheme="majorHAnsi" w:hAnsiTheme="majorHAnsi"/>
          <w:sz w:val="22"/>
          <w:szCs w:val="22"/>
          <w:lang w:val="fr-CA"/>
        </w:rPr>
        <w:t xml:space="preserve">examiner les moyens de trouver un financement pour la mise en œuvre des tâches </w:t>
      </w:r>
      <w:r w:rsidR="000D57FF">
        <w:rPr>
          <w:rFonts w:asciiTheme="majorHAnsi" w:hAnsiTheme="majorHAnsi"/>
          <w:sz w:val="22"/>
          <w:szCs w:val="22"/>
          <w:lang w:val="fr-CA"/>
        </w:rPr>
        <w:t>décrites</w:t>
      </w:r>
      <w:r w:rsidR="002309E9">
        <w:rPr>
          <w:rFonts w:asciiTheme="majorHAnsi" w:hAnsiTheme="majorHAnsi"/>
          <w:sz w:val="22"/>
          <w:szCs w:val="22"/>
          <w:lang w:val="fr-CA"/>
        </w:rPr>
        <w:t xml:space="preserve"> dans le plan de travail du GEST </w:t>
      </w:r>
      <w:r w:rsidR="007B5675" w:rsidRPr="0081702E">
        <w:rPr>
          <w:rFonts w:asciiTheme="majorHAnsi" w:hAnsiTheme="majorHAnsi"/>
          <w:sz w:val="22"/>
          <w:szCs w:val="22"/>
          <w:lang w:val="fr-CA"/>
        </w:rPr>
        <w:t>2016-2018</w:t>
      </w:r>
      <w:r w:rsidR="002309E9">
        <w:rPr>
          <w:rFonts w:asciiTheme="majorHAnsi" w:hAnsiTheme="majorHAnsi"/>
          <w:sz w:val="22"/>
          <w:szCs w:val="22"/>
          <w:lang w:val="fr-CA"/>
        </w:rPr>
        <w:t xml:space="preserve"> approuvé, si nécessaire; et </w:t>
      </w:r>
      <w:r w:rsidR="00E01336" w:rsidRPr="0081702E">
        <w:rPr>
          <w:rFonts w:asciiTheme="majorHAnsi" w:hAnsiTheme="majorHAnsi"/>
          <w:sz w:val="22"/>
          <w:szCs w:val="22"/>
          <w:lang w:val="fr-CA"/>
        </w:rPr>
        <w:t xml:space="preserve"> </w:t>
      </w:r>
    </w:p>
    <w:p w14:paraId="4C88F8EB" w14:textId="18237741" w:rsidR="00372E0C" w:rsidRPr="0081702E" w:rsidRDefault="00AF1432" w:rsidP="00914A1A">
      <w:pPr>
        <w:pBdr>
          <w:top w:val="single" w:sz="4" w:space="1" w:color="auto"/>
          <w:left w:val="single" w:sz="4" w:space="4" w:color="auto"/>
          <w:bottom w:val="single" w:sz="4" w:space="1" w:color="auto"/>
          <w:right w:val="single" w:sz="4" w:space="4" w:color="auto"/>
        </w:pBdr>
        <w:tabs>
          <w:tab w:val="left" w:pos="567"/>
        </w:tabs>
        <w:ind w:left="851" w:hanging="851"/>
        <w:rPr>
          <w:rFonts w:asciiTheme="majorHAnsi" w:hAnsiTheme="majorHAnsi"/>
          <w:b/>
          <w:sz w:val="22"/>
          <w:szCs w:val="22"/>
          <w:lang w:val="fr-CA"/>
        </w:rPr>
      </w:pPr>
      <w:r w:rsidRPr="0081702E">
        <w:rPr>
          <w:rFonts w:asciiTheme="majorHAnsi" w:hAnsiTheme="majorHAnsi"/>
          <w:sz w:val="22"/>
          <w:szCs w:val="22"/>
          <w:lang w:val="fr-CA"/>
        </w:rPr>
        <w:tab/>
      </w:r>
      <w:r w:rsidR="00656349" w:rsidRPr="0081702E">
        <w:rPr>
          <w:rFonts w:asciiTheme="majorHAnsi" w:hAnsiTheme="majorHAnsi"/>
          <w:sz w:val="22"/>
          <w:szCs w:val="22"/>
          <w:lang w:val="fr-CA"/>
        </w:rPr>
        <w:t>d)</w:t>
      </w:r>
      <w:r w:rsidR="00E01336" w:rsidRPr="0081702E">
        <w:rPr>
          <w:rFonts w:asciiTheme="majorHAnsi" w:hAnsiTheme="majorHAnsi"/>
          <w:sz w:val="22"/>
          <w:szCs w:val="22"/>
          <w:lang w:val="fr-CA"/>
        </w:rPr>
        <w:t xml:space="preserve"> </w:t>
      </w:r>
      <w:r w:rsidRPr="0081702E">
        <w:rPr>
          <w:rFonts w:asciiTheme="majorHAnsi" w:hAnsiTheme="majorHAnsi"/>
          <w:sz w:val="22"/>
          <w:szCs w:val="22"/>
          <w:lang w:val="fr-CA"/>
        </w:rPr>
        <w:tab/>
      </w:r>
      <w:r w:rsidR="002309E9">
        <w:rPr>
          <w:rFonts w:asciiTheme="majorHAnsi" w:hAnsiTheme="majorHAnsi"/>
          <w:sz w:val="22"/>
          <w:szCs w:val="22"/>
          <w:lang w:val="fr-CA"/>
        </w:rPr>
        <w:t>prendre les mesures voulues concernant les incendies de tourbières en Indonésie dans le but de proposer un appui par l’intermédiaire des mécanismes de la Convention, y compris le GEST.</w:t>
      </w:r>
    </w:p>
    <w:p w14:paraId="3DC22F21" w14:textId="77777777" w:rsidR="00372E0C" w:rsidRPr="0081702E" w:rsidRDefault="00372E0C" w:rsidP="00914A1A">
      <w:pPr>
        <w:ind w:left="567" w:hanging="567"/>
        <w:rPr>
          <w:rFonts w:asciiTheme="majorHAnsi" w:hAnsiTheme="majorHAnsi"/>
          <w:b/>
          <w:sz w:val="22"/>
          <w:szCs w:val="22"/>
          <w:lang w:val="fr-CA"/>
        </w:rPr>
      </w:pPr>
    </w:p>
    <w:p w14:paraId="5D96E412" w14:textId="77777777" w:rsidR="00372E0C" w:rsidRPr="0081702E" w:rsidRDefault="00372E0C" w:rsidP="00914A1A">
      <w:pPr>
        <w:ind w:left="567" w:hanging="567"/>
        <w:rPr>
          <w:rFonts w:asciiTheme="majorHAnsi" w:hAnsiTheme="majorHAnsi"/>
          <w:b/>
          <w:sz w:val="22"/>
          <w:szCs w:val="22"/>
          <w:lang w:val="fr-CA"/>
        </w:rPr>
      </w:pPr>
      <w:r w:rsidRPr="0081702E">
        <w:rPr>
          <w:rFonts w:asciiTheme="majorHAnsi" w:hAnsiTheme="majorHAnsi"/>
          <w:b/>
          <w:sz w:val="22"/>
          <w:szCs w:val="22"/>
          <w:lang w:val="fr-CA"/>
        </w:rPr>
        <w:t>Introduction</w:t>
      </w:r>
    </w:p>
    <w:p w14:paraId="5B0B4AD1" w14:textId="77777777" w:rsidR="00496E6B" w:rsidRPr="0081702E" w:rsidRDefault="00496E6B" w:rsidP="00914A1A">
      <w:pPr>
        <w:ind w:left="567" w:hanging="567"/>
        <w:rPr>
          <w:rFonts w:asciiTheme="majorHAnsi" w:eastAsia="Calibri" w:hAnsiTheme="majorHAnsi" w:cs="Calibri"/>
          <w:sz w:val="22"/>
          <w:szCs w:val="22"/>
          <w:lang w:val="fr-CA"/>
        </w:rPr>
      </w:pPr>
    </w:p>
    <w:p w14:paraId="2880DF09" w14:textId="6946C081" w:rsidR="00F74AFE" w:rsidRPr="0081702E" w:rsidRDefault="002309E9" w:rsidP="00914A1A">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Le présent rapport rédigé par le Président du Groupe d’évaluation scientifique et technique (GEST) couvre la participation du GEST à la 12</w:t>
      </w:r>
      <w:r w:rsidRPr="002309E9">
        <w:rPr>
          <w:rFonts w:asciiTheme="majorHAnsi" w:hAnsiTheme="majorHAnsi"/>
          <w:szCs w:val="22"/>
          <w:vertAlign w:val="superscript"/>
          <w:lang w:val="fr-CA"/>
        </w:rPr>
        <w:t>e</w:t>
      </w:r>
      <w:r>
        <w:rPr>
          <w:rFonts w:asciiTheme="majorHAnsi" w:hAnsiTheme="majorHAnsi"/>
          <w:szCs w:val="22"/>
          <w:lang w:val="fr-CA"/>
        </w:rPr>
        <w:t xml:space="preserve"> Session de la Conférence des Parties </w:t>
      </w:r>
      <w:r w:rsidR="007508C5" w:rsidRPr="0081702E">
        <w:rPr>
          <w:rFonts w:asciiTheme="majorHAnsi" w:hAnsiTheme="majorHAnsi"/>
          <w:szCs w:val="22"/>
          <w:lang w:val="fr-CA"/>
        </w:rPr>
        <w:t>(</w:t>
      </w:r>
      <w:r w:rsidR="001506F4" w:rsidRPr="0081702E">
        <w:rPr>
          <w:rFonts w:asciiTheme="majorHAnsi" w:hAnsiTheme="majorHAnsi"/>
          <w:szCs w:val="22"/>
          <w:lang w:val="fr-CA"/>
        </w:rPr>
        <w:t>COP12</w:t>
      </w:r>
      <w:r w:rsidR="007508C5" w:rsidRPr="0081702E">
        <w:rPr>
          <w:rFonts w:asciiTheme="majorHAnsi" w:hAnsiTheme="majorHAnsi"/>
          <w:szCs w:val="22"/>
          <w:lang w:val="fr-CA"/>
        </w:rPr>
        <w:t>)</w:t>
      </w:r>
      <w:r w:rsidR="001506F4" w:rsidRPr="0081702E">
        <w:rPr>
          <w:rFonts w:asciiTheme="majorHAnsi" w:hAnsiTheme="majorHAnsi"/>
          <w:szCs w:val="22"/>
          <w:lang w:val="fr-CA"/>
        </w:rPr>
        <w:t>,</w:t>
      </w:r>
      <w:r w:rsidR="00E01336" w:rsidRPr="0081702E">
        <w:rPr>
          <w:rFonts w:asciiTheme="majorHAnsi" w:hAnsiTheme="majorHAnsi"/>
          <w:szCs w:val="22"/>
          <w:lang w:val="fr-CA"/>
        </w:rPr>
        <w:t xml:space="preserve"> </w:t>
      </w:r>
      <w:r>
        <w:rPr>
          <w:rFonts w:asciiTheme="majorHAnsi" w:hAnsiTheme="majorHAnsi"/>
          <w:szCs w:val="22"/>
          <w:lang w:val="fr-CA"/>
        </w:rPr>
        <w:t xml:space="preserve">à </w:t>
      </w:r>
      <w:r w:rsidR="007508C5" w:rsidRPr="0081702E">
        <w:rPr>
          <w:rFonts w:asciiTheme="majorHAnsi" w:hAnsiTheme="majorHAnsi"/>
          <w:szCs w:val="22"/>
          <w:lang w:val="fr-CA"/>
        </w:rPr>
        <w:t>Punta</w:t>
      </w:r>
      <w:r>
        <w:rPr>
          <w:rFonts w:asciiTheme="majorHAnsi" w:hAnsiTheme="majorHAnsi"/>
          <w:szCs w:val="22"/>
          <w:lang w:val="fr-CA"/>
        </w:rPr>
        <w:t> </w:t>
      </w:r>
      <w:r w:rsidR="007508C5" w:rsidRPr="0081702E">
        <w:rPr>
          <w:rFonts w:asciiTheme="majorHAnsi" w:hAnsiTheme="majorHAnsi"/>
          <w:szCs w:val="22"/>
          <w:lang w:val="fr-CA"/>
        </w:rPr>
        <w:t>del</w:t>
      </w:r>
      <w:r>
        <w:rPr>
          <w:rFonts w:asciiTheme="majorHAnsi" w:hAnsiTheme="majorHAnsi"/>
          <w:szCs w:val="22"/>
          <w:lang w:val="fr-CA"/>
        </w:rPr>
        <w:t> </w:t>
      </w:r>
      <w:r w:rsidR="007508C5" w:rsidRPr="0081702E">
        <w:rPr>
          <w:rFonts w:asciiTheme="majorHAnsi" w:hAnsiTheme="majorHAnsi"/>
          <w:szCs w:val="22"/>
          <w:lang w:val="fr-CA"/>
        </w:rPr>
        <w:t>Este,</w:t>
      </w:r>
      <w:r w:rsidR="00E01336" w:rsidRPr="0081702E">
        <w:rPr>
          <w:rFonts w:asciiTheme="majorHAnsi" w:hAnsiTheme="majorHAnsi"/>
          <w:szCs w:val="22"/>
          <w:lang w:val="fr-CA"/>
        </w:rPr>
        <w:t xml:space="preserve"> </w:t>
      </w:r>
      <w:r w:rsidR="007508C5" w:rsidRPr="0081702E">
        <w:rPr>
          <w:rFonts w:asciiTheme="majorHAnsi" w:hAnsiTheme="majorHAnsi"/>
          <w:szCs w:val="22"/>
          <w:lang w:val="fr-CA"/>
        </w:rPr>
        <w:t>Uruguay;</w:t>
      </w:r>
      <w:r w:rsidR="00E01336" w:rsidRPr="0081702E">
        <w:rPr>
          <w:rFonts w:asciiTheme="majorHAnsi" w:hAnsiTheme="majorHAnsi"/>
          <w:szCs w:val="22"/>
          <w:lang w:val="fr-CA"/>
        </w:rPr>
        <w:t xml:space="preserve"> </w:t>
      </w:r>
      <w:r>
        <w:rPr>
          <w:rFonts w:asciiTheme="majorHAnsi" w:hAnsiTheme="majorHAnsi"/>
          <w:szCs w:val="22"/>
          <w:lang w:val="fr-CA"/>
        </w:rPr>
        <w:t>la nomination du nouveau Groupe, conformément à la Résolution </w:t>
      </w:r>
      <w:r w:rsidR="00120DB7" w:rsidRPr="0081702E">
        <w:rPr>
          <w:rFonts w:asciiTheme="majorHAnsi" w:hAnsiTheme="majorHAnsi"/>
          <w:szCs w:val="22"/>
          <w:lang w:val="fr-CA"/>
        </w:rPr>
        <w:t>XII.5</w:t>
      </w:r>
      <w:r w:rsidR="001506F4" w:rsidRPr="0081702E">
        <w:rPr>
          <w:rFonts w:asciiTheme="majorHAnsi" w:hAnsiTheme="majorHAnsi"/>
          <w:szCs w:val="22"/>
          <w:lang w:val="fr-CA"/>
        </w:rPr>
        <w:t>,</w:t>
      </w:r>
      <w:r w:rsidR="00E01336" w:rsidRPr="0081702E">
        <w:rPr>
          <w:rFonts w:asciiTheme="majorHAnsi" w:hAnsiTheme="majorHAnsi"/>
          <w:szCs w:val="22"/>
          <w:lang w:val="fr-CA"/>
        </w:rPr>
        <w:t xml:space="preserve"> </w:t>
      </w:r>
      <w:r>
        <w:rPr>
          <w:rFonts w:asciiTheme="majorHAnsi" w:hAnsiTheme="majorHAnsi"/>
          <w:i/>
          <w:szCs w:val="22"/>
          <w:lang w:val="fr-CA"/>
        </w:rPr>
        <w:t>Projet de nouveau cadre pour la fourniture d’avis et d’orientations scientifiques et techniques à la Convention</w:t>
      </w:r>
      <w:r w:rsidR="007508C5" w:rsidRPr="0081702E">
        <w:rPr>
          <w:rFonts w:asciiTheme="majorHAnsi" w:hAnsiTheme="majorHAnsi"/>
          <w:szCs w:val="22"/>
          <w:lang w:val="fr-CA"/>
        </w:rPr>
        <w:t>;</w:t>
      </w:r>
      <w:r w:rsidR="00E01336" w:rsidRPr="0081702E">
        <w:rPr>
          <w:rFonts w:asciiTheme="majorHAnsi" w:hAnsiTheme="majorHAnsi"/>
          <w:szCs w:val="22"/>
          <w:lang w:val="fr-CA"/>
        </w:rPr>
        <w:t xml:space="preserve"> </w:t>
      </w:r>
      <w:r>
        <w:rPr>
          <w:rFonts w:asciiTheme="majorHAnsi" w:hAnsiTheme="majorHAnsi"/>
          <w:szCs w:val="22"/>
          <w:lang w:val="fr-CA"/>
        </w:rPr>
        <w:t xml:space="preserve">et le projet de plan de travail élaboré lors de la première réunion de la période triennale (GEST19, 2 au 6 novembre 2015). </w:t>
      </w:r>
    </w:p>
    <w:p w14:paraId="72F9186F" w14:textId="77777777" w:rsidR="00372E0C" w:rsidRPr="0081702E" w:rsidRDefault="00372E0C" w:rsidP="00914A1A">
      <w:pPr>
        <w:ind w:left="567" w:hanging="567"/>
        <w:rPr>
          <w:rFonts w:asciiTheme="majorHAnsi" w:hAnsiTheme="majorHAnsi"/>
          <w:sz w:val="22"/>
          <w:szCs w:val="22"/>
          <w:lang w:val="fr-CA"/>
        </w:rPr>
      </w:pPr>
    </w:p>
    <w:p w14:paraId="592B550E" w14:textId="5A53FC6A" w:rsidR="00372E0C" w:rsidRPr="0081702E" w:rsidRDefault="002309E9" w:rsidP="00914A1A">
      <w:pPr>
        <w:ind w:left="567" w:hanging="567"/>
        <w:rPr>
          <w:rFonts w:asciiTheme="majorHAnsi" w:hAnsiTheme="majorHAnsi"/>
          <w:b/>
          <w:sz w:val="22"/>
          <w:szCs w:val="22"/>
          <w:lang w:val="fr-CA"/>
        </w:rPr>
      </w:pPr>
      <w:r>
        <w:rPr>
          <w:rFonts w:asciiTheme="majorHAnsi" w:hAnsiTheme="majorHAnsi"/>
          <w:b/>
          <w:sz w:val="22"/>
          <w:szCs w:val="22"/>
          <w:lang w:val="fr-CA"/>
        </w:rPr>
        <w:t xml:space="preserve">Participation et rôle du GEST à la </w:t>
      </w:r>
      <w:r w:rsidR="001506F4" w:rsidRPr="0081702E">
        <w:rPr>
          <w:rFonts w:asciiTheme="majorHAnsi" w:hAnsiTheme="majorHAnsi"/>
          <w:b/>
          <w:sz w:val="22"/>
          <w:szCs w:val="22"/>
          <w:lang w:val="fr-CA"/>
        </w:rPr>
        <w:t>COP12</w:t>
      </w:r>
    </w:p>
    <w:p w14:paraId="6E6AE84E" w14:textId="77777777" w:rsidR="00372E0C" w:rsidRPr="0081702E" w:rsidRDefault="00372E0C" w:rsidP="00914A1A">
      <w:pPr>
        <w:ind w:left="567" w:hanging="567"/>
        <w:rPr>
          <w:rFonts w:asciiTheme="majorHAnsi" w:hAnsiTheme="majorHAnsi"/>
          <w:sz w:val="22"/>
          <w:szCs w:val="22"/>
          <w:lang w:val="fr-CA"/>
        </w:rPr>
      </w:pPr>
    </w:p>
    <w:p w14:paraId="165ED999" w14:textId="2F7E7286" w:rsidR="00372E0C" w:rsidRPr="0081702E" w:rsidRDefault="002309E9" w:rsidP="00914A1A">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Douze membres du GEST, y compris le Président, et des experts invités ont participé à la </w:t>
      </w:r>
      <w:r w:rsidR="00372E0C" w:rsidRPr="0081702E">
        <w:rPr>
          <w:rFonts w:asciiTheme="majorHAnsi" w:hAnsiTheme="majorHAnsi"/>
          <w:szCs w:val="22"/>
          <w:lang w:val="fr-CA"/>
        </w:rPr>
        <w:t>COP1</w:t>
      </w:r>
      <w:r w:rsidR="00120DB7" w:rsidRPr="0081702E">
        <w:rPr>
          <w:rFonts w:asciiTheme="majorHAnsi" w:hAnsiTheme="majorHAnsi"/>
          <w:szCs w:val="22"/>
          <w:lang w:val="fr-CA"/>
        </w:rPr>
        <w:t>2</w:t>
      </w:r>
      <w:r w:rsidR="00372E0C" w:rsidRPr="0081702E">
        <w:rPr>
          <w:rFonts w:asciiTheme="majorHAnsi" w:hAnsiTheme="majorHAnsi"/>
          <w:szCs w:val="22"/>
          <w:lang w:val="fr-CA"/>
        </w:rPr>
        <w:t>.</w:t>
      </w:r>
      <w:r w:rsidR="00E01336" w:rsidRPr="0081702E">
        <w:rPr>
          <w:rFonts w:asciiTheme="majorHAnsi" w:hAnsiTheme="majorHAnsi"/>
          <w:szCs w:val="22"/>
          <w:lang w:val="fr-CA"/>
        </w:rPr>
        <w:t xml:space="preserve"> </w:t>
      </w:r>
      <w:r>
        <w:rPr>
          <w:rFonts w:asciiTheme="majorHAnsi" w:hAnsiTheme="majorHAnsi"/>
          <w:szCs w:val="22"/>
          <w:lang w:val="fr-CA"/>
        </w:rPr>
        <w:t xml:space="preserve">Ils ont activement soutenu les Parties dans les </w:t>
      </w:r>
      <w:r w:rsidR="000D57FF">
        <w:rPr>
          <w:rFonts w:asciiTheme="majorHAnsi" w:hAnsiTheme="majorHAnsi"/>
          <w:szCs w:val="22"/>
          <w:lang w:val="fr-CA"/>
        </w:rPr>
        <w:t>débats</w:t>
      </w:r>
      <w:r>
        <w:rPr>
          <w:rFonts w:asciiTheme="majorHAnsi" w:hAnsiTheme="majorHAnsi"/>
          <w:szCs w:val="22"/>
          <w:lang w:val="fr-CA"/>
        </w:rPr>
        <w:t xml:space="preserve"> sur les questions scientifiques et techniques contenues dans les projets de résolution</w:t>
      </w:r>
      <w:r w:rsidR="000D57FF">
        <w:rPr>
          <w:rFonts w:asciiTheme="majorHAnsi" w:hAnsiTheme="majorHAnsi"/>
          <w:szCs w:val="22"/>
          <w:lang w:val="fr-CA"/>
        </w:rPr>
        <w:t>s</w:t>
      </w:r>
      <w:r>
        <w:rPr>
          <w:rFonts w:asciiTheme="majorHAnsi" w:hAnsiTheme="majorHAnsi"/>
          <w:szCs w:val="22"/>
          <w:lang w:val="fr-CA"/>
        </w:rPr>
        <w:t>, aidé les Parties contractantes à préparer des versions révisées des projets de résolution</w:t>
      </w:r>
      <w:r w:rsidR="000D57FF">
        <w:rPr>
          <w:rFonts w:asciiTheme="majorHAnsi" w:hAnsiTheme="majorHAnsi"/>
          <w:szCs w:val="22"/>
          <w:lang w:val="fr-CA"/>
        </w:rPr>
        <w:t>s</w:t>
      </w:r>
      <w:r>
        <w:rPr>
          <w:rFonts w:asciiTheme="majorHAnsi" w:hAnsiTheme="majorHAnsi"/>
          <w:szCs w:val="22"/>
          <w:lang w:val="fr-CA"/>
        </w:rPr>
        <w:t xml:space="preserve"> pour examen en plénière, et participé à de nombreuses activités parallèles. En ce qui concerne les incidences budgétaires, les dépenses de quatre participants du GEST seulement (Président, Vice-</w:t>
      </w:r>
      <w:r w:rsidR="00CD1F50">
        <w:rPr>
          <w:rFonts w:asciiTheme="majorHAnsi" w:hAnsiTheme="majorHAnsi"/>
          <w:szCs w:val="22"/>
          <w:lang w:val="fr-CA"/>
        </w:rPr>
        <w:t>p</w:t>
      </w:r>
      <w:r>
        <w:rPr>
          <w:rFonts w:asciiTheme="majorHAnsi" w:hAnsiTheme="majorHAnsi"/>
          <w:szCs w:val="22"/>
          <w:lang w:val="fr-CA"/>
        </w:rPr>
        <w:t>résident et deux experts) ont été financé</w:t>
      </w:r>
      <w:r w:rsidR="00ED1B77">
        <w:rPr>
          <w:rFonts w:asciiTheme="majorHAnsi" w:hAnsiTheme="majorHAnsi"/>
          <w:szCs w:val="22"/>
          <w:lang w:val="fr-CA"/>
        </w:rPr>
        <w:t>e</w:t>
      </w:r>
      <w:r>
        <w:rPr>
          <w:rFonts w:asciiTheme="majorHAnsi" w:hAnsiTheme="majorHAnsi"/>
          <w:szCs w:val="22"/>
          <w:lang w:val="fr-CA"/>
        </w:rPr>
        <w:t>s par le budget du GEST tandis que les autres participants ont été financés par leurs propres gouvernements ou organisations.</w:t>
      </w:r>
    </w:p>
    <w:p w14:paraId="4FCE6D5E" w14:textId="77777777" w:rsidR="00372E0C" w:rsidRPr="0081702E" w:rsidRDefault="00372E0C" w:rsidP="00914A1A">
      <w:pPr>
        <w:pStyle w:val="ListParagraph"/>
        <w:ind w:left="426"/>
        <w:rPr>
          <w:rFonts w:asciiTheme="majorHAnsi" w:hAnsiTheme="majorHAnsi"/>
          <w:szCs w:val="22"/>
          <w:lang w:val="fr-CA"/>
        </w:rPr>
      </w:pPr>
    </w:p>
    <w:p w14:paraId="3D467E20" w14:textId="4578EC83" w:rsidR="00372E0C" w:rsidRPr="0081702E" w:rsidRDefault="002309E9" w:rsidP="00914A1A">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Une réunion des Correspondants nationaux </w:t>
      </w:r>
      <w:r w:rsidR="00CD1F50">
        <w:rPr>
          <w:rFonts w:asciiTheme="majorHAnsi" w:hAnsiTheme="majorHAnsi"/>
          <w:szCs w:val="22"/>
          <w:lang w:val="fr-CA"/>
        </w:rPr>
        <w:t xml:space="preserve">(CN) du </w:t>
      </w:r>
      <w:r>
        <w:rPr>
          <w:rFonts w:asciiTheme="majorHAnsi" w:hAnsiTheme="majorHAnsi"/>
          <w:szCs w:val="22"/>
          <w:lang w:val="fr-CA"/>
        </w:rPr>
        <w:t xml:space="preserve">GEST qui assistaient à la COP12 a donné une occasion très précieuse </w:t>
      </w:r>
      <w:r w:rsidR="0085476E">
        <w:rPr>
          <w:rFonts w:asciiTheme="majorHAnsi" w:hAnsiTheme="majorHAnsi"/>
          <w:szCs w:val="22"/>
          <w:lang w:val="fr-CA"/>
        </w:rPr>
        <w:t>aux</w:t>
      </w:r>
      <w:r>
        <w:rPr>
          <w:rFonts w:asciiTheme="majorHAnsi" w:hAnsiTheme="majorHAnsi"/>
          <w:szCs w:val="22"/>
          <w:lang w:val="fr-CA"/>
        </w:rPr>
        <w:t xml:space="preserve"> CN GEST de </w:t>
      </w:r>
      <w:r w:rsidR="00CD1F50">
        <w:rPr>
          <w:rFonts w:asciiTheme="majorHAnsi" w:hAnsiTheme="majorHAnsi"/>
          <w:szCs w:val="22"/>
          <w:lang w:val="fr-CA"/>
        </w:rPr>
        <w:t>faire connaissance</w:t>
      </w:r>
      <w:r>
        <w:rPr>
          <w:rFonts w:asciiTheme="majorHAnsi" w:hAnsiTheme="majorHAnsi"/>
          <w:szCs w:val="22"/>
          <w:lang w:val="fr-CA"/>
        </w:rPr>
        <w:t xml:space="preserve"> et de rencontrer des membres du GEST. </w:t>
      </w:r>
      <w:r w:rsidR="00CD1F50">
        <w:rPr>
          <w:rFonts w:asciiTheme="majorHAnsi" w:hAnsiTheme="majorHAnsi"/>
          <w:szCs w:val="22"/>
          <w:lang w:val="fr-CA"/>
        </w:rPr>
        <w:t xml:space="preserve">La </w:t>
      </w:r>
      <w:r>
        <w:rPr>
          <w:rFonts w:asciiTheme="majorHAnsi" w:hAnsiTheme="majorHAnsi"/>
          <w:szCs w:val="22"/>
          <w:lang w:val="fr-CA"/>
        </w:rPr>
        <w:t xml:space="preserve">nouvelle Fiche descriptive Ramsar en ligne </w:t>
      </w:r>
      <w:r w:rsidR="00CD1F50">
        <w:rPr>
          <w:rFonts w:asciiTheme="majorHAnsi" w:hAnsiTheme="majorHAnsi"/>
          <w:szCs w:val="22"/>
          <w:lang w:val="fr-CA"/>
        </w:rPr>
        <w:t>a été présentée aux 28 participants qui</w:t>
      </w:r>
      <w:r>
        <w:rPr>
          <w:rFonts w:asciiTheme="majorHAnsi" w:hAnsiTheme="majorHAnsi"/>
          <w:szCs w:val="22"/>
          <w:lang w:val="fr-CA"/>
        </w:rPr>
        <w:t xml:space="preserve"> ont échangé </w:t>
      </w:r>
      <w:r w:rsidR="00CD1F50">
        <w:rPr>
          <w:rFonts w:asciiTheme="majorHAnsi" w:hAnsiTheme="majorHAnsi"/>
          <w:szCs w:val="22"/>
          <w:lang w:val="fr-CA"/>
        </w:rPr>
        <w:t>leurs points de vue</w:t>
      </w:r>
      <w:r>
        <w:rPr>
          <w:rFonts w:asciiTheme="majorHAnsi" w:hAnsiTheme="majorHAnsi"/>
          <w:szCs w:val="22"/>
          <w:lang w:val="fr-CA"/>
        </w:rPr>
        <w:t xml:space="preserve"> et des recommandations sur les moyens d’améliorer la communication </w:t>
      </w:r>
      <w:r w:rsidR="00CD1F50">
        <w:rPr>
          <w:rFonts w:asciiTheme="majorHAnsi" w:hAnsiTheme="majorHAnsi"/>
          <w:szCs w:val="22"/>
          <w:lang w:val="fr-CA"/>
        </w:rPr>
        <w:t>relative aux</w:t>
      </w:r>
      <w:r>
        <w:rPr>
          <w:rFonts w:asciiTheme="majorHAnsi" w:hAnsiTheme="majorHAnsi"/>
          <w:szCs w:val="22"/>
          <w:lang w:val="fr-CA"/>
        </w:rPr>
        <w:t xml:space="preserve"> avis scientifiques et techniques de la Convention. </w:t>
      </w:r>
      <w:r w:rsidR="00E01336" w:rsidRPr="0081702E">
        <w:rPr>
          <w:rFonts w:asciiTheme="majorHAnsi" w:hAnsiTheme="majorHAnsi"/>
          <w:szCs w:val="22"/>
          <w:lang w:val="fr-CA"/>
        </w:rPr>
        <w:t xml:space="preserve"> </w:t>
      </w:r>
    </w:p>
    <w:p w14:paraId="54615655" w14:textId="77777777" w:rsidR="00CA75EF" w:rsidRPr="0081702E" w:rsidRDefault="00CA75EF" w:rsidP="00914A1A">
      <w:pPr>
        <w:ind w:left="567" w:hanging="567"/>
        <w:rPr>
          <w:rFonts w:asciiTheme="majorHAnsi" w:hAnsiTheme="majorHAnsi"/>
          <w:sz w:val="22"/>
          <w:szCs w:val="22"/>
          <w:lang w:val="fr-CA"/>
        </w:rPr>
      </w:pPr>
    </w:p>
    <w:p w14:paraId="3539EA60" w14:textId="75D065A7" w:rsidR="00AC45B7" w:rsidRPr="0081702E" w:rsidRDefault="002309E9" w:rsidP="002309E9">
      <w:pPr>
        <w:keepNext/>
        <w:keepLines/>
        <w:rPr>
          <w:rFonts w:asciiTheme="majorHAnsi" w:hAnsiTheme="majorHAnsi"/>
          <w:b/>
          <w:sz w:val="22"/>
          <w:szCs w:val="22"/>
          <w:lang w:val="fr-CA"/>
        </w:rPr>
      </w:pPr>
      <w:r>
        <w:rPr>
          <w:rFonts w:asciiTheme="majorHAnsi" w:hAnsiTheme="majorHAnsi"/>
          <w:b/>
          <w:sz w:val="22"/>
          <w:szCs w:val="22"/>
          <w:lang w:val="fr-CA"/>
        </w:rPr>
        <w:lastRenderedPageBreak/>
        <w:t xml:space="preserve">Nomination des membres du GEST pour </w:t>
      </w:r>
      <w:r w:rsidR="00AC45B7" w:rsidRPr="0081702E">
        <w:rPr>
          <w:rFonts w:asciiTheme="majorHAnsi" w:hAnsiTheme="majorHAnsi"/>
          <w:b/>
          <w:sz w:val="22"/>
          <w:szCs w:val="22"/>
          <w:lang w:val="fr-CA"/>
        </w:rPr>
        <w:t>2016-2018</w:t>
      </w:r>
      <w:r w:rsidR="00E01336" w:rsidRPr="0081702E">
        <w:rPr>
          <w:rFonts w:asciiTheme="majorHAnsi" w:hAnsiTheme="majorHAnsi"/>
          <w:b/>
          <w:sz w:val="22"/>
          <w:szCs w:val="22"/>
          <w:lang w:val="fr-CA"/>
        </w:rPr>
        <w:t xml:space="preserve"> </w:t>
      </w:r>
    </w:p>
    <w:p w14:paraId="09E12325" w14:textId="77777777" w:rsidR="00AC45B7" w:rsidRPr="0081702E" w:rsidRDefault="00AC45B7" w:rsidP="002309E9">
      <w:pPr>
        <w:keepNext/>
        <w:keepLines/>
        <w:rPr>
          <w:rFonts w:asciiTheme="majorHAnsi" w:hAnsiTheme="majorHAnsi"/>
          <w:sz w:val="22"/>
          <w:szCs w:val="22"/>
          <w:lang w:val="fr-CA"/>
        </w:rPr>
      </w:pPr>
    </w:p>
    <w:p w14:paraId="0C6ED6F8" w14:textId="74F69859" w:rsidR="009A7F56" w:rsidRPr="0081702E" w:rsidRDefault="007B6712" w:rsidP="002309E9">
      <w:pPr>
        <w:pStyle w:val="ListParagraph"/>
        <w:keepNext/>
        <w:keepLines/>
        <w:numPr>
          <w:ilvl w:val="0"/>
          <w:numId w:val="31"/>
        </w:numPr>
        <w:ind w:left="426" w:hanging="426"/>
        <w:rPr>
          <w:rFonts w:asciiTheme="majorHAnsi" w:hAnsiTheme="majorHAnsi"/>
          <w:szCs w:val="22"/>
          <w:lang w:val="fr-CA"/>
        </w:rPr>
      </w:pPr>
      <w:r>
        <w:rPr>
          <w:rFonts w:asciiTheme="majorHAnsi" w:hAnsiTheme="majorHAnsi"/>
          <w:szCs w:val="22"/>
          <w:lang w:val="fr-CA"/>
        </w:rPr>
        <w:t>La Résolution </w:t>
      </w:r>
      <w:r w:rsidR="00AC45B7" w:rsidRPr="0081702E">
        <w:rPr>
          <w:rFonts w:asciiTheme="majorHAnsi" w:hAnsiTheme="majorHAnsi"/>
          <w:szCs w:val="22"/>
          <w:lang w:val="fr-CA"/>
        </w:rPr>
        <w:t>XII.5</w:t>
      </w:r>
      <w:r w:rsidR="00E01336" w:rsidRPr="0081702E">
        <w:rPr>
          <w:rFonts w:asciiTheme="majorHAnsi" w:hAnsiTheme="majorHAnsi"/>
          <w:szCs w:val="22"/>
          <w:lang w:val="fr-CA"/>
        </w:rPr>
        <w:t xml:space="preserve"> </w:t>
      </w:r>
      <w:r>
        <w:rPr>
          <w:rFonts w:asciiTheme="majorHAnsi" w:hAnsiTheme="majorHAnsi"/>
          <w:szCs w:val="22"/>
          <w:lang w:val="fr-CA"/>
        </w:rPr>
        <w:t xml:space="preserve">établit un nouveau processus de nomination des membres du GEST. Le GEST </w:t>
      </w:r>
      <w:r w:rsidR="00EA61A9">
        <w:rPr>
          <w:rFonts w:asciiTheme="majorHAnsi" w:hAnsiTheme="majorHAnsi"/>
          <w:szCs w:val="22"/>
          <w:lang w:val="fr-CA"/>
        </w:rPr>
        <w:t>devrait se composer</w:t>
      </w:r>
      <w:r>
        <w:rPr>
          <w:rFonts w:asciiTheme="majorHAnsi" w:hAnsiTheme="majorHAnsi"/>
          <w:szCs w:val="22"/>
          <w:lang w:val="fr-CA"/>
        </w:rPr>
        <w:t xml:space="preserve"> de 18 membres : six experts techniques régionaux, six autres experts techniques et six experts scientifiques. </w:t>
      </w:r>
    </w:p>
    <w:p w14:paraId="24769D30" w14:textId="77777777" w:rsidR="009A7F56" w:rsidRPr="0081702E" w:rsidRDefault="009A7F56" w:rsidP="00914A1A">
      <w:pPr>
        <w:ind w:left="567" w:hanging="567"/>
        <w:rPr>
          <w:rFonts w:asciiTheme="majorHAnsi" w:hAnsiTheme="majorHAnsi"/>
          <w:sz w:val="22"/>
          <w:szCs w:val="22"/>
          <w:lang w:val="fr-CA"/>
        </w:rPr>
      </w:pPr>
    </w:p>
    <w:p w14:paraId="7CA924D3" w14:textId="53FB137D" w:rsidR="009A7F56" w:rsidRPr="0081702E" w:rsidRDefault="007B6712" w:rsidP="00914A1A">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Le Secrétariat </w:t>
      </w:r>
      <w:r w:rsidR="00713474">
        <w:rPr>
          <w:rFonts w:asciiTheme="majorHAnsi" w:hAnsiTheme="majorHAnsi"/>
          <w:szCs w:val="22"/>
          <w:lang w:val="fr-CA"/>
        </w:rPr>
        <w:t xml:space="preserve">a lancé un appel à nominations le 13 juillet 2015, assorti d’un délai </w:t>
      </w:r>
      <w:r w:rsidR="003E5CD6">
        <w:rPr>
          <w:rFonts w:asciiTheme="majorHAnsi" w:hAnsiTheme="majorHAnsi"/>
          <w:szCs w:val="22"/>
          <w:lang w:val="fr-CA"/>
        </w:rPr>
        <w:t xml:space="preserve">fixé </w:t>
      </w:r>
      <w:r w:rsidR="00713474">
        <w:rPr>
          <w:rFonts w:asciiTheme="majorHAnsi" w:hAnsiTheme="majorHAnsi"/>
          <w:szCs w:val="22"/>
          <w:lang w:val="fr-CA"/>
        </w:rPr>
        <w:t xml:space="preserve">au 13 août 2015. Le Secrétariat a </w:t>
      </w:r>
      <w:r w:rsidR="003E5CD6">
        <w:rPr>
          <w:rFonts w:asciiTheme="majorHAnsi" w:hAnsiTheme="majorHAnsi"/>
          <w:szCs w:val="22"/>
          <w:lang w:val="fr-CA"/>
        </w:rPr>
        <w:t>communiqué ses</w:t>
      </w:r>
      <w:r w:rsidR="00713474">
        <w:rPr>
          <w:rFonts w:asciiTheme="majorHAnsi" w:hAnsiTheme="majorHAnsi"/>
          <w:szCs w:val="22"/>
          <w:lang w:val="fr-CA"/>
        </w:rPr>
        <w:t xml:space="preserve"> recommandations au Groupe de travail sur la gestion qui a nommé le Président du GEST et le Vice</w:t>
      </w:r>
      <w:r w:rsidR="00713474">
        <w:rPr>
          <w:rFonts w:asciiTheme="majorHAnsi" w:hAnsiTheme="majorHAnsi"/>
          <w:szCs w:val="22"/>
          <w:lang w:val="fr-CA"/>
        </w:rPr>
        <w:noBreakHyphen/>
        <w:t xml:space="preserve">Président du GEST le 11 septembre. </w:t>
      </w:r>
      <w:r w:rsidR="003E5CD6">
        <w:rPr>
          <w:rFonts w:asciiTheme="majorHAnsi" w:hAnsiTheme="majorHAnsi"/>
          <w:szCs w:val="22"/>
          <w:lang w:val="fr-CA"/>
        </w:rPr>
        <w:t>Comme demandé, l</w:t>
      </w:r>
      <w:r w:rsidR="00713474">
        <w:rPr>
          <w:rFonts w:asciiTheme="majorHAnsi" w:hAnsiTheme="majorHAnsi"/>
          <w:szCs w:val="22"/>
          <w:lang w:val="fr-CA"/>
        </w:rPr>
        <w:t>e Président du GEST et le Vice</w:t>
      </w:r>
      <w:r w:rsidR="00713474">
        <w:rPr>
          <w:rFonts w:asciiTheme="majorHAnsi" w:hAnsiTheme="majorHAnsi"/>
          <w:szCs w:val="22"/>
          <w:lang w:val="fr-CA"/>
        </w:rPr>
        <w:noBreakHyphen/>
        <w:t xml:space="preserve">Président du GEST ont collaboré avec le Groupe de travail sur la gestion pour le choix des candidats, </w:t>
      </w:r>
      <w:r w:rsidR="003E5CD6">
        <w:rPr>
          <w:rFonts w:asciiTheme="majorHAnsi" w:hAnsiTheme="majorHAnsi"/>
          <w:szCs w:val="22"/>
          <w:lang w:val="fr-CA"/>
        </w:rPr>
        <w:t xml:space="preserve">fait </w:t>
      </w:r>
      <w:r w:rsidR="00713474">
        <w:rPr>
          <w:rFonts w:asciiTheme="majorHAnsi" w:hAnsiTheme="majorHAnsi"/>
          <w:szCs w:val="22"/>
          <w:lang w:val="fr-CA"/>
        </w:rPr>
        <w:t>le 18 septembre. Après avoir examiné les recommandations du Secrétariat, du Président et du Vice</w:t>
      </w:r>
      <w:r w:rsidR="00713474">
        <w:rPr>
          <w:rFonts w:asciiTheme="majorHAnsi" w:hAnsiTheme="majorHAnsi"/>
          <w:szCs w:val="22"/>
          <w:lang w:val="fr-CA"/>
        </w:rPr>
        <w:noBreakHyphen/>
        <w:t xml:space="preserve">Président du GEST, le Groupe de travail sur la gestion a confirmé </w:t>
      </w:r>
      <w:r w:rsidR="00030587">
        <w:rPr>
          <w:rFonts w:asciiTheme="majorHAnsi" w:hAnsiTheme="majorHAnsi"/>
          <w:szCs w:val="22"/>
          <w:lang w:val="fr-CA"/>
        </w:rPr>
        <w:t>la nomination des</w:t>
      </w:r>
      <w:r w:rsidR="00713474">
        <w:rPr>
          <w:rFonts w:asciiTheme="majorHAnsi" w:hAnsiTheme="majorHAnsi"/>
          <w:szCs w:val="22"/>
          <w:lang w:val="fr-CA"/>
        </w:rPr>
        <w:t xml:space="preserve"> six </w:t>
      </w:r>
      <w:r w:rsidR="00030587">
        <w:rPr>
          <w:rFonts w:asciiTheme="majorHAnsi" w:hAnsiTheme="majorHAnsi"/>
          <w:szCs w:val="22"/>
          <w:lang w:val="fr-CA"/>
        </w:rPr>
        <w:t>experts techniques</w:t>
      </w:r>
      <w:r w:rsidR="00713474">
        <w:rPr>
          <w:rFonts w:asciiTheme="majorHAnsi" w:hAnsiTheme="majorHAnsi"/>
          <w:szCs w:val="22"/>
          <w:lang w:val="fr-CA"/>
        </w:rPr>
        <w:t xml:space="preserve"> régiona</w:t>
      </w:r>
      <w:r w:rsidR="00030587">
        <w:rPr>
          <w:rFonts w:asciiTheme="majorHAnsi" w:hAnsiTheme="majorHAnsi"/>
          <w:szCs w:val="22"/>
          <w:lang w:val="fr-CA"/>
        </w:rPr>
        <w:t>ux</w:t>
      </w:r>
      <w:r w:rsidR="00713474">
        <w:rPr>
          <w:rFonts w:asciiTheme="majorHAnsi" w:hAnsiTheme="majorHAnsi"/>
          <w:szCs w:val="22"/>
          <w:lang w:val="fr-CA"/>
        </w:rPr>
        <w:t xml:space="preserve"> et a nommé neuf autres experts. Les nouveaux membres ont été informés de leur nomination le 2 octobre.  </w:t>
      </w:r>
    </w:p>
    <w:p w14:paraId="32BA5574" w14:textId="77777777" w:rsidR="009A7F56" w:rsidRPr="0081702E" w:rsidRDefault="009A7F56" w:rsidP="00914A1A">
      <w:pPr>
        <w:pStyle w:val="ListParagraph"/>
        <w:ind w:left="426"/>
        <w:rPr>
          <w:rFonts w:asciiTheme="majorHAnsi" w:hAnsiTheme="majorHAnsi"/>
          <w:szCs w:val="22"/>
          <w:lang w:val="fr-CA"/>
        </w:rPr>
      </w:pPr>
    </w:p>
    <w:p w14:paraId="486BE9D1" w14:textId="4B326C33" w:rsidR="007E34EC" w:rsidRPr="0081702E" w:rsidRDefault="00713474" w:rsidP="00914A1A">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Pour renforcer l’équilibre régional et entre les sexes, le Groupe de travail sur la gestion a demandé de rouvrir </w:t>
      </w:r>
      <w:r w:rsidR="003E5CD6">
        <w:rPr>
          <w:rFonts w:asciiTheme="majorHAnsi" w:hAnsiTheme="majorHAnsi"/>
          <w:szCs w:val="22"/>
          <w:lang w:val="fr-CA"/>
        </w:rPr>
        <w:t>le processus</w:t>
      </w:r>
      <w:r>
        <w:rPr>
          <w:rFonts w:asciiTheme="majorHAnsi" w:hAnsiTheme="majorHAnsi"/>
          <w:szCs w:val="22"/>
          <w:lang w:val="fr-CA"/>
        </w:rPr>
        <w:t xml:space="preserve"> pour </w:t>
      </w:r>
      <w:r w:rsidR="003E5CD6">
        <w:rPr>
          <w:rFonts w:asciiTheme="majorHAnsi" w:hAnsiTheme="majorHAnsi"/>
          <w:szCs w:val="22"/>
          <w:lang w:val="fr-CA"/>
        </w:rPr>
        <w:t>remédier au</w:t>
      </w:r>
      <w:r>
        <w:rPr>
          <w:rFonts w:asciiTheme="majorHAnsi" w:hAnsiTheme="majorHAnsi"/>
          <w:szCs w:val="22"/>
          <w:lang w:val="fr-CA"/>
        </w:rPr>
        <w:t xml:space="preserve"> manque de nominations en provenance d’Afrique. </w:t>
      </w:r>
      <w:r w:rsidR="003E5CD6">
        <w:rPr>
          <w:rFonts w:asciiTheme="majorHAnsi" w:hAnsiTheme="majorHAnsi"/>
          <w:szCs w:val="22"/>
          <w:lang w:val="fr-CA"/>
        </w:rPr>
        <w:t>L</w:t>
      </w:r>
      <w:r>
        <w:rPr>
          <w:rFonts w:asciiTheme="majorHAnsi" w:hAnsiTheme="majorHAnsi"/>
          <w:szCs w:val="22"/>
          <w:lang w:val="fr-CA"/>
        </w:rPr>
        <w:t>e Secrétariat a lancé un appel à nominations pour un expert scientifique africain le 1</w:t>
      </w:r>
      <w:r w:rsidRPr="00713474">
        <w:rPr>
          <w:rFonts w:asciiTheme="majorHAnsi" w:hAnsiTheme="majorHAnsi"/>
          <w:szCs w:val="22"/>
          <w:vertAlign w:val="superscript"/>
          <w:lang w:val="fr-CA"/>
        </w:rPr>
        <w:t>er</w:t>
      </w:r>
      <w:r>
        <w:rPr>
          <w:rFonts w:asciiTheme="majorHAnsi" w:hAnsiTheme="majorHAnsi"/>
          <w:szCs w:val="22"/>
          <w:lang w:val="fr-CA"/>
        </w:rPr>
        <w:t xml:space="preserve"> octobre, accompagné d’un délai </w:t>
      </w:r>
      <w:r w:rsidR="003E5CD6">
        <w:rPr>
          <w:rFonts w:asciiTheme="majorHAnsi" w:hAnsiTheme="majorHAnsi"/>
          <w:szCs w:val="22"/>
          <w:lang w:val="fr-CA"/>
        </w:rPr>
        <w:t xml:space="preserve">fixé </w:t>
      </w:r>
      <w:r>
        <w:rPr>
          <w:rFonts w:asciiTheme="majorHAnsi" w:hAnsiTheme="majorHAnsi"/>
          <w:szCs w:val="22"/>
          <w:lang w:val="fr-CA"/>
        </w:rPr>
        <w:t>au 13 octobre. Après avoir examiné les nominations supplémentaires et les recommandations du Secrétariat, d</w:t>
      </w:r>
      <w:r w:rsidR="00B50569">
        <w:rPr>
          <w:rFonts w:asciiTheme="majorHAnsi" w:hAnsiTheme="majorHAnsi"/>
          <w:szCs w:val="22"/>
          <w:lang w:val="fr-CA"/>
        </w:rPr>
        <w:t>u</w:t>
      </w:r>
      <w:r>
        <w:rPr>
          <w:rFonts w:asciiTheme="majorHAnsi" w:hAnsiTheme="majorHAnsi"/>
          <w:szCs w:val="22"/>
          <w:lang w:val="fr-CA"/>
        </w:rPr>
        <w:t xml:space="preserve"> Président du GEST et du Vice</w:t>
      </w:r>
      <w:r>
        <w:rPr>
          <w:rFonts w:asciiTheme="majorHAnsi" w:hAnsiTheme="majorHAnsi"/>
          <w:szCs w:val="22"/>
          <w:lang w:val="fr-CA"/>
        </w:rPr>
        <w:noBreakHyphen/>
        <w:t>Président du GEST, le Groupe de travail sur la gestion a pris sa décision finale concernant les nominations</w:t>
      </w:r>
      <w:r w:rsidR="003E5CD6">
        <w:rPr>
          <w:rFonts w:asciiTheme="majorHAnsi" w:hAnsiTheme="majorHAnsi"/>
          <w:szCs w:val="22"/>
          <w:lang w:val="fr-CA"/>
        </w:rPr>
        <w:t>,</w:t>
      </w:r>
      <w:r>
        <w:rPr>
          <w:rFonts w:asciiTheme="majorHAnsi" w:hAnsiTheme="majorHAnsi"/>
          <w:szCs w:val="22"/>
          <w:lang w:val="fr-CA"/>
        </w:rPr>
        <w:t xml:space="preserve"> qui a été communiquée au nouveau membre le 10 novembre. </w:t>
      </w:r>
    </w:p>
    <w:p w14:paraId="678D5E6A" w14:textId="77777777" w:rsidR="007E34EC" w:rsidRPr="0081702E" w:rsidRDefault="007E34EC" w:rsidP="00914A1A">
      <w:pPr>
        <w:pStyle w:val="ListParagraph"/>
        <w:ind w:left="426"/>
        <w:rPr>
          <w:rFonts w:asciiTheme="majorHAnsi" w:hAnsiTheme="majorHAnsi"/>
          <w:szCs w:val="22"/>
          <w:lang w:val="fr-CA"/>
        </w:rPr>
      </w:pPr>
    </w:p>
    <w:p w14:paraId="6DCFABF3" w14:textId="74E49046" w:rsidR="00B33F56" w:rsidRPr="0081702E" w:rsidRDefault="00713474" w:rsidP="00914A1A">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En conséquence, les membres nommés au GEST pour la période triennale</w:t>
      </w:r>
      <w:r w:rsidR="00E01336" w:rsidRPr="0081702E">
        <w:rPr>
          <w:rFonts w:asciiTheme="majorHAnsi" w:hAnsiTheme="majorHAnsi"/>
          <w:szCs w:val="22"/>
          <w:lang w:val="fr-CA"/>
        </w:rPr>
        <w:t xml:space="preserve"> </w:t>
      </w:r>
      <w:r w:rsidR="00483B33" w:rsidRPr="0081702E">
        <w:rPr>
          <w:rFonts w:asciiTheme="majorHAnsi" w:hAnsiTheme="majorHAnsi"/>
          <w:szCs w:val="22"/>
          <w:lang w:val="fr-CA"/>
        </w:rPr>
        <w:t>2016-2018</w:t>
      </w:r>
      <w:r w:rsidR="00E01336" w:rsidRPr="0081702E">
        <w:rPr>
          <w:rFonts w:asciiTheme="majorHAnsi" w:hAnsiTheme="majorHAnsi"/>
          <w:szCs w:val="22"/>
          <w:lang w:val="fr-CA"/>
        </w:rPr>
        <w:t xml:space="preserve"> </w:t>
      </w:r>
      <w:r>
        <w:rPr>
          <w:rFonts w:asciiTheme="majorHAnsi" w:hAnsiTheme="majorHAnsi"/>
          <w:szCs w:val="22"/>
          <w:lang w:val="fr-CA"/>
        </w:rPr>
        <w:t>sont les suivants :</w:t>
      </w:r>
    </w:p>
    <w:p w14:paraId="27759046" w14:textId="77777777" w:rsidR="004B31D6" w:rsidRPr="0081702E" w:rsidRDefault="004B31D6" w:rsidP="00914A1A">
      <w:pPr>
        <w:widowControl w:val="0"/>
        <w:autoSpaceDE w:val="0"/>
        <w:autoSpaceDN w:val="0"/>
        <w:adjustRightInd w:val="0"/>
        <w:rPr>
          <w:rFonts w:asciiTheme="majorHAnsi" w:eastAsia="Calibri" w:hAnsiTheme="majorHAnsi" w:cs="Verdana"/>
          <w:sz w:val="22"/>
          <w:szCs w:val="22"/>
          <w:lang w:val="fr-CA"/>
        </w:rPr>
      </w:pPr>
    </w:p>
    <w:p w14:paraId="606FB0B0" w14:textId="2DE1A9B6" w:rsidR="00B33F56" w:rsidRPr="0081702E" w:rsidRDefault="00713474" w:rsidP="00914A1A">
      <w:pPr>
        <w:widowControl w:val="0"/>
        <w:autoSpaceDE w:val="0"/>
        <w:autoSpaceDN w:val="0"/>
        <w:adjustRightInd w:val="0"/>
        <w:ind w:left="426"/>
        <w:rPr>
          <w:rFonts w:asciiTheme="majorHAnsi" w:eastAsia="Calibri" w:hAnsiTheme="majorHAnsi" w:cs="Calibri"/>
          <w:b/>
          <w:sz w:val="22"/>
          <w:szCs w:val="22"/>
          <w:lang w:val="fr-CA"/>
        </w:rPr>
      </w:pPr>
      <w:r>
        <w:rPr>
          <w:rFonts w:asciiTheme="majorHAnsi" w:eastAsia="Calibri" w:hAnsiTheme="majorHAnsi" w:cs="Verdana"/>
          <w:b/>
          <w:sz w:val="22"/>
          <w:szCs w:val="22"/>
          <w:lang w:val="fr-CA"/>
        </w:rPr>
        <w:t>Experts techniques régionaux</w:t>
      </w:r>
    </w:p>
    <w:p w14:paraId="4A8C85EB" w14:textId="26B87EFC" w:rsidR="00B33F56" w:rsidRPr="0081702E" w:rsidRDefault="00B33F56" w:rsidP="00914A1A">
      <w:pPr>
        <w:widowControl w:val="0"/>
        <w:autoSpaceDE w:val="0"/>
        <w:autoSpaceDN w:val="0"/>
        <w:adjustRightInd w:val="0"/>
        <w:ind w:left="426"/>
        <w:rPr>
          <w:rFonts w:asciiTheme="majorHAnsi" w:eastAsia="Calibri" w:hAnsiTheme="majorHAnsi" w:cs="Calibri"/>
          <w:sz w:val="22"/>
          <w:szCs w:val="22"/>
          <w:lang w:val="fr-CA"/>
        </w:rPr>
      </w:pPr>
      <w:r w:rsidRPr="0081702E">
        <w:rPr>
          <w:rFonts w:asciiTheme="majorHAnsi" w:eastAsia="Calibri" w:hAnsiTheme="majorHAnsi" w:cs="Verdana"/>
          <w:sz w:val="22"/>
          <w:szCs w:val="22"/>
          <w:lang w:val="fr-CA"/>
        </w:rPr>
        <w:t>Kassim</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Athumani</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Ally</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Kulindwa</w:t>
      </w:r>
      <w:r w:rsidR="00E01336" w:rsidRPr="0081702E">
        <w:rPr>
          <w:rFonts w:asciiTheme="majorHAnsi" w:eastAsia="Calibri" w:hAnsiTheme="majorHAnsi" w:cs="Verdana"/>
          <w:sz w:val="22"/>
          <w:szCs w:val="22"/>
          <w:lang w:val="fr-CA"/>
        </w:rPr>
        <w:t xml:space="preserve"> </w:t>
      </w:r>
      <w:r w:rsidR="004B31D6" w:rsidRPr="0081702E">
        <w:rPr>
          <w:rFonts w:asciiTheme="majorHAnsi" w:eastAsia="Calibri" w:hAnsiTheme="majorHAnsi" w:cs="Verdana"/>
          <w:sz w:val="22"/>
          <w:szCs w:val="22"/>
          <w:lang w:val="fr-CA"/>
        </w:rPr>
        <w:t>(</w:t>
      </w:r>
      <w:r w:rsidR="00F3068C">
        <w:rPr>
          <w:rFonts w:asciiTheme="majorHAnsi" w:eastAsia="Calibri" w:hAnsiTheme="majorHAnsi" w:cs="Verdana"/>
          <w:sz w:val="22"/>
          <w:szCs w:val="22"/>
          <w:lang w:val="fr-CA"/>
        </w:rPr>
        <w:t>Afrique</w:t>
      </w:r>
      <w:r w:rsidR="004B31D6" w:rsidRPr="0081702E">
        <w:rPr>
          <w:rFonts w:asciiTheme="majorHAnsi" w:eastAsia="Calibri" w:hAnsiTheme="majorHAnsi" w:cs="Verdana"/>
          <w:sz w:val="22"/>
          <w:szCs w:val="22"/>
          <w:lang w:val="fr-CA"/>
        </w:rPr>
        <w:t>)</w:t>
      </w:r>
    </w:p>
    <w:p w14:paraId="0BFA5D7E" w14:textId="0DF4A85C" w:rsidR="00B33F56" w:rsidRPr="0081702E" w:rsidRDefault="00B33F56" w:rsidP="00914A1A">
      <w:pPr>
        <w:widowControl w:val="0"/>
        <w:autoSpaceDE w:val="0"/>
        <w:autoSpaceDN w:val="0"/>
        <w:adjustRightInd w:val="0"/>
        <w:ind w:left="426"/>
        <w:rPr>
          <w:rFonts w:asciiTheme="majorHAnsi" w:eastAsia="Calibri" w:hAnsiTheme="majorHAnsi" w:cs="Calibri"/>
          <w:sz w:val="22"/>
          <w:szCs w:val="22"/>
          <w:lang w:val="fr-CA"/>
        </w:rPr>
      </w:pPr>
      <w:r w:rsidRPr="0081702E">
        <w:rPr>
          <w:rFonts w:asciiTheme="majorHAnsi" w:eastAsia="Calibri" w:hAnsiTheme="majorHAnsi" w:cs="Verdana"/>
          <w:sz w:val="22"/>
          <w:szCs w:val="22"/>
          <w:lang w:val="fr-CA"/>
        </w:rPr>
        <w:t>Channa</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Bambaradeniya</w:t>
      </w:r>
      <w:r w:rsidR="00E01336" w:rsidRPr="0081702E">
        <w:rPr>
          <w:rFonts w:asciiTheme="majorHAnsi" w:eastAsia="Calibri" w:hAnsiTheme="majorHAnsi" w:cs="Verdana"/>
          <w:sz w:val="22"/>
          <w:szCs w:val="22"/>
          <w:lang w:val="fr-CA"/>
        </w:rPr>
        <w:t xml:space="preserve"> </w:t>
      </w:r>
      <w:r w:rsidR="004B31D6" w:rsidRPr="0081702E">
        <w:rPr>
          <w:rFonts w:asciiTheme="majorHAnsi" w:eastAsia="Calibri" w:hAnsiTheme="majorHAnsi" w:cs="Verdana"/>
          <w:sz w:val="22"/>
          <w:szCs w:val="22"/>
          <w:lang w:val="fr-CA"/>
        </w:rPr>
        <w:t>(Asi</w:t>
      </w:r>
      <w:r w:rsidR="00F3068C">
        <w:rPr>
          <w:rFonts w:asciiTheme="majorHAnsi" w:eastAsia="Calibri" w:hAnsiTheme="majorHAnsi" w:cs="Verdana"/>
          <w:sz w:val="22"/>
          <w:szCs w:val="22"/>
          <w:lang w:val="fr-CA"/>
        </w:rPr>
        <w:t>e</w:t>
      </w:r>
      <w:r w:rsidR="004B31D6" w:rsidRPr="0081702E">
        <w:rPr>
          <w:rFonts w:asciiTheme="majorHAnsi" w:eastAsia="Calibri" w:hAnsiTheme="majorHAnsi" w:cs="Verdana"/>
          <w:sz w:val="22"/>
          <w:szCs w:val="22"/>
          <w:lang w:val="fr-CA"/>
        </w:rPr>
        <w:t>)</w:t>
      </w:r>
      <w:r w:rsidR="00E01336" w:rsidRPr="0081702E">
        <w:rPr>
          <w:rFonts w:asciiTheme="majorHAnsi" w:eastAsia="Calibri" w:hAnsiTheme="majorHAnsi" w:cs="Verdana"/>
          <w:sz w:val="22"/>
          <w:szCs w:val="22"/>
          <w:lang w:val="fr-CA"/>
        </w:rPr>
        <w:t xml:space="preserve"> </w:t>
      </w:r>
      <w:r w:rsidR="004B31D6" w:rsidRPr="0081702E">
        <w:rPr>
          <w:rFonts w:asciiTheme="majorHAnsi" w:eastAsia="Calibri" w:hAnsiTheme="majorHAnsi" w:cs="Verdana"/>
          <w:sz w:val="22"/>
          <w:szCs w:val="22"/>
          <w:lang w:val="fr-CA"/>
        </w:rPr>
        <w:t>(Vice</w:t>
      </w:r>
      <w:r w:rsidR="00F3068C">
        <w:rPr>
          <w:rFonts w:asciiTheme="majorHAnsi" w:eastAsia="Calibri" w:hAnsiTheme="majorHAnsi" w:cs="Verdana"/>
          <w:sz w:val="22"/>
          <w:szCs w:val="22"/>
          <w:lang w:val="fr-CA"/>
        </w:rPr>
        <w:t>-</w:t>
      </w:r>
      <w:r w:rsidR="00B41A2A">
        <w:rPr>
          <w:rFonts w:asciiTheme="majorHAnsi" w:eastAsia="Calibri" w:hAnsiTheme="majorHAnsi" w:cs="Verdana"/>
          <w:sz w:val="22"/>
          <w:szCs w:val="22"/>
          <w:lang w:val="fr-CA"/>
        </w:rPr>
        <w:t>p</w:t>
      </w:r>
      <w:r w:rsidR="00F3068C">
        <w:rPr>
          <w:rFonts w:asciiTheme="majorHAnsi" w:eastAsia="Calibri" w:hAnsiTheme="majorHAnsi" w:cs="Verdana"/>
          <w:sz w:val="22"/>
          <w:szCs w:val="22"/>
          <w:lang w:val="fr-CA"/>
        </w:rPr>
        <w:t>résident</w:t>
      </w:r>
      <w:r w:rsidR="004B31D6" w:rsidRPr="0081702E">
        <w:rPr>
          <w:rFonts w:asciiTheme="majorHAnsi" w:eastAsia="Calibri" w:hAnsiTheme="majorHAnsi" w:cs="Verdana"/>
          <w:sz w:val="22"/>
          <w:szCs w:val="22"/>
          <w:lang w:val="fr-CA"/>
        </w:rPr>
        <w:t>)</w:t>
      </w:r>
    </w:p>
    <w:p w14:paraId="1EE16B70" w14:textId="5628C796" w:rsidR="00B33F56" w:rsidRPr="0081702E" w:rsidRDefault="00B33F56" w:rsidP="00914A1A">
      <w:pPr>
        <w:widowControl w:val="0"/>
        <w:autoSpaceDE w:val="0"/>
        <w:autoSpaceDN w:val="0"/>
        <w:adjustRightInd w:val="0"/>
        <w:ind w:left="426"/>
        <w:rPr>
          <w:rFonts w:asciiTheme="majorHAnsi" w:eastAsia="Calibri" w:hAnsiTheme="majorHAnsi" w:cs="Calibri"/>
          <w:sz w:val="22"/>
          <w:szCs w:val="22"/>
          <w:lang w:val="fr-CA"/>
        </w:rPr>
      </w:pPr>
      <w:r w:rsidRPr="0081702E">
        <w:rPr>
          <w:rFonts w:asciiTheme="majorHAnsi" w:eastAsia="Calibri" w:hAnsiTheme="majorHAnsi" w:cs="Verdana"/>
          <w:sz w:val="22"/>
          <w:szCs w:val="22"/>
          <w:lang w:val="fr-CA"/>
        </w:rPr>
        <w:t>Lars</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Dinesen</w:t>
      </w:r>
      <w:r w:rsidR="00E01336" w:rsidRPr="0081702E">
        <w:rPr>
          <w:rFonts w:asciiTheme="majorHAnsi" w:eastAsia="Calibri" w:hAnsiTheme="majorHAnsi" w:cs="Verdana"/>
          <w:sz w:val="22"/>
          <w:szCs w:val="22"/>
          <w:lang w:val="fr-CA"/>
        </w:rPr>
        <w:t xml:space="preserve"> </w:t>
      </w:r>
      <w:r w:rsidR="004B31D6" w:rsidRPr="0081702E">
        <w:rPr>
          <w:rFonts w:asciiTheme="majorHAnsi" w:eastAsia="Calibri" w:hAnsiTheme="majorHAnsi" w:cs="Verdana"/>
          <w:sz w:val="22"/>
          <w:szCs w:val="22"/>
          <w:lang w:val="fr-CA"/>
        </w:rPr>
        <w:t>(Europe)</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w:t>
      </w:r>
      <w:r w:rsidR="003E5CD6">
        <w:rPr>
          <w:rFonts w:asciiTheme="majorHAnsi" w:eastAsia="Calibri" w:hAnsiTheme="majorHAnsi" w:cs="Verdana"/>
          <w:sz w:val="22"/>
          <w:szCs w:val="22"/>
          <w:lang w:val="fr-CA"/>
        </w:rPr>
        <w:t>reconduction</w:t>
      </w:r>
      <w:r w:rsidRPr="0081702E">
        <w:rPr>
          <w:rFonts w:asciiTheme="majorHAnsi" w:eastAsia="Calibri" w:hAnsiTheme="majorHAnsi" w:cs="Verdana"/>
          <w:sz w:val="22"/>
          <w:szCs w:val="22"/>
          <w:lang w:val="fr-CA"/>
        </w:rPr>
        <w:t>)</w:t>
      </w:r>
    </w:p>
    <w:p w14:paraId="48E37829" w14:textId="50C72EB7" w:rsidR="00B33F56" w:rsidRPr="0081702E" w:rsidRDefault="00B33F56" w:rsidP="00914A1A">
      <w:pPr>
        <w:widowControl w:val="0"/>
        <w:autoSpaceDE w:val="0"/>
        <w:autoSpaceDN w:val="0"/>
        <w:adjustRightInd w:val="0"/>
        <w:ind w:left="426"/>
        <w:rPr>
          <w:rFonts w:asciiTheme="majorHAnsi" w:eastAsia="Calibri" w:hAnsiTheme="majorHAnsi" w:cs="Calibri"/>
          <w:sz w:val="22"/>
          <w:szCs w:val="22"/>
          <w:lang w:val="fr-CA"/>
        </w:rPr>
      </w:pPr>
      <w:r w:rsidRPr="0081702E">
        <w:rPr>
          <w:rFonts w:asciiTheme="majorHAnsi" w:eastAsia="Calibri" w:hAnsiTheme="majorHAnsi" w:cs="Verdana"/>
          <w:sz w:val="22"/>
          <w:szCs w:val="22"/>
          <w:lang w:val="fr-CA"/>
        </w:rPr>
        <w:t>Susana</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Aguilar</w:t>
      </w:r>
      <w:r w:rsidR="00E01336" w:rsidRPr="0081702E">
        <w:rPr>
          <w:rFonts w:asciiTheme="majorHAnsi" w:eastAsia="Calibri" w:hAnsiTheme="majorHAnsi" w:cs="Verdana"/>
          <w:sz w:val="22"/>
          <w:szCs w:val="22"/>
          <w:lang w:val="fr-CA"/>
        </w:rPr>
        <w:t xml:space="preserve"> </w:t>
      </w:r>
      <w:r w:rsidR="004B31D6" w:rsidRPr="0081702E">
        <w:rPr>
          <w:rFonts w:asciiTheme="majorHAnsi" w:eastAsia="Calibri" w:hAnsiTheme="majorHAnsi" w:cs="Verdana"/>
          <w:sz w:val="22"/>
          <w:szCs w:val="22"/>
          <w:lang w:val="fr-CA"/>
        </w:rPr>
        <w:t>(</w:t>
      </w:r>
      <w:r w:rsidR="00F3068C">
        <w:rPr>
          <w:rFonts w:asciiTheme="majorHAnsi" w:eastAsia="Calibri" w:hAnsiTheme="majorHAnsi" w:cs="Verdana"/>
          <w:sz w:val="22"/>
          <w:szCs w:val="22"/>
          <w:lang w:val="fr-CA"/>
        </w:rPr>
        <w:t>Amérique latine et les Caraïbes</w:t>
      </w:r>
      <w:r w:rsidR="004B31D6" w:rsidRPr="0081702E">
        <w:rPr>
          <w:rFonts w:asciiTheme="majorHAnsi" w:eastAsia="Calibri" w:hAnsiTheme="majorHAnsi" w:cs="Verdana"/>
          <w:sz w:val="22"/>
          <w:szCs w:val="22"/>
          <w:lang w:val="fr-CA"/>
        </w:rPr>
        <w:t>)</w:t>
      </w:r>
    </w:p>
    <w:p w14:paraId="598599E1" w14:textId="6E6D7C06" w:rsidR="00B33F56" w:rsidRPr="0081702E" w:rsidRDefault="00B33F56" w:rsidP="00914A1A">
      <w:pPr>
        <w:widowControl w:val="0"/>
        <w:autoSpaceDE w:val="0"/>
        <w:autoSpaceDN w:val="0"/>
        <w:adjustRightInd w:val="0"/>
        <w:ind w:left="426"/>
        <w:rPr>
          <w:rFonts w:asciiTheme="majorHAnsi" w:eastAsia="Calibri" w:hAnsiTheme="majorHAnsi" w:cs="Calibri"/>
          <w:sz w:val="22"/>
          <w:szCs w:val="22"/>
          <w:lang w:val="fr-CA"/>
        </w:rPr>
      </w:pPr>
      <w:r w:rsidRPr="0081702E">
        <w:rPr>
          <w:rFonts w:asciiTheme="majorHAnsi" w:eastAsia="Calibri" w:hAnsiTheme="majorHAnsi" w:cs="Verdana"/>
          <w:sz w:val="22"/>
          <w:szCs w:val="22"/>
          <w:lang w:val="fr-CA"/>
        </w:rPr>
        <w:t>Royal</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Gardner</w:t>
      </w:r>
      <w:r w:rsidR="00E01336" w:rsidRPr="0081702E">
        <w:rPr>
          <w:rFonts w:asciiTheme="majorHAnsi" w:eastAsia="Calibri" w:hAnsiTheme="majorHAnsi" w:cs="Verdana"/>
          <w:sz w:val="22"/>
          <w:szCs w:val="22"/>
          <w:lang w:val="fr-CA"/>
        </w:rPr>
        <w:t xml:space="preserve"> </w:t>
      </w:r>
      <w:r w:rsidR="004B31D6" w:rsidRPr="0081702E">
        <w:rPr>
          <w:rFonts w:asciiTheme="majorHAnsi" w:eastAsia="Calibri" w:hAnsiTheme="majorHAnsi" w:cs="Verdana"/>
          <w:sz w:val="22"/>
          <w:szCs w:val="22"/>
          <w:lang w:val="fr-CA"/>
        </w:rPr>
        <w:t>(</w:t>
      </w:r>
      <w:r w:rsidR="00F3068C">
        <w:rPr>
          <w:rFonts w:asciiTheme="majorHAnsi" w:eastAsia="Calibri" w:hAnsiTheme="majorHAnsi" w:cs="Verdana"/>
          <w:sz w:val="22"/>
          <w:szCs w:val="22"/>
          <w:lang w:val="fr-CA"/>
        </w:rPr>
        <w:t>Amérique du Nord</w:t>
      </w:r>
      <w:r w:rsidR="004B31D6" w:rsidRPr="0081702E">
        <w:rPr>
          <w:rFonts w:asciiTheme="majorHAnsi" w:eastAsia="Calibri" w:hAnsiTheme="majorHAnsi" w:cs="Verdana"/>
          <w:sz w:val="22"/>
          <w:szCs w:val="22"/>
          <w:lang w:val="fr-CA"/>
        </w:rPr>
        <w:t>)</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w:t>
      </w:r>
      <w:r w:rsidR="00F3068C">
        <w:rPr>
          <w:rFonts w:asciiTheme="majorHAnsi" w:eastAsia="Calibri" w:hAnsiTheme="majorHAnsi" w:cs="Verdana"/>
          <w:sz w:val="22"/>
          <w:szCs w:val="22"/>
          <w:lang w:val="fr-CA"/>
        </w:rPr>
        <w:t>Président</w:t>
      </w:r>
      <w:r w:rsidR="004B31D6" w:rsidRPr="0081702E">
        <w:rPr>
          <w:rFonts w:asciiTheme="majorHAnsi" w:eastAsia="Calibri" w:hAnsiTheme="majorHAnsi" w:cs="Verdana"/>
          <w:sz w:val="22"/>
          <w:szCs w:val="22"/>
          <w:lang w:val="fr-CA"/>
        </w:rPr>
        <w:t>;</w:t>
      </w:r>
      <w:r w:rsidR="00E01336" w:rsidRPr="0081702E">
        <w:rPr>
          <w:rFonts w:asciiTheme="majorHAnsi" w:eastAsia="Calibri" w:hAnsiTheme="majorHAnsi" w:cs="Verdana"/>
          <w:sz w:val="22"/>
          <w:szCs w:val="22"/>
          <w:lang w:val="fr-CA"/>
        </w:rPr>
        <w:t xml:space="preserve"> </w:t>
      </w:r>
      <w:r w:rsidR="003E5CD6">
        <w:rPr>
          <w:rFonts w:asciiTheme="majorHAnsi" w:eastAsia="Calibri" w:hAnsiTheme="majorHAnsi" w:cs="Verdana"/>
          <w:sz w:val="22"/>
          <w:szCs w:val="22"/>
          <w:lang w:val="fr-CA"/>
        </w:rPr>
        <w:t>reconduction</w:t>
      </w:r>
      <w:r w:rsidRPr="0081702E">
        <w:rPr>
          <w:rFonts w:asciiTheme="majorHAnsi" w:eastAsia="Calibri" w:hAnsiTheme="majorHAnsi" w:cs="Verdana"/>
          <w:sz w:val="22"/>
          <w:szCs w:val="22"/>
          <w:lang w:val="fr-CA"/>
        </w:rPr>
        <w:t>)</w:t>
      </w:r>
    </w:p>
    <w:p w14:paraId="756D3689" w14:textId="3B31B52A" w:rsidR="00B33F56" w:rsidRPr="0081702E" w:rsidRDefault="00B33F56" w:rsidP="00914A1A">
      <w:pPr>
        <w:widowControl w:val="0"/>
        <w:autoSpaceDE w:val="0"/>
        <w:autoSpaceDN w:val="0"/>
        <w:adjustRightInd w:val="0"/>
        <w:ind w:left="426"/>
        <w:rPr>
          <w:rFonts w:asciiTheme="majorHAnsi" w:eastAsia="Calibri" w:hAnsiTheme="majorHAnsi" w:cs="Verdana"/>
          <w:sz w:val="22"/>
          <w:szCs w:val="22"/>
          <w:lang w:val="fr-CA"/>
        </w:rPr>
      </w:pPr>
      <w:r w:rsidRPr="0081702E">
        <w:rPr>
          <w:rFonts w:asciiTheme="majorHAnsi" w:eastAsia="Calibri" w:hAnsiTheme="majorHAnsi" w:cs="Verdana"/>
          <w:sz w:val="22"/>
          <w:szCs w:val="22"/>
          <w:lang w:val="fr-CA"/>
        </w:rPr>
        <w:t>Peter</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Eric</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Davies</w:t>
      </w:r>
      <w:r w:rsidR="00E01336" w:rsidRPr="0081702E">
        <w:rPr>
          <w:rFonts w:asciiTheme="majorHAnsi" w:eastAsia="Calibri" w:hAnsiTheme="majorHAnsi" w:cs="Verdana"/>
          <w:sz w:val="22"/>
          <w:szCs w:val="22"/>
          <w:lang w:val="fr-CA"/>
        </w:rPr>
        <w:t xml:space="preserve"> </w:t>
      </w:r>
      <w:r w:rsidR="004B31D6" w:rsidRPr="0081702E">
        <w:rPr>
          <w:rFonts w:asciiTheme="majorHAnsi" w:eastAsia="Calibri" w:hAnsiTheme="majorHAnsi" w:cs="Verdana"/>
          <w:sz w:val="22"/>
          <w:szCs w:val="22"/>
          <w:lang w:val="fr-CA"/>
        </w:rPr>
        <w:t>(</w:t>
      </w:r>
      <w:r w:rsidR="00F3068C" w:rsidRPr="0081702E">
        <w:rPr>
          <w:rFonts w:asciiTheme="majorHAnsi" w:eastAsia="Calibri" w:hAnsiTheme="majorHAnsi" w:cs="Verdana"/>
          <w:sz w:val="22"/>
          <w:szCs w:val="22"/>
          <w:lang w:val="fr-CA"/>
        </w:rPr>
        <w:t>Océanie</w:t>
      </w:r>
      <w:r w:rsidR="004B31D6" w:rsidRPr="0081702E">
        <w:rPr>
          <w:rFonts w:asciiTheme="majorHAnsi" w:eastAsia="Calibri" w:hAnsiTheme="majorHAnsi" w:cs="Verdana"/>
          <w:sz w:val="22"/>
          <w:szCs w:val="22"/>
          <w:lang w:val="fr-CA"/>
        </w:rPr>
        <w:t>)</w:t>
      </w:r>
    </w:p>
    <w:p w14:paraId="79C7DEB4" w14:textId="77777777" w:rsidR="004B31D6" w:rsidRPr="0081702E" w:rsidRDefault="004B31D6" w:rsidP="00914A1A">
      <w:pPr>
        <w:widowControl w:val="0"/>
        <w:autoSpaceDE w:val="0"/>
        <w:autoSpaceDN w:val="0"/>
        <w:adjustRightInd w:val="0"/>
        <w:rPr>
          <w:rFonts w:asciiTheme="majorHAnsi" w:eastAsia="Calibri" w:hAnsiTheme="majorHAnsi" w:cs="Calibri"/>
          <w:sz w:val="22"/>
          <w:szCs w:val="22"/>
          <w:lang w:val="fr-CA"/>
        </w:rPr>
      </w:pPr>
    </w:p>
    <w:p w14:paraId="79D211E3" w14:textId="3EE444BF" w:rsidR="00B33F56" w:rsidRPr="0081702E" w:rsidRDefault="00F3068C" w:rsidP="00914A1A">
      <w:pPr>
        <w:widowControl w:val="0"/>
        <w:autoSpaceDE w:val="0"/>
        <w:autoSpaceDN w:val="0"/>
        <w:adjustRightInd w:val="0"/>
        <w:ind w:left="426"/>
        <w:rPr>
          <w:rFonts w:asciiTheme="majorHAnsi" w:eastAsia="Calibri" w:hAnsiTheme="majorHAnsi" w:cs="Calibri"/>
          <w:b/>
          <w:sz w:val="22"/>
          <w:szCs w:val="22"/>
          <w:lang w:val="fr-CA"/>
        </w:rPr>
      </w:pPr>
      <w:r>
        <w:rPr>
          <w:rFonts w:asciiTheme="majorHAnsi" w:eastAsia="Calibri" w:hAnsiTheme="majorHAnsi" w:cs="Verdana"/>
          <w:b/>
          <w:sz w:val="22"/>
          <w:szCs w:val="22"/>
          <w:lang w:val="fr-CA"/>
        </w:rPr>
        <w:t>Experts techniques additionnels</w:t>
      </w:r>
    </w:p>
    <w:p w14:paraId="61F037A0" w14:textId="4D6DAA37" w:rsidR="00B33F56" w:rsidRPr="00AD2094" w:rsidRDefault="00B33F56" w:rsidP="00914A1A">
      <w:pPr>
        <w:widowControl w:val="0"/>
        <w:autoSpaceDE w:val="0"/>
        <w:autoSpaceDN w:val="0"/>
        <w:adjustRightInd w:val="0"/>
        <w:ind w:left="426"/>
        <w:rPr>
          <w:rFonts w:asciiTheme="majorHAnsi" w:eastAsia="Calibri" w:hAnsiTheme="majorHAnsi" w:cs="Calibri"/>
          <w:sz w:val="22"/>
          <w:szCs w:val="22"/>
          <w:lang w:val="en-CA"/>
        </w:rPr>
      </w:pPr>
      <w:r w:rsidRPr="00AD2094">
        <w:rPr>
          <w:rFonts w:asciiTheme="majorHAnsi" w:eastAsia="Calibri" w:hAnsiTheme="majorHAnsi" w:cs="Verdana"/>
          <w:sz w:val="22"/>
          <w:szCs w:val="22"/>
          <w:lang w:val="en-CA"/>
        </w:rPr>
        <w:t>Ritesh</w:t>
      </w:r>
      <w:r w:rsidR="00E01336" w:rsidRPr="00AD2094">
        <w:rPr>
          <w:rFonts w:asciiTheme="majorHAnsi" w:eastAsia="Calibri" w:hAnsiTheme="majorHAnsi" w:cs="Verdana"/>
          <w:sz w:val="22"/>
          <w:szCs w:val="22"/>
          <w:lang w:val="en-CA"/>
        </w:rPr>
        <w:t xml:space="preserve"> </w:t>
      </w:r>
      <w:r w:rsidRPr="00AD2094">
        <w:rPr>
          <w:rFonts w:asciiTheme="majorHAnsi" w:eastAsia="Calibri" w:hAnsiTheme="majorHAnsi" w:cs="Verdana"/>
          <w:sz w:val="22"/>
          <w:szCs w:val="22"/>
          <w:lang w:val="en-CA"/>
        </w:rPr>
        <w:t>Kumar</w:t>
      </w:r>
      <w:r w:rsidR="00E01336" w:rsidRPr="00AD2094">
        <w:rPr>
          <w:rFonts w:asciiTheme="majorHAnsi" w:eastAsia="Calibri" w:hAnsiTheme="majorHAnsi" w:cs="Verdana"/>
          <w:sz w:val="22"/>
          <w:szCs w:val="22"/>
          <w:lang w:val="en-CA"/>
        </w:rPr>
        <w:t xml:space="preserve"> </w:t>
      </w:r>
      <w:r w:rsidRPr="00AD2094">
        <w:rPr>
          <w:rFonts w:asciiTheme="majorHAnsi" w:eastAsia="Calibri" w:hAnsiTheme="majorHAnsi" w:cs="Verdana"/>
          <w:sz w:val="22"/>
          <w:szCs w:val="22"/>
          <w:lang w:val="en-CA"/>
        </w:rPr>
        <w:t>(</w:t>
      </w:r>
      <w:r w:rsidR="00B41A2A" w:rsidRPr="00AD2094">
        <w:rPr>
          <w:rFonts w:asciiTheme="majorHAnsi" w:eastAsia="Calibri" w:hAnsiTheme="majorHAnsi" w:cs="Verdana"/>
          <w:sz w:val="22"/>
          <w:szCs w:val="22"/>
          <w:lang w:val="en-CA"/>
        </w:rPr>
        <w:t>reconduction</w:t>
      </w:r>
      <w:r w:rsidRPr="00AD2094">
        <w:rPr>
          <w:rFonts w:asciiTheme="majorHAnsi" w:eastAsia="Calibri" w:hAnsiTheme="majorHAnsi" w:cs="Verdana"/>
          <w:sz w:val="22"/>
          <w:szCs w:val="22"/>
          <w:lang w:val="en-CA"/>
        </w:rPr>
        <w:t>)</w:t>
      </w:r>
    </w:p>
    <w:p w14:paraId="5792D4E2" w14:textId="2AF31DEE" w:rsidR="00B33F56" w:rsidRPr="00AD2094" w:rsidRDefault="00B33F56" w:rsidP="00914A1A">
      <w:pPr>
        <w:widowControl w:val="0"/>
        <w:autoSpaceDE w:val="0"/>
        <w:autoSpaceDN w:val="0"/>
        <w:adjustRightInd w:val="0"/>
        <w:ind w:left="426"/>
        <w:rPr>
          <w:rFonts w:asciiTheme="majorHAnsi" w:eastAsia="Calibri" w:hAnsiTheme="majorHAnsi" w:cs="Calibri"/>
          <w:sz w:val="22"/>
          <w:szCs w:val="22"/>
          <w:lang w:val="en-CA"/>
        </w:rPr>
      </w:pPr>
      <w:r w:rsidRPr="00AD2094">
        <w:rPr>
          <w:rFonts w:asciiTheme="majorHAnsi" w:eastAsia="Calibri" w:hAnsiTheme="majorHAnsi" w:cs="Verdana"/>
          <w:sz w:val="22"/>
          <w:szCs w:val="22"/>
          <w:lang w:val="en-CA"/>
        </w:rPr>
        <w:t>Matt</w:t>
      </w:r>
      <w:r w:rsidR="00E01336" w:rsidRPr="00AD2094">
        <w:rPr>
          <w:rFonts w:asciiTheme="majorHAnsi" w:eastAsia="Calibri" w:hAnsiTheme="majorHAnsi" w:cs="Verdana"/>
          <w:sz w:val="22"/>
          <w:szCs w:val="22"/>
          <w:lang w:val="en-CA"/>
        </w:rPr>
        <w:t xml:space="preserve"> </w:t>
      </w:r>
      <w:r w:rsidRPr="00AD2094">
        <w:rPr>
          <w:rFonts w:asciiTheme="majorHAnsi" w:eastAsia="Calibri" w:hAnsiTheme="majorHAnsi" w:cs="Verdana"/>
          <w:sz w:val="22"/>
          <w:szCs w:val="22"/>
          <w:lang w:val="en-CA"/>
        </w:rPr>
        <w:t>Walpole</w:t>
      </w:r>
      <w:r w:rsidR="00E01336" w:rsidRPr="00AD2094">
        <w:rPr>
          <w:rFonts w:asciiTheme="majorHAnsi" w:eastAsia="Calibri" w:hAnsiTheme="majorHAnsi" w:cs="Verdana"/>
          <w:sz w:val="22"/>
          <w:szCs w:val="22"/>
          <w:lang w:val="en-CA"/>
        </w:rPr>
        <w:t xml:space="preserve"> </w:t>
      </w:r>
      <w:r w:rsidRPr="00AD2094">
        <w:rPr>
          <w:rFonts w:asciiTheme="majorHAnsi" w:eastAsia="Calibri" w:hAnsiTheme="majorHAnsi" w:cs="Verdana"/>
          <w:sz w:val="22"/>
          <w:szCs w:val="22"/>
          <w:lang w:val="en-CA"/>
        </w:rPr>
        <w:t>(</w:t>
      </w:r>
      <w:r w:rsidR="00B41A2A" w:rsidRPr="00AD2094">
        <w:rPr>
          <w:rFonts w:asciiTheme="majorHAnsi" w:eastAsia="Calibri" w:hAnsiTheme="majorHAnsi" w:cs="Verdana"/>
          <w:sz w:val="22"/>
          <w:szCs w:val="22"/>
          <w:lang w:val="en-CA"/>
        </w:rPr>
        <w:t>reconduction</w:t>
      </w:r>
      <w:r w:rsidRPr="00AD2094">
        <w:rPr>
          <w:rFonts w:asciiTheme="majorHAnsi" w:eastAsia="Calibri" w:hAnsiTheme="majorHAnsi" w:cs="Verdana"/>
          <w:sz w:val="22"/>
          <w:szCs w:val="22"/>
          <w:lang w:val="en-CA"/>
        </w:rPr>
        <w:t>)</w:t>
      </w:r>
    </w:p>
    <w:p w14:paraId="36FDC130" w14:textId="175EEFD7" w:rsidR="00B33F56" w:rsidRPr="0081702E" w:rsidRDefault="00B33F56" w:rsidP="00914A1A">
      <w:pPr>
        <w:widowControl w:val="0"/>
        <w:autoSpaceDE w:val="0"/>
        <w:autoSpaceDN w:val="0"/>
        <w:adjustRightInd w:val="0"/>
        <w:ind w:left="426"/>
        <w:rPr>
          <w:rFonts w:asciiTheme="majorHAnsi" w:eastAsia="Calibri" w:hAnsiTheme="majorHAnsi" w:cs="Calibri"/>
          <w:sz w:val="22"/>
          <w:szCs w:val="22"/>
          <w:lang w:val="fr-CA"/>
        </w:rPr>
      </w:pPr>
      <w:r w:rsidRPr="0081702E">
        <w:rPr>
          <w:rFonts w:asciiTheme="majorHAnsi" w:eastAsia="Calibri" w:hAnsiTheme="majorHAnsi" w:cs="Verdana"/>
          <w:sz w:val="22"/>
          <w:szCs w:val="22"/>
          <w:lang w:val="fr-CA"/>
        </w:rPr>
        <w:t>Ruth</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Cromie</w:t>
      </w:r>
    </w:p>
    <w:p w14:paraId="3FE9152C" w14:textId="661F6E20" w:rsidR="00B33F56" w:rsidRPr="0081702E" w:rsidRDefault="00B33F56" w:rsidP="00914A1A">
      <w:pPr>
        <w:widowControl w:val="0"/>
        <w:autoSpaceDE w:val="0"/>
        <w:autoSpaceDN w:val="0"/>
        <w:adjustRightInd w:val="0"/>
        <w:ind w:left="426"/>
        <w:rPr>
          <w:rFonts w:asciiTheme="majorHAnsi" w:eastAsia="Calibri" w:hAnsiTheme="majorHAnsi" w:cs="Calibri"/>
          <w:sz w:val="22"/>
          <w:szCs w:val="22"/>
          <w:lang w:val="fr-CA"/>
        </w:rPr>
      </w:pPr>
      <w:r w:rsidRPr="0081702E">
        <w:rPr>
          <w:rFonts w:asciiTheme="majorHAnsi" w:eastAsia="Calibri" w:hAnsiTheme="majorHAnsi" w:cs="Verdana"/>
          <w:sz w:val="22"/>
          <w:szCs w:val="22"/>
          <w:lang w:val="fr-CA"/>
        </w:rPr>
        <w:t>Vincent</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V.</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Hilomen</w:t>
      </w:r>
    </w:p>
    <w:p w14:paraId="6BDDFE71" w14:textId="5ED0BED4" w:rsidR="00B33F56" w:rsidRPr="0081702E" w:rsidRDefault="00B33F56" w:rsidP="00914A1A">
      <w:pPr>
        <w:widowControl w:val="0"/>
        <w:autoSpaceDE w:val="0"/>
        <w:autoSpaceDN w:val="0"/>
        <w:adjustRightInd w:val="0"/>
        <w:ind w:left="426"/>
        <w:rPr>
          <w:rFonts w:asciiTheme="majorHAnsi" w:eastAsia="Calibri" w:hAnsiTheme="majorHAnsi" w:cs="Calibri"/>
          <w:sz w:val="22"/>
          <w:szCs w:val="22"/>
          <w:lang w:val="fr-CA"/>
        </w:rPr>
      </w:pPr>
      <w:r w:rsidRPr="0081702E">
        <w:rPr>
          <w:rFonts w:asciiTheme="majorHAnsi" w:eastAsia="Calibri" w:hAnsiTheme="majorHAnsi" w:cs="Verdana"/>
          <w:sz w:val="22"/>
          <w:szCs w:val="22"/>
          <w:lang w:val="fr-CA"/>
        </w:rPr>
        <w:t>Jari</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Ilmonen</w:t>
      </w:r>
    </w:p>
    <w:p w14:paraId="3E771D80" w14:textId="0935B8DD" w:rsidR="00B33F56" w:rsidRPr="0081702E" w:rsidRDefault="00B33F56" w:rsidP="00914A1A">
      <w:pPr>
        <w:widowControl w:val="0"/>
        <w:autoSpaceDE w:val="0"/>
        <w:autoSpaceDN w:val="0"/>
        <w:adjustRightInd w:val="0"/>
        <w:ind w:left="426"/>
        <w:rPr>
          <w:rFonts w:asciiTheme="majorHAnsi" w:eastAsia="Calibri" w:hAnsiTheme="majorHAnsi" w:cs="Calibri"/>
          <w:sz w:val="22"/>
          <w:szCs w:val="22"/>
          <w:lang w:val="fr-CA"/>
        </w:rPr>
      </w:pPr>
      <w:r w:rsidRPr="0081702E">
        <w:rPr>
          <w:rFonts w:asciiTheme="majorHAnsi" w:eastAsia="Calibri" w:hAnsiTheme="majorHAnsi" w:cs="Verdana"/>
          <w:sz w:val="22"/>
          <w:szCs w:val="22"/>
          <w:lang w:val="fr-CA"/>
        </w:rPr>
        <w:t>Laura</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Martinez</w:t>
      </w:r>
    </w:p>
    <w:p w14:paraId="2E3FD3FA" w14:textId="2A0B3A34" w:rsidR="004B31D6" w:rsidRPr="0081702E" w:rsidRDefault="004B31D6" w:rsidP="00914A1A">
      <w:pPr>
        <w:widowControl w:val="0"/>
        <w:autoSpaceDE w:val="0"/>
        <w:autoSpaceDN w:val="0"/>
        <w:adjustRightInd w:val="0"/>
        <w:rPr>
          <w:rFonts w:asciiTheme="majorHAnsi" w:eastAsia="Calibri" w:hAnsiTheme="majorHAnsi" w:cs="Verdana"/>
          <w:sz w:val="22"/>
          <w:szCs w:val="22"/>
          <w:lang w:val="fr-CA"/>
        </w:rPr>
      </w:pPr>
    </w:p>
    <w:p w14:paraId="7AB3996E" w14:textId="016D1046" w:rsidR="00B33F56" w:rsidRPr="0081702E" w:rsidRDefault="00F3068C" w:rsidP="00914A1A">
      <w:pPr>
        <w:widowControl w:val="0"/>
        <w:autoSpaceDE w:val="0"/>
        <w:autoSpaceDN w:val="0"/>
        <w:adjustRightInd w:val="0"/>
        <w:ind w:left="426"/>
        <w:rPr>
          <w:rFonts w:asciiTheme="majorHAnsi" w:eastAsia="Calibri" w:hAnsiTheme="majorHAnsi" w:cs="Calibri"/>
          <w:b/>
          <w:sz w:val="22"/>
          <w:szCs w:val="22"/>
          <w:lang w:val="fr-CA"/>
        </w:rPr>
      </w:pPr>
      <w:r>
        <w:rPr>
          <w:rFonts w:asciiTheme="majorHAnsi" w:eastAsia="Calibri" w:hAnsiTheme="majorHAnsi" w:cs="Verdana"/>
          <w:b/>
          <w:sz w:val="22"/>
          <w:szCs w:val="22"/>
          <w:lang w:val="fr-CA"/>
        </w:rPr>
        <w:t>Experts scientifiques</w:t>
      </w:r>
    </w:p>
    <w:p w14:paraId="67BC9186" w14:textId="757E1CA1" w:rsidR="00B33F56" w:rsidRPr="0081702E" w:rsidRDefault="00B33F56" w:rsidP="00914A1A">
      <w:pPr>
        <w:widowControl w:val="0"/>
        <w:autoSpaceDE w:val="0"/>
        <w:autoSpaceDN w:val="0"/>
        <w:adjustRightInd w:val="0"/>
        <w:ind w:left="426"/>
        <w:rPr>
          <w:rFonts w:asciiTheme="majorHAnsi" w:eastAsia="Calibri" w:hAnsiTheme="majorHAnsi" w:cs="Calibri"/>
          <w:sz w:val="22"/>
          <w:szCs w:val="22"/>
          <w:lang w:val="fr-CA"/>
        </w:rPr>
      </w:pPr>
      <w:r w:rsidRPr="0081702E">
        <w:rPr>
          <w:rFonts w:asciiTheme="majorHAnsi" w:eastAsia="Calibri" w:hAnsiTheme="majorHAnsi" w:cs="Verdana"/>
          <w:sz w:val="22"/>
          <w:szCs w:val="22"/>
          <w:lang w:val="fr-CA"/>
        </w:rPr>
        <w:t>Max</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Finlayson</w:t>
      </w:r>
    </w:p>
    <w:p w14:paraId="48279FF0" w14:textId="021D3205" w:rsidR="00B33F56" w:rsidRPr="0081702E" w:rsidRDefault="00B33F56" w:rsidP="00914A1A">
      <w:pPr>
        <w:widowControl w:val="0"/>
        <w:autoSpaceDE w:val="0"/>
        <w:autoSpaceDN w:val="0"/>
        <w:adjustRightInd w:val="0"/>
        <w:ind w:left="426"/>
        <w:rPr>
          <w:rFonts w:asciiTheme="majorHAnsi" w:eastAsia="Calibri" w:hAnsiTheme="majorHAnsi" w:cs="Calibri"/>
          <w:sz w:val="22"/>
          <w:szCs w:val="22"/>
          <w:lang w:val="fr-CA"/>
        </w:rPr>
      </w:pPr>
      <w:r w:rsidRPr="0081702E">
        <w:rPr>
          <w:rFonts w:asciiTheme="majorHAnsi" w:eastAsia="Calibri" w:hAnsiTheme="majorHAnsi" w:cs="Verdana"/>
          <w:sz w:val="22"/>
          <w:szCs w:val="22"/>
          <w:lang w:val="fr-CA"/>
        </w:rPr>
        <w:t>Siobhan</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Fennessy</w:t>
      </w:r>
    </w:p>
    <w:p w14:paraId="332FA75C" w14:textId="3514A217" w:rsidR="00B33F56" w:rsidRPr="0081702E" w:rsidRDefault="00B33F56" w:rsidP="00914A1A">
      <w:pPr>
        <w:widowControl w:val="0"/>
        <w:autoSpaceDE w:val="0"/>
        <w:autoSpaceDN w:val="0"/>
        <w:adjustRightInd w:val="0"/>
        <w:ind w:left="426"/>
        <w:rPr>
          <w:rFonts w:asciiTheme="majorHAnsi" w:eastAsia="Calibri" w:hAnsiTheme="majorHAnsi" w:cs="Calibri"/>
          <w:sz w:val="22"/>
          <w:szCs w:val="22"/>
          <w:lang w:val="fr-CA"/>
        </w:rPr>
      </w:pPr>
      <w:r w:rsidRPr="0081702E">
        <w:rPr>
          <w:rFonts w:asciiTheme="majorHAnsi" w:eastAsia="Calibri" w:hAnsiTheme="majorHAnsi" w:cs="Verdana"/>
          <w:sz w:val="22"/>
          <w:szCs w:val="22"/>
          <w:lang w:val="fr-CA"/>
        </w:rPr>
        <w:t>Rub</w:t>
      </w:r>
      <w:r w:rsidR="007508C5" w:rsidRPr="0081702E">
        <w:rPr>
          <w:rFonts w:asciiTheme="majorHAnsi" w:eastAsia="Calibri" w:hAnsiTheme="majorHAnsi" w:cs="Verdana"/>
          <w:sz w:val="22"/>
          <w:szCs w:val="22"/>
          <w:lang w:val="fr-CA"/>
        </w:rPr>
        <w:t>é</w:t>
      </w:r>
      <w:r w:rsidRPr="0081702E">
        <w:rPr>
          <w:rFonts w:asciiTheme="majorHAnsi" w:eastAsia="Calibri" w:hAnsiTheme="majorHAnsi" w:cs="Verdana"/>
          <w:sz w:val="22"/>
          <w:szCs w:val="22"/>
          <w:lang w:val="fr-CA"/>
        </w:rPr>
        <w:t>n</w:t>
      </w:r>
      <w:r w:rsidR="00E01336" w:rsidRPr="0081702E">
        <w:rPr>
          <w:rFonts w:asciiTheme="majorHAnsi" w:eastAsia="Calibri" w:hAnsiTheme="majorHAnsi" w:cs="Verdana"/>
          <w:sz w:val="22"/>
          <w:szCs w:val="22"/>
          <w:lang w:val="fr-CA"/>
        </w:rPr>
        <w:t xml:space="preserve"> </w:t>
      </w:r>
      <w:r w:rsidRPr="0081702E">
        <w:rPr>
          <w:rFonts w:asciiTheme="majorHAnsi" w:eastAsia="Calibri" w:hAnsiTheme="majorHAnsi" w:cs="Verdana"/>
          <w:sz w:val="22"/>
          <w:szCs w:val="22"/>
          <w:lang w:val="fr-CA"/>
        </w:rPr>
        <w:t>Quintana</w:t>
      </w:r>
    </w:p>
    <w:p w14:paraId="5DA8A929" w14:textId="1EB3FBC5" w:rsidR="00B33F56" w:rsidRPr="0085476E" w:rsidRDefault="00B33F56" w:rsidP="00914A1A">
      <w:pPr>
        <w:widowControl w:val="0"/>
        <w:autoSpaceDE w:val="0"/>
        <w:autoSpaceDN w:val="0"/>
        <w:adjustRightInd w:val="0"/>
        <w:ind w:left="426"/>
        <w:rPr>
          <w:rFonts w:asciiTheme="majorHAnsi" w:eastAsia="Calibri" w:hAnsiTheme="majorHAnsi" w:cs="Verdana"/>
          <w:sz w:val="22"/>
          <w:szCs w:val="22"/>
          <w:lang w:val="es-ES"/>
        </w:rPr>
      </w:pPr>
      <w:r w:rsidRPr="0085476E">
        <w:rPr>
          <w:rFonts w:asciiTheme="majorHAnsi" w:eastAsia="Calibri" w:hAnsiTheme="majorHAnsi" w:cs="Verdana"/>
          <w:sz w:val="22"/>
          <w:szCs w:val="22"/>
          <w:lang w:val="es-ES"/>
        </w:rPr>
        <w:t>Guangchun</w:t>
      </w:r>
      <w:r w:rsidR="00E01336" w:rsidRPr="0085476E">
        <w:rPr>
          <w:rFonts w:asciiTheme="majorHAnsi" w:eastAsia="Calibri" w:hAnsiTheme="majorHAnsi" w:cs="Verdana"/>
          <w:sz w:val="22"/>
          <w:szCs w:val="22"/>
          <w:lang w:val="es-ES"/>
        </w:rPr>
        <w:t xml:space="preserve"> </w:t>
      </w:r>
      <w:r w:rsidRPr="0085476E">
        <w:rPr>
          <w:rFonts w:asciiTheme="majorHAnsi" w:eastAsia="Calibri" w:hAnsiTheme="majorHAnsi" w:cs="Verdana"/>
          <w:sz w:val="22"/>
          <w:szCs w:val="22"/>
          <w:lang w:val="es-ES"/>
        </w:rPr>
        <w:t>Lei</w:t>
      </w:r>
    </w:p>
    <w:p w14:paraId="568DA834" w14:textId="137AA9AA" w:rsidR="002378EC" w:rsidRPr="002378EC" w:rsidRDefault="002378EC" w:rsidP="00914A1A">
      <w:pPr>
        <w:widowControl w:val="0"/>
        <w:autoSpaceDE w:val="0"/>
        <w:autoSpaceDN w:val="0"/>
        <w:adjustRightInd w:val="0"/>
        <w:ind w:left="426"/>
        <w:rPr>
          <w:rFonts w:asciiTheme="majorHAnsi" w:eastAsia="Calibri" w:hAnsiTheme="majorHAnsi" w:cs="Calibri"/>
          <w:sz w:val="22"/>
          <w:szCs w:val="22"/>
          <w:lang w:val="es-ES"/>
        </w:rPr>
      </w:pPr>
      <w:r w:rsidRPr="00703261">
        <w:rPr>
          <w:rFonts w:asciiTheme="majorHAnsi" w:eastAsia="Calibri" w:hAnsiTheme="majorHAnsi" w:cs="Verdana"/>
          <w:sz w:val="22"/>
          <w:szCs w:val="22"/>
          <w:lang w:val="es-ES_tradnl"/>
        </w:rPr>
        <w:t>Dulce</w:t>
      </w:r>
      <w:r>
        <w:rPr>
          <w:rFonts w:asciiTheme="majorHAnsi" w:eastAsia="Calibri" w:hAnsiTheme="majorHAnsi" w:cs="Verdana"/>
          <w:sz w:val="22"/>
          <w:szCs w:val="22"/>
          <w:lang w:val="es-ES_tradnl"/>
        </w:rPr>
        <w:t xml:space="preserve"> </w:t>
      </w:r>
      <w:r w:rsidRPr="00703261">
        <w:rPr>
          <w:rFonts w:asciiTheme="majorHAnsi" w:eastAsia="Calibri" w:hAnsiTheme="majorHAnsi" w:cs="Verdana"/>
          <w:sz w:val="22"/>
          <w:szCs w:val="22"/>
          <w:lang w:val="es-ES_tradnl"/>
        </w:rPr>
        <w:t>Infante</w:t>
      </w:r>
      <w:r>
        <w:rPr>
          <w:rFonts w:asciiTheme="majorHAnsi" w:eastAsia="Calibri" w:hAnsiTheme="majorHAnsi" w:cs="Verdana"/>
          <w:sz w:val="22"/>
          <w:szCs w:val="22"/>
          <w:lang w:val="es-ES_tradnl"/>
        </w:rPr>
        <w:t xml:space="preserve"> Mata</w:t>
      </w:r>
    </w:p>
    <w:p w14:paraId="1D0DF3BF" w14:textId="7EF8B9F9" w:rsidR="00AC45B7" w:rsidRPr="002378EC" w:rsidRDefault="003E1FA4" w:rsidP="00914A1A">
      <w:pPr>
        <w:ind w:left="426"/>
        <w:rPr>
          <w:rFonts w:asciiTheme="majorHAnsi" w:hAnsiTheme="majorHAnsi"/>
          <w:sz w:val="22"/>
          <w:szCs w:val="22"/>
          <w:lang w:val="es-ES"/>
        </w:rPr>
      </w:pPr>
      <w:r w:rsidRPr="002378EC">
        <w:rPr>
          <w:rFonts w:asciiTheme="majorHAnsi" w:eastAsia="Calibri" w:hAnsiTheme="majorHAnsi" w:cs="Verdana"/>
          <w:sz w:val="22"/>
          <w:szCs w:val="22"/>
          <w:lang w:val="es-ES"/>
        </w:rPr>
        <w:t>Lisa-Maria</w:t>
      </w:r>
      <w:r w:rsidR="00E01336" w:rsidRPr="002378EC">
        <w:rPr>
          <w:rFonts w:asciiTheme="majorHAnsi" w:eastAsia="Calibri" w:hAnsiTheme="majorHAnsi" w:cs="Verdana"/>
          <w:sz w:val="22"/>
          <w:szCs w:val="22"/>
          <w:lang w:val="es-ES"/>
        </w:rPr>
        <w:t xml:space="preserve"> </w:t>
      </w:r>
      <w:r w:rsidRPr="002378EC">
        <w:rPr>
          <w:rFonts w:asciiTheme="majorHAnsi" w:eastAsia="Calibri" w:hAnsiTheme="majorHAnsi" w:cs="Verdana"/>
          <w:sz w:val="22"/>
          <w:szCs w:val="22"/>
          <w:lang w:val="es-ES"/>
        </w:rPr>
        <w:t>Rebelo</w:t>
      </w:r>
      <w:r w:rsidR="00E01336" w:rsidRPr="002378EC">
        <w:rPr>
          <w:rFonts w:asciiTheme="majorHAnsi" w:hAnsiTheme="majorHAnsi"/>
          <w:sz w:val="22"/>
          <w:szCs w:val="22"/>
          <w:lang w:val="es-ES"/>
        </w:rPr>
        <w:t xml:space="preserve"> </w:t>
      </w:r>
    </w:p>
    <w:p w14:paraId="3B4CADCB" w14:textId="77777777" w:rsidR="00AC45B7" w:rsidRPr="002378EC" w:rsidRDefault="00AC45B7" w:rsidP="00914A1A">
      <w:pPr>
        <w:ind w:left="567" w:hanging="567"/>
        <w:rPr>
          <w:rFonts w:asciiTheme="majorHAnsi" w:hAnsiTheme="majorHAnsi"/>
          <w:sz w:val="22"/>
          <w:szCs w:val="22"/>
          <w:lang w:val="es-ES"/>
        </w:rPr>
      </w:pPr>
    </w:p>
    <w:p w14:paraId="07B4228F" w14:textId="3A089F4E" w:rsidR="00372E0C" w:rsidRPr="0081702E" w:rsidRDefault="00372E0C" w:rsidP="00F3068C">
      <w:pPr>
        <w:keepNext/>
        <w:keepLines/>
        <w:rPr>
          <w:rFonts w:asciiTheme="majorHAnsi" w:hAnsiTheme="majorHAnsi"/>
          <w:b/>
          <w:sz w:val="22"/>
          <w:szCs w:val="22"/>
          <w:lang w:val="fr-CA"/>
        </w:rPr>
      </w:pPr>
      <w:r w:rsidRPr="0081702E">
        <w:rPr>
          <w:rFonts w:asciiTheme="majorHAnsi" w:hAnsiTheme="majorHAnsi"/>
          <w:b/>
          <w:sz w:val="22"/>
          <w:szCs w:val="22"/>
          <w:lang w:val="fr-CA"/>
        </w:rPr>
        <w:lastRenderedPageBreak/>
        <w:t>1</w:t>
      </w:r>
      <w:r w:rsidR="007E34EC" w:rsidRPr="0081702E">
        <w:rPr>
          <w:rFonts w:asciiTheme="majorHAnsi" w:hAnsiTheme="majorHAnsi"/>
          <w:b/>
          <w:sz w:val="22"/>
          <w:szCs w:val="22"/>
          <w:lang w:val="fr-CA"/>
        </w:rPr>
        <w:t>9</w:t>
      </w:r>
      <w:r w:rsidR="00F3068C">
        <w:rPr>
          <w:rFonts w:asciiTheme="majorHAnsi" w:hAnsiTheme="majorHAnsi"/>
          <w:b/>
          <w:sz w:val="22"/>
          <w:szCs w:val="22"/>
          <w:vertAlign w:val="superscript"/>
          <w:lang w:val="fr-CA"/>
        </w:rPr>
        <w:t>e</w:t>
      </w:r>
      <w:r w:rsidR="00E01336" w:rsidRPr="0081702E">
        <w:rPr>
          <w:rFonts w:asciiTheme="majorHAnsi" w:hAnsiTheme="majorHAnsi"/>
          <w:b/>
          <w:sz w:val="22"/>
          <w:szCs w:val="22"/>
          <w:lang w:val="fr-CA"/>
        </w:rPr>
        <w:t xml:space="preserve"> </w:t>
      </w:r>
      <w:r w:rsidR="00F3068C">
        <w:rPr>
          <w:rFonts w:asciiTheme="majorHAnsi" w:hAnsiTheme="majorHAnsi"/>
          <w:b/>
          <w:sz w:val="22"/>
          <w:szCs w:val="22"/>
          <w:lang w:val="fr-CA"/>
        </w:rPr>
        <w:t xml:space="preserve">Réunion du GEST et projet de plan de travail du GEST </w:t>
      </w:r>
      <w:r w:rsidR="00EA0941" w:rsidRPr="0081702E">
        <w:rPr>
          <w:rFonts w:asciiTheme="majorHAnsi" w:hAnsiTheme="majorHAnsi"/>
          <w:b/>
          <w:sz w:val="22"/>
          <w:szCs w:val="22"/>
          <w:lang w:val="fr-CA"/>
        </w:rPr>
        <w:t>2016-2018</w:t>
      </w:r>
      <w:r w:rsidR="00E01336" w:rsidRPr="0081702E">
        <w:rPr>
          <w:rFonts w:asciiTheme="majorHAnsi" w:hAnsiTheme="majorHAnsi"/>
          <w:b/>
          <w:sz w:val="22"/>
          <w:szCs w:val="22"/>
          <w:lang w:val="fr-CA"/>
        </w:rPr>
        <w:t xml:space="preserve"> </w:t>
      </w:r>
    </w:p>
    <w:p w14:paraId="249E8B50" w14:textId="77777777" w:rsidR="00372E0C" w:rsidRPr="0081702E" w:rsidRDefault="00372E0C" w:rsidP="00F3068C">
      <w:pPr>
        <w:keepNext/>
        <w:keepLines/>
        <w:ind w:left="567" w:hanging="567"/>
        <w:rPr>
          <w:rFonts w:asciiTheme="majorHAnsi" w:hAnsiTheme="majorHAnsi"/>
          <w:sz w:val="22"/>
          <w:szCs w:val="22"/>
          <w:lang w:val="fr-CA"/>
        </w:rPr>
      </w:pPr>
    </w:p>
    <w:p w14:paraId="71533ADA" w14:textId="43965078" w:rsidR="00372E0C" w:rsidRPr="0081702E" w:rsidRDefault="00F3068C" w:rsidP="00F3068C">
      <w:pPr>
        <w:pStyle w:val="ListParagraph"/>
        <w:keepNext/>
        <w:keepLines/>
        <w:numPr>
          <w:ilvl w:val="0"/>
          <w:numId w:val="31"/>
        </w:numPr>
        <w:ind w:left="426" w:hanging="426"/>
        <w:rPr>
          <w:rFonts w:asciiTheme="majorHAnsi" w:hAnsiTheme="majorHAnsi"/>
          <w:szCs w:val="22"/>
          <w:lang w:val="fr-CA"/>
        </w:rPr>
      </w:pPr>
      <w:r>
        <w:rPr>
          <w:rFonts w:asciiTheme="majorHAnsi" w:hAnsiTheme="majorHAnsi"/>
          <w:szCs w:val="22"/>
          <w:lang w:val="fr-CA"/>
        </w:rPr>
        <w:t xml:space="preserve">La </w:t>
      </w:r>
      <w:r w:rsidR="00372E0C" w:rsidRPr="0081702E">
        <w:rPr>
          <w:rFonts w:asciiTheme="majorHAnsi" w:hAnsiTheme="majorHAnsi"/>
          <w:szCs w:val="22"/>
          <w:lang w:val="fr-CA"/>
        </w:rPr>
        <w:t>1</w:t>
      </w:r>
      <w:r w:rsidR="007E34EC" w:rsidRPr="0081702E">
        <w:rPr>
          <w:rFonts w:asciiTheme="majorHAnsi" w:hAnsiTheme="majorHAnsi"/>
          <w:szCs w:val="22"/>
          <w:lang w:val="fr-CA"/>
        </w:rPr>
        <w:t>9</w:t>
      </w:r>
      <w:r>
        <w:rPr>
          <w:rFonts w:asciiTheme="majorHAnsi" w:hAnsiTheme="majorHAnsi"/>
          <w:szCs w:val="22"/>
          <w:vertAlign w:val="superscript"/>
          <w:lang w:val="fr-CA"/>
        </w:rPr>
        <w:t>e</w:t>
      </w:r>
      <w:r>
        <w:rPr>
          <w:rFonts w:asciiTheme="majorHAnsi" w:hAnsiTheme="majorHAnsi"/>
          <w:szCs w:val="22"/>
          <w:lang w:val="fr-CA"/>
        </w:rPr>
        <w:t xml:space="preserve"> Réunion du GEST </w:t>
      </w:r>
      <w:r w:rsidR="007508C5" w:rsidRPr="0081702E">
        <w:rPr>
          <w:rFonts w:asciiTheme="majorHAnsi" w:hAnsiTheme="majorHAnsi"/>
          <w:szCs w:val="22"/>
          <w:lang w:val="fr-CA"/>
        </w:rPr>
        <w:t>(</w:t>
      </w:r>
      <w:r>
        <w:rPr>
          <w:rFonts w:asciiTheme="majorHAnsi" w:hAnsiTheme="majorHAnsi"/>
          <w:szCs w:val="22"/>
          <w:lang w:val="fr-CA"/>
        </w:rPr>
        <w:t>GEST</w:t>
      </w:r>
      <w:r w:rsidR="007508C5" w:rsidRPr="0081702E">
        <w:rPr>
          <w:rFonts w:asciiTheme="majorHAnsi" w:hAnsiTheme="majorHAnsi"/>
          <w:szCs w:val="22"/>
          <w:lang w:val="fr-CA"/>
        </w:rPr>
        <w:t>19)</w:t>
      </w:r>
      <w:r w:rsidR="00E01336" w:rsidRPr="0081702E">
        <w:rPr>
          <w:rFonts w:asciiTheme="majorHAnsi" w:hAnsiTheme="majorHAnsi"/>
          <w:szCs w:val="22"/>
          <w:lang w:val="fr-CA"/>
        </w:rPr>
        <w:t xml:space="preserve"> </w:t>
      </w:r>
      <w:r>
        <w:rPr>
          <w:rFonts w:asciiTheme="majorHAnsi" w:hAnsiTheme="majorHAnsi"/>
          <w:szCs w:val="22"/>
          <w:lang w:val="fr-CA"/>
        </w:rPr>
        <w:t xml:space="preserve">a eu lieu à Gland, Suisse, du 2 au 6 novembre 2015. </w:t>
      </w:r>
      <w:r w:rsidR="00AD2094">
        <w:rPr>
          <w:rFonts w:asciiTheme="majorHAnsi" w:hAnsiTheme="majorHAnsi"/>
          <w:szCs w:val="22"/>
          <w:lang w:val="fr-CA"/>
        </w:rPr>
        <w:t>Parmi l</w:t>
      </w:r>
      <w:r>
        <w:rPr>
          <w:rFonts w:asciiTheme="majorHAnsi" w:hAnsiTheme="majorHAnsi"/>
          <w:szCs w:val="22"/>
          <w:lang w:val="fr-CA"/>
        </w:rPr>
        <w:t>es 27 participants</w:t>
      </w:r>
      <w:r w:rsidR="00AD2094">
        <w:rPr>
          <w:rFonts w:asciiTheme="majorHAnsi" w:hAnsiTheme="majorHAnsi"/>
          <w:szCs w:val="22"/>
          <w:lang w:val="fr-CA"/>
        </w:rPr>
        <w:t>, il y avait</w:t>
      </w:r>
      <w:r>
        <w:rPr>
          <w:rFonts w:asciiTheme="majorHAnsi" w:hAnsiTheme="majorHAnsi"/>
          <w:szCs w:val="22"/>
          <w:lang w:val="fr-CA"/>
        </w:rPr>
        <w:t xml:space="preserve"> 12 membres du GEST nommés, les représentants d’organisations observatrices et quatre CN GEST. Comme envisagé dans la Résolution </w:t>
      </w:r>
      <w:r w:rsidR="007E34EC" w:rsidRPr="0081702E">
        <w:rPr>
          <w:rFonts w:asciiTheme="majorHAnsi" w:hAnsiTheme="majorHAnsi"/>
          <w:szCs w:val="22"/>
          <w:lang w:val="fr-CA"/>
        </w:rPr>
        <w:t>XII.5,</w:t>
      </w:r>
      <w:r w:rsidR="00E01336" w:rsidRPr="0081702E">
        <w:rPr>
          <w:rFonts w:asciiTheme="majorHAnsi" w:hAnsiTheme="majorHAnsi"/>
          <w:szCs w:val="22"/>
          <w:lang w:val="fr-CA"/>
        </w:rPr>
        <w:t xml:space="preserve"> </w:t>
      </w:r>
      <w:r>
        <w:rPr>
          <w:rFonts w:asciiTheme="majorHAnsi" w:hAnsiTheme="majorHAnsi"/>
          <w:szCs w:val="22"/>
          <w:lang w:val="fr-CA"/>
        </w:rPr>
        <w:t xml:space="preserve">le Secrétariat a participé activement aux discussions </w:t>
      </w:r>
      <w:r w:rsidR="00AD2094">
        <w:rPr>
          <w:rFonts w:asciiTheme="majorHAnsi" w:hAnsiTheme="majorHAnsi"/>
          <w:szCs w:val="22"/>
          <w:lang w:val="fr-CA"/>
        </w:rPr>
        <w:t>relatives à</w:t>
      </w:r>
      <w:r>
        <w:rPr>
          <w:rFonts w:asciiTheme="majorHAnsi" w:hAnsiTheme="majorHAnsi"/>
          <w:szCs w:val="22"/>
          <w:lang w:val="fr-CA"/>
        </w:rPr>
        <w:t xml:space="preserve"> l’élaboration du projet de plan de travail.</w:t>
      </w:r>
      <w:r w:rsidR="00E01336" w:rsidRPr="0081702E">
        <w:rPr>
          <w:rFonts w:asciiTheme="majorHAnsi" w:hAnsiTheme="majorHAnsi"/>
          <w:szCs w:val="22"/>
          <w:lang w:val="fr-CA"/>
        </w:rPr>
        <w:t xml:space="preserve"> </w:t>
      </w:r>
    </w:p>
    <w:p w14:paraId="21059F47" w14:textId="77777777" w:rsidR="00372E0C" w:rsidRPr="0081702E" w:rsidRDefault="00372E0C" w:rsidP="00914A1A">
      <w:pPr>
        <w:rPr>
          <w:rFonts w:asciiTheme="majorHAnsi" w:hAnsiTheme="majorHAnsi"/>
          <w:szCs w:val="22"/>
          <w:lang w:val="fr-CA"/>
        </w:rPr>
      </w:pPr>
    </w:p>
    <w:p w14:paraId="6FBC37CA" w14:textId="3573FFB4" w:rsidR="00372E0C" w:rsidRPr="0081702E" w:rsidRDefault="00F3068C" w:rsidP="00914A1A">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Le projet de pl</w:t>
      </w:r>
      <w:r w:rsidR="00F80EF2">
        <w:rPr>
          <w:rFonts w:asciiTheme="majorHAnsi" w:hAnsiTheme="majorHAnsi"/>
          <w:szCs w:val="22"/>
          <w:lang w:val="fr-CA"/>
        </w:rPr>
        <w:t>an de travail, figurant dans l’a</w:t>
      </w:r>
      <w:r>
        <w:rPr>
          <w:rFonts w:asciiTheme="majorHAnsi" w:hAnsiTheme="majorHAnsi"/>
          <w:szCs w:val="22"/>
          <w:lang w:val="fr-CA"/>
        </w:rPr>
        <w:t>nnexe </w:t>
      </w:r>
      <w:r w:rsidR="00F80EF2">
        <w:rPr>
          <w:rFonts w:asciiTheme="majorHAnsi" w:hAnsiTheme="majorHAnsi"/>
          <w:szCs w:val="22"/>
          <w:lang w:val="fr-CA"/>
        </w:rPr>
        <w:t>1</w:t>
      </w:r>
      <w:r>
        <w:rPr>
          <w:rFonts w:asciiTheme="majorHAnsi" w:hAnsiTheme="majorHAnsi"/>
          <w:szCs w:val="22"/>
          <w:lang w:val="fr-CA"/>
        </w:rPr>
        <w:t xml:space="preserve"> du présent rapport, est soumis pour approbation du Comité permanent à sa 51</w:t>
      </w:r>
      <w:r w:rsidRPr="00F3068C">
        <w:rPr>
          <w:rFonts w:asciiTheme="majorHAnsi" w:hAnsiTheme="majorHAnsi"/>
          <w:szCs w:val="22"/>
          <w:vertAlign w:val="superscript"/>
          <w:lang w:val="fr-CA"/>
        </w:rPr>
        <w:t>e</w:t>
      </w:r>
      <w:r>
        <w:rPr>
          <w:rFonts w:asciiTheme="majorHAnsi" w:hAnsiTheme="majorHAnsi"/>
          <w:szCs w:val="22"/>
          <w:lang w:val="fr-CA"/>
        </w:rPr>
        <w:t> Réunion. Le projet de plan de travail tient compte des cinq domaines de travail thématiques approuvés par les Parties contractantes à la COP12 (définis dans la Résolution </w:t>
      </w:r>
      <w:r w:rsidR="00F06E9D" w:rsidRPr="0081702E">
        <w:rPr>
          <w:rFonts w:asciiTheme="majorHAnsi" w:hAnsiTheme="majorHAnsi"/>
          <w:szCs w:val="22"/>
          <w:lang w:val="fr-CA"/>
        </w:rPr>
        <w:t>XII.5,</w:t>
      </w:r>
      <w:r w:rsidR="00E01336" w:rsidRPr="0081702E">
        <w:rPr>
          <w:rFonts w:asciiTheme="majorHAnsi" w:hAnsiTheme="majorHAnsi"/>
          <w:szCs w:val="22"/>
          <w:lang w:val="fr-CA"/>
        </w:rPr>
        <w:t xml:space="preserve"> </w:t>
      </w:r>
      <w:r w:rsidR="00F06E9D" w:rsidRPr="0081702E">
        <w:rPr>
          <w:rFonts w:asciiTheme="majorHAnsi" w:hAnsiTheme="majorHAnsi"/>
          <w:szCs w:val="22"/>
          <w:lang w:val="fr-CA"/>
        </w:rPr>
        <w:t>Annex</w:t>
      </w:r>
      <w:r>
        <w:rPr>
          <w:rFonts w:asciiTheme="majorHAnsi" w:hAnsiTheme="majorHAnsi"/>
          <w:szCs w:val="22"/>
          <w:lang w:val="fr-CA"/>
        </w:rPr>
        <w:t>e </w:t>
      </w:r>
      <w:r w:rsidR="00F06E9D" w:rsidRPr="0081702E">
        <w:rPr>
          <w:rFonts w:asciiTheme="majorHAnsi" w:hAnsiTheme="majorHAnsi"/>
          <w:szCs w:val="22"/>
          <w:lang w:val="fr-CA"/>
        </w:rPr>
        <w:t>III),</w:t>
      </w:r>
      <w:r w:rsidR="00E01336" w:rsidRPr="0081702E">
        <w:rPr>
          <w:rFonts w:asciiTheme="majorHAnsi" w:hAnsiTheme="majorHAnsi"/>
          <w:szCs w:val="22"/>
          <w:lang w:val="fr-CA"/>
        </w:rPr>
        <w:t xml:space="preserve"> </w:t>
      </w:r>
      <w:r>
        <w:rPr>
          <w:rFonts w:asciiTheme="majorHAnsi" w:hAnsiTheme="majorHAnsi"/>
          <w:szCs w:val="22"/>
          <w:lang w:val="fr-CA"/>
        </w:rPr>
        <w:t>du 4</w:t>
      </w:r>
      <w:r w:rsidRPr="00F3068C">
        <w:rPr>
          <w:rFonts w:asciiTheme="majorHAnsi" w:hAnsiTheme="majorHAnsi"/>
          <w:szCs w:val="22"/>
          <w:vertAlign w:val="superscript"/>
          <w:lang w:val="fr-CA"/>
        </w:rPr>
        <w:t>e</w:t>
      </w:r>
      <w:r>
        <w:rPr>
          <w:rFonts w:asciiTheme="majorHAnsi" w:hAnsiTheme="majorHAnsi"/>
          <w:szCs w:val="22"/>
          <w:lang w:val="fr-CA"/>
        </w:rPr>
        <w:t> Plan stratégique Ramsar (Résolution </w:t>
      </w:r>
      <w:r w:rsidR="00F06E9D" w:rsidRPr="0081702E">
        <w:rPr>
          <w:rFonts w:asciiTheme="majorHAnsi" w:hAnsiTheme="majorHAnsi"/>
          <w:szCs w:val="22"/>
          <w:lang w:val="fr-CA"/>
        </w:rPr>
        <w:t>XII.2)</w:t>
      </w:r>
      <w:r w:rsidR="00E01336" w:rsidRPr="0081702E">
        <w:rPr>
          <w:rFonts w:asciiTheme="majorHAnsi" w:hAnsiTheme="majorHAnsi"/>
          <w:szCs w:val="22"/>
          <w:lang w:val="fr-CA"/>
        </w:rPr>
        <w:t xml:space="preserve"> </w:t>
      </w:r>
      <w:r>
        <w:rPr>
          <w:rFonts w:asciiTheme="majorHAnsi" w:hAnsiTheme="majorHAnsi"/>
          <w:szCs w:val="22"/>
          <w:lang w:val="fr-CA"/>
        </w:rPr>
        <w:t xml:space="preserve">et des demandes formulées par les Parties contractantes dans les Résolutions de la COP12. </w:t>
      </w:r>
    </w:p>
    <w:p w14:paraId="22B527C9" w14:textId="77777777" w:rsidR="00372E0C" w:rsidRPr="0081702E" w:rsidRDefault="00372E0C" w:rsidP="00914A1A">
      <w:pPr>
        <w:rPr>
          <w:rFonts w:asciiTheme="majorHAnsi" w:hAnsiTheme="majorHAnsi"/>
          <w:szCs w:val="22"/>
          <w:lang w:val="fr-CA"/>
        </w:rPr>
      </w:pPr>
    </w:p>
    <w:p w14:paraId="1AC416F9" w14:textId="14C04820" w:rsidR="00372E0C" w:rsidRPr="0081702E" w:rsidRDefault="0006161F" w:rsidP="00914A1A">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O</w:t>
      </w:r>
      <w:r w:rsidR="00F3068C">
        <w:rPr>
          <w:rFonts w:asciiTheme="majorHAnsi" w:hAnsiTheme="majorHAnsi"/>
          <w:szCs w:val="22"/>
          <w:lang w:val="fr-CA"/>
        </w:rPr>
        <w:t>utre les tâches spécifiques décrites da</w:t>
      </w:r>
      <w:r>
        <w:rPr>
          <w:rFonts w:asciiTheme="majorHAnsi" w:hAnsiTheme="majorHAnsi"/>
          <w:szCs w:val="22"/>
          <w:lang w:val="fr-CA"/>
        </w:rPr>
        <w:t>ns le projet de plan de travail, il importe de rappeler que dans la Résolution </w:t>
      </w:r>
      <w:r w:rsidR="004A3B65" w:rsidRPr="0081702E">
        <w:rPr>
          <w:rFonts w:asciiTheme="majorHAnsi" w:hAnsiTheme="majorHAnsi"/>
          <w:szCs w:val="22"/>
          <w:lang w:val="fr-CA"/>
        </w:rPr>
        <w:t>XII.5</w:t>
      </w:r>
      <w:r w:rsidR="00E01336" w:rsidRPr="0081702E">
        <w:rPr>
          <w:rFonts w:asciiTheme="majorHAnsi" w:hAnsiTheme="majorHAnsi"/>
          <w:szCs w:val="22"/>
          <w:lang w:val="fr-CA"/>
        </w:rPr>
        <w:t xml:space="preserve"> </w:t>
      </w:r>
      <w:r w:rsidR="00F80EF2">
        <w:rPr>
          <w:rFonts w:asciiTheme="majorHAnsi" w:hAnsiTheme="majorHAnsi"/>
          <w:szCs w:val="22"/>
          <w:lang w:val="fr-CA"/>
        </w:rPr>
        <w:t>[</w:t>
      </w:r>
      <w:r w:rsidR="00B122E0" w:rsidRPr="0081702E">
        <w:rPr>
          <w:rFonts w:asciiTheme="majorHAnsi" w:hAnsiTheme="majorHAnsi"/>
          <w:szCs w:val="22"/>
          <w:lang w:val="fr-CA"/>
        </w:rPr>
        <w:t>Annex</w:t>
      </w:r>
      <w:r>
        <w:rPr>
          <w:rFonts w:asciiTheme="majorHAnsi" w:hAnsiTheme="majorHAnsi"/>
          <w:szCs w:val="22"/>
          <w:lang w:val="fr-CA"/>
        </w:rPr>
        <w:t>e</w:t>
      </w:r>
      <w:r w:rsidR="00E01336" w:rsidRPr="0081702E">
        <w:rPr>
          <w:rFonts w:asciiTheme="majorHAnsi" w:hAnsiTheme="majorHAnsi"/>
          <w:szCs w:val="22"/>
          <w:lang w:val="fr-CA"/>
        </w:rPr>
        <w:t xml:space="preserve"> </w:t>
      </w:r>
      <w:r w:rsidR="00B122E0" w:rsidRPr="0081702E">
        <w:rPr>
          <w:rFonts w:asciiTheme="majorHAnsi" w:hAnsiTheme="majorHAnsi"/>
          <w:szCs w:val="22"/>
          <w:lang w:val="fr-CA"/>
        </w:rPr>
        <w:t>I,</w:t>
      </w:r>
      <w:r w:rsidR="00E01336" w:rsidRPr="0081702E">
        <w:rPr>
          <w:rFonts w:asciiTheme="majorHAnsi" w:hAnsiTheme="majorHAnsi"/>
          <w:szCs w:val="22"/>
          <w:lang w:val="fr-CA"/>
        </w:rPr>
        <w:t xml:space="preserve"> </w:t>
      </w:r>
      <w:r w:rsidR="00B122E0" w:rsidRPr="0081702E">
        <w:rPr>
          <w:rFonts w:asciiTheme="majorHAnsi" w:hAnsiTheme="majorHAnsi"/>
          <w:szCs w:val="22"/>
          <w:lang w:val="fr-CA"/>
        </w:rPr>
        <w:t>paragraph</w:t>
      </w:r>
      <w:r>
        <w:rPr>
          <w:rFonts w:asciiTheme="majorHAnsi" w:hAnsiTheme="majorHAnsi"/>
          <w:szCs w:val="22"/>
          <w:lang w:val="fr-CA"/>
        </w:rPr>
        <w:t>e</w:t>
      </w:r>
      <w:r w:rsidR="00B122E0" w:rsidRPr="0081702E">
        <w:rPr>
          <w:rFonts w:asciiTheme="majorHAnsi" w:hAnsiTheme="majorHAnsi"/>
          <w:szCs w:val="22"/>
          <w:lang w:val="fr-CA"/>
        </w:rPr>
        <w:t>s</w:t>
      </w:r>
      <w:r w:rsidR="00E01336" w:rsidRPr="0081702E">
        <w:rPr>
          <w:rFonts w:asciiTheme="majorHAnsi" w:hAnsiTheme="majorHAnsi"/>
          <w:szCs w:val="22"/>
          <w:lang w:val="fr-CA"/>
        </w:rPr>
        <w:t xml:space="preserve"> </w:t>
      </w:r>
      <w:r w:rsidR="00B122E0" w:rsidRPr="0081702E">
        <w:rPr>
          <w:rFonts w:asciiTheme="majorHAnsi" w:hAnsiTheme="majorHAnsi"/>
          <w:szCs w:val="22"/>
          <w:lang w:val="fr-CA"/>
        </w:rPr>
        <w:t>2,</w:t>
      </w:r>
      <w:r w:rsidR="00E01336" w:rsidRPr="0081702E">
        <w:rPr>
          <w:rFonts w:asciiTheme="majorHAnsi" w:hAnsiTheme="majorHAnsi"/>
          <w:szCs w:val="22"/>
          <w:lang w:val="fr-CA"/>
        </w:rPr>
        <w:t xml:space="preserve"> </w:t>
      </w:r>
      <w:r w:rsidR="00B122E0" w:rsidRPr="0081702E">
        <w:rPr>
          <w:rFonts w:asciiTheme="majorHAnsi" w:hAnsiTheme="majorHAnsi"/>
          <w:szCs w:val="22"/>
          <w:lang w:val="fr-CA"/>
        </w:rPr>
        <w:t>12</w:t>
      </w:r>
      <w:r>
        <w:rPr>
          <w:rFonts w:asciiTheme="majorHAnsi" w:hAnsiTheme="majorHAnsi"/>
          <w:szCs w:val="22"/>
          <w:lang w:val="fr-CA"/>
        </w:rPr>
        <w:t> </w:t>
      </w:r>
      <w:r w:rsidR="00B122E0" w:rsidRPr="0081702E">
        <w:rPr>
          <w:rFonts w:asciiTheme="majorHAnsi" w:hAnsiTheme="majorHAnsi"/>
          <w:szCs w:val="22"/>
          <w:lang w:val="fr-CA"/>
        </w:rPr>
        <w:t>v),</w:t>
      </w:r>
      <w:r w:rsidR="00E01336" w:rsidRPr="0081702E">
        <w:rPr>
          <w:rFonts w:asciiTheme="majorHAnsi" w:hAnsiTheme="majorHAnsi"/>
          <w:szCs w:val="22"/>
          <w:lang w:val="fr-CA"/>
        </w:rPr>
        <w:t xml:space="preserve"> </w:t>
      </w:r>
      <w:r w:rsidR="00B122E0" w:rsidRPr="0081702E">
        <w:rPr>
          <w:rFonts w:asciiTheme="majorHAnsi" w:hAnsiTheme="majorHAnsi"/>
          <w:szCs w:val="22"/>
          <w:lang w:val="fr-CA"/>
        </w:rPr>
        <w:t>15</w:t>
      </w:r>
      <w:r w:rsidR="00E01336" w:rsidRPr="0081702E">
        <w:rPr>
          <w:rFonts w:asciiTheme="majorHAnsi" w:hAnsiTheme="majorHAnsi"/>
          <w:szCs w:val="22"/>
          <w:lang w:val="fr-CA"/>
        </w:rPr>
        <w:t xml:space="preserve"> </w:t>
      </w:r>
      <w:r>
        <w:rPr>
          <w:rFonts w:asciiTheme="majorHAnsi" w:hAnsiTheme="majorHAnsi"/>
          <w:szCs w:val="22"/>
          <w:lang w:val="fr-CA"/>
        </w:rPr>
        <w:t>et </w:t>
      </w:r>
      <w:r w:rsidR="00B122E0" w:rsidRPr="0081702E">
        <w:rPr>
          <w:rFonts w:asciiTheme="majorHAnsi" w:hAnsiTheme="majorHAnsi"/>
          <w:szCs w:val="22"/>
          <w:lang w:val="fr-CA"/>
        </w:rPr>
        <w:t>38</w:t>
      </w:r>
      <w:r w:rsidR="00F80EF2">
        <w:rPr>
          <w:rFonts w:asciiTheme="majorHAnsi" w:hAnsiTheme="majorHAnsi"/>
          <w:szCs w:val="22"/>
          <w:lang w:val="fr-CA"/>
        </w:rPr>
        <w:t>]</w:t>
      </w:r>
      <w:r w:rsidR="004A3B65" w:rsidRPr="0081702E">
        <w:rPr>
          <w:rFonts w:asciiTheme="majorHAnsi" w:hAnsiTheme="majorHAnsi"/>
          <w:szCs w:val="22"/>
          <w:lang w:val="fr-CA"/>
        </w:rPr>
        <w:t>,</w:t>
      </w:r>
      <w:r w:rsidR="00E01336" w:rsidRPr="0081702E">
        <w:rPr>
          <w:rFonts w:asciiTheme="majorHAnsi" w:hAnsiTheme="majorHAnsi"/>
          <w:szCs w:val="22"/>
          <w:lang w:val="fr-CA"/>
        </w:rPr>
        <w:t xml:space="preserve"> </w:t>
      </w:r>
      <w:r>
        <w:rPr>
          <w:rFonts w:asciiTheme="majorHAnsi" w:hAnsiTheme="majorHAnsi"/>
          <w:szCs w:val="22"/>
          <w:lang w:val="fr-CA"/>
        </w:rPr>
        <w:t xml:space="preserve">différentes fonctions consultatives </w:t>
      </w:r>
      <w:r w:rsidR="0085476E">
        <w:rPr>
          <w:rFonts w:asciiTheme="majorHAnsi" w:hAnsiTheme="majorHAnsi"/>
          <w:szCs w:val="22"/>
          <w:lang w:val="fr-CA"/>
        </w:rPr>
        <w:t>fondamentales</w:t>
      </w:r>
      <w:r>
        <w:rPr>
          <w:rFonts w:asciiTheme="majorHAnsi" w:hAnsiTheme="majorHAnsi"/>
          <w:szCs w:val="22"/>
          <w:lang w:val="fr-CA"/>
        </w:rPr>
        <w:t xml:space="preserve"> du GEST</w:t>
      </w:r>
      <w:r w:rsidR="00AD2094">
        <w:rPr>
          <w:rFonts w:asciiTheme="majorHAnsi" w:hAnsiTheme="majorHAnsi"/>
          <w:szCs w:val="22"/>
          <w:lang w:val="fr-CA"/>
        </w:rPr>
        <w:t xml:space="preserve"> sont mentionnées</w:t>
      </w:r>
      <w:r>
        <w:rPr>
          <w:rFonts w:asciiTheme="majorHAnsi" w:hAnsiTheme="majorHAnsi"/>
          <w:szCs w:val="22"/>
          <w:lang w:val="fr-CA"/>
        </w:rPr>
        <w:t>. Celles</w:t>
      </w:r>
      <w:r>
        <w:rPr>
          <w:rFonts w:asciiTheme="majorHAnsi" w:hAnsiTheme="majorHAnsi"/>
          <w:szCs w:val="22"/>
          <w:lang w:val="fr-CA"/>
        </w:rPr>
        <w:noBreakHyphen/>
        <w:t>ci comprennent, entre autres : répondre aux demandes d’avis ou de participation du Secrétariat (y compris pour le Programme de CESP et les indicateurs du 4</w:t>
      </w:r>
      <w:r w:rsidRPr="0006161F">
        <w:rPr>
          <w:rFonts w:asciiTheme="majorHAnsi" w:hAnsiTheme="majorHAnsi"/>
          <w:szCs w:val="22"/>
          <w:vertAlign w:val="superscript"/>
          <w:lang w:val="fr-CA"/>
        </w:rPr>
        <w:t>e</w:t>
      </w:r>
      <w:r>
        <w:rPr>
          <w:rFonts w:asciiTheme="majorHAnsi" w:hAnsiTheme="majorHAnsi"/>
          <w:szCs w:val="22"/>
          <w:lang w:val="fr-CA"/>
        </w:rPr>
        <w:t xml:space="preserve"> Plan stratégique) et du Comité permanent; </w:t>
      </w:r>
      <w:r w:rsidR="00AD2094">
        <w:rPr>
          <w:rFonts w:asciiTheme="majorHAnsi" w:hAnsiTheme="majorHAnsi"/>
          <w:szCs w:val="22"/>
          <w:lang w:val="fr-CA"/>
        </w:rPr>
        <w:t>rédiger</w:t>
      </w:r>
      <w:r>
        <w:rPr>
          <w:rFonts w:asciiTheme="majorHAnsi" w:hAnsiTheme="majorHAnsi"/>
          <w:szCs w:val="22"/>
          <w:lang w:val="fr-CA"/>
        </w:rPr>
        <w:t xml:space="preserve"> (à la demande des Parties contractantes) </w:t>
      </w:r>
      <w:r w:rsidR="0085476E">
        <w:rPr>
          <w:rFonts w:asciiTheme="majorHAnsi" w:hAnsiTheme="majorHAnsi"/>
          <w:szCs w:val="22"/>
          <w:lang w:val="fr-CA"/>
        </w:rPr>
        <w:t>des</w:t>
      </w:r>
      <w:r>
        <w:rPr>
          <w:rFonts w:asciiTheme="majorHAnsi" w:hAnsiTheme="majorHAnsi"/>
          <w:szCs w:val="22"/>
          <w:lang w:val="fr-CA"/>
        </w:rPr>
        <w:t xml:space="preserve"> projets de résolution</w:t>
      </w:r>
      <w:r w:rsidR="00AD2094">
        <w:rPr>
          <w:rFonts w:asciiTheme="majorHAnsi" w:hAnsiTheme="majorHAnsi"/>
          <w:szCs w:val="22"/>
          <w:lang w:val="fr-CA"/>
        </w:rPr>
        <w:t>s</w:t>
      </w:r>
      <w:r>
        <w:rPr>
          <w:rFonts w:asciiTheme="majorHAnsi" w:hAnsiTheme="majorHAnsi"/>
          <w:szCs w:val="22"/>
          <w:lang w:val="fr-CA"/>
        </w:rPr>
        <w:t xml:space="preserve"> soumis par les Parties contractantes</w:t>
      </w:r>
      <w:r w:rsidR="0085476E" w:rsidRPr="0085476E">
        <w:rPr>
          <w:rFonts w:asciiTheme="majorHAnsi" w:hAnsiTheme="majorHAnsi"/>
          <w:szCs w:val="22"/>
          <w:lang w:val="fr-CA"/>
        </w:rPr>
        <w:t xml:space="preserve"> </w:t>
      </w:r>
      <w:r w:rsidR="0085476E">
        <w:rPr>
          <w:rFonts w:asciiTheme="majorHAnsi" w:hAnsiTheme="majorHAnsi"/>
          <w:szCs w:val="22"/>
          <w:lang w:val="fr-CA"/>
        </w:rPr>
        <w:t>ou contribuer à leur rédaction</w:t>
      </w:r>
      <w:r>
        <w:rPr>
          <w:rFonts w:asciiTheme="majorHAnsi" w:hAnsiTheme="majorHAnsi"/>
          <w:szCs w:val="22"/>
          <w:lang w:val="fr-CA"/>
        </w:rPr>
        <w:t xml:space="preserve">; répondre à des demandes spécifiques d’avis des Parties contractantes; participer </w:t>
      </w:r>
      <w:r w:rsidR="00C03160">
        <w:rPr>
          <w:rFonts w:asciiTheme="majorHAnsi" w:hAnsiTheme="majorHAnsi"/>
          <w:szCs w:val="22"/>
          <w:lang w:val="fr-CA"/>
        </w:rPr>
        <w:t>aux m</w:t>
      </w:r>
      <w:r>
        <w:rPr>
          <w:rFonts w:asciiTheme="majorHAnsi" w:hAnsiTheme="majorHAnsi"/>
          <w:szCs w:val="22"/>
          <w:lang w:val="fr-CA"/>
        </w:rPr>
        <w:t xml:space="preserve">issions consultatives Ramsar sur demande; </w:t>
      </w:r>
      <w:r w:rsidR="00AD2094">
        <w:rPr>
          <w:rFonts w:asciiTheme="majorHAnsi" w:hAnsiTheme="majorHAnsi"/>
          <w:szCs w:val="22"/>
          <w:lang w:val="fr-CA"/>
        </w:rPr>
        <w:t>donner des conseils</w:t>
      </w:r>
      <w:r>
        <w:rPr>
          <w:rFonts w:asciiTheme="majorHAnsi" w:hAnsiTheme="majorHAnsi"/>
          <w:szCs w:val="22"/>
          <w:lang w:val="fr-CA"/>
        </w:rPr>
        <w:t xml:space="preserve"> concern</w:t>
      </w:r>
      <w:r w:rsidR="00AD2094">
        <w:rPr>
          <w:rFonts w:asciiTheme="majorHAnsi" w:hAnsiTheme="majorHAnsi"/>
          <w:szCs w:val="22"/>
          <w:lang w:val="fr-CA"/>
        </w:rPr>
        <w:t>ant</w:t>
      </w:r>
      <w:r>
        <w:rPr>
          <w:rFonts w:asciiTheme="majorHAnsi" w:hAnsiTheme="majorHAnsi"/>
          <w:szCs w:val="22"/>
          <w:lang w:val="fr-CA"/>
        </w:rPr>
        <w:t xml:space="preserve"> les demandes de suppression de Sites Ramsar du Registre de Montreux; siéger </w:t>
      </w:r>
      <w:r w:rsidRPr="0038153A">
        <w:rPr>
          <w:rFonts w:asciiTheme="majorHAnsi" w:hAnsiTheme="majorHAnsi"/>
          <w:szCs w:val="22"/>
          <w:lang w:val="fr-CA"/>
        </w:rPr>
        <w:t xml:space="preserve">au Comité consultatif indépendant pour le label Ville des </w:t>
      </w:r>
      <w:r w:rsidR="0038153A" w:rsidRPr="0038153A">
        <w:rPr>
          <w:rFonts w:asciiTheme="majorHAnsi" w:hAnsiTheme="majorHAnsi"/>
          <w:szCs w:val="22"/>
          <w:lang w:val="fr-CA"/>
        </w:rPr>
        <w:t>z</w:t>
      </w:r>
      <w:r w:rsidRPr="0038153A">
        <w:rPr>
          <w:rFonts w:asciiTheme="majorHAnsi" w:hAnsiTheme="majorHAnsi"/>
          <w:szCs w:val="22"/>
          <w:lang w:val="fr-CA"/>
        </w:rPr>
        <w:t xml:space="preserve">ones </w:t>
      </w:r>
      <w:r w:rsidR="0038153A" w:rsidRPr="0038153A">
        <w:rPr>
          <w:rFonts w:asciiTheme="majorHAnsi" w:hAnsiTheme="majorHAnsi"/>
          <w:szCs w:val="22"/>
          <w:lang w:val="fr-CA"/>
        </w:rPr>
        <w:t>h</w:t>
      </w:r>
      <w:r w:rsidRPr="0038153A">
        <w:rPr>
          <w:rFonts w:asciiTheme="majorHAnsi" w:hAnsiTheme="majorHAnsi"/>
          <w:szCs w:val="22"/>
          <w:lang w:val="fr-CA"/>
        </w:rPr>
        <w:t>umides accréditée; e</w:t>
      </w:r>
      <w:r>
        <w:rPr>
          <w:rFonts w:asciiTheme="majorHAnsi" w:hAnsiTheme="majorHAnsi"/>
          <w:szCs w:val="22"/>
          <w:lang w:val="fr-CA"/>
        </w:rPr>
        <w:t xml:space="preserve">t fournir des avis sur les questions émergentes. </w:t>
      </w:r>
    </w:p>
    <w:p w14:paraId="6FB216D6" w14:textId="77777777" w:rsidR="00372E0C" w:rsidRPr="0081702E" w:rsidRDefault="00372E0C" w:rsidP="00914A1A">
      <w:pPr>
        <w:ind w:left="567" w:hanging="567"/>
        <w:rPr>
          <w:rFonts w:asciiTheme="majorHAnsi" w:hAnsiTheme="majorHAnsi"/>
          <w:sz w:val="22"/>
          <w:szCs w:val="22"/>
          <w:lang w:val="fr-CA"/>
        </w:rPr>
      </w:pPr>
    </w:p>
    <w:p w14:paraId="0FD99864" w14:textId="47C8CF2E" w:rsidR="00496E6B" w:rsidRPr="0081702E" w:rsidRDefault="0006161F" w:rsidP="00914A1A">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Le projet de plan de travail propose 25 tâches avec un budget indicatif d’environ </w:t>
      </w:r>
      <w:r w:rsidR="00E52773" w:rsidRPr="00F82E36">
        <w:rPr>
          <w:rFonts w:asciiTheme="majorHAnsi" w:hAnsiTheme="majorHAnsi"/>
          <w:szCs w:val="22"/>
          <w:lang w:val="fr-CA"/>
        </w:rPr>
        <w:t>4</w:t>
      </w:r>
      <w:r w:rsidR="00F82E36" w:rsidRPr="00F82E36">
        <w:rPr>
          <w:rFonts w:asciiTheme="majorHAnsi" w:hAnsiTheme="majorHAnsi"/>
          <w:szCs w:val="22"/>
          <w:lang w:val="fr-CA"/>
        </w:rPr>
        <w:t>58</w:t>
      </w:r>
      <w:r w:rsidRPr="00F82E36">
        <w:rPr>
          <w:rFonts w:asciiTheme="majorHAnsi" w:hAnsiTheme="majorHAnsi"/>
          <w:szCs w:val="22"/>
          <w:lang w:val="fr-CA"/>
        </w:rPr>
        <w:t> </w:t>
      </w:r>
      <w:r w:rsidR="00E52773" w:rsidRPr="00F82E36">
        <w:rPr>
          <w:rFonts w:asciiTheme="majorHAnsi" w:hAnsiTheme="majorHAnsi"/>
          <w:szCs w:val="22"/>
          <w:lang w:val="fr-CA"/>
        </w:rPr>
        <w:t>000</w:t>
      </w:r>
      <w:r w:rsidRPr="00F82E36">
        <w:rPr>
          <w:rFonts w:asciiTheme="majorHAnsi" w:hAnsiTheme="majorHAnsi"/>
          <w:szCs w:val="22"/>
          <w:lang w:val="fr-CA"/>
        </w:rPr>
        <w:t> CHF</w:t>
      </w:r>
      <w:r w:rsidR="00137A95" w:rsidRPr="00F82E36">
        <w:rPr>
          <w:rFonts w:asciiTheme="majorHAnsi" w:hAnsiTheme="majorHAnsi"/>
          <w:szCs w:val="22"/>
          <w:lang w:val="fr-CA"/>
        </w:rPr>
        <w:t>.</w:t>
      </w:r>
      <w:r w:rsidR="00E01336" w:rsidRPr="0081702E">
        <w:rPr>
          <w:rFonts w:asciiTheme="majorHAnsi" w:hAnsiTheme="majorHAnsi"/>
          <w:szCs w:val="22"/>
          <w:lang w:val="fr-CA"/>
        </w:rPr>
        <w:t xml:space="preserve"> </w:t>
      </w:r>
      <w:r>
        <w:rPr>
          <w:rFonts w:asciiTheme="majorHAnsi" w:hAnsiTheme="majorHAnsi"/>
          <w:szCs w:val="22"/>
          <w:lang w:val="fr-CA"/>
        </w:rPr>
        <w:t xml:space="preserve">Concernant le financement </w:t>
      </w:r>
      <w:r w:rsidR="00742C1C">
        <w:rPr>
          <w:rFonts w:asciiTheme="majorHAnsi" w:hAnsiTheme="majorHAnsi"/>
          <w:szCs w:val="22"/>
          <w:lang w:val="fr-CA"/>
        </w:rPr>
        <w:t>nécessaire à</w:t>
      </w:r>
      <w:r>
        <w:rPr>
          <w:rFonts w:asciiTheme="majorHAnsi" w:hAnsiTheme="majorHAnsi"/>
          <w:szCs w:val="22"/>
          <w:lang w:val="fr-CA"/>
        </w:rPr>
        <w:t xml:space="preserve"> </w:t>
      </w:r>
      <w:r w:rsidR="00742C1C">
        <w:rPr>
          <w:rFonts w:asciiTheme="majorHAnsi" w:hAnsiTheme="majorHAnsi"/>
          <w:szCs w:val="22"/>
          <w:lang w:val="fr-CA"/>
        </w:rPr>
        <w:t xml:space="preserve">l’exécution </w:t>
      </w:r>
      <w:r>
        <w:rPr>
          <w:rFonts w:asciiTheme="majorHAnsi" w:hAnsiTheme="majorHAnsi"/>
          <w:szCs w:val="22"/>
          <w:lang w:val="fr-CA"/>
        </w:rPr>
        <w:t>des tâches, environ 118 </w:t>
      </w:r>
      <w:r w:rsidR="00137A95" w:rsidRPr="0081702E">
        <w:rPr>
          <w:rFonts w:asciiTheme="majorHAnsi" w:hAnsiTheme="majorHAnsi"/>
          <w:szCs w:val="22"/>
          <w:lang w:val="fr-CA"/>
        </w:rPr>
        <w:t>000</w:t>
      </w:r>
      <w:r>
        <w:rPr>
          <w:rFonts w:asciiTheme="majorHAnsi" w:hAnsiTheme="majorHAnsi"/>
          <w:szCs w:val="22"/>
          <w:lang w:val="fr-CA"/>
        </w:rPr>
        <w:t> CHF</w:t>
      </w:r>
      <w:r w:rsidR="00E01336" w:rsidRPr="0081702E">
        <w:rPr>
          <w:rFonts w:asciiTheme="majorHAnsi" w:hAnsiTheme="majorHAnsi"/>
          <w:szCs w:val="22"/>
          <w:lang w:val="fr-CA"/>
        </w:rPr>
        <w:t xml:space="preserve"> </w:t>
      </w:r>
      <w:r>
        <w:rPr>
          <w:rFonts w:asciiTheme="majorHAnsi" w:hAnsiTheme="majorHAnsi"/>
          <w:szCs w:val="22"/>
          <w:lang w:val="fr-CA"/>
        </w:rPr>
        <w:t xml:space="preserve">de fonds non </w:t>
      </w:r>
      <w:r w:rsidR="00742C1C">
        <w:rPr>
          <w:rFonts w:asciiTheme="majorHAnsi" w:hAnsiTheme="majorHAnsi"/>
          <w:szCs w:val="22"/>
          <w:lang w:val="fr-CA"/>
        </w:rPr>
        <w:t>limités</w:t>
      </w:r>
      <w:r>
        <w:rPr>
          <w:rFonts w:asciiTheme="majorHAnsi" w:hAnsiTheme="majorHAnsi"/>
          <w:szCs w:val="22"/>
          <w:lang w:val="fr-CA"/>
        </w:rPr>
        <w:t xml:space="preserve"> par le temps</w:t>
      </w:r>
      <w:r w:rsidR="00742C1C">
        <w:rPr>
          <w:rFonts w:asciiTheme="majorHAnsi" w:hAnsiTheme="majorHAnsi"/>
          <w:szCs w:val="22"/>
          <w:lang w:val="fr-CA"/>
        </w:rPr>
        <w:t>,</w:t>
      </w:r>
      <w:r>
        <w:rPr>
          <w:rFonts w:asciiTheme="majorHAnsi" w:hAnsiTheme="majorHAnsi"/>
          <w:szCs w:val="22"/>
          <w:lang w:val="fr-CA"/>
        </w:rPr>
        <w:t xml:space="preserve"> de la période triennale précédente, </w:t>
      </w:r>
      <w:r w:rsidR="00742C1C">
        <w:rPr>
          <w:rFonts w:asciiTheme="majorHAnsi" w:hAnsiTheme="majorHAnsi"/>
          <w:szCs w:val="22"/>
          <w:lang w:val="fr-CA"/>
        </w:rPr>
        <w:t xml:space="preserve">restent disponibles, </w:t>
      </w:r>
      <w:r>
        <w:rPr>
          <w:rFonts w:asciiTheme="majorHAnsi" w:hAnsiTheme="majorHAnsi"/>
          <w:szCs w:val="22"/>
          <w:lang w:val="fr-CA"/>
        </w:rPr>
        <w:t>ainsi que 120 </w:t>
      </w:r>
      <w:r w:rsidR="00137A95" w:rsidRPr="0081702E">
        <w:rPr>
          <w:rFonts w:asciiTheme="majorHAnsi" w:hAnsiTheme="majorHAnsi"/>
          <w:szCs w:val="22"/>
          <w:lang w:val="fr-CA"/>
        </w:rPr>
        <w:t>000</w:t>
      </w:r>
      <w:r>
        <w:rPr>
          <w:rFonts w:asciiTheme="majorHAnsi" w:hAnsiTheme="majorHAnsi"/>
          <w:szCs w:val="22"/>
          <w:lang w:val="fr-CA"/>
        </w:rPr>
        <w:t xml:space="preserve"> CHF pour la nouvelle période triennale </w:t>
      </w:r>
      <w:r w:rsidR="00B122E0" w:rsidRPr="0081702E">
        <w:rPr>
          <w:rFonts w:asciiTheme="majorHAnsi" w:hAnsiTheme="majorHAnsi"/>
          <w:szCs w:val="22"/>
          <w:lang w:val="fr-CA"/>
        </w:rPr>
        <w:t>(40</w:t>
      </w:r>
      <w:r>
        <w:rPr>
          <w:rFonts w:asciiTheme="majorHAnsi" w:hAnsiTheme="majorHAnsi"/>
          <w:szCs w:val="22"/>
          <w:lang w:val="fr-CA"/>
        </w:rPr>
        <w:t> </w:t>
      </w:r>
      <w:r w:rsidR="00B122E0" w:rsidRPr="0081702E">
        <w:rPr>
          <w:rFonts w:asciiTheme="majorHAnsi" w:hAnsiTheme="majorHAnsi"/>
          <w:szCs w:val="22"/>
          <w:lang w:val="fr-CA"/>
        </w:rPr>
        <w:t>000</w:t>
      </w:r>
      <w:r>
        <w:rPr>
          <w:rFonts w:asciiTheme="majorHAnsi" w:hAnsiTheme="majorHAnsi"/>
          <w:szCs w:val="22"/>
          <w:lang w:val="fr-CA"/>
        </w:rPr>
        <w:t> CHF par an</w:t>
      </w:r>
      <w:r w:rsidR="001571F3" w:rsidRPr="0081702E">
        <w:rPr>
          <w:rFonts w:asciiTheme="majorHAnsi" w:hAnsiTheme="majorHAnsi"/>
          <w:szCs w:val="22"/>
          <w:lang w:val="fr-CA"/>
        </w:rPr>
        <w:t>)</w:t>
      </w:r>
      <w:r w:rsidR="00137A95" w:rsidRPr="0081702E">
        <w:rPr>
          <w:rFonts w:asciiTheme="majorHAnsi" w:hAnsiTheme="majorHAnsi"/>
          <w:szCs w:val="22"/>
          <w:lang w:val="fr-CA"/>
        </w:rPr>
        <w:t>.</w:t>
      </w:r>
      <w:r w:rsidR="00E01336" w:rsidRPr="0081702E">
        <w:rPr>
          <w:rFonts w:asciiTheme="majorHAnsi" w:hAnsiTheme="majorHAnsi"/>
          <w:szCs w:val="22"/>
          <w:lang w:val="fr-CA"/>
        </w:rPr>
        <w:t xml:space="preserve"> </w:t>
      </w:r>
      <w:r>
        <w:rPr>
          <w:rFonts w:asciiTheme="majorHAnsi" w:hAnsiTheme="majorHAnsi"/>
          <w:szCs w:val="22"/>
          <w:lang w:val="fr-CA"/>
        </w:rPr>
        <w:t>À la lumière des ressources disponibles, le Groupe recommande qu’une attention particulière soit apportée aux tâches proposées suivantes, énumérées dans l’ordre d</w:t>
      </w:r>
      <w:r w:rsidR="00742C1C">
        <w:rPr>
          <w:rFonts w:asciiTheme="majorHAnsi" w:hAnsiTheme="majorHAnsi"/>
          <w:szCs w:val="22"/>
          <w:lang w:val="fr-CA"/>
        </w:rPr>
        <w:t>es</w:t>
      </w:r>
      <w:r>
        <w:rPr>
          <w:rFonts w:asciiTheme="majorHAnsi" w:hAnsiTheme="majorHAnsi"/>
          <w:szCs w:val="22"/>
          <w:lang w:val="fr-CA"/>
        </w:rPr>
        <w:t xml:space="preserve"> numéro</w:t>
      </w:r>
      <w:r w:rsidR="00742C1C">
        <w:rPr>
          <w:rFonts w:asciiTheme="majorHAnsi" w:hAnsiTheme="majorHAnsi"/>
          <w:szCs w:val="22"/>
          <w:lang w:val="fr-CA"/>
        </w:rPr>
        <w:t>s</w:t>
      </w:r>
      <w:r>
        <w:rPr>
          <w:rFonts w:asciiTheme="majorHAnsi" w:hAnsiTheme="majorHAnsi"/>
          <w:szCs w:val="22"/>
          <w:lang w:val="fr-CA"/>
        </w:rPr>
        <w:t xml:space="preserve"> assigné aux tâches. </w:t>
      </w:r>
    </w:p>
    <w:p w14:paraId="29B7DEAA" w14:textId="77777777" w:rsidR="00496E6B" w:rsidRPr="0081702E" w:rsidRDefault="00496E6B" w:rsidP="00914A1A">
      <w:pPr>
        <w:ind w:left="360" w:hanging="360"/>
        <w:rPr>
          <w:rFonts w:asciiTheme="majorHAnsi" w:hAnsiTheme="majorHAnsi"/>
          <w:sz w:val="22"/>
          <w:szCs w:val="22"/>
          <w:highlight w:val="yellow"/>
          <w:lang w:val="fr-CA"/>
        </w:rPr>
      </w:pPr>
    </w:p>
    <w:tbl>
      <w:tblPr>
        <w:tblW w:w="9114" w:type="dxa"/>
        <w:jc w:val="center"/>
        <w:tblBorders>
          <w:top w:val="nil"/>
          <w:left w:val="nil"/>
          <w:right w:val="nil"/>
        </w:tblBorders>
        <w:tblLayout w:type="fixed"/>
        <w:tblLook w:val="0000" w:firstRow="0" w:lastRow="0" w:firstColumn="0" w:lastColumn="0" w:noHBand="0" w:noVBand="0"/>
      </w:tblPr>
      <w:tblGrid>
        <w:gridCol w:w="2454"/>
        <w:gridCol w:w="1134"/>
        <w:gridCol w:w="2508"/>
        <w:gridCol w:w="3018"/>
      </w:tblGrid>
      <w:tr w:rsidR="007D07CF" w:rsidRPr="0081702E" w14:paraId="706BCCEA" w14:textId="77777777" w:rsidTr="00B07C1F">
        <w:trPr>
          <w:tblHeader/>
          <w:jc w:val="center"/>
        </w:trPr>
        <w:tc>
          <w:tcPr>
            <w:tcW w:w="2454"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70014849" w14:textId="311FFA78" w:rsidR="007D07CF" w:rsidRPr="0081702E" w:rsidRDefault="00B07C1F" w:rsidP="00914A1A">
            <w:pPr>
              <w:widowControl w:val="0"/>
              <w:autoSpaceDE w:val="0"/>
              <w:autoSpaceDN w:val="0"/>
              <w:adjustRightInd w:val="0"/>
              <w:jc w:val="center"/>
              <w:rPr>
                <w:rFonts w:asciiTheme="majorHAnsi" w:eastAsia="Calibri" w:hAnsiTheme="majorHAnsi"/>
                <w:sz w:val="22"/>
                <w:szCs w:val="22"/>
                <w:lang w:val="fr-CA"/>
              </w:rPr>
            </w:pPr>
            <w:r>
              <w:rPr>
                <w:rFonts w:asciiTheme="majorHAnsi" w:eastAsia="Calibri" w:hAnsiTheme="majorHAnsi" w:cs="Calibri"/>
                <w:b/>
                <w:bCs/>
                <w:sz w:val="22"/>
                <w:szCs w:val="22"/>
                <w:lang w:val="fr-CA"/>
              </w:rPr>
              <w:t>Titre</w:t>
            </w:r>
          </w:p>
        </w:tc>
        <w:tc>
          <w:tcPr>
            <w:tcW w:w="1134" w:type="dxa"/>
            <w:tcBorders>
              <w:top w:val="single" w:sz="10" w:space="0" w:color="000000"/>
              <w:bottom w:val="single" w:sz="10" w:space="0" w:color="000000"/>
              <w:right w:val="single" w:sz="10" w:space="0" w:color="000000"/>
            </w:tcBorders>
            <w:tcMar>
              <w:top w:w="144" w:type="nil"/>
              <w:right w:w="144" w:type="nil"/>
            </w:tcMar>
          </w:tcPr>
          <w:p w14:paraId="176893CA" w14:textId="45009FFC" w:rsidR="007D07CF" w:rsidRPr="0081702E" w:rsidRDefault="00B07C1F" w:rsidP="00914A1A">
            <w:pPr>
              <w:widowControl w:val="0"/>
              <w:autoSpaceDE w:val="0"/>
              <w:autoSpaceDN w:val="0"/>
              <w:adjustRightInd w:val="0"/>
              <w:jc w:val="center"/>
              <w:rPr>
                <w:rFonts w:asciiTheme="majorHAnsi" w:eastAsia="Calibri" w:hAnsiTheme="majorHAnsi"/>
                <w:sz w:val="22"/>
                <w:szCs w:val="22"/>
                <w:lang w:val="fr-CA"/>
              </w:rPr>
            </w:pPr>
            <w:r>
              <w:rPr>
                <w:rFonts w:asciiTheme="majorHAnsi" w:eastAsia="Calibri" w:hAnsiTheme="majorHAnsi" w:cs="Calibri"/>
                <w:b/>
                <w:bCs/>
                <w:sz w:val="22"/>
                <w:szCs w:val="22"/>
                <w:lang w:val="fr-CA"/>
              </w:rPr>
              <w:t>Tâche n</w:t>
            </w:r>
            <w:r w:rsidRPr="00B07C1F">
              <w:rPr>
                <w:rFonts w:asciiTheme="majorHAnsi" w:eastAsia="Calibri" w:hAnsiTheme="majorHAnsi" w:cs="Calibri"/>
                <w:b/>
                <w:bCs/>
                <w:sz w:val="22"/>
                <w:szCs w:val="22"/>
                <w:vertAlign w:val="superscript"/>
                <w:lang w:val="fr-CA"/>
              </w:rPr>
              <w:t>o</w:t>
            </w:r>
          </w:p>
        </w:tc>
        <w:tc>
          <w:tcPr>
            <w:tcW w:w="2508" w:type="dxa"/>
            <w:tcBorders>
              <w:top w:val="single" w:sz="10" w:space="0" w:color="000000"/>
              <w:bottom w:val="single" w:sz="10" w:space="0" w:color="000000"/>
              <w:right w:val="single" w:sz="10" w:space="0" w:color="000000"/>
            </w:tcBorders>
            <w:tcMar>
              <w:top w:w="144" w:type="nil"/>
              <w:right w:w="144" w:type="nil"/>
            </w:tcMar>
          </w:tcPr>
          <w:p w14:paraId="21FA5A2B" w14:textId="43CC2637" w:rsidR="007D07CF" w:rsidRPr="0081702E" w:rsidRDefault="00B07C1F" w:rsidP="00914A1A">
            <w:pPr>
              <w:widowControl w:val="0"/>
              <w:autoSpaceDE w:val="0"/>
              <w:autoSpaceDN w:val="0"/>
              <w:adjustRightInd w:val="0"/>
              <w:jc w:val="center"/>
              <w:rPr>
                <w:rFonts w:asciiTheme="majorHAnsi" w:eastAsia="Calibri" w:hAnsiTheme="majorHAnsi"/>
                <w:sz w:val="22"/>
                <w:szCs w:val="22"/>
                <w:lang w:val="fr-CA"/>
              </w:rPr>
            </w:pPr>
            <w:r>
              <w:rPr>
                <w:rFonts w:asciiTheme="majorHAnsi" w:eastAsia="Calibri" w:hAnsiTheme="majorHAnsi" w:cs="Calibri"/>
                <w:b/>
                <w:bCs/>
                <w:sz w:val="22"/>
                <w:szCs w:val="22"/>
                <w:lang w:val="fr-CA"/>
              </w:rPr>
              <w:t>Public(s) ciblé</w:t>
            </w:r>
            <w:r w:rsidR="007D07CF" w:rsidRPr="0081702E">
              <w:rPr>
                <w:rFonts w:asciiTheme="majorHAnsi" w:eastAsia="Calibri" w:hAnsiTheme="majorHAnsi" w:cs="Calibri"/>
                <w:b/>
                <w:bCs/>
                <w:sz w:val="22"/>
                <w:szCs w:val="22"/>
                <w:lang w:val="fr-CA"/>
              </w:rPr>
              <w:t>(s)</w:t>
            </w:r>
          </w:p>
        </w:tc>
        <w:tc>
          <w:tcPr>
            <w:tcW w:w="3018" w:type="dxa"/>
            <w:tcBorders>
              <w:top w:val="single" w:sz="10" w:space="0" w:color="000000"/>
              <w:bottom w:val="single" w:sz="10" w:space="0" w:color="000000"/>
              <w:right w:val="single" w:sz="10" w:space="0" w:color="000000"/>
            </w:tcBorders>
            <w:tcMar>
              <w:top w:w="144" w:type="nil"/>
              <w:right w:w="144" w:type="nil"/>
            </w:tcMar>
          </w:tcPr>
          <w:p w14:paraId="1C61D66D" w14:textId="48BAC4A1" w:rsidR="007D07CF" w:rsidRPr="0081702E" w:rsidRDefault="00B07C1F" w:rsidP="00914A1A">
            <w:pPr>
              <w:widowControl w:val="0"/>
              <w:autoSpaceDE w:val="0"/>
              <w:autoSpaceDN w:val="0"/>
              <w:adjustRightInd w:val="0"/>
              <w:jc w:val="center"/>
              <w:rPr>
                <w:rFonts w:asciiTheme="majorHAnsi" w:eastAsia="Calibri" w:hAnsiTheme="majorHAnsi"/>
                <w:sz w:val="22"/>
                <w:szCs w:val="22"/>
                <w:lang w:val="fr-CA"/>
              </w:rPr>
            </w:pPr>
            <w:r>
              <w:rPr>
                <w:rFonts w:asciiTheme="majorHAnsi" w:eastAsia="Calibri" w:hAnsiTheme="majorHAnsi" w:cs="Calibri"/>
                <w:b/>
                <w:bCs/>
                <w:sz w:val="22"/>
                <w:szCs w:val="22"/>
                <w:lang w:val="fr-CA"/>
              </w:rPr>
              <w:t>Coût estimé</w:t>
            </w:r>
            <w:r w:rsidR="00E01336" w:rsidRPr="0081702E">
              <w:rPr>
                <w:rFonts w:asciiTheme="majorHAnsi" w:eastAsia="Calibri" w:hAnsiTheme="majorHAnsi" w:cs="Calibri"/>
                <w:b/>
                <w:bCs/>
                <w:sz w:val="22"/>
                <w:szCs w:val="22"/>
                <w:lang w:val="fr-CA"/>
              </w:rPr>
              <w:t xml:space="preserve"> </w:t>
            </w:r>
            <w:r w:rsidR="007D07CF" w:rsidRPr="0081702E">
              <w:rPr>
                <w:rFonts w:asciiTheme="majorHAnsi" w:eastAsia="Calibri" w:hAnsiTheme="majorHAnsi" w:cs="Calibri"/>
                <w:b/>
                <w:bCs/>
                <w:sz w:val="22"/>
                <w:szCs w:val="22"/>
                <w:lang w:val="fr-CA"/>
              </w:rPr>
              <w:t>(CHF)</w:t>
            </w:r>
          </w:p>
        </w:tc>
      </w:tr>
      <w:tr w:rsidR="007D07CF" w:rsidRPr="0081702E" w14:paraId="4C96C56D" w14:textId="77777777" w:rsidTr="00B07C1F">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72A12B7C" w14:textId="5BE32926" w:rsidR="007D07CF" w:rsidRPr="0081702E" w:rsidRDefault="00B07C1F" w:rsidP="00B07C1F">
            <w:pPr>
              <w:widowControl w:val="0"/>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 xml:space="preserve">Perspective mondiale sur les zones humides (État mondial des zones humides et de leurs services à l’humanité) </w:t>
            </w:r>
          </w:p>
        </w:tc>
        <w:tc>
          <w:tcPr>
            <w:tcW w:w="1134" w:type="dxa"/>
            <w:tcBorders>
              <w:bottom w:val="single" w:sz="10" w:space="0" w:color="000000"/>
              <w:right w:val="single" w:sz="10" w:space="0" w:color="000000"/>
            </w:tcBorders>
            <w:tcMar>
              <w:top w:w="144" w:type="nil"/>
              <w:right w:w="144" w:type="nil"/>
            </w:tcMar>
          </w:tcPr>
          <w:p w14:paraId="35B866DD" w14:textId="77777777" w:rsidR="007D07CF" w:rsidRPr="0081702E" w:rsidRDefault="007D07CF" w:rsidP="00914A1A">
            <w:pPr>
              <w:widowControl w:val="0"/>
              <w:autoSpaceDE w:val="0"/>
              <w:autoSpaceDN w:val="0"/>
              <w:adjustRightInd w:val="0"/>
              <w:rPr>
                <w:rFonts w:asciiTheme="majorHAnsi" w:eastAsia="Calibri" w:hAnsiTheme="majorHAnsi"/>
                <w:sz w:val="22"/>
                <w:szCs w:val="22"/>
                <w:lang w:val="fr-CA"/>
              </w:rPr>
            </w:pPr>
            <w:r w:rsidRPr="0081702E">
              <w:rPr>
                <w:rFonts w:asciiTheme="majorHAnsi" w:eastAsia="Calibri" w:hAnsiTheme="majorHAnsi" w:cs="Calibri"/>
                <w:sz w:val="22"/>
                <w:szCs w:val="22"/>
                <w:lang w:val="fr-CA"/>
              </w:rPr>
              <w:t>1.1</w:t>
            </w:r>
          </w:p>
        </w:tc>
        <w:tc>
          <w:tcPr>
            <w:tcW w:w="2508" w:type="dxa"/>
            <w:tcBorders>
              <w:bottom w:val="single" w:sz="10" w:space="0" w:color="000000"/>
              <w:right w:val="single" w:sz="10" w:space="0" w:color="000000"/>
            </w:tcBorders>
            <w:tcMar>
              <w:top w:w="144" w:type="nil"/>
              <w:right w:w="144" w:type="nil"/>
            </w:tcMar>
          </w:tcPr>
          <w:p w14:paraId="7E4EF8DC" w14:textId="244F2E2A" w:rsidR="007D07CF" w:rsidRPr="0081702E" w:rsidRDefault="00B07C1F" w:rsidP="00B07C1F">
            <w:pPr>
              <w:widowControl w:val="0"/>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 xml:space="preserve">Parties contractantes; public large (avec des produits dérivés pour les décideurs et les praticiens) </w:t>
            </w:r>
          </w:p>
        </w:tc>
        <w:tc>
          <w:tcPr>
            <w:tcW w:w="3018" w:type="dxa"/>
            <w:tcBorders>
              <w:bottom w:val="single" w:sz="10" w:space="0" w:color="000000"/>
              <w:right w:val="single" w:sz="10" w:space="0" w:color="000000"/>
            </w:tcBorders>
            <w:tcMar>
              <w:top w:w="144" w:type="nil"/>
              <w:right w:w="144" w:type="nil"/>
            </w:tcMar>
          </w:tcPr>
          <w:p w14:paraId="3C284C1D" w14:textId="1095EBEA" w:rsidR="00A94469" w:rsidRPr="0081702E" w:rsidRDefault="007D07CF" w:rsidP="00914A1A">
            <w:pPr>
              <w:widowControl w:val="0"/>
              <w:autoSpaceDE w:val="0"/>
              <w:autoSpaceDN w:val="0"/>
              <w:adjustRightInd w:val="0"/>
              <w:rPr>
                <w:rFonts w:asciiTheme="majorHAnsi" w:eastAsia="Calibri" w:hAnsiTheme="majorHAnsi" w:cs="Calibri"/>
                <w:sz w:val="22"/>
                <w:szCs w:val="22"/>
                <w:lang w:val="fr-CA"/>
              </w:rPr>
            </w:pPr>
            <w:r w:rsidRPr="0081702E">
              <w:rPr>
                <w:rFonts w:asciiTheme="majorHAnsi" w:eastAsia="Calibri" w:hAnsiTheme="majorHAnsi" w:cs="Calibri"/>
                <w:sz w:val="22"/>
                <w:szCs w:val="22"/>
                <w:lang w:val="fr-CA"/>
              </w:rPr>
              <w:t>67</w:t>
            </w:r>
            <w:r w:rsidR="00B07C1F">
              <w:rPr>
                <w:rFonts w:asciiTheme="majorHAnsi" w:eastAsia="Calibri" w:hAnsiTheme="majorHAnsi" w:cs="Calibri"/>
                <w:sz w:val="22"/>
                <w:szCs w:val="22"/>
                <w:lang w:val="fr-CA"/>
              </w:rPr>
              <w:t> </w:t>
            </w:r>
            <w:r w:rsidRPr="0081702E">
              <w:rPr>
                <w:rFonts w:asciiTheme="majorHAnsi" w:eastAsia="Calibri" w:hAnsiTheme="majorHAnsi" w:cs="Calibri"/>
                <w:sz w:val="22"/>
                <w:szCs w:val="22"/>
                <w:lang w:val="fr-CA"/>
              </w:rPr>
              <w:t>000</w:t>
            </w:r>
            <w:r w:rsidR="00E01336" w:rsidRPr="0081702E">
              <w:rPr>
                <w:rFonts w:asciiTheme="majorHAnsi" w:eastAsia="Calibri" w:hAnsiTheme="majorHAnsi" w:cs="Calibri"/>
                <w:sz w:val="22"/>
                <w:szCs w:val="22"/>
                <w:lang w:val="fr-CA"/>
              </w:rPr>
              <w:t xml:space="preserve"> </w:t>
            </w:r>
          </w:p>
          <w:p w14:paraId="36AE0230" w14:textId="1F0B7F16" w:rsidR="007D07CF" w:rsidRPr="0081702E" w:rsidRDefault="007D07CF" w:rsidP="00B07C1F">
            <w:pPr>
              <w:widowControl w:val="0"/>
              <w:autoSpaceDE w:val="0"/>
              <w:autoSpaceDN w:val="0"/>
              <w:adjustRightInd w:val="0"/>
              <w:rPr>
                <w:rFonts w:asciiTheme="majorHAnsi" w:eastAsia="Calibri" w:hAnsiTheme="majorHAnsi"/>
                <w:sz w:val="22"/>
                <w:szCs w:val="22"/>
                <w:lang w:val="fr-CA"/>
              </w:rPr>
            </w:pPr>
            <w:r w:rsidRPr="0081702E">
              <w:rPr>
                <w:rFonts w:asciiTheme="majorHAnsi" w:eastAsia="Calibri" w:hAnsiTheme="majorHAnsi" w:cs="Calibri"/>
                <w:sz w:val="22"/>
                <w:szCs w:val="22"/>
                <w:lang w:val="fr-CA"/>
              </w:rPr>
              <w:t>(</w:t>
            </w:r>
            <w:r w:rsidR="00B07C1F">
              <w:rPr>
                <w:rFonts w:asciiTheme="majorHAnsi" w:eastAsia="Calibri" w:hAnsiTheme="majorHAnsi" w:cs="Calibri"/>
                <w:sz w:val="22"/>
                <w:szCs w:val="22"/>
                <w:lang w:val="fr-CA"/>
              </w:rPr>
              <w:t>sans appel de fonds</w:t>
            </w:r>
            <w:r w:rsidRPr="0081702E">
              <w:rPr>
                <w:rFonts w:asciiTheme="majorHAnsi" w:eastAsia="Calibri" w:hAnsiTheme="majorHAnsi" w:cs="Calibri"/>
                <w:sz w:val="22"/>
                <w:szCs w:val="22"/>
                <w:lang w:val="fr-CA"/>
              </w:rPr>
              <w:t>)</w:t>
            </w:r>
          </w:p>
        </w:tc>
      </w:tr>
      <w:tr w:rsidR="007D07CF" w:rsidRPr="0081702E" w14:paraId="2EE27C7D" w14:textId="77777777" w:rsidTr="00B07C1F">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4F20C635" w14:textId="05D9B1BA" w:rsidR="007D07CF" w:rsidRPr="0081702E" w:rsidRDefault="00B07C1F" w:rsidP="00C03160">
            <w:pPr>
              <w:widowControl w:val="0"/>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Adaptation bas</w:t>
            </w:r>
            <w:r w:rsidR="00C03160">
              <w:rPr>
                <w:rFonts w:asciiTheme="majorHAnsi" w:eastAsia="Calibri" w:hAnsiTheme="majorHAnsi" w:cs="Calibri"/>
                <w:sz w:val="22"/>
                <w:szCs w:val="22"/>
                <w:lang w:val="fr-CA"/>
              </w:rPr>
              <w:t>é</w:t>
            </w:r>
            <w:r>
              <w:rPr>
                <w:rFonts w:asciiTheme="majorHAnsi" w:eastAsia="Calibri" w:hAnsiTheme="majorHAnsi" w:cs="Calibri"/>
                <w:sz w:val="22"/>
                <w:szCs w:val="22"/>
                <w:lang w:val="fr-CA"/>
              </w:rPr>
              <w:t xml:space="preserve">e sur les </w:t>
            </w:r>
            <w:r w:rsidR="00C03160">
              <w:rPr>
                <w:rFonts w:asciiTheme="majorHAnsi" w:eastAsia="Calibri" w:hAnsiTheme="majorHAnsi" w:cs="Calibri"/>
                <w:sz w:val="22"/>
                <w:szCs w:val="22"/>
                <w:lang w:val="fr-CA"/>
              </w:rPr>
              <w:t xml:space="preserve">écosystèmes des zones humides pour la prévention des risques de catastrophe </w:t>
            </w:r>
          </w:p>
        </w:tc>
        <w:tc>
          <w:tcPr>
            <w:tcW w:w="1134" w:type="dxa"/>
            <w:tcBorders>
              <w:bottom w:val="single" w:sz="10" w:space="0" w:color="000000"/>
              <w:right w:val="single" w:sz="10" w:space="0" w:color="000000"/>
            </w:tcBorders>
            <w:tcMar>
              <w:top w:w="144" w:type="nil"/>
              <w:right w:w="144" w:type="nil"/>
            </w:tcMar>
          </w:tcPr>
          <w:p w14:paraId="135C2E65" w14:textId="77777777" w:rsidR="007D07CF" w:rsidRPr="0081702E" w:rsidRDefault="007D07CF" w:rsidP="00914A1A">
            <w:pPr>
              <w:widowControl w:val="0"/>
              <w:autoSpaceDE w:val="0"/>
              <w:autoSpaceDN w:val="0"/>
              <w:adjustRightInd w:val="0"/>
              <w:rPr>
                <w:rFonts w:asciiTheme="majorHAnsi" w:eastAsia="Calibri" w:hAnsiTheme="majorHAnsi"/>
                <w:sz w:val="22"/>
                <w:szCs w:val="22"/>
                <w:lang w:val="fr-CA"/>
              </w:rPr>
            </w:pPr>
            <w:r w:rsidRPr="0081702E">
              <w:rPr>
                <w:rFonts w:asciiTheme="majorHAnsi" w:eastAsia="Calibri" w:hAnsiTheme="majorHAnsi" w:cs="Calibri"/>
                <w:sz w:val="22"/>
                <w:szCs w:val="22"/>
                <w:lang w:val="fr-CA"/>
              </w:rPr>
              <w:t>2.2</w:t>
            </w:r>
          </w:p>
        </w:tc>
        <w:tc>
          <w:tcPr>
            <w:tcW w:w="2508" w:type="dxa"/>
            <w:tcBorders>
              <w:bottom w:val="single" w:sz="10" w:space="0" w:color="000000"/>
              <w:right w:val="single" w:sz="10" w:space="0" w:color="000000"/>
            </w:tcBorders>
            <w:tcMar>
              <w:top w:w="144" w:type="nil"/>
              <w:right w:w="144" w:type="nil"/>
            </w:tcMar>
          </w:tcPr>
          <w:p w14:paraId="526C9D66" w14:textId="7841BE44" w:rsidR="007D07CF" w:rsidRPr="0081702E" w:rsidRDefault="00C03160" w:rsidP="00C03160">
            <w:pPr>
              <w:widowControl w:val="0"/>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Décideurs</w:t>
            </w:r>
            <w:r w:rsidR="007D07CF" w:rsidRPr="0081702E">
              <w:rPr>
                <w:rFonts w:asciiTheme="majorHAnsi" w:eastAsia="Calibri" w:hAnsiTheme="majorHAnsi" w:cs="Calibri"/>
                <w:sz w:val="22"/>
                <w:szCs w:val="22"/>
                <w:lang w:val="fr-CA"/>
              </w:rPr>
              <w:t>;</w:t>
            </w:r>
            <w:r w:rsidR="00E01336" w:rsidRPr="0081702E">
              <w:rPr>
                <w:rFonts w:asciiTheme="majorHAnsi" w:eastAsia="Calibri" w:hAnsiTheme="majorHAnsi" w:cs="Calibri"/>
                <w:sz w:val="22"/>
                <w:szCs w:val="22"/>
                <w:lang w:val="fr-CA"/>
              </w:rPr>
              <w:t xml:space="preserve"> </w:t>
            </w:r>
            <w:r w:rsidR="007D07CF" w:rsidRPr="0081702E">
              <w:rPr>
                <w:rFonts w:asciiTheme="majorHAnsi" w:eastAsia="Calibri" w:hAnsiTheme="majorHAnsi" w:cs="Calibri"/>
                <w:sz w:val="22"/>
                <w:szCs w:val="22"/>
                <w:lang w:val="fr-CA"/>
              </w:rPr>
              <w:t>pra</w:t>
            </w:r>
            <w:r>
              <w:rPr>
                <w:rFonts w:asciiTheme="majorHAnsi" w:eastAsia="Calibri" w:hAnsiTheme="majorHAnsi" w:cs="Calibri"/>
                <w:sz w:val="22"/>
                <w:szCs w:val="22"/>
                <w:lang w:val="fr-CA"/>
              </w:rPr>
              <w:t>ticiens</w:t>
            </w:r>
          </w:p>
        </w:tc>
        <w:tc>
          <w:tcPr>
            <w:tcW w:w="3018" w:type="dxa"/>
            <w:tcBorders>
              <w:bottom w:val="single" w:sz="10" w:space="0" w:color="000000"/>
              <w:right w:val="single" w:sz="10" w:space="0" w:color="000000"/>
            </w:tcBorders>
            <w:tcMar>
              <w:top w:w="144" w:type="nil"/>
              <w:right w:w="144" w:type="nil"/>
            </w:tcMar>
          </w:tcPr>
          <w:p w14:paraId="2BDF418D" w14:textId="1C449808" w:rsidR="007D07CF" w:rsidRPr="0081702E" w:rsidRDefault="007D07CF" w:rsidP="00914A1A">
            <w:pPr>
              <w:widowControl w:val="0"/>
              <w:autoSpaceDE w:val="0"/>
              <w:autoSpaceDN w:val="0"/>
              <w:adjustRightInd w:val="0"/>
              <w:rPr>
                <w:rFonts w:asciiTheme="majorHAnsi" w:eastAsia="Calibri" w:hAnsiTheme="majorHAnsi"/>
                <w:sz w:val="22"/>
                <w:szCs w:val="22"/>
                <w:lang w:val="fr-CA"/>
              </w:rPr>
            </w:pPr>
            <w:r w:rsidRPr="0081702E">
              <w:rPr>
                <w:rFonts w:asciiTheme="majorHAnsi" w:eastAsia="Calibri" w:hAnsiTheme="majorHAnsi" w:cs="Calibri"/>
                <w:sz w:val="22"/>
                <w:szCs w:val="22"/>
                <w:lang w:val="fr-CA"/>
              </w:rPr>
              <w:t>13</w:t>
            </w:r>
            <w:r w:rsidR="00B07C1F">
              <w:rPr>
                <w:rFonts w:asciiTheme="majorHAnsi" w:eastAsia="Calibri" w:hAnsiTheme="majorHAnsi" w:cs="Calibri"/>
                <w:sz w:val="22"/>
                <w:szCs w:val="22"/>
                <w:lang w:val="fr-CA"/>
              </w:rPr>
              <w:t> </w:t>
            </w:r>
            <w:r w:rsidRPr="0081702E">
              <w:rPr>
                <w:rFonts w:asciiTheme="majorHAnsi" w:eastAsia="Calibri" w:hAnsiTheme="majorHAnsi" w:cs="Calibri"/>
                <w:sz w:val="22"/>
                <w:szCs w:val="22"/>
                <w:lang w:val="fr-CA"/>
              </w:rPr>
              <w:t>000</w:t>
            </w:r>
          </w:p>
        </w:tc>
      </w:tr>
      <w:tr w:rsidR="007D07CF" w:rsidRPr="00DF4418" w14:paraId="2DFCA8F8" w14:textId="77777777" w:rsidTr="00B07C1F">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41CE9F14" w14:textId="17EE5312" w:rsidR="007D07CF" w:rsidRPr="0081702E" w:rsidRDefault="00C03160" w:rsidP="00C03160">
            <w:pPr>
              <w:widowControl w:val="0"/>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 xml:space="preserve">Manuel de gestion des Sites Ramsar simplifié </w:t>
            </w:r>
          </w:p>
        </w:tc>
        <w:tc>
          <w:tcPr>
            <w:tcW w:w="1134" w:type="dxa"/>
            <w:tcBorders>
              <w:bottom w:val="single" w:sz="10" w:space="0" w:color="000000"/>
              <w:right w:val="single" w:sz="10" w:space="0" w:color="000000"/>
            </w:tcBorders>
            <w:tcMar>
              <w:top w:w="144" w:type="nil"/>
              <w:right w:w="144" w:type="nil"/>
            </w:tcMar>
          </w:tcPr>
          <w:p w14:paraId="1EE3694C" w14:textId="77777777" w:rsidR="007D07CF" w:rsidRPr="0081702E" w:rsidRDefault="007D07CF" w:rsidP="00914A1A">
            <w:pPr>
              <w:widowControl w:val="0"/>
              <w:autoSpaceDE w:val="0"/>
              <w:autoSpaceDN w:val="0"/>
              <w:adjustRightInd w:val="0"/>
              <w:rPr>
                <w:rFonts w:asciiTheme="majorHAnsi" w:eastAsia="Calibri" w:hAnsiTheme="majorHAnsi"/>
                <w:sz w:val="22"/>
                <w:szCs w:val="22"/>
                <w:lang w:val="fr-CA"/>
              </w:rPr>
            </w:pPr>
            <w:r w:rsidRPr="0081702E">
              <w:rPr>
                <w:rFonts w:asciiTheme="majorHAnsi" w:eastAsia="Calibri" w:hAnsiTheme="majorHAnsi" w:cs="Calibri"/>
                <w:sz w:val="22"/>
                <w:szCs w:val="22"/>
                <w:lang w:val="fr-CA"/>
              </w:rPr>
              <w:t>2.4</w:t>
            </w:r>
          </w:p>
        </w:tc>
        <w:tc>
          <w:tcPr>
            <w:tcW w:w="2508" w:type="dxa"/>
            <w:tcBorders>
              <w:bottom w:val="single" w:sz="10" w:space="0" w:color="000000"/>
              <w:right w:val="single" w:sz="10" w:space="0" w:color="000000"/>
            </w:tcBorders>
            <w:tcMar>
              <w:top w:w="144" w:type="nil"/>
              <w:right w:w="144" w:type="nil"/>
            </w:tcMar>
          </w:tcPr>
          <w:p w14:paraId="154B4BF9" w14:textId="6D8FD601" w:rsidR="007D07CF" w:rsidRPr="0081702E" w:rsidRDefault="00C03160" w:rsidP="00C03160">
            <w:pPr>
              <w:widowControl w:val="0"/>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Praticiens</w:t>
            </w:r>
            <w:r w:rsidR="00E01336" w:rsidRPr="0081702E">
              <w:rPr>
                <w:rFonts w:asciiTheme="majorHAnsi" w:eastAsia="Calibri" w:hAnsiTheme="majorHAnsi" w:cs="Calibri"/>
                <w:sz w:val="22"/>
                <w:szCs w:val="22"/>
                <w:lang w:val="fr-CA"/>
              </w:rPr>
              <w:t xml:space="preserve"> </w:t>
            </w:r>
            <w:r w:rsidR="007D07CF" w:rsidRPr="0081702E">
              <w:rPr>
                <w:rFonts w:asciiTheme="majorHAnsi" w:eastAsia="Calibri" w:hAnsiTheme="majorHAnsi" w:cs="Calibri"/>
                <w:sz w:val="22"/>
                <w:szCs w:val="22"/>
                <w:lang w:val="fr-CA"/>
              </w:rPr>
              <w:t>(</w:t>
            </w:r>
            <w:r>
              <w:rPr>
                <w:rFonts w:asciiTheme="majorHAnsi" w:eastAsia="Calibri" w:hAnsiTheme="majorHAnsi" w:cs="Calibri"/>
                <w:sz w:val="22"/>
                <w:szCs w:val="22"/>
                <w:lang w:val="fr-CA"/>
              </w:rPr>
              <w:t>administrateurs de site</w:t>
            </w:r>
            <w:r w:rsidR="00742C1C">
              <w:rPr>
                <w:rFonts w:asciiTheme="majorHAnsi" w:eastAsia="Calibri" w:hAnsiTheme="majorHAnsi" w:cs="Calibri"/>
                <w:sz w:val="22"/>
                <w:szCs w:val="22"/>
                <w:lang w:val="fr-CA"/>
              </w:rPr>
              <w:t>s</w:t>
            </w:r>
            <w:r w:rsidR="007D07CF" w:rsidRPr="0081702E">
              <w:rPr>
                <w:rFonts w:asciiTheme="majorHAnsi" w:eastAsia="Calibri" w:hAnsiTheme="majorHAnsi" w:cs="Calibri"/>
                <w:sz w:val="22"/>
                <w:szCs w:val="22"/>
                <w:lang w:val="fr-CA"/>
              </w:rPr>
              <w:t>)</w:t>
            </w:r>
          </w:p>
        </w:tc>
        <w:tc>
          <w:tcPr>
            <w:tcW w:w="3018" w:type="dxa"/>
            <w:tcBorders>
              <w:bottom w:val="single" w:sz="10" w:space="0" w:color="000000"/>
              <w:right w:val="single" w:sz="10" w:space="0" w:color="000000"/>
            </w:tcBorders>
            <w:tcMar>
              <w:top w:w="144" w:type="nil"/>
              <w:right w:w="144" w:type="nil"/>
            </w:tcMar>
          </w:tcPr>
          <w:p w14:paraId="2F889366" w14:textId="3EE095F2" w:rsidR="00A94469" w:rsidRPr="0081702E" w:rsidRDefault="007D07CF" w:rsidP="00914A1A">
            <w:pPr>
              <w:widowControl w:val="0"/>
              <w:autoSpaceDE w:val="0"/>
              <w:autoSpaceDN w:val="0"/>
              <w:adjustRightInd w:val="0"/>
              <w:rPr>
                <w:rFonts w:asciiTheme="majorHAnsi" w:eastAsia="Calibri" w:hAnsiTheme="majorHAnsi" w:cs="Calibri"/>
                <w:sz w:val="22"/>
                <w:szCs w:val="22"/>
                <w:lang w:val="fr-CA"/>
              </w:rPr>
            </w:pPr>
            <w:r w:rsidRPr="0081702E">
              <w:rPr>
                <w:rFonts w:asciiTheme="majorHAnsi" w:eastAsia="Calibri" w:hAnsiTheme="majorHAnsi" w:cs="Calibri"/>
                <w:sz w:val="22"/>
                <w:szCs w:val="22"/>
                <w:lang w:val="fr-CA"/>
              </w:rPr>
              <w:t>10</w:t>
            </w:r>
            <w:r w:rsidR="00B07C1F">
              <w:rPr>
                <w:rFonts w:asciiTheme="majorHAnsi" w:eastAsia="Calibri" w:hAnsiTheme="majorHAnsi" w:cs="Calibri"/>
                <w:sz w:val="22"/>
                <w:szCs w:val="22"/>
                <w:lang w:val="fr-CA"/>
              </w:rPr>
              <w:t> </w:t>
            </w:r>
            <w:r w:rsidRPr="0081702E">
              <w:rPr>
                <w:rFonts w:asciiTheme="majorHAnsi" w:eastAsia="Calibri" w:hAnsiTheme="majorHAnsi" w:cs="Calibri"/>
                <w:sz w:val="22"/>
                <w:szCs w:val="22"/>
                <w:lang w:val="fr-CA"/>
              </w:rPr>
              <w:t>000</w:t>
            </w:r>
            <w:r w:rsidR="00E01336" w:rsidRPr="0081702E">
              <w:rPr>
                <w:rFonts w:asciiTheme="majorHAnsi" w:eastAsia="Calibri" w:hAnsiTheme="majorHAnsi" w:cs="Calibri"/>
                <w:sz w:val="22"/>
                <w:szCs w:val="22"/>
                <w:lang w:val="fr-CA"/>
              </w:rPr>
              <w:t xml:space="preserve"> </w:t>
            </w:r>
          </w:p>
          <w:p w14:paraId="04AE4E40" w14:textId="00B36149" w:rsidR="007D07CF" w:rsidRPr="0081702E" w:rsidRDefault="00176F36" w:rsidP="00C03160">
            <w:pPr>
              <w:widowControl w:val="0"/>
              <w:autoSpaceDE w:val="0"/>
              <w:autoSpaceDN w:val="0"/>
              <w:adjustRightInd w:val="0"/>
              <w:rPr>
                <w:rFonts w:asciiTheme="majorHAnsi" w:eastAsia="Calibri" w:hAnsiTheme="majorHAnsi"/>
                <w:sz w:val="22"/>
                <w:szCs w:val="22"/>
                <w:lang w:val="fr-CA"/>
              </w:rPr>
            </w:pPr>
            <w:r w:rsidRPr="0081702E">
              <w:rPr>
                <w:rFonts w:asciiTheme="majorHAnsi" w:hAnsiTheme="majorHAnsi" w:cs="Arial"/>
                <w:sz w:val="22"/>
                <w:szCs w:val="22"/>
                <w:lang w:val="fr-CA"/>
              </w:rPr>
              <w:t>(</w:t>
            </w:r>
            <w:r w:rsidR="00C03160">
              <w:rPr>
                <w:rFonts w:asciiTheme="majorHAnsi" w:hAnsiTheme="majorHAnsi" w:cs="Arial"/>
                <w:sz w:val="22"/>
                <w:szCs w:val="22"/>
                <w:lang w:val="fr-CA"/>
              </w:rPr>
              <w:t>un appui additionnel serait fourni par le Centre régional Ramsar – Asie de l’Est)</w:t>
            </w:r>
          </w:p>
        </w:tc>
      </w:tr>
      <w:tr w:rsidR="007D07CF" w:rsidRPr="0081702E" w14:paraId="07A26B67" w14:textId="77777777" w:rsidTr="00B07C1F">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50EB0304" w14:textId="2F5F7416" w:rsidR="007D07CF" w:rsidRPr="0081702E" w:rsidRDefault="00C03160" w:rsidP="00C03160">
            <w:pPr>
              <w:keepNext/>
              <w:keepLines/>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lastRenderedPageBreak/>
              <w:t xml:space="preserve">Note d’information sur l’évaluation et la valorisation des services écosystémiques des zones humides </w:t>
            </w:r>
          </w:p>
        </w:tc>
        <w:tc>
          <w:tcPr>
            <w:tcW w:w="1134" w:type="dxa"/>
            <w:tcBorders>
              <w:bottom w:val="single" w:sz="10" w:space="0" w:color="000000"/>
              <w:right w:val="single" w:sz="10" w:space="0" w:color="000000"/>
            </w:tcBorders>
            <w:tcMar>
              <w:top w:w="144" w:type="nil"/>
              <w:right w:w="144" w:type="nil"/>
            </w:tcMar>
          </w:tcPr>
          <w:p w14:paraId="35C6258A" w14:textId="77777777" w:rsidR="007D07CF" w:rsidRPr="0081702E" w:rsidRDefault="007D07CF" w:rsidP="00C03160">
            <w:pPr>
              <w:keepNext/>
              <w:keepLines/>
              <w:autoSpaceDE w:val="0"/>
              <w:autoSpaceDN w:val="0"/>
              <w:adjustRightInd w:val="0"/>
              <w:rPr>
                <w:rFonts w:asciiTheme="majorHAnsi" w:eastAsia="Calibri" w:hAnsiTheme="majorHAnsi"/>
                <w:sz w:val="22"/>
                <w:szCs w:val="22"/>
                <w:lang w:val="fr-CA"/>
              </w:rPr>
            </w:pPr>
            <w:r w:rsidRPr="0081702E">
              <w:rPr>
                <w:rFonts w:asciiTheme="majorHAnsi" w:eastAsia="Calibri" w:hAnsiTheme="majorHAnsi" w:cs="Calibri"/>
                <w:sz w:val="22"/>
                <w:szCs w:val="22"/>
                <w:lang w:val="fr-CA"/>
              </w:rPr>
              <w:t>3.1</w:t>
            </w:r>
          </w:p>
        </w:tc>
        <w:tc>
          <w:tcPr>
            <w:tcW w:w="2508" w:type="dxa"/>
            <w:tcBorders>
              <w:bottom w:val="single" w:sz="10" w:space="0" w:color="000000"/>
              <w:right w:val="single" w:sz="10" w:space="0" w:color="000000"/>
            </w:tcBorders>
            <w:tcMar>
              <w:top w:w="144" w:type="nil"/>
              <w:right w:w="144" w:type="nil"/>
            </w:tcMar>
          </w:tcPr>
          <w:p w14:paraId="0D9AE724" w14:textId="0A7A94F0" w:rsidR="007D07CF" w:rsidRPr="0081702E" w:rsidRDefault="00C03160" w:rsidP="00C03160">
            <w:pPr>
              <w:keepNext/>
              <w:keepLines/>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Décideurs</w:t>
            </w:r>
          </w:p>
        </w:tc>
        <w:tc>
          <w:tcPr>
            <w:tcW w:w="3018" w:type="dxa"/>
            <w:tcBorders>
              <w:bottom w:val="single" w:sz="10" w:space="0" w:color="000000"/>
              <w:right w:val="single" w:sz="10" w:space="0" w:color="000000"/>
            </w:tcBorders>
            <w:tcMar>
              <w:top w:w="144" w:type="nil"/>
              <w:right w:w="144" w:type="nil"/>
            </w:tcMar>
          </w:tcPr>
          <w:p w14:paraId="0AA218E9" w14:textId="58AF5728" w:rsidR="007D07CF" w:rsidRPr="0081702E" w:rsidRDefault="00C03160" w:rsidP="00C03160">
            <w:pPr>
              <w:keepNext/>
              <w:keepLines/>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7</w:t>
            </w:r>
            <w:r w:rsidR="00176F36" w:rsidRPr="0081702E">
              <w:rPr>
                <w:rFonts w:asciiTheme="majorHAnsi" w:eastAsia="Calibri" w:hAnsiTheme="majorHAnsi" w:cs="Calibri"/>
                <w:sz w:val="22"/>
                <w:szCs w:val="22"/>
                <w:lang w:val="fr-CA"/>
              </w:rPr>
              <w:t>3</w:t>
            </w:r>
            <w:r w:rsidR="00B122E0" w:rsidRPr="0081702E">
              <w:rPr>
                <w:rFonts w:asciiTheme="majorHAnsi" w:eastAsia="Calibri" w:hAnsiTheme="majorHAnsi" w:cs="Calibri"/>
                <w:sz w:val="22"/>
                <w:szCs w:val="22"/>
                <w:lang w:val="fr-CA"/>
              </w:rPr>
              <w:t>00</w:t>
            </w:r>
          </w:p>
        </w:tc>
      </w:tr>
      <w:tr w:rsidR="007D07CF" w:rsidRPr="0081702E" w14:paraId="51131D57" w14:textId="77777777" w:rsidTr="00B07C1F">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7CFF1034" w14:textId="5E463C58" w:rsidR="007D07CF" w:rsidRPr="0081702E" w:rsidRDefault="00C03160" w:rsidP="00C03160">
            <w:pPr>
              <w:widowControl w:val="0"/>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 xml:space="preserve">Protocole pour évaluer les valeurs multiples des zones humides – Protocole en 5 étapes (IPBES) </w:t>
            </w:r>
          </w:p>
        </w:tc>
        <w:tc>
          <w:tcPr>
            <w:tcW w:w="1134" w:type="dxa"/>
            <w:tcBorders>
              <w:bottom w:val="single" w:sz="10" w:space="0" w:color="000000"/>
              <w:right w:val="single" w:sz="10" w:space="0" w:color="000000"/>
            </w:tcBorders>
            <w:tcMar>
              <w:top w:w="144" w:type="nil"/>
              <w:right w:w="144" w:type="nil"/>
            </w:tcMar>
          </w:tcPr>
          <w:p w14:paraId="67D71BDD" w14:textId="77777777" w:rsidR="007D07CF" w:rsidRPr="0081702E" w:rsidRDefault="007D07CF" w:rsidP="00914A1A">
            <w:pPr>
              <w:widowControl w:val="0"/>
              <w:autoSpaceDE w:val="0"/>
              <w:autoSpaceDN w:val="0"/>
              <w:adjustRightInd w:val="0"/>
              <w:rPr>
                <w:rFonts w:asciiTheme="majorHAnsi" w:eastAsia="Calibri" w:hAnsiTheme="majorHAnsi"/>
                <w:sz w:val="22"/>
                <w:szCs w:val="22"/>
                <w:lang w:val="fr-CA"/>
              </w:rPr>
            </w:pPr>
            <w:r w:rsidRPr="0081702E">
              <w:rPr>
                <w:rFonts w:asciiTheme="majorHAnsi" w:eastAsia="Calibri" w:hAnsiTheme="majorHAnsi" w:cs="Calibri"/>
                <w:sz w:val="22"/>
                <w:szCs w:val="22"/>
                <w:lang w:val="fr-CA"/>
              </w:rPr>
              <w:t>3.2</w:t>
            </w:r>
          </w:p>
        </w:tc>
        <w:tc>
          <w:tcPr>
            <w:tcW w:w="2508" w:type="dxa"/>
            <w:tcBorders>
              <w:bottom w:val="single" w:sz="10" w:space="0" w:color="000000"/>
              <w:right w:val="single" w:sz="10" w:space="0" w:color="000000"/>
            </w:tcBorders>
            <w:tcMar>
              <w:top w:w="144" w:type="nil"/>
              <w:right w:w="144" w:type="nil"/>
            </w:tcMar>
          </w:tcPr>
          <w:p w14:paraId="4254E3AC" w14:textId="18E794F3" w:rsidR="007D07CF" w:rsidRPr="0081702E" w:rsidRDefault="00C03160" w:rsidP="00914A1A">
            <w:pPr>
              <w:widowControl w:val="0"/>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Décideurs</w:t>
            </w:r>
          </w:p>
        </w:tc>
        <w:tc>
          <w:tcPr>
            <w:tcW w:w="3018" w:type="dxa"/>
            <w:tcBorders>
              <w:bottom w:val="single" w:sz="10" w:space="0" w:color="000000"/>
              <w:right w:val="single" w:sz="10" w:space="0" w:color="000000"/>
            </w:tcBorders>
            <w:tcMar>
              <w:top w:w="144" w:type="nil"/>
              <w:right w:w="144" w:type="nil"/>
            </w:tcMar>
          </w:tcPr>
          <w:p w14:paraId="4DAF1706" w14:textId="59AF74B8" w:rsidR="007D07CF" w:rsidRPr="0081702E" w:rsidRDefault="00176F36" w:rsidP="00914A1A">
            <w:pPr>
              <w:widowControl w:val="0"/>
              <w:autoSpaceDE w:val="0"/>
              <w:autoSpaceDN w:val="0"/>
              <w:adjustRightInd w:val="0"/>
              <w:rPr>
                <w:rFonts w:asciiTheme="majorHAnsi" w:eastAsia="Calibri" w:hAnsiTheme="majorHAnsi"/>
                <w:sz w:val="22"/>
                <w:szCs w:val="22"/>
                <w:lang w:val="fr-CA"/>
              </w:rPr>
            </w:pPr>
            <w:r w:rsidRPr="0081702E">
              <w:rPr>
                <w:rFonts w:asciiTheme="majorHAnsi" w:eastAsia="Calibri" w:hAnsiTheme="majorHAnsi" w:cs="Calibri"/>
                <w:sz w:val="22"/>
                <w:szCs w:val="22"/>
                <w:lang w:val="fr-CA"/>
              </w:rPr>
              <w:t>9</w:t>
            </w:r>
            <w:r w:rsidR="007D07CF" w:rsidRPr="0081702E">
              <w:rPr>
                <w:rFonts w:asciiTheme="majorHAnsi" w:eastAsia="Calibri" w:hAnsiTheme="majorHAnsi" w:cs="Calibri"/>
                <w:sz w:val="22"/>
                <w:szCs w:val="22"/>
                <w:lang w:val="fr-CA"/>
              </w:rPr>
              <w:t>000</w:t>
            </w:r>
          </w:p>
        </w:tc>
      </w:tr>
      <w:tr w:rsidR="007D07CF" w:rsidRPr="00DF4418" w14:paraId="09C10087" w14:textId="77777777" w:rsidTr="00B07C1F">
        <w:tblPrEx>
          <w:tblBorders>
            <w:top w:val="none" w:sz="0" w:space="0" w:color="auto"/>
          </w:tblBorders>
        </w:tblPrEx>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65597C7A" w14:textId="13AB1DA7" w:rsidR="007D07CF" w:rsidRPr="0081702E" w:rsidRDefault="00C03160" w:rsidP="007247E2">
            <w:pPr>
              <w:widowControl w:val="0"/>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 xml:space="preserve">Besoins en eau </w:t>
            </w:r>
            <w:r w:rsidR="007247E2">
              <w:rPr>
                <w:rFonts w:asciiTheme="majorHAnsi" w:eastAsia="Calibri" w:hAnsiTheme="majorHAnsi" w:cs="Calibri"/>
                <w:sz w:val="22"/>
                <w:szCs w:val="22"/>
                <w:lang w:val="fr-CA"/>
              </w:rPr>
              <w:t>des</w:t>
            </w:r>
            <w:r>
              <w:rPr>
                <w:rFonts w:asciiTheme="majorHAnsi" w:eastAsia="Calibri" w:hAnsiTheme="majorHAnsi" w:cs="Calibri"/>
                <w:sz w:val="22"/>
                <w:szCs w:val="22"/>
                <w:lang w:val="fr-CA"/>
              </w:rPr>
              <w:t xml:space="preserve"> zones humides</w:t>
            </w:r>
          </w:p>
        </w:tc>
        <w:tc>
          <w:tcPr>
            <w:tcW w:w="1134" w:type="dxa"/>
            <w:tcBorders>
              <w:bottom w:val="single" w:sz="10" w:space="0" w:color="000000"/>
              <w:right w:val="single" w:sz="10" w:space="0" w:color="000000"/>
            </w:tcBorders>
            <w:tcMar>
              <w:top w:w="144" w:type="nil"/>
              <w:right w:w="144" w:type="nil"/>
            </w:tcMar>
          </w:tcPr>
          <w:p w14:paraId="400560FC" w14:textId="77777777" w:rsidR="007D07CF" w:rsidRPr="0081702E" w:rsidRDefault="007D07CF" w:rsidP="00914A1A">
            <w:pPr>
              <w:widowControl w:val="0"/>
              <w:autoSpaceDE w:val="0"/>
              <w:autoSpaceDN w:val="0"/>
              <w:adjustRightInd w:val="0"/>
              <w:rPr>
                <w:rFonts w:asciiTheme="majorHAnsi" w:eastAsia="Calibri" w:hAnsiTheme="majorHAnsi"/>
                <w:sz w:val="22"/>
                <w:szCs w:val="22"/>
                <w:lang w:val="fr-CA"/>
              </w:rPr>
            </w:pPr>
            <w:r w:rsidRPr="0081702E">
              <w:rPr>
                <w:rFonts w:asciiTheme="majorHAnsi" w:eastAsia="Calibri" w:hAnsiTheme="majorHAnsi" w:cs="Calibri"/>
                <w:sz w:val="22"/>
                <w:szCs w:val="22"/>
                <w:lang w:val="fr-CA"/>
              </w:rPr>
              <w:t>4.1</w:t>
            </w:r>
          </w:p>
        </w:tc>
        <w:tc>
          <w:tcPr>
            <w:tcW w:w="2508" w:type="dxa"/>
            <w:tcBorders>
              <w:bottom w:val="single" w:sz="10" w:space="0" w:color="000000"/>
              <w:right w:val="single" w:sz="10" w:space="0" w:color="000000"/>
            </w:tcBorders>
            <w:tcMar>
              <w:top w:w="144" w:type="nil"/>
              <w:right w:w="144" w:type="nil"/>
            </w:tcMar>
          </w:tcPr>
          <w:p w14:paraId="29667538" w14:textId="232A8CF0" w:rsidR="007D07CF" w:rsidRPr="0081702E" w:rsidRDefault="00C03160" w:rsidP="00C03160">
            <w:pPr>
              <w:widowControl w:val="0"/>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 xml:space="preserve">Décideurs; praticiens aux niveaux national, du bassin et local </w:t>
            </w:r>
          </w:p>
        </w:tc>
        <w:tc>
          <w:tcPr>
            <w:tcW w:w="3018" w:type="dxa"/>
            <w:tcBorders>
              <w:bottom w:val="single" w:sz="10" w:space="0" w:color="000000"/>
              <w:right w:val="single" w:sz="10" w:space="0" w:color="000000"/>
            </w:tcBorders>
            <w:tcMar>
              <w:top w:w="144" w:type="nil"/>
              <w:right w:w="144" w:type="nil"/>
            </w:tcMar>
          </w:tcPr>
          <w:p w14:paraId="73D737A3" w14:textId="1B4F5EB0" w:rsidR="00A94469" w:rsidRPr="0081702E" w:rsidRDefault="00176F36" w:rsidP="00914A1A">
            <w:pPr>
              <w:widowControl w:val="0"/>
              <w:autoSpaceDE w:val="0"/>
              <w:autoSpaceDN w:val="0"/>
              <w:adjustRightInd w:val="0"/>
              <w:rPr>
                <w:rFonts w:asciiTheme="majorHAnsi" w:eastAsia="Calibri" w:hAnsiTheme="majorHAnsi" w:cs="Calibri"/>
                <w:sz w:val="22"/>
                <w:szCs w:val="22"/>
                <w:lang w:val="fr-CA"/>
              </w:rPr>
            </w:pPr>
            <w:r w:rsidRPr="0081702E">
              <w:rPr>
                <w:rFonts w:asciiTheme="majorHAnsi" w:eastAsia="Calibri" w:hAnsiTheme="majorHAnsi" w:cs="Calibri"/>
                <w:sz w:val="22"/>
                <w:szCs w:val="22"/>
                <w:lang w:val="fr-CA"/>
              </w:rPr>
              <w:t>20</w:t>
            </w:r>
            <w:r w:rsidR="00B07C1F">
              <w:rPr>
                <w:rFonts w:asciiTheme="majorHAnsi" w:eastAsia="Calibri" w:hAnsiTheme="majorHAnsi" w:cs="Calibri"/>
                <w:sz w:val="22"/>
                <w:szCs w:val="22"/>
                <w:lang w:val="fr-CA"/>
              </w:rPr>
              <w:t> </w:t>
            </w:r>
            <w:r w:rsidRPr="0081702E">
              <w:rPr>
                <w:rFonts w:asciiTheme="majorHAnsi" w:eastAsia="Calibri" w:hAnsiTheme="majorHAnsi" w:cs="Calibri"/>
                <w:sz w:val="22"/>
                <w:szCs w:val="22"/>
                <w:lang w:val="fr-CA"/>
              </w:rPr>
              <w:t>000</w:t>
            </w:r>
            <w:r w:rsidR="00E01336" w:rsidRPr="0081702E">
              <w:rPr>
                <w:rFonts w:asciiTheme="majorHAnsi" w:eastAsia="Calibri" w:hAnsiTheme="majorHAnsi" w:cs="Calibri"/>
                <w:sz w:val="22"/>
                <w:szCs w:val="22"/>
                <w:lang w:val="fr-CA"/>
              </w:rPr>
              <w:t xml:space="preserve"> </w:t>
            </w:r>
          </w:p>
          <w:p w14:paraId="5AABBEBB" w14:textId="2F7D91CD" w:rsidR="00176F36" w:rsidRPr="0081702E" w:rsidRDefault="00176F36" w:rsidP="00C03160">
            <w:pPr>
              <w:widowControl w:val="0"/>
              <w:autoSpaceDE w:val="0"/>
              <w:autoSpaceDN w:val="0"/>
              <w:adjustRightInd w:val="0"/>
              <w:rPr>
                <w:rFonts w:asciiTheme="majorHAnsi" w:eastAsia="Calibri" w:hAnsiTheme="majorHAnsi"/>
                <w:sz w:val="22"/>
                <w:szCs w:val="22"/>
                <w:lang w:val="fr-CA"/>
              </w:rPr>
            </w:pPr>
            <w:r w:rsidRPr="0081702E">
              <w:rPr>
                <w:rFonts w:asciiTheme="majorHAnsi" w:hAnsiTheme="majorHAnsi" w:cs="Arial"/>
                <w:sz w:val="22"/>
                <w:szCs w:val="22"/>
                <w:lang w:val="fr-CA"/>
              </w:rPr>
              <w:t>(</w:t>
            </w:r>
            <w:r w:rsidR="00C03160">
              <w:rPr>
                <w:rFonts w:asciiTheme="majorHAnsi" w:hAnsiTheme="majorHAnsi" w:cs="Arial"/>
                <w:sz w:val="22"/>
                <w:szCs w:val="22"/>
                <w:lang w:val="fr-CA"/>
              </w:rPr>
              <w:t xml:space="preserve">un appui additionnel serait fourni par le WWF, entre autres) </w:t>
            </w:r>
          </w:p>
        </w:tc>
      </w:tr>
      <w:tr w:rsidR="007D07CF" w:rsidRPr="0081702E" w14:paraId="1471997D" w14:textId="77777777" w:rsidTr="00B07C1F">
        <w:trPr>
          <w:jc w:val="center"/>
        </w:trPr>
        <w:tc>
          <w:tcPr>
            <w:tcW w:w="2454" w:type="dxa"/>
            <w:tcBorders>
              <w:left w:val="single" w:sz="10" w:space="0" w:color="000000"/>
              <w:bottom w:val="single" w:sz="10" w:space="0" w:color="000000"/>
              <w:right w:val="single" w:sz="10" w:space="0" w:color="000000"/>
            </w:tcBorders>
            <w:tcMar>
              <w:top w:w="144" w:type="nil"/>
              <w:right w:w="144" w:type="nil"/>
            </w:tcMar>
          </w:tcPr>
          <w:p w14:paraId="4C3DE06F" w14:textId="59FC6AFA" w:rsidR="007D07CF" w:rsidRPr="0081702E" w:rsidRDefault="00C03160" w:rsidP="00C03160">
            <w:pPr>
              <w:widowControl w:val="0"/>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Examen et analyse des rapports de</w:t>
            </w:r>
            <w:r w:rsidR="001A289E">
              <w:rPr>
                <w:rFonts w:asciiTheme="majorHAnsi" w:eastAsia="Calibri" w:hAnsiTheme="majorHAnsi" w:cs="Calibri"/>
                <w:sz w:val="22"/>
                <w:szCs w:val="22"/>
                <w:lang w:val="fr-CA"/>
              </w:rPr>
              <w:t>s</w:t>
            </w:r>
            <w:r>
              <w:rPr>
                <w:rFonts w:asciiTheme="majorHAnsi" w:eastAsia="Calibri" w:hAnsiTheme="majorHAnsi" w:cs="Calibri"/>
                <w:sz w:val="22"/>
                <w:szCs w:val="22"/>
                <w:lang w:val="fr-CA"/>
              </w:rPr>
              <w:t xml:space="preserve"> missions consultatives Ramsar </w:t>
            </w:r>
          </w:p>
        </w:tc>
        <w:tc>
          <w:tcPr>
            <w:tcW w:w="1134" w:type="dxa"/>
            <w:tcBorders>
              <w:bottom w:val="single" w:sz="10" w:space="0" w:color="000000"/>
              <w:right w:val="single" w:sz="10" w:space="0" w:color="000000"/>
            </w:tcBorders>
            <w:tcMar>
              <w:top w:w="144" w:type="nil"/>
              <w:right w:w="144" w:type="nil"/>
            </w:tcMar>
          </w:tcPr>
          <w:p w14:paraId="7E1240DA" w14:textId="77777777" w:rsidR="007D07CF" w:rsidRPr="0081702E" w:rsidRDefault="007D07CF" w:rsidP="00914A1A">
            <w:pPr>
              <w:widowControl w:val="0"/>
              <w:autoSpaceDE w:val="0"/>
              <w:autoSpaceDN w:val="0"/>
              <w:adjustRightInd w:val="0"/>
              <w:rPr>
                <w:rFonts w:asciiTheme="majorHAnsi" w:eastAsia="Calibri" w:hAnsiTheme="majorHAnsi"/>
                <w:sz w:val="22"/>
                <w:szCs w:val="22"/>
                <w:lang w:val="fr-CA"/>
              </w:rPr>
            </w:pPr>
            <w:r w:rsidRPr="0081702E">
              <w:rPr>
                <w:rFonts w:asciiTheme="majorHAnsi" w:eastAsia="Calibri" w:hAnsiTheme="majorHAnsi" w:cs="Calibri"/>
                <w:sz w:val="22"/>
                <w:szCs w:val="22"/>
                <w:lang w:val="fr-CA"/>
              </w:rPr>
              <w:t>4.2</w:t>
            </w:r>
          </w:p>
        </w:tc>
        <w:tc>
          <w:tcPr>
            <w:tcW w:w="2508" w:type="dxa"/>
            <w:tcBorders>
              <w:bottom w:val="single" w:sz="10" w:space="0" w:color="000000"/>
              <w:right w:val="single" w:sz="10" w:space="0" w:color="000000"/>
            </w:tcBorders>
            <w:tcMar>
              <w:top w:w="144" w:type="nil"/>
              <w:right w:w="144" w:type="nil"/>
            </w:tcMar>
          </w:tcPr>
          <w:p w14:paraId="1D4EE628" w14:textId="58B018AC" w:rsidR="007D07CF" w:rsidRPr="0081702E" w:rsidRDefault="006A5DA2" w:rsidP="00C03160">
            <w:pPr>
              <w:widowControl w:val="0"/>
              <w:autoSpaceDE w:val="0"/>
              <w:autoSpaceDN w:val="0"/>
              <w:adjustRightInd w:val="0"/>
              <w:rPr>
                <w:rFonts w:asciiTheme="majorHAnsi" w:eastAsia="Calibri" w:hAnsiTheme="majorHAnsi"/>
                <w:sz w:val="22"/>
                <w:szCs w:val="22"/>
                <w:lang w:val="fr-CA"/>
              </w:rPr>
            </w:pPr>
            <w:r>
              <w:rPr>
                <w:rFonts w:asciiTheme="majorHAnsi" w:eastAsia="Calibri" w:hAnsiTheme="majorHAnsi" w:cs="Calibri"/>
                <w:sz w:val="22"/>
                <w:szCs w:val="22"/>
                <w:lang w:val="fr-CA"/>
              </w:rPr>
              <w:t>D</w:t>
            </w:r>
            <w:r w:rsidR="00C03160">
              <w:rPr>
                <w:rFonts w:asciiTheme="majorHAnsi" w:eastAsia="Calibri" w:hAnsiTheme="majorHAnsi" w:cs="Calibri"/>
                <w:sz w:val="22"/>
                <w:szCs w:val="22"/>
                <w:lang w:val="fr-CA"/>
              </w:rPr>
              <w:t>écideurs</w:t>
            </w:r>
            <w:r w:rsidR="007D07CF" w:rsidRPr="0081702E">
              <w:rPr>
                <w:rFonts w:asciiTheme="majorHAnsi" w:eastAsia="Calibri" w:hAnsiTheme="majorHAnsi" w:cs="Calibri"/>
                <w:sz w:val="22"/>
                <w:szCs w:val="22"/>
                <w:lang w:val="fr-CA"/>
              </w:rPr>
              <w:t>;</w:t>
            </w:r>
            <w:r w:rsidR="00E01336" w:rsidRPr="0081702E">
              <w:rPr>
                <w:rFonts w:asciiTheme="majorHAnsi" w:eastAsia="Calibri" w:hAnsiTheme="majorHAnsi" w:cs="Calibri"/>
                <w:sz w:val="22"/>
                <w:szCs w:val="22"/>
                <w:lang w:val="fr-CA"/>
              </w:rPr>
              <w:t xml:space="preserve"> </w:t>
            </w:r>
            <w:r w:rsidR="00C03160">
              <w:rPr>
                <w:rFonts w:asciiTheme="majorHAnsi" w:eastAsia="Calibri" w:hAnsiTheme="majorHAnsi" w:cs="Calibri"/>
                <w:sz w:val="22"/>
                <w:szCs w:val="22"/>
                <w:lang w:val="fr-CA"/>
              </w:rPr>
              <w:t xml:space="preserve">praticiens (administrateurs de site) </w:t>
            </w:r>
          </w:p>
        </w:tc>
        <w:tc>
          <w:tcPr>
            <w:tcW w:w="3018" w:type="dxa"/>
            <w:tcBorders>
              <w:bottom w:val="single" w:sz="10" w:space="0" w:color="000000"/>
              <w:right w:val="single" w:sz="10" w:space="0" w:color="000000"/>
            </w:tcBorders>
            <w:tcMar>
              <w:top w:w="144" w:type="nil"/>
              <w:right w:w="144" w:type="nil"/>
            </w:tcMar>
          </w:tcPr>
          <w:p w14:paraId="76E042DA" w14:textId="72C01331" w:rsidR="007D07CF" w:rsidRPr="0081702E" w:rsidRDefault="007D07CF" w:rsidP="00914A1A">
            <w:pPr>
              <w:widowControl w:val="0"/>
              <w:autoSpaceDE w:val="0"/>
              <w:autoSpaceDN w:val="0"/>
              <w:adjustRightInd w:val="0"/>
              <w:rPr>
                <w:rFonts w:asciiTheme="majorHAnsi" w:eastAsia="Calibri" w:hAnsiTheme="majorHAnsi"/>
                <w:sz w:val="22"/>
                <w:szCs w:val="22"/>
                <w:lang w:val="fr-CA"/>
              </w:rPr>
            </w:pPr>
            <w:r w:rsidRPr="0081702E">
              <w:rPr>
                <w:rFonts w:asciiTheme="majorHAnsi" w:eastAsia="Calibri" w:hAnsiTheme="majorHAnsi" w:cs="Calibri"/>
                <w:sz w:val="22"/>
                <w:szCs w:val="22"/>
                <w:lang w:val="fr-CA"/>
              </w:rPr>
              <w:t>66</w:t>
            </w:r>
            <w:r w:rsidR="00B07C1F">
              <w:rPr>
                <w:rFonts w:asciiTheme="majorHAnsi" w:eastAsia="Calibri" w:hAnsiTheme="majorHAnsi" w:cs="Calibri"/>
                <w:sz w:val="22"/>
                <w:szCs w:val="22"/>
                <w:lang w:val="fr-CA"/>
              </w:rPr>
              <w:t> </w:t>
            </w:r>
            <w:r w:rsidRPr="0081702E">
              <w:rPr>
                <w:rFonts w:asciiTheme="majorHAnsi" w:eastAsia="Calibri" w:hAnsiTheme="majorHAnsi" w:cs="Calibri"/>
                <w:sz w:val="22"/>
                <w:szCs w:val="22"/>
                <w:lang w:val="fr-CA"/>
              </w:rPr>
              <w:t>000</w:t>
            </w:r>
          </w:p>
        </w:tc>
      </w:tr>
    </w:tbl>
    <w:p w14:paraId="74DE45A7" w14:textId="1E3264B3" w:rsidR="00176F36" w:rsidRPr="0081702E" w:rsidRDefault="00E01336" w:rsidP="00914A1A">
      <w:pPr>
        <w:ind w:left="360" w:hanging="360"/>
        <w:rPr>
          <w:rFonts w:asciiTheme="majorHAnsi" w:hAnsiTheme="majorHAnsi"/>
          <w:sz w:val="22"/>
          <w:szCs w:val="22"/>
          <w:lang w:val="fr-CA"/>
        </w:rPr>
      </w:pPr>
      <w:r w:rsidRPr="0081702E">
        <w:rPr>
          <w:rFonts w:asciiTheme="majorHAnsi" w:eastAsia="Calibri" w:hAnsiTheme="majorHAnsi" w:cs="Calibri"/>
          <w:sz w:val="22"/>
          <w:szCs w:val="22"/>
          <w:lang w:val="fr-CA"/>
        </w:rPr>
        <w:t xml:space="preserve"> </w:t>
      </w:r>
    </w:p>
    <w:p w14:paraId="154518D5" w14:textId="754B0836" w:rsidR="007572F7" w:rsidRPr="0081702E" w:rsidRDefault="00C03160" w:rsidP="00914A1A">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Au cours du GEST19, le Groupe </w:t>
      </w:r>
      <w:r w:rsidR="00F80EF2">
        <w:rPr>
          <w:rFonts w:asciiTheme="majorHAnsi" w:hAnsiTheme="majorHAnsi"/>
          <w:szCs w:val="22"/>
          <w:lang w:val="fr-CA"/>
        </w:rPr>
        <w:t xml:space="preserve">a discuté et exprimé sa préoccupation concernant les rapports </w:t>
      </w:r>
      <w:r w:rsidR="00742C1C">
        <w:rPr>
          <w:rFonts w:asciiTheme="majorHAnsi" w:hAnsiTheme="majorHAnsi"/>
          <w:szCs w:val="22"/>
          <w:lang w:val="fr-CA"/>
        </w:rPr>
        <w:t xml:space="preserve">sur la </w:t>
      </w:r>
      <w:r w:rsidR="00F80EF2">
        <w:rPr>
          <w:rFonts w:asciiTheme="majorHAnsi" w:hAnsiTheme="majorHAnsi"/>
          <w:szCs w:val="22"/>
          <w:lang w:val="fr-CA"/>
        </w:rPr>
        <w:t xml:space="preserve">propagation </w:t>
      </w:r>
      <w:r w:rsidR="00742C1C">
        <w:rPr>
          <w:rFonts w:asciiTheme="majorHAnsi" w:hAnsiTheme="majorHAnsi"/>
          <w:szCs w:val="22"/>
          <w:lang w:val="fr-CA"/>
        </w:rPr>
        <w:t>d’incendies</w:t>
      </w:r>
      <w:r w:rsidR="00F80EF2">
        <w:rPr>
          <w:rFonts w:asciiTheme="majorHAnsi" w:hAnsiTheme="majorHAnsi"/>
          <w:szCs w:val="22"/>
          <w:lang w:val="fr-CA"/>
        </w:rPr>
        <w:t xml:space="preserve"> non contrôlés dans les tourbières indonésiennes. Le GEST souhaite apporter toute assistance </w:t>
      </w:r>
      <w:r w:rsidR="00742C1C">
        <w:rPr>
          <w:rFonts w:asciiTheme="majorHAnsi" w:hAnsiTheme="majorHAnsi"/>
          <w:szCs w:val="22"/>
          <w:lang w:val="fr-CA"/>
        </w:rPr>
        <w:t>souhaitée</w:t>
      </w:r>
      <w:r w:rsidR="00F80EF2">
        <w:rPr>
          <w:rFonts w:asciiTheme="majorHAnsi" w:hAnsiTheme="majorHAnsi"/>
          <w:szCs w:val="22"/>
          <w:lang w:val="fr-CA"/>
        </w:rPr>
        <w:t xml:space="preserve"> et a demandé au Président du GEST de contacter le CN GEST pour l’Indonésie à cet égard. (Une copie du message au CN GEST se trouve en annexe 2 du présent rapport.) En outre, le GEST souhaitait s’assurer que le Comité permanent est conscient de la situation </w:t>
      </w:r>
      <w:r w:rsidR="00742C1C">
        <w:rPr>
          <w:rFonts w:asciiTheme="majorHAnsi" w:hAnsiTheme="majorHAnsi"/>
          <w:szCs w:val="22"/>
          <w:lang w:val="fr-CA"/>
        </w:rPr>
        <w:t>et</w:t>
      </w:r>
      <w:r w:rsidR="00F80EF2">
        <w:rPr>
          <w:rFonts w:asciiTheme="majorHAnsi" w:hAnsiTheme="majorHAnsi"/>
          <w:szCs w:val="22"/>
          <w:lang w:val="fr-CA"/>
        </w:rPr>
        <w:t xml:space="preserve"> envisage de publier sa propre déclaration </w:t>
      </w:r>
      <w:r w:rsidR="00742C1C">
        <w:rPr>
          <w:rFonts w:asciiTheme="majorHAnsi" w:hAnsiTheme="majorHAnsi"/>
          <w:szCs w:val="22"/>
          <w:lang w:val="fr-CA"/>
        </w:rPr>
        <w:t xml:space="preserve">sur ses </w:t>
      </w:r>
      <w:r w:rsidR="00F80EF2">
        <w:rPr>
          <w:rFonts w:asciiTheme="majorHAnsi" w:hAnsiTheme="majorHAnsi"/>
          <w:szCs w:val="22"/>
          <w:lang w:val="fr-CA"/>
        </w:rPr>
        <w:t>préoccupation</w:t>
      </w:r>
      <w:r w:rsidR="00742C1C">
        <w:rPr>
          <w:rFonts w:asciiTheme="majorHAnsi" w:hAnsiTheme="majorHAnsi"/>
          <w:szCs w:val="22"/>
          <w:lang w:val="fr-CA"/>
        </w:rPr>
        <w:t>s</w:t>
      </w:r>
      <w:r w:rsidR="00F80EF2">
        <w:rPr>
          <w:rFonts w:asciiTheme="majorHAnsi" w:hAnsiTheme="majorHAnsi"/>
          <w:szCs w:val="22"/>
          <w:lang w:val="fr-CA"/>
        </w:rPr>
        <w:t xml:space="preserve"> ou </w:t>
      </w:r>
      <w:r w:rsidR="00742C1C">
        <w:rPr>
          <w:rFonts w:asciiTheme="majorHAnsi" w:hAnsiTheme="majorHAnsi"/>
          <w:szCs w:val="22"/>
          <w:lang w:val="fr-CA"/>
        </w:rPr>
        <w:t xml:space="preserve">de </w:t>
      </w:r>
      <w:r w:rsidR="00F80EF2">
        <w:rPr>
          <w:rFonts w:asciiTheme="majorHAnsi" w:hAnsiTheme="majorHAnsi"/>
          <w:szCs w:val="22"/>
          <w:lang w:val="fr-CA"/>
        </w:rPr>
        <w:t xml:space="preserve">prendre toute action appropriée concernant les incendies de tourbières en Indonésie, dans le but d’offrir </w:t>
      </w:r>
      <w:r w:rsidR="00742C1C">
        <w:rPr>
          <w:rFonts w:asciiTheme="majorHAnsi" w:hAnsiTheme="majorHAnsi"/>
          <w:szCs w:val="22"/>
          <w:lang w:val="fr-CA"/>
        </w:rPr>
        <w:t>l’</w:t>
      </w:r>
      <w:r w:rsidR="00F80EF2">
        <w:rPr>
          <w:rFonts w:asciiTheme="majorHAnsi" w:hAnsiTheme="majorHAnsi"/>
          <w:szCs w:val="22"/>
          <w:lang w:val="fr-CA"/>
        </w:rPr>
        <w:t xml:space="preserve">appui des mécanismes de la Convention, y compris le GEST. </w:t>
      </w:r>
    </w:p>
    <w:p w14:paraId="740F2126" w14:textId="77777777" w:rsidR="001571F3" w:rsidRPr="0081702E" w:rsidRDefault="001571F3" w:rsidP="00914A1A">
      <w:pPr>
        <w:rPr>
          <w:rFonts w:asciiTheme="majorHAnsi" w:hAnsiTheme="majorHAnsi"/>
          <w:sz w:val="22"/>
          <w:szCs w:val="22"/>
          <w:lang w:val="fr-CA"/>
        </w:rPr>
      </w:pPr>
    </w:p>
    <w:p w14:paraId="0377A113" w14:textId="5ABAF567" w:rsidR="00914A1A" w:rsidRPr="0081702E" w:rsidRDefault="00F80EF2" w:rsidP="00914A1A">
      <w:pPr>
        <w:pStyle w:val="ListParagraph"/>
        <w:numPr>
          <w:ilvl w:val="0"/>
          <w:numId w:val="31"/>
        </w:numPr>
        <w:ind w:left="426" w:hanging="426"/>
        <w:rPr>
          <w:rFonts w:asciiTheme="majorHAnsi" w:hAnsiTheme="majorHAnsi"/>
          <w:szCs w:val="22"/>
          <w:lang w:val="fr-CA"/>
        </w:rPr>
      </w:pPr>
      <w:r>
        <w:rPr>
          <w:rFonts w:asciiTheme="majorHAnsi" w:hAnsiTheme="majorHAnsi"/>
          <w:szCs w:val="22"/>
          <w:lang w:val="fr-CA"/>
        </w:rPr>
        <w:t xml:space="preserve">Il est prévu que </w:t>
      </w:r>
      <w:r w:rsidR="00742C1C">
        <w:rPr>
          <w:rFonts w:asciiTheme="majorHAnsi" w:hAnsiTheme="majorHAnsi"/>
          <w:szCs w:val="22"/>
          <w:lang w:val="fr-CA"/>
        </w:rPr>
        <w:t>le GEST se réunisse (</w:t>
      </w:r>
      <w:r>
        <w:rPr>
          <w:rFonts w:asciiTheme="majorHAnsi" w:hAnsiTheme="majorHAnsi"/>
          <w:szCs w:val="22"/>
          <w:lang w:val="fr-CA"/>
        </w:rPr>
        <w:t>GEST20</w:t>
      </w:r>
      <w:r w:rsidR="00742C1C">
        <w:rPr>
          <w:rFonts w:asciiTheme="majorHAnsi" w:hAnsiTheme="majorHAnsi"/>
          <w:szCs w:val="22"/>
          <w:lang w:val="fr-CA"/>
        </w:rPr>
        <w:t xml:space="preserve">) </w:t>
      </w:r>
      <w:r>
        <w:rPr>
          <w:rFonts w:asciiTheme="majorHAnsi" w:hAnsiTheme="majorHAnsi"/>
          <w:szCs w:val="22"/>
          <w:lang w:val="fr-CA"/>
        </w:rPr>
        <w:t>en janvier 2017</w:t>
      </w:r>
      <w:r w:rsidR="00742C1C">
        <w:rPr>
          <w:rFonts w:asciiTheme="majorHAnsi" w:hAnsiTheme="majorHAnsi"/>
          <w:szCs w:val="22"/>
          <w:lang w:val="fr-CA"/>
        </w:rPr>
        <w:t>,</w:t>
      </w:r>
      <w:r>
        <w:rPr>
          <w:rFonts w:asciiTheme="majorHAnsi" w:hAnsiTheme="majorHAnsi"/>
          <w:szCs w:val="22"/>
          <w:lang w:val="fr-CA"/>
        </w:rPr>
        <w:t xml:space="preserve"> </w:t>
      </w:r>
      <w:r w:rsidR="00742C1C">
        <w:rPr>
          <w:rFonts w:asciiTheme="majorHAnsi" w:hAnsiTheme="majorHAnsi"/>
          <w:szCs w:val="22"/>
          <w:lang w:val="fr-CA"/>
        </w:rPr>
        <w:t xml:space="preserve">pour </w:t>
      </w:r>
      <w:r>
        <w:rPr>
          <w:rFonts w:asciiTheme="majorHAnsi" w:hAnsiTheme="majorHAnsi"/>
          <w:szCs w:val="22"/>
          <w:lang w:val="fr-CA"/>
        </w:rPr>
        <w:t xml:space="preserve">évaluer les progrès </w:t>
      </w:r>
      <w:r w:rsidR="00742C1C">
        <w:rPr>
          <w:rFonts w:asciiTheme="majorHAnsi" w:hAnsiTheme="majorHAnsi"/>
          <w:szCs w:val="22"/>
          <w:lang w:val="fr-CA"/>
        </w:rPr>
        <w:t xml:space="preserve">accomplis concernant </w:t>
      </w:r>
      <w:r>
        <w:rPr>
          <w:rFonts w:asciiTheme="majorHAnsi" w:hAnsiTheme="majorHAnsi"/>
          <w:szCs w:val="22"/>
          <w:lang w:val="fr-CA"/>
        </w:rPr>
        <w:t>le plan de travail approuvé.</w:t>
      </w:r>
    </w:p>
    <w:p w14:paraId="275ED3F4" w14:textId="019DF0D0" w:rsidR="001571F3" w:rsidRPr="0081702E" w:rsidRDefault="001571F3" w:rsidP="00914A1A">
      <w:pPr>
        <w:rPr>
          <w:rFonts w:asciiTheme="majorHAnsi" w:hAnsiTheme="majorHAnsi"/>
          <w:szCs w:val="22"/>
          <w:lang w:val="fr-CA"/>
        </w:rPr>
      </w:pPr>
    </w:p>
    <w:p w14:paraId="232C1449" w14:textId="77777777" w:rsidR="00914A1A" w:rsidRPr="0081702E" w:rsidRDefault="00914A1A" w:rsidP="00914A1A">
      <w:pPr>
        <w:rPr>
          <w:rFonts w:asciiTheme="majorHAnsi" w:hAnsiTheme="majorHAnsi"/>
          <w:szCs w:val="22"/>
          <w:lang w:val="fr-CA"/>
        </w:rPr>
      </w:pPr>
    </w:p>
    <w:p w14:paraId="379E8140" w14:textId="77777777" w:rsidR="00914A1A" w:rsidRPr="0081702E" w:rsidRDefault="00914A1A" w:rsidP="00914A1A">
      <w:pPr>
        <w:rPr>
          <w:rFonts w:asciiTheme="majorHAnsi" w:eastAsia="MS Mincho" w:hAnsiTheme="majorHAnsi"/>
          <w:sz w:val="22"/>
          <w:szCs w:val="22"/>
          <w:lang w:val="fr-CA" w:eastAsia="ja-JP"/>
        </w:rPr>
        <w:sectPr w:rsidR="00914A1A" w:rsidRPr="0081702E" w:rsidSect="00A94469">
          <w:footerReference w:type="default" r:id="rId9"/>
          <w:pgSz w:w="11907" w:h="16839" w:code="9"/>
          <w:pgMar w:top="1440" w:right="1440" w:bottom="1440" w:left="1440" w:header="720" w:footer="720" w:gutter="0"/>
          <w:cols w:space="720"/>
          <w:titlePg/>
          <w:docGrid w:linePitch="360"/>
        </w:sectPr>
      </w:pPr>
    </w:p>
    <w:p w14:paraId="42110D22" w14:textId="42CD2F62" w:rsidR="00914A1A" w:rsidRPr="0081702E" w:rsidRDefault="00914A1A" w:rsidP="00914A1A">
      <w:pPr>
        <w:rPr>
          <w:rFonts w:asciiTheme="majorHAnsi" w:hAnsiTheme="majorHAnsi" w:cs="Arial"/>
          <w:b/>
          <w:lang w:val="fr-CA"/>
        </w:rPr>
      </w:pPr>
      <w:r w:rsidRPr="0081702E">
        <w:rPr>
          <w:rFonts w:asciiTheme="majorHAnsi" w:hAnsiTheme="majorHAnsi" w:cs="Arial"/>
          <w:b/>
          <w:lang w:val="fr-CA"/>
        </w:rPr>
        <w:lastRenderedPageBreak/>
        <w:t>Annex</w:t>
      </w:r>
      <w:r w:rsidR="00F80EF2">
        <w:rPr>
          <w:rFonts w:asciiTheme="majorHAnsi" w:hAnsiTheme="majorHAnsi" w:cs="Arial"/>
          <w:b/>
          <w:lang w:val="fr-CA"/>
        </w:rPr>
        <w:t>e</w:t>
      </w:r>
      <w:r w:rsidR="00E01336" w:rsidRPr="0081702E">
        <w:rPr>
          <w:rFonts w:asciiTheme="majorHAnsi" w:hAnsiTheme="majorHAnsi" w:cs="Arial"/>
          <w:b/>
          <w:lang w:val="fr-CA"/>
        </w:rPr>
        <w:t xml:space="preserve"> </w:t>
      </w:r>
      <w:r w:rsidR="00F80EF2">
        <w:rPr>
          <w:rFonts w:asciiTheme="majorHAnsi" w:hAnsiTheme="majorHAnsi" w:cs="Arial"/>
          <w:b/>
          <w:lang w:val="fr-CA"/>
        </w:rPr>
        <w:t>1</w:t>
      </w:r>
    </w:p>
    <w:p w14:paraId="035C6CED" w14:textId="77777777" w:rsidR="00914A1A" w:rsidRPr="0081702E" w:rsidRDefault="00914A1A" w:rsidP="00914A1A">
      <w:pPr>
        <w:rPr>
          <w:rFonts w:asciiTheme="majorHAnsi" w:hAnsiTheme="majorHAnsi" w:cs="Arial"/>
          <w:b/>
          <w:lang w:val="fr-CA"/>
        </w:rPr>
      </w:pPr>
    </w:p>
    <w:p w14:paraId="233199F6" w14:textId="168ADE88" w:rsidR="00914A1A" w:rsidRPr="0081702E" w:rsidRDefault="00F80EF2" w:rsidP="00914A1A">
      <w:pPr>
        <w:rPr>
          <w:rFonts w:asciiTheme="majorHAnsi" w:hAnsiTheme="majorHAnsi" w:cs="Arial"/>
          <w:b/>
          <w:lang w:val="fr-CA"/>
        </w:rPr>
      </w:pPr>
      <w:r>
        <w:rPr>
          <w:rFonts w:asciiTheme="majorHAnsi" w:hAnsiTheme="majorHAnsi" w:cs="Arial"/>
          <w:b/>
          <w:lang w:val="fr-CA"/>
        </w:rPr>
        <w:t xml:space="preserve">Projet de plan de travail du GEST </w:t>
      </w:r>
      <w:r w:rsidR="00914A1A" w:rsidRPr="0081702E">
        <w:rPr>
          <w:rFonts w:asciiTheme="majorHAnsi" w:hAnsiTheme="majorHAnsi" w:cs="Arial"/>
          <w:b/>
          <w:lang w:val="fr-CA"/>
        </w:rPr>
        <w:t>2016-2018</w:t>
      </w:r>
    </w:p>
    <w:p w14:paraId="40EC2638" w14:textId="77777777" w:rsidR="00914A1A" w:rsidRPr="0081702E" w:rsidRDefault="00914A1A" w:rsidP="00914A1A">
      <w:pPr>
        <w:rPr>
          <w:rFonts w:asciiTheme="majorHAnsi" w:hAnsiTheme="majorHAnsi" w:cs="Arial"/>
          <w:sz w:val="20"/>
          <w:szCs w:val="20"/>
          <w:lang w:val="fr-CA"/>
        </w:rPr>
      </w:pPr>
    </w:p>
    <w:p w14:paraId="3E83007F" w14:textId="7E075F48" w:rsidR="00914A1A" w:rsidRPr="0081702E" w:rsidRDefault="00F80EF2" w:rsidP="00914A1A">
      <w:pPr>
        <w:rPr>
          <w:rFonts w:asciiTheme="majorHAnsi" w:eastAsia="Calibri" w:hAnsiTheme="majorHAnsi" w:cs="Calibri"/>
          <w:color w:val="000000"/>
          <w:sz w:val="22"/>
          <w:szCs w:val="22"/>
          <w:lang w:val="fr-CA"/>
        </w:rPr>
      </w:pPr>
      <w:r>
        <w:rPr>
          <w:rFonts w:asciiTheme="majorHAnsi" w:eastAsia="Calibri" w:hAnsiTheme="majorHAnsi" w:cs="Calibri"/>
          <w:color w:val="000000"/>
          <w:sz w:val="22"/>
          <w:szCs w:val="22"/>
          <w:lang w:val="fr-CA"/>
        </w:rPr>
        <w:t xml:space="preserve">Le GEST a préparé le présent plan de travail pour la période triennale </w:t>
      </w:r>
      <w:r w:rsidR="00914A1A" w:rsidRPr="0081702E">
        <w:rPr>
          <w:rFonts w:asciiTheme="majorHAnsi" w:eastAsia="Calibri" w:hAnsiTheme="majorHAnsi" w:cs="Calibri"/>
          <w:color w:val="000000"/>
          <w:sz w:val="22"/>
          <w:szCs w:val="22"/>
          <w:lang w:val="fr-CA"/>
        </w:rPr>
        <w:t>2016-2018</w:t>
      </w:r>
      <w:r w:rsidR="00E01336" w:rsidRPr="0081702E">
        <w:rPr>
          <w:rFonts w:asciiTheme="majorHAnsi" w:eastAsia="Calibri" w:hAnsiTheme="majorHAnsi" w:cs="Calibri"/>
          <w:color w:val="000000"/>
          <w:sz w:val="22"/>
          <w:szCs w:val="22"/>
          <w:lang w:val="fr-CA"/>
        </w:rPr>
        <w:t xml:space="preserve"> </w:t>
      </w:r>
      <w:r>
        <w:rPr>
          <w:rFonts w:asciiTheme="majorHAnsi" w:eastAsia="Calibri" w:hAnsiTheme="majorHAnsi" w:cs="Calibri"/>
          <w:color w:val="000000"/>
          <w:sz w:val="22"/>
          <w:szCs w:val="22"/>
          <w:lang w:val="fr-CA"/>
        </w:rPr>
        <w:t>à sa 19</w:t>
      </w:r>
      <w:r w:rsidRPr="00F80EF2">
        <w:rPr>
          <w:rFonts w:asciiTheme="majorHAnsi" w:eastAsia="Calibri" w:hAnsiTheme="majorHAnsi" w:cs="Calibri"/>
          <w:color w:val="000000"/>
          <w:sz w:val="22"/>
          <w:szCs w:val="22"/>
          <w:vertAlign w:val="superscript"/>
          <w:lang w:val="fr-CA"/>
        </w:rPr>
        <w:t>e</w:t>
      </w:r>
      <w:r>
        <w:rPr>
          <w:rFonts w:asciiTheme="majorHAnsi" w:eastAsia="Calibri" w:hAnsiTheme="majorHAnsi" w:cs="Calibri"/>
          <w:color w:val="000000"/>
          <w:sz w:val="22"/>
          <w:szCs w:val="22"/>
          <w:lang w:val="fr-CA"/>
        </w:rPr>
        <w:t> Réunion (2 au 6 novembre 2015) pour approbation par le Comité permanent à sa 51</w:t>
      </w:r>
      <w:r w:rsidRPr="00F80EF2">
        <w:rPr>
          <w:rFonts w:asciiTheme="majorHAnsi" w:eastAsia="Calibri" w:hAnsiTheme="majorHAnsi" w:cs="Calibri"/>
          <w:color w:val="000000"/>
          <w:sz w:val="22"/>
          <w:szCs w:val="22"/>
          <w:vertAlign w:val="superscript"/>
          <w:lang w:val="fr-CA"/>
        </w:rPr>
        <w:t>e</w:t>
      </w:r>
      <w:r>
        <w:rPr>
          <w:rFonts w:asciiTheme="majorHAnsi" w:eastAsia="Calibri" w:hAnsiTheme="majorHAnsi" w:cs="Calibri"/>
          <w:color w:val="000000"/>
          <w:sz w:val="22"/>
          <w:szCs w:val="22"/>
          <w:lang w:val="fr-CA"/>
        </w:rPr>
        <w:t> Réunion (24 au 27 novembre 2015), conformément à la Résolution</w:t>
      </w:r>
      <w:r w:rsidR="007A5CFB">
        <w:rPr>
          <w:rFonts w:asciiTheme="majorHAnsi" w:eastAsia="Calibri" w:hAnsiTheme="majorHAnsi" w:cs="Calibri"/>
          <w:color w:val="000000"/>
          <w:sz w:val="22"/>
          <w:szCs w:val="22"/>
          <w:lang w:val="fr-CA"/>
        </w:rPr>
        <w:t xml:space="preserve"> </w:t>
      </w:r>
      <w:r w:rsidR="00914A1A" w:rsidRPr="0081702E">
        <w:rPr>
          <w:rFonts w:asciiTheme="majorHAnsi" w:eastAsia="Calibri" w:hAnsiTheme="majorHAnsi" w:cs="Calibri"/>
          <w:color w:val="000000"/>
          <w:sz w:val="22"/>
          <w:szCs w:val="22"/>
          <w:lang w:val="fr-CA"/>
        </w:rPr>
        <w:t>XII.</w:t>
      </w:r>
      <w:r w:rsidR="00E01336" w:rsidRPr="0081702E">
        <w:rPr>
          <w:rFonts w:asciiTheme="majorHAnsi" w:eastAsia="Calibri" w:hAnsiTheme="majorHAnsi" w:cs="Calibri"/>
          <w:color w:val="000000"/>
          <w:sz w:val="22"/>
          <w:szCs w:val="22"/>
          <w:lang w:val="fr-CA"/>
        </w:rPr>
        <w:t xml:space="preserve"> </w:t>
      </w:r>
      <w:r w:rsidR="00914A1A" w:rsidRPr="0081702E">
        <w:rPr>
          <w:rFonts w:asciiTheme="majorHAnsi" w:eastAsia="Calibri" w:hAnsiTheme="majorHAnsi" w:cs="Calibri"/>
          <w:color w:val="000000"/>
          <w:sz w:val="22"/>
          <w:szCs w:val="22"/>
          <w:lang w:val="fr-CA"/>
        </w:rPr>
        <w:t>5</w:t>
      </w:r>
      <w:r w:rsidR="00E01336" w:rsidRPr="0081702E">
        <w:rPr>
          <w:rFonts w:asciiTheme="majorHAnsi" w:eastAsia="Calibri" w:hAnsiTheme="majorHAnsi" w:cs="Calibri"/>
          <w:color w:val="000000"/>
          <w:sz w:val="22"/>
          <w:szCs w:val="22"/>
          <w:lang w:val="fr-CA"/>
        </w:rPr>
        <w:t xml:space="preserve"> </w:t>
      </w:r>
      <w:r w:rsidR="00914A1A" w:rsidRPr="0081702E">
        <w:rPr>
          <w:rFonts w:asciiTheme="majorHAnsi" w:eastAsia="Calibri" w:hAnsiTheme="majorHAnsi" w:cs="Calibri"/>
          <w:color w:val="000000"/>
          <w:sz w:val="22"/>
          <w:szCs w:val="22"/>
          <w:lang w:val="fr-CA"/>
        </w:rPr>
        <w:t>(Annex</w:t>
      </w:r>
      <w:r>
        <w:rPr>
          <w:rFonts w:asciiTheme="majorHAnsi" w:eastAsia="Calibri" w:hAnsiTheme="majorHAnsi" w:cs="Calibri"/>
          <w:color w:val="000000"/>
          <w:sz w:val="22"/>
          <w:szCs w:val="22"/>
          <w:lang w:val="fr-CA"/>
        </w:rPr>
        <w:t>e</w:t>
      </w:r>
      <w:r w:rsidR="00E01336" w:rsidRPr="0081702E">
        <w:rPr>
          <w:rFonts w:asciiTheme="majorHAnsi" w:eastAsia="Calibri" w:hAnsiTheme="majorHAnsi" w:cs="Calibri"/>
          <w:color w:val="000000"/>
          <w:sz w:val="22"/>
          <w:szCs w:val="22"/>
          <w:lang w:val="fr-CA"/>
        </w:rPr>
        <w:t xml:space="preserve"> </w:t>
      </w:r>
      <w:r w:rsidR="00914A1A" w:rsidRPr="0081702E">
        <w:rPr>
          <w:rFonts w:asciiTheme="majorHAnsi" w:eastAsia="Calibri" w:hAnsiTheme="majorHAnsi" w:cs="Calibri"/>
          <w:color w:val="000000"/>
          <w:sz w:val="22"/>
          <w:szCs w:val="22"/>
          <w:lang w:val="fr-CA"/>
        </w:rPr>
        <w:t>I,</w:t>
      </w:r>
      <w:r w:rsidR="00E01336" w:rsidRPr="0081702E">
        <w:rPr>
          <w:rFonts w:asciiTheme="majorHAnsi" w:eastAsia="Calibri" w:hAnsiTheme="majorHAnsi" w:cs="Calibri"/>
          <w:color w:val="000000"/>
          <w:sz w:val="22"/>
          <w:szCs w:val="22"/>
          <w:lang w:val="fr-CA"/>
        </w:rPr>
        <w:t xml:space="preserve"> </w:t>
      </w:r>
      <w:r w:rsidR="00914A1A" w:rsidRPr="0081702E">
        <w:rPr>
          <w:rFonts w:asciiTheme="majorHAnsi" w:eastAsia="Calibri" w:hAnsiTheme="majorHAnsi" w:cs="Calibri"/>
          <w:color w:val="000000"/>
          <w:sz w:val="22"/>
          <w:szCs w:val="22"/>
          <w:lang w:val="fr-CA"/>
        </w:rPr>
        <w:t>paragraph</w:t>
      </w:r>
      <w:r>
        <w:rPr>
          <w:rFonts w:asciiTheme="majorHAnsi" w:eastAsia="Calibri" w:hAnsiTheme="majorHAnsi" w:cs="Calibri"/>
          <w:color w:val="000000"/>
          <w:sz w:val="22"/>
          <w:szCs w:val="22"/>
          <w:lang w:val="fr-CA"/>
        </w:rPr>
        <w:t>e</w:t>
      </w:r>
      <w:r w:rsidR="00E01336" w:rsidRPr="0081702E">
        <w:rPr>
          <w:rFonts w:asciiTheme="majorHAnsi" w:eastAsia="Calibri" w:hAnsiTheme="majorHAnsi" w:cs="Calibri"/>
          <w:color w:val="000000"/>
          <w:sz w:val="22"/>
          <w:szCs w:val="22"/>
          <w:lang w:val="fr-CA"/>
        </w:rPr>
        <w:t xml:space="preserve"> </w:t>
      </w:r>
      <w:r w:rsidR="00914A1A" w:rsidRPr="0081702E">
        <w:rPr>
          <w:rFonts w:asciiTheme="majorHAnsi" w:eastAsia="Calibri" w:hAnsiTheme="majorHAnsi" w:cs="Calibri"/>
          <w:color w:val="000000"/>
          <w:sz w:val="22"/>
          <w:szCs w:val="22"/>
          <w:lang w:val="fr-CA"/>
        </w:rPr>
        <w:t>49),</w:t>
      </w:r>
      <w:r w:rsidR="00E01336" w:rsidRPr="0081702E">
        <w:rPr>
          <w:rFonts w:asciiTheme="majorHAnsi" w:eastAsia="Calibri" w:hAnsiTheme="majorHAnsi" w:cs="Calibri"/>
          <w:color w:val="000000"/>
          <w:sz w:val="22"/>
          <w:szCs w:val="22"/>
          <w:lang w:val="fr-CA"/>
        </w:rPr>
        <w:t xml:space="preserve"> </w:t>
      </w:r>
      <w:r>
        <w:rPr>
          <w:rFonts w:asciiTheme="majorHAnsi" w:eastAsia="Calibri" w:hAnsiTheme="majorHAnsi" w:cs="Calibri"/>
          <w:color w:val="000000"/>
          <w:sz w:val="22"/>
          <w:szCs w:val="22"/>
          <w:lang w:val="fr-CA"/>
        </w:rPr>
        <w:t xml:space="preserve">en tenant compte des cinq domaines de travail thématiques prioritaires approuvés par les Parties contractantes à la </w:t>
      </w:r>
      <w:r w:rsidR="00914A1A" w:rsidRPr="0081702E">
        <w:rPr>
          <w:rFonts w:asciiTheme="majorHAnsi" w:eastAsia="Calibri" w:hAnsiTheme="majorHAnsi" w:cs="Calibri"/>
          <w:color w:val="000000"/>
          <w:sz w:val="22"/>
          <w:szCs w:val="22"/>
          <w:lang w:val="fr-CA"/>
        </w:rPr>
        <w:t>COP12</w:t>
      </w:r>
      <w:r w:rsidR="00E01336" w:rsidRPr="0081702E">
        <w:rPr>
          <w:rFonts w:asciiTheme="majorHAnsi" w:eastAsia="Calibri" w:hAnsiTheme="majorHAnsi" w:cs="Calibri"/>
          <w:color w:val="000000"/>
          <w:sz w:val="22"/>
          <w:szCs w:val="22"/>
          <w:lang w:val="fr-CA"/>
        </w:rPr>
        <w:t xml:space="preserve"> </w:t>
      </w:r>
      <w:r w:rsidR="00914A1A" w:rsidRPr="0081702E">
        <w:rPr>
          <w:rFonts w:asciiTheme="majorHAnsi" w:eastAsia="Calibri" w:hAnsiTheme="majorHAnsi" w:cs="Calibri"/>
          <w:color w:val="000000"/>
          <w:sz w:val="22"/>
          <w:szCs w:val="22"/>
          <w:lang w:val="fr-CA"/>
        </w:rPr>
        <w:t>(Annex</w:t>
      </w:r>
      <w:r>
        <w:rPr>
          <w:rFonts w:asciiTheme="majorHAnsi" w:eastAsia="Calibri" w:hAnsiTheme="majorHAnsi" w:cs="Calibri"/>
          <w:color w:val="000000"/>
          <w:sz w:val="22"/>
          <w:szCs w:val="22"/>
          <w:lang w:val="fr-CA"/>
        </w:rPr>
        <w:t>e</w:t>
      </w:r>
      <w:r w:rsidR="00E01336" w:rsidRPr="0081702E">
        <w:rPr>
          <w:rFonts w:asciiTheme="majorHAnsi" w:eastAsia="Calibri" w:hAnsiTheme="majorHAnsi" w:cs="Calibri"/>
          <w:color w:val="000000"/>
          <w:sz w:val="22"/>
          <w:szCs w:val="22"/>
          <w:lang w:val="fr-CA"/>
        </w:rPr>
        <w:t xml:space="preserve"> </w:t>
      </w:r>
      <w:r w:rsidR="00914A1A" w:rsidRPr="0081702E">
        <w:rPr>
          <w:rFonts w:asciiTheme="majorHAnsi" w:eastAsia="Calibri" w:hAnsiTheme="majorHAnsi" w:cs="Calibri"/>
          <w:color w:val="000000"/>
          <w:sz w:val="22"/>
          <w:szCs w:val="22"/>
          <w:lang w:val="fr-CA"/>
        </w:rPr>
        <w:t>III),</w:t>
      </w:r>
      <w:r w:rsidR="00E01336" w:rsidRPr="0081702E">
        <w:rPr>
          <w:rFonts w:asciiTheme="majorHAnsi" w:eastAsia="Calibri" w:hAnsiTheme="majorHAnsi" w:cs="Calibri"/>
          <w:color w:val="000000"/>
          <w:sz w:val="22"/>
          <w:szCs w:val="22"/>
          <w:lang w:val="fr-CA"/>
        </w:rPr>
        <w:t xml:space="preserve"> </w:t>
      </w:r>
      <w:r w:rsidR="005C7E58">
        <w:rPr>
          <w:rFonts w:asciiTheme="majorHAnsi" w:eastAsia="Calibri" w:hAnsiTheme="majorHAnsi" w:cs="Calibri"/>
          <w:color w:val="000000"/>
          <w:sz w:val="22"/>
          <w:szCs w:val="22"/>
          <w:lang w:val="fr-CA"/>
        </w:rPr>
        <w:t>du</w:t>
      </w:r>
      <w:r>
        <w:rPr>
          <w:rFonts w:asciiTheme="majorHAnsi" w:eastAsia="Calibri" w:hAnsiTheme="majorHAnsi" w:cs="Calibri"/>
          <w:color w:val="000000"/>
          <w:sz w:val="22"/>
          <w:szCs w:val="22"/>
          <w:lang w:val="fr-CA"/>
        </w:rPr>
        <w:t xml:space="preserve"> 4</w:t>
      </w:r>
      <w:r w:rsidRPr="00F80EF2">
        <w:rPr>
          <w:rFonts w:asciiTheme="majorHAnsi" w:eastAsia="Calibri" w:hAnsiTheme="majorHAnsi" w:cs="Calibri"/>
          <w:color w:val="000000"/>
          <w:sz w:val="22"/>
          <w:szCs w:val="22"/>
          <w:vertAlign w:val="superscript"/>
          <w:lang w:val="fr-CA"/>
        </w:rPr>
        <w:t>e</w:t>
      </w:r>
      <w:r>
        <w:rPr>
          <w:rFonts w:asciiTheme="majorHAnsi" w:eastAsia="Calibri" w:hAnsiTheme="majorHAnsi" w:cs="Calibri"/>
          <w:color w:val="000000"/>
          <w:sz w:val="22"/>
          <w:szCs w:val="22"/>
          <w:lang w:val="fr-CA"/>
        </w:rPr>
        <w:t> Plan stratégique Ramsar 2016</w:t>
      </w:r>
      <w:r>
        <w:rPr>
          <w:rFonts w:asciiTheme="majorHAnsi" w:eastAsia="Calibri" w:hAnsiTheme="majorHAnsi" w:cs="Calibri"/>
          <w:color w:val="000000"/>
          <w:sz w:val="22"/>
          <w:szCs w:val="22"/>
          <w:lang w:val="fr-CA"/>
        </w:rPr>
        <w:noBreakHyphen/>
      </w:r>
      <w:r w:rsidR="00914A1A" w:rsidRPr="0081702E">
        <w:rPr>
          <w:rFonts w:asciiTheme="majorHAnsi" w:eastAsia="Calibri" w:hAnsiTheme="majorHAnsi" w:cs="Calibri"/>
          <w:color w:val="000000"/>
          <w:sz w:val="22"/>
          <w:szCs w:val="22"/>
          <w:lang w:val="fr-CA"/>
        </w:rPr>
        <w:t>2024</w:t>
      </w:r>
      <w:r w:rsidR="00E01336" w:rsidRPr="0081702E">
        <w:rPr>
          <w:rFonts w:asciiTheme="majorHAnsi" w:eastAsia="Calibri" w:hAnsiTheme="majorHAnsi" w:cs="Calibri"/>
          <w:color w:val="000000"/>
          <w:sz w:val="22"/>
          <w:szCs w:val="22"/>
          <w:lang w:val="fr-CA"/>
        </w:rPr>
        <w:t xml:space="preserve"> </w:t>
      </w:r>
      <w:r w:rsidR="00914A1A" w:rsidRPr="0081702E">
        <w:rPr>
          <w:rFonts w:asciiTheme="majorHAnsi" w:eastAsia="Calibri" w:hAnsiTheme="majorHAnsi" w:cs="Calibri"/>
          <w:color w:val="000000"/>
          <w:sz w:val="22"/>
          <w:szCs w:val="22"/>
          <w:lang w:val="fr-CA"/>
        </w:rPr>
        <w:t>(</w:t>
      </w:r>
      <w:r w:rsidRPr="0081702E">
        <w:rPr>
          <w:rFonts w:asciiTheme="majorHAnsi" w:eastAsia="Calibri" w:hAnsiTheme="majorHAnsi" w:cs="Calibri"/>
          <w:color w:val="000000"/>
          <w:sz w:val="22"/>
          <w:szCs w:val="22"/>
          <w:lang w:val="fr-CA"/>
        </w:rPr>
        <w:t>Résolution</w:t>
      </w:r>
      <w:r>
        <w:rPr>
          <w:rFonts w:asciiTheme="majorHAnsi" w:eastAsia="Calibri" w:hAnsiTheme="majorHAnsi" w:cs="Calibri"/>
          <w:color w:val="000000"/>
          <w:sz w:val="22"/>
          <w:szCs w:val="22"/>
          <w:lang w:val="fr-CA"/>
        </w:rPr>
        <w:t> </w:t>
      </w:r>
      <w:r w:rsidR="00914A1A" w:rsidRPr="0081702E">
        <w:rPr>
          <w:rFonts w:asciiTheme="majorHAnsi" w:eastAsia="Calibri" w:hAnsiTheme="majorHAnsi" w:cs="Calibri"/>
          <w:color w:val="000000"/>
          <w:sz w:val="22"/>
          <w:szCs w:val="22"/>
          <w:lang w:val="fr-CA"/>
        </w:rPr>
        <w:t>XII.2)</w:t>
      </w:r>
      <w:r>
        <w:rPr>
          <w:rFonts w:asciiTheme="majorHAnsi" w:eastAsia="Calibri" w:hAnsiTheme="majorHAnsi" w:cs="Calibri"/>
          <w:color w:val="000000"/>
          <w:sz w:val="22"/>
          <w:szCs w:val="22"/>
          <w:lang w:val="fr-CA"/>
        </w:rPr>
        <w:t xml:space="preserve"> et des demandes formulées par les Parties contractantes dans les Résolutions de la </w:t>
      </w:r>
      <w:r w:rsidR="00914A1A" w:rsidRPr="0081702E">
        <w:rPr>
          <w:rFonts w:asciiTheme="majorHAnsi" w:eastAsia="Calibri" w:hAnsiTheme="majorHAnsi" w:cs="Calibri"/>
          <w:color w:val="000000"/>
          <w:sz w:val="22"/>
          <w:szCs w:val="22"/>
          <w:lang w:val="fr-CA"/>
        </w:rPr>
        <w:t>COP12.</w:t>
      </w:r>
      <w:r w:rsidR="00E01336" w:rsidRPr="0081702E">
        <w:rPr>
          <w:rFonts w:asciiTheme="majorHAnsi" w:eastAsia="Calibri" w:hAnsiTheme="majorHAnsi" w:cs="Calibri"/>
          <w:color w:val="000000"/>
          <w:sz w:val="22"/>
          <w:szCs w:val="22"/>
          <w:lang w:val="fr-CA"/>
        </w:rPr>
        <w:t xml:space="preserve"> </w:t>
      </w:r>
    </w:p>
    <w:p w14:paraId="165B3316" w14:textId="77777777" w:rsidR="0085476E" w:rsidRDefault="0085476E" w:rsidP="00914A1A">
      <w:pPr>
        <w:rPr>
          <w:rFonts w:asciiTheme="majorHAnsi" w:eastAsia="Calibri" w:hAnsiTheme="majorHAnsi" w:cs="Calibri"/>
          <w:color w:val="000000"/>
          <w:sz w:val="22"/>
          <w:szCs w:val="22"/>
          <w:lang w:val="fr-CA"/>
        </w:rPr>
      </w:pPr>
    </w:p>
    <w:p w14:paraId="42B6CCEC" w14:textId="3E27657C" w:rsidR="00914A1A" w:rsidRPr="0081702E" w:rsidRDefault="0085476E" w:rsidP="00914A1A">
      <w:pPr>
        <w:rPr>
          <w:rFonts w:asciiTheme="majorHAnsi" w:eastAsia="Calibri" w:hAnsiTheme="majorHAnsi" w:cs="Calibri"/>
          <w:color w:val="000000"/>
          <w:sz w:val="22"/>
          <w:szCs w:val="22"/>
          <w:lang w:val="fr-CA"/>
        </w:rPr>
      </w:pPr>
      <w:r w:rsidRPr="0085476E">
        <w:rPr>
          <w:rFonts w:asciiTheme="majorHAnsi" w:eastAsia="Calibri" w:hAnsiTheme="majorHAnsi" w:cs="Calibri"/>
          <w:color w:val="000000"/>
          <w:sz w:val="22"/>
          <w:szCs w:val="22"/>
          <w:lang w:val="fr-CA"/>
        </w:rPr>
        <w:t>Outre les tâches spécifiques décrites dans le projet de plan de travail, il importe de rappeler que dans la Résolution XII.5 [Annexe I, paragraphes 2, 12 v), 15 et 38], différentes fonctions consultatives fondamentales du GEST sont mentionnées. Celles</w:t>
      </w:r>
      <w:r>
        <w:rPr>
          <w:rFonts w:asciiTheme="majorHAnsi" w:eastAsia="Calibri" w:hAnsiTheme="majorHAnsi" w:cs="Calibri"/>
          <w:color w:val="000000"/>
          <w:sz w:val="22"/>
          <w:szCs w:val="22"/>
          <w:lang w:val="fr-CA"/>
        </w:rPr>
        <w:t>-</w:t>
      </w:r>
      <w:r w:rsidRPr="0085476E">
        <w:rPr>
          <w:rFonts w:asciiTheme="majorHAnsi" w:eastAsia="Calibri" w:hAnsiTheme="majorHAnsi" w:cs="Calibri"/>
          <w:color w:val="000000"/>
          <w:sz w:val="22"/>
          <w:szCs w:val="22"/>
          <w:lang w:val="fr-CA"/>
        </w:rPr>
        <w:t>ci comprennent, entre autres : répondre aux demandes d’avis ou de participation du Secrétariat (y compris pour le Programme de CESP et les indicateurs du 4</w:t>
      </w:r>
      <w:r w:rsidRPr="0085476E">
        <w:rPr>
          <w:rFonts w:asciiTheme="majorHAnsi" w:eastAsia="Calibri" w:hAnsiTheme="majorHAnsi" w:cs="Calibri"/>
          <w:color w:val="000000"/>
          <w:sz w:val="22"/>
          <w:szCs w:val="22"/>
          <w:vertAlign w:val="superscript"/>
          <w:lang w:val="fr-CA"/>
        </w:rPr>
        <w:t>e</w:t>
      </w:r>
      <w:r w:rsidRPr="0085476E">
        <w:rPr>
          <w:rFonts w:asciiTheme="majorHAnsi" w:eastAsia="Calibri" w:hAnsiTheme="majorHAnsi" w:cs="Calibri"/>
          <w:color w:val="000000"/>
          <w:sz w:val="22"/>
          <w:szCs w:val="22"/>
          <w:lang w:val="fr-CA"/>
        </w:rPr>
        <w:t xml:space="preserve"> Plan stratégique) et du Comité permanent; rédiger (à la demande des Parties contractantes) des projets de résolutions soumis par les Parties contractantes ou contribuer à leur rédaction; répondre à des demandes spécifiques d’avis des Parties contractantes; participer aux missions consultatives Ramsar sur demande; donner des conseils concernant les demandes de suppression de Sites Ramsar du Registre de Montreux; siéger au Comité consultatif indépendant pour le label Ville des zones humides accréditée; et fournir des avis sur les questions émergentes</w:t>
      </w:r>
      <w:r w:rsidR="00F80EF2" w:rsidRPr="00F80EF2">
        <w:rPr>
          <w:rFonts w:asciiTheme="majorHAnsi" w:eastAsia="Calibri" w:hAnsiTheme="majorHAnsi" w:cs="Calibri"/>
          <w:color w:val="000000"/>
          <w:sz w:val="22"/>
          <w:szCs w:val="22"/>
          <w:lang w:val="fr-CA"/>
        </w:rPr>
        <w:t>.</w:t>
      </w:r>
    </w:p>
    <w:p w14:paraId="26DF5653" w14:textId="77777777" w:rsidR="00914A1A" w:rsidRPr="0081702E" w:rsidRDefault="00914A1A" w:rsidP="00914A1A">
      <w:pPr>
        <w:rPr>
          <w:rFonts w:asciiTheme="majorHAnsi" w:hAnsiTheme="majorHAnsi" w:cs="Tahoma"/>
          <w:color w:val="000000"/>
          <w:sz w:val="22"/>
          <w:szCs w:val="22"/>
          <w:lang w:val="fr-CA"/>
        </w:rPr>
      </w:pPr>
    </w:p>
    <w:p w14:paraId="79E049D4" w14:textId="6A0AD055" w:rsidR="00914A1A" w:rsidRPr="0081702E" w:rsidRDefault="00F80EF2" w:rsidP="00914A1A">
      <w:pPr>
        <w:rPr>
          <w:rFonts w:asciiTheme="majorHAnsi" w:hAnsiTheme="majorHAnsi" w:cs="Arial"/>
          <w:sz w:val="22"/>
          <w:szCs w:val="22"/>
          <w:lang w:val="fr-CA"/>
        </w:rPr>
      </w:pPr>
      <w:r>
        <w:rPr>
          <w:rFonts w:asciiTheme="majorHAnsi" w:hAnsiTheme="majorHAnsi" w:cs="Tahoma"/>
          <w:color w:val="000000"/>
          <w:sz w:val="22"/>
          <w:szCs w:val="22"/>
          <w:shd w:val="clear" w:color="auto" w:fill="FFFFFF"/>
          <w:lang w:val="fr-CA"/>
        </w:rPr>
        <w:t xml:space="preserve">Le budget indicatif </w:t>
      </w:r>
      <w:r w:rsidR="00C769FD">
        <w:rPr>
          <w:rFonts w:asciiTheme="majorHAnsi" w:hAnsiTheme="majorHAnsi" w:cs="Tahoma"/>
          <w:color w:val="000000"/>
          <w:sz w:val="22"/>
          <w:szCs w:val="22"/>
          <w:shd w:val="clear" w:color="auto" w:fill="FFFFFF"/>
          <w:lang w:val="fr-CA"/>
        </w:rPr>
        <w:t xml:space="preserve">pour </w:t>
      </w:r>
      <w:r w:rsidR="005C7E58">
        <w:rPr>
          <w:rFonts w:asciiTheme="majorHAnsi" w:hAnsiTheme="majorHAnsi" w:cs="Tahoma"/>
          <w:color w:val="000000"/>
          <w:sz w:val="22"/>
          <w:szCs w:val="22"/>
          <w:shd w:val="clear" w:color="auto" w:fill="FFFFFF"/>
          <w:lang w:val="fr-CA"/>
        </w:rPr>
        <w:t>l’exécution des</w:t>
      </w:r>
      <w:r w:rsidR="00C769FD">
        <w:rPr>
          <w:rFonts w:asciiTheme="majorHAnsi" w:hAnsiTheme="majorHAnsi" w:cs="Tahoma"/>
          <w:color w:val="000000"/>
          <w:sz w:val="22"/>
          <w:szCs w:val="22"/>
          <w:shd w:val="clear" w:color="auto" w:fill="FFFFFF"/>
          <w:lang w:val="fr-CA"/>
        </w:rPr>
        <w:t xml:space="preserve"> tâches </w:t>
      </w:r>
      <w:r w:rsidR="00C769FD" w:rsidRPr="00C769FD">
        <w:rPr>
          <w:rFonts w:asciiTheme="majorHAnsi" w:hAnsiTheme="majorHAnsi" w:cs="Tahoma"/>
          <w:b/>
          <w:color w:val="000000"/>
          <w:sz w:val="22"/>
          <w:szCs w:val="22"/>
          <w:shd w:val="clear" w:color="auto" w:fill="FFFFFF"/>
          <w:lang w:val="fr-CA"/>
        </w:rPr>
        <w:t>présume</w:t>
      </w:r>
      <w:r w:rsidR="00C769FD">
        <w:rPr>
          <w:rFonts w:asciiTheme="majorHAnsi" w:hAnsiTheme="majorHAnsi" w:cs="Tahoma"/>
          <w:color w:val="000000"/>
          <w:sz w:val="22"/>
          <w:szCs w:val="22"/>
          <w:shd w:val="clear" w:color="auto" w:fill="FFFFFF"/>
          <w:lang w:val="fr-CA"/>
        </w:rPr>
        <w:t xml:space="preserve"> généralement que les coûts de mise en pages, conception, révision, traduction et publication s’élèvent à </w:t>
      </w:r>
      <w:r w:rsidR="00C769FD">
        <w:rPr>
          <w:rFonts w:asciiTheme="majorHAnsi" w:hAnsiTheme="majorHAnsi" w:cs="Arial"/>
          <w:sz w:val="22"/>
          <w:szCs w:val="22"/>
          <w:lang w:val="fr-CA"/>
        </w:rPr>
        <w:t>6</w:t>
      </w:r>
      <w:r w:rsidR="00914A1A" w:rsidRPr="0081702E">
        <w:rPr>
          <w:rFonts w:asciiTheme="majorHAnsi" w:hAnsiTheme="majorHAnsi" w:cs="Arial"/>
          <w:sz w:val="22"/>
          <w:szCs w:val="22"/>
          <w:lang w:val="fr-CA"/>
        </w:rPr>
        <w:t>000</w:t>
      </w:r>
      <w:r w:rsidR="00C769FD">
        <w:rPr>
          <w:rFonts w:asciiTheme="majorHAnsi" w:hAnsiTheme="majorHAnsi" w:cs="Arial"/>
          <w:sz w:val="22"/>
          <w:szCs w:val="22"/>
          <w:lang w:val="fr-CA"/>
        </w:rPr>
        <w:t xml:space="preserve"> CHF pour une fiche technique, </w:t>
      </w:r>
      <w:r w:rsidR="00914A1A" w:rsidRPr="0081702E">
        <w:rPr>
          <w:rFonts w:asciiTheme="majorHAnsi" w:hAnsiTheme="majorHAnsi" w:cs="Arial"/>
          <w:sz w:val="22"/>
          <w:szCs w:val="22"/>
          <w:lang w:val="fr-CA"/>
        </w:rPr>
        <w:t>9000</w:t>
      </w:r>
      <w:r w:rsidR="00C769FD">
        <w:rPr>
          <w:rFonts w:asciiTheme="majorHAnsi" w:hAnsiTheme="majorHAnsi" w:cs="Arial"/>
          <w:sz w:val="22"/>
          <w:szCs w:val="22"/>
          <w:lang w:val="fr-CA"/>
        </w:rPr>
        <w:t xml:space="preserve"> CHF pour un document d’orientation, </w:t>
      </w:r>
      <w:r w:rsidR="00914A1A" w:rsidRPr="0081702E">
        <w:rPr>
          <w:rFonts w:asciiTheme="majorHAnsi" w:hAnsiTheme="majorHAnsi" w:cs="Arial"/>
          <w:sz w:val="22"/>
          <w:szCs w:val="22"/>
          <w:lang w:val="fr-CA"/>
        </w:rPr>
        <w:t>13</w:t>
      </w:r>
      <w:r w:rsidR="00C769FD">
        <w:rPr>
          <w:rFonts w:asciiTheme="majorHAnsi" w:hAnsiTheme="majorHAnsi" w:cs="Arial"/>
          <w:sz w:val="22"/>
          <w:szCs w:val="22"/>
          <w:lang w:val="fr-CA"/>
        </w:rPr>
        <w:t> </w:t>
      </w:r>
      <w:r w:rsidR="00914A1A" w:rsidRPr="0081702E">
        <w:rPr>
          <w:rFonts w:asciiTheme="majorHAnsi" w:hAnsiTheme="majorHAnsi" w:cs="Arial"/>
          <w:sz w:val="22"/>
          <w:szCs w:val="22"/>
          <w:lang w:val="fr-CA"/>
        </w:rPr>
        <w:t>000</w:t>
      </w:r>
      <w:r w:rsidR="00C769FD">
        <w:rPr>
          <w:rFonts w:asciiTheme="majorHAnsi" w:hAnsiTheme="majorHAnsi" w:cs="Arial"/>
          <w:sz w:val="22"/>
          <w:szCs w:val="22"/>
          <w:lang w:val="fr-CA"/>
        </w:rPr>
        <w:t xml:space="preserve"> CHF pour une note d’information et </w:t>
      </w:r>
      <w:r w:rsidR="00914A1A" w:rsidRPr="0081702E">
        <w:rPr>
          <w:rFonts w:asciiTheme="majorHAnsi" w:hAnsiTheme="majorHAnsi" w:cs="Arial"/>
          <w:sz w:val="22"/>
          <w:szCs w:val="22"/>
          <w:lang w:val="fr-CA"/>
        </w:rPr>
        <w:t>33</w:t>
      </w:r>
      <w:r w:rsidR="00C769FD">
        <w:rPr>
          <w:rFonts w:asciiTheme="majorHAnsi" w:hAnsiTheme="majorHAnsi" w:cs="Arial"/>
          <w:sz w:val="22"/>
          <w:szCs w:val="22"/>
          <w:lang w:val="fr-CA"/>
        </w:rPr>
        <w:t> </w:t>
      </w:r>
      <w:r w:rsidR="00914A1A" w:rsidRPr="0081702E">
        <w:rPr>
          <w:rFonts w:asciiTheme="majorHAnsi" w:hAnsiTheme="majorHAnsi" w:cs="Arial"/>
          <w:sz w:val="22"/>
          <w:szCs w:val="22"/>
          <w:lang w:val="fr-CA"/>
        </w:rPr>
        <w:t>500</w:t>
      </w:r>
      <w:r w:rsidR="00C769FD">
        <w:rPr>
          <w:rFonts w:asciiTheme="majorHAnsi" w:hAnsiTheme="majorHAnsi" w:cs="Arial"/>
          <w:sz w:val="22"/>
          <w:szCs w:val="22"/>
          <w:lang w:val="fr-CA"/>
        </w:rPr>
        <w:t> CHF pour un rapport technique Ramsar.</w:t>
      </w:r>
      <w:r w:rsidR="00E01336" w:rsidRPr="0081702E">
        <w:rPr>
          <w:rFonts w:asciiTheme="majorHAnsi" w:hAnsiTheme="majorHAnsi" w:cs="Arial"/>
          <w:sz w:val="22"/>
          <w:szCs w:val="22"/>
          <w:lang w:val="fr-CA"/>
        </w:rPr>
        <w:t xml:space="preserve">  </w:t>
      </w:r>
    </w:p>
    <w:p w14:paraId="178268F7" w14:textId="77777777" w:rsidR="00501577" w:rsidRPr="0081702E" w:rsidRDefault="00501577" w:rsidP="00914A1A">
      <w:pPr>
        <w:rPr>
          <w:rFonts w:asciiTheme="majorHAnsi" w:hAnsiTheme="majorHAnsi" w:cs="Tahoma"/>
          <w:color w:val="000000"/>
          <w:sz w:val="20"/>
          <w:szCs w:val="20"/>
          <w:lang w:val="fr-CA"/>
        </w:rPr>
      </w:pPr>
    </w:p>
    <w:p w14:paraId="425E629F" w14:textId="77777777" w:rsidR="00836984" w:rsidRPr="0081702E" w:rsidRDefault="00836984" w:rsidP="00914A1A">
      <w:pPr>
        <w:rPr>
          <w:rFonts w:asciiTheme="majorHAnsi" w:hAnsiTheme="majorHAnsi" w:cs="Tahoma"/>
          <w:color w:val="000000"/>
          <w:sz w:val="20"/>
          <w:szCs w:val="20"/>
          <w:lang w:val="fr-CA"/>
        </w:rPr>
      </w:pPr>
    </w:p>
    <w:tbl>
      <w:tblPr>
        <w:tblStyle w:val="TableGrid1"/>
        <w:tblW w:w="5000" w:type="pct"/>
        <w:tblLook w:val="04A0" w:firstRow="1" w:lastRow="0" w:firstColumn="1" w:lastColumn="0" w:noHBand="0" w:noVBand="1"/>
      </w:tblPr>
      <w:tblGrid>
        <w:gridCol w:w="14174"/>
      </w:tblGrid>
      <w:tr w:rsidR="00914A1A" w:rsidRPr="00DF4418" w14:paraId="1241FB1D" w14:textId="77777777" w:rsidTr="00914A1A">
        <w:tc>
          <w:tcPr>
            <w:tcW w:w="5000" w:type="pct"/>
            <w:shd w:val="clear" w:color="auto" w:fill="000000" w:themeFill="text1"/>
          </w:tcPr>
          <w:p w14:paraId="5E94EC81" w14:textId="2906A070" w:rsidR="00914A1A" w:rsidRPr="0081702E" w:rsidRDefault="00C769FD" w:rsidP="00C769FD">
            <w:pPr>
              <w:rPr>
                <w:rFonts w:asciiTheme="majorHAnsi" w:hAnsiTheme="majorHAnsi" w:cs="Arial"/>
                <w:sz w:val="20"/>
                <w:szCs w:val="20"/>
                <w:lang w:val="fr-CA"/>
              </w:rPr>
            </w:pPr>
            <w:r>
              <w:rPr>
                <w:rFonts w:asciiTheme="majorHAnsi" w:hAnsiTheme="majorHAnsi" w:cs="Arial"/>
                <w:sz w:val="20"/>
                <w:szCs w:val="20"/>
                <w:lang w:val="fr-CA"/>
              </w:rPr>
              <w:t>Domaine de travail thématique n</w:t>
            </w:r>
            <w:r w:rsidRPr="00C769FD">
              <w:rPr>
                <w:rFonts w:asciiTheme="majorHAnsi" w:hAnsiTheme="majorHAnsi" w:cs="Arial"/>
                <w:sz w:val="20"/>
                <w:szCs w:val="20"/>
                <w:vertAlign w:val="superscript"/>
                <w:lang w:val="fr-CA"/>
              </w:rPr>
              <w:t>o</w:t>
            </w:r>
            <w:r>
              <w:rPr>
                <w:rFonts w:asciiTheme="majorHAnsi" w:hAnsiTheme="majorHAnsi" w:cs="Arial"/>
                <w:sz w:val="20"/>
                <w:szCs w:val="20"/>
                <w:lang w:val="fr-CA"/>
              </w:rPr>
              <w:t xml:space="preserve"> 1 : Méthodes et outils sur les meilleures pratiques pour le suivi des Sites Ramsar, y compris études, cartographies et inventaires reconnaissant les pratiques traditionnelles des peuples autochtones </w:t>
            </w:r>
            <w:r w:rsidR="00E01336" w:rsidRPr="0081702E">
              <w:rPr>
                <w:rFonts w:asciiTheme="majorHAnsi" w:hAnsiTheme="majorHAnsi" w:cs="Arial"/>
                <w:sz w:val="20"/>
                <w:szCs w:val="20"/>
                <w:lang w:val="fr-CA"/>
              </w:rPr>
              <w:t xml:space="preserve"> </w:t>
            </w:r>
            <w:r>
              <w:rPr>
                <w:rFonts w:asciiTheme="majorHAnsi" w:hAnsiTheme="majorHAnsi" w:cs="Arial"/>
                <w:sz w:val="20"/>
                <w:szCs w:val="20"/>
                <w:lang w:val="fr-CA"/>
              </w:rPr>
              <w:t xml:space="preserve">et des communautés locales </w:t>
            </w:r>
          </w:p>
        </w:tc>
      </w:tr>
    </w:tbl>
    <w:p w14:paraId="084B50BE" w14:textId="77777777" w:rsidR="00914A1A" w:rsidRPr="0081702E" w:rsidRDefault="00914A1A" w:rsidP="00914A1A">
      <w:pPr>
        <w:rPr>
          <w:rFonts w:asciiTheme="majorHAnsi" w:hAnsiTheme="majorHAnsi" w:cs="Arial"/>
          <w:sz w:val="20"/>
          <w:szCs w:val="20"/>
          <w:lang w:val="fr-CA"/>
        </w:rPr>
      </w:pPr>
    </w:p>
    <w:tbl>
      <w:tblPr>
        <w:tblStyle w:val="TableGrid21"/>
        <w:tblW w:w="5000" w:type="pct"/>
        <w:jc w:val="center"/>
        <w:tblLook w:val="04A0" w:firstRow="1" w:lastRow="0" w:firstColumn="1" w:lastColumn="0" w:noHBand="0" w:noVBand="1"/>
      </w:tblPr>
      <w:tblGrid>
        <w:gridCol w:w="3561"/>
        <w:gridCol w:w="10613"/>
      </w:tblGrid>
      <w:tr w:rsidR="00914A1A" w:rsidRPr="00DF4418" w14:paraId="5691AA28" w14:textId="77777777" w:rsidTr="00914A1A">
        <w:trPr>
          <w:jc w:val="center"/>
        </w:trPr>
        <w:tc>
          <w:tcPr>
            <w:tcW w:w="1256" w:type="pct"/>
          </w:tcPr>
          <w:p w14:paraId="65780D85" w14:textId="3CF8F9DD" w:rsidR="00914A1A" w:rsidRPr="0081702E" w:rsidRDefault="00A1768B" w:rsidP="00C769FD">
            <w:pPr>
              <w:rPr>
                <w:rFonts w:asciiTheme="majorHAnsi" w:eastAsia="Calibri" w:hAnsiTheme="majorHAnsi" w:cs="Arial"/>
                <w:sz w:val="20"/>
                <w:szCs w:val="20"/>
                <w:lang w:val="fr-CA"/>
              </w:rPr>
            </w:pPr>
            <w:r>
              <w:rPr>
                <w:rFonts w:asciiTheme="majorHAnsi" w:eastAsia="Calibri" w:hAnsiTheme="majorHAnsi" w:cs="Arial"/>
                <w:sz w:val="20"/>
                <w:szCs w:val="20"/>
                <w:lang w:val="fr-CA"/>
              </w:rPr>
              <w:t>Leader</w:t>
            </w:r>
            <w:r w:rsidR="00C769FD">
              <w:rPr>
                <w:rFonts w:asciiTheme="majorHAnsi" w:eastAsia="Calibri" w:hAnsiTheme="majorHAnsi" w:cs="Arial"/>
                <w:sz w:val="20"/>
                <w:szCs w:val="20"/>
                <w:lang w:val="fr-CA"/>
              </w:rPr>
              <w:t>(s) de groupe de travail et</w:t>
            </w:r>
            <w:r w:rsidR="00E01336" w:rsidRPr="0081702E">
              <w:rPr>
                <w:rFonts w:asciiTheme="majorHAnsi" w:eastAsia="Calibri" w:hAnsiTheme="majorHAnsi" w:cs="Arial"/>
                <w:sz w:val="20"/>
                <w:szCs w:val="20"/>
                <w:lang w:val="fr-CA"/>
              </w:rPr>
              <w:t xml:space="preserve"> </w:t>
            </w:r>
            <w:r w:rsidR="00914A1A" w:rsidRPr="0081702E">
              <w:rPr>
                <w:rFonts w:asciiTheme="majorHAnsi" w:eastAsia="Calibri" w:hAnsiTheme="majorHAnsi" w:cs="Arial"/>
                <w:sz w:val="20"/>
                <w:szCs w:val="20"/>
                <w:lang w:val="fr-CA"/>
              </w:rPr>
              <w:t>participants</w:t>
            </w:r>
            <w:r w:rsidR="009746C1">
              <w:rPr>
                <w:rFonts w:asciiTheme="majorHAnsi" w:eastAsia="Calibri" w:hAnsiTheme="majorHAnsi" w:cs="Arial"/>
                <w:sz w:val="20"/>
                <w:szCs w:val="20"/>
                <w:lang w:val="fr-CA"/>
              </w:rPr>
              <w:t> :</w:t>
            </w:r>
          </w:p>
        </w:tc>
        <w:tc>
          <w:tcPr>
            <w:tcW w:w="3744" w:type="pct"/>
          </w:tcPr>
          <w:p w14:paraId="49AB9576" w14:textId="26131290" w:rsidR="00914A1A" w:rsidRPr="0081702E" w:rsidRDefault="00914A1A" w:rsidP="00F82E36">
            <w:pPr>
              <w:tabs>
                <w:tab w:val="left" w:pos="1095"/>
              </w:tabs>
              <w:rPr>
                <w:rFonts w:asciiTheme="majorHAnsi" w:eastAsia="Calibri" w:hAnsiTheme="majorHAnsi" w:cs="Arial"/>
                <w:b w:val="0"/>
                <w:sz w:val="20"/>
                <w:szCs w:val="20"/>
                <w:lang w:val="fr-CA"/>
              </w:rPr>
            </w:pPr>
            <w:r w:rsidRPr="0081702E">
              <w:rPr>
                <w:rFonts w:asciiTheme="majorHAnsi" w:eastAsia="Calibri" w:hAnsiTheme="majorHAnsi" w:cs="Arial"/>
                <w:b w:val="0"/>
                <w:sz w:val="20"/>
                <w:szCs w:val="20"/>
                <w:lang w:val="fr-CA"/>
              </w:rPr>
              <w:t>Max</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Finlayson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t>
            </w:r>
            <w:r w:rsidR="00A1768B">
              <w:rPr>
                <w:rFonts w:asciiTheme="majorHAnsi" w:eastAsia="Calibri" w:hAnsiTheme="majorHAnsi" w:cs="Arial"/>
                <w:b w:val="0"/>
                <w:sz w:val="20"/>
                <w:szCs w:val="20"/>
                <w:lang w:val="fr-CA"/>
              </w:rPr>
              <w:t>leader</w:t>
            </w:r>
            <w:r w:rsidRPr="0081702E">
              <w:rPr>
                <w:rFonts w:asciiTheme="majorHAnsi" w:eastAsia="Calibri" w:hAnsiTheme="majorHAnsi" w:cs="Arial"/>
                <w:b w:val="0"/>
                <w:sz w:val="20"/>
                <w:szCs w:val="20"/>
                <w:lang w:val="fr-CA"/>
              </w:rPr>
              <w: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Lars</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Dinesen,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Roy</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Gardner,</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Vincent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Hilomen,</w:t>
            </w:r>
            <w:r w:rsidR="00E01336" w:rsidRPr="0081702E">
              <w:rPr>
                <w:rFonts w:asciiTheme="majorHAnsi" w:eastAsia="Calibri" w:hAnsiTheme="majorHAnsi" w:cs="Arial"/>
                <w:b w:val="0"/>
                <w:sz w:val="20"/>
                <w:szCs w:val="20"/>
                <w:lang w:val="fr-CA"/>
              </w:rPr>
              <w:t xml:space="preserve"> </w:t>
            </w:r>
            <w:r w:rsidR="00F82E36" w:rsidRPr="0081702E">
              <w:rPr>
                <w:rFonts w:asciiTheme="majorHAnsi" w:eastAsia="Calibri" w:hAnsiTheme="majorHAnsi" w:cs="Arial"/>
                <w:b w:val="0"/>
                <w:sz w:val="20"/>
                <w:szCs w:val="20"/>
                <w:lang w:val="fr-CA"/>
              </w:rPr>
              <w:t xml:space="preserve">Jari Ilmonen, </w:t>
            </w:r>
            <w:r w:rsidRPr="0081702E">
              <w:rPr>
                <w:rFonts w:asciiTheme="majorHAnsi" w:eastAsia="Calibri" w:hAnsiTheme="majorHAnsi" w:cs="Arial"/>
                <w:b w:val="0"/>
                <w:sz w:val="20"/>
                <w:szCs w:val="20"/>
                <w:lang w:val="fr-CA"/>
              </w:rPr>
              <w:t>Laura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Martinez,</w:t>
            </w:r>
            <w:r w:rsidR="00E01336" w:rsidRPr="0081702E">
              <w:rPr>
                <w:rFonts w:asciiTheme="majorHAnsi" w:eastAsia="Calibri" w:hAnsiTheme="majorHAnsi" w:cs="Arial"/>
                <w:b w:val="0"/>
                <w:sz w:val="20"/>
                <w:szCs w:val="20"/>
                <w:lang w:val="fr-CA"/>
              </w:rPr>
              <w:t xml:space="preserve"> </w:t>
            </w:r>
            <w:r w:rsidR="00F82E36" w:rsidRPr="0081702E">
              <w:rPr>
                <w:rFonts w:asciiTheme="majorHAnsi" w:eastAsia="Calibri" w:hAnsiTheme="majorHAnsi" w:cs="Arial"/>
                <w:b w:val="0"/>
                <w:sz w:val="20"/>
                <w:szCs w:val="20"/>
                <w:lang w:val="fr-CA"/>
              </w:rPr>
              <w:t>Dulce Infante</w:t>
            </w:r>
            <w:r w:rsidR="00F82E36">
              <w:rPr>
                <w:rFonts w:asciiTheme="majorHAnsi" w:eastAsia="Calibri" w:hAnsiTheme="majorHAnsi" w:cs="Arial"/>
                <w:b w:val="0"/>
                <w:sz w:val="20"/>
                <w:szCs w:val="20"/>
                <w:lang w:val="fr-CA"/>
              </w:rPr>
              <w:t xml:space="preserve"> Mata</w:t>
            </w:r>
            <w:r w:rsidR="00F82E36" w:rsidRPr="0081702E">
              <w:rPr>
                <w:rFonts w:asciiTheme="majorHAnsi" w:eastAsia="Calibri" w:hAnsiTheme="majorHAnsi" w:cs="Arial"/>
                <w:b w:val="0"/>
                <w:sz w:val="20"/>
                <w:szCs w:val="20"/>
                <w:lang w:val="fr-CA"/>
              </w:rPr>
              <w:t>, Rub</w:t>
            </w:r>
            <w:r w:rsidR="00F82E36">
              <w:rPr>
                <w:rFonts w:asciiTheme="majorHAnsi" w:eastAsia="Calibri" w:hAnsiTheme="majorHAnsi" w:cs="Arial"/>
                <w:b w:val="0"/>
                <w:sz w:val="20"/>
                <w:szCs w:val="20"/>
                <w:lang w:val="fr-CA"/>
              </w:rPr>
              <w:t>é</w:t>
            </w:r>
            <w:r w:rsidR="00F82E36" w:rsidRPr="0081702E">
              <w:rPr>
                <w:rFonts w:asciiTheme="majorHAnsi" w:eastAsia="Calibri" w:hAnsiTheme="majorHAnsi" w:cs="Arial"/>
                <w:b w:val="0"/>
                <w:sz w:val="20"/>
                <w:szCs w:val="20"/>
                <w:lang w:val="fr-CA"/>
              </w:rPr>
              <w:t xml:space="preserve">n Quintana, </w:t>
            </w:r>
            <w:r w:rsidRPr="0081702E">
              <w:rPr>
                <w:rFonts w:asciiTheme="majorHAnsi" w:eastAsia="Calibri" w:hAnsiTheme="majorHAnsi" w:cs="Arial"/>
                <w:b w:val="0"/>
                <w:sz w:val="20"/>
                <w:szCs w:val="20"/>
                <w:lang w:val="fr-CA"/>
              </w:rPr>
              <w:t>Lisa-Maria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Rebelo</w:t>
            </w:r>
            <w:r w:rsidR="00F82E36" w:rsidRPr="0081702E">
              <w:rPr>
                <w:rFonts w:asciiTheme="majorHAnsi" w:eastAsia="Calibri" w:hAnsiTheme="majorHAnsi" w:cs="Arial"/>
                <w:b w:val="0"/>
                <w:sz w:val="20"/>
                <w:szCs w:val="20"/>
                <w:lang w:val="fr-CA"/>
              </w:rPr>
              <w:t>, Matt Walpole</w:t>
            </w:r>
          </w:p>
        </w:tc>
      </w:tr>
      <w:tr w:rsidR="00914A1A" w:rsidRPr="0081702E" w14:paraId="4393D55A" w14:textId="77777777" w:rsidTr="00914A1A">
        <w:trPr>
          <w:jc w:val="center"/>
        </w:trPr>
        <w:tc>
          <w:tcPr>
            <w:tcW w:w="1256" w:type="pct"/>
          </w:tcPr>
          <w:p w14:paraId="2D3995A7" w14:textId="06952738" w:rsidR="00914A1A" w:rsidRPr="0081702E" w:rsidRDefault="00C769FD" w:rsidP="00C769FD">
            <w:pPr>
              <w:rPr>
                <w:rFonts w:asciiTheme="majorHAnsi" w:eastAsia="Calibri" w:hAnsiTheme="majorHAnsi" w:cs="Arial"/>
                <w:sz w:val="20"/>
                <w:szCs w:val="20"/>
                <w:lang w:val="fr-CA"/>
              </w:rPr>
            </w:pPr>
            <w:r>
              <w:rPr>
                <w:rFonts w:asciiTheme="majorHAnsi" w:eastAsia="Calibri" w:hAnsiTheme="majorHAnsi" w:cs="Arial"/>
                <w:sz w:val="20"/>
                <w:szCs w:val="20"/>
                <w:lang w:val="fr-CA"/>
              </w:rPr>
              <w:t xml:space="preserve">Correspondant au </w:t>
            </w:r>
            <w:r w:rsidR="009746C1">
              <w:rPr>
                <w:rFonts w:asciiTheme="majorHAnsi" w:eastAsia="Calibri" w:hAnsiTheme="majorHAnsi" w:cs="Arial"/>
                <w:sz w:val="20"/>
                <w:szCs w:val="20"/>
                <w:lang w:val="fr-CA"/>
              </w:rPr>
              <w:t>Secrétariat :</w:t>
            </w:r>
          </w:p>
        </w:tc>
        <w:tc>
          <w:tcPr>
            <w:tcW w:w="3744" w:type="pct"/>
          </w:tcPr>
          <w:p w14:paraId="152EE856" w14:textId="0E7F87BF" w:rsidR="00914A1A" w:rsidRPr="0081702E" w:rsidRDefault="00914A1A" w:rsidP="00914A1A">
            <w:pPr>
              <w:rPr>
                <w:rFonts w:asciiTheme="majorHAnsi" w:eastAsia="Calibri" w:hAnsiTheme="majorHAnsi" w:cs="Arial"/>
                <w:b w:val="0"/>
                <w:sz w:val="20"/>
                <w:szCs w:val="20"/>
                <w:lang w:val="fr-CA"/>
              </w:rPr>
            </w:pPr>
            <w:r w:rsidRPr="0081702E">
              <w:rPr>
                <w:rFonts w:asciiTheme="majorHAnsi" w:eastAsia="Calibri" w:hAnsiTheme="majorHAnsi" w:cs="Arial"/>
                <w:b w:val="0"/>
                <w:sz w:val="20"/>
                <w:szCs w:val="20"/>
                <w:lang w:val="fr-CA"/>
              </w:rPr>
              <w:t>Paul</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Ouedraogo</w:t>
            </w:r>
          </w:p>
        </w:tc>
      </w:tr>
      <w:tr w:rsidR="00914A1A" w:rsidRPr="00DF4418" w14:paraId="43752BD9" w14:textId="77777777" w:rsidTr="00914A1A">
        <w:trPr>
          <w:jc w:val="center"/>
        </w:trPr>
        <w:tc>
          <w:tcPr>
            <w:tcW w:w="1256" w:type="pct"/>
          </w:tcPr>
          <w:p w14:paraId="196CBAAF" w14:textId="7504885F" w:rsidR="00914A1A" w:rsidRPr="0081702E" w:rsidRDefault="00C769FD" w:rsidP="00C769FD">
            <w:pPr>
              <w:rPr>
                <w:rFonts w:asciiTheme="majorHAnsi" w:eastAsia="Calibri" w:hAnsiTheme="majorHAnsi" w:cs="Arial"/>
                <w:sz w:val="20"/>
                <w:szCs w:val="20"/>
                <w:lang w:val="fr-CA"/>
              </w:rPr>
            </w:pPr>
            <w:r>
              <w:rPr>
                <w:rFonts w:asciiTheme="majorHAnsi" w:eastAsia="Calibri" w:hAnsiTheme="majorHAnsi" w:cs="Arial"/>
                <w:sz w:val="20"/>
                <w:szCs w:val="20"/>
                <w:lang w:val="fr-CA"/>
              </w:rPr>
              <w:t xml:space="preserve">Organisations participantes : </w:t>
            </w:r>
            <w:r w:rsidR="00914A1A" w:rsidRPr="0081702E">
              <w:rPr>
                <w:rFonts w:asciiTheme="majorHAnsi" w:eastAsia="Calibri" w:hAnsiTheme="majorHAnsi" w:cs="Arial"/>
                <w:sz w:val="20"/>
                <w:szCs w:val="20"/>
                <w:lang w:val="fr-CA"/>
              </w:rPr>
              <w:t>[</w:t>
            </w:r>
            <w:r>
              <w:rPr>
                <w:rFonts w:asciiTheme="majorHAnsi" w:eastAsia="Calibri" w:hAnsiTheme="majorHAnsi" w:cs="Arial"/>
                <w:sz w:val="20"/>
                <w:szCs w:val="20"/>
                <w:lang w:val="fr-CA"/>
              </w:rPr>
              <w:t>OIP</w:t>
            </w:r>
            <w:r w:rsidR="00914A1A" w:rsidRPr="0081702E">
              <w:rPr>
                <w:rFonts w:asciiTheme="majorHAnsi" w:eastAsia="Calibri" w:hAnsiTheme="majorHAnsi" w:cs="Arial"/>
                <w:sz w:val="20"/>
                <w:szCs w:val="20"/>
                <w:lang w:val="fr-CA"/>
              </w:rPr>
              <w:t>/observ</w:t>
            </w:r>
            <w:r>
              <w:rPr>
                <w:rFonts w:asciiTheme="majorHAnsi" w:eastAsia="Calibri" w:hAnsiTheme="majorHAnsi" w:cs="Arial"/>
                <w:sz w:val="20"/>
                <w:szCs w:val="20"/>
                <w:lang w:val="fr-CA"/>
              </w:rPr>
              <w:t>ateurs</w:t>
            </w:r>
            <w:r w:rsidR="00914A1A" w:rsidRPr="0081702E">
              <w:rPr>
                <w:rFonts w:asciiTheme="majorHAnsi" w:eastAsia="Calibri" w:hAnsiTheme="majorHAnsi" w:cs="Arial"/>
                <w:sz w:val="20"/>
                <w:szCs w:val="20"/>
                <w:lang w:val="fr-CA"/>
              </w:rPr>
              <w:t>/</w:t>
            </w:r>
            <w:r>
              <w:rPr>
                <w:rFonts w:asciiTheme="majorHAnsi" w:eastAsia="Calibri" w:hAnsiTheme="majorHAnsi" w:cs="Arial"/>
                <w:sz w:val="20"/>
                <w:szCs w:val="20"/>
                <w:lang w:val="fr-CA"/>
              </w:rPr>
              <w:t>autres</w:t>
            </w:r>
            <w:r w:rsidR="00914A1A" w:rsidRPr="0081702E">
              <w:rPr>
                <w:rFonts w:asciiTheme="majorHAnsi" w:eastAsia="Calibri" w:hAnsiTheme="majorHAnsi" w:cs="Arial"/>
                <w:sz w:val="20"/>
                <w:szCs w:val="20"/>
                <w:lang w:val="fr-CA"/>
              </w:rPr>
              <w:t>]</w:t>
            </w:r>
          </w:p>
        </w:tc>
        <w:tc>
          <w:tcPr>
            <w:tcW w:w="3744" w:type="pct"/>
          </w:tcPr>
          <w:p w14:paraId="7B428F02" w14:textId="084355F6" w:rsidR="00914A1A" w:rsidRPr="0081702E" w:rsidRDefault="00914A1A" w:rsidP="00130D8F">
            <w:pPr>
              <w:rPr>
                <w:rFonts w:asciiTheme="majorHAnsi" w:eastAsia="Calibri" w:hAnsiTheme="majorHAnsi" w:cs="Arial"/>
                <w:b w:val="0"/>
                <w:sz w:val="20"/>
                <w:szCs w:val="20"/>
                <w:lang w:val="fr-CA"/>
              </w:rPr>
            </w:pPr>
            <w:r w:rsidRPr="0081702E">
              <w:rPr>
                <w:rFonts w:asciiTheme="majorHAnsi" w:eastAsia="Calibri" w:hAnsiTheme="majorHAnsi" w:cs="Arial"/>
                <w:b w:val="0"/>
                <w:sz w:val="20"/>
                <w:szCs w:val="20"/>
                <w:lang w:val="fr-CA"/>
              </w:rPr>
              <w:t>BirdLife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International</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(Zoltan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Waliczky),</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Wetlands</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International</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(WI)</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(Marcel</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Silvius),</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WWF</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International</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(Denis</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Landenbergue)/</w:t>
            </w:r>
            <w:r w:rsidR="00E01336" w:rsidRPr="0081702E">
              <w:rPr>
                <w:rFonts w:asciiTheme="majorHAnsi" w:eastAsia="Calibri" w:hAnsiTheme="majorHAnsi" w:cs="Arial"/>
                <w:b w:val="0"/>
                <w:sz w:val="20"/>
                <w:szCs w:val="20"/>
                <w:lang w:val="fr-CA"/>
              </w:rPr>
              <w:t xml:space="preserve"> </w:t>
            </w:r>
            <w:r w:rsidR="00130D8F">
              <w:rPr>
                <w:rFonts w:asciiTheme="majorHAnsi" w:eastAsia="Calibri" w:hAnsiTheme="majorHAnsi" w:cs="Arial"/>
                <w:b w:val="0"/>
                <w:sz w:val="20"/>
                <w:szCs w:val="20"/>
                <w:lang w:val="fr-CA"/>
              </w:rPr>
              <w:t>Secrétariat de la CDB</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(David</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Coates),</w:t>
            </w:r>
            <w:r w:rsidR="00E01336" w:rsidRPr="0081702E">
              <w:rPr>
                <w:rFonts w:asciiTheme="majorHAnsi" w:eastAsia="Calibri" w:hAnsiTheme="majorHAnsi" w:cs="Arial"/>
                <w:b w:val="0"/>
                <w:sz w:val="20"/>
                <w:szCs w:val="20"/>
                <w:lang w:val="fr-CA"/>
              </w:rPr>
              <w:t xml:space="preserve"> </w:t>
            </w:r>
            <w:r w:rsidR="00130D8F">
              <w:rPr>
                <w:rFonts w:asciiTheme="majorHAnsi" w:eastAsia="Calibri" w:hAnsiTheme="majorHAnsi" w:cs="Arial"/>
                <w:b w:val="0"/>
                <w:sz w:val="20"/>
                <w:szCs w:val="20"/>
                <w:lang w:val="fr-CA"/>
              </w:rPr>
              <w:t>Agence spatiale européenne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(ESA)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(Marc</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Paganini),</w:t>
            </w:r>
            <w:r w:rsidR="00E01336" w:rsidRPr="0081702E">
              <w:rPr>
                <w:rFonts w:asciiTheme="majorHAnsi" w:eastAsia="Calibri" w:hAnsiTheme="majorHAnsi" w:cs="Arial"/>
                <w:b w:val="0"/>
                <w:sz w:val="20"/>
                <w:szCs w:val="20"/>
                <w:lang w:val="fr-CA"/>
              </w:rPr>
              <w:t xml:space="preserve"> </w:t>
            </w:r>
            <w:r w:rsidR="00130D8F">
              <w:rPr>
                <w:rFonts w:asciiTheme="majorHAnsi" w:eastAsia="Calibri" w:hAnsiTheme="majorHAnsi" w:cs="Arial"/>
                <w:b w:val="0"/>
                <w:sz w:val="20"/>
                <w:szCs w:val="20"/>
                <w:lang w:val="fr-CA"/>
              </w:rPr>
              <w:t>Agence japonaise d’exploration aérospatiale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(JAXA)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(Ake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Rosenqvist,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Nobuyoshi</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Fujimoto),</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Society</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of</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Wetland</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Scientists</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(SWS)</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(Nick</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Davidson),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Tour</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du</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Valat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(Christian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Perennou),</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UNESCO-IHE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(Anne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van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Dam),</w:t>
            </w:r>
            <w:r w:rsidR="00E01336" w:rsidRPr="0081702E">
              <w:rPr>
                <w:rFonts w:asciiTheme="majorHAnsi" w:eastAsia="Calibri" w:hAnsiTheme="majorHAnsi" w:cs="Arial"/>
                <w:b w:val="0"/>
                <w:sz w:val="20"/>
                <w:szCs w:val="20"/>
                <w:lang w:val="fr-CA"/>
              </w:rPr>
              <w:t xml:space="preserve"> </w:t>
            </w:r>
            <w:r w:rsidR="00130D8F">
              <w:rPr>
                <w:rFonts w:asciiTheme="majorHAnsi" w:eastAsia="Calibri" w:hAnsiTheme="majorHAnsi" w:cs="Arial"/>
                <w:b w:val="0"/>
                <w:sz w:val="20"/>
                <w:szCs w:val="20"/>
                <w:lang w:val="fr-CA"/>
              </w:rPr>
              <w:t>Centre du patrimoine mondial</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(Tim</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Badman)/</w:t>
            </w:r>
            <w:r w:rsidR="00E01336" w:rsidRPr="0081702E">
              <w:rPr>
                <w:rFonts w:asciiTheme="majorHAnsi" w:eastAsia="Calibri" w:hAnsiTheme="majorHAnsi" w:cs="Arial"/>
                <w:b w:val="0"/>
                <w:sz w:val="20"/>
                <w:szCs w:val="20"/>
                <w:lang w:val="fr-CA"/>
              </w:rPr>
              <w:t xml:space="preserve"> </w:t>
            </w:r>
            <w:r w:rsidR="00130D8F">
              <w:rPr>
                <w:rFonts w:asciiTheme="majorHAnsi" w:eastAsia="Calibri" w:hAnsiTheme="majorHAnsi" w:cs="Arial"/>
                <w:b w:val="0"/>
                <w:sz w:val="20"/>
                <w:szCs w:val="20"/>
                <w:lang w:val="fr-CA"/>
              </w:rPr>
              <w:t>CN GEST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Canada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(Barry</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Warner),</w:t>
            </w:r>
            <w:r w:rsidR="00E01336" w:rsidRPr="0081702E">
              <w:rPr>
                <w:rFonts w:asciiTheme="majorHAnsi" w:eastAsia="Calibri" w:hAnsiTheme="majorHAnsi" w:cs="Arial"/>
                <w:b w:val="0"/>
                <w:sz w:val="20"/>
                <w:szCs w:val="20"/>
                <w:lang w:val="fr-CA"/>
              </w:rPr>
              <w:t xml:space="preserve"> </w:t>
            </w:r>
            <w:r w:rsidR="00130D8F">
              <w:rPr>
                <w:rFonts w:asciiTheme="majorHAnsi" w:eastAsia="Calibri" w:hAnsiTheme="majorHAnsi" w:cs="Arial"/>
                <w:b w:val="0"/>
                <w:sz w:val="20"/>
                <w:szCs w:val="20"/>
                <w:lang w:val="fr-CA"/>
              </w:rPr>
              <w:t>CN GEST Malaisie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(Abdul,</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Rahman)</w:t>
            </w:r>
          </w:p>
        </w:tc>
      </w:tr>
    </w:tbl>
    <w:p w14:paraId="012001DF" w14:textId="412C8A5B" w:rsidR="00914A1A" w:rsidRPr="0081702E" w:rsidRDefault="00914A1A" w:rsidP="00914A1A">
      <w:pPr>
        <w:rPr>
          <w:rFonts w:asciiTheme="majorHAnsi" w:hAnsiTheme="majorHAnsi" w:cs="Arial"/>
          <w:sz w:val="20"/>
          <w:szCs w:val="20"/>
          <w:lang w:val="fr-CA"/>
        </w:rPr>
      </w:pPr>
    </w:p>
    <w:p w14:paraId="64C4971A" w14:textId="0124D08A" w:rsidR="00914A1A" w:rsidRPr="0081702E" w:rsidRDefault="00914A1A" w:rsidP="00914A1A">
      <w:pPr>
        <w:rPr>
          <w:rFonts w:asciiTheme="majorHAnsi" w:hAnsiTheme="majorHAnsi" w:cs="Arial"/>
          <w:sz w:val="20"/>
          <w:szCs w:val="20"/>
          <w:lang w:val="fr-CA"/>
        </w:rPr>
      </w:pPr>
    </w:p>
    <w:tbl>
      <w:tblPr>
        <w:tblStyle w:val="TableGrid1"/>
        <w:tblW w:w="5000" w:type="pct"/>
        <w:tblLayout w:type="fixed"/>
        <w:tblCellMar>
          <w:top w:w="57" w:type="dxa"/>
          <w:left w:w="57" w:type="dxa"/>
          <w:bottom w:w="57" w:type="dxa"/>
          <w:right w:w="57" w:type="dxa"/>
        </w:tblCellMar>
        <w:tblLook w:val="04A0" w:firstRow="1" w:lastRow="0" w:firstColumn="1" w:lastColumn="0" w:noHBand="0" w:noVBand="1"/>
      </w:tblPr>
      <w:tblGrid>
        <w:gridCol w:w="1373"/>
        <w:gridCol w:w="847"/>
        <w:gridCol w:w="1098"/>
        <w:gridCol w:w="1134"/>
        <w:gridCol w:w="8221"/>
        <w:gridCol w:w="1399"/>
      </w:tblGrid>
      <w:tr w:rsidR="00914A1A" w:rsidRPr="0081702E" w14:paraId="143AE3EB" w14:textId="77777777" w:rsidTr="00130D8F">
        <w:trPr>
          <w:tblHeader/>
        </w:trPr>
        <w:tc>
          <w:tcPr>
            <w:tcW w:w="488" w:type="pct"/>
            <w:shd w:val="clear" w:color="auto" w:fill="D9D9D9" w:themeFill="background1" w:themeFillShade="D9"/>
          </w:tcPr>
          <w:p w14:paraId="377126C8" w14:textId="75A654E5" w:rsidR="00914A1A" w:rsidRPr="0081702E" w:rsidRDefault="00130D8F" w:rsidP="00130D8F">
            <w:pPr>
              <w:jc w:val="center"/>
              <w:rPr>
                <w:rFonts w:asciiTheme="majorHAnsi" w:hAnsiTheme="majorHAnsi" w:cs="Arial"/>
                <w:sz w:val="20"/>
                <w:szCs w:val="20"/>
                <w:lang w:val="fr-CA"/>
              </w:rPr>
            </w:pPr>
            <w:r>
              <w:rPr>
                <w:rFonts w:asciiTheme="majorHAnsi" w:hAnsiTheme="majorHAnsi" w:cs="Arial"/>
                <w:sz w:val="20"/>
                <w:szCs w:val="20"/>
                <w:lang w:val="fr-CA"/>
              </w:rPr>
              <w:t>N</w:t>
            </w:r>
            <w:r w:rsidRPr="00130D8F">
              <w:rPr>
                <w:rFonts w:asciiTheme="majorHAnsi" w:hAnsiTheme="majorHAnsi" w:cs="Arial"/>
                <w:sz w:val="20"/>
                <w:szCs w:val="20"/>
                <w:vertAlign w:val="superscript"/>
                <w:lang w:val="fr-CA"/>
              </w:rPr>
              <w:t>o</w:t>
            </w:r>
            <w:r>
              <w:rPr>
                <w:rFonts w:asciiTheme="majorHAnsi" w:hAnsiTheme="majorHAnsi" w:cs="Arial"/>
                <w:sz w:val="20"/>
                <w:szCs w:val="20"/>
                <w:lang w:val="fr-CA"/>
              </w:rPr>
              <w:t xml:space="preserve"> de tâche, titre </w:t>
            </w:r>
          </w:p>
        </w:tc>
        <w:tc>
          <w:tcPr>
            <w:tcW w:w="301" w:type="pct"/>
            <w:shd w:val="clear" w:color="auto" w:fill="D9D9D9" w:themeFill="background1" w:themeFillShade="D9"/>
          </w:tcPr>
          <w:p w14:paraId="0AE98500" w14:textId="57B223AA" w:rsidR="00914A1A" w:rsidRPr="0081702E" w:rsidRDefault="00130D8F" w:rsidP="00914A1A">
            <w:pPr>
              <w:jc w:val="center"/>
              <w:rPr>
                <w:rFonts w:asciiTheme="majorHAnsi" w:hAnsiTheme="majorHAnsi" w:cs="Arial"/>
                <w:sz w:val="20"/>
                <w:szCs w:val="20"/>
                <w:lang w:val="fr-CA"/>
              </w:rPr>
            </w:pPr>
            <w:r>
              <w:rPr>
                <w:rFonts w:asciiTheme="majorHAnsi" w:hAnsiTheme="majorHAnsi" w:cs="Arial"/>
                <w:sz w:val="20"/>
                <w:szCs w:val="20"/>
                <w:lang w:val="fr-CA"/>
              </w:rPr>
              <w:t>Priorité</w:t>
            </w:r>
          </w:p>
        </w:tc>
        <w:tc>
          <w:tcPr>
            <w:tcW w:w="390" w:type="pct"/>
            <w:shd w:val="clear" w:color="auto" w:fill="D9D9D9" w:themeFill="background1" w:themeFillShade="D9"/>
          </w:tcPr>
          <w:p w14:paraId="3BA00946" w14:textId="6B19A106" w:rsidR="00914A1A" w:rsidRPr="0081702E" w:rsidRDefault="00130D8F" w:rsidP="00130D8F">
            <w:pPr>
              <w:jc w:val="center"/>
              <w:rPr>
                <w:rFonts w:asciiTheme="majorHAnsi" w:hAnsiTheme="majorHAnsi" w:cs="Arial"/>
                <w:sz w:val="20"/>
                <w:szCs w:val="20"/>
                <w:lang w:val="fr-CA"/>
              </w:rPr>
            </w:pPr>
            <w:r>
              <w:rPr>
                <w:rFonts w:asciiTheme="majorHAnsi" w:hAnsiTheme="majorHAnsi" w:cs="Arial"/>
                <w:sz w:val="20"/>
                <w:szCs w:val="20"/>
                <w:lang w:val="fr-CA"/>
              </w:rPr>
              <w:t>Ré</w:t>
            </w:r>
            <w:r w:rsidR="00914A1A" w:rsidRPr="0081702E">
              <w:rPr>
                <w:rFonts w:asciiTheme="majorHAnsi" w:hAnsiTheme="majorHAnsi" w:cs="Arial"/>
                <w:sz w:val="20"/>
                <w:szCs w:val="20"/>
                <w:lang w:val="fr-CA"/>
              </w:rPr>
              <w:t>s</w:t>
            </w:r>
            <w:r>
              <w:rPr>
                <w:rFonts w:asciiTheme="majorHAnsi" w:hAnsiTheme="majorHAnsi" w:cs="Arial"/>
                <w:sz w:val="20"/>
                <w:szCs w:val="20"/>
                <w:lang w:val="fr-CA"/>
              </w:rPr>
              <w:t>olution</w:t>
            </w:r>
          </w:p>
        </w:tc>
        <w:tc>
          <w:tcPr>
            <w:tcW w:w="403" w:type="pct"/>
            <w:shd w:val="clear" w:color="auto" w:fill="D9D9D9" w:themeFill="background1" w:themeFillShade="D9"/>
          </w:tcPr>
          <w:p w14:paraId="059085B8" w14:textId="3CCEF230" w:rsidR="00914A1A" w:rsidRPr="0081702E" w:rsidRDefault="00130D8F" w:rsidP="00914A1A">
            <w:pPr>
              <w:jc w:val="center"/>
              <w:rPr>
                <w:rFonts w:asciiTheme="majorHAnsi" w:hAnsiTheme="majorHAnsi" w:cs="Arial"/>
                <w:sz w:val="20"/>
                <w:szCs w:val="20"/>
                <w:lang w:val="fr-CA"/>
              </w:rPr>
            </w:pPr>
            <w:r>
              <w:rPr>
                <w:rFonts w:asciiTheme="majorHAnsi" w:eastAsia="Calibri" w:hAnsiTheme="majorHAnsi" w:cs="Arial"/>
                <w:sz w:val="20"/>
                <w:szCs w:val="20"/>
                <w:lang w:val="fr-CA"/>
              </w:rPr>
              <w:t>But et objectif PS</w:t>
            </w:r>
          </w:p>
        </w:tc>
        <w:tc>
          <w:tcPr>
            <w:tcW w:w="2921" w:type="pct"/>
            <w:shd w:val="clear" w:color="auto" w:fill="D9D9D9" w:themeFill="background1" w:themeFillShade="D9"/>
          </w:tcPr>
          <w:p w14:paraId="14669BAB" w14:textId="2091EE5F" w:rsidR="00914A1A" w:rsidRPr="0081702E" w:rsidRDefault="00130D8F" w:rsidP="00130D8F">
            <w:pPr>
              <w:jc w:val="center"/>
              <w:rPr>
                <w:rFonts w:asciiTheme="majorHAnsi" w:hAnsiTheme="majorHAnsi" w:cs="Arial"/>
                <w:sz w:val="20"/>
                <w:szCs w:val="20"/>
                <w:lang w:val="fr-CA"/>
              </w:rPr>
            </w:pPr>
            <w:r>
              <w:rPr>
                <w:rFonts w:asciiTheme="majorHAnsi" w:hAnsiTheme="majorHAnsi" w:cs="Arial"/>
                <w:sz w:val="20"/>
                <w:szCs w:val="20"/>
                <w:lang w:val="fr-CA"/>
              </w:rPr>
              <w:t xml:space="preserve">Description de tâche, public ciblé et résultats escomptés </w:t>
            </w:r>
          </w:p>
        </w:tc>
        <w:tc>
          <w:tcPr>
            <w:tcW w:w="497" w:type="pct"/>
            <w:shd w:val="clear" w:color="auto" w:fill="D9D9D9" w:themeFill="background1" w:themeFillShade="D9"/>
          </w:tcPr>
          <w:p w14:paraId="3F6EAEF6" w14:textId="0F2C6720" w:rsidR="00914A1A" w:rsidRPr="0081702E" w:rsidRDefault="00130D8F" w:rsidP="00914A1A">
            <w:pPr>
              <w:jc w:val="center"/>
              <w:rPr>
                <w:rFonts w:asciiTheme="majorHAnsi" w:hAnsiTheme="majorHAnsi" w:cs="Arial"/>
                <w:sz w:val="20"/>
                <w:szCs w:val="20"/>
                <w:lang w:val="fr-CA"/>
              </w:rPr>
            </w:pPr>
            <w:r>
              <w:rPr>
                <w:rFonts w:asciiTheme="majorHAnsi" w:hAnsiTheme="majorHAnsi" w:cs="Arial"/>
                <w:sz w:val="20"/>
                <w:szCs w:val="20"/>
                <w:lang w:val="fr-CA"/>
              </w:rPr>
              <w:t>Coût</w:t>
            </w:r>
            <w:r w:rsidR="00914A1A" w:rsidRPr="0081702E">
              <w:rPr>
                <w:rFonts w:asciiTheme="majorHAnsi" w:hAnsiTheme="majorHAnsi" w:cs="Arial"/>
                <w:sz w:val="20"/>
                <w:szCs w:val="20"/>
                <w:lang w:val="fr-CA"/>
              </w:rPr>
              <w:t>s</w:t>
            </w:r>
            <w:r w:rsidR="00E01336" w:rsidRPr="0081702E">
              <w:rPr>
                <w:rFonts w:asciiTheme="majorHAnsi" w:hAnsiTheme="majorHAnsi" w:cs="Arial"/>
                <w:sz w:val="20"/>
                <w:szCs w:val="20"/>
                <w:lang w:val="fr-CA"/>
              </w:rPr>
              <w:t xml:space="preserve"> </w:t>
            </w:r>
            <w:r w:rsidR="00914A1A" w:rsidRPr="0081702E">
              <w:rPr>
                <w:rFonts w:asciiTheme="majorHAnsi" w:hAnsiTheme="majorHAnsi" w:cs="Arial"/>
                <w:sz w:val="20"/>
                <w:szCs w:val="20"/>
                <w:lang w:val="fr-CA"/>
              </w:rPr>
              <w:t>CHF</w:t>
            </w:r>
          </w:p>
        </w:tc>
      </w:tr>
      <w:tr w:rsidR="00914A1A" w:rsidRPr="00DF4418" w14:paraId="354E164F" w14:textId="77777777" w:rsidTr="00130D8F">
        <w:tc>
          <w:tcPr>
            <w:tcW w:w="488" w:type="pct"/>
          </w:tcPr>
          <w:p w14:paraId="32466BF7" w14:textId="59E5EA44" w:rsidR="00914A1A" w:rsidRPr="0081702E" w:rsidRDefault="00914A1A" w:rsidP="00130D8F">
            <w:pPr>
              <w:rPr>
                <w:rFonts w:asciiTheme="majorHAnsi" w:hAnsiTheme="majorHAnsi" w:cs="Arial"/>
                <w:b w:val="0"/>
                <w:sz w:val="20"/>
                <w:szCs w:val="20"/>
                <w:lang w:val="fr-CA"/>
              </w:rPr>
            </w:pPr>
            <w:r w:rsidRPr="0081702E">
              <w:rPr>
                <w:rFonts w:asciiTheme="majorHAnsi" w:hAnsiTheme="majorHAnsi" w:cs="Arial"/>
                <w:b w:val="0"/>
                <w:sz w:val="20"/>
                <w:szCs w:val="20"/>
                <w:lang w:val="fr-CA"/>
              </w:rPr>
              <w:t>N</w:t>
            </w:r>
            <w:r w:rsidRPr="00130D8F">
              <w:rPr>
                <w:rFonts w:asciiTheme="majorHAnsi" w:hAnsiTheme="majorHAnsi" w:cs="Arial"/>
                <w:b w:val="0"/>
                <w:sz w:val="20"/>
                <w:szCs w:val="20"/>
                <w:vertAlign w:val="superscript"/>
                <w:lang w:val="fr-CA"/>
              </w:rPr>
              <w:t>o</w:t>
            </w:r>
            <w:r w:rsidR="00130D8F">
              <w:rPr>
                <w:rFonts w:asciiTheme="majorHAnsi" w:hAnsiTheme="majorHAnsi" w:cs="Arial"/>
                <w:b w:val="0"/>
                <w:sz w:val="20"/>
                <w:szCs w:val="20"/>
                <w:vertAlign w:val="superscript"/>
                <w:lang w:val="fr-CA"/>
              </w:rPr>
              <w:t> </w:t>
            </w:r>
            <w:r w:rsidRPr="0081702E">
              <w:rPr>
                <w:rFonts w:asciiTheme="majorHAnsi" w:hAnsiTheme="majorHAnsi" w:cs="Arial"/>
                <w:b w:val="0"/>
                <w:sz w:val="20"/>
                <w:szCs w:val="20"/>
                <w:lang w:val="fr-CA"/>
              </w:rPr>
              <w:t>1.1,</w:t>
            </w:r>
            <w:r w:rsidR="00E01336" w:rsidRPr="0081702E">
              <w:rPr>
                <w:rFonts w:asciiTheme="majorHAnsi" w:hAnsiTheme="majorHAnsi" w:cs="Arial"/>
                <w:b w:val="0"/>
                <w:sz w:val="20"/>
                <w:szCs w:val="20"/>
                <w:lang w:val="fr-CA"/>
              </w:rPr>
              <w:t xml:space="preserve"> </w:t>
            </w:r>
            <w:r w:rsidR="00130D8F" w:rsidRPr="00130D8F">
              <w:rPr>
                <w:rFonts w:asciiTheme="majorHAnsi" w:hAnsiTheme="majorHAnsi" w:cs="Arial"/>
                <w:b w:val="0"/>
                <w:sz w:val="20"/>
                <w:szCs w:val="20"/>
                <w:lang w:val="fr-CA"/>
              </w:rPr>
              <w:t xml:space="preserve">Perspective mondiale sur les zones humides </w:t>
            </w:r>
            <w:r w:rsidR="00130D8F">
              <w:rPr>
                <w:rFonts w:asciiTheme="majorHAnsi" w:hAnsiTheme="majorHAnsi" w:cs="Arial"/>
                <w:b w:val="0"/>
                <w:sz w:val="20"/>
                <w:szCs w:val="20"/>
                <w:lang w:val="fr-CA"/>
              </w:rPr>
              <w:t>[</w:t>
            </w:r>
            <w:r w:rsidR="00130D8F" w:rsidRPr="00130D8F">
              <w:rPr>
                <w:rFonts w:asciiTheme="majorHAnsi" w:hAnsiTheme="majorHAnsi" w:cs="Arial"/>
                <w:b w:val="0"/>
                <w:sz w:val="20"/>
                <w:szCs w:val="20"/>
                <w:lang w:val="fr-CA"/>
              </w:rPr>
              <w:t>État mondial des zones humides et de leurs services à l’humanité)</w:t>
            </w:r>
            <w:r w:rsidR="00130D8F">
              <w:rPr>
                <w:rFonts w:asciiTheme="majorHAnsi" w:eastAsia="Calibri" w:hAnsiTheme="majorHAnsi" w:cs="Calibri"/>
                <w:sz w:val="22"/>
                <w:szCs w:val="22"/>
                <w:lang w:val="fr-CA"/>
              </w:rPr>
              <w:t xml:space="preserve"> </w:t>
            </w:r>
            <w:r w:rsidRPr="0081702E">
              <w:rPr>
                <w:rFonts w:asciiTheme="majorHAnsi" w:hAnsiTheme="majorHAnsi" w:cs="Arial"/>
                <w:b w:val="0"/>
                <w:sz w:val="20"/>
                <w:szCs w:val="20"/>
                <w:lang w:val="fr-CA"/>
              </w:rPr>
              <w:t>(SoWWS)</w:t>
            </w:r>
            <w:r w:rsidR="00130D8F">
              <w:rPr>
                <w:rFonts w:asciiTheme="majorHAnsi" w:hAnsiTheme="majorHAnsi" w:cs="Arial"/>
                <w:b w:val="0"/>
                <w:sz w:val="20"/>
                <w:szCs w:val="20"/>
                <w:lang w:val="fr-CA"/>
              </w:rPr>
              <w:t>]</w:t>
            </w:r>
          </w:p>
        </w:tc>
        <w:tc>
          <w:tcPr>
            <w:tcW w:w="301" w:type="pct"/>
          </w:tcPr>
          <w:p w14:paraId="52A8A20B" w14:textId="14794528" w:rsidR="00914A1A" w:rsidRPr="0081702E" w:rsidRDefault="00CB3638" w:rsidP="00914A1A">
            <w:pPr>
              <w:rPr>
                <w:rFonts w:asciiTheme="majorHAnsi" w:hAnsiTheme="majorHAnsi" w:cs="Arial"/>
                <w:b w:val="0"/>
                <w:sz w:val="20"/>
                <w:szCs w:val="20"/>
                <w:lang w:val="fr-CA"/>
              </w:rPr>
            </w:pPr>
            <w:r>
              <w:rPr>
                <w:rFonts w:asciiTheme="majorHAnsi" w:hAnsiTheme="majorHAnsi" w:cs="Arial"/>
                <w:b w:val="0"/>
                <w:sz w:val="20"/>
                <w:szCs w:val="20"/>
                <w:lang w:val="fr-CA"/>
              </w:rPr>
              <w:t>La plus élevée</w:t>
            </w:r>
          </w:p>
        </w:tc>
        <w:tc>
          <w:tcPr>
            <w:tcW w:w="390" w:type="pct"/>
          </w:tcPr>
          <w:p w14:paraId="2A5D6C7E" w14:textId="4D634D6B"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XII.5,</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¶25</w:t>
            </w:r>
          </w:p>
        </w:tc>
        <w:tc>
          <w:tcPr>
            <w:tcW w:w="403" w:type="pct"/>
          </w:tcPr>
          <w:p w14:paraId="5D17F836" w14:textId="660AB8AB"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4.14</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&amp;</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4.16</w:t>
            </w:r>
          </w:p>
        </w:tc>
        <w:tc>
          <w:tcPr>
            <w:tcW w:w="2921" w:type="pct"/>
          </w:tcPr>
          <w:p w14:paraId="7B9A12AB" w14:textId="6BEB93E8" w:rsidR="00914A1A" w:rsidRPr="0081702E" w:rsidRDefault="00130D8F"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w:t>
            </w:r>
            <w:r w:rsidR="00914A1A" w:rsidRPr="00130D8F">
              <w:rPr>
                <w:rFonts w:asciiTheme="majorHAnsi" w:hAnsiTheme="majorHAnsi" w:cs="Arial"/>
                <w:b w:val="0"/>
                <w:sz w:val="20"/>
                <w:szCs w:val="20"/>
                <w:lang w:val="fr-CA"/>
              </w:rPr>
              <w:t>:</w:t>
            </w:r>
            <w:r w:rsidR="00E01336" w:rsidRPr="00130D8F">
              <w:rPr>
                <w:rFonts w:asciiTheme="majorHAnsi" w:hAnsiTheme="majorHAnsi" w:cs="Arial"/>
                <w:b w:val="0"/>
                <w:sz w:val="20"/>
                <w:szCs w:val="20"/>
                <w:lang w:val="fr-CA"/>
              </w:rPr>
              <w:t xml:space="preserve"> </w:t>
            </w:r>
            <w:r w:rsidR="00B32124">
              <w:rPr>
                <w:rFonts w:asciiTheme="majorHAnsi" w:hAnsiTheme="majorHAnsi" w:cs="Arial"/>
                <w:b w:val="0"/>
                <w:sz w:val="20"/>
                <w:szCs w:val="20"/>
                <w:lang w:val="fr-CA"/>
              </w:rPr>
              <w:t>P</w:t>
            </w:r>
            <w:r>
              <w:rPr>
                <w:rFonts w:asciiTheme="majorHAnsi" w:hAnsiTheme="majorHAnsi" w:cs="Arial"/>
                <w:b w:val="0"/>
                <w:sz w:val="20"/>
                <w:szCs w:val="20"/>
                <w:lang w:val="fr-CA"/>
              </w:rPr>
              <w:t>ublier une édition</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2018</w:t>
            </w:r>
            <w:r w:rsidR="00E01336" w:rsidRPr="0081702E">
              <w:rPr>
                <w:rFonts w:asciiTheme="majorHAnsi" w:hAnsiTheme="majorHAnsi" w:cs="Arial"/>
                <w:b w:val="0"/>
                <w:sz w:val="20"/>
                <w:szCs w:val="20"/>
                <w:lang w:val="fr-CA"/>
              </w:rPr>
              <w:t xml:space="preserve"> </w:t>
            </w:r>
            <w:r>
              <w:rPr>
                <w:rFonts w:asciiTheme="majorHAnsi" w:hAnsiTheme="majorHAnsi" w:cs="Arial"/>
                <w:b w:val="0"/>
                <w:sz w:val="20"/>
                <w:szCs w:val="20"/>
                <w:lang w:val="fr-CA"/>
              </w:rPr>
              <w:t xml:space="preserve">de </w:t>
            </w:r>
            <w:r w:rsidR="00C22102">
              <w:rPr>
                <w:rFonts w:asciiTheme="majorHAnsi" w:hAnsiTheme="majorHAnsi" w:cs="Arial"/>
                <w:b w:val="0"/>
                <w:sz w:val="20"/>
                <w:szCs w:val="20"/>
                <w:lang w:val="fr-CA"/>
              </w:rPr>
              <w:t>l’ouvrage</w:t>
            </w:r>
            <w:r>
              <w:rPr>
                <w:rFonts w:asciiTheme="majorHAnsi" w:hAnsiTheme="majorHAnsi" w:cs="Arial"/>
                <w:b w:val="0"/>
                <w:sz w:val="20"/>
                <w:szCs w:val="20"/>
                <w:lang w:val="fr-CA"/>
              </w:rPr>
              <w:t xml:space="preserve"> périodique emblématique sur l’état mondial des zones humides, les moteurs de la perte des zones humides et les réponses</w:t>
            </w:r>
            <w:r w:rsidR="00C22102">
              <w:rPr>
                <w:rFonts w:asciiTheme="majorHAnsi" w:hAnsiTheme="majorHAnsi" w:cs="Arial"/>
                <w:b w:val="0"/>
                <w:sz w:val="20"/>
                <w:szCs w:val="20"/>
                <w:lang w:val="fr-CA"/>
              </w:rPr>
              <w:t>,</w:t>
            </w:r>
            <w:r>
              <w:rPr>
                <w:rFonts w:asciiTheme="majorHAnsi" w:hAnsiTheme="majorHAnsi" w:cs="Arial"/>
                <w:b w:val="0"/>
                <w:sz w:val="20"/>
                <w:szCs w:val="20"/>
                <w:lang w:val="fr-CA"/>
              </w:rPr>
              <w:t xml:space="preserve"> pour promouvoir les objectifs de la Convention liés au 4</w:t>
            </w:r>
            <w:r w:rsidRPr="00130D8F">
              <w:rPr>
                <w:rFonts w:asciiTheme="majorHAnsi" w:hAnsiTheme="majorHAnsi" w:cs="Arial"/>
                <w:b w:val="0"/>
                <w:sz w:val="20"/>
                <w:szCs w:val="20"/>
                <w:vertAlign w:val="superscript"/>
                <w:lang w:val="fr-CA"/>
              </w:rPr>
              <w:t>e</w:t>
            </w:r>
            <w:r>
              <w:rPr>
                <w:rFonts w:asciiTheme="majorHAnsi" w:hAnsiTheme="majorHAnsi" w:cs="Arial"/>
                <w:b w:val="0"/>
                <w:sz w:val="20"/>
                <w:szCs w:val="20"/>
                <w:lang w:val="fr-CA"/>
              </w:rPr>
              <w:t xml:space="preserve"> Plan stratégique, à la CESP et à d’autres processus internationaux </w:t>
            </w:r>
            <w:r w:rsidR="00914A1A" w:rsidRPr="0081702E">
              <w:rPr>
                <w:rFonts w:asciiTheme="majorHAnsi" w:hAnsiTheme="majorHAnsi" w:cs="Arial"/>
                <w:b w:val="0"/>
                <w:sz w:val="20"/>
                <w:szCs w:val="20"/>
                <w:lang w:val="fr-CA"/>
              </w:rPr>
              <w:t>(</w:t>
            </w:r>
            <w:r>
              <w:rPr>
                <w:rFonts w:asciiTheme="majorHAnsi" w:hAnsiTheme="majorHAnsi" w:cs="Arial"/>
                <w:b w:val="0"/>
                <w:sz w:val="20"/>
                <w:szCs w:val="20"/>
                <w:lang w:val="fr-CA"/>
              </w:rPr>
              <w:t>c.</w:t>
            </w:r>
            <w:r>
              <w:rPr>
                <w:rFonts w:asciiTheme="majorHAnsi" w:hAnsiTheme="majorHAnsi" w:cs="Arial"/>
                <w:b w:val="0"/>
                <w:sz w:val="20"/>
                <w:szCs w:val="20"/>
                <w:lang w:val="fr-CA"/>
              </w:rPr>
              <w:noBreakHyphen/>
              <w:t>à</w:t>
            </w:r>
            <w:r>
              <w:rPr>
                <w:rFonts w:asciiTheme="majorHAnsi" w:hAnsiTheme="majorHAnsi" w:cs="Arial"/>
                <w:b w:val="0"/>
                <w:sz w:val="20"/>
                <w:szCs w:val="20"/>
                <w:lang w:val="fr-CA"/>
              </w:rPr>
              <w:noBreakHyphen/>
              <w:t xml:space="preserve">d. ODD, Objectifs d’Aichi, </w:t>
            </w:r>
            <w:r w:rsidR="00C22102" w:rsidRPr="000E50B0">
              <w:rPr>
                <w:rFonts w:asciiTheme="majorHAnsi" w:hAnsiTheme="majorHAnsi" w:cs="Arial"/>
                <w:b w:val="0"/>
                <w:sz w:val="20"/>
                <w:szCs w:val="20"/>
                <w:lang w:val="fr-CA"/>
              </w:rPr>
              <w:t>Perspectives mondiales de la diversité</w:t>
            </w:r>
            <w:r w:rsidR="000E50B0">
              <w:rPr>
                <w:rFonts w:asciiTheme="majorHAnsi" w:hAnsiTheme="majorHAnsi" w:cs="Arial"/>
                <w:b w:val="0"/>
                <w:sz w:val="20"/>
                <w:szCs w:val="20"/>
                <w:lang w:val="fr-CA"/>
              </w:rPr>
              <w:t xml:space="preserve"> biologique</w:t>
            </w:r>
            <w:r w:rsidR="00914A1A" w:rsidRPr="0081702E">
              <w:rPr>
                <w:rFonts w:asciiTheme="majorHAnsi" w:hAnsiTheme="majorHAnsi" w:cs="Arial"/>
                <w:b w:val="0"/>
                <w:sz w:val="20"/>
                <w:szCs w:val="20"/>
                <w:lang w:val="fr-CA"/>
              </w:rPr>
              <w:t>).</w:t>
            </w:r>
          </w:p>
          <w:p w14:paraId="60CB2F44" w14:textId="1E128EA9" w:rsidR="00914A1A" w:rsidRPr="0081702E" w:rsidRDefault="00E01336"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 xml:space="preserve"> </w:t>
            </w:r>
          </w:p>
          <w:p w14:paraId="6DE13B5C" w14:textId="6E7510D3" w:rsidR="00914A1A" w:rsidRPr="00130D8F" w:rsidRDefault="00130D8F"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00914A1A"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w:t>
            </w:r>
          </w:p>
          <w:p w14:paraId="74AF3BB1" w14:textId="35FB9BFA" w:rsidR="00914A1A" w:rsidRPr="0081702E" w:rsidRDefault="00130D8F" w:rsidP="00914A1A">
            <w:pPr>
              <w:rPr>
                <w:rFonts w:asciiTheme="majorHAnsi" w:hAnsiTheme="majorHAnsi" w:cs="Arial"/>
                <w:b w:val="0"/>
                <w:sz w:val="20"/>
                <w:szCs w:val="20"/>
                <w:lang w:val="fr-CA"/>
              </w:rPr>
            </w:pPr>
            <w:r>
              <w:rPr>
                <w:rFonts w:asciiTheme="majorHAnsi" w:hAnsiTheme="majorHAnsi" w:cs="Arial"/>
                <w:b w:val="0"/>
                <w:sz w:val="20"/>
                <w:szCs w:val="20"/>
                <w:lang w:val="fr-CA"/>
              </w:rPr>
              <w:t>Rapport mondial avec produits dérivés pour des publics spécifiques (c.</w:t>
            </w:r>
            <w:r>
              <w:rPr>
                <w:rFonts w:asciiTheme="majorHAnsi" w:hAnsiTheme="majorHAnsi" w:cs="Arial"/>
                <w:b w:val="0"/>
                <w:sz w:val="20"/>
                <w:szCs w:val="20"/>
                <w:lang w:val="fr-CA"/>
              </w:rPr>
              <w:noBreakHyphen/>
              <w:t>à</w:t>
            </w:r>
            <w:r>
              <w:rPr>
                <w:rFonts w:asciiTheme="majorHAnsi" w:hAnsiTheme="majorHAnsi" w:cs="Arial"/>
                <w:b w:val="0"/>
                <w:sz w:val="20"/>
                <w:szCs w:val="20"/>
                <w:lang w:val="fr-CA"/>
              </w:rPr>
              <w:noBreakHyphen/>
              <w:t xml:space="preserve">d. documents d’orientation/ notes d’information). </w:t>
            </w:r>
          </w:p>
          <w:p w14:paraId="0191FE80" w14:textId="77777777" w:rsidR="00914A1A" w:rsidRPr="0081702E" w:rsidRDefault="00914A1A" w:rsidP="00914A1A">
            <w:pPr>
              <w:rPr>
                <w:rFonts w:asciiTheme="majorHAnsi" w:hAnsiTheme="majorHAnsi" w:cs="Arial"/>
                <w:b w:val="0"/>
                <w:sz w:val="20"/>
                <w:szCs w:val="20"/>
                <w:lang w:val="fr-CA"/>
              </w:rPr>
            </w:pPr>
          </w:p>
          <w:p w14:paraId="58DD1817" w14:textId="14535E13" w:rsidR="00914A1A" w:rsidRPr="0081702E" w:rsidRDefault="00130D8F" w:rsidP="00130D8F">
            <w:pPr>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00914A1A"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w:t>
            </w:r>
            <w:r w:rsidR="00914A1A" w:rsidRPr="00130D8F">
              <w:rPr>
                <w:rFonts w:asciiTheme="majorHAnsi" w:hAnsiTheme="majorHAnsi" w:cs="Arial"/>
                <w:b w:val="0"/>
                <w:sz w:val="20"/>
                <w:szCs w:val="20"/>
                <w:lang w:val="fr-CA"/>
              </w:rPr>
              <w:t>:</w:t>
            </w:r>
            <w:r w:rsidR="00E01336" w:rsidRPr="00130D8F">
              <w:rPr>
                <w:rFonts w:asciiTheme="majorHAnsi" w:hAnsiTheme="majorHAnsi" w:cs="Arial"/>
                <w:b w:val="0"/>
                <w:sz w:val="20"/>
                <w:szCs w:val="20"/>
                <w:lang w:val="fr-CA"/>
              </w:rPr>
              <w:t xml:space="preserve"> </w:t>
            </w:r>
            <w:r w:rsidR="00B32124">
              <w:rPr>
                <w:rFonts w:asciiTheme="majorHAnsi" w:hAnsiTheme="majorHAnsi" w:cs="Arial"/>
                <w:b w:val="0"/>
                <w:sz w:val="20"/>
                <w:szCs w:val="20"/>
                <w:lang w:val="fr-CA"/>
              </w:rPr>
              <w:t>L</w:t>
            </w:r>
            <w:r>
              <w:rPr>
                <w:rFonts w:asciiTheme="majorHAnsi" w:hAnsiTheme="majorHAnsi" w:cs="Arial"/>
                <w:b w:val="0"/>
                <w:sz w:val="20"/>
                <w:szCs w:val="20"/>
                <w:lang w:val="fr-CA"/>
              </w:rPr>
              <w:t xml:space="preserve">a publication emblématique s’adressera aux Parties contractantes et à un vaste public, avec des produits dérivés ciblant des publics spécifiques. </w:t>
            </w:r>
          </w:p>
        </w:tc>
        <w:tc>
          <w:tcPr>
            <w:tcW w:w="497" w:type="pct"/>
          </w:tcPr>
          <w:p w14:paraId="34F20EE9" w14:textId="5C6FA0DC"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250</w:t>
            </w:r>
            <w:r w:rsidR="00130D8F">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000</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(f</w:t>
            </w:r>
            <w:r w:rsidR="00331336">
              <w:rPr>
                <w:rFonts w:asciiTheme="majorHAnsi" w:hAnsiTheme="majorHAnsi" w:cs="Arial"/>
                <w:b w:val="0"/>
                <w:sz w:val="20"/>
                <w:szCs w:val="20"/>
                <w:lang w:val="fr-CA"/>
              </w:rPr>
              <w:t>inancement à obtenir</w:t>
            </w:r>
            <w:r w:rsidRPr="0081702E">
              <w:rPr>
                <w:rFonts w:asciiTheme="majorHAnsi" w:hAnsiTheme="majorHAnsi" w:cs="Arial"/>
                <w:b w:val="0"/>
                <w:sz w:val="20"/>
                <w:szCs w:val="20"/>
                <w:lang w:val="fr-CA"/>
              </w:rPr>
              <w:t>)</w:t>
            </w:r>
          </w:p>
          <w:p w14:paraId="4532DCCE" w14:textId="77777777" w:rsidR="00914A1A" w:rsidRPr="0081702E" w:rsidRDefault="00914A1A" w:rsidP="00914A1A">
            <w:pPr>
              <w:rPr>
                <w:rFonts w:asciiTheme="majorHAnsi" w:hAnsiTheme="majorHAnsi" w:cs="Arial"/>
                <w:b w:val="0"/>
                <w:sz w:val="20"/>
                <w:szCs w:val="20"/>
                <w:lang w:val="fr-CA"/>
              </w:rPr>
            </w:pPr>
          </w:p>
          <w:p w14:paraId="4B4DB4B6" w14:textId="4626DF15"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67</w:t>
            </w:r>
            <w:r w:rsidR="00130D8F">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000</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w:t>
            </w:r>
            <w:r w:rsidR="00331336">
              <w:rPr>
                <w:rFonts w:asciiTheme="majorHAnsi" w:hAnsiTheme="majorHAnsi" w:cs="Arial"/>
                <w:b w:val="0"/>
                <w:sz w:val="20"/>
                <w:szCs w:val="20"/>
                <w:lang w:val="fr-CA"/>
              </w:rPr>
              <w:t>sans appel de fonds</w:t>
            </w:r>
            <w:r w:rsidRPr="0081702E">
              <w:rPr>
                <w:rFonts w:asciiTheme="majorHAnsi" w:hAnsiTheme="majorHAnsi" w:cs="Arial"/>
                <w:b w:val="0"/>
                <w:sz w:val="20"/>
                <w:szCs w:val="20"/>
                <w:lang w:val="fr-CA"/>
              </w:rPr>
              <w:t>)</w:t>
            </w:r>
          </w:p>
          <w:p w14:paraId="7F1A76D7" w14:textId="77777777" w:rsidR="00914A1A" w:rsidRPr="0081702E" w:rsidRDefault="00914A1A" w:rsidP="00914A1A">
            <w:pPr>
              <w:jc w:val="center"/>
              <w:rPr>
                <w:rFonts w:asciiTheme="majorHAnsi" w:hAnsiTheme="majorHAnsi" w:cs="Arial"/>
                <w:b w:val="0"/>
                <w:sz w:val="20"/>
                <w:szCs w:val="20"/>
                <w:lang w:val="fr-CA"/>
              </w:rPr>
            </w:pPr>
          </w:p>
        </w:tc>
      </w:tr>
      <w:tr w:rsidR="00914A1A" w:rsidRPr="00DF4418" w14:paraId="71270C32" w14:textId="77777777" w:rsidTr="00130D8F">
        <w:tc>
          <w:tcPr>
            <w:tcW w:w="488" w:type="pct"/>
          </w:tcPr>
          <w:p w14:paraId="0FBAA673" w14:textId="2A6E6EB4" w:rsidR="00914A1A" w:rsidRPr="0081702E" w:rsidRDefault="00914A1A" w:rsidP="00331336">
            <w:pPr>
              <w:rPr>
                <w:rFonts w:asciiTheme="majorHAnsi" w:hAnsiTheme="majorHAnsi" w:cs="Arial"/>
                <w:b w:val="0"/>
                <w:sz w:val="20"/>
                <w:szCs w:val="20"/>
                <w:lang w:val="fr-CA"/>
              </w:rPr>
            </w:pPr>
            <w:r w:rsidRPr="0081702E">
              <w:rPr>
                <w:rFonts w:asciiTheme="majorHAnsi" w:hAnsiTheme="majorHAnsi" w:cs="Arial"/>
                <w:b w:val="0"/>
                <w:sz w:val="20"/>
                <w:szCs w:val="20"/>
                <w:lang w:val="fr-CA"/>
              </w:rPr>
              <w:t>N</w:t>
            </w:r>
            <w:r w:rsidRPr="00130D8F">
              <w:rPr>
                <w:rFonts w:asciiTheme="majorHAnsi" w:hAnsiTheme="majorHAnsi" w:cs="Arial"/>
                <w:b w:val="0"/>
                <w:sz w:val="20"/>
                <w:szCs w:val="20"/>
                <w:vertAlign w:val="superscript"/>
                <w:lang w:val="fr-CA"/>
              </w:rPr>
              <w:t>o</w:t>
            </w:r>
            <w:r w:rsidR="00130D8F">
              <w:rPr>
                <w:rFonts w:asciiTheme="majorHAnsi" w:hAnsiTheme="majorHAnsi" w:cs="Arial"/>
                <w:b w:val="0"/>
                <w:sz w:val="20"/>
                <w:szCs w:val="20"/>
                <w:vertAlign w:val="superscript"/>
                <w:lang w:val="fr-CA"/>
              </w:rPr>
              <w:t> </w:t>
            </w:r>
            <w:r w:rsidRPr="0081702E">
              <w:rPr>
                <w:rFonts w:asciiTheme="majorHAnsi" w:hAnsiTheme="majorHAnsi" w:cs="Arial"/>
                <w:b w:val="0"/>
                <w:sz w:val="20"/>
                <w:szCs w:val="20"/>
                <w:lang w:val="fr-CA"/>
              </w:rPr>
              <w:t>1.2</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Engagement</w:t>
            </w:r>
            <w:r w:rsidR="00E01336" w:rsidRPr="0081702E">
              <w:rPr>
                <w:rFonts w:asciiTheme="majorHAnsi" w:hAnsiTheme="majorHAnsi" w:cs="Arial"/>
                <w:b w:val="0"/>
                <w:sz w:val="20"/>
                <w:szCs w:val="20"/>
                <w:lang w:val="fr-CA"/>
              </w:rPr>
              <w:t xml:space="preserve"> </w:t>
            </w:r>
            <w:r w:rsidR="00331336">
              <w:rPr>
                <w:rFonts w:asciiTheme="majorHAnsi" w:hAnsiTheme="majorHAnsi" w:cs="Arial"/>
                <w:b w:val="0"/>
                <w:sz w:val="20"/>
                <w:szCs w:val="20"/>
                <w:lang w:val="fr-CA"/>
              </w:rPr>
              <w:t>auprès de l’</w:t>
            </w:r>
            <w:r w:rsidRPr="0081702E">
              <w:rPr>
                <w:rFonts w:asciiTheme="majorHAnsi" w:hAnsiTheme="majorHAnsi" w:cs="Arial"/>
                <w:b w:val="0"/>
                <w:sz w:val="20"/>
                <w:szCs w:val="20"/>
                <w:lang w:val="fr-CA"/>
              </w:rPr>
              <w:t>IPBES</w:t>
            </w:r>
          </w:p>
        </w:tc>
        <w:tc>
          <w:tcPr>
            <w:tcW w:w="301" w:type="pct"/>
          </w:tcPr>
          <w:p w14:paraId="069043C7" w14:textId="77777777" w:rsidR="00914A1A" w:rsidRPr="0081702E" w:rsidRDefault="00914A1A" w:rsidP="00914A1A">
            <w:pPr>
              <w:rPr>
                <w:rFonts w:asciiTheme="majorHAnsi" w:hAnsiTheme="majorHAnsi" w:cs="Arial"/>
                <w:b w:val="0"/>
                <w:sz w:val="20"/>
                <w:szCs w:val="20"/>
                <w:lang w:val="fr-CA"/>
              </w:rPr>
            </w:pPr>
          </w:p>
        </w:tc>
        <w:tc>
          <w:tcPr>
            <w:tcW w:w="390" w:type="pct"/>
          </w:tcPr>
          <w:p w14:paraId="6784CD08" w14:textId="38DC99AB" w:rsidR="00914A1A" w:rsidRPr="00C22102" w:rsidRDefault="00914A1A" w:rsidP="00914A1A">
            <w:pPr>
              <w:rPr>
                <w:rFonts w:asciiTheme="majorHAnsi" w:hAnsiTheme="majorHAnsi" w:cs="Arial"/>
                <w:b w:val="0"/>
                <w:sz w:val="20"/>
                <w:szCs w:val="20"/>
                <w:lang w:val="fr-CA"/>
              </w:rPr>
            </w:pPr>
            <w:r w:rsidRPr="00C22102">
              <w:rPr>
                <w:rFonts w:asciiTheme="majorHAnsi" w:hAnsiTheme="majorHAnsi" w:cs="Arial"/>
                <w:b w:val="0"/>
                <w:sz w:val="20"/>
                <w:szCs w:val="20"/>
                <w:lang w:val="fr-CA"/>
              </w:rPr>
              <w:t>XII.2,</w:t>
            </w:r>
            <w:r w:rsidR="00E01336" w:rsidRPr="00C22102">
              <w:rPr>
                <w:rFonts w:asciiTheme="majorHAnsi" w:hAnsiTheme="majorHAnsi" w:cs="Arial"/>
                <w:b w:val="0"/>
                <w:sz w:val="20"/>
                <w:szCs w:val="20"/>
                <w:lang w:val="fr-CA"/>
              </w:rPr>
              <w:t xml:space="preserve"> </w:t>
            </w:r>
            <w:r w:rsidRPr="00C22102">
              <w:rPr>
                <w:rFonts w:asciiTheme="majorHAnsi" w:hAnsiTheme="majorHAnsi" w:cs="Arial"/>
                <w:b w:val="0"/>
                <w:sz w:val="20"/>
                <w:szCs w:val="20"/>
                <w:lang w:val="fr-CA"/>
              </w:rPr>
              <w:t>¶24;</w:t>
            </w:r>
          </w:p>
          <w:p w14:paraId="6CBA9E65" w14:textId="5414AA06"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XII.3,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48,</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49</w:t>
            </w:r>
          </w:p>
        </w:tc>
        <w:tc>
          <w:tcPr>
            <w:tcW w:w="403" w:type="pct"/>
          </w:tcPr>
          <w:p w14:paraId="4E5B7783" w14:textId="6D59BB32"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3.8;</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4.18;</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3.00</w:t>
            </w:r>
          </w:p>
          <w:p w14:paraId="2604A8F2" w14:textId="77777777" w:rsidR="00914A1A" w:rsidRPr="0081702E" w:rsidRDefault="00914A1A" w:rsidP="00914A1A">
            <w:pPr>
              <w:rPr>
                <w:rFonts w:asciiTheme="majorHAnsi" w:hAnsiTheme="majorHAnsi" w:cs="Arial"/>
                <w:sz w:val="20"/>
                <w:szCs w:val="20"/>
                <w:lang w:val="fr-CA"/>
              </w:rPr>
            </w:pPr>
          </w:p>
        </w:tc>
        <w:tc>
          <w:tcPr>
            <w:tcW w:w="2921" w:type="pct"/>
          </w:tcPr>
          <w:p w14:paraId="1BD202EA" w14:textId="61C86F59" w:rsidR="00914A1A" w:rsidRPr="0081702E" w:rsidRDefault="00130D8F"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B32124">
              <w:rPr>
                <w:rFonts w:asciiTheme="majorHAnsi" w:hAnsiTheme="majorHAnsi" w:cs="Arial"/>
                <w:b w:val="0"/>
                <w:sz w:val="20"/>
                <w:szCs w:val="20"/>
                <w:lang w:val="fr-CA"/>
              </w:rPr>
              <w:t>P</w:t>
            </w:r>
            <w:r w:rsidR="00331336">
              <w:rPr>
                <w:rFonts w:asciiTheme="majorHAnsi" w:hAnsiTheme="majorHAnsi" w:cs="Arial"/>
                <w:b w:val="0"/>
                <w:sz w:val="20"/>
                <w:szCs w:val="20"/>
                <w:lang w:val="fr-CA"/>
              </w:rPr>
              <w:t xml:space="preserve">oursuivre l’engagement dans les travaux de l’IPBES par les moyens suivants : participation du Président du GEST aux réunions de l’IPBES et </w:t>
            </w:r>
            <w:r w:rsidR="000E50B0">
              <w:rPr>
                <w:rFonts w:asciiTheme="majorHAnsi" w:hAnsiTheme="majorHAnsi" w:cs="Arial"/>
                <w:b w:val="0"/>
                <w:sz w:val="20"/>
                <w:szCs w:val="20"/>
                <w:lang w:val="fr-CA"/>
              </w:rPr>
              <w:t>de son Groupe d’experts sur la gestion</w:t>
            </w:r>
            <w:r w:rsidR="00914A1A" w:rsidRPr="0081702E">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participation</w:t>
            </w:r>
            <w:r w:rsidR="00E01336" w:rsidRPr="0081702E">
              <w:rPr>
                <w:rFonts w:asciiTheme="majorHAnsi" w:hAnsiTheme="majorHAnsi" w:cs="Arial"/>
                <w:b w:val="0"/>
                <w:sz w:val="20"/>
                <w:szCs w:val="20"/>
                <w:lang w:val="fr-CA"/>
              </w:rPr>
              <w:t xml:space="preserve"> </w:t>
            </w:r>
            <w:r w:rsidR="00331336">
              <w:rPr>
                <w:rFonts w:asciiTheme="majorHAnsi" w:hAnsiTheme="majorHAnsi" w:cs="Arial"/>
                <w:b w:val="0"/>
                <w:sz w:val="20"/>
                <w:szCs w:val="20"/>
                <w:lang w:val="fr-CA"/>
              </w:rPr>
              <w:t xml:space="preserve">de membres du GEST et d’autres experts Ramsar à des évaluations mondiales et régionales, examen des demandes de l’IPBES pour des évaluations thématiques, y compris une évaluation thématique sur l’état actuel et les tendances des zones humides, et intégration des résultats des évaluations de l’IPBES (p. ex., pollinisateurs, dégradation et restauration des sols) dans les travaux du GEST. </w:t>
            </w:r>
          </w:p>
          <w:p w14:paraId="62C68AEB" w14:textId="77777777" w:rsidR="00914A1A" w:rsidRPr="0081702E" w:rsidRDefault="00914A1A" w:rsidP="00914A1A">
            <w:pPr>
              <w:rPr>
                <w:rFonts w:asciiTheme="majorHAnsi" w:hAnsiTheme="majorHAnsi" w:cs="Arial"/>
                <w:b w:val="0"/>
                <w:sz w:val="20"/>
                <w:szCs w:val="20"/>
                <w:lang w:val="fr-CA"/>
              </w:rPr>
            </w:pPr>
          </w:p>
          <w:p w14:paraId="75CC573F" w14:textId="061594A0" w:rsidR="00914A1A" w:rsidRPr="0081702E" w:rsidRDefault="00130D8F"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B32124">
              <w:rPr>
                <w:rFonts w:asciiTheme="majorHAnsi" w:hAnsiTheme="majorHAnsi" w:cs="Arial"/>
                <w:b w:val="0"/>
                <w:sz w:val="20"/>
                <w:szCs w:val="20"/>
                <w:lang w:val="fr-CA"/>
              </w:rPr>
              <w:t>A</w:t>
            </w:r>
            <w:r w:rsidR="00331336">
              <w:rPr>
                <w:rFonts w:asciiTheme="majorHAnsi" w:hAnsiTheme="majorHAnsi" w:cs="Arial"/>
                <w:b w:val="0"/>
                <w:sz w:val="20"/>
                <w:szCs w:val="20"/>
                <w:lang w:val="fr-CA"/>
              </w:rPr>
              <w:t>vis pour mieux lier les processus Ramsar et IPBES.</w:t>
            </w:r>
          </w:p>
          <w:p w14:paraId="3B3C1215" w14:textId="77777777" w:rsidR="00914A1A" w:rsidRPr="0081702E" w:rsidRDefault="00914A1A" w:rsidP="00914A1A">
            <w:pPr>
              <w:rPr>
                <w:rFonts w:asciiTheme="majorHAnsi" w:hAnsiTheme="majorHAnsi" w:cs="Arial"/>
                <w:b w:val="0"/>
                <w:sz w:val="20"/>
                <w:szCs w:val="20"/>
                <w:lang w:val="fr-CA"/>
              </w:rPr>
            </w:pPr>
          </w:p>
          <w:p w14:paraId="1B13FD0F" w14:textId="2C98258A" w:rsidR="00914A1A" w:rsidRPr="0081702E" w:rsidRDefault="00130D8F" w:rsidP="00331336">
            <w:pPr>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914A1A" w:rsidRPr="0081702E">
              <w:rPr>
                <w:rFonts w:asciiTheme="majorHAnsi" w:hAnsiTheme="majorHAnsi" w:cs="Arial"/>
                <w:b w:val="0"/>
                <w:sz w:val="20"/>
                <w:szCs w:val="20"/>
                <w:lang w:val="fr-CA"/>
              </w:rPr>
              <w:t>Parties</w:t>
            </w:r>
            <w:r w:rsidR="00331336">
              <w:rPr>
                <w:rFonts w:asciiTheme="majorHAnsi" w:hAnsiTheme="majorHAnsi" w:cs="Arial"/>
                <w:b w:val="0"/>
                <w:sz w:val="20"/>
                <w:szCs w:val="20"/>
                <w:lang w:val="fr-CA"/>
              </w:rPr>
              <w:t xml:space="preserve"> contractantes.</w:t>
            </w:r>
          </w:p>
        </w:tc>
        <w:tc>
          <w:tcPr>
            <w:tcW w:w="497" w:type="pct"/>
          </w:tcPr>
          <w:p w14:paraId="68DFEA29" w14:textId="29429FCD" w:rsidR="00914A1A" w:rsidRPr="0081702E" w:rsidRDefault="00331336" w:rsidP="00331336">
            <w:pPr>
              <w:rPr>
                <w:rFonts w:asciiTheme="majorHAnsi" w:hAnsiTheme="majorHAnsi" w:cs="Arial"/>
                <w:b w:val="0"/>
                <w:sz w:val="20"/>
                <w:szCs w:val="20"/>
                <w:lang w:val="fr-CA"/>
              </w:rPr>
            </w:pPr>
            <w:r>
              <w:rPr>
                <w:rFonts w:asciiTheme="majorHAnsi" w:hAnsiTheme="majorHAnsi" w:cs="Arial"/>
                <w:b w:val="0"/>
                <w:sz w:val="20"/>
                <w:szCs w:val="20"/>
                <w:lang w:val="fr-CA"/>
              </w:rPr>
              <w:t xml:space="preserve">Fonds pour les voyages du Président du GEST pour couvrir les frais de voyage </w:t>
            </w:r>
          </w:p>
        </w:tc>
      </w:tr>
      <w:tr w:rsidR="00914A1A" w:rsidRPr="00DF4418" w14:paraId="65388F23" w14:textId="77777777" w:rsidTr="00130D8F">
        <w:tc>
          <w:tcPr>
            <w:tcW w:w="488" w:type="pct"/>
          </w:tcPr>
          <w:p w14:paraId="020BCA30" w14:textId="2EB7ACA7" w:rsidR="00914A1A" w:rsidRPr="00521F7A" w:rsidRDefault="00130D8F" w:rsidP="00521F7A">
            <w:pPr>
              <w:rPr>
                <w:rFonts w:asciiTheme="majorHAnsi" w:hAnsiTheme="majorHAnsi" w:cs="Arial"/>
                <w:b w:val="0"/>
                <w:sz w:val="20"/>
                <w:szCs w:val="20"/>
                <w:lang w:val="fr-CH"/>
              </w:rPr>
            </w:pPr>
            <w:r w:rsidRPr="00521F7A">
              <w:rPr>
                <w:rFonts w:asciiTheme="majorHAnsi" w:hAnsiTheme="majorHAnsi" w:cs="Arial"/>
                <w:b w:val="0"/>
                <w:sz w:val="20"/>
                <w:szCs w:val="20"/>
                <w:lang w:val="fr-CH"/>
              </w:rPr>
              <w:t>N</w:t>
            </w:r>
            <w:r w:rsidRPr="00521F7A">
              <w:rPr>
                <w:rFonts w:asciiTheme="majorHAnsi" w:hAnsiTheme="majorHAnsi" w:cs="Arial"/>
                <w:b w:val="0"/>
                <w:sz w:val="20"/>
                <w:szCs w:val="20"/>
                <w:vertAlign w:val="superscript"/>
                <w:lang w:val="fr-CH"/>
              </w:rPr>
              <w:t>o</w:t>
            </w:r>
            <w:r w:rsidR="007A5CFB" w:rsidRPr="00521F7A">
              <w:rPr>
                <w:rFonts w:asciiTheme="majorHAnsi" w:hAnsiTheme="majorHAnsi" w:cs="Arial"/>
                <w:b w:val="0"/>
                <w:sz w:val="20"/>
                <w:szCs w:val="20"/>
                <w:vertAlign w:val="superscript"/>
                <w:lang w:val="fr-CH"/>
              </w:rPr>
              <w:t xml:space="preserve"> </w:t>
            </w:r>
            <w:r w:rsidR="00914A1A" w:rsidRPr="00521F7A">
              <w:rPr>
                <w:rFonts w:asciiTheme="majorHAnsi" w:hAnsiTheme="majorHAnsi" w:cs="Arial"/>
                <w:b w:val="0"/>
                <w:sz w:val="20"/>
                <w:szCs w:val="20"/>
                <w:lang w:val="fr-CH"/>
              </w:rPr>
              <w:t>1.3,</w:t>
            </w:r>
            <w:r w:rsidR="00E01336" w:rsidRPr="00521F7A">
              <w:rPr>
                <w:rFonts w:asciiTheme="majorHAnsi" w:hAnsiTheme="majorHAnsi" w:cs="Arial"/>
                <w:b w:val="0"/>
                <w:sz w:val="20"/>
                <w:szCs w:val="20"/>
                <w:lang w:val="fr-CH"/>
              </w:rPr>
              <w:t xml:space="preserve"> </w:t>
            </w:r>
            <w:r w:rsidR="00914A1A" w:rsidRPr="00521F7A">
              <w:rPr>
                <w:rFonts w:asciiTheme="majorHAnsi" w:hAnsiTheme="majorHAnsi" w:cs="Arial"/>
                <w:b w:val="0"/>
                <w:sz w:val="20"/>
                <w:szCs w:val="20"/>
                <w:lang w:val="fr-CH"/>
              </w:rPr>
              <w:t>Global</w:t>
            </w:r>
            <w:r w:rsidR="00E01336" w:rsidRPr="00521F7A">
              <w:rPr>
                <w:rFonts w:asciiTheme="majorHAnsi" w:hAnsiTheme="majorHAnsi" w:cs="Arial"/>
                <w:b w:val="0"/>
                <w:sz w:val="20"/>
                <w:szCs w:val="20"/>
                <w:lang w:val="fr-CH"/>
              </w:rPr>
              <w:t xml:space="preserve"> </w:t>
            </w:r>
            <w:r w:rsidR="00914A1A" w:rsidRPr="00521F7A">
              <w:rPr>
                <w:rFonts w:asciiTheme="majorHAnsi" w:hAnsiTheme="majorHAnsi" w:cs="Arial"/>
                <w:b w:val="0"/>
                <w:sz w:val="20"/>
                <w:szCs w:val="20"/>
                <w:lang w:val="fr-CH"/>
              </w:rPr>
              <w:t>Wetlands</w:t>
            </w:r>
            <w:r w:rsidR="00E01336" w:rsidRPr="00521F7A">
              <w:rPr>
                <w:rFonts w:asciiTheme="majorHAnsi" w:hAnsiTheme="majorHAnsi" w:cs="Arial"/>
                <w:b w:val="0"/>
                <w:sz w:val="20"/>
                <w:szCs w:val="20"/>
                <w:lang w:val="fr-CH"/>
              </w:rPr>
              <w:t xml:space="preserve"> </w:t>
            </w:r>
            <w:r w:rsidR="00914A1A" w:rsidRPr="00521F7A">
              <w:rPr>
                <w:rFonts w:asciiTheme="majorHAnsi" w:hAnsiTheme="majorHAnsi" w:cs="Arial"/>
                <w:b w:val="0"/>
                <w:sz w:val="20"/>
                <w:szCs w:val="20"/>
                <w:lang w:val="fr-CH"/>
              </w:rPr>
              <w:t>Observation</w:t>
            </w:r>
            <w:r w:rsidR="00E01336" w:rsidRPr="00521F7A">
              <w:rPr>
                <w:rFonts w:asciiTheme="majorHAnsi" w:hAnsiTheme="majorHAnsi" w:cs="Arial"/>
                <w:b w:val="0"/>
                <w:sz w:val="20"/>
                <w:szCs w:val="20"/>
                <w:lang w:val="fr-CH"/>
              </w:rPr>
              <w:t xml:space="preserve"> </w:t>
            </w:r>
            <w:r w:rsidR="00914A1A" w:rsidRPr="00521F7A">
              <w:rPr>
                <w:rFonts w:asciiTheme="majorHAnsi" w:hAnsiTheme="majorHAnsi" w:cs="Arial"/>
                <w:b w:val="0"/>
                <w:sz w:val="20"/>
                <w:szCs w:val="20"/>
                <w:lang w:val="fr-CH"/>
              </w:rPr>
              <w:t>System</w:t>
            </w:r>
            <w:r w:rsidR="00521F7A" w:rsidRPr="00521F7A">
              <w:rPr>
                <w:rFonts w:asciiTheme="majorHAnsi" w:hAnsiTheme="majorHAnsi" w:cs="Arial"/>
                <w:b w:val="0"/>
                <w:sz w:val="20"/>
                <w:szCs w:val="20"/>
                <w:lang w:val="fr-CH"/>
              </w:rPr>
              <w:t xml:space="preserve"> (Système mondial d’observation des</w:t>
            </w:r>
            <w:r w:rsidR="00521F7A">
              <w:rPr>
                <w:rFonts w:asciiTheme="majorHAnsi" w:hAnsiTheme="majorHAnsi" w:cs="Arial"/>
                <w:b w:val="0"/>
                <w:sz w:val="20"/>
                <w:szCs w:val="20"/>
                <w:lang w:val="fr-CH"/>
              </w:rPr>
              <w:t xml:space="preserve"> </w:t>
            </w:r>
            <w:r w:rsidR="00521F7A" w:rsidRPr="00521F7A">
              <w:rPr>
                <w:rFonts w:asciiTheme="majorHAnsi" w:hAnsiTheme="majorHAnsi" w:cs="Arial"/>
                <w:b w:val="0"/>
                <w:sz w:val="20"/>
                <w:szCs w:val="20"/>
                <w:lang w:val="fr-CH"/>
              </w:rPr>
              <w:t xml:space="preserve">zones </w:t>
            </w:r>
            <w:r w:rsidR="00521F7A" w:rsidRPr="00521F7A">
              <w:rPr>
                <w:rFonts w:asciiTheme="majorHAnsi" w:hAnsiTheme="majorHAnsi" w:cs="Arial"/>
                <w:b w:val="0"/>
                <w:sz w:val="20"/>
                <w:szCs w:val="20"/>
                <w:lang w:val="fr-CH"/>
              </w:rPr>
              <w:lastRenderedPageBreak/>
              <w:t>humides)</w:t>
            </w:r>
            <w:r w:rsidR="00E01336" w:rsidRPr="00521F7A">
              <w:rPr>
                <w:rFonts w:asciiTheme="majorHAnsi" w:hAnsiTheme="majorHAnsi" w:cs="Arial"/>
                <w:b w:val="0"/>
                <w:sz w:val="20"/>
                <w:szCs w:val="20"/>
                <w:lang w:val="fr-CH"/>
              </w:rPr>
              <w:t xml:space="preserve"> </w:t>
            </w:r>
            <w:r w:rsidR="00914A1A" w:rsidRPr="00521F7A">
              <w:rPr>
                <w:rFonts w:asciiTheme="majorHAnsi" w:hAnsiTheme="majorHAnsi" w:cs="Arial"/>
                <w:b w:val="0"/>
                <w:sz w:val="20"/>
                <w:szCs w:val="20"/>
                <w:lang w:val="fr-CH"/>
              </w:rPr>
              <w:t>(GWOS)</w:t>
            </w:r>
          </w:p>
        </w:tc>
        <w:tc>
          <w:tcPr>
            <w:tcW w:w="301" w:type="pct"/>
          </w:tcPr>
          <w:p w14:paraId="195835D5" w14:textId="77777777" w:rsidR="00914A1A" w:rsidRPr="00521F7A" w:rsidRDefault="00914A1A" w:rsidP="00914A1A">
            <w:pPr>
              <w:rPr>
                <w:rFonts w:asciiTheme="majorHAnsi" w:hAnsiTheme="majorHAnsi" w:cs="Arial"/>
                <w:b w:val="0"/>
                <w:sz w:val="20"/>
                <w:szCs w:val="20"/>
                <w:lang w:val="fr-CH"/>
              </w:rPr>
            </w:pPr>
          </w:p>
        </w:tc>
        <w:tc>
          <w:tcPr>
            <w:tcW w:w="390" w:type="pct"/>
          </w:tcPr>
          <w:p w14:paraId="6815EE2B" w14:textId="77777777" w:rsidR="00914A1A" w:rsidRPr="00521F7A" w:rsidRDefault="00914A1A" w:rsidP="00914A1A">
            <w:pPr>
              <w:rPr>
                <w:rFonts w:asciiTheme="majorHAnsi" w:hAnsiTheme="majorHAnsi" w:cs="Arial"/>
                <w:b w:val="0"/>
                <w:sz w:val="20"/>
                <w:szCs w:val="20"/>
                <w:lang w:val="fr-CH"/>
              </w:rPr>
            </w:pPr>
          </w:p>
        </w:tc>
        <w:tc>
          <w:tcPr>
            <w:tcW w:w="403" w:type="pct"/>
          </w:tcPr>
          <w:p w14:paraId="2C5EC489" w14:textId="647DCDFD"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3.8,</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4.14,</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4.18</w:t>
            </w:r>
          </w:p>
        </w:tc>
        <w:tc>
          <w:tcPr>
            <w:tcW w:w="2921" w:type="pct"/>
          </w:tcPr>
          <w:p w14:paraId="4AA6783D" w14:textId="07F2CE4C" w:rsidR="00914A1A" w:rsidRPr="0081702E" w:rsidRDefault="00130D8F"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B32124">
              <w:rPr>
                <w:rFonts w:asciiTheme="majorHAnsi" w:hAnsiTheme="majorHAnsi" w:cs="Arial"/>
                <w:b w:val="0"/>
                <w:sz w:val="20"/>
                <w:szCs w:val="20"/>
                <w:lang w:val="fr-CA"/>
              </w:rPr>
              <w:t>F</w:t>
            </w:r>
            <w:r w:rsidR="00331336">
              <w:rPr>
                <w:rFonts w:asciiTheme="majorHAnsi" w:hAnsiTheme="majorHAnsi" w:cs="Arial"/>
                <w:b w:val="0"/>
                <w:sz w:val="20"/>
                <w:szCs w:val="20"/>
                <w:lang w:val="fr-CA"/>
              </w:rPr>
              <w:t>ournir des avis pour le développement du GWOS et d’autres systèmes d’observation de la Terre pertinents pour des contributions potentielles aux besoins de Ramsar, le cas échéant.</w:t>
            </w:r>
          </w:p>
          <w:p w14:paraId="6F5F8609" w14:textId="41041E2E" w:rsidR="00914A1A" w:rsidRPr="0081702E" w:rsidRDefault="00E01336"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 xml:space="preserve"> </w:t>
            </w:r>
          </w:p>
          <w:p w14:paraId="3EA60B38" w14:textId="37D1B837" w:rsidR="00914A1A" w:rsidRPr="0081702E" w:rsidRDefault="00130D8F"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B32124">
              <w:rPr>
                <w:rFonts w:asciiTheme="majorHAnsi" w:hAnsiTheme="majorHAnsi" w:cs="Arial"/>
                <w:b w:val="0"/>
                <w:sz w:val="20"/>
                <w:szCs w:val="20"/>
                <w:lang w:val="fr-CA"/>
              </w:rPr>
              <w:t>O</w:t>
            </w:r>
            <w:r w:rsidR="00331336">
              <w:rPr>
                <w:rFonts w:asciiTheme="majorHAnsi" w:hAnsiTheme="majorHAnsi" w:cs="Arial"/>
                <w:b w:val="0"/>
                <w:sz w:val="20"/>
                <w:szCs w:val="20"/>
                <w:lang w:val="fr-CA"/>
              </w:rPr>
              <w:t xml:space="preserve">btenir une vue d’ensemble comme base d’avis pour soutenir les efforts de suivi à l’échelon mondial. </w:t>
            </w:r>
          </w:p>
          <w:p w14:paraId="0309383E" w14:textId="77777777" w:rsidR="00914A1A" w:rsidRPr="0081702E" w:rsidRDefault="00914A1A" w:rsidP="00914A1A">
            <w:pPr>
              <w:rPr>
                <w:rFonts w:asciiTheme="majorHAnsi" w:hAnsiTheme="majorHAnsi" w:cs="Arial"/>
                <w:b w:val="0"/>
                <w:sz w:val="20"/>
                <w:szCs w:val="20"/>
                <w:lang w:val="fr-CA"/>
              </w:rPr>
            </w:pPr>
          </w:p>
          <w:p w14:paraId="13BF4E49" w14:textId="1958B99E" w:rsidR="00914A1A" w:rsidRPr="0081702E" w:rsidRDefault="00130D8F" w:rsidP="00331336">
            <w:pPr>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331336">
              <w:rPr>
                <w:rFonts w:asciiTheme="majorHAnsi" w:hAnsiTheme="majorHAnsi" w:cs="Arial"/>
                <w:b w:val="0"/>
                <w:sz w:val="20"/>
                <w:szCs w:val="20"/>
                <w:lang w:val="fr-CA"/>
              </w:rPr>
              <w:t xml:space="preserve">Secrétariat </w:t>
            </w:r>
            <w:r w:rsidR="00914A1A" w:rsidRPr="0081702E">
              <w:rPr>
                <w:rFonts w:asciiTheme="majorHAnsi" w:hAnsiTheme="majorHAnsi" w:cs="Arial"/>
                <w:b w:val="0"/>
                <w:sz w:val="20"/>
                <w:szCs w:val="20"/>
                <w:lang w:val="fr-CA"/>
              </w:rPr>
              <w:t>Ramsar</w:t>
            </w:r>
            <w:r w:rsidR="00E01336" w:rsidRPr="0081702E">
              <w:rPr>
                <w:rFonts w:asciiTheme="majorHAnsi" w:hAnsiTheme="majorHAnsi" w:cs="Arial"/>
                <w:b w:val="0"/>
                <w:sz w:val="20"/>
                <w:szCs w:val="20"/>
                <w:lang w:val="fr-CA"/>
              </w:rPr>
              <w:t xml:space="preserve"> </w:t>
            </w:r>
            <w:r w:rsidR="00331336">
              <w:rPr>
                <w:rFonts w:asciiTheme="majorHAnsi" w:hAnsiTheme="majorHAnsi" w:cs="Arial"/>
                <w:b w:val="0"/>
                <w:sz w:val="20"/>
                <w:szCs w:val="20"/>
                <w:lang w:val="fr-CA"/>
              </w:rPr>
              <w:t xml:space="preserve">et praticiens de la communauté d’observation de la Terre. </w:t>
            </w:r>
          </w:p>
        </w:tc>
        <w:tc>
          <w:tcPr>
            <w:tcW w:w="497" w:type="pct"/>
          </w:tcPr>
          <w:p w14:paraId="2D2AFCFF" w14:textId="77777777" w:rsidR="00914A1A" w:rsidRPr="0081702E" w:rsidRDefault="00914A1A" w:rsidP="00914A1A">
            <w:pPr>
              <w:rPr>
                <w:rFonts w:asciiTheme="majorHAnsi" w:hAnsiTheme="majorHAnsi" w:cs="Arial"/>
                <w:b w:val="0"/>
                <w:sz w:val="20"/>
                <w:szCs w:val="20"/>
                <w:lang w:val="fr-CA"/>
              </w:rPr>
            </w:pPr>
          </w:p>
        </w:tc>
      </w:tr>
      <w:tr w:rsidR="00914A1A" w:rsidRPr="0081702E" w14:paraId="13ECF018" w14:textId="77777777" w:rsidTr="00130D8F">
        <w:tc>
          <w:tcPr>
            <w:tcW w:w="488" w:type="pct"/>
          </w:tcPr>
          <w:p w14:paraId="45D81D03" w14:textId="6B57B743" w:rsidR="00914A1A" w:rsidRPr="0081702E" w:rsidRDefault="00130D8F" w:rsidP="00521F7A">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lastRenderedPageBreak/>
              <w:t>N</w:t>
            </w:r>
            <w:r w:rsidRPr="00130D8F">
              <w:rPr>
                <w:rFonts w:asciiTheme="majorHAnsi" w:hAnsiTheme="majorHAnsi" w:cs="Arial"/>
                <w:b w:val="0"/>
                <w:sz w:val="20"/>
                <w:szCs w:val="20"/>
                <w:vertAlign w:val="superscript"/>
                <w:lang w:val="fr-CA"/>
              </w:rPr>
              <w:t>o</w:t>
            </w:r>
            <w:r w:rsidR="007A5CFB">
              <w:rPr>
                <w:rFonts w:asciiTheme="majorHAnsi" w:hAnsiTheme="majorHAnsi" w:cs="Arial"/>
                <w:b w:val="0"/>
                <w:sz w:val="20"/>
                <w:szCs w:val="20"/>
                <w:vertAlign w:val="superscript"/>
                <w:lang w:val="fr-CA"/>
              </w:rPr>
              <w:t xml:space="preserve"> </w:t>
            </w:r>
            <w:r w:rsidR="00914A1A" w:rsidRPr="0081702E">
              <w:rPr>
                <w:rFonts w:asciiTheme="majorHAnsi" w:hAnsiTheme="majorHAnsi" w:cs="Arial"/>
                <w:b w:val="0"/>
                <w:sz w:val="20"/>
                <w:szCs w:val="20"/>
                <w:lang w:val="fr-CA"/>
              </w:rPr>
              <w:t>1.4</w:t>
            </w:r>
            <w:r w:rsidR="00E01336" w:rsidRPr="0081702E">
              <w:rPr>
                <w:rFonts w:asciiTheme="majorHAnsi" w:hAnsiTheme="majorHAnsi" w:cs="Arial"/>
                <w:b w:val="0"/>
                <w:sz w:val="20"/>
                <w:szCs w:val="20"/>
                <w:lang w:val="fr-CA"/>
              </w:rPr>
              <w:t xml:space="preserve"> </w:t>
            </w:r>
            <w:r w:rsidR="00331336">
              <w:rPr>
                <w:rFonts w:asciiTheme="majorHAnsi" w:hAnsiTheme="majorHAnsi" w:cs="Arial"/>
                <w:b w:val="0"/>
                <w:sz w:val="20"/>
                <w:szCs w:val="20"/>
                <w:lang w:val="fr-CA"/>
              </w:rPr>
              <w:t xml:space="preserve">Indice </w:t>
            </w:r>
            <w:r w:rsidR="00521F7A">
              <w:rPr>
                <w:rFonts w:asciiTheme="majorHAnsi" w:hAnsiTheme="majorHAnsi" w:cs="Arial"/>
                <w:b w:val="0"/>
                <w:sz w:val="20"/>
                <w:szCs w:val="20"/>
                <w:lang w:val="fr-CA"/>
              </w:rPr>
              <w:t xml:space="preserve">WET des tendances </w:t>
            </w:r>
            <w:r w:rsidR="00331336">
              <w:rPr>
                <w:rFonts w:asciiTheme="majorHAnsi" w:hAnsiTheme="majorHAnsi" w:cs="Arial"/>
                <w:b w:val="0"/>
                <w:sz w:val="20"/>
                <w:szCs w:val="20"/>
                <w:lang w:val="fr-CA"/>
              </w:rPr>
              <w:t>d</w:t>
            </w:r>
            <w:r w:rsidR="00521F7A">
              <w:rPr>
                <w:rFonts w:asciiTheme="majorHAnsi" w:hAnsiTheme="majorHAnsi" w:cs="Arial"/>
                <w:b w:val="0"/>
                <w:sz w:val="20"/>
                <w:szCs w:val="20"/>
                <w:lang w:val="fr-CA"/>
              </w:rPr>
              <w:t>e l</w:t>
            </w:r>
            <w:r w:rsidR="00331336">
              <w:rPr>
                <w:rFonts w:asciiTheme="majorHAnsi" w:hAnsiTheme="majorHAnsi" w:cs="Arial"/>
                <w:b w:val="0"/>
                <w:sz w:val="20"/>
                <w:szCs w:val="20"/>
                <w:lang w:val="fr-CA"/>
              </w:rPr>
              <w:t xml:space="preserve">’étendue des zones humides </w:t>
            </w:r>
          </w:p>
        </w:tc>
        <w:tc>
          <w:tcPr>
            <w:tcW w:w="301" w:type="pct"/>
          </w:tcPr>
          <w:p w14:paraId="0EDDDA21" w14:textId="77777777" w:rsidR="00914A1A" w:rsidRPr="0081702E" w:rsidRDefault="00914A1A" w:rsidP="00331336">
            <w:pPr>
              <w:keepNext/>
              <w:keepLines/>
              <w:rPr>
                <w:rFonts w:asciiTheme="majorHAnsi" w:hAnsiTheme="majorHAnsi" w:cs="Arial"/>
                <w:b w:val="0"/>
                <w:sz w:val="20"/>
                <w:szCs w:val="20"/>
                <w:lang w:val="fr-CA"/>
              </w:rPr>
            </w:pPr>
          </w:p>
        </w:tc>
        <w:tc>
          <w:tcPr>
            <w:tcW w:w="390" w:type="pct"/>
          </w:tcPr>
          <w:p w14:paraId="7005D5E3" w14:textId="6A24B86B" w:rsidR="00914A1A" w:rsidRPr="0081702E" w:rsidRDefault="00914A1A" w:rsidP="00331336">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XII.3,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¶52</w:t>
            </w:r>
          </w:p>
        </w:tc>
        <w:tc>
          <w:tcPr>
            <w:tcW w:w="403" w:type="pct"/>
          </w:tcPr>
          <w:p w14:paraId="2AEB649F" w14:textId="1DC3C547" w:rsidR="00914A1A" w:rsidRPr="0081702E" w:rsidRDefault="00914A1A" w:rsidP="00331336">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3.13,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4.18</w:t>
            </w:r>
          </w:p>
        </w:tc>
        <w:tc>
          <w:tcPr>
            <w:tcW w:w="2921" w:type="pct"/>
          </w:tcPr>
          <w:p w14:paraId="237FE4AE" w14:textId="05594A9A" w:rsidR="00914A1A" w:rsidRPr="0081702E" w:rsidRDefault="00130D8F" w:rsidP="00331336">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B32124">
              <w:rPr>
                <w:rFonts w:asciiTheme="majorHAnsi" w:hAnsiTheme="majorHAnsi" w:cs="Arial"/>
                <w:b w:val="0"/>
                <w:sz w:val="20"/>
                <w:szCs w:val="20"/>
                <w:lang w:val="fr-CA"/>
              </w:rPr>
              <w:t>M</w:t>
            </w:r>
            <w:r w:rsidR="00331336">
              <w:rPr>
                <w:rFonts w:asciiTheme="majorHAnsi" w:hAnsiTheme="majorHAnsi" w:cs="Arial"/>
                <w:b w:val="0"/>
                <w:sz w:val="20"/>
                <w:szCs w:val="20"/>
                <w:lang w:val="fr-CA"/>
              </w:rPr>
              <w:t xml:space="preserve">ise à jour périodique de l’Indice WET, avec l’identification de sources de données additionnelles et nouvelles, en particulier en Amérique latine et dans la région des Caraïbes. Le document de preuve du concept de l’Indice WET a été accepté pour publication en 2015 par </w:t>
            </w:r>
            <w:r w:rsidR="00914A1A" w:rsidRPr="0081702E">
              <w:rPr>
                <w:rFonts w:asciiTheme="majorHAnsi" w:hAnsiTheme="majorHAnsi" w:cs="Arial"/>
                <w:b w:val="0"/>
                <w:sz w:val="20"/>
                <w:szCs w:val="20"/>
                <w:lang w:val="fr-CA"/>
              </w:rPr>
              <w:t>Biological</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Conservation.</w:t>
            </w:r>
            <w:r w:rsidR="00E01336" w:rsidRPr="0081702E">
              <w:rPr>
                <w:rFonts w:asciiTheme="majorHAnsi" w:hAnsiTheme="majorHAnsi" w:cs="Arial"/>
                <w:b w:val="0"/>
                <w:sz w:val="20"/>
                <w:szCs w:val="20"/>
                <w:lang w:val="fr-CA"/>
              </w:rPr>
              <w:t xml:space="preserve"> </w:t>
            </w:r>
            <w:r w:rsidR="00331336">
              <w:rPr>
                <w:rFonts w:asciiTheme="majorHAnsi" w:hAnsiTheme="majorHAnsi" w:cs="Arial"/>
                <w:b w:val="0"/>
                <w:sz w:val="20"/>
                <w:szCs w:val="20"/>
                <w:lang w:val="fr-CA"/>
              </w:rPr>
              <w:t>Cela peut jouer un rôle clé dans les contributions de Ramsar aux objectifs de développement durable (ODD).</w:t>
            </w:r>
            <w:r w:rsidR="00E01336" w:rsidRPr="0081702E">
              <w:rPr>
                <w:rFonts w:asciiTheme="majorHAnsi" w:hAnsiTheme="majorHAnsi" w:cs="Arial"/>
                <w:b w:val="0"/>
                <w:sz w:val="20"/>
                <w:szCs w:val="20"/>
                <w:lang w:val="fr-CA"/>
              </w:rPr>
              <w:t xml:space="preserve"> </w:t>
            </w:r>
          </w:p>
          <w:p w14:paraId="7C74B489" w14:textId="77777777" w:rsidR="00914A1A" w:rsidRPr="0081702E" w:rsidRDefault="00914A1A" w:rsidP="00331336">
            <w:pPr>
              <w:keepNext/>
              <w:keepLines/>
              <w:rPr>
                <w:rFonts w:asciiTheme="majorHAnsi" w:hAnsiTheme="majorHAnsi" w:cs="Arial"/>
                <w:b w:val="0"/>
                <w:sz w:val="20"/>
                <w:szCs w:val="20"/>
                <w:lang w:val="fr-CA"/>
              </w:rPr>
            </w:pPr>
          </w:p>
          <w:p w14:paraId="243ED6FE" w14:textId="55A3B2C1" w:rsidR="00914A1A" w:rsidRPr="0081702E" w:rsidRDefault="00130D8F" w:rsidP="00331336">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B32124">
              <w:rPr>
                <w:rFonts w:asciiTheme="majorHAnsi" w:hAnsiTheme="majorHAnsi" w:cs="Arial"/>
                <w:b w:val="0"/>
                <w:sz w:val="20"/>
                <w:szCs w:val="20"/>
                <w:lang w:val="fr-CA"/>
              </w:rPr>
              <w:t>R</w:t>
            </w:r>
            <w:r w:rsidR="00331336">
              <w:rPr>
                <w:rFonts w:asciiTheme="majorHAnsi" w:hAnsiTheme="majorHAnsi" w:cs="Arial"/>
                <w:b w:val="0"/>
                <w:sz w:val="20"/>
                <w:szCs w:val="20"/>
                <w:lang w:val="fr-CA"/>
              </w:rPr>
              <w:t xml:space="preserve">apport </w:t>
            </w:r>
            <w:r w:rsidR="00255A2D">
              <w:rPr>
                <w:rFonts w:asciiTheme="majorHAnsi" w:hAnsiTheme="majorHAnsi" w:cs="Arial"/>
                <w:b w:val="0"/>
                <w:sz w:val="20"/>
                <w:szCs w:val="20"/>
                <w:lang w:val="fr-CA"/>
              </w:rPr>
              <w:t>interne/</w:t>
            </w:r>
            <w:r w:rsidR="00331336">
              <w:rPr>
                <w:rFonts w:asciiTheme="majorHAnsi" w:hAnsiTheme="majorHAnsi" w:cs="Arial"/>
                <w:b w:val="0"/>
                <w:sz w:val="20"/>
                <w:szCs w:val="20"/>
                <w:lang w:val="fr-CA"/>
              </w:rPr>
              <w:t>sur l’</w:t>
            </w:r>
            <w:r w:rsidR="00914A1A" w:rsidRPr="0081702E">
              <w:rPr>
                <w:rFonts w:asciiTheme="majorHAnsi" w:hAnsiTheme="majorHAnsi" w:cs="Arial"/>
                <w:b w:val="0"/>
                <w:sz w:val="20"/>
                <w:szCs w:val="20"/>
                <w:lang w:val="fr-CA"/>
              </w:rPr>
              <w:t>ind</w:t>
            </w:r>
            <w:r w:rsidR="00331336">
              <w:rPr>
                <w:rFonts w:asciiTheme="majorHAnsi" w:hAnsiTheme="majorHAnsi" w:cs="Arial"/>
                <w:b w:val="0"/>
                <w:sz w:val="20"/>
                <w:szCs w:val="20"/>
                <w:lang w:val="fr-CA"/>
              </w:rPr>
              <w:t>ic</w:t>
            </w:r>
            <w:r w:rsidR="00914A1A" w:rsidRPr="0081702E">
              <w:rPr>
                <w:rFonts w:asciiTheme="majorHAnsi" w:hAnsiTheme="majorHAnsi" w:cs="Arial"/>
                <w:b w:val="0"/>
                <w:sz w:val="20"/>
                <w:szCs w:val="20"/>
                <w:lang w:val="fr-CA"/>
              </w:rPr>
              <w:t>e</w:t>
            </w:r>
            <w:r w:rsidR="00E01336" w:rsidRPr="0081702E">
              <w:rPr>
                <w:rFonts w:asciiTheme="majorHAnsi" w:hAnsiTheme="majorHAnsi" w:cs="Arial"/>
                <w:b w:val="0"/>
                <w:sz w:val="20"/>
                <w:szCs w:val="20"/>
                <w:lang w:val="fr-CA"/>
              </w:rPr>
              <w:t xml:space="preserve"> </w:t>
            </w:r>
            <w:r w:rsidR="00331336">
              <w:rPr>
                <w:rFonts w:asciiTheme="majorHAnsi" w:hAnsiTheme="majorHAnsi" w:cs="Arial"/>
                <w:b w:val="0"/>
                <w:sz w:val="20"/>
                <w:szCs w:val="20"/>
                <w:lang w:val="fr-CA"/>
              </w:rPr>
              <w:t xml:space="preserve">pour soutenir différents résultats/processus (p. ex., </w:t>
            </w:r>
            <w:r w:rsidR="00914A1A" w:rsidRPr="0081702E">
              <w:rPr>
                <w:rFonts w:asciiTheme="majorHAnsi" w:hAnsiTheme="majorHAnsi" w:cs="Arial"/>
                <w:b w:val="0"/>
                <w:sz w:val="20"/>
                <w:szCs w:val="20"/>
                <w:lang w:val="fr-CA"/>
              </w:rPr>
              <w:t>SoWWS,</w:t>
            </w:r>
            <w:r w:rsidR="00E01336" w:rsidRPr="0081702E">
              <w:rPr>
                <w:rFonts w:asciiTheme="majorHAnsi" w:hAnsiTheme="majorHAnsi" w:cs="Arial"/>
                <w:b w:val="0"/>
                <w:sz w:val="20"/>
                <w:szCs w:val="20"/>
                <w:lang w:val="fr-CA"/>
              </w:rPr>
              <w:t xml:space="preserve"> </w:t>
            </w:r>
            <w:r w:rsidR="00331336">
              <w:rPr>
                <w:rFonts w:asciiTheme="majorHAnsi" w:hAnsiTheme="majorHAnsi" w:cs="Arial"/>
                <w:b w:val="0"/>
                <w:sz w:val="20"/>
                <w:szCs w:val="20"/>
                <w:lang w:val="fr-CA"/>
              </w:rPr>
              <w:t xml:space="preserve">l’objectif </w:t>
            </w:r>
            <w:r w:rsidR="00914A1A" w:rsidRPr="0081702E">
              <w:rPr>
                <w:rFonts w:asciiTheme="majorHAnsi" w:hAnsiTheme="majorHAnsi" w:cs="Arial"/>
                <w:b w:val="0"/>
                <w:sz w:val="20"/>
                <w:szCs w:val="20"/>
                <w:lang w:val="fr-CA"/>
              </w:rPr>
              <w:t>6.6</w:t>
            </w:r>
            <w:r w:rsidR="00331336">
              <w:rPr>
                <w:rFonts w:asciiTheme="majorHAnsi" w:hAnsiTheme="majorHAnsi" w:cs="Arial"/>
                <w:b w:val="0"/>
                <w:sz w:val="20"/>
                <w:szCs w:val="20"/>
                <w:lang w:val="fr-CA"/>
              </w:rPr>
              <w:t xml:space="preserve"> des ODD</w:t>
            </w:r>
            <w:r w:rsidR="00E01336" w:rsidRPr="0081702E">
              <w:rPr>
                <w:rFonts w:asciiTheme="majorHAnsi" w:hAnsiTheme="majorHAnsi" w:cs="Arial"/>
                <w:b w:val="0"/>
                <w:sz w:val="20"/>
                <w:szCs w:val="20"/>
                <w:lang w:val="fr-CA"/>
              </w:rPr>
              <w:t xml:space="preserve"> </w:t>
            </w:r>
            <w:r w:rsidR="00331336">
              <w:rPr>
                <w:rFonts w:asciiTheme="majorHAnsi" w:hAnsiTheme="majorHAnsi" w:cs="Arial"/>
                <w:b w:val="0"/>
                <w:sz w:val="20"/>
                <w:szCs w:val="20"/>
                <w:lang w:val="fr-CA"/>
              </w:rPr>
              <w:t>et la cible </w:t>
            </w:r>
            <w:r w:rsidR="00914A1A" w:rsidRPr="0081702E">
              <w:rPr>
                <w:rFonts w:asciiTheme="majorHAnsi" w:hAnsiTheme="majorHAnsi" w:cs="Arial"/>
                <w:b w:val="0"/>
                <w:sz w:val="20"/>
                <w:szCs w:val="20"/>
                <w:lang w:val="fr-CA"/>
              </w:rPr>
              <w:t>15.1)</w:t>
            </w:r>
            <w:r w:rsidR="00331336">
              <w:rPr>
                <w:rFonts w:asciiTheme="majorHAnsi" w:hAnsiTheme="majorHAnsi" w:cs="Arial"/>
                <w:b w:val="0"/>
                <w:sz w:val="20"/>
                <w:szCs w:val="20"/>
                <w:lang w:val="fr-CA"/>
              </w:rPr>
              <w:t>.</w:t>
            </w:r>
          </w:p>
          <w:p w14:paraId="19CAA56B" w14:textId="77777777" w:rsidR="00914A1A" w:rsidRPr="0081702E" w:rsidRDefault="00914A1A" w:rsidP="00331336">
            <w:pPr>
              <w:keepNext/>
              <w:keepLines/>
              <w:rPr>
                <w:rFonts w:asciiTheme="majorHAnsi" w:hAnsiTheme="majorHAnsi" w:cs="Arial"/>
                <w:b w:val="0"/>
                <w:sz w:val="20"/>
                <w:szCs w:val="20"/>
                <w:lang w:val="fr-CA"/>
              </w:rPr>
            </w:pPr>
          </w:p>
          <w:p w14:paraId="30CC1095" w14:textId="09D14F23" w:rsidR="00914A1A" w:rsidRPr="0081702E" w:rsidRDefault="00130D8F" w:rsidP="00B32124">
            <w:pPr>
              <w:keepNext/>
              <w:keepLines/>
              <w:rPr>
                <w:rFonts w:asciiTheme="majorHAnsi" w:eastAsiaTheme="minorHAnsi" w:hAnsiTheme="majorHAnsi" w:cs="Arial"/>
                <w:b w:val="0"/>
                <w:sz w:val="20"/>
                <w:szCs w:val="20"/>
                <w:lang w:val="fr-CA" w:eastAsia="en-US"/>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B32124">
              <w:rPr>
                <w:rFonts w:asciiTheme="majorHAnsi" w:hAnsiTheme="majorHAnsi" w:cs="Arial"/>
                <w:b w:val="0"/>
                <w:sz w:val="20"/>
                <w:szCs w:val="20"/>
                <w:lang w:val="fr-CA"/>
              </w:rPr>
              <w:t>D</w:t>
            </w:r>
            <w:r w:rsidR="00331336">
              <w:rPr>
                <w:rFonts w:asciiTheme="majorHAnsi" w:hAnsiTheme="majorHAnsi" w:cs="Arial"/>
                <w:b w:val="0"/>
                <w:sz w:val="20"/>
                <w:szCs w:val="20"/>
                <w:lang w:val="fr-CA"/>
              </w:rPr>
              <w:t>écideurs, praticiens.</w:t>
            </w:r>
          </w:p>
        </w:tc>
        <w:tc>
          <w:tcPr>
            <w:tcW w:w="497" w:type="pct"/>
          </w:tcPr>
          <w:p w14:paraId="1FA4E4DF" w14:textId="68D043F5" w:rsidR="00914A1A" w:rsidRPr="0081702E" w:rsidRDefault="00914A1A" w:rsidP="00331336">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50</w:t>
            </w:r>
            <w:r w:rsidR="00130D8F">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000</w:t>
            </w:r>
            <w:r w:rsidR="00E01336" w:rsidRPr="0081702E">
              <w:rPr>
                <w:rFonts w:asciiTheme="majorHAnsi" w:hAnsiTheme="majorHAnsi" w:cs="Arial"/>
                <w:b w:val="0"/>
                <w:sz w:val="20"/>
                <w:szCs w:val="20"/>
                <w:lang w:val="fr-CA"/>
              </w:rPr>
              <w:t xml:space="preserve"> </w:t>
            </w:r>
          </w:p>
        </w:tc>
      </w:tr>
      <w:tr w:rsidR="00914A1A" w:rsidRPr="0081702E" w14:paraId="630F9627" w14:textId="77777777" w:rsidTr="00130D8F">
        <w:tc>
          <w:tcPr>
            <w:tcW w:w="488" w:type="pct"/>
          </w:tcPr>
          <w:p w14:paraId="03C37B39" w14:textId="70F7CDA6" w:rsidR="00914A1A" w:rsidRPr="0081702E" w:rsidRDefault="00130D8F" w:rsidP="00331336">
            <w:pPr>
              <w:rPr>
                <w:rFonts w:asciiTheme="majorHAnsi" w:hAnsiTheme="majorHAnsi" w:cs="Arial"/>
                <w:b w:val="0"/>
                <w:sz w:val="20"/>
                <w:szCs w:val="20"/>
                <w:lang w:val="fr-CA"/>
              </w:rPr>
            </w:pPr>
            <w:r w:rsidRPr="0081702E">
              <w:rPr>
                <w:rFonts w:asciiTheme="majorHAnsi" w:hAnsiTheme="majorHAnsi" w:cs="Arial"/>
                <w:b w:val="0"/>
                <w:sz w:val="20"/>
                <w:szCs w:val="20"/>
                <w:lang w:val="fr-CA"/>
              </w:rPr>
              <w:t>N</w:t>
            </w:r>
            <w:r w:rsidRPr="00130D8F">
              <w:rPr>
                <w:rFonts w:asciiTheme="majorHAnsi" w:hAnsiTheme="majorHAnsi" w:cs="Arial"/>
                <w:b w:val="0"/>
                <w:sz w:val="20"/>
                <w:szCs w:val="20"/>
                <w:vertAlign w:val="superscript"/>
                <w:lang w:val="fr-CA"/>
              </w:rPr>
              <w:t>o</w:t>
            </w:r>
            <w:r w:rsidR="007A5CFB">
              <w:rPr>
                <w:rFonts w:asciiTheme="majorHAnsi" w:hAnsiTheme="majorHAnsi" w:cs="Arial"/>
                <w:b w:val="0"/>
                <w:sz w:val="20"/>
                <w:szCs w:val="20"/>
                <w:vertAlign w:val="superscript"/>
                <w:lang w:val="fr-CA"/>
              </w:rPr>
              <w:t xml:space="preserve"> </w:t>
            </w:r>
            <w:r w:rsidR="00914A1A" w:rsidRPr="0081702E">
              <w:rPr>
                <w:rFonts w:asciiTheme="majorHAnsi" w:hAnsiTheme="majorHAnsi" w:cs="Arial"/>
                <w:b w:val="0"/>
                <w:sz w:val="20"/>
                <w:szCs w:val="20"/>
                <w:lang w:val="fr-CA"/>
              </w:rPr>
              <w:t>1.5</w:t>
            </w:r>
            <w:r w:rsidR="00E01336" w:rsidRPr="0081702E">
              <w:rPr>
                <w:rFonts w:asciiTheme="majorHAnsi" w:hAnsiTheme="majorHAnsi" w:cs="Arial"/>
                <w:b w:val="0"/>
                <w:sz w:val="20"/>
                <w:szCs w:val="20"/>
                <w:lang w:val="fr-CA"/>
              </w:rPr>
              <w:t xml:space="preserve"> </w:t>
            </w:r>
            <w:r w:rsidR="00331336">
              <w:rPr>
                <w:rFonts w:asciiTheme="majorHAnsi" w:hAnsiTheme="majorHAnsi" w:cs="Arial"/>
                <w:b w:val="0"/>
                <w:sz w:val="20"/>
                <w:szCs w:val="20"/>
                <w:lang w:val="fr-CA"/>
              </w:rPr>
              <w:t xml:space="preserve">Observation de la Terre : </w:t>
            </w:r>
            <w:r w:rsidR="00914A1A" w:rsidRPr="0081702E">
              <w:rPr>
                <w:rFonts w:asciiTheme="majorHAnsi" w:hAnsiTheme="majorHAnsi" w:cs="Arial"/>
                <w:b w:val="0"/>
                <w:sz w:val="20"/>
                <w:szCs w:val="20"/>
                <w:lang w:val="fr-CA"/>
              </w:rPr>
              <w:t>Global</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Mangrove</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Watch</w:t>
            </w:r>
            <w:r w:rsidR="00E01336" w:rsidRPr="0081702E">
              <w:rPr>
                <w:rFonts w:asciiTheme="majorHAnsi" w:hAnsiTheme="majorHAnsi" w:cs="Arial"/>
                <w:b w:val="0"/>
                <w:sz w:val="20"/>
                <w:szCs w:val="20"/>
                <w:lang w:val="fr-CA"/>
              </w:rPr>
              <w:t xml:space="preserve"> </w:t>
            </w:r>
          </w:p>
        </w:tc>
        <w:tc>
          <w:tcPr>
            <w:tcW w:w="301" w:type="pct"/>
          </w:tcPr>
          <w:p w14:paraId="7D5AFD84" w14:textId="77777777" w:rsidR="00914A1A" w:rsidRPr="0081702E" w:rsidRDefault="00914A1A" w:rsidP="00914A1A">
            <w:pPr>
              <w:rPr>
                <w:rFonts w:asciiTheme="majorHAnsi" w:hAnsiTheme="majorHAnsi" w:cs="Arial"/>
                <w:b w:val="0"/>
                <w:sz w:val="20"/>
                <w:szCs w:val="20"/>
                <w:lang w:val="fr-CA"/>
              </w:rPr>
            </w:pPr>
          </w:p>
        </w:tc>
        <w:tc>
          <w:tcPr>
            <w:tcW w:w="390" w:type="pct"/>
          </w:tcPr>
          <w:p w14:paraId="26BC998E" w14:textId="77777777" w:rsidR="00914A1A" w:rsidRPr="0081702E" w:rsidRDefault="00914A1A" w:rsidP="00914A1A">
            <w:pPr>
              <w:rPr>
                <w:rFonts w:asciiTheme="majorHAnsi" w:hAnsiTheme="majorHAnsi" w:cs="Arial"/>
                <w:sz w:val="20"/>
                <w:szCs w:val="20"/>
                <w:lang w:val="fr-CA"/>
              </w:rPr>
            </w:pPr>
          </w:p>
        </w:tc>
        <w:tc>
          <w:tcPr>
            <w:tcW w:w="403" w:type="pct"/>
          </w:tcPr>
          <w:p w14:paraId="2C5BA5F1" w14:textId="24FD2172"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3.8,</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3.12,</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4.14</w:t>
            </w:r>
          </w:p>
        </w:tc>
        <w:tc>
          <w:tcPr>
            <w:tcW w:w="2921" w:type="pct"/>
          </w:tcPr>
          <w:p w14:paraId="52F9E1B8" w14:textId="040D66BD" w:rsidR="00914A1A" w:rsidRPr="0081702E" w:rsidRDefault="00130D8F"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B32124">
              <w:rPr>
                <w:rFonts w:asciiTheme="majorHAnsi" w:hAnsiTheme="majorHAnsi" w:cs="Arial"/>
                <w:b w:val="0"/>
                <w:sz w:val="20"/>
                <w:szCs w:val="20"/>
                <w:lang w:val="fr-CA"/>
              </w:rPr>
              <w:t>A</w:t>
            </w:r>
            <w:r w:rsidR="00331336">
              <w:rPr>
                <w:rFonts w:asciiTheme="majorHAnsi" w:hAnsiTheme="majorHAnsi" w:cs="Arial"/>
                <w:b w:val="0"/>
                <w:sz w:val="20"/>
                <w:szCs w:val="20"/>
                <w:lang w:val="fr-CA"/>
              </w:rPr>
              <w:t>nalyser, faire la preuve pratique et utiliser les données du</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Global</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Mangrove</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Watch</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w:t>
            </w:r>
            <w:r w:rsidR="00331336">
              <w:rPr>
                <w:rFonts w:asciiTheme="majorHAnsi" w:hAnsiTheme="majorHAnsi" w:cs="Arial"/>
                <w:b w:val="0"/>
                <w:sz w:val="20"/>
                <w:szCs w:val="20"/>
                <w:lang w:val="fr-CA"/>
              </w:rPr>
              <w:t xml:space="preserve">produites par </w:t>
            </w:r>
            <w:r w:rsidR="00914A1A" w:rsidRPr="0081702E">
              <w:rPr>
                <w:rFonts w:asciiTheme="majorHAnsi" w:hAnsiTheme="majorHAnsi" w:cs="Arial"/>
                <w:b w:val="0"/>
                <w:sz w:val="20"/>
                <w:szCs w:val="20"/>
                <w:lang w:val="fr-CA"/>
              </w:rPr>
              <w:t>JAXA)</w:t>
            </w:r>
            <w:r w:rsidR="00E01336" w:rsidRPr="0081702E">
              <w:rPr>
                <w:rFonts w:asciiTheme="majorHAnsi" w:hAnsiTheme="majorHAnsi" w:cs="Arial"/>
                <w:b w:val="0"/>
                <w:sz w:val="20"/>
                <w:szCs w:val="20"/>
                <w:lang w:val="fr-CA"/>
              </w:rPr>
              <w:t xml:space="preserve"> </w:t>
            </w:r>
            <w:r w:rsidR="00331336">
              <w:rPr>
                <w:rFonts w:asciiTheme="majorHAnsi" w:hAnsiTheme="majorHAnsi" w:cs="Arial"/>
                <w:b w:val="0"/>
                <w:sz w:val="20"/>
                <w:szCs w:val="20"/>
                <w:lang w:val="fr-CA"/>
              </w:rPr>
              <w:t xml:space="preserve">pour les produits dérivés Ramsar pour les décideurs. </w:t>
            </w:r>
          </w:p>
          <w:p w14:paraId="57554182" w14:textId="77777777" w:rsidR="00914A1A" w:rsidRPr="0081702E" w:rsidRDefault="00914A1A" w:rsidP="00914A1A">
            <w:pPr>
              <w:rPr>
                <w:rFonts w:asciiTheme="majorHAnsi" w:hAnsiTheme="majorHAnsi" w:cs="Arial"/>
                <w:b w:val="0"/>
                <w:sz w:val="20"/>
                <w:szCs w:val="20"/>
                <w:lang w:val="fr-CA"/>
              </w:rPr>
            </w:pPr>
          </w:p>
          <w:p w14:paraId="7CBF071E" w14:textId="2DAD89B9" w:rsidR="00914A1A" w:rsidRPr="0081702E" w:rsidRDefault="00130D8F"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B32124">
              <w:rPr>
                <w:rFonts w:asciiTheme="majorHAnsi" w:hAnsiTheme="majorHAnsi" w:cs="Arial"/>
                <w:b w:val="0"/>
                <w:sz w:val="20"/>
                <w:szCs w:val="20"/>
                <w:lang w:val="fr-CA"/>
              </w:rPr>
              <w:t>U</w:t>
            </w:r>
            <w:r w:rsidR="00331336">
              <w:rPr>
                <w:rFonts w:asciiTheme="majorHAnsi" w:hAnsiTheme="majorHAnsi" w:cs="Arial"/>
                <w:b w:val="0"/>
                <w:sz w:val="20"/>
                <w:szCs w:val="20"/>
                <w:lang w:val="fr-CA"/>
              </w:rPr>
              <w:t xml:space="preserve">n document d’orientation sur le changement de l’état des mangroves aux plans mondial et régional pour faciliter la priorisation des efforts de protection et l’identification de possibilités de restauration et une fiche technique pour </w:t>
            </w:r>
            <w:r w:rsidR="00914A1A" w:rsidRPr="0081702E">
              <w:rPr>
                <w:rFonts w:asciiTheme="majorHAnsi" w:hAnsiTheme="majorHAnsi" w:cs="Arial"/>
                <w:b w:val="0"/>
                <w:sz w:val="20"/>
                <w:szCs w:val="20"/>
                <w:lang w:val="fr-CA"/>
              </w:rPr>
              <w:t>Global</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Mangrove</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Watch.</w:t>
            </w:r>
          </w:p>
          <w:p w14:paraId="47810382" w14:textId="77777777" w:rsidR="00914A1A" w:rsidRPr="0081702E" w:rsidRDefault="00914A1A" w:rsidP="00914A1A">
            <w:pPr>
              <w:rPr>
                <w:rFonts w:asciiTheme="majorHAnsi" w:hAnsiTheme="majorHAnsi" w:cs="Arial"/>
                <w:b w:val="0"/>
                <w:sz w:val="20"/>
                <w:szCs w:val="20"/>
                <w:lang w:val="fr-CA"/>
              </w:rPr>
            </w:pPr>
          </w:p>
          <w:p w14:paraId="3B706493" w14:textId="31BB8DC1" w:rsidR="00914A1A" w:rsidRPr="0081702E" w:rsidRDefault="00130D8F" w:rsidP="00B32124">
            <w:pPr>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B32124">
              <w:rPr>
                <w:rFonts w:asciiTheme="majorHAnsi" w:hAnsiTheme="majorHAnsi" w:cs="Arial"/>
                <w:b w:val="0"/>
                <w:sz w:val="20"/>
                <w:szCs w:val="20"/>
                <w:lang w:val="fr-CA"/>
              </w:rPr>
              <w:t>D</w:t>
            </w:r>
            <w:r w:rsidR="00331336">
              <w:rPr>
                <w:rFonts w:asciiTheme="majorHAnsi" w:hAnsiTheme="majorHAnsi" w:cs="Arial"/>
                <w:b w:val="0"/>
                <w:sz w:val="20"/>
                <w:szCs w:val="20"/>
                <w:lang w:val="fr-CA"/>
              </w:rPr>
              <w:t>écideurs.</w:t>
            </w:r>
          </w:p>
        </w:tc>
        <w:tc>
          <w:tcPr>
            <w:tcW w:w="497" w:type="pct"/>
          </w:tcPr>
          <w:p w14:paraId="61CF26C7" w14:textId="55BBC106" w:rsidR="00914A1A" w:rsidRPr="0081702E" w:rsidRDefault="00914A1A" w:rsidP="00331336">
            <w:pPr>
              <w:rPr>
                <w:rFonts w:asciiTheme="majorHAnsi" w:hAnsiTheme="majorHAnsi" w:cs="Arial"/>
                <w:b w:val="0"/>
                <w:sz w:val="20"/>
                <w:szCs w:val="20"/>
                <w:lang w:val="fr-CA"/>
              </w:rPr>
            </w:pPr>
            <w:r w:rsidRPr="0081702E">
              <w:rPr>
                <w:rFonts w:asciiTheme="majorHAnsi" w:hAnsiTheme="majorHAnsi" w:cs="Arial"/>
                <w:b w:val="0"/>
                <w:sz w:val="20"/>
                <w:szCs w:val="20"/>
                <w:lang w:val="fr-CA"/>
              </w:rPr>
              <w:t>15</w:t>
            </w:r>
            <w:r w:rsidR="00331336">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000</w:t>
            </w:r>
            <w:r w:rsidR="00E01336" w:rsidRPr="0081702E">
              <w:rPr>
                <w:rFonts w:asciiTheme="majorHAnsi" w:hAnsiTheme="majorHAnsi" w:cs="Arial"/>
                <w:b w:val="0"/>
                <w:sz w:val="20"/>
                <w:szCs w:val="20"/>
                <w:lang w:val="fr-CA"/>
              </w:rPr>
              <w:t xml:space="preserve"> </w:t>
            </w:r>
          </w:p>
        </w:tc>
      </w:tr>
      <w:tr w:rsidR="00914A1A" w:rsidRPr="0081702E" w14:paraId="7C1689D4" w14:textId="77777777" w:rsidTr="00130D8F">
        <w:tc>
          <w:tcPr>
            <w:tcW w:w="488" w:type="pct"/>
          </w:tcPr>
          <w:p w14:paraId="68004BA7" w14:textId="2D7C13E0" w:rsidR="00914A1A" w:rsidRPr="0081702E" w:rsidRDefault="00130D8F" w:rsidP="00331336">
            <w:pPr>
              <w:rPr>
                <w:rFonts w:asciiTheme="majorHAnsi" w:hAnsiTheme="majorHAnsi" w:cs="Arial"/>
                <w:b w:val="0"/>
                <w:sz w:val="20"/>
                <w:szCs w:val="20"/>
                <w:lang w:val="fr-CA"/>
              </w:rPr>
            </w:pPr>
            <w:r w:rsidRPr="0081702E">
              <w:rPr>
                <w:rFonts w:asciiTheme="majorHAnsi" w:hAnsiTheme="majorHAnsi" w:cs="Arial"/>
                <w:b w:val="0"/>
                <w:sz w:val="20"/>
                <w:szCs w:val="20"/>
                <w:lang w:val="fr-CA"/>
              </w:rPr>
              <w:t>N</w:t>
            </w:r>
            <w:r w:rsidRPr="00130D8F">
              <w:rPr>
                <w:rFonts w:asciiTheme="majorHAnsi" w:hAnsiTheme="majorHAnsi" w:cs="Arial"/>
                <w:b w:val="0"/>
                <w:sz w:val="20"/>
                <w:szCs w:val="20"/>
                <w:vertAlign w:val="superscript"/>
                <w:lang w:val="fr-CA"/>
              </w:rPr>
              <w:t>o</w:t>
            </w:r>
            <w:r w:rsidR="007A5CFB">
              <w:rPr>
                <w:rFonts w:asciiTheme="majorHAnsi" w:hAnsiTheme="majorHAnsi" w:cs="Arial"/>
                <w:b w:val="0"/>
                <w:sz w:val="20"/>
                <w:szCs w:val="20"/>
                <w:vertAlign w:val="superscript"/>
                <w:lang w:val="fr-CA"/>
              </w:rPr>
              <w:t xml:space="preserve"> </w:t>
            </w:r>
            <w:r w:rsidR="00914A1A" w:rsidRPr="0081702E">
              <w:rPr>
                <w:rFonts w:asciiTheme="majorHAnsi" w:hAnsiTheme="majorHAnsi" w:cs="Arial"/>
                <w:b w:val="0"/>
                <w:sz w:val="20"/>
                <w:szCs w:val="20"/>
                <w:lang w:val="fr-CA"/>
              </w:rPr>
              <w:t>1.6</w:t>
            </w:r>
            <w:r w:rsidR="00E01336" w:rsidRPr="0081702E">
              <w:rPr>
                <w:rFonts w:asciiTheme="majorHAnsi" w:hAnsiTheme="majorHAnsi" w:cs="Arial"/>
                <w:b w:val="0"/>
                <w:sz w:val="20"/>
                <w:szCs w:val="20"/>
                <w:lang w:val="fr-CA"/>
              </w:rPr>
              <w:t xml:space="preserve"> </w:t>
            </w:r>
            <w:r w:rsidR="00331336">
              <w:rPr>
                <w:rFonts w:asciiTheme="majorHAnsi" w:hAnsiTheme="majorHAnsi" w:cs="Arial"/>
                <w:b w:val="0"/>
                <w:sz w:val="20"/>
                <w:szCs w:val="20"/>
                <w:lang w:val="fr-CA"/>
              </w:rPr>
              <w:t xml:space="preserve">Observation de la Terre : </w:t>
            </w:r>
            <w:r w:rsidR="00914A1A" w:rsidRPr="0081702E">
              <w:rPr>
                <w:rFonts w:asciiTheme="majorHAnsi" w:hAnsiTheme="majorHAnsi" w:cs="Arial"/>
                <w:b w:val="0"/>
                <w:sz w:val="20"/>
                <w:szCs w:val="20"/>
                <w:lang w:val="fr-CA"/>
              </w:rPr>
              <w:t>GlobWetland</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Afri</w:t>
            </w:r>
            <w:r w:rsidR="00331336">
              <w:rPr>
                <w:rFonts w:asciiTheme="majorHAnsi" w:hAnsiTheme="majorHAnsi" w:cs="Arial"/>
                <w:b w:val="0"/>
                <w:sz w:val="20"/>
                <w:szCs w:val="20"/>
                <w:lang w:val="fr-CA"/>
              </w:rPr>
              <w:t>que</w:t>
            </w:r>
            <w:r w:rsidR="00E01336" w:rsidRPr="0081702E">
              <w:rPr>
                <w:rFonts w:asciiTheme="majorHAnsi" w:hAnsiTheme="majorHAnsi" w:cs="Arial"/>
                <w:b w:val="0"/>
                <w:sz w:val="20"/>
                <w:szCs w:val="20"/>
                <w:lang w:val="fr-CA"/>
              </w:rPr>
              <w:t xml:space="preserve"> </w:t>
            </w:r>
          </w:p>
        </w:tc>
        <w:tc>
          <w:tcPr>
            <w:tcW w:w="301" w:type="pct"/>
          </w:tcPr>
          <w:p w14:paraId="6E633EAD" w14:textId="77777777" w:rsidR="00914A1A" w:rsidRPr="0081702E" w:rsidRDefault="00914A1A" w:rsidP="00914A1A">
            <w:pPr>
              <w:rPr>
                <w:rFonts w:asciiTheme="majorHAnsi" w:hAnsiTheme="majorHAnsi" w:cs="Arial"/>
                <w:b w:val="0"/>
                <w:sz w:val="20"/>
                <w:szCs w:val="20"/>
                <w:lang w:val="fr-CA"/>
              </w:rPr>
            </w:pPr>
          </w:p>
        </w:tc>
        <w:tc>
          <w:tcPr>
            <w:tcW w:w="390" w:type="pct"/>
          </w:tcPr>
          <w:p w14:paraId="70685A19" w14:textId="77777777" w:rsidR="00914A1A" w:rsidRPr="0081702E" w:rsidRDefault="00914A1A" w:rsidP="00914A1A">
            <w:pPr>
              <w:rPr>
                <w:rFonts w:asciiTheme="majorHAnsi" w:hAnsiTheme="majorHAnsi" w:cs="Arial"/>
                <w:sz w:val="20"/>
                <w:szCs w:val="20"/>
                <w:lang w:val="fr-CA"/>
              </w:rPr>
            </w:pPr>
          </w:p>
        </w:tc>
        <w:tc>
          <w:tcPr>
            <w:tcW w:w="403" w:type="pct"/>
          </w:tcPr>
          <w:p w14:paraId="6E55569B" w14:textId="5D57B0A7"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3.8,</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4.14</w:t>
            </w:r>
          </w:p>
        </w:tc>
        <w:tc>
          <w:tcPr>
            <w:tcW w:w="2921" w:type="pct"/>
          </w:tcPr>
          <w:p w14:paraId="5AE87D4E" w14:textId="3F3FB6E7" w:rsidR="00914A1A" w:rsidRPr="0081702E" w:rsidRDefault="00130D8F"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B32124">
              <w:rPr>
                <w:rFonts w:asciiTheme="majorHAnsi" w:hAnsiTheme="majorHAnsi" w:cs="Arial"/>
                <w:b w:val="0"/>
                <w:sz w:val="20"/>
                <w:szCs w:val="20"/>
                <w:lang w:val="fr-CA"/>
              </w:rPr>
              <w:t>E</w:t>
            </w:r>
            <w:r w:rsidR="00331336">
              <w:rPr>
                <w:rFonts w:asciiTheme="majorHAnsi" w:hAnsiTheme="majorHAnsi" w:cs="Arial"/>
                <w:b w:val="0"/>
                <w:sz w:val="20"/>
                <w:szCs w:val="20"/>
                <w:lang w:val="fr-CA"/>
              </w:rPr>
              <w:t>xaminer, analyser et utiliser les données d</w:t>
            </w:r>
            <w:r w:rsidR="00255A2D">
              <w:rPr>
                <w:rFonts w:asciiTheme="majorHAnsi" w:hAnsiTheme="majorHAnsi" w:cs="Arial"/>
                <w:b w:val="0"/>
                <w:sz w:val="20"/>
                <w:szCs w:val="20"/>
                <w:lang w:val="fr-CA"/>
              </w:rPr>
              <w:t>e</w:t>
            </w:r>
            <w:r w:rsidR="00331336">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GlobWetland</w:t>
            </w:r>
            <w:r w:rsidR="00E01336" w:rsidRPr="0081702E">
              <w:rPr>
                <w:rFonts w:asciiTheme="majorHAnsi" w:hAnsiTheme="majorHAnsi" w:cs="Arial"/>
                <w:b w:val="0"/>
                <w:sz w:val="20"/>
                <w:szCs w:val="20"/>
                <w:lang w:val="fr-CA"/>
              </w:rPr>
              <w:t xml:space="preserve"> </w:t>
            </w:r>
            <w:r w:rsidR="00331336">
              <w:rPr>
                <w:rFonts w:asciiTheme="majorHAnsi" w:hAnsiTheme="majorHAnsi" w:cs="Arial"/>
                <w:b w:val="0"/>
                <w:sz w:val="20"/>
                <w:szCs w:val="20"/>
                <w:lang w:val="fr-CA"/>
              </w:rPr>
              <w:t>Afrique</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(ESA)</w:t>
            </w:r>
            <w:r w:rsidR="00331336">
              <w:rPr>
                <w:rFonts w:asciiTheme="majorHAnsi" w:hAnsiTheme="majorHAnsi" w:cs="Arial"/>
                <w:b w:val="0"/>
                <w:sz w:val="20"/>
                <w:szCs w:val="20"/>
                <w:lang w:val="fr-CA"/>
              </w:rPr>
              <w:t xml:space="preserve"> et articles scientifiques et outils résultants</w:t>
            </w:r>
            <w:r w:rsidR="00914A1A" w:rsidRPr="0081702E">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r w:rsidR="00331336">
              <w:rPr>
                <w:rFonts w:asciiTheme="majorHAnsi" w:hAnsiTheme="majorHAnsi" w:cs="Arial"/>
                <w:b w:val="0"/>
                <w:sz w:val="20"/>
                <w:szCs w:val="20"/>
                <w:lang w:val="fr-CA"/>
              </w:rPr>
              <w:t xml:space="preserve">pour des résultats dérivés Ramsar pour les décideurs. </w:t>
            </w:r>
          </w:p>
          <w:p w14:paraId="241C0310" w14:textId="77777777" w:rsidR="00914A1A" w:rsidRPr="0081702E" w:rsidRDefault="00914A1A" w:rsidP="00914A1A">
            <w:pPr>
              <w:rPr>
                <w:rFonts w:asciiTheme="majorHAnsi" w:hAnsiTheme="majorHAnsi" w:cs="Arial"/>
                <w:b w:val="0"/>
                <w:sz w:val="20"/>
                <w:szCs w:val="20"/>
                <w:lang w:val="fr-CA"/>
              </w:rPr>
            </w:pPr>
          </w:p>
          <w:p w14:paraId="61AE3B9A" w14:textId="07E41922" w:rsidR="00914A1A" w:rsidRPr="0081702E" w:rsidRDefault="00130D8F"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B32124">
              <w:rPr>
                <w:rFonts w:asciiTheme="majorHAnsi" w:hAnsiTheme="majorHAnsi" w:cs="Arial"/>
                <w:b w:val="0"/>
                <w:sz w:val="20"/>
                <w:szCs w:val="20"/>
                <w:lang w:val="fr-CA"/>
              </w:rPr>
              <w:t>D</w:t>
            </w:r>
            <w:r w:rsidR="00331336">
              <w:rPr>
                <w:rFonts w:asciiTheme="majorHAnsi" w:hAnsiTheme="majorHAnsi" w:cs="Arial"/>
                <w:b w:val="0"/>
                <w:sz w:val="20"/>
                <w:szCs w:val="20"/>
                <w:lang w:val="fr-CA"/>
              </w:rPr>
              <w:t xml:space="preserve">ocument d’orientation et une fiche technique pour </w:t>
            </w:r>
            <w:r w:rsidR="00914A1A" w:rsidRPr="0081702E">
              <w:rPr>
                <w:rFonts w:asciiTheme="majorHAnsi" w:hAnsiTheme="majorHAnsi" w:cs="Arial"/>
                <w:b w:val="0"/>
                <w:sz w:val="20"/>
                <w:szCs w:val="20"/>
                <w:lang w:val="fr-CA"/>
              </w:rPr>
              <w:t>GlobWetland</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Afri</w:t>
            </w:r>
            <w:r w:rsidR="00975E7E">
              <w:rPr>
                <w:rFonts w:asciiTheme="majorHAnsi" w:hAnsiTheme="majorHAnsi" w:cs="Arial"/>
                <w:b w:val="0"/>
                <w:sz w:val="20"/>
                <w:szCs w:val="20"/>
                <w:lang w:val="fr-CA"/>
              </w:rPr>
              <w:t>que.</w:t>
            </w:r>
          </w:p>
          <w:p w14:paraId="74316506" w14:textId="4248B04E" w:rsidR="00914A1A" w:rsidRPr="0081702E" w:rsidRDefault="00E01336"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 xml:space="preserve"> </w:t>
            </w:r>
          </w:p>
          <w:p w14:paraId="25FD8E78" w14:textId="54BC51E7" w:rsidR="00914A1A" w:rsidRPr="0081702E" w:rsidRDefault="00130D8F" w:rsidP="00B32124">
            <w:pPr>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B32124">
              <w:rPr>
                <w:rFonts w:asciiTheme="majorHAnsi" w:hAnsiTheme="majorHAnsi" w:cs="Arial"/>
                <w:b w:val="0"/>
                <w:sz w:val="20"/>
                <w:szCs w:val="20"/>
                <w:lang w:val="fr-CA"/>
              </w:rPr>
              <w:t>D</w:t>
            </w:r>
            <w:r w:rsidR="00975E7E">
              <w:rPr>
                <w:rFonts w:asciiTheme="majorHAnsi" w:hAnsiTheme="majorHAnsi" w:cs="Arial"/>
                <w:b w:val="0"/>
                <w:sz w:val="20"/>
                <w:szCs w:val="20"/>
                <w:lang w:val="fr-CA"/>
              </w:rPr>
              <w:t>écideurs.</w:t>
            </w:r>
            <w:r w:rsidR="00E01336" w:rsidRPr="0081702E">
              <w:rPr>
                <w:rFonts w:asciiTheme="majorHAnsi" w:hAnsiTheme="majorHAnsi" w:cs="Arial"/>
                <w:b w:val="0"/>
                <w:sz w:val="20"/>
                <w:szCs w:val="20"/>
                <w:lang w:val="fr-CA"/>
              </w:rPr>
              <w:t xml:space="preserve"> </w:t>
            </w:r>
          </w:p>
        </w:tc>
        <w:tc>
          <w:tcPr>
            <w:tcW w:w="497" w:type="pct"/>
          </w:tcPr>
          <w:p w14:paraId="0B4F4BAB" w14:textId="6593A493" w:rsidR="00914A1A" w:rsidRPr="0081702E" w:rsidRDefault="00914A1A" w:rsidP="00331336">
            <w:pPr>
              <w:rPr>
                <w:rFonts w:asciiTheme="majorHAnsi" w:hAnsiTheme="majorHAnsi" w:cs="Arial"/>
                <w:b w:val="0"/>
                <w:sz w:val="20"/>
                <w:szCs w:val="20"/>
                <w:lang w:val="fr-CA"/>
              </w:rPr>
            </w:pPr>
            <w:r w:rsidRPr="0081702E">
              <w:rPr>
                <w:rFonts w:asciiTheme="majorHAnsi" w:hAnsiTheme="majorHAnsi" w:cs="Arial"/>
                <w:b w:val="0"/>
                <w:sz w:val="20"/>
                <w:szCs w:val="20"/>
                <w:lang w:val="fr-CA"/>
              </w:rPr>
              <w:t>15</w:t>
            </w:r>
            <w:r w:rsidR="00331336">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000</w:t>
            </w:r>
            <w:r w:rsidR="00E01336" w:rsidRPr="0081702E">
              <w:rPr>
                <w:rFonts w:asciiTheme="majorHAnsi" w:hAnsiTheme="majorHAnsi" w:cs="Arial"/>
                <w:b w:val="0"/>
                <w:sz w:val="20"/>
                <w:szCs w:val="20"/>
                <w:lang w:val="fr-CA"/>
              </w:rPr>
              <w:t xml:space="preserve"> </w:t>
            </w:r>
          </w:p>
        </w:tc>
      </w:tr>
      <w:tr w:rsidR="00914A1A" w:rsidRPr="0081702E" w14:paraId="1D8E7ADE" w14:textId="77777777" w:rsidTr="00130D8F">
        <w:tc>
          <w:tcPr>
            <w:tcW w:w="488" w:type="pct"/>
          </w:tcPr>
          <w:p w14:paraId="07B27864" w14:textId="5BD2DED3" w:rsidR="00914A1A" w:rsidRPr="0081702E" w:rsidRDefault="00130D8F" w:rsidP="00975E7E">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lastRenderedPageBreak/>
              <w:t>N</w:t>
            </w:r>
            <w:r w:rsidRPr="00130D8F">
              <w:rPr>
                <w:rFonts w:asciiTheme="majorHAnsi" w:hAnsiTheme="majorHAnsi" w:cs="Arial"/>
                <w:b w:val="0"/>
                <w:sz w:val="20"/>
                <w:szCs w:val="20"/>
                <w:vertAlign w:val="superscript"/>
                <w:lang w:val="fr-CA"/>
              </w:rPr>
              <w:t>o</w:t>
            </w:r>
            <w:r w:rsidR="007A5CFB">
              <w:rPr>
                <w:rFonts w:asciiTheme="majorHAnsi" w:hAnsiTheme="majorHAnsi" w:cs="Arial"/>
                <w:b w:val="0"/>
                <w:sz w:val="20"/>
                <w:szCs w:val="20"/>
                <w:vertAlign w:val="superscript"/>
                <w:lang w:val="fr-CA"/>
              </w:rPr>
              <w:t xml:space="preserve"> </w:t>
            </w:r>
            <w:r w:rsidR="00914A1A" w:rsidRPr="0081702E">
              <w:rPr>
                <w:rFonts w:asciiTheme="majorHAnsi" w:hAnsiTheme="majorHAnsi" w:cs="Arial"/>
                <w:b w:val="0"/>
                <w:sz w:val="20"/>
                <w:szCs w:val="20"/>
                <w:lang w:val="fr-CA"/>
              </w:rPr>
              <w:t>1.7</w:t>
            </w:r>
            <w:r w:rsidR="00E01336" w:rsidRPr="0081702E">
              <w:rPr>
                <w:rFonts w:asciiTheme="majorHAnsi" w:hAnsiTheme="majorHAnsi" w:cs="Arial"/>
                <w:b w:val="0"/>
                <w:sz w:val="20"/>
                <w:szCs w:val="20"/>
                <w:lang w:val="fr-CA"/>
              </w:rPr>
              <w:t xml:space="preserve"> </w:t>
            </w:r>
            <w:r w:rsidR="00975E7E">
              <w:rPr>
                <w:rFonts w:asciiTheme="majorHAnsi" w:hAnsiTheme="majorHAnsi" w:cs="Arial"/>
                <w:b w:val="0"/>
                <w:sz w:val="20"/>
                <w:szCs w:val="20"/>
                <w:lang w:val="fr-CA"/>
              </w:rPr>
              <w:t xml:space="preserve">Élaboration de lignes directrices pour les inventaires de tourbières : orientations </w:t>
            </w:r>
          </w:p>
        </w:tc>
        <w:tc>
          <w:tcPr>
            <w:tcW w:w="301" w:type="pct"/>
          </w:tcPr>
          <w:p w14:paraId="64C136DE" w14:textId="77777777" w:rsidR="00914A1A" w:rsidRPr="0081702E" w:rsidRDefault="00914A1A" w:rsidP="00975E7E">
            <w:pPr>
              <w:keepNext/>
              <w:keepLines/>
              <w:rPr>
                <w:rFonts w:asciiTheme="majorHAnsi" w:hAnsiTheme="majorHAnsi" w:cs="Arial"/>
                <w:b w:val="0"/>
                <w:sz w:val="20"/>
                <w:szCs w:val="20"/>
                <w:lang w:val="fr-CA"/>
              </w:rPr>
            </w:pPr>
          </w:p>
        </w:tc>
        <w:tc>
          <w:tcPr>
            <w:tcW w:w="390" w:type="pct"/>
          </w:tcPr>
          <w:p w14:paraId="6362D8BC" w14:textId="70943A1F" w:rsidR="00914A1A" w:rsidRPr="0081702E" w:rsidRDefault="00914A1A" w:rsidP="00975E7E">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XII.11,</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¶24</w:t>
            </w:r>
          </w:p>
        </w:tc>
        <w:tc>
          <w:tcPr>
            <w:tcW w:w="403" w:type="pct"/>
          </w:tcPr>
          <w:p w14:paraId="62218853" w14:textId="77777777" w:rsidR="00914A1A" w:rsidRPr="0081702E" w:rsidRDefault="00914A1A" w:rsidP="00975E7E">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4.14</w:t>
            </w:r>
          </w:p>
        </w:tc>
        <w:tc>
          <w:tcPr>
            <w:tcW w:w="2921" w:type="pct"/>
          </w:tcPr>
          <w:p w14:paraId="3B77C4CD" w14:textId="3EB9A467" w:rsidR="00914A1A" w:rsidRPr="0081702E" w:rsidRDefault="00130D8F" w:rsidP="00975E7E">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B32124">
              <w:rPr>
                <w:rFonts w:asciiTheme="majorHAnsi" w:hAnsiTheme="majorHAnsi" w:cs="Arial"/>
                <w:b w:val="0"/>
                <w:sz w:val="20"/>
                <w:szCs w:val="20"/>
                <w:lang w:val="fr-CA"/>
              </w:rPr>
              <w:t>E</w:t>
            </w:r>
            <w:r w:rsidR="00975E7E">
              <w:rPr>
                <w:rFonts w:asciiTheme="majorHAnsi" w:hAnsiTheme="majorHAnsi" w:cs="Arial"/>
                <w:b w:val="0"/>
                <w:sz w:val="20"/>
                <w:szCs w:val="20"/>
                <w:lang w:val="fr-CA"/>
              </w:rPr>
              <w:t>xamen et projet d’orientation</w:t>
            </w:r>
            <w:r w:rsidR="00255A2D">
              <w:rPr>
                <w:rFonts w:asciiTheme="majorHAnsi" w:hAnsiTheme="majorHAnsi" w:cs="Arial"/>
                <w:b w:val="0"/>
                <w:sz w:val="20"/>
                <w:szCs w:val="20"/>
                <w:lang w:val="fr-CA"/>
              </w:rPr>
              <w:t>s</w:t>
            </w:r>
            <w:r w:rsidR="00975E7E">
              <w:rPr>
                <w:rFonts w:asciiTheme="majorHAnsi" w:hAnsiTheme="majorHAnsi" w:cs="Arial"/>
                <w:b w:val="0"/>
                <w:sz w:val="20"/>
                <w:szCs w:val="20"/>
                <w:lang w:val="fr-CA"/>
              </w:rPr>
              <w:t xml:space="preserve"> pour les inventaires de tourbières tropicales, </w:t>
            </w:r>
            <w:r w:rsidR="00255A2D">
              <w:rPr>
                <w:rFonts w:asciiTheme="majorHAnsi" w:hAnsiTheme="majorHAnsi" w:cs="Arial"/>
                <w:b w:val="0"/>
                <w:sz w:val="20"/>
                <w:szCs w:val="20"/>
                <w:lang w:val="fr-CA"/>
              </w:rPr>
              <w:t>comprenant</w:t>
            </w:r>
            <w:r w:rsidR="00975E7E">
              <w:rPr>
                <w:rFonts w:asciiTheme="majorHAnsi" w:hAnsiTheme="majorHAnsi" w:cs="Arial"/>
                <w:b w:val="0"/>
                <w:sz w:val="20"/>
                <w:szCs w:val="20"/>
                <w:lang w:val="fr-CA"/>
              </w:rPr>
              <w:t xml:space="preserve"> l’étendue, la profondeur, la qualité, l’élévation et les méthodologies de suivi (approche scientifique). </w:t>
            </w:r>
          </w:p>
          <w:p w14:paraId="7CC5AE7B" w14:textId="77777777" w:rsidR="00914A1A" w:rsidRPr="0081702E" w:rsidRDefault="00914A1A" w:rsidP="00975E7E">
            <w:pPr>
              <w:pStyle w:val="Default"/>
              <w:keepNext/>
              <w:keepLines/>
              <w:rPr>
                <w:rFonts w:asciiTheme="majorHAnsi" w:hAnsiTheme="majorHAnsi" w:cs="Arial"/>
                <w:b w:val="0"/>
                <w:color w:val="auto"/>
                <w:sz w:val="20"/>
                <w:szCs w:val="20"/>
                <w:u w:val="single"/>
                <w:lang w:val="fr-CA"/>
              </w:rPr>
            </w:pPr>
          </w:p>
          <w:p w14:paraId="46C3A5DC" w14:textId="1BE4167D" w:rsidR="00914A1A" w:rsidRPr="0081702E" w:rsidRDefault="00130D8F" w:rsidP="00975E7E">
            <w:pPr>
              <w:pStyle w:val="Default"/>
              <w:keepNext/>
              <w:keepLines/>
              <w:rPr>
                <w:rFonts w:asciiTheme="majorHAnsi" w:hAnsiTheme="majorHAnsi" w:cs="Arial"/>
                <w:b w:val="0"/>
                <w:color w:val="auto"/>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w:t>
            </w:r>
            <w:r w:rsidR="00E01336" w:rsidRPr="0081702E">
              <w:rPr>
                <w:rFonts w:asciiTheme="majorHAnsi" w:hAnsiTheme="majorHAnsi" w:cs="Arial"/>
                <w:b w:val="0"/>
                <w:color w:val="auto"/>
                <w:sz w:val="20"/>
                <w:szCs w:val="20"/>
                <w:lang w:val="fr-CA"/>
              </w:rPr>
              <w:t xml:space="preserve"> </w:t>
            </w:r>
          </w:p>
          <w:p w14:paraId="5ABEC874" w14:textId="5744E042" w:rsidR="00914A1A" w:rsidRPr="0081702E" w:rsidRDefault="00914A1A" w:rsidP="00975E7E">
            <w:pPr>
              <w:pStyle w:val="Default"/>
              <w:keepNext/>
              <w:keepLines/>
              <w:rPr>
                <w:rFonts w:asciiTheme="majorHAnsi" w:hAnsiTheme="majorHAnsi" w:cs="Arial"/>
                <w:b w:val="0"/>
                <w:color w:val="auto"/>
                <w:sz w:val="20"/>
                <w:szCs w:val="20"/>
                <w:lang w:val="fr-CA"/>
              </w:rPr>
            </w:pPr>
            <w:r w:rsidRPr="0081702E">
              <w:rPr>
                <w:rFonts w:asciiTheme="majorHAnsi" w:hAnsiTheme="majorHAnsi" w:cs="Arial"/>
                <w:b w:val="0"/>
                <w:color w:val="auto"/>
                <w:sz w:val="20"/>
                <w:szCs w:val="20"/>
                <w:lang w:val="fr-CA"/>
              </w:rPr>
              <w:t>1)</w:t>
            </w:r>
            <w:r w:rsidR="00E01336" w:rsidRPr="0081702E">
              <w:rPr>
                <w:rFonts w:asciiTheme="majorHAnsi" w:hAnsiTheme="majorHAnsi" w:cs="Arial"/>
                <w:b w:val="0"/>
                <w:color w:val="auto"/>
                <w:sz w:val="20"/>
                <w:szCs w:val="20"/>
                <w:lang w:val="fr-CA"/>
              </w:rPr>
              <w:t xml:space="preserve"> </w:t>
            </w:r>
            <w:r w:rsidR="00975E7E">
              <w:rPr>
                <w:rFonts w:asciiTheme="majorHAnsi" w:hAnsiTheme="majorHAnsi" w:cs="Arial"/>
                <w:b w:val="0"/>
                <w:color w:val="auto"/>
                <w:sz w:val="20"/>
                <w:szCs w:val="20"/>
                <w:lang w:val="fr-CA"/>
              </w:rPr>
              <w:t xml:space="preserve">Note d’information pour les praticiens (administrateurs de site). </w:t>
            </w:r>
          </w:p>
          <w:p w14:paraId="641CFAAE" w14:textId="77777777" w:rsidR="00914A1A" w:rsidRPr="0081702E" w:rsidRDefault="00914A1A" w:rsidP="00975E7E">
            <w:pPr>
              <w:pStyle w:val="Default"/>
              <w:keepNext/>
              <w:keepLines/>
              <w:rPr>
                <w:rFonts w:asciiTheme="majorHAnsi" w:hAnsiTheme="majorHAnsi" w:cs="Arial"/>
                <w:b w:val="0"/>
                <w:color w:val="auto"/>
                <w:sz w:val="20"/>
                <w:szCs w:val="20"/>
                <w:lang w:val="fr-CA"/>
              </w:rPr>
            </w:pPr>
          </w:p>
          <w:p w14:paraId="46C9DEAB" w14:textId="7507F1D3" w:rsidR="00914A1A" w:rsidRPr="0081702E" w:rsidRDefault="00914A1A" w:rsidP="00975E7E">
            <w:pPr>
              <w:pStyle w:val="Default"/>
              <w:keepNext/>
              <w:keepLines/>
              <w:rPr>
                <w:rFonts w:asciiTheme="majorHAnsi" w:hAnsiTheme="majorHAnsi" w:cs="Arial"/>
                <w:b w:val="0"/>
                <w:color w:val="auto"/>
                <w:sz w:val="20"/>
                <w:szCs w:val="20"/>
                <w:lang w:val="fr-CA"/>
              </w:rPr>
            </w:pPr>
            <w:r w:rsidRPr="0081702E">
              <w:rPr>
                <w:rFonts w:asciiTheme="majorHAnsi" w:hAnsiTheme="majorHAnsi" w:cs="Arial"/>
                <w:b w:val="0"/>
                <w:color w:val="auto"/>
                <w:sz w:val="20"/>
                <w:szCs w:val="20"/>
                <w:lang w:val="fr-CA"/>
              </w:rPr>
              <w:t>2)</w:t>
            </w:r>
            <w:r w:rsidR="00E01336" w:rsidRPr="0081702E">
              <w:rPr>
                <w:rFonts w:asciiTheme="majorHAnsi" w:hAnsiTheme="majorHAnsi" w:cs="Arial"/>
                <w:b w:val="0"/>
                <w:color w:val="auto"/>
                <w:sz w:val="20"/>
                <w:szCs w:val="20"/>
                <w:lang w:val="fr-CA"/>
              </w:rPr>
              <w:t xml:space="preserve"> </w:t>
            </w:r>
            <w:r w:rsidR="00975E7E">
              <w:rPr>
                <w:rFonts w:asciiTheme="majorHAnsi" w:hAnsiTheme="majorHAnsi" w:cs="Arial"/>
                <w:b w:val="0"/>
                <w:color w:val="auto"/>
                <w:sz w:val="20"/>
                <w:szCs w:val="20"/>
                <w:lang w:val="fr-CA"/>
              </w:rPr>
              <w:t xml:space="preserve">Document d’orientation pour souligner l’importance des inventaires et de la cartographie des tourbières tropicales. </w:t>
            </w:r>
          </w:p>
          <w:p w14:paraId="497030D2" w14:textId="77777777" w:rsidR="00914A1A" w:rsidRPr="0081702E" w:rsidRDefault="00914A1A" w:rsidP="00975E7E">
            <w:pPr>
              <w:pStyle w:val="Default"/>
              <w:keepNext/>
              <w:keepLines/>
              <w:rPr>
                <w:rFonts w:asciiTheme="majorHAnsi" w:hAnsiTheme="majorHAnsi" w:cs="Arial"/>
                <w:b w:val="0"/>
                <w:color w:val="auto"/>
                <w:sz w:val="20"/>
                <w:szCs w:val="20"/>
                <w:lang w:val="fr-CA"/>
              </w:rPr>
            </w:pPr>
          </w:p>
          <w:p w14:paraId="700DB4F0" w14:textId="39809045" w:rsidR="00914A1A" w:rsidRPr="0081702E" w:rsidRDefault="00914A1A" w:rsidP="00975E7E">
            <w:pPr>
              <w:pStyle w:val="Default"/>
              <w:keepNext/>
              <w:keepLines/>
              <w:rPr>
                <w:rFonts w:asciiTheme="majorHAnsi" w:hAnsiTheme="majorHAnsi" w:cs="Arial"/>
                <w:b w:val="0"/>
                <w:color w:val="auto"/>
                <w:sz w:val="20"/>
                <w:szCs w:val="20"/>
                <w:lang w:val="fr-CA"/>
              </w:rPr>
            </w:pPr>
            <w:r w:rsidRPr="0081702E">
              <w:rPr>
                <w:rFonts w:asciiTheme="majorHAnsi" w:hAnsiTheme="majorHAnsi" w:cs="Arial"/>
                <w:b w:val="0"/>
                <w:color w:val="auto"/>
                <w:sz w:val="20"/>
                <w:szCs w:val="20"/>
                <w:lang w:val="fr-CA"/>
              </w:rPr>
              <w:t>3)</w:t>
            </w:r>
            <w:r w:rsidR="00E01336" w:rsidRPr="0081702E">
              <w:rPr>
                <w:rFonts w:asciiTheme="majorHAnsi" w:hAnsiTheme="majorHAnsi" w:cs="Arial"/>
                <w:b w:val="0"/>
                <w:color w:val="auto"/>
                <w:sz w:val="20"/>
                <w:szCs w:val="20"/>
                <w:lang w:val="fr-CA"/>
              </w:rPr>
              <w:t xml:space="preserve"> </w:t>
            </w:r>
            <w:r w:rsidR="00975E7E">
              <w:rPr>
                <w:rFonts w:asciiTheme="majorHAnsi" w:hAnsiTheme="majorHAnsi" w:cs="Arial"/>
                <w:b w:val="0"/>
                <w:color w:val="auto"/>
                <w:sz w:val="20"/>
                <w:szCs w:val="20"/>
                <w:lang w:val="fr-CA"/>
              </w:rPr>
              <w:t>Fourniture de contributions au Secrétariat, au besoin, dans l’étude en cours et la mise à jour de manuels pertinents (c.</w:t>
            </w:r>
            <w:r w:rsidR="00975E7E">
              <w:rPr>
                <w:rFonts w:asciiTheme="majorHAnsi" w:hAnsiTheme="majorHAnsi" w:cs="Arial"/>
                <w:b w:val="0"/>
                <w:color w:val="auto"/>
                <w:sz w:val="20"/>
                <w:szCs w:val="20"/>
                <w:lang w:val="fr-CA"/>
              </w:rPr>
              <w:noBreakHyphen/>
              <w:t>à</w:t>
            </w:r>
            <w:r w:rsidR="00975E7E">
              <w:rPr>
                <w:rFonts w:asciiTheme="majorHAnsi" w:hAnsiTheme="majorHAnsi" w:cs="Arial"/>
                <w:b w:val="0"/>
                <w:color w:val="auto"/>
                <w:sz w:val="20"/>
                <w:szCs w:val="20"/>
                <w:lang w:val="fr-CA"/>
              </w:rPr>
              <w:noBreakHyphen/>
              <w:t xml:space="preserve">d. Manuel 13 sur l’inventaire, l’évaluation et le suivi et Manuel 15 sur l’inventaire des zones humides). </w:t>
            </w:r>
          </w:p>
          <w:p w14:paraId="58E3546C" w14:textId="77777777" w:rsidR="00914A1A" w:rsidRPr="0081702E" w:rsidRDefault="00914A1A" w:rsidP="00975E7E">
            <w:pPr>
              <w:pStyle w:val="Default"/>
              <w:keepNext/>
              <w:keepLines/>
              <w:rPr>
                <w:rFonts w:asciiTheme="majorHAnsi" w:hAnsiTheme="majorHAnsi" w:cs="Arial"/>
                <w:b w:val="0"/>
                <w:color w:val="auto"/>
                <w:sz w:val="20"/>
                <w:szCs w:val="20"/>
                <w:lang w:val="fr-CA"/>
              </w:rPr>
            </w:pPr>
          </w:p>
          <w:p w14:paraId="242A892E" w14:textId="7E31468F" w:rsidR="00914A1A" w:rsidRPr="0081702E" w:rsidRDefault="00130D8F" w:rsidP="00975E7E">
            <w:pPr>
              <w:pStyle w:val="Default"/>
              <w:keepNext/>
              <w:keepLines/>
              <w:rPr>
                <w:rFonts w:asciiTheme="majorHAnsi" w:hAnsiTheme="majorHAnsi" w:cs="Arial"/>
                <w:b w:val="0"/>
                <w:color w:val="auto"/>
                <w:sz w:val="20"/>
                <w:szCs w:val="20"/>
                <w:u w:val="single"/>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975E7E" w:rsidRPr="00975E7E">
              <w:rPr>
                <w:rFonts w:asciiTheme="majorHAnsi" w:hAnsiTheme="majorHAnsi" w:cs="Arial"/>
                <w:b w:val="0"/>
                <w:color w:val="auto"/>
                <w:sz w:val="20"/>
                <w:szCs w:val="20"/>
                <w:lang w:val="fr-CA"/>
              </w:rPr>
              <w:t>Praticiens</w:t>
            </w:r>
            <w:r w:rsidR="007A5CFB">
              <w:rPr>
                <w:rFonts w:asciiTheme="majorHAnsi" w:hAnsiTheme="majorHAnsi" w:cs="Arial"/>
                <w:b w:val="0"/>
                <w:color w:val="auto"/>
                <w:sz w:val="20"/>
                <w:szCs w:val="20"/>
                <w:lang w:val="fr-CA"/>
              </w:rPr>
              <w:t xml:space="preserve"> </w:t>
            </w:r>
            <w:r w:rsidR="00914A1A" w:rsidRPr="00975E7E">
              <w:rPr>
                <w:rFonts w:asciiTheme="majorHAnsi" w:hAnsiTheme="majorHAnsi" w:cs="Arial"/>
                <w:b w:val="0"/>
                <w:color w:val="auto"/>
                <w:sz w:val="20"/>
                <w:szCs w:val="20"/>
                <w:lang w:val="fr-CA"/>
              </w:rPr>
              <w:t>(</w:t>
            </w:r>
            <w:r w:rsidR="00975E7E" w:rsidRPr="00975E7E">
              <w:rPr>
                <w:rFonts w:asciiTheme="majorHAnsi" w:hAnsiTheme="majorHAnsi" w:cs="Arial"/>
                <w:b w:val="0"/>
                <w:color w:val="auto"/>
                <w:sz w:val="20"/>
                <w:szCs w:val="20"/>
                <w:lang w:val="fr-CA"/>
              </w:rPr>
              <w:t>en particulier</w:t>
            </w:r>
            <w:r w:rsidR="00E01336" w:rsidRPr="00975E7E">
              <w:rPr>
                <w:rFonts w:asciiTheme="majorHAnsi" w:hAnsiTheme="majorHAnsi" w:cs="Arial"/>
                <w:b w:val="0"/>
                <w:color w:val="auto"/>
                <w:sz w:val="20"/>
                <w:szCs w:val="20"/>
                <w:lang w:val="fr-CA"/>
              </w:rPr>
              <w:t xml:space="preserve"> </w:t>
            </w:r>
            <w:r w:rsidR="00975E7E">
              <w:rPr>
                <w:rFonts w:asciiTheme="majorHAnsi" w:hAnsiTheme="majorHAnsi" w:cs="Arial"/>
                <w:b w:val="0"/>
                <w:color w:val="auto"/>
                <w:sz w:val="20"/>
                <w:szCs w:val="20"/>
                <w:lang w:val="fr-CA"/>
              </w:rPr>
              <w:t>administrateurs de Sites Ramsar</w:t>
            </w:r>
            <w:r w:rsidR="00914A1A" w:rsidRPr="0081702E">
              <w:rPr>
                <w:rFonts w:asciiTheme="majorHAnsi" w:hAnsiTheme="majorHAnsi" w:cs="Arial"/>
                <w:b w:val="0"/>
                <w:color w:val="auto"/>
                <w:sz w:val="20"/>
                <w:szCs w:val="20"/>
                <w:lang w:val="fr-CA"/>
              </w:rPr>
              <w:t>),</w:t>
            </w:r>
            <w:r w:rsidR="00E01336" w:rsidRPr="0081702E">
              <w:rPr>
                <w:rFonts w:asciiTheme="majorHAnsi" w:hAnsiTheme="majorHAnsi" w:cs="Arial"/>
                <w:b w:val="0"/>
                <w:color w:val="auto"/>
                <w:sz w:val="20"/>
                <w:szCs w:val="20"/>
                <w:lang w:val="fr-CA"/>
              </w:rPr>
              <w:t xml:space="preserve"> </w:t>
            </w:r>
            <w:r w:rsidR="00975E7E">
              <w:rPr>
                <w:rFonts w:asciiTheme="majorHAnsi" w:hAnsiTheme="majorHAnsi" w:cs="Arial"/>
                <w:b w:val="0"/>
                <w:color w:val="auto"/>
                <w:sz w:val="20"/>
                <w:szCs w:val="20"/>
                <w:lang w:val="fr-CA"/>
              </w:rPr>
              <w:t xml:space="preserve">Parties contractantes et décideurs. </w:t>
            </w:r>
          </w:p>
        </w:tc>
        <w:tc>
          <w:tcPr>
            <w:tcW w:w="497" w:type="pct"/>
          </w:tcPr>
          <w:p w14:paraId="5002FC1B" w14:textId="434404E2" w:rsidR="00914A1A" w:rsidRPr="0081702E" w:rsidRDefault="00914A1A" w:rsidP="00331336">
            <w:pPr>
              <w:rPr>
                <w:rFonts w:asciiTheme="majorHAnsi" w:hAnsiTheme="majorHAnsi" w:cs="Arial"/>
                <w:b w:val="0"/>
                <w:sz w:val="20"/>
                <w:szCs w:val="20"/>
                <w:lang w:val="fr-CA"/>
              </w:rPr>
            </w:pPr>
            <w:r w:rsidRPr="0081702E">
              <w:rPr>
                <w:rFonts w:asciiTheme="majorHAnsi" w:hAnsiTheme="majorHAnsi" w:cs="Arial"/>
                <w:b w:val="0"/>
                <w:sz w:val="20"/>
                <w:szCs w:val="20"/>
                <w:lang w:val="fr-CA"/>
              </w:rPr>
              <w:t>22</w:t>
            </w:r>
            <w:r w:rsidR="00331336">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000</w:t>
            </w:r>
          </w:p>
        </w:tc>
      </w:tr>
      <w:tr w:rsidR="00914A1A" w:rsidRPr="00DF4418" w14:paraId="509F959F" w14:textId="77777777" w:rsidTr="00130D8F">
        <w:trPr>
          <w:trHeight w:val="2399"/>
        </w:trPr>
        <w:tc>
          <w:tcPr>
            <w:tcW w:w="488" w:type="pct"/>
          </w:tcPr>
          <w:p w14:paraId="7E0C4F11" w14:textId="520E9E58" w:rsidR="00914A1A" w:rsidRPr="0081702E" w:rsidRDefault="00130D8F" w:rsidP="00255A2D">
            <w:pPr>
              <w:rPr>
                <w:rFonts w:asciiTheme="majorHAnsi" w:hAnsiTheme="majorHAnsi" w:cs="Arial"/>
                <w:b w:val="0"/>
                <w:sz w:val="20"/>
                <w:szCs w:val="20"/>
                <w:lang w:val="fr-CA"/>
              </w:rPr>
            </w:pPr>
            <w:r w:rsidRPr="0081702E">
              <w:rPr>
                <w:rFonts w:asciiTheme="majorHAnsi" w:hAnsiTheme="majorHAnsi" w:cs="Arial"/>
                <w:b w:val="0"/>
                <w:sz w:val="20"/>
                <w:szCs w:val="20"/>
                <w:lang w:val="fr-CA"/>
              </w:rPr>
              <w:t>N</w:t>
            </w:r>
            <w:r w:rsidRPr="00130D8F">
              <w:rPr>
                <w:rFonts w:asciiTheme="majorHAnsi" w:hAnsiTheme="majorHAnsi" w:cs="Arial"/>
                <w:b w:val="0"/>
                <w:sz w:val="20"/>
                <w:szCs w:val="20"/>
                <w:vertAlign w:val="superscript"/>
                <w:lang w:val="fr-CA"/>
              </w:rPr>
              <w:t>o</w:t>
            </w:r>
            <w:r w:rsidR="007A5CFB">
              <w:rPr>
                <w:rFonts w:asciiTheme="majorHAnsi" w:hAnsiTheme="majorHAnsi" w:cs="Arial"/>
                <w:b w:val="0"/>
                <w:sz w:val="20"/>
                <w:szCs w:val="20"/>
                <w:vertAlign w:val="superscript"/>
                <w:lang w:val="fr-CA"/>
              </w:rPr>
              <w:t xml:space="preserve"> </w:t>
            </w:r>
            <w:r w:rsidR="00914A1A" w:rsidRPr="0081702E">
              <w:rPr>
                <w:rFonts w:asciiTheme="majorHAnsi" w:hAnsiTheme="majorHAnsi" w:cs="Arial"/>
                <w:b w:val="0"/>
                <w:sz w:val="20"/>
                <w:szCs w:val="20"/>
                <w:lang w:val="fr-CA"/>
              </w:rPr>
              <w:t>1.8</w:t>
            </w:r>
            <w:r w:rsidR="00E01336" w:rsidRPr="0081702E">
              <w:rPr>
                <w:rFonts w:asciiTheme="majorHAnsi" w:hAnsiTheme="majorHAnsi" w:cs="Arial"/>
                <w:b w:val="0"/>
                <w:sz w:val="20"/>
                <w:szCs w:val="20"/>
                <w:lang w:val="fr-CA"/>
              </w:rPr>
              <w:t xml:space="preserve"> </w:t>
            </w:r>
            <w:r w:rsidR="00975E7E">
              <w:rPr>
                <w:rFonts w:asciiTheme="majorHAnsi" w:hAnsiTheme="majorHAnsi" w:cs="Arial"/>
                <w:b w:val="0"/>
                <w:sz w:val="20"/>
                <w:szCs w:val="20"/>
                <w:lang w:val="fr-CA"/>
              </w:rPr>
              <w:t xml:space="preserve">Projet d’Atlas des points chauds </w:t>
            </w:r>
            <w:r w:rsidR="00255A2D">
              <w:rPr>
                <w:rFonts w:asciiTheme="majorHAnsi" w:hAnsiTheme="majorHAnsi" w:cs="Arial"/>
                <w:b w:val="0"/>
                <w:sz w:val="20"/>
                <w:szCs w:val="20"/>
                <w:lang w:val="fr-CA"/>
              </w:rPr>
              <w:t>de</w:t>
            </w:r>
            <w:r w:rsidR="00975E7E">
              <w:rPr>
                <w:rFonts w:asciiTheme="majorHAnsi" w:hAnsiTheme="majorHAnsi" w:cs="Arial"/>
                <w:b w:val="0"/>
                <w:sz w:val="20"/>
                <w:szCs w:val="20"/>
                <w:lang w:val="fr-CA"/>
              </w:rPr>
              <w:t xml:space="preserve"> tourbières</w:t>
            </w:r>
          </w:p>
        </w:tc>
        <w:tc>
          <w:tcPr>
            <w:tcW w:w="301" w:type="pct"/>
          </w:tcPr>
          <w:p w14:paraId="394236C3" w14:textId="77777777" w:rsidR="00914A1A" w:rsidRPr="0081702E" w:rsidRDefault="00914A1A" w:rsidP="00914A1A">
            <w:pPr>
              <w:rPr>
                <w:rFonts w:asciiTheme="majorHAnsi" w:hAnsiTheme="majorHAnsi" w:cs="Arial"/>
                <w:b w:val="0"/>
                <w:sz w:val="20"/>
                <w:szCs w:val="20"/>
                <w:lang w:val="fr-CA"/>
              </w:rPr>
            </w:pPr>
          </w:p>
        </w:tc>
        <w:tc>
          <w:tcPr>
            <w:tcW w:w="390" w:type="pct"/>
          </w:tcPr>
          <w:p w14:paraId="3C3BACC8" w14:textId="77777777"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XII.11</w:t>
            </w:r>
          </w:p>
        </w:tc>
        <w:tc>
          <w:tcPr>
            <w:tcW w:w="403" w:type="pct"/>
          </w:tcPr>
          <w:p w14:paraId="58605B9B" w14:textId="77777777"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4.14</w:t>
            </w:r>
          </w:p>
        </w:tc>
        <w:tc>
          <w:tcPr>
            <w:tcW w:w="2921" w:type="pct"/>
          </w:tcPr>
          <w:p w14:paraId="03A7392E" w14:textId="6B1CE99C" w:rsidR="00914A1A" w:rsidRPr="0081702E" w:rsidRDefault="00130D8F" w:rsidP="00914A1A">
            <w:pPr>
              <w:rPr>
                <w:rFonts w:asciiTheme="majorHAnsi" w:hAnsiTheme="majorHAnsi" w:cs="Arial"/>
                <w:b w:val="0"/>
                <w:sz w:val="20"/>
                <w:szCs w:val="20"/>
                <w:u w:val="single"/>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B32124">
              <w:rPr>
                <w:rFonts w:asciiTheme="majorHAnsi" w:hAnsiTheme="majorHAnsi" w:cs="Arial"/>
                <w:b w:val="0"/>
                <w:sz w:val="20"/>
                <w:szCs w:val="20"/>
                <w:lang w:val="fr-CA"/>
              </w:rPr>
              <w:t>F</w:t>
            </w:r>
            <w:r w:rsidR="00975E7E">
              <w:rPr>
                <w:rFonts w:asciiTheme="majorHAnsi" w:hAnsiTheme="majorHAnsi" w:cs="Arial"/>
                <w:b w:val="0"/>
                <w:sz w:val="20"/>
                <w:szCs w:val="20"/>
                <w:lang w:val="fr-CA"/>
              </w:rPr>
              <w:t xml:space="preserve">ournir une contribution au projet d’Atlas des points chauds </w:t>
            </w:r>
            <w:r w:rsidR="00255A2D">
              <w:rPr>
                <w:rFonts w:asciiTheme="majorHAnsi" w:hAnsiTheme="majorHAnsi" w:cs="Arial"/>
                <w:b w:val="0"/>
                <w:sz w:val="20"/>
                <w:szCs w:val="20"/>
                <w:lang w:val="fr-CA"/>
              </w:rPr>
              <w:t>de</w:t>
            </w:r>
            <w:r w:rsidR="00975E7E">
              <w:rPr>
                <w:rFonts w:asciiTheme="majorHAnsi" w:hAnsiTheme="majorHAnsi" w:cs="Arial"/>
                <w:b w:val="0"/>
                <w:sz w:val="20"/>
                <w:szCs w:val="20"/>
                <w:lang w:val="fr-CA"/>
              </w:rPr>
              <w:t xml:space="preserve"> tourbières, un projet en collaboration entre </w:t>
            </w:r>
            <w:r w:rsidR="00914A1A" w:rsidRPr="0081702E">
              <w:rPr>
                <w:rFonts w:asciiTheme="majorHAnsi" w:hAnsiTheme="majorHAnsi" w:cs="Arial"/>
                <w:b w:val="0"/>
                <w:sz w:val="20"/>
                <w:szCs w:val="20"/>
                <w:lang w:val="fr-CA"/>
              </w:rPr>
              <w:t>WI,</w:t>
            </w:r>
            <w:r w:rsidR="00E01336" w:rsidRPr="0081702E">
              <w:rPr>
                <w:rFonts w:asciiTheme="majorHAnsi" w:hAnsiTheme="majorHAnsi" w:cs="Arial"/>
                <w:b w:val="0"/>
                <w:sz w:val="20"/>
                <w:szCs w:val="20"/>
                <w:lang w:val="fr-CA"/>
              </w:rPr>
              <w:t xml:space="preserve"> </w:t>
            </w:r>
            <w:r w:rsidR="00975E7E">
              <w:rPr>
                <w:rFonts w:asciiTheme="majorHAnsi" w:hAnsiTheme="majorHAnsi" w:cs="Arial"/>
                <w:b w:val="0"/>
                <w:sz w:val="20"/>
                <w:szCs w:val="20"/>
                <w:lang w:val="fr-CA"/>
              </w:rPr>
              <w:t xml:space="preserve">la </w:t>
            </w:r>
            <w:r w:rsidR="00914A1A" w:rsidRPr="0081702E">
              <w:rPr>
                <w:rFonts w:asciiTheme="majorHAnsi" w:hAnsiTheme="majorHAnsi" w:cs="Arial"/>
                <w:b w:val="0"/>
                <w:sz w:val="20"/>
                <w:szCs w:val="20"/>
                <w:lang w:val="fr-CA"/>
              </w:rPr>
              <w:t>C</w:t>
            </w:r>
            <w:r w:rsidR="00975E7E">
              <w:rPr>
                <w:rFonts w:asciiTheme="majorHAnsi" w:hAnsiTheme="majorHAnsi" w:cs="Arial"/>
                <w:b w:val="0"/>
                <w:sz w:val="20"/>
                <w:szCs w:val="20"/>
                <w:lang w:val="fr-CA"/>
              </w:rPr>
              <w:t>DB</w:t>
            </w:r>
            <w:r w:rsidR="00914A1A" w:rsidRPr="0081702E">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r w:rsidR="00975E7E">
              <w:rPr>
                <w:rFonts w:asciiTheme="majorHAnsi" w:hAnsiTheme="majorHAnsi" w:cs="Arial"/>
                <w:b w:val="0"/>
                <w:sz w:val="20"/>
                <w:szCs w:val="20"/>
                <w:lang w:val="fr-CA"/>
              </w:rPr>
              <w:t>la CNULD et</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Ramsar,</w:t>
            </w:r>
            <w:r w:rsidR="00E01336" w:rsidRPr="0081702E">
              <w:rPr>
                <w:rFonts w:asciiTheme="majorHAnsi" w:hAnsiTheme="majorHAnsi" w:cs="Arial"/>
                <w:b w:val="0"/>
                <w:sz w:val="20"/>
                <w:szCs w:val="20"/>
                <w:lang w:val="fr-CA"/>
              </w:rPr>
              <w:t xml:space="preserve"> </w:t>
            </w:r>
            <w:r w:rsidR="00975E7E">
              <w:rPr>
                <w:rFonts w:asciiTheme="majorHAnsi" w:hAnsiTheme="majorHAnsi" w:cs="Arial"/>
                <w:b w:val="0"/>
                <w:sz w:val="20"/>
                <w:szCs w:val="20"/>
                <w:lang w:val="fr-CA"/>
              </w:rPr>
              <w:t xml:space="preserve">qui sera lancé à la COP21 de la CCNUCC. </w:t>
            </w:r>
          </w:p>
          <w:p w14:paraId="41495474" w14:textId="77777777" w:rsidR="00914A1A" w:rsidRPr="0081702E" w:rsidRDefault="00914A1A" w:rsidP="00914A1A">
            <w:pPr>
              <w:rPr>
                <w:rFonts w:asciiTheme="majorHAnsi" w:hAnsiTheme="majorHAnsi" w:cs="Arial"/>
                <w:b w:val="0"/>
                <w:sz w:val="20"/>
                <w:szCs w:val="20"/>
                <w:u w:val="single"/>
                <w:lang w:val="fr-CA"/>
              </w:rPr>
            </w:pPr>
          </w:p>
          <w:p w14:paraId="3539CF91" w14:textId="53CE174F" w:rsidR="00914A1A" w:rsidRPr="0081702E" w:rsidRDefault="00130D8F"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p>
          <w:p w14:paraId="05DCB6F6" w14:textId="68BD6E4D"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1)</w:t>
            </w:r>
            <w:r w:rsidR="00E01336" w:rsidRPr="0081702E">
              <w:rPr>
                <w:rFonts w:asciiTheme="majorHAnsi" w:hAnsiTheme="majorHAnsi" w:cs="Arial"/>
                <w:b w:val="0"/>
                <w:sz w:val="20"/>
                <w:szCs w:val="20"/>
                <w:lang w:val="fr-CA"/>
              </w:rPr>
              <w:t xml:space="preserve"> </w:t>
            </w:r>
            <w:r w:rsidR="00C23109">
              <w:rPr>
                <w:rFonts w:asciiTheme="majorHAnsi" w:hAnsiTheme="majorHAnsi" w:cs="Arial"/>
                <w:b w:val="0"/>
                <w:sz w:val="20"/>
                <w:szCs w:val="20"/>
                <w:lang w:val="fr-CA"/>
              </w:rPr>
              <w:t xml:space="preserve">Un projet d’Atlas des points chauds </w:t>
            </w:r>
            <w:r w:rsidR="00255A2D">
              <w:rPr>
                <w:rFonts w:asciiTheme="majorHAnsi" w:hAnsiTheme="majorHAnsi" w:cs="Arial"/>
                <w:b w:val="0"/>
                <w:sz w:val="20"/>
                <w:szCs w:val="20"/>
                <w:lang w:val="fr-CA"/>
              </w:rPr>
              <w:t>de</w:t>
            </w:r>
            <w:r w:rsidR="00C23109">
              <w:rPr>
                <w:rFonts w:asciiTheme="majorHAnsi" w:hAnsiTheme="majorHAnsi" w:cs="Arial"/>
                <w:b w:val="0"/>
                <w:sz w:val="20"/>
                <w:szCs w:val="20"/>
                <w:lang w:val="fr-CA"/>
              </w:rPr>
              <w:t xml:space="preserve"> tourbières qui aidera les décideurs à identifier les priorités d’intervention.</w:t>
            </w:r>
          </w:p>
          <w:p w14:paraId="7F63A134" w14:textId="77777777" w:rsidR="00914A1A" w:rsidRPr="0081702E" w:rsidRDefault="00914A1A" w:rsidP="00914A1A">
            <w:pPr>
              <w:rPr>
                <w:rFonts w:asciiTheme="majorHAnsi" w:hAnsiTheme="majorHAnsi" w:cs="Arial"/>
                <w:b w:val="0"/>
                <w:sz w:val="20"/>
                <w:szCs w:val="20"/>
                <w:lang w:val="fr-CA"/>
              </w:rPr>
            </w:pPr>
          </w:p>
          <w:p w14:paraId="2C2C3DAE" w14:textId="358CEAA8"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2)</w:t>
            </w:r>
            <w:r w:rsidR="00E01336" w:rsidRPr="0081702E">
              <w:rPr>
                <w:rFonts w:asciiTheme="majorHAnsi" w:hAnsiTheme="majorHAnsi" w:cs="Arial"/>
                <w:b w:val="0"/>
                <w:sz w:val="20"/>
                <w:szCs w:val="20"/>
                <w:lang w:val="fr-CA"/>
              </w:rPr>
              <w:t xml:space="preserve"> </w:t>
            </w:r>
            <w:r w:rsidR="00C23109">
              <w:rPr>
                <w:rFonts w:asciiTheme="majorHAnsi" w:hAnsiTheme="majorHAnsi" w:cs="Arial"/>
                <w:b w:val="0"/>
                <w:sz w:val="20"/>
                <w:szCs w:val="20"/>
                <w:lang w:val="fr-CA"/>
              </w:rPr>
              <w:t xml:space="preserve">Un document d’orientation sur « Les tourbières et les changements climatiques ». </w:t>
            </w:r>
          </w:p>
          <w:p w14:paraId="3847045E" w14:textId="77777777" w:rsidR="00914A1A" w:rsidRPr="0081702E" w:rsidRDefault="00914A1A" w:rsidP="00914A1A">
            <w:pPr>
              <w:rPr>
                <w:rFonts w:asciiTheme="majorHAnsi" w:hAnsiTheme="majorHAnsi" w:cs="Arial"/>
                <w:b w:val="0"/>
                <w:sz w:val="20"/>
                <w:szCs w:val="20"/>
                <w:lang w:val="fr-CA"/>
              </w:rPr>
            </w:pPr>
          </w:p>
          <w:p w14:paraId="0CB5D7E3" w14:textId="641EE8D2" w:rsidR="00914A1A" w:rsidRPr="0081702E" w:rsidRDefault="00130D8F" w:rsidP="00B32124">
            <w:pPr>
              <w:pStyle w:val="Default"/>
              <w:rPr>
                <w:rFonts w:asciiTheme="majorHAnsi" w:hAnsiTheme="majorHAnsi" w:cs="Arial"/>
                <w:b w:val="0"/>
                <w:color w:val="auto"/>
                <w:sz w:val="20"/>
                <w:szCs w:val="20"/>
                <w:u w:val="single"/>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B32124">
              <w:rPr>
                <w:rFonts w:asciiTheme="majorHAnsi" w:hAnsiTheme="majorHAnsi" w:cs="Arial"/>
                <w:b w:val="0"/>
                <w:color w:val="auto"/>
                <w:sz w:val="20"/>
                <w:szCs w:val="20"/>
                <w:lang w:val="fr-CA"/>
              </w:rPr>
              <w:t>D</w:t>
            </w:r>
            <w:r w:rsidR="00C23109">
              <w:rPr>
                <w:rFonts w:asciiTheme="majorHAnsi" w:hAnsiTheme="majorHAnsi" w:cs="Arial"/>
                <w:b w:val="0"/>
                <w:color w:val="auto"/>
                <w:sz w:val="20"/>
                <w:szCs w:val="20"/>
                <w:lang w:val="fr-CA"/>
              </w:rPr>
              <w:t>écideurs.</w:t>
            </w:r>
          </w:p>
        </w:tc>
        <w:tc>
          <w:tcPr>
            <w:tcW w:w="497" w:type="pct"/>
          </w:tcPr>
          <w:p w14:paraId="3727E201" w14:textId="5C665917" w:rsidR="00914A1A" w:rsidRPr="0081702E" w:rsidRDefault="00C23109" w:rsidP="00914A1A">
            <w:pPr>
              <w:rPr>
                <w:rFonts w:asciiTheme="majorHAnsi" w:hAnsiTheme="majorHAnsi" w:cs="Arial"/>
                <w:b w:val="0"/>
                <w:sz w:val="20"/>
                <w:szCs w:val="20"/>
                <w:lang w:val="fr-CA"/>
              </w:rPr>
            </w:pPr>
            <w:r>
              <w:rPr>
                <w:rFonts w:asciiTheme="majorHAnsi" w:hAnsiTheme="majorHAnsi" w:cs="Arial"/>
                <w:b w:val="0"/>
                <w:sz w:val="20"/>
                <w:szCs w:val="20"/>
                <w:lang w:val="fr-CA"/>
              </w:rPr>
              <w:t>9</w:t>
            </w:r>
            <w:r w:rsidR="00914A1A" w:rsidRPr="0081702E">
              <w:rPr>
                <w:rFonts w:asciiTheme="majorHAnsi" w:hAnsiTheme="majorHAnsi" w:cs="Arial"/>
                <w:b w:val="0"/>
                <w:sz w:val="20"/>
                <w:szCs w:val="20"/>
                <w:lang w:val="fr-CA"/>
              </w:rPr>
              <w:t>000</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w:t>
            </w:r>
            <w:r>
              <w:rPr>
                <w:rFonts w:asciiTheme="majorHAnsi" w:hAnsiTheme="majorHAnsi" w:cs="Arial"/>
                <w:b w:val="0"/>
                <w:sz w:val="20"/>
                <w:szCs w:val="20"/>
                <w:lang w:val="fr-CA"/>
              </w:rPr>
              <w:t>pour le document d’orientation</w:t>
            </w:r>
            <w:r w:rsidR="00914A1A" w:rsidRPr="0081702E">
              <w:rPr>
                <w:rFonts w:asciiTheme="majorHAnsi" w:hAnsiTheme="majorHAnsi" w:cs="Arial"/>
                <w:b w:val="0"/>
                <w:sz w:val="20"/>
                <w:szCs w:val="20"/>
                <w:lang w:val="fr-CA"/>
              </w:rPr>
              <w:t>)</w:t>
            </w:r>
          </w:p>
          <w:p w14:paraId="1015FF3B" w14:textId="77777777" w:rsidR="00914A1A" w:rsidRPr="0081702E" w:rsidRDefault="00914A1A" w:rsidP="00914A1A">
            <w:pPr>
              <w:rPr>
                <w:rFonts w:asciiTheme="majorHAnsi" w:hAnsiTheme="majorHAnsi" w:cs="Arial"/>
                <w:b w:val="0"/>
                <w:sz w:val="20"/>
                <w:szCs w:val="20"/>
                <w:lang w:val="fr-CA"/>
              </w:rPr>
            </w:pPr>
          </w:p>
          <w:p w14:paraId="36ED3D1F" w14:textId="77777777" w:rsidR="00914A1A" w:rsidRPr="0081702E" w:rsidRDefault="00914A1A" w:rsidP="00914A1A">
            <w:pPr>
              <w:rPr>
                <w:rFonts w:asciiTheme="majorHAnsi" w:hAnsiTheme="majorHAnsi" w:cs="Arial"/>
                <w:b w:val="0"/>
                <w:sz w:val="20"/>
                <w:szCs w:val="20"/>
                <w:lang w:val="fr-CA"/>
              </w:rPr>
            </w:pPr>
          </w:p>
          <w:p w14:paraId="464E9B10" w14:textId="6973B263" w:rsidR="00914A1A" w:rsidRPr="0081702E" w:rsidRDefault="00914A1A" w:rsidP="00C23109">
            <w:pPr>
              <w:rPr>
                <w:rFonts w:asciiTheme="majorHAnsi" w:hAnsiTheme="majorHAnsi" w:cs="Arial"/>
                <w:b w:val="0"/>
                <w:sz w:val="20"/>
                <w:szCs w:val="20"/>
                <w:lang w:val="fr-CA"/>
              </w:rPr>
            </w:pPr>
            <w:r w:rsidRPr="0081702E">
              <w:rPr>
                <w:rFonts w:asciiTheme="majorHAnsi" w:hAnsiTheme="majorHAnsi" w:cs="Arial"/>
                <w:b w:val="0"/>
                <w:sz w:val="20"/>
                <w:szCs w:val="20"/>
                <w:lang w:val="fr-CA"/>
              </w:rPr>
              <w:t>[135</w:t>
            </w:r>
            <w:r w:rsidR="00C23109">
              <w:rPr>
                <w:rFonts w:asciiTheme="majorHAnsi" w:hAnsiTheme="majorHAnsi" w:cs="Arial"/>
                <w:b w:val="0"/>
                <w:sz w:val="20"/>
                <w:szCs w:val="20"/>
                <w:lang w:val="fr-CA"/>
              </w:rPr>
              <w:t> </w:t>
            </w:r>
            <w:r w:rsidRPr="0081702E">
              <w:rPr>
                <w:rFonts w:asciiTheme="majorHAnsi" w:hAnsiTheme="majorHAnsi" w:cs="Arial"/>
                <w:b w:val="0"/>
                <w:sz w:val="20"/>
                <w:szCs w:val="20"/>
                <w:lang w:val="fr-CA"/>
              </w:rPr>
              <w:t>000</w:t>
            </w:r>
            <w:r w:rsidR="00E01336" w:rsidRPr="0081702E">
              <w:rPr>
                <w:rFonts w:asciiTheme="majorHAnsi" w:hAnsiTheme="majorHAnsi" w:cs="Arial"/>
                <w:b w:val="0"/>
                <w:sz w:val="20"/>
                <w:szCs w:val="20"/>
                <w:lang w:val="fr-CA"/>
              </w:rPr>
              <w:t xml:space="preserve"> </w:t>
            </w:r>
            <w:r w:rsidR="00C23109">
              <w:rPr>
                <w:rFonts w:asciiTheme="majorHAnsi" w:hAnsiTheme="majorHAnsi" w:cs="Arial"/>
                <w:b w:val="0"/>
                <w:sz w:val="20"/>
                <w:szCs w:val="20"/>
                <w:lang w:val="fr-CA"/>
              </w:rPr>
              <w:t>pour l’</w:t>
            </w:r>
            <w:r w:rsidRPr="0081702E">
              <w:rPr>
                <w:rFonts w:asciiTheme="majorHAnsi" w:hAnsiTheme="majorHAnsi" w:cs="Arial"/>
                <w:b w:val="0"/>
                <w:sz w:val="20"/>
                <w:szCs w:val="20"/>
                <w:lang w:val="fr-CA"/>
              </w:rPr>
              <w:t>Atlas</w:t>
            </w:r>
            <w:r w:rsidR="00E01336" w:rsidRPr="0081702E">
              <w:rPr>
                <w:rFonts w:asciiTheme="majorHAnsi" w:hAnsiTheme="majorHAnsi" w:cs="Arial"/>
                <w:b w:val="0"/>
                <w:sz w:val="20"/>
                <w:szCs w:val="20"/>
                <w:lang w:val="fr-CA"/>
              </w:rPr>
              <w:t xml:space="preserve"> </w:t>
            </w:r>
            <w:r w:rsidR="00C23109">
              <w:rPr>
                <w:rFonts w:asciiTheme="majorHAnsi" w:hAnsiTheme="majorHAnsi" w:cs="Arial"/>
                <w:b w:val="0"/>
                <w:sz w:val="20"/>
                <w:szCs w:val="20"/>
                <w:lang w:val="fr-CA"/>
              </w:rPr>
              <w:t>seraient fournis par d’autres organisations.</w:t>
            </w:r>
            <w:r w:rsidRPr="0081702E">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p>
        </w:tc>
      </w:tr>
    </w:tbl>
    <w:p w14:paraId="153BC251" w14:textId="77777777" w:rsidR="00914A1A" w:rsidRDefault="00914A1A" w:rsidP="00914A1A">
      <w:pPr>
        <w:rPr>
          <w:rFonts w:asciiTheme="majorHAnsi" w:hAnsiTheme="majorHAnsi" w:cs="Arial"/>
          <w:sz w:val="20"/>
          <w:szCs w:val="20"/>
          <w:lang w:val="fr-CA"/>
        </w:rPr>
      </w:pPr>
    </w:p>
    <w:p w14:paraId="4B724D6A" w14:textId="77777777" w:rsidR="007A0789" w:rsidRDefault="007A0789" w:rsidP="00B50244">
      <w:pPr>
        <w:keepNext/>
        <w:keepLines/>
        <w:rPr>
          <w:rFonts w:asciiTheme="majorHAnsi" w:hAnsiTheme="majorHAnsi" w:cs="Arial"/>
          <w:sz w:val="20"/>
          <w:szCs w:val="20"/>
          <w:lang w:val="fr-CA"/>
        </w:rPr>
      </w:pPr>
    </w:p>
    <w:tbl>
      <w:tblPr>
        <w:tblStyle w:val="TableGrid11"/>
        <w:tblW w:w="5000" w:type="pct"/>
        <w:tblLook w:val="04A0" w:firstRow="1" w:lastRow="0" w:firstColumn="1" w:lastColumn="0" w:noHBand="0" w:noVBand="1"/>
      </w:tblPr>
      <w:tblGrid>
        <w:gridCol w:w="14174"/>
      </w:tblGrid>
      <w:tr w:rsidR="007A0789" w:rsidRPr="00DF4418" w14:paraId="78937166" w14:textId="77777777" w:rsidTr="007A0789">
        <w:tc>
          <w:tcPr>
            <w:tcW w:w="5000" w:type="pct"/>
            <w:shd w:val="clear" w:color="auto" w:fill="000000" w:themeFill="text1"/>
          </w:tcPr>
          <w:p w14:paraId="57ABE595" w14:textId="32B367AD" w:rsidR="007A0789" w:rsidRPr="007A0789" w:rsidRDefault="00B50244" w:rsidP="00B50244">
            <w:pPr>
              <w:keepNext/>
              <w:keepLines/>
              <w:rPr>
                <w:rFonts w:asciiTheme="majorHAnsi" w:hAnsiTheme="majorHAnsi" w:cs="Arial"/>
                <w:sz w:val="20"/>
                <w:szCs w:val="20"/>
                <w:lang w:val="fr-CA" w:eastAsia="en-US"/>
              </w:rPr>
            </w:pPr>
            <w:r>
              <w:rPr>
                <w:rFonts w:asciiTheme="majorHAnsi" w:hAnsiTheme="majorHAnsi" w:cs="Arial"/>
                <w:sz w:val="20"/>
                <w:szCs w:val="20"/>
                <w:lang w:val="fr-CA" w:eastAsia="en-US"/>
              </w:rPr>
              <w:t>Domaine de travail thématique n</w:t>
            </w:r>
            <w:r w:rsidRPr="00B50244">
              <w:rPr>
                <w:rFonts w:asciiTheme="majorHAnsi" w:hAnsiTheme="majorHAnsi" w:cs="Arial"/>
                <w:sz w:val="20"/>
                <w:szCs w:val="20"/>
                <w:vertAlign w:val="superscript"/>
                <w:lang w:val="fr-CA" w:eastAsia="en-US"/>
              </w:rPr>
              <w:t>o</w:t>
            </w:r>
            <w:r>
              <w:rPr>
                <w:rFonts w:asciiTheme="majorHAnsi" w:hAnsiTheme="majorHAnsi" w:cs="Arial"/>
                <w:sz w:val="20"/>
                <w:szCs w:val="20"/>
                <w:lang w:val="fr-CA" w:eastAsia="en-US"/>
              </w:rPr>
              <w:t> 2 : Bonnes pratiques pour élaborer et appliquer les plans de gestion, les plans d’action et autres outils pour les Sites Ramsar et autres zones humides</w:t>
            </w:r>
          </w:p>
        </w:tc>
      </w:tr>
    </w:tbl>
    <w:p w14:paraId="2B1B9FB9" w14:textId="151B7FDC" w:rsidR="00914A1A" w:rsidRPr="0081702E" w:rsidRDefault="00914A1A" w:rsidP="00B50244">
      <w:pPr>
        <w:keepNext/>
        <w:keepLines/>
        <w:rPr>
          <w:rFonts w:asciiTheme="majorHAnsi" w:hAnsiTheme="majorHAnsi" w:cs="Arial"/>
          <w:b/>
          <w:sz w:val="20"/>
          <w:szCs w:val="20"/>
          <w:lang w:val="fr-CA" w:eastAsia="ja-JP"/>
        </w:rPr>
      </w:pPr>
    </w:p>
    <w:tbl>
      <w:tblPr>
        <w:tblStyle w:val="TableGrid21"/>
        <w:tblW w:w="5000" w:type="pct"/>
        <w:jc w:val="center"/>
        <w:tblLook w:val="04A0" w:firstRow="1" w:lastRow="0" w:firstColumn="1" w:lastColumn="0" w:noHBand="0" w:noVBand="1"/>
      </w:tblPr>
      <w:tblGrid>
        <w:gridCol w:w="3561"/>
        <w:gridCol w:w="10613"/>
      </w:tblGrid>
      <w:tr w:rsidR="00914A1A" w:rsidRPr="005C7E58" w14:paraId="1D006C6F" w14:textId="77777777" w:rsidTr="00501577">
        <w:trPr>
          <w:jc w:val="center"/>
        </w:trPr>
        <w:tc>
          <w:tcPr>
            <w:tcW w:w="1256" w:type="pct"/>
          </w:tcPr>
          <w:p w14:paraId="0B3E3BF5" w14:textId="33730DC5" w:rsidR="00914A1A" w:rsidRPr="0081702E" w:rsidRDefault="00A1768B" w:rsidP="00B50244">
            <w:pPr>
              <w:keepNext/>
              <w:keepLines/>
              <w:rPr>
                <w:rFonts w:asciiTheme="majorHAnsi" w:eastAsia="Calibri" w:hAnsiTheme="majorHAnsi" w:cs="Arial"/>
                <w:sz w:val="20"/>
                <w:szCs w:val="20"/>
                <w:lang w:val="fr-CA"/>
              </w:rPr>
            </w:pPr>
            <w:r>
              <w:rPr>
                <w:rFonts w:asciiTheme="majorHAnsi" w:eastAsia="Calibri" w:hAnsiTheme="majorHAnsi" w:cs="Arial"/>
                <w:sz w:val="20"/>
                <w:szCs w:val="20"/>
                <w:lang w:val="fr-CA"/>
              </w:rPr>
              <w:t>Leader</w:t>
            </w:r>
            <w:r w:rsidR="00B50244">
              <w:rPr>
                <w:rFonts w:asciiTheme="majorHAnsi" w:eastAsia="Calibri" w:hAnsiTheme="majorHAnsi" w:cs="Arial"/>
                <w:sz w:val="20"/>
                <w:szCs w:val="20"/>
                <w:lang w:val="fr-CA"/>
              </w:rPr>
              <w:t>(s) de groupe de travail et</w:t>
            </w:r>
            <w:r w:rsidR="00B50244" w:rsidRPr="0081702E">
              <w:rPr>
                <w:rFonts w:asciiTheme="majorHAnsi" w:eastAsia="Calibri" w:hAnsiTheme="majorHAnsi" w:cs="Arial"/>
                <w:sz w:val="20"/>
                <w:szCs w:val="20"/>
                <w:lang w:val="fr-CA"/>
              </w:rPr>
              <w:t xml:space="preserve"> participants</w:t>
            </w:r>
            <w:r w:rsidR="00B50244">
              <w:rPr>
                <w:rFonts w:asciiTheme="majorHAnsi" w:eastAsia="Calibri" w:hAnsiTheme="majorHAnsi" w:cs="Arial"/>
                <w:sz w:val="20"/>
                <w:szCs w:val="20"/>
                <w:lang w:val="fr-CA"/>
              </w:rPr>
              <w:t> :</w:t>
            </w:r>
          </w:p>
        </w:tc>
        <w:tc>
          <w:tcPr>
            <w:tcW w:w="3744" w:type="pct"/>
          </w:tcPr>
          <w:p w14:paraId="6D8EDEA6" w14:textId="0AD588EA" w:rsidR="00914A1A" w:rsidRPr="0081702E" w:rsidRDefault="00914A1A" w:rsidP="00A1768B">
            <w:pPr>
              <w:keepNext/>
              <w:keepLines/>
              <w:tabs>
                <w:tab w:val="left" w:pos="1095"/>
              </w:tabs>
              <w:rPr>
                <w:rFonts w:asciiTheme="majorHAnsi" w:eastAsia="Calibri" w:hAnsiTheme="majorHAnsi" w:cs="Arial"/>
                <w:b w:val="0"/>
                <w:sz w:val="20"/>
                <w:szCs w:val="20"/>
                <w:lang w:val="fr-CA"/>
              </w:rPr>
            </w:pPr>
            <w:r w:rsidRPr="0081702E">
              <w:rPr>
                <w:rFonts w:asciiTheme="majorHAnsi" w:eastAsia="Calibri" w:hAnsiTheme="majorHAnsi" w:cs="Arial"/>
                <w:b w:val="0"/>
                <w:sz w:val="20"/>
                <w:szCs w:val="20"/>
                <w:lang w:val="fr-CA"/>
              </w:rPr>
              <w:t>Channa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Bambaradeniya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t>
            </w:r>
            <w:r w:rsidR="00A1768B">
              <w:rPr>
                <w:rFonts w:asciiTheme="majorHAnsi" w:eastAsia="Calibri" w:hAnsiTheme="majorHAnsi" w:cs="Arial"/>
                <w:b w:val="0"/>
                <w:sz w:val="20"/>
                <w:szCs w:val="20"/>
                <w:lang w:val="fr-CA"/>
              </w:rPr>
              <w:t>leader</w:t>
            </w:r>
            <w:r w:rsidRPr="0081702E">
              <w:rPr>
                <w:rFonts w:asciiTheme="majorHAnsi" w:eastAsia="Calibri" w:hAnsiTheme="majorHAnsi" w:cs="Arial"/>
                <w:b w:val="0"/>
                <w:sz w:val="20"/>
                <w:szCs w:val="20"/>
                <w:lang w:val="fr-CA"/>
              </w:rPr>
              <w: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Susanna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Aguilar,</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Lars</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Dinesen,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Jari</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Ilmonen,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Guangchun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Lei,</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Kassim</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Kulindwa,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Ritesh</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Kumar</w:t>
            </w:r>
            <w:r w:rsidR="00E01336" w:rsidRPr="0081702E">
              <w:rPr>
                <w:rFonts w:asciiTheme="majorHAnsi" w:eastAsia="Calibri" w:hAnsiTheme="majorHAnsi" w:cs="Arial"/>
                <w:b w:val="0"/>
                <w:sz w:val="20"/>
                <w:szCs w:val="20"/>
                <w:lang w:val="fr-CA"/>
              </w:rPr>
              <w:t xml:space="preserve"> </w:t>
            </w:r>
          </w:p>
        </w:tc>
      </w:tr>
      <w:tr w:rsidR="00914A1A" w:rsidRPr="0081702E" w14:paraId="37F4CF78" w14:textId="77777777" w:rsidTr="00501577">
        <w:trPr>
          <w:jc w:val="center"/>
        </w:trPr>
        <w:tc>
          <w:tcPr>
            <w:tcW w:w="1256" w:type="pct"/>
          </w:tcPr>
          <w:p w14:paraId="344CA7FB" w14:textId="782B9CD4" w:rsidR="00914A1A" w:rsidRPr="0081702E" w:rsidRDefault="00B50244" w:rsidP="00B50244">
            <w:pPr>
              <w:keepNext/>
              <w:keepLines/>
              <w:rPr>
                <w:rFonts w:asciiTheme="majorHAnsi" w:eastAsia="Calibri" w:hAnsiTheme="majorHAnsi" w:cs="Arial"/>
                <w:sz w:val="20"/>
                <w:szCs w:val="20"/>
                <w:lang w:val="fr-CA"/>
              </w:rPr>
            </w:pPr>
            <w:r>
              <w:rPr>
                <w:rFonts w:asciiTheme="majorHAnsi" w:eastAsia="Calibri" w:hAnsiTheme="majorHAnsi" w:cs="Arial"/>
                <w:sz w:val="20"/>
                <w:szCs w:val="20"/>
                <w:lang w:val="fr-CA"/>
              </w:rPr>
              <w:t>Correspondant au Secrétariat :</w:t>
            </w:r>
          </w:p>
        </w:tc>
        <w:tc>
          <w:tcPr>
            <w:tcW w:w="3744" w:type="pct"/>
          </w:tcPr>
          <w:p w14:paraId="7BD510DC" w14:textId="3399AE59" w:rsidR="00914A1A" w:rsidRPr="0081702E" w:rsidRDefault="00914A1A" w:rsidP="00B50244">
            <w:pPr>
              <w:keepNext/>
              <w:keepLines/>
              <w:rPr>
                <w:rFonts w:asciiTheme="majorHAnsi" w:eastAsia="Calibri" w:hAnsiTheme="majorHAnsi" w:cs="Arial"/>
                <w:b w:val="0"/>
                <w:sz w:val="20"/>
                <w:szCs w:val="20"/>
                <w:lang w:val="fr-CA"/>
              </w:rPr>
            </w:pPr>
            <w:r w:rsidRPr="0081702E">
              <w:rPr>
                <w:rFonts w:asciiTheme="majorHAnsi" w:eastAsia="Calibri" w:hAnsiTheme="majorHAnsi" w:cs="Arial"/>
                <w:b w:val="0"/>
                <w:sz w:val="20"/>
                <w:szCs w:val="20"/>
                <w:lang w:val="fr-CA"/>
              </w:rPr>
              <w:t>Lew</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Young</w:t>
            </w:r>
          </w:p>
        </w:tc>
      </w:tr>
      <w:tr w:rsidR="00B50244" w:rsidRPr="00DF4418" w14:paraId="4E2B41FD" w14:textId="77777777" w:rsidTr="00501577">
        <w:trPr>
          <w:jc w:val="center"/>
        </w:trPr>
        <w:tc>
          <w:tcPr>
            <w:tcW w:w="1256" w:type="pct"/>
          </w:tcPr>
          <w:p w14:paraId="45C7F8B3" w14:textId="258F0EB0" w:rsidR="00B50244" w:rsidRPr="0081702E" w:rsidRDefault="00B50244" w:rsidP="00B50244">
            <w:pPr>
              <w:keepNext/>
              <w:keepLines/>
              <w:rPr>
                <w:rFonts w:asciiTheme="majorHAnsi" w:eastAsia="Calibri" w:hAnsiTheme="majorHAnsi" w:cs="Arial"/>
                <w:sz w:val="20"/>
                <w:szCs w:val="20"/>
                <w:lang w:val="fr-CA"/>
              </w:rPr>
            </w:pPr>
            <w:r>
              <w:rPr>
                <w:rFonts w:asciiTheme="majorHAnsi" w:eastAsia="Calibri" w:hAnsiTheme="majorHAnsi" w:cs="Arial"/>
                <w:sz w:val="20"/>
                <w:szCs w:val="20"/>
                <w:lang w:val="fr-CA"/>
              </w:rPr>
              <w:t xml:space="preserve">Organisations participantes : </w:t>
            </w:r>
            <w:r w:rsidRPr="0081702E">
              <w:rPr>
                <w:rFonts w:asciiTheme="majorHAnsi" w:eastAsia="Calibri" w:hAnsiTheme="majorHAnsi" w:cs="Arial"/>
                <w:sz w:val="20"/>
                <w:szCs w:val="20"/>
                <w:lang w:val="fr-CA"/>
              </w:rPr>
              <w:t>[</w:t>
            </w:r>
            <w:r>
              <w:rPr>
                <w:rFonts w:asciiTheme="majorHAnsi" w:eastAsia="Calibri" w:hAnsiTheme="majorHAnsi" w:cs="Arial"/>
                <w:sz w:val="20"/>
                <w:szCs w:val="20"/>
                <w:lang w:val="fr-CA"/>
              </w:rPr>
              <w:t>OIP</w:t>
            </w:r>
            <w:r w:rsidRPr="0081702E">
              <w:rPr>
                <w:rFonts w:asciiTheme="majorHAnsi" w:eastAsia="Calibri" w:hAnsiTheme="majorHAnsi" w:cs="Arial"/>
                <w:sz w:val="20"/>
                <w:szCs w:val="20"/>
                <w:lang w:val="fr-CA"/>
              </w:rPr>
              <w:t>/observ</w:t>
            </w:r>
            <w:r>
              <w:rPr>
                <w:rFonts w:asciiTheme="majorHAnsi" w:eastAsia="Calibri" w:hAnsiTheme="majorHAnsi" w:cs="Arial"/>
                <w:sz w:val="20"/>
                <w:szCs w:val="20"/>
                <w:lang w:val="fr-CA"/>
              </w:rPr>
              <w:t>ateurs</w:t>
            </w:r>
            <w:r w:rsidRPr="0081702E">
              <w:rPr>
                <w:rFonts w:asciiTheme="majorHAnsi" w:eastAsia="Calibri" w:hAnsiTheme="majorHAnsi" w:cs="Arial"/>
                <w:sz w:val="20"/>
                <w:szCs w:val="20"/>
                <w:lang w:val="fr-CA"/>
              </w:rPr>
              <w:t>/</w:t>
            </w:r>
            <w:r>
              <w:rPr>
                <w:rFonts w:asciiTheme="majorHAnsi" w:eastAsia="Calibri" w:hAnsiTheme="majorHAnsi" w:cs="Arial"/>
                <w:sz w:val="20"/>
                <w:szCs w:val="20"/>
                <w:lang w:val="fr-CA"/>
              </w:rPr>
              <w:t>autres</w:t>
            </w:r>
            <w:r w:rsidRPr="0081702E">
              <w:rPr>
                <w:rFonts w:asciiTheme="majorHAnsi" w:eastAsia="Calibri" w:hAnsiTheme="majorHAnsi" w:cs="Arial"/>
                <w:sz w:val="20"/>
                <w:szCs w:val="20"/>
                <w:lang w:val="fr-CA"/>
              </w:rPr>
              <w:t>]</w:t>
            </w:r>
          </w:p>
        </w:tc>
        <w:tc>
          <w:tcPr>
            <w:tcW w:w="3744" w:type="pct"/>
          </w:tcPr>
          <w:p w14:paraId="239CB728" w14:textId="71212776" w:rsidR="00B50244" w:rsidRPr="0081702E" w:rsidRDefault="00B50244" w:rsidP="00255A2D">
            <w:pPr>
              <w:keepNext/>
              <w:keepLines/>
              <w:rPr>
                <w:rFonts w:asciiTheme="majorHAnsi" w:eastAsiaTheme="minorHAnsi" w:hAnsiTheme="majorHAnsi" w:cs="Arial"/>
                <w:sz w:val="20"/>
                <w:szCs w:val="20"/>
                <w:lang w:val="fr-CA" w:eastAsia="en-US"/>
              </w:rPr>
            </w:pPr>
            <w:r>
              <w:rPr>
                <w:rFonts w:asciiTheme="majorHAnsi" w:eastAsia="Calibri" w:hAnsiTheme="majorHAnsi" w:cs="Arial"/>
                <w:b w:val="0"/>
                <w:sz w:val="20"/>
                <w:szCs w:val="20"/>
                <w:lang w:val="fr-CA"/>
              </w:rPr>
              <w:t>Union internationale pour la conservation de la nature</w:t>
            </w:r>
            <w:r w:rsidRPr="0081702E">
              <w:rPr>
                <w:rFonts w:asciiTheme="majorHAnsi" w:eastAsia="Calibri" w:hAnsiTheme="majorHAnsi" w:cs="Arial"/>
                <w:b w:val="0"/>
                <w:sz w:val="20"/>
                <w:szCs w:val="20"/>
                <w:lang w:val="fr-CA"/>
              </w:rPr>
              <w:t xml:space="preserve"> (</w:t>
            </w:r>
            <w:r>
              <w:rPr>
                <w:rFonts w:asciiTheme="majorHAnsi" w:eastAsia="Calibri" w:hAnsiTheme="majorHAnsi" w:cs="Arial"/>
                <w:b w:val="0"/>
                <w:sz w:val="20"/>
                <w:szCs w:val="20"/>
                <w:lang w:val="fr-CA"/>
              </w:rPr>
              <w:t>UICN</w:t>
            </w:r>
            <w:r w:rsidRPr="0081702E">
              <w:rPr>
                <w:rFonts w:asciiTheme="majorHAnsi" w:eastAsia="Calibri" w:hAnsiTheme="majorHAnsi" w:cs="Arial"/>
                <w:b w:val="0"/>
                <w:sz w:val="20"/>
                <w:szCs w:val="20"/>
                <w:lang w:val="fr-CA"/>
              </w:rPr>
              <w:t>) (Stefano Barchiesi, William Darwall (</w:t>
            </w:r>
            <w:r>
              <w:rPr>
                <w:rFonts w:asciiTheme="majorHAnsi" w:eastAsia="Calibri" w:hAnsiTheme="majorHAnsi" w:cs="Arial"/>
                <w:b w:val="0"/>
                <w:sz w:val="20"/>
                <w:szCs w:val="20"/>
                <w:lang w:val="fr-CA"/>
              </w:rPr>
              <w:t>à confirmer</w:t>
            </w:r>
            <w:r w:rsidRPr="0081702E">
              <w:rPr>
                <w:rFonts w:asciiTheme="majorHAnsi" w:eastAsia="Calibri" w:hAnsiTheme="majorHAnsi" w:cs="Arial"/>
                <w:b w:val="0"/>
                <w:sz w:val="20"/>
                <w:szCs w:val="20"/>
                <w:lang w:val="fr-CA"/>
              </w:rPr>
              <w:t xml:space="preserve">), International Water Management Institute (IWMI) (Sanjiv de Silva), WI/ SWS (Nick Davidson), Tour du Valat </w:t>
            </w:r>
            <w:r>
              <w:rPr>
                <w:rFonts w:asciiTheme="majorHAnsi" w:eastAsia="Calibri" w:hAnsiTheme="majorHAnsi" w:cs="Arial"/>
                <w:b w:val="0"/>
                <w:sz w:val="20"/>
                <w:szCs w:val="20"/>
                <w:lang w:val="fr-CA"/>
              </w:rPr>
              <w:t>[</w:t>
            </w:r>
            <w:r w:rsidRPr="0081702E">
              <w:rPr>
                <w:rFonts w:asciiTheme="majorHAnsi" w:eastAsia="Calibri" w:hAnsiTheme="majorHAnsi" w:cs="Arial"/>
                <w:b w:val="0"/>
                <w:sz w:val="20"/>
                <w:szCs w:val="20"/>
                <w:lang w:val="fr-CA"/>
              </w:rPr>
              <w:t>Christian Perennou, Lisa Ernoul (</w:t>
            </w:r>
            <w:r w:rsidR="00744912">
              <w:rPr>
                <w:rFonts w:asciiTheme="majorHAnsi" w:eastAsia="Calibri" w:hAnsiTheme="majorHAnsi" w:cs="Arial"/>
                <w:b w:val="0"/>
                <w:sz w:val="20"/>
                <w:szCs w:val="20"/>
                <w:lang w:val="fr-CA"/>
              </w:rPr>
              <w:t>à confirmer</w:t>
            </w:r>
            <w:r w:rsidRPr="0081702E">
              <w:rPr>
                <w:rFonts w:asciiTheme="majorHAnsi" w:eastAsia="Calibri" w:hAnsiTheme="majorHAnsi" w:cs="Arial"/>
                <w:b w:val="0"/>
                <w:sz w:val="20"/>
                <w:szCs w:val="20"/>
                <w:lang w:val="fr-CA"/>
              </w:rPr>
              <w:t>)</w:t>
            </w:r>
            <w:r>
              <w:rPr>
                <w:rFonts w:asciiTheme="majorHAnsi" w:eastAsia="Calibri" w:hAnsiTheme="majorHAnsi" w:cs="Arial"/>
                <w:b w:val="0"/>
                <w:sz w:val="20"/>
                <w:szCs w:val="20"/>
                <w:lang w:val="fr-CA"/>
              </w:rPr>
              <w:t>]</w:t>
            </w:r>
            <w:r w:rsidRPr="0081702E">
              <w:rPr>
                <w:rFonts w:asciiTheme="majorHAnsi" w:eastAsia="Calibri" w:hAnsiTheme="majorHAnsi" w:cs="Arial"/>
                <w:b w:val="0"/>
                <w:sz w:val="20"/>
                <w:szCs w:val="20"/>
                <w:lang w:val="fr-CA"/>
              </w:rPr>
              <w:t xml:space="preserve">, </w:t>
            </w:r>
            <w:r>
              <w:rPr>
                <w:rFonts w:asciiTheme="majorHAnsi" w:eastAsia="Calibri" w:hAnsiTheme="majorHAnsi" w:cs="Arial"/>
                <w:b w:val="0"/>
                <w:sz w:val="20"/>
                <w:szCs w:val="20"/>
                <w:lang w:val="fr-CA"/>
              </w:rPr>
              <w:t>CEE</w:t>
            </w:r>
            <w:r>
              <w:rPr>
                <w:rFonts w:asciiTheme="majorHAnsi" w:eastAsia="Calibri" w:hAnsiTheme="majorHAnsi" w:cs="Arial"/>
                <w:b w:val="0"/>
                <w:sz w:val="20"/>
                <w:szCs w:val="20"/>
                <w:lang w:val="fr-CA"/>
              </w:rPr>
              <w:noBreakHyphen/>
              <w:t>ONU [</w:t>
            </w:r>
            <w:r w:rsidRPr="0081702E">
              <w:rPr>
                <w:rFonts w:asciiTheme="majorHAnsi" w:eastAsiaTheme="minorHAnsi" w:hAnsiTheme="majorHAnsi" w:cs="Arial"/>
                <w:b w:val="0"/>
                <w:sz w:val="20"/>
                <w:szCs w:val="20"/>
                <w:lang w:val="fr-CA" w:eastAsia="en-US"/>
              </w:rPr>
              <w:t>Francesca Bernardini (</w:t>
            </w:r>
            <w:r w:rsidR="00744912">
              <w:rPr>
                <w:rFonts w:asciiTheme="majorHAnsi" w:eastAsia="Calibri" w:hAnsiTheme="majorHAnsi" w:cs="Arial"/>
                <w:b w:val="0"/>
                <w:sz w:val="20"/>
                <w:szCs w:val="20"/>
                <w:lang w:val="fr-CA"/>
              </w:rPr>
              <w:t>à confirmer</w:t>
            </w:r>
            <w:r w:rsidRPr="0081702E">
              <w:rPr>
                <w:rFonts w:asciiTheme="majorHAnsi" w:eastAsiaTheme="minorHAnsi" w:hAnsiTheme="majorHAnsi" w:cs="Arial"/>
                <w:b w:val="0"/>
                <w:sz w:val="20"/>
                <w:szCs w:val="20"/>
                <w:lang w:val="fr-CA" w:eastAsia="en-US"/>
              </w:rPr>
              <w:t>)</w:t>
            </w:r>
            <w:r>
              <w:rPr>
                <w:rFonts w:asciiTheme="majorHAnsi" w:eastAsiaTheme="minorHAnsi" w:hAnsiTheme="majorHAnsi" w:cs="Arial"/>
                <w:b w:val="0"/>
                <w:sz w:val="20"/>
                <w:szCs w:val="20"/>
                <w:lang w:val="fr-CA" w:eastAsia="en-US"/>
              </w:rPr>
              <w:t>]</w:t>
            </w:r>
            <w:r w:rsidRPr="0081702E">
              <w:rPr>
                <w:rFonts w:asciiTheme="majorHAnsi" w:eastAsiaTheme="minorHAnsi" w:hAnsiTheme="majorHAnsi" w:cs="Arial"/>
                <w:b w:val="0"/>
                <w:sz w:val="20"/>
                <w:szCs w:val="20"/>
                <w:lang w:val="fr-CA" w:eastAsia="en-US"/>
              </w:rPr>
              <w:t>,</w:t>
            </w:r>
            <w:r w:rsidRPr="0081702E">
              <w:rPr>
                <w:rFonts w:asciiTheme="majorHAnsi" w:eastAsia="Calibri" w:hAnsiTheme="majorHAnsi" w:cs="Arial"/>
                <w:b w:val="0"/>
                <w:sz w:val="20"/>
                <w:szCs w:val="20"/>
                <w:lang w:val="fr-CA"/>
              </w:rPr>
              <w:t xml:space="preserve"> </w:t>
            </w:r>
            <w:r>
              <w:rPr>
                <w:rFonts w:asciiTheme="majorHAnsi" w:eastAsia="Calibri" w:hAnsiTheme="majorHAnsi" w:cs="Arial"/>
                <w:b w:val="0"/>
                <w:sz w:val="20"/>
                <w:szCs w:val="20"/>
                <w:lang w:val="fr-CA"/>
              </w:rPr>
              <w:t>PNUE</w:t>
            </w:r>
            <w:r w:rsidRPr="0081702E">
              <w:rPr>
                <w:rFonts w:asciiTheme="majorHAnsi" w:eastAsia="Calibri" w:hAnsiTheme="majorHAnsi" w:cs="Arial"/>
                <w:b w:val="0"/>
                <w:sz w:val="20"/>
                <w:szCs w:val="20"/>
                <w:lang w:val="fr-CA"/>
              </w:rPr>
              <w:t xml:space="preserve"> (Marisol Estrella), </w:t>
            </w:r>
            <w:r>
              <w:rPr>
                <w:rFonts w:asciiTheme="majorHAnsi" w:eastAsia="Calibri" w:hAnsiTheme="majorHAnsi" w:cs="Arial"/>
                <w:b w:val="0"/>
                <w:sz w:val="20"/>
                <w:szCs w:val="20"/>
                <w:lang w:val="fr-CA"/>
              </w:rPr>
              <w:t>ONU</w:t>
            </w:r>
            <w:r w:rsidRPr="0081702E">
              <w:rPr>
                <w:rFonts w:asciiTheme="majorHAnsi" w:eastAsia="Calibri" w:hAnsiTheme="majorHAnsi" w:cs="Arial"/>
                <w:b w:val="0"/>
                <w:sz w:val="20"/>
                <w:szCs w:val="20"/>
                <w:lang w:val="fr-CA"/>
              </w:rPr>
              <w:t xml:space="preserve">-Habitat (Robert McInnes), UNESCO-MAB (Marie Prchlova), </w:t>
            </w:r>
            <w:r>
              <w:rPr>
                <w:rFonts w:asciiTheme="majorHAnsi" w:eastAsia="Calibri" w:hAnsiTheme="majorHAnsi" w:cs="Arial"/>
                <w:b w:val="0"/>
                <w:sz w:val="20"/>
                <w:szCs w:val="20"/>
                <w:lang w:val="fr-CA"/>
              </w:rPr>
              <w:t>Centre du patrimoine mondial</w:t>
            </w:r>
            <w:r w:rsidRPr="0081702E">
              <w:rPr>
                <w:rFonts w:asciiTheme="majorHAnsi" w:eastAsia="Calibri" w:hAnsiTheme="majorHAnsi" w:cs="Arial"/>
                <w:b w:val="0"/>
                <w:sz w:val="20"/>
                <w:szCs w:val="20"/>
                <w:lang w:val="fr-CA"/>
              </w:rPr>
              <w:t xml:space="preserve"> </w:t>
            </w:r>
            <w:r>
              <w:rPr>
                <w:rFonts w:asciiTheme="majorHAnsi" w:eastAsia="Calibri" w:hAnsiTheme="majorHAnsi" w:cs="Arial"/>
                <w:b w:val="0"/>
                <w:sz w:val="20"/>
                <w:szCs w:val="20"/>
                <w:lang w:val="fr-CA"/>
              </w:rPr>
              <w:t>[</w:t>
            </w:r>
            <w:r w:rsidRPr="0081702E">
              <w:rPr>
                <w:rFonts w:asciiTheme="majorHAnsi" w:eastAsia="Calibri" w:hAnsiTheme="majorHAnsi" w:cs="Arial"/>
                <w:b w:val="0"/>
                <w:sz w:val="20"/>
                <w:szCs w:val="20"/>
                <w:lang w:val="fr-CA"/>
              </w:rPr>
              <w:t>Tim Badman)/</w:t>
            </w:r>
            <w:r w:rsidRPr="0081702E">
              <w:rPr>
                <w:rFonts w:asciiTheme="majorHAnsi" w:eastAsiaTheme="minorHAnsi" w:hAnsiTheme="majorHAnsi" w:cs="Arial"/>
                <w:b w:val="0"/>
                <w:sz w:val="20"/>
                <w:szCs w:val="20"/>
                <w:lang w:val="fr-CA" w:eastAsia="en-US"/>
              </w:rPr>
              <w:t xml:space="preserve"> International Lake Environment Committee (M. Nakamura (</w:t>
            </w:r>
            <w:r w:rsidR="00744912">
              <w:rPr>
                <w:rFonts w:asciiTheme="majorHAnsi" w:eastAsia="Calibri" w:hAnsiTheme="majorHAnsi" w:cs="Arial"/>
                <w:b w:val="0"/>
                <w:sz w:val="20"/>
                <w:szCs w:val="20"/>
                <w:lang w:val="fr-CA"/>
              </w:rPr>
              <w:t>à confirmer</w:t>
            </w:r>
            <w:r w:rsidRPr="0081702E">
              <w:rPr>
                <w:rFonts w:asciiTheme="majorHAnsi" w:eastAsiaTheme="minorHAnsi" w:hAnsiTheme="majorHAnsi" w:cs="Arial"/>
                <w:b w:val="0"/>
                <w:sz w:val="20"/>
                <w:szCs w:val="20"/>
                <w:lang w:val="fr-CA" w:eastAsia="en-US"/>
              </w:rPr>
              <w:t>)</w:t>
            </w:r>
            <w:r>
              <w:rPr>
                <w:rFonts w:asciiTheme="majorHAnsi" w:eastAsiaTheme="minorHAnsi" w:hAnsiTheme="majorHAnsi" w:cs="Arial"/>
                <w:b w:val="0"/>
                <w:sz w:val="20"/>
                <w:szCs w:val="20"/>
                <w:lang w:val="fr-CA" w:eastAsia="en-US"/>
              </w:rPr>
              <w:t>]</w:t>
            </w:r>
            <w:r w:rsidRPr="0081702E">
              <w:rPr>
                <w:rFonts w:asciiTheme="majorHAnsi" w:eastAsiaTheme="minorHAnsi" w:hAnsiTheme="majorHAnsi" w:cs="Arial"/>
                <w:b w:val="0"/>
                <w:sz w:val="20"/>
                <w:szCs w:val="20"/>
                <w:lang w:val="fr-CA" w:eastAsia="en-US"/>
              </w:rPr>
              <w:t xml:space="preserve">, </w:t>
            </w:r>
            <w:r>
              <w:rPr>
                <w:rFonts w:asciiTheme="majorHAnsi" w:eastAsiaTheme="minorHAnsi" w:hAnsiTheme="majorHAnsi" w:cs="Arial"/>
                <w:b w:val="0"/>
                <w:sz w:val="20"/>
                <w:szCs w:val="20"/>
                <w:lang w:val="fr-CA" w:eastAsia="en-US"/>
              </w:rPr>
              <w:t>Société internationale de</w:t>
            </w:r>
            <w:r w:rsidR="00255A2D">
              <w:rPr>
                <w:rFonts w:asciiTheme="majorHAnsi" w:eastAsiaTheme="minorHAnsi" w:hAnsiTheme="majorHAnsi" w:cs="Arial"/>
                <w:b w:val="0"/>
                <w:sz w:val="20"/>
                <w:szCs w:val="20"/>
                <w:lang w:val="fr-CA" w:eastAsia="en-US"/>
              </w:rPr>
              <w:t xml:space="preserve"> la tourbe</w:t>
            </w:r>
            <w:r w:rsidRPr="0081702E">
              <w:rPr>
                <w:rFonts w:asciiTheme="majorHAnsi" w:eastAsiaTheme="minorHAnsi" w:hAnsiTheme="majorHAnsi" w:cs="Arial"/>
                <w:b w:val="0"/>
                <w:sz w:val="20"/>
                <w:szCs w:val="20"/>
                <w:lang w:val="fr-CA" w:eastAsia="en-US"/>
              </w:rPr>
              <w:t xml:space="preserve"> (</w:t>
            </w:r>
            <w:r w:rsidR="00744912">
              <w:rPr>
                <w:rFonts w:asciiTheme="majorHAnsi" w:eastAsia="Calibri" w:hAnsiTheme="majorHAnsi" w:cs="Arial"/>
                <w:b w:val="0"/>
                <w:sz w:val="20"/>
                <w:szCs w:val="20"/>
                <w:lang w:val="fr-CA"/>
              </w:rPr>
              <w:t>à confirmer</w:t>
            </w:r>
            <w:r w:rsidRPr="0081702E">
              <w:rPr>
                <w:rFonts w:asciiTheme="majorHAnsi" w:eastAsiaTheme="minorHAnsi" w:hAnsiTheme="majorHAnsi" w:cs="Arial"/>
                <w:b w:val="0"/>
                <w:sz w:val="20"/>
                <w:szCs w:val="20"/>
                <w:lang w:val="fr-CA" w:eastAsia="en-US"/>
              </w:rPr>
              <w:t>), Soci</w:t>
            </w:r>
            <w:r>
              <w:rPr>
                <w:rFonts w:asciiTheme="majorHAnsi" w:eastAsiaTheme="minorHAnsi" w:hAnsiTheme="majorHAnsi" w:cs="Arial"/>
                <w:b w:val="0"/>
                <w:sz w:val="20"/>
                <w:szCs w:val="20"/>
                <w:lang w:val="fr-CA" w:eastAsia="en-US"/>
              </w:rPr>
              <w:t xml:space="preserve">été pour la protection de </w:t>
            </w:r>
            <w:r w:rsidRPr="0081702E">
              <w:rPr>
                <w:rFonts w:asciiTheme="majorHAnsi" w:eastAsiaTheme="minorHAnsi" w:hAnsiTheme="majorHAnsi" w:cs="Arial"/>
                <w:b w:val="0"/>
                <w:sz w:val="20"/>
                <w:szCs w:val="20"/>
                <w:lang w:val="fr-CA" w:eastAsia="en-US"/>
              </w:rPr>
              <w:t xml:space="preserve">PRESPA </w:t>
            </w:r>
            <w:r>
              <w:rPr>
                <w:rFonts w:asciiTheme="majorHAnsi" w:eastAsiaTheme="minorHAnsi" w:hAnsiTheme="majorHAnsi" w:cs="Arial"/>
                <w:b w:val="0"/>
                <w:sz w:val="20"/>
                <w:szCs w:val="20"/>
                <w:lang w:val="fr-CA" w:eastAsia="en-US"/>
              </w:rPr>
              <w:t>[</w:t>
            </w:r>
            <w:r w:rsidRPr="0081702E">
              <w:rPr>
                <w:rFonts w:asciiTheme="majorHAnsi" w:eastAsiaTheme="minorHAnsi" w:hAnsiTheme="majorHAnsi" w:cs="Arial"/>
                <w:b w:val="0"/>
                <w:sz w:val="20"/>
                <w:szCs w:val="20"/>
                <w:lang w:val="fr-CA" w:eastAsia="en-US"/>
              </w:rPr>
              <w:t>Myrsini Malakou (</w:t>
            </w:r>
            <w:r w:rsidR="00744912">
              <w:rPr>
                <w:rFonts w:asciiTheme="majorHAnsi" w:eastAsia="Calibri" w:hAnsiTheme="majorHAnsi" w:cs="Arial"/>
                <w:b w:val="0"/>
                <w:sz w:val="20"/>
                <w:szCs w:val="20"/>
                <w:lang w:val="fr-CA"/>
              </w:rPr>
              <w:t>à confirmer</w:t>
            </w:r>
            <w:r w:rsidRPr="0081702E">
              <w:rPr>
                <w:rFonts w:asciiTheme="majorHAnsi" w:eastAsiaTheme="minorHAnsi" w:hAnsiTheme="majorHAnsi" w:cs="Arial"/>
                <w:b w:val="0"/>
                <w:sz w:val="20"/>
                <w:szCs w:val="20"/>
                <w:lang w:val="fr-CA" w:eastAsia="en-US"/>
              </w:rPr>
              <w:t>)</w:t>
            </w:r>
            <w:r>
              <w:rPr>
                <w:rFonts w:asciiTheme="majorHAnsi" w:eastAsiaTheme="minorHAnsi" w:hAnsiTheme="majorHAnsi" w:cs="Arial"/>
                <w:b w:val="0"/>
                <w:sz w:val="20"/>
                <w:szCs w:val="20"/>
                <w:lang w:val="fr-CA" w:eastAsia="en-US"/>
              </w:rPr>
              <w:t>]</w:t>
            </w:r>
            <w:r w:rsidRPr="0081702E">
              <w:rPr>
                <w:rFonts w:asciiTheme="majorHAnsi" w:eastAsiaTheme="minorHAnsi" w:hAnsiTheme="majorHAnsi" w:cs="Arial"/>
                <w:b w:val="0"/>
                <w:sz w:val="20"/>
                <w:szCs w:val="20"/>
                <w:lang w:val="fr-CA" w:eastAsia="en-US"/>
              </w:rPr>
              <w:t>, Mark Everard (</w:t>
            </w:r>
            <w:r w:rsidR="00744912">
              <w:rPr>
                <w:rFonts w:asciiTheme="majorHAnsi" w:eastAsia="Calibri" w:hAnsiTheme="majorHAnsi" w:cs="Arial"/>
                <w:b w:val="0"/>
                <w:sz w:val="20"/>
                <w:szCs w:val="20"/>
                <w:lang w:val="fr-CA"/>
              </w:rPr>
              <w:t>à confirmer</w:t>
            </w:r>
            <w:r w:rsidRPr="0081702E">
              <w:rPr>
                <w:rFonts w:asciiTheme="majorHAnsi" w:eastAsiaTheme="minorHAnsi" w:hAnsiTheme="majorHAnsi" w:cs="Arial"/>
                <w:b w:val="0"/>
                <w:sz w:val="20"/>
                <w:szCs w:val="20"/>
                <w:lang w:val="fr-CA" w:eastAsia="en-US"/>
              </w:rPr>
              <w:t>)</w:t>
            </w:r>
            <w:r w:rsidRPr="0081702E">
              <w:rPr>
                <w:rFonts w:asciiTheme="majorHAnsi" w:eastAsia="Calibri" w:hAnsiTheme="majorHAnsi" w:cs="Arial"/>
                <w:b w:val="0"/>
                <w:sz w:val="20"/>
                <w:szCs w:val="20"/>
                <w:lang w:val="fr-CA"/>
              </w:rPr>
              <w:t xml:space="preserve"> </w:t>
            </w:r>
          </w:p>
        </w:tc>
      </w:tr>
    </w:tbl>
    <w:p w14:paraId="51772ED4" w14:textId="77777777" w:rsidR="00914A1A" w:rsidRPr="0081702E" w:rsidRDefault="00914A1A" w:rsidP="00914A1A">
      <w:pPr>
        <w:rPr>
          <w:rFonts w:asciiTheme="majorHAnsi" w:hAnsiTheme="majorHAnsi" w:cs="Arial"/>
          <w:sz w:val="20"/>
          <w:szCs w:val="20"/>
          <w:lang w:val="fr-CA"/>
        </w:rPr>
      </w:pPr>
    </w:p>
    <w:tbl>
      <w:tblPr>
        <w:tblStyle w:val="TableGrid1"/>
        <w:tblW w:w="5030" w:type="pct"/>
        <w:tblInd w:w="-85" w:type="dxa"/>
        <w:tblCellMar>
          <w:top w:w="57" w:type="dxa"/>
          <w:left w:w="57" w:type="dxa"/>
          <w:bottom w:w="57" w:type="dxa"/>
          <w:right w:w="57" w:type="dxa"/>
        </w:tblCellMar>
        <w:tblLook w:val="04A0" w:firstRow="1" w:lastRow="0" w:firstColumn="1" w:lastColumn="0" w:noHBand="0" w:noVBand="1"/>
      </w:tblPr>
      <w:tblGrid>
        <w:gridCol w:w="1498"/>
        <w:gridCol w:w="782"/>
        <w:gridCol w:w="1005"/>
        <w:gridCol w:w="1127"/>
        <w:gridCol w:w="8353"/>
        <w:gridCol w:w="1391"/>
      </w:tblGrid>
      <w:tr w:rsidR="009D1F5A" w:rsidRPr="0081702E" w14:paraId="5CA0F83E" w14:textId="77777777" w:rsidTr="00B32124">
        <w:trPr>
          <w:tblHeader/>
        </w:trPr>
        <w:tc>
          <w:tcPr>
            <w:tcW w:w="532" w:type="pct"/>
            <w:shd w:val="clear" w:color="auto" w:fill="D9D9D9" w:themeFill="background1" w:themeFillShade="D9"/>
          </w:tcPr>
          <w:p w14:paraId="74A3D8DF" w14:textId="19A75B90" w:rsidR="007A0789" w:rsidRPr="0081702E" w:rsidRDefault="00B50244" w:rsidP="00726B77">
            <w:pPr>
              <w:jc w:val="center"/>
              <w:rPr>
                <w:rFonts w:asciiTheme="majorHAnsi" w:hAnsiTheme="majorHAnsi" w:cs="Arial"/>
                <w:sz w:val="20"/>
                <w:szCs w:val="20"/>
                <w:lang w:val="fr-CA"/>
              </w:rPr>
            </w:pPr>
            <w:r>
              <w:rPr>
                <w:rFonts w:asciiTheme="majorHAnsi" w:hAnsiTheme="majorHAnsi" w:cs="Arial"/>
                <w:sz w:val="20"/>
                <w:szCs w:val="20"/>
                <w:lang w:val="fr-CA"/>
              </w:rPr>
              <w:t>N</w:t>
            </w:r>
            <w:r w:rsidRPr="00130D8F">
              <w:rPr>
                <w:rFonts w:asciiTheme="majorHAnsi" w:hAnsiTheme="majorHAnsi" w:cs="Arial"/>
                <w:sz w:val="20"/>
                <w:szCs w:val="20"/>
                <w:vertAlign w:val="superscript"/>
                <w:lang w:val="fr-CA"/>
              </w:rPr>
              <w:t>o</w:t>
            </w:r>
            <w:r>
              <w:rPr>
                <w:rFonts w:asciiTheme="majorHAnsi" w:hAnsiTheme="majorHAnsi" w:cs="Arial"/>
                <w:sz w:val="20"/>
                <w:szCs w:val="20"/>
                <w:lang w:val="fr-CA"/>
              </w:rPr>
              <w:t xml:space="preserve"> de tâche, titre</w:t>
            </w:r>
          </w:p>
        </w:tc>
        <w:tc>
          <w:tcPr>
            <w:tcW w:w="279" w:type="pct"/>
            <w:shd w:val="clear" w:color="auto" w:fill="D9D9D9" w:themeFill="background1" w:themeFillShade="D9"/>
          </w:tcPr>
          <w:p w14:paraId="4CC3CA56" w14:textId="265F224E" w:rsidR="007A0789" w:rsidRPr="0081702E" w:rsidRDefault="00B50244" w:rsidP="00726B77">
            <w:pPr>
              <w:jc w:val="center"/>
              <w:rPr>
                <w:rFonts w:asciiTheme="majorHAnsi" w:hAnsiTheme="majorHAnsi" w:cs="Arial"/>
                <w:sz w:val="20"/>
                <w:szCs w:val="20"/>
                <w:lang w:val="fr-CA"/>
              </w:rPr>
            </w:pPr>
            <w:r w:rsidRPr="0081702E">
              <w:rPr>
                <w:rFonts w:asciiTheme="majorHAnsi" w:hAnsiTheme="majorHAnsi" w:cs="Arial"/>
                <w:sz w:val="20"/>
                <w:szCs w:val="20"/>
                <w:lang w:val="fr-CA"/>
              </w:rPr>
              <w:t>Priorité</w:t>
            </w:r>
          </w:p>
        </w:tc>
        <w:tc>
          <w:tcPr>
            <w:tcW w:w="341" w:type="pct"/>
            <w:shd w:val="clear" w:color="auto" w:fill="D9D9D9" w:themeFill="background1" w:themeFillShade="D9"/>
          </w:tcPr>
          <w:p w14:paraId="0E3631AB" w14:textId="4EE42AF2" w:rsidR="007A0789" w:rsidRPr="0081702E" w:rsidRDefault="00B50244" w:rsidP="00726B77">
            <w:pPr>
              <w:jc w:val="center"/>
              <w:rPr>
                <w:rFonts w:asciiTheme="majorHAnsi" w:hAnsiTheme="majorHAnsi" w:cs="Arial"/>
                <w:sz w:val="20"/>
                <w:szCs w:val="20"/>
                <w:lang w:val="fr-CA"/>
              </w:rPr>
            </w:pPr>
            <w:r>
              <w:rPr>
                <w:rFonts w:asciiTheme="majorHAnsi" w:hAnsiTheme="majorHAnsi" w:cs="Arial"/>
                <w:sz w:val="20"/>
                <w:szCs w:val="20"/>
                <w:lang w:val="fr-CA"/>
              </w:rPr>
              <w:t>Résolution</w:t>
            </w:r>
          </w:p>
        </w:tc>
        <w:tc>
          <w:tcPr>
            <w:tcW w:w="401" w:type="pct"/>
            <w:shd w:val="clear" w:color="auto" w:fill="D9D9D9" w:themeFill="background1" w:themeFillShade="D9"/>
          </w:tcPr>
          <w:p w14:paraId="501C1A3A" w14:textId="02508B73" w:rsidR="007A0789" w:rsidRPr="0081702E" w:rsidRDefault="00B50244" w:rsidP="00726B77">
            <w:pPr>
              <w:jc w:val="center"/>
              <w:rPr>
                <w:rFonts w:asciiTheme="majorHAnsi" w:hAnsiTheme="majorHAnsi" w:cs="Arial"/>
                <w:sz w:val="20"/>
                <w:szCs w:val="20"/>
                <w:lang w:val="fr-CA"/>
              </w:rPr>
            </w:pPr>
            <w:r>
              <w:rPr>
                <w:rFonts w:asciiTheme="majorHAnsi" w:eastAsia="Calibri" w:hAnsiTheme="majorHAnsi" w:cs="Arial"/>
                <w:sz w:val="20"/>
                <w:szCs w:val="20"/>
                <w:lang w:val="fr-CA"/>
              </w:rPr>
              <w:t>But et objectif PS</w:t>
            </w:r>
          </w:p>
        </w:tc>
        <w:tc>
          <w:tcPr>
            <w:tcW w:w="2953" w:type="pct"/>
            <w:shd w:val="clear" w:color="auto" w:fill="D9D9D9" w:themeFill="background1" w:themeFillShade="D9"/>
          </w:tcPr>
          <w:p w14:paraId="61270A3F" w14:textId="6B9FEE8A" w:rsidR="007A0789" w:rsidRPr="0081702E" w:rsidRDefault="00B50244" w:rsidP="00726B77">
            <w:pPr>
              <w:jc w:val="center"/>
              <w:rPr>
                <w:rFonts w:asciiTheme="majorHAnsi" w:hAnsiTheme="majorHAnsi" w:cs="Arial"/>
                <w:sz w:val="20"/>
                <w:szCs w:val="20"/>
                <w:lang w:val="fr-CA"/>
              </w:rPr>
            </w:pPr>
            <w:r>
              <w:rPr>
                <w:rFonts w:asciiTheme="majorHAnsi" w:hAnsiTheme="majorHAnsi" w:cs="Arial"/>
                <w:sz w:val="20"/>
                <w:szCs w:val="20"/>
                <w:lang w:val="fr-CA"/>
              </w:rPr>
              <w:t>Description de tâche, public ciblé et résultats escomptés</w:t>
            </w:r>
          </w:p>
        </w:tc>
        <w:tc>
          <w:tcPr>
            <w:tcW w:w="494" w:type="pct"/>
            <w:shd w:val="clear" w:color="auto" w:fill="D9D9D9" w:themeFill="background1" w:themeFillShade="D9"/>
          </w:tcPr>
          <w:p w14:paraId="31C0F14C" w14:textId="5BA44B85" w:rsidR="007A0789" w:rsidRPr="0081702E" w:rsidRDefault="00B50244" w:rsidP="00726B77">
            <w:pPr>
              <w:jc w:val="center"/>
              <w:rPr>
                <w:rFonts w:asciiTheme="majorHAnsi" w:hAnsiTheme="majorHAnsi" w:cs="Arial"/>
                <w:sz w:val="20"/>
                <w:szCs w:val="20"/>
                <w:lang w:val="fr-CA"/>
              </w:rPr>
            </w:pPr>
            <w:r>
              <w:rPr>
                <w:rFonts w:asciiTheme="majorHAnsi" w:hAnsiTheme="majorHAnsi" w:cs="Arial"/>
                <w:sz w:val="20"/>
                <w:szCs w:val="20"/>
                <w:lang w:val="fr-CA"/>
              </w:rPr>
              <w:t>Coûts</w:t>
            </w:r>
            <w:r w:rsidR="007A0789" w:rsidRPr="0081702E">
              <w:rPr>
                <w:rFonts w:asciiTheme="majorHAnsi" w:hAnsiTheme="majorHAnsi" w:cs="Arial"/>
                <w:sz w:val="20"/>
                <w:szCs w:val="20"/>
                <w:lang w:val="fr-CA"/>
              </w:rPr>
              <w:t xml:space="preserve"> CHF</w:t>
            </w:r>
          </w:p>
          <w:p w14:paraId="51F5C55A" w14:textId="7327AD0C" w:rsidR="007A0789" w:rsidRPr="0081702E" w:rsidRDefault="007A0789" w:rsidP="00744912">
            <w:pPr>
              <w:jc w:val="center"/>
              <w:rPr>
                <w:rFonts w:asciiTheme="majorHAnsi" w:hAnsiTheme="majorHAnsi" w:cs="Arial"/>
                <w:sz w:val="20"/>
                <w:szCs w:val="20"/>
                <w:lang w:val="fr-CA"/>
              </w:rPr>
            </w:pPr>
            <w:r w:rsidRPr="004565C0">
              <w:rPr>
                <w:rFonts w:asciiTheme="majorHAnsi" w:hAnsiTheme="majorHAnsi" w:cs="Arial"/>
                <w:sz w:val="20"/>
                <w:szCs w:val="20"/>
                <w:lang w:val="fr-CA"/>
              </w:rPr>
              <w:t>(indicati</w:t>
            </w:r>
            <w:r w:rsidR="00744912" w:rsidRPr="004565C0">
              <w:rPr>
                <w:rFonts w:asciiTheme="majorHAnsi" w:hAnsiTheme="majorHAnsi" w:cs="Arial"/>
                <w:sz w:val="20"/>
                <w:szCs w:val="20"/>
                <w:lang w:val="fr-CA"/>
              </w:rPr>
              <w:t>f</w:t>
            </w:r>
            <w:r w:rsidRPr="004565C0">
              <w:rPr>
                <w:rFonts w:asciiTheme="majorHAnsi" w:hAnsiTheme="majorHAnsi" w:cs="Arial"/>
                <w:sz w:val="20"/>
                <w:szCs w:val="20"/>
                <w:lang w:val="fr-CA"/>
              </w:rPr>
              <w:t>)</w:t>
            </w:r>
          </w:p>
        </w:tc>
      </w:tr>
      <w:tr w:rsidR="009D1F5A" w:rsidRPr="0081702E" w14:paraId="520B7C16" w14:textId="77777777" w:rsidTr="00836984">
        <w:tc>
          <w:tcPr>
            <w:tcW w:w="532" w:type="pct"/>
          </w:tcPr>
          <w:p w14:paraId="2A736BEF" w14:textId="68E6DFDA" w:rsidR="00914A1A" w:rsidRPr="0081702E" w:rsidRDefault="00914A1A" w:rsidP="00744912">
            <w:pPr>
              <w:rPr>
                <w:rFonts w:asciiTheme="majorHAnsi" w:hAnsiTheme="majorHAnsi" w:cs="Arial"/>
                <w:b w:val="0"/>
                <w:sz w:val="20"/>
                <w:szCs w:val="20"/>
                <w:lang w:val="fr-CA"/>
              </w:rPr>
            </w:pPr>
            <w:r w:rsidRPr="0081702E">
              <w:rPr>
                <w:rFonts w:asciiTheme="majorHAnsi" w:hAnsiTheme="majorHAnsi" w:cs="Arial"/>
                <w:b w:val="0"/>
                <w:sz w:val="20"/>
                <w:szCs w:val="20"/>
                <w:lang w:val="fr-CA"/>
              </w:rPr>
              <w:t>2.1</w:t>
            </w:r>
            <w:r w:rsidR="00E01336" w:rsidRPr="0081702E">
              <w:rPr>
                <w:rFonts w:asciiTheme="majorHAnsi" w:hAnsiTheme="majorHAnsi" w:cs="Arial"/>
                <w:b w:val="0"/>
                <w:sz w:val="20"/>
                <w:szCs w:val="20"/>
                <w:lang w:val="fr-CA"/>
              </w:rPr>
              <w:t xml:space="preserve"> </w:t>
            </w:r>
            <w:r w:rsidR="00744912">
              <w:rPr>
                <w:rFonts w:asciiTheme="majorHAnsi" w:hAnsiTheme="majorHAnsi" w:cs="Arial"/>
                <w:b w:val="0"/>
                <w:sz w:val="20"/>
                <w:szCs w:val="20"/>
                <w:lang w:val="fr-CA"/>
              </w:rPr>
              <w:t xml:space="preserve">Outil de gestion des Sites Ramsar </w:t>
            </w:r>
          </w:p>
        </w:tc>
        <w:tc>
          <w:tcPr>
            <w:tcW w:w="279" w:type="pct"/>
          </w:tcPr>
          <w:p w14:paraId="29006C98" w14:textId="77777777" w:rsidR="00914A1A" w:rsidRPr="0081702E" w:rsidRDefault="00914A1A" w:rsidP="00914A1A">
            <w:pPr>
              <w:rPr>
                <w:rFonts w:asciiTheme="majorHAnsi" w:hAnsiTheme="majorHAnsi" w:cs="Arial"/>
                <w:b w:val="0"/>
                <w:sz w:val="20"/>
                <w:szCs w:val="20"/>
                <w:lang w:val="fr-CA"/>
              </w:rPr>
            </w:pPr>
          </w:p>
        </w:tc>
        <w:tc>
          <w:tcPr>
            <w:tcW w:w="341" w:type="pct"/>
          </w:tcPr>
          <w:p w14:paraId="1052C29C" w14:textId="77D94A20"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XII.13;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¶27</w:t>
            </w:r>
            <w:r w:rsidR="00E01336" w:rsidRPr="0081702E">
              <w:rPr>
                <w:rFonts w:asciiTheme="majorHAnsi" w:hAnsiTheme="majorHAnsi" w:cs="Arial"/>
                <w:b w:val="0"/>
                <w:sz w:val="20"/>
                <w:szCs w:val="20"/>
                <w:lang w:val="fr-CA"/>
              </w:rPr>
              <w:t xml:space="preserve"> </w:t>
            </w:r>
          </w:p>
          <w:p w14:paraId="5200A7C6" w14:textId="57A6C64B"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XII.13;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XII.11,</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¶28</w:t>
            </w:r>
          </w:p>
        </w:tc>
        <w:tc>
          <w:tcPr>
            <w:tcW w:w="401" w:type="pct"/>
          </w:tcPr>
          <w:p w14:paraId="7E312D3E" w14:textId="16396556"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1.3,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2.5,</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2.7,</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3.8,</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3.11,</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4.16)</w:t>
            </w:r>
          </w:p>
        </w:tc>
        <w:tc>
          <w:tcPr>
            <w:tcW w:w="2953" w:type="pct"/>
          </w:tcPr>
          <w:p w14:paraId="3FA1AD51" w14:textId="164AD9FD" w:rsidR="00914A1A" w:rsidRPr="0081702E" w:rsidRDefault="00744912" w:rsidP="00914A1A">
            <w:pPr>
              <w:rPr>
                <w:rFonts w:asciiTheme="majorHAnsi" w:eastAsiaTheme="minorHAnsi" w:hAnsiTheme="majorHAnsi" w:cs="Arial"/>
                <w:b w:val="0"/>
                <w:sz w:val="20"/>
                <w:szCs w:val="20"/>
                <w:lang w:val="fr-CA" w:eastAsia="en-US"/>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B32124">
              <w:rPr>
                <w:rFonts w:asciiTheme="majorHAnsi" w:eastAsiaTheme="minorHAnsi" w:hAnsiTheme="majorHAnsi" w:cs="Arial"/>
                <w:b w:val="0"/>
                <w:sz w:val="20"/>
                <w:szCs w:val="20"/>
                <w:lang w:val="fr-CA" w:eastAsia="en-US"/>
              </w:rPr>
              <w:t>P</w:t>
            </w:r>
            <w:r>
              <w:rPr>
                <w:rFonts w:asciiTheme="majorHAnsi" w:eastAsiaTheme="minorHAnsi" w:hAnsiTheme="majorHAnsi" w:cs="Arial"/>
                <w:b w:val="0"/>
                <w:sz w:val="20"/>
                <w:szCs w:val="20"/>
                <w:lang w:val="fr-CA" w:eastAsia="en-US"/>
              </w:rPr>
              <w:t>roduction d’un « Outil de gestion des Sites Ramsar » composé d’une page dédiée du site web de Ramsar avec une traduction appropriée dans les langues de Ramsar, et le matériel suivant en fonction de thèmes et de sous</w:t>
            </w:r>
            <w:r>
              <w:rPr>
                <w:rFonts w:asciiTheme="majorHAnsi" w:eastAsiaTheme="minorHAnsi" w:hAnsiTheme="majorHAnsi" w:cs="Arial"/>
                <w:b w:val="0"/>
                <w:sz w:val="20"/>
                <w:szCs w:val="20"/>
                <w:lang w:val="fr-CA" w:eastAsia="en-US"/>
              </w:rPr>
              <w:noBreakHyphen/>
              <w:t xml:space="preserve">thèmes prédéterminés. </w:t>
            </w:r>
          </w:p>
          <w:p w14:paraId="3882D7C4" w14:textId="77777777" w:rsidR="00914A1A" w:rsidRPr="0081702E" w:rsidRDefault="00914A1A" w:rsidP="00914A1A">
            <w:pPr>
              <w:rPr>
                <w:rFonts w:asciiTheme="majorHAnsi" w:eastAsiaTheme="minorHAnsi" w:hAnsiTheme="majorHAnsi" w:cs="Arial"/>
                <w:b w:val="0"/>
                <w:sz w:val="20"/>
                <w:szCs w:val="20"/>
                <w:lang w:val="fr-CA" w:eastAsia="en-US"/>
              </w:rPr>
            </w:pPr>
          </w:p>
          <w:p w14:paraId="0E9C3DCB" w14:textId="1AD9A21C" w:rsidR="00914A1A" w:rsidRPr="0081702E" w:rsidRDefault="00744912" w:rsidP="00914A1A">
            <w:pPr>
              <w:rPr>
                <w:rFonts w:asciiTheme="majorHAnsi" w:eastAsiaTheme="minorHAnsi" w:hAnsiTheme="majorHAnsi" w:cs="Arial"/>
                <w:b w:val="0"/>
                <w:sz w:val="20"/>
                <w:szCs w:val="20"/>
                <w:lang w:val="fr-CA" w:eastAsia="en-US"/>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B32124">
              <w:rPr>
                <w:rFonts w:asciiTheme="majorHAnsi" w:hAnsiTheme="majorHAnsi" w:cs="Arial"/>
                <w:b w:val="0"/>
                <w:sz w:val="20"/>
                <w:szCs w:val="20"/>
                <w:lang w:val="fr-CA"/>
              </w:rPr>
              <w:t>P</w:t>
            </w:r>
            <w:r>
              <w:rPr>
                <w:rFonts w:asciiTheme="majorHAnsi" w:hAnsiTheme="majorHAnsi" w:cs="Arial"/>
                <w:b w:val="0"/>
                <w:sz w:val="20"/>
                <w:szCs w:val="20"/>
                <w:lang w:val="fr-CA"/>
              </w:rPr>
              <w:t>age web</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r>
              <w:rPr>
                <w:rFonts w:asciiTheme="majorHAnsi" w:hAnsiTheme="majorHAnsi" w:cs="Arial"/>
                <w:b w:val="0"/>
                <w:sz w:val="20"/>
                <w:szCs w:val="20"/>
                <w:lang w:val="fr-CA"/>
              </w:rPr>
              <w:t xml:space="preserve">portail </w:t>
            </w:r>
            <w:r w:rsidR="00914A1A" w:rsidRPr="0081702E">
              <w:rPr>
                <w:rFonts w:asciiTheme="majorHAnsi" w:hAnsiTheme="majorHAnsi" w:cs="Arial"/>
                <w:b w:val="0"/>
                <w:sz w:val="20"/>
                <w:szCs w:val="20"/>
                <w:lang w:val="fr-CA"/>
              </w:rPr>
              <w:t>web</w:t>
            </w:r>
            <w:r w:rsidR="00E01336" w:rsidRPr="0081702E">
              <w:rPr>
                <w:rFonts w:asciiTheme="majorHAnsi" w:hAnsiTheme="majorHAnsi" w:cs="Arial"/>
                <w:b w:val="0"/>
                <w:sz w:val="20"/>
                <w:szCs w:val="20"/>
                <w:lang w:val="fr-CA"/>
              </w:rPr>
              <w:t xml:space="preserve"> </w:t>
            </w:r>
            <w:r>
              <w:rPr>
                <w:rFonts w:asciiTheme="majorHAnsi" w:hAnsiTheme="majorHAnsi" w:cs="Arial"/>
                <w:b w:val="0"/>
                <w:sz w:val="20"/>
                <w:szCs w:val="20"/>
                <w:lang w:val="fr-CA"/>
              </w:rPr>
              <w:t xml:space="preserve">qui contiendrait les orientations existantes et les produits </w:t>
            </w:r>
            <w:r w:rsidR="0020217E">
              <w:rPr>
                <w:rFonts w:asciiTheme="majorHAnsi" w:hAnsiTheme="majorHAnsi" w:cs="Arial"/>
                <w:b w:val="0"/>
                <w:sz w:val="20"/>
                <w:szCs w:val="20"/>
                <w:lang w:val="fr-CA"/>
              </w:rPr>
              <w:t xml:space="preserve">du GEST </w:t>
            </w:r>
            <w:r>
              <w:rPr>
                <w:rFonts w:asciiTheme="majorHAnsi" w:hAnsiTheme="majorHAnsi" w:cs="Arial"/>
                <w:b w:val="0"/>
                <w:sz w:val="20"/>
                <w:szCs w:val="20"/>
                <w:lang w:val="fr-CA"/>
              </w:rPr>
              <w:t>sur la gestion de site</w:t>
            </w:r>
            <w:r w:rsidR="004565C0">
              <w:rPr>
                <w:rFonts w:asciiTheme="majorHAnsi" w:hAnsiTheme="majorHAnsi" w:cs="Arial"/>
                <w:b w:val="0"/>
                <w:sz w:val="20"/>
                <w:szCs w:val="20"/>
                <w:lang w:val="fr-CA"/>
              </w:rPr>
              <w:t>s</w:t>
            </w:r>
            <w:r>
              <w:rPr>
                <w:rFonts w:asciiTheme="majorHAnsi" w:hAnsiTheme="majorHAnsi" w:cs="Arial"/>
                <w:b w:val="0"/>
                <w:sz w:val="20"/>
                <w:szCs w:val="20"/>
                <w:lang w:val="fr-CA"/>
              </w:rPr>
              <w:t>, y compris les bonnes pratiques sur la restauration des tourbières à compiler par le Secrétariat, ainsi qu’une liste des initiatives</w:t>
            </w:r>
            <w:r w:rsidR="00DF4418">
              <w:rPr>
                <w:rFonts w:asciiTheme="majorHAnsi" w:hAnsiTheme="majorHAnsi" w:cs="Arial"/>
                <w:b w:val="0"/>
                <w:sz w:val="20"/>
                <w:szCs w:val="20"/>
                <w:lang w:val="fr-CA"/>
              </w:rPr>
              <w:t xml:space="preserve"> internationales et</w:t>
            </w:r>
            <w:bookmarkStart w:id="2" w:name="_GoBack"/>
            <w:bookmarkEnd w:id="2"/>
            <w:r>
              <w:rPr>
                <w:rFonts w:asciiTheme="majorHAnsi" w:hAnsiTheme="majorHAnsi" w:cs="Arial"/>
                <w:b w:val="0"/>
                <w:sz w:val="20"/>
                <w:szCs w:val="20"/>
                <w:lang w:val="fr-CA"/>
              </w:rPr>
              <w:t xml:space="preserve"> régionales et ressources de renforcement des capacités et des sources de référence pertinentes. Le site serait mis à jour et tenu de manière régulière par le Secrétariat. Le GEST fournirait le matériel pertinent avec des annotations à inclure dans </w:t>
            </w:r>
            <w:r w:rsidR="004565C0">
              <w:rPr>
                <w:rFonts w:asciiTheme="majorHAnsi" w:hAnsiTheme="majorHAnsi" w:cs="Arial"/>
                <w:b w:val="0"/>
                <w:sz w:val="20"/>
                <w:szCs w:val="20"/>
                <w:lang w:val="fr-CA"/>
              </w:rPr>
              <w:t>la panoplie</w:t>
            </w:r>
            <w:r>
              <w:rPr>
                <w:rFonts w:asciiTheme="majorHAnsi" w:hAnsiTheme="majorHAnsi" w:cs="Arial"/>
                <w:b w:val="0"/>
                <w:sz w:val="20"/>
                <w:szCs w:val="20"/>
                <w:lang w:val="fr-CA"/>
              </w:rPr>
              <w:t xml:space="preserve"> d’outils. </w:t>
            </w:r>
          </w:p>
          <w:p w14:paraId="1AFB4215" w14:textId="77777777" w:rsidR="00914A1A" w:rsidRPr="0081702E" w:rsidRDefault="00914A1A" w:rsidP="00914A1A">
            <w:pPr>
              <w:rPr>
                <w:rFonts w:asciiTheme="majorHAnsi" w:hAnsiTheme="majorHAnsi" w:cs="Arial"/>
                <w:b w:val="0"/>
                <w:sz w:val="20"/>
                <w:szCs w:val="20"/>
                <w:lang w:val="fr-CA"/>
              </w:rPr>
            </w:pPr>
          </w:p>
          <w:p w14:paraId="3422CEFC" w14:textId="3622CF89" w:rsidR="00914A1A" w:rsidRPr="0081702E" w:rsidRDefault="00744912" w:rsidP="00B32124">
            <w:pPr>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B32124">
              <w:rPr>
                <w:rFonts w:asciiTheme="majorHAnsi" w:hAnsiTheme="majorHAnsi" w:cs="Arial"/>
                <w:b w:val="0"/>
                <w:sz w:val="20"/>
                <w:szCs w:val="20"/>
                <w:lang w:val="fr-CA"/>
              </w:rPr>
              <w:t>P</w:t>
            </w:r>
            <w:r>
              <w:rPr>
                <w:rFonts w:asciiTheme="majorHAnsi" w:hAnsiTheme="majorHAnsi" w:cs="Arial"/>
                <w:b w:val="0"/>
                <w:sz w:val="20"/>
                <w:szCs w:val="20"/>
                <w:lang w:val="fr-CA"/>
              </w:rPr>
              <w:t>raticiens (administrateurs de site).</w:t>
            </w:r>
          </w:p>
        </w:tc>
        <w:tc>
          <w:tcPr>
            <w:tcW w:w="494" w:type="pct"/>
          </w:tcPr>
          <w:p w14:paraId="366B6B98" w14:textId="6FA7F07C" w:rsidR="00914A1A" w:rsidRPr="0081702E" w:rsidRDefault="00744912" w:rsidP="00D86AFE">
            <w:pPr>
              <w:rPr>
                <w:rFonts w:asciiTheme="majorHAnsi" w:hAnsiTheme="majorHAnsi" w:cs="Arial"/>
                <w:b w:val="0"/>
                <w:sz w:val="20"/>
                <w:szCs w:val="20"/>
                <w:lang w:val="fr-CA"/>
              </w:rPr>
            </w:pPr>
            <w:r w:rsidRPr="004565C0">
              <w:rPr>
                <w:rFonts w:asciiTheme="majorHAnsi" w:hAnsiTheme="majorHAnsi" w:cs="Arial"/>
                <w:b w:val="0"/>
                <w:sz w:val="20"/>
                <w:szCs w:val="20"/>
                <w:lang w:val="fr-CA"/>
              </w:rPr>
              <w:t xml:space="preserve">Coûts </w:t>
            </w:r>
            <w:r w:rsidR="00D86AFE" w:rsidRPr="004565C0">
              <w:rPr>
                <w:rFonts w:asciiTheme="majorHAnsi" w:hAnsiTheme="majorHAnsi" w:cs="Arial"/>
                <w:b w:val="0"/>
                <w:sz w:val="20"/>
                <w:szCs w:val="20"/>
                <w:lang w:val="fr-CA"/>
              </w:rPr>
              <w:t>TI</w:t>
            </w:r>
          </w:p>
        </w:tc>
      </w:tr>
      <w:tr w:rsidR="009D1F5A" w:rsidRPr="0081702E" w14:paraId="7CE3CBE2" w14:textId="77777777" w:rsidTr="00836984">
        <w:tc>
          <w:tcPr>
            <w:tcW w:w="532" w:type="pct"/>
          </w:tcPr>
          <w:p w14:paraId="1DA437FA" w14:textId="7635A051" w:rsidR="00914A1A" w:rsidRPr="0081702E" w:rsidRDefault="00914A1A" w:rsidP="00744912">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lastRenderedPageBreak/>
              <w:t>2.2.</w:t>
            </w:r>
            <w:r w:rsidR="00E01336" w:rsidRPr="0081702E">
              <w:rPr>
                <w:rFonts w:asciiTheme="majorHAnsi" w:hAnsiTheme="majorHAnsi" w:cs="Arial"/>
                <w:b w:val="0"/>
                <w:sz w:val="20"/>
                <w:szCs w:val="20"/>
                <w:lang w:val="fr-CA"/>
              </w:rPr>
              <w:t xml:space="preserve"> </w:t>
            </w:r>
            <w:r w:rsidR="00744912" w:rsidRPr="00744912">
              <w:rPr>
                <w:rFonts w:asciiTheme="majorHAnsi" w:eastAsia="Calibri" w:hAnsiTheme="majorHAnsi" w:cs="Calibri"/>
                <w:b w:val="0"/>
                <w:sz w:val="20"/>
                <w:szCs w:val="20"/>
                <w:lang w:val="fr-CA"/>
              </w:rPr>
              <w:t>Adaptation basée sur les écosystèmes des zones humides pour la prévention des risques de catastrophe</w:t>
            </w:r>
          </w:p>
        </w:tc>
        <w:tc>
          <w:tcPr>
            <w:tcW w:w="279" w:type="pct"/>
          </w:tcPr>
          <w:p w14:paraId="40043F72" w14:textId="326A4670" w:rsidR="00914A1A" w:rsidRPr="0081702E" w:rsidRDefault="00CB3638" w:rsidP="00744912">
            <w:pPr>
              <w:keepNext/>
              <w:keepLines/>
              <w:rPr>
                <w:rFonts w:asciiTheme="majorHAnsi" w:hAnsiTheme="majorHAnsi" w:cs="Arial"/>
                <w:b w:val="0"/>
                <w:sz w:val="20"/>
                <w:szCs w:val="20"/>
                <w:lang w:val="fr-CA"/>
              </w:rPr>
            </w:pPr>
            <w:r>
              <w:rPr>
                <w:rFonts w:asciiTheme="majorHAnsi" w:hAnsiTheme="majorHAnsi" w:cs="Arial"/>
                <w:b w:val="0"/>
                <w:sz w:val="20"/>
                <w:szCs w:val="20"/>
                <w:lang w:val="fr-CA"/>
              </w:rPr>
              <w:t>La plus élevée</w:t>
            </w:r>
          </w:p>
        </w:tc>
        <w:tc>
          <w:tcPr>
            <w:tcW w:w="341" w:type="pct"/>
          </w:tcPr>
          <w:p w14:paraId="7E02D925" w14:textId="2EAD433D" w:rsidR="00914A1A" w:rsidRPr="0081702E" w:rsidRDefault="00914A1A" w:rsidP="00744912">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XII.13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¶25</w:t>
            </w:r>
          </w:p>
        </w:tc>
        <w:tc>
          <w:tcPr>
            <w:tcW w:w="401" w:type="pct"/>
          </w:tcPr>
          <w:p w14:paraId="4E514D63" w14:textId="77777777" w:rsidR="00914A1A" w:rsidRPr="0081702E" w:rsidRDefault="00914A1A" w:rsidP="00744912">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3.12</w:t>
            </w:r>
          </w:p>
        </w:tc>
        <w:tc>
          <w:tcPr>
            <w:tcW w:w="2953" w:type="pct"/>
          </w:tcPr>
          <w:p w14:paraId="2012AD01" w14:textId="0DB58EA9" w:rsidR="00914A1A" w:rsidRPr="0081702E" w:rsidRDefault="00744912" w:rsidP="00744912">
            <w:pPr>
              <w:keepNext/>
              <w:keepLines/>
              <w:ind w:left="34"/>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B32124">
              <w:rPr>
                <w:rFonts w:asciiTheme="majorHAnsi" w:hAnsiTheme="majorHAnsi" w:cs="Arial"/>
                <w:b w:val="0"/>
                <w:sz w:val="20"/>
                <w:szCs w:val="20"/>
                <w:lang w:val="fr-CA"/>
              </w:rPr>
              <w:t xml:space="preserve">Fournir une vue d’ensemble sur les connaissances existantes concernant le rôle des zones humides dans la prévention des risques de catastrophe, en examinant les changements environnementaux mondiaux. Inclure également l’élaboration de stratégies pour la conservation, la restauration et l’utilisation rationnelle des zones humides. </w:t>
            </w:r>
          </w:p>
          <w:p w14:paraId="0783B145" w14:textId="77777777" w:rsidR="00914A1A" w:rsidRPr="0081702E" w:rsidRDefault="00914A1A" w:rsidP="00744912">
            <w:pPr>
              <w:keepNext/>
              <w:keepLines/>
              <w:ind w:left="34"/>
              <w:rPr>
                <w:rFonts w:asciiTheme="majorHAnsi" w:hAnsiTheme="majorHAnsi" w:cs="Arial"/>
                <w:b w:val="0"/>
                <w:sz w:val="20"/>
                <w:szCs w:val="20"/>
                <w:lang w:val="fr-CA"/>
              </w:rPr>
            </w:pPr>
          </w:p>
          <w:p w14:paraId="6234567E" w14:textId="26C39BC2" w:rsidR="00914A1A" w:rsidRPr="0081702E" w:rsidRDefault="00744912" w:rsidP="00744912">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p>
          <w:p w14:paraId="0CE702FB" w14:textId="6E5D77B5" w:rsidR="00914A1A" w:rsidRPr="0081702E" w:rsidRDefault="00914A1A" w:rsidP="00744912">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1)</w:t>
            </w:r>
            <w:r w:rsidR="00E01336" w:rsidRPr="0081702E">
              <w:rPr>
                <w:rFonts w:asciiTheme="majorHAnsi" w:hAnsiTheme="majorHAnsi" w:cs="Arial"/>
                <w:b w:val="0"/>
                <w:sz w:val="20"/>
                <w:szCs w:val="20"/>
                <w:lang w:val="fr-CA"/>
              </w:rPr>
              <w:t xml:space="preserve"> </w:t>
            </w:r>
            <w:r w:rsidR="00B32124">
              <w:rPr>
                <w:rFonts w:asciiTheme="majorHAnsi" w:hAnsiTheme="majorHAnsi" w:cs="Arial"/>
                <w:b w:val="0"/>
                <w:sz w:val="20"/>
                <w:szCs w:val="20"/>
                <w:lang w:val="fr-CA"/>
              </w:rPr>
              <w:t xml:space="preserve">Note d’information sur l’adaptation basée sur les écosystèmes des zones humides pour la prévention des risques de catastrophe. </w:t>
            </w:r>
          </w:p>
          <w:p w14:paraId="156A1D8B" w14:textId="77777777" w:rsidR="00914A1A" w:rsidRPr="0081702E" w:rsidRDefault="00914A1A" w:rsidP="00744912">
            <w:pPr>
              <w:keepNext/>
              <w:keepLines/>
              <w:rPr>
                <w:rFonts w:asciiTheme="majorHAnsi" w:hAnsiTheme="majorHAnsi" w:cs="Arial"/>
                <w:b w:val="0"/>
                <w:sz w:val="20"/>
                <w:szCs w:val="20"/>
                <w:lang w:val="fr-CA"/>
              </w:rPr>
            </w:pPr>
          </w:p>
          <w:p w14:paraId="22FC267A" w14:textId="761E533D" w:rsidR="00914A1A" w:rsidRPr="0081702E" w:rsidRDefault="00914A1A" w:rsidP="00744912">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2)</w:t>
            </w:r>
            <w:r w:rsidR="00E01336" w:rsidRPr="0081702E">
              <w:rPr>
                <w:rFonts w:asciiTheme="majorHAnsi" w:hAnsiTheme="majorHAnsi" w:cs="Arial"/>
                <w:b w:val="0"/>
                <w:sz w:val="20"/>
                <w:szCs w:val="20"/>
                <w:lang w:val="fr-CA"/>
              </w:rPr>
              <w:t xml:space="preserve"> </w:t>
            </w:r>
            <w:r w:rsidR="00B32124">
              <w:rPr>
                <w:rFonts w:asciiTheme="majorHAnsi" w:hAnsiTheme="majorHAnsi" w:cs="Arial"/>
                <w:b w:val="0"/>
                <w:sz w:val="20"/>
                <w:szCs w:val="20"/>
                <w:lang w:val="fr-CA"/>
              </w:rPr>
              <w:t>Fourniture d’avis, au besoin, au réseau</w:t>
            </w:r>
            <w:r w:rsidR="00E01336" w:rsidRPr="0081702E">
              <w:rPr>
                <w:rFonts w:asciiTheme="majorHAnsi" w:hAnsiTheme="majorHAnsi" w:cs="Arial"/>
                <w:b w:val="0"/>
                <w:sz w:val="20"/>
                <w:szCs w:val="20"/>
                <w:lang w:val="fr-CA"/>
              </w:rPr>
              <w:t xml:space="preserve"> </w:t>
            </w:r>
            <w:r w:rsidR="00751672">
              <w:rPr>
                <w:rFonts w:asciiTheme="majorHAnsi" w:hAnsiTheme="majorHAnsi" w:cs="Arial"/>
                <w:b w:val="0"/>
                <w:sz w:val="20"/>
                <w:szCs w:val="20"/>
                <w:lang w:val="fr-CA"/>
              </w:rPr>
              <w:t xml:space="preserve">du </w:t>
            </w:r>
            <w:r w:rsidR="00751672" w:rsidRPr="00751672">
              <w:rPr>
                <w:rFonts w:asciiTheme="majorHAnsi" w:hAnsiTheme="majorHAnsi" w:cs="Arial"/>
                <w:b w:val="0"/>
                <w:sz w:val="20"/>
                <w:szCs w:val="20"/>
                <w:lang w:val="fr-CA"/>
              </w:rPr>
              <w:t>Partnership for Environment and Disaster Risk Reduction (</w:t>
            </w:r>
            <w:r w:rsidRPr="00751672">
              <w:rPr>
                <w:rFonts w:asciiTheme="majorHAnsi" w:hAnsiTheme="majorHAnsi" w:cs="Arial"/>
                <w:b w:val="0"/>
                <w:sz w:val="20"/>
                <w:szCs w:val="20"/>
                <w:lang w:val="fr-CA"/>
              </w:rPr>
              <w:t>PEDRR</w:t>
            </w:r>
            <w:r w:rsidR="00751672" w:rsidRPr="00751672">
              <w:rPr>
                <w:rFonts w:asciiTheme="majorHAnsi" w:hAnsiTheme="majorHAnsi" w:cs="Arial"/>
                <w:b w:val="0"/>
                <w:sz w:val="20"/>
                <w:szCs w:val="20"/>
                <w:lang w:val="fr-CA"/>
              </w:rPr>
              <w:t>)</w:t>
            </w:r>
            <w:r w:rsidR="005216F1" w:rsidRPr="00751672">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p>
          <w:p w14:paraId="3E5CED03" w14:textId="77777777" w:rsidR="00914A1A" w:rsidRPr="0081702E" w:rsidRDefault="00914A1A" w:rsidP="00744912">
            <w:pPr>
              <w:keepNext/>
              <w:keepLines/>
              <w:rPr>
                <w:rFonts w:asciiTheme="majorHAnsi" w:hAnsiTheme="majorHAnsi" w:cs="Arial"/>
                <w:b w:val="0"/>
                <w:sz w:val="20"/>
                <w:szCs w:val="20"/>
                <w:lang w:val="fr-CA"/>
              </w:rPr>
            </w:pPr>
          </w:p>
          <w:p w14:paraId="0DFD6C00" w14:textId="5D531C87" w:rsidR="00914A1A" w:rsidRPr="0081702E" w:rsidRDefault="00744912" w:rsidP="00B32124">
            <w:pPr>
              <w:keepNext/>
              <w:keepLines/>
              <w:ind w:left="720" w:hanging="720"/>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B32124">
              <w:rPr>
                <w:rFonts w:asciiTheme="majorHAnsi" w:hAnsiTheme="majorHAnsi" w:cs="Arial"/>
                <w:b w:val="0"/>
                <w:sz w:val="20"/>
                <w:szCs w:val="20"/>
                <w:lang w:val="fr-CA"/>
              </w:rPr>
              <w:t xml:space="preserve">Décideurs et praticiens. </w:t>
            </w:r>
          </w:p>
        </w:tc>
        <w:tc>
          <w:tcPr>
            <w:tcW w:w="494" w:type="pct"/>
          </w:tcPr>
          <w:p w14:paraId="4E2502A8" w14:textId="27130375" w:rsidR="00914A1A" w:rsidRPr="0081702E" w:rsidRDefault="00914A1A" w:rsidP="00B32124">
            <w:pPr>
              <w:rPr>
                <w:rFonts w:asciiTheme="majorHAnsi" w:hAnsiTheme="majorHAnsi" w:cs="Arial"/>
                <w:b w:val="0"/>
                <w:sz w:val="20"/>
                <w:szCs w:val="20"/>
                <w:lang w:val="fr-CA"/>
              </w:rPr>
            </w:pPr>
            <w:r w:rsidRPr="0081702E">
              <w:rPr>
                <w:rFonts w:asciiTheme="majorHAnsi" w:hAnsiTheme="majorHAnsi" w:cs="Arial"/>
                <w:b w:val="0"/>
                <w:sz w:val="20"/>
                <w:szCs w:val="20"/>
                <w:lang w:val="fr-CA"/>
              </w:rPr>
              <w:t>13</w:t>
            </w:r>
            <w:r w:rsidR="00B32124">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000</w:t>
            </w:r>
          </w:p>
        </w:tc>
      </w:tr>
      <w:tr w:rsidR="009D1F5A" w:rsidRPr="0081702E" w14:paraId="23CC8EB2" w14:textId="77777777" w:rsidTr="00836984">
        <w:tc>
          <w:tcPr>
            <w:tcW w:w="532" w:type="pct"/>
          </w:tcPr>
          <w:p w14:paraId="4A1189AC" w14:textId="692E6591" w:rsidR="00914A1A" w:rsidRPr="0081702E" w:rsidRDefault="00914A1A" w:rsidP="00B32124">
            <w:pPr>
              <w:rPr>
                <w:rFonts w:asciiTheme="majorHAnsi" w:hAnsiTheme="majorHAnsi" w:cs="Arial"/>
                <w:b w:val="0"/>
                <w:sz w:val="20"/>
                <w:szCs w:val="20"/>
                <w:lang w:val="fr-CA"/>
              </w:rPr>
            </w:pPr>
            <w:r w:rsidRPr="0081702E">
              <w:rPr>
                <w:rFonts w:asciiTheme="majorHAnsi" w:hAnsiTheme="majorHAnsi" w:cs="Arial"/>
                <w:b w:val="0"/>
                <w:sz w:val="20"/>
                <w:szCs w:val="20"/>
                <w:lang w:val="fr-CA"/>
              </w:rPr>
              <w:t>2.3.</w:t>
            </w:r>
            <w:r w:rsidR="00E01336" w:rsidRPr="0081702E">
              <w:rPr>
                <w:rFonts w:asciiTheme="majorHAnsi" w:hAnsiTheme="majorHAnsi" w:cs="Arial"/>
                <w:b w:val="0"/>
                <w:sz w:val="20"/>
                <w:szCs w:val="20"/>
                <w:lang w:val="fr-CA"/>
              </w:rPr>
              <w:t xml:space="preserve"> </w:t>
            </w:r>
            <w:r w:rsidR="00B32124">
              <w:rPr>
                <w:rFonts w:asciiTheme="majorHAnsi" w:hAnsiTheme="majorHAnsi" w:cs="Arial"/>
                <w:b w:val="0"/>
                <w:sz w:val="20"/>
                <w:szCs w:val="20"/>
                <w:lang w:val="fr-CA"/>
              </w:rPr>
              <w:t xml:space="preserve">Gestion des zones humides transfrontières </w:t>
            </w:r>
          </w:p>
        </w:tc>
        <w:tc>
          <w:tcPr>
            <w:tcW w:w="279" w:type="pct"/>
          </w:tcPr>
          <w:p w14:paraId="1DDB6CF8" w14:textId="77777777" w:rsidR="00914A1A" w:rsidRPr="0081702E" w:rsidRDefault="00914A1A" w:rsidP="00914A1A">
            <w:pPr>
              <w:rPr>
                <w:rFonts w:asciiTheme="majorHAnsi" w:hAnsiTheme="majorHAnsi" w:cs="Arial"/>
                <w:b w:val="0"/>
                <w:sz w:val="20"/>
                <w:szCs w:val="20"/>
                <w:lang w:val="fr-CA"/>
              </w:rPr>
            </w:pPr>
          </w:p>
        </w:tc>
        <w:tc>
          <w:tcPr>
            <w:tcW w:w="341" w:type="pct"/>
          </w:tcPr>
          <w:p w14:paraId="05F025A3" w14:textId="77777777" w:rsidR="00914A1A" w:rsidRPr="0081702E" w:rsidRDefault="00914A1A" w:rsidP="00914A1A">
            <w:pPr>
              <w:rPr>
                <w:rFonts w:asciiTheme="majorHAnsi" w:hAnsiTheme="majorHAnsi" w:cs="Arial"/>
                <w:b w:val="0"/>
                <w:sz w:val="20"/>
                <w:szCs w:val="20"/>
                <w:lang w:val="fr-CA"/>
              </w:rPr>
            </w:pPr>
          </w:p>
        </w:tc>
        <w:tc>
          <w:tcPr>
            <w:tcW w:w="401" w:type="pct"/>
          </w:tcPr>
          <w:p w14:paraId="68E092E3" w14:textId="09F18EB4"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1.2,</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2.5,</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2.6</w:t>
            </w:r>
          </w:p>
        </w:tc>
        <w:tc>
          <w:tcPr>
            <w:tcW w:w="2953" w:type="pct"/>
          </w:tcPr>
          <w:p w14:paraId="0A7002E8" w14:textId="60D4C263" w:rsidR="00914A1A" w:rsidRPr="0081702E" w:rsidRDefault="00744912"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206C47">
              <w:rPr>
                <w:rFonts w:asciiTheme="majorHAnsi" w:hAnsiTheme="majorHAnsi" w:cs="Arial"/>
                <w:b w:val="0"/>
                <w:sz w:val="20"/>
                <w:szCs w:val="20"/>
                <w:lang w:val="fr-CA"/>
              </w:rPr>
              <w:t xml:space="preserve">Conséquences pour les ressources en eau, la gestion du bassin et le maintien des caractéristiques écologiques des zones humides transfrontières, y compris une introduction sur les initiatives internationales/régionales pertinentes. </w:t>
            </w:r>
            <w:r w:rsidR="00E01336" w:rsidRPr="0081702E">
              <w:rPr>
                <w:rFonts w:asciiTheme="majorHAnsi" w:hAnsiTheme="majorHAnsi" w:cs="Arial"/>
                <w:b w:val="0"/>
                <w:sz w:val="20"/>
                <w:szCs w:val="20"/>
                <w:lang w:val="fr-CA"/>
              </w:rPr>
              <w:t xml:space="preserve"> </w:t>
            </w:r>
          </w:p>
          <w:p w14:paraId="062C3C1A" w14:textId="77777777" w:rsidR="00914A1A" w:rsidRPr="0081702E" w:rsidRDefault="00914A1A" w:rsidP="00914A1A">
            <w:pPr>
              <w:rPr>
                <w:rFonts w:asciiTheme="majorHAnsi" w:hAnsiTheme="majorHAnsi" w:cs="Arial"/>
                <w:b w:val="0"/>
                <w:sz w:val="20"/>
                <w:szCs w:val="20"/>
                <w:highlight w:val="yellow"/>
                <w:u w:val="single"/>
                <w:lang w:val="fr-CA"/>
              </w:rPr>
            </w:pPr>
          </w:p>
          <w:p w14:paraId="6A0A5F4D" w14:textId="0CC00E8A" w:rsidR="00914A1A" w:rsidRPr="0081702E" w:rsidRDefault="00744912"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206C47">
              <w:rPr>
                <w:rFonts w:asciiTheme="majorHAnsi" w:hAnsiTheme="majorHAnsi" w:cs="Arial"/>
                <w:b w:val="0"/>
                <w:sz w:val="20"/>
                <w:szCs w:val="20"/>
                <w:lang w:val="fr-CA"/>
              </w:rPr>
              <w:t>Document d’orientation.</w:t>
            </w:r>
            <w:r w:rsidR="00E01336" w:rsidRPr="0081702E">
              <w:rPr>
                <w:rFonts w:asciiTheme="majorHAnsi" w:hAnsiTheme="majorHAnsi" w:cs="Arial"/>
                <w:b w:val="0"/>
                <w:sz w:val="20"/>
                <w:szCs w:val="20"/>
                <w:lang w:val="fr-CA"/>
              </w:rPr>
              <w:t xml:space="preserve"> </w:t>
            </w:r>
          </w:p>
          <w:p w14:paraId="2AF6ED1B" w14:textId="77777777" w:rsidR="00914A1A" w:rsidRPr="0081702E" w:rsidRDefault="00914A1A" w:rsidP="00914A1A">
            <w:pPr>
              <w:rPr>
                <w:rFonts w:asciiTheme="majorHAnsi" w:hAnsiTheme="majorHAnsi" w:cs="Arial"/>
                <w:b w:val="0"/>
                <w:sz w:val="20"/>
                <w:szCs w:val="20"/>
                <w:lang w:val="fr-CA"/>
              </w:rPr>
            </w:pPr>
          </w:p>
          <w:p w14:paraId="5DF3005F" w14:textId="36BD06F1" w:rsidR="00914A1A" w:rsidRPr="0081702E" w:rsidRDefault="00744912" w:rsidP="00206C47">
            <w:pPr>
              <w:ind w:left="720" w:hanging="720"/>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206C47">
              <w:rPr>
                <w:rFonts w:asciiTheme="majorHAnsi" w:hAnsiTheme="majorHAnsi" w:cs="Arial"/>
                <w:b w:val="0"/>
                <w:sz w:val="20"/>
                <w:szCs w:val="20"/>
                <w:lang w:val="fr-CA"/>
              </w:rPr>
              <w:t>Décideurs.</w:t>
            </w:r>
          </w:p>
        </w:tc>
        <w:tc>
          <w:tcPr>
            <w:tcW w:w="494" w:type="pct"/>
          </w:tcPr>
          <w:p w14:paraId="4E621500" w14:textId="674AAAE3" w:rsidR="00914A1A" w:rsidRPr="0081702E" w:rsidRDefault="00B32124" w:rsidP="00914A1A">
            <w:pPr>
              <w:rPr>
                <w:rFonts w:asciiTheme="majorHAnsi" w:hAnsiTheme="majorHAnsi" w:cs="Arial"/>
                <w:b w:val="0"/>
                <w:sz w:val="20"/>
                <w:szCs w:val="20"/>
                <w:lang w:val="fr-CA"/>
              </w:rPr>
            </w:pPr>
            <w:r>
              <w:rPr>
                <w:rFonts w:asciiTheme="majorHAnsi" w:hAnsiTheme="majorHAnsi" w:cs="Arial"/>
                <w:b w:val="0"/>
                <w:sz w:val="20"/>
                <w:szCs w:val="20"/>
                <w:lang w:val="fr-CA"/>
              </w:rPr>
              <w:t>9</w:t>
            </w:r>
            <w:r w:rsidR="00914A1A" w:rsidRPr="0081702E">
              <w:rPr>
                <w:rFonts w:asciiTheme="majorHAnsi" w:hAnsiTheme="majorHAnsi" w:cs="Arial"/>
                <w:b w:val="0"/>
                <w:sz w:val="20"/>
                <w:szCs w:val="20"/>
                <w:lang w:val="fr-CA"/>
              </w:rPr>
              <w:t>000</w:t>
            </w:r>
          </w:p>
        </w:tc>
      </w:tr>
      <w:tr w:rsidR="009D1F5A" w:rsidRPr="00DF4418" w14:paraId="74920AD6" w14:textId="77777777" w:rsidTr="00836984">
        <w:tc>
          <w:tcPr>
            <w:tcW w:w="532" w:type="pct"/>
          </w:tcPr>
          <w:p w14:paraId="798B1981" w14:textId="2F91706F" w:rsidR="00914A1A" w:rsidRPr="0081702E" w:rsidRDefault="00914A1A" w:rsidP="00206C47">
            <w:pPr>
              <w:rPr>
                <w:rFonts w:asciiTheme="majorHAnsi" w:hAnsiTheme="majorHAnsi" w:cs="Arial"/>
                <w:b w:val="0"/>
                <w:sz w:val="20"/>
                <w:szCs w:val="20"/>
                <w:lang w:val="fr-CA"/>
              </w:rPr>
            </w:pPr>
            <w:r w:rsidRPr="0081702E">
              <w:rPr>
                <w:rFonts w:asciiTheme="majorHAnsi" w:hAnsiTheme="majorHAnsi" w:cs="Arial"/>
                <w:b w:val="0"/>
                <w:sz w:val="20"/>
                <w:szCs w:val="20"/>
                <w:lang w:val="fr-CA"/>
              </w:rPr>
              <w:t>2.4.</w:t>
            </w:r>
            <w:r w:rsidR="00206C47">
              <w:rPr>
                <w:rFonts w:asciiTheme="majorHAnsi" w:hAnsiTheme="majorHAnsi" w:cs="Arial"/>
                <w:b w:val="0"/>
                <w:sz w:val="20"/>
                <w:szCs w:val="20"/>
                <w:lang w:val="fr-CA"/>
              </w:rPr>
              <w:t xml:space="preserve"> Manuel simplifié de gestion des Sites Ramsar </w:t>
            </w:r>
          </w:p>
        </w:tc>
        <w:tc>
          <w:tcPr>
            <w:tcW w:w="279" w:type="pct"/>
          </w:tcPr>
          <w:p w14:paraId="685E57B5" w14:textId="1EF069A6" w:rsidR="00914A1A" w:rsidRPr="0081702E" w:rsidRDefault="00CB3638" w:rsidP="00914A1A">
            <w:pPr>
              <w:rPr>
                <w:rFonts w:asciiTheme="majorHAnsi" w:hAnsiTheme="majorHAnsi" w:cs="Arial"/>
                <w:b w:val="0"/>
                <w:sz w:val="20"/>
                <w:szCs w:val="20"/>
                <w:lang w:val="fr-CA"/>
              </w:rPr>
            </w:pPr>
            <w:r>
              <w:rPr>
                <w:rFonts w:asciiTheme="majorHAnsi" w:hAnsiTheme="majorHAnsi" w:cs="Arial"/>
                <w:b w:val="0"/>
                <w:sz w:val="20"/>
                <w:szCs w:val="20"/>
                <w:lang w:val="fr-CA"/>
              </w:rPr>
              <w:t>La plus élevée</w:t>
            </w:r>
          </w:p>
        </w:tc>
        <w:tc>
          <w:tcPr>
            <w:tcW w:w="341" w:type="pct"/>
          </w:tcPr>
          <w:p w14:paraId="06579FB0" w14:textId="0AA4BCB6"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XII.15</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¶21</w:t>
            </w:r>
          </w:p>
        </w:tc>
        <w:tc>
          <w:tcPr>
            <w:tcW w:w="401" w:type="pct"/>
          </w:tcPr>
          <w:p w14:paraId="6A95C9C0" w14:textId="383AA36F" w:rsidR="00914A1A" w:rsidRPr="0081702E" w:rsidRDefault="00914A1A" w:rsidP="00914A1A">
            <w:pPr>
              <w:rPr>
                <w:rFonts w:asciiTheme="majorHAnsi" w:hAnsiTheme="majorHAnsi" w:cs="Arial"/>
                <w:sz w:val="20"/>
                <w:szCs w:val="20"/>
                <w:lang w:val="fr-CA"/>
              </w:rPr>
            </w:pPr>
            <w:r w:rsidRPr="0081702E">
              <w:rPr>
                <w:rFonts w:asciiTheme="majorHAnsi" w:hAnsiTheme="majorHAnsi" w:cs="Arial"/>
                <w:b w:val="0"/>
                <w:sz w:val="20"/>
                <w:szCs w:val="20"/>
                <w:lang w:val="fr-CA"/>
              </w:rPr>
              <w:t>2.5,</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2.6,</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2.7,</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4.5</w:t>
            </w:r>
          </w:p>
        </w:tc>
        <w:tc>
          <w:tcPr>
            <w:tcW w:w="2953" w:type="pct"/>
          </w:tcPr>
          <w:p w14:paraId="0F69A80A" w14:textId="4468D643" w:rsidR="00914A1A" w:rsidRPr="0081702E" w:rsidRDefault="00206C47"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Pr>
                <w:rFonts w:asciiTheme="majorHAnsi" w:hAnsiTheme="majorHAnsi" w:cs="Arial"/>
                <w:b w:val="0"/>
                <w:sz w:val="20"/>
                <w:szCs w:val="20"/>
                <w:lang w:val="fr-CA"/>
              </w:rPr>
              <w:t xml:space="preserve">Un document plus simple sur la gestion des sites et le suivi pour toute une gamme de zones humides, y compris des orientations sur les moyens d’appliquer </w:t>
            </w:r>
            <w:r w:rsidRPr="00751672">
              <w:rPr>
                <w:rFonts w:asciiTheme="majorHAnsi" w:hAnsiTheme="majorHAnsi" w:cs="Arial"/>
                <w:b w:val="0"/>
                <w:sz w:val="20"/>
                <w:szCs w:val="20"/>
                <w:lang w:val="fr-CA"/>
              </w:rPr>
              <w:t xml:space="preserve">l’Outil de suivi de l’efficacité de la gestion </w:t>
            </w:r>
            <w:r w:rsidR="00751672" w:rsidRPr="00751672">
              <w:rPr>
                <w:rFonts w:asciiTheme="majorHAnsi" w:hAnsiTheme="majorHAnsi" w:cs="Arial"/>
                <w:b w:val="0"/>
                <w:sz w:val="20"/>
                <w:szCs w:val="20"/>
                <w:lang w:val="fr-CA"/>
              </w:rPr>
              <w:t xml:space="preserve">des Sites </w:t>
            </w:r>
            <w:r w:rsidRPr="00751672">
              <w:rPr>
                <w:rFonts w:asciiTheme="majorHAnsi" w:hAnsiTheme="majorHAnsi" w:cs="Arial"/>
                <w:b w:val="0"/>
                <w:sz w:val="20"/>
                <w:szCs w:val="20"/>
                <w:lang w:val="fr-CA"/>
              </w:rPr>
              <w:t xml:space="preserve">Ramsar </w:t>
            </w:r>
            <w:r w:rsidR="00914A1A" w:rsidRPr="00751672">
              <w:rPr>
                <w:rFonts w:asciiTheme="majorHAnsi" w:hAnsiTheme="majorHAnsi" w:cs="Arial"/>
                <w:b w:val="0"/>
                <w:sz w:val="20"/>
                <w:szCs w:val="20"/>
                <w:lang w:val="fr-CA"/>
              </w:rPr>
              <w:t>(R-METT)</w:t>
            </w:r>
            <w:r w:rsidR="00E01336" w:rsidRPr="0081702E">
              <w:rPr>
                <w:rFonts w:asciiTheme="majorHAnsi" w:hAnsiTheme="majorHAnsi" w:cs="Arial"/>
                <w:b w:val="0"/>
                <w:sz w:val="20"/>
                <w:szCs w:val="20"/>
                <w:lang w:val="fr-CA"/>
              </w:rPr>
              <w:t xml:space="preserve"> </w:t>
            </w:r>
            <w:r>
              <w:rPr>
                <w:rFonts w:asciiTheme="majorHAnsi" w:hAnsiTheme="majorHAnsi" w:cs="Arial"/>
                <w:b w:val="0"/>
                <w:sz w:val="20"/>
                <w:szCs w:val="20"/>
                <w:lang w:val="fr-CA"/>
              </w:rPr>
              <w:t xml:space="preserve">dans le cadre de la Fiche descriptive Ramsar (FDR). </w:t>
            </w:r>
          </w:p>
          <w:p w14:paraId="63604094" w14:textId="77777777" w:rsidR="00914A1A" w:rsidRPr="0081702E" w:rsidRDefault="00914A1A" w:rsidP="00914A1A">
            <w:pPr>
              <w:rPr>
                <w:rFonts w:asciiTheme="majorHAnsi" w:hAnsiTheme="majorHAnsi" w:cs="Arial"/>
                <w:b w:val="0"/>
                <w:sz w:val="20"/>
                <w:szCs w:val="20"/>
                <w:lang w:val="fr-CA"/>
              </w:rPr>
            </w:pPr>
          </w:p>
          <w:p w14:paraId="7E9A4966" w14:textId="09A2E054" w:rsidR="00914A1A" w:rsidRPr="0081702E" w:rsidRDefault="00744912"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Manu</w:t>
            </w:r>
            <w:r w:rsidR="00206C47">
              <w:rPr>
                <w:rFonts w:asciiTheme="majorHAnsi" w:hAnsiTheme="majorHAnsi" w:cs="Arial"/>
                <w:b w:val="0"/>
                <w:sz w:val="20"/>
                <w:szCs w:val="20"/>
                <w:lang w:val="fr-CA"/>
              </w:rPr>
              <w:t>e</w:t>
            </w:r>
            <w:r w:rsidR="00914A1A" w:rsidRPr="0081702E">
              <w:rPr>
                <w:rFonts w:asciiTheme="majorHAnsi" w:hAnsiTheme="majorHAnsi" w:cs="Arial"/>
                <w:b w:val="0"/>
                <w:sz w:val="20"/>
                <w:szCs w:val="20"/>
                <w:lang w:val="fr-CA"/>
              </w:rPr>
              <w:t>l</w:t>
            </w:r>
            <w:r w:rsidR="00E01336" w:rsidRPr="0081702E">
              <w:rPr>
                <w:rFonts w:asciiTheme="majorHAnsi" w:hAnsiTheme="majorHAnsi" w:cs="Arial"/>
                <w:b w:val="0"/>
                <w:sz w:val="20"/>
                <w:szCs w:val="20"/>
                <w:lang w:val="fr-CA"/>
              </w:rPr>
              <w:t xml:space="preserve"> </w:t>
            </w:r>
            <w:r w:rsidR="00206C47">
              <w:rPr>
                <w:rFonts w:asciiTheme="majorHAnsi" w:hAnsiTheme="majorHAnsi" w:cs="Arial"/>
                <w:b w:val="0"/>
                <w:sz w:val="20"/>
                <w:szCs w:val="20"/>
                <w:lang w:val="fr-CA"/>
              </w:rPr>
              <w:t xml:space="preserve">sur la gestion des zones humides à tester </w:t>
            </w:r>
            <w:r w:rsidR="0085476E">
              <w:rPr>
                <w:rFonts w:asciiTheme="majorHAnsi" w:hAnsiTheme="majorHAnsi" w:cs="Arial"/>
                <w:b w:val="0"/>
                <w:sz w:val="20"/>
                <w:szCs w:val="20"/>
                <w:lang w:val="fr-CA"/>
              </w:rPr>
              <w:t>en pratique</w:t>
            </w:r>
            <w:r w:rsidR="00206C47">
              <w:rPr>
                <w:rFonts w:asciiTheme="majorHAnsi" w:hAnsiTheme="majorHAnsi" w:cs="Arial"/>
                <w:b w:val="0"/>
                <w:sz w:val="20"/>
                <w:szCs w:val="20"/>
                <w:lang w:val="fr-CA"/>
              </w:rPr>
              <w:t xml:space="preserve"> lors d’un atelier à venir, parrainé par le Centre régional Ramsar – Asie de l’Est</w:t>
            </w:r>
            <w:r w:rsidR="00751672">
              <w:rPr>
                <w:rFonts w:asciiTheme="majorHAnsi" w:hAnsiTheme="majorHAnsi" w:cs="Arial"/>
                <w:b w:val="0"/>
                <w:sz w:val="20"/>
                <w:szCs w:val="20"/>
                <w:lang w:val="fr-CA"/>
              </w:rPr>
              <w:t xml:space="preserve"> (RRC-EA)</w:t>
            </w:r>
            <w:r w:rsidR="00206C47">
              <w:rPr>
                <w:rFonts w:asciiTheme="majorHAnsi" w:hAnsiTheme="majorHAnsi" w:cs="Arial"/>
                <w:b w:val="0"/>
                <w:sz w:val="20"/>
                <w:szCs w:val="20"/>
                <w:lang w:val="fr-CA"/>
              </w:rPr>
              <w:t>.</w:t>
            </w:r>
          </w:p>
          <w:p w14:paraId="7FFED3E0" w14:textId="77777777" w:rsidR="00914A1A" w:rsidRPr="0081702E" w:rsidRDefault="00914A1A" w:rsidP="00914A1A">
            <w:pPr>
              <w:rPr>
                <w:rFonts w:asciiTheme="majorHAnsi" w:hAnsiTheme="majorHAnsi" w:cs="Arial"/>
                <w:b w:val="0"/>
                <w:sz w:val="20"/>
                <w:szCs w:val="20"/>
                <w:lang w:val="fr-CA"/>
              </w:rPr>
            </w:pPr>
          </w:p>
          <w:p w14:paraId="6F0FFE4F" w14:textId="6BDC92C8" w:rsidR="00914A1A" w:rsidRPr="0081702E" w:rsidRDefault="00744912" w:rsidP="00206C47">
            <w:pPr>
              <w:ind w:left="720" w:hanging="720"/>
              <w:rPr>
                <w:rFonts w:asciiTheme="majorHAnsi" w:hAnsiTheme="majorHAnsi" w:cs="Arial"/>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914A1A" w:rsidRPr="0081702E">
              <w:rPr>
                <w:rFonts w:asciiTheme="majorHAnsi" w:hAnsiTheme="majorHAnsi" w:cs="Arial"/>
                <w:b w:val="0"/>
                <w:sz w:val="20"/>
                <w:szCs w:val="20"/>
                <w:lang w:val="fr-CA"/>
              </w:rPr>
              <w:t>Pra</w:t>
            </w:r>
            <w:r w:rsidR="00206C47">
              <w:rPr>
                <w:rFonts w:asciiTheme="majorHAnsi" w:hAnsiTheme="majorHAnsi" w:cs="Arial"/>
                <w:b w:val="0"/>
                <w:sz w:val="20"/>
                <w:szCs w:val="20"/>
                <w:lang w:val="fr-CA"/>
              </w:rPr>
              <w:t>ticiens</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w:t>
            </w:r>
            <w:r w:rsidR="00206C47">
              <w:rPr>
                <w:rFonts w:asciiTheme="majorHAnsi" w:hAnsiTheme="majorHAnsi" w:cs="Arial"/>
                <w:b w:val="0"/>
                <w:sz w:val="20"/>
                <w:szCs w:val="20"/>
                <w:lang w:val="fr-CA"/>
              </w:rPr>
              <w:t xml:space="preserve">administrateurs de </w:t>
            </w:r>
            <w:r w:rsidR="00914A1A" w:rsidRPr="0081702E">
              <w:rPr>
                <w:rFonts w:asciiTheme="majorHAnsi" w:hAnsiTheme="majorHAnsi" w:cs="Arial"/>
                <w:b w:val="0"/>
                <w:sz w:val="20"/>
                <w:szCs w:val="20"/>
                <w:lang w:val="fr-CA"/>
              </w:rPr>
              <w:t>site)</w:t>
            </w:r>
            <w:r w:rsidR="00206C47">
              <w:rPr>
                <w:rFonts w:asciiTheme="majorHAnsi" w:hAnsiTheme="majorHAnsi" w:cs="Arial"/>
                <w:b w:val="0"/>
                <w:sz w:val="20"/>
                <w:szCs w:val="20"/>
                <w:lang w:val="fr-CA"/>
              </w:rPr>
              <w:t>.</w:t>
            </w:r>
          </w:p>
        </w:tc>
        <w:tc>
          <w:tcPr>
            <w:tcW w:w="494" w:type="pct"/>
          </w:tcPr>
          <w:p w14:paraId="539C05D3" w14:textId="016DC868"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10</w:t>
            </w:r>
            <w:r w:rsidR="00B32124">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000</w:t>
            </w:r>
          </w:p>
          <w:p w14:paraId="23984380" w14:textId="77777777" w:rsidR="00914A1A" w:rsidRPr="0081702E" w:rsidRDefault="00914A1A" w:rsidP="00914A1A">
            <w:pPr>
              <w:rPr>
                <w:rFonts w:asciiTheme="majorHAnsi" w:hAnsiTheme="majorHAnsi" w:cs="Arial"/>
                <w:b w:val="0"/>
                <w:sz w:val="20"/>
                <w:szCs w:val="20"/>
                <w:lang w:val="fr-CA"/>
              </w:rPr>
            </w:pPr>
          </w:p>
          <w:p w14:paraId="236242CB" w14:textId="69A66DC0"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w:t>
            </w:r>
            <w:r w:rsidR="00206C47">
              <w:rPr>
                <w:rFonts w:asciiTheme="majorHAnsi" w:hAnsiTheme="majorHAnsi" w:cs="Arial"/>
                <w:b w:val="0"/>
                <w:sz w:val="20"/>
                <w:szCs w:val="20"/>
                <w:lang w:val="fr-CA"/>
              </w:rPr>
              <w:t xml:space="preserve">appui additionnel fourni par le </w:t>
            </w:r>
            <w:r w:rsidR="00206C47" w:rsidRPr="00751672">
              <w:rPr>
                <w:rFonts w:asciiTheme="majorHAnsi" w:hAnsiTheme="majorHAnsi" w:cs="Arial"/>
                <w:b w:val="0"/>
                <w:sz w:val="20"/>
                <w:szCs w:val="20"/>
                <w:lang w:val="fr-CA"/>
              </w:rPr>
              <w:t>RRC</w:t>
            </w:r>
            <w:r w:rsidR="00206C47" w:rsidRPr="00751672">
              <w:rPr>
                <w:rFonts w:asciiTheme="majorHAnsi" w:hAnsiTheme="majorHAnsi" w:cs="Arial"/>
                <w:b w:val="0"/>
                <w:sz w:val="20"/>
                <w:szCs w:val="20"/>
                <w:lang w:val="fr-CA"/>
              </w:rPr>
              <w:noBreakHyphen/>
              <w:t>EA</w:t>
            </w:r>
            <w:r w:rsidRPr="00751672">
              <w:rPr>
                <w:rFonts w:asciiTheme="majorHAnsi" w:hAnsiTheme="majorHAnsi" w:cs="Arial"/>
                <w:b w:val="0"/>
                <w:sz w:val="20"/>
                <w:szCs w:val="20"/>
                <w:lang w:val="fr-CA"/>
              </w:rPr>
              <w:t>]</w:t>
            </w:r>
          </w:p>
          <w:p w14:paraId="0BA92F8E" w14:textId="77777777" w:rsidR="00914A1A" w:rsidRPr="0081702E" w:rsidRDefault="00914A1A" w:rsidP="00914A1A">
            <w:pPr>
              <w:rPr>
                <w:rFonts w:asciiTheme="majorHAnsi" w:hAnsiTheme="majorHAnsi" w:cs="Arial"/>
                <w:b w:val="0"/>
                <w:sz w:val="20"/>
                <w:szCs w:val="20"/>
                <w:lang w:val="fr-CA"/>
              </w:rPr>
            </w:pPr>
          </w:p>
        </w:tc>
      </w:tr>
      <w:tr w:rsidR="009D1F5A" w:rsidRPr="00DF4418" w14:paraId="019C0F96" w14:textId="77777777" w:rsidTr="00836984">
        <w:tc>
          <w:tcPr>
            <w:tcW w:w="532" w:type="pct"/>
          </w:tcPr>
          <w:p w14:paraId="21B6B30C" w14:textId="5316EFB7" w:rsidR="00914A1A" w:rsidRPr="0081702E" w:rsidRDefault="00914A1A" w:rsidP="00A54112">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lastRenderedPageBreak/>
              <w:t>2.5</w:t>
            </w:r>
            <w:r w:rsidR="00E01336" w:rsidRPr="0081702E">
              <w:rPr>
                <w:rFonts w:asciiTheme="majorHAnsi" w:hAnsiTheme="majorHAnsi" w:cs="Arial"/>
                <w:b w:val="0"/>
                <w:sz w:val="20"/>
                <w:szCs w:val="20"/>
                <w:lang w:val="fr-CA"/>
              </w:rPr>
              <w:t xml:space="preserve"> </w:t>
            </w:r>
            <w:r w:rsidR="004623F8">
              <w:rPr>
                <w:rFonts w:asciiTheme="majorHAnsi" w:hAnsiTheme="majorHAnsi" w:cs="Arial"/>
                <w:b w:val="0"/>
                <w:sz w:val="20"/>
                <w:szCs w:val="20"/>
                <w:lang w:val="fr-CA"/>
              </w:rPr>
              <w:t xml:space="preserve">Lignes directrices </w:t>
            </w:r>
            <w:r w:rsidR="00A54112">
              <w:rPr>
                <w:rFonts w:asciiTheme="majorHAnsi" w:hAnsiTheme="majorHAnsi" w:cs="Arial"/>
                <w:b w:val="0"/>
                <w:sz w:val="20"/>
                <w:szCs w:val="20"/>
                <w:lang w:val="fr-CA"/>
              </w:rPr>
              <w:t>pour l’inscription de</w:t>
            </w:r>
            <w:r w:rsidR="004623F8">
              <w:rPr>
                <w:rFonts w:asciiTheme="majorHAnsi" w:hAnsiTheme="majorHAnsi" w:cs="Arial"/>
                <w:b w:val="0"/>
                <w:sz w:val="20"/>
                <w:szCs w:val="20"/>
                <w:lang w:val="fr-CA"/>
              </w:rPr>
              <w:t xml:space="preserve"> tourbières comme zones humides d’importance internationale </w:t>
            </w:r>
          </w:p>
        </w:tc>
        <w:tc>
          <w:tcPr>
            <w:tcW w:w="279" w:type="pct"/>
          </w:tcPr>
          <w:p w14:paraId="78FF9E36" w14:textId="77777777" w:rsidR="00914A1A" w:rsidRPr="0081702E" w:rsidRDefault="00914A1A" w:rsidP="004623F8">
            <w:pPr>
              <w:keepNext/>
              <w:keepLines/>
              <w:rPr>
                <w:rFonts w:asciiTheme="majorHAnsi" w:hAnsiTheme="majorHAnsi" w:cs="Arial"/>
                <w:b w:val="0"/>
                <w:sz w:val="20"/>
                <w:szCs w:val="20"/>
                <w:lang w:val="fr-CA"/>
              </w:rPr>
            </w:pPr>
          </w:p>
        </w:tc>
        <w:tc>
          <w:tcPr>
            <w:tcW w:w="341" w:type="pct"/>
          </w:tcPr>
          <w:p w14:paraId="01656912" w14:textId="3777F46D" w:rsidR="00914A1A" w:rsidRPr="0081702E" w:rsidRDefault="00914A1A" w:rsidP="004623F8">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XI.11,</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¶24</w:t>
            </w:r>
          </w:p>
        </w:tc>
        <w:tc>
          <w:tcPr>
            <w:tcW w:w="401" w:type="pct"/>
          </w:tcPr>
          <w:p w14:paraId="2A7C76F0" w14:textId="77777777" w:rsidR="00914A1A" w:rsidRPr="0081702E" w:rsidRDefault="00914A1A" w:rsidP="004623F8">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4.14</w:t>
            </w:r>
          </w:p>
        </w:tc>
        <w:tc>
          <w:tcPr>
            <w:tcW w:w="2953" w:type="pct"/>
          </w:tcPr>
          <w:p w14:paraId="03EB8CCA" w14:textId="008A597D" w:rsidR="00914A1A" w:rsidRPr="0081702E" w:rsidRDefault="00744912" w:rsidP="004623F8">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4623F8">
              <w:rPr>
                <w:rFonts w:asciiTheme="majorHAnsi" w:hAnsiTheme="majorHAnsi" w:cs="Arial"/>
                <w:b w:val="0"/>
                <w:sz w:val="20"/>
                <w:szCs w:val="20"/>
                <w:lang w:val="fr-CA"/>
              </w:rPr>
              <w:t xml:space="preserve">Élaboration de lignes directrices pour </w:t>
            </w:r>
            <w:r w:rsidR="00A54112">
              <w:rPr>
                <w:rFonts w:asciiTheme="majorHAnsi" w:hAnsiTheme="majorHAnsi" w:cs="Arial"/>
                <w:b w:val="0"/>
                <w:sz w:val="20"/>
                <w:szCs w:val="20"/>
                <w:lang w:val="fr-CA"/>
              </w:rPr>
              <w:t>l’</w:t>
            </w:r>
            <w:r w:rsidR="004623F8">
              <w:rPr>
                <w:rFonts w:asciiTheme="majorHAnsi" w:hAnsiTheme="majorHAnsi" w:cs="Arial"/>
                <w:b w:val="0"/>
                <w:sz w:val="20"/>
                <w:szCs w:val="20"/>
                <w:lang w:val="fr-CA"/>
              </w:rPr>
              <w:t xml:space="preserve">inscription </w:t>
            </w:r>
            <w:r w:rsidR="00A54112">
              <w:rPr>
                <w:rFonts w:asciiTheme="majorHAnsi" w:hAnsiTheme="majorHAnsi" w:cs="Arial"/>
                <w:b w:val="0"/>
                <w:sz w:val="20"/>
                <w:szCs w:val="20"/>
                <w:lang w:val="fr-CA"/>
              </w:rPr>
              <w:t>de tourbières comme</w:t>
            </w:r>
            <w:r w:rsidR="004623F8">
              <w:rPr>
                <w:rFonts w:asciiTheme="majorHAnsi" w:hAnsiTheme="majorHAnsi" w:cs="Arial"/>
                <w:b w:val="0"/>
                <w:sz w:val="20"/>
                <w:szCs w:val="20"/>
                <w:lang w:val="fr-CA"/>
              </w:rPr>
              <w:t xml:space="preserve"> zones humides d’importance internationale, notamment au regard du Critère 1 </w:t>
            </w:r>
            <w:r w:rsidR="00A54112">
              <w:rPr>
                <w:rFonts w:asciiTheme="majorHAnsi" w:hAnsiTheme="majorHAnsi" w:cs="Arial"/>
                <w:b w:val="0"/>
                <w:sz w:val="20"/>
                <w:szCs w:val="20"/>
                <w:lang w:val="fr-CA"/>
              </w:rPr>
              <w:t>d’inscription</w:t>
            </w:r>
            <w:r w:rsidR="004623F8">
              <w:rPr>
                <w:rFonts w:asciiTheme="majorHAnsi" w:hAnsiTheme="majorHAnsi" w:cs="Arial"/>
                <w:b w:val="0"/>
                <w:sz w:val="20"/>
                <w:szCs w:val="20"/>
                <w:lang w:val="fr-CA"/>
              </w:rPr>
              <w:t xml:space="preserve"> des zones humides d’importance internationale et en particulier du paragraphe 121 de l’Annexe 2 de la Résolution </w:t>
            </w:r>
            <w:r w:rsidR="00914A1A" w:rsidRPr="0081702E">
              <w:rPr>
                <w:rFonts w:asciiTheme="majorHAnsi" w:hAnsiTheme="majorHAnsi" w:cs="Arial"/>
                <w:b w:val="0"/>
                <w:sz w:val="20"/>
                <w:szCs w:val="20"/>
                <w:lang w:val="fr-CA"/>
              </w:rPr>
              <w:t>XI.8</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w:t>
            </w:r>
            <w:r w:rsidR="004623F8">
              <w:rPr>
                <w:rFonts w:asciiTheme="majorHAnsi" w:hAnsiTheme="majorHAnsi" w:cs="Arial"/>
                <w:b w:val="0"/>
                <w:sz w:val="20"/>
                <w:szCs w:val="20"/>
                <w:lang w:val="fr-CA"/>
              </w:rPr>
              <w:t>en ce qu’elle est liée à la Résolution </w:t>
            </w:r>
            <w:r w:rsidR="00914A1A" w:rsidRPr="0081702E">
              <w:rPr>
                <w:rFonts w:asciiTheme="majorHAnsi" w:hAnsiTheme="majorHAnsi" w:cs="Arial"/>
                <w:b w:val="0"/>
                <w:sz w:val="20"/>
                <w:szCs w:val="20"/>
                <w:lang w:val="fr-CA"/>
              </w:rPr>
              <w:t>XI.11).</w:t>
            </w:r>
            <w:r w:rsidR="00E01336" w:rsidRPr="0081702E">
              <w:rPr>
                <w:rFonts w:asciiTheme="majorHAnsi" w:hAnsiTheme="majorHAnsi" w:cs="Arial"/>
                <w:b w:val="0"/>
                <w:sz w:val="20"/>
                <w:szCs w:val="20"/>
                <w:lang w:val="fr-CA"/>
              </w:rPr>
              <w:t xml:space="preserve"> </w:t>
            </w:r>
            <w:r w:rsidR="004623F8">
              <w:rPr>
                <w:rFonts w:asciiTheme="majorHAnsi" w:hAnsiTheme="majorHAnsi" w:cs="Arial"/>
                <w:b w:val="0"/>
                <w:sz w:val="20"/>
                <w:szCs w:val="20"/>
                <w:lang w:val="fr-CA"/>
              </w:rPr>
              <w:t xml:space="preserve">Examen des orientations Ramsar existantes sur l’inventaire des tourbières et l’inscription de tourbières sur la Liste de Ramsar. Voir </w:t>
            </w:r>
            <w:r w:rsidR="004623F8" w:rsidRPr="00A54112">
              <w:rPr>
                <w:rFonts w:asciiTheme="majorHAnsi" w:hAnsiTheme="majorHAnsi" w:cs="Arial"/>
                <w:b w:val="0"/>
                <w:sz w:val="20"/>
                <w:szCs w:val="20"/>
                <w:lang w:val="fr-CA"/>
              </w:rPr>
              <w:t>Résolution VIII</w:t>
            </w:r>
            <w:r w:rsidR="00914A1A" w:rsidRPr="00A54112">
              <w:rPr>
                <w:rFonts w:asciiTheme="majorHAnsi" w:hAnsiTheme="majorHAnsi" w:cs="Arial"/>
                <w:b w:val="0"/>
                <w:sz w:val="20"/>
                <w:szCs w:val="20"/>
                <w:lang w:val="fr-CA"/>
              </w:rPr>
              <w:t>.11</w:t>
            </w:r>
            <w:r w:rsidR="00A54112" w:rsidRPr="00A54112">
              <w:rPr>
                <w:rFonts w:asciiTheme="majorHAnsi" w:hAnsiTheme="majorHAnsi" w:cs="Arial"/>
                <w:b w:val="0"/>
                <w:sz w:val="20"/>
                <w:szCs w:val="20"/>
                <w:lang w:val="fr-CA"/>
              </w:rPr>
              <w:t xml:space="preserve"> de la COP8</w:t>
            </w:r>
            <w:r w:rsidR="00914A1A" w:rsidRPr="00A54112">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p>
          <w:p w14:paraId="7E84D7D1" w14:textId="77777777" w:rsidR="00914A1A" w:rsidRPr="0081702E" w:rsidRDefault="00914A1A" w:rsidP="004623F8">
            <w:pPr>
              <w:keepNext/>
              <w:keepLines/>
              <w:rPr>
                <w:rFonts w:asciiTheme="majorHAnsi" w:hAnsiTheme="majorHAnsi" w:cs="Arial"/>
                <w:b w:val="0"/>
                <w:sz w:val="20"/>
                <w:szCs w:val="20"/>
                <w:lang w:val="fr-CA"/>
              </w:rPr>
            </w:pPr>
          </w:p>
          <w:p w14:paraId="4958587C" w14:textId="3037D3A2" w:rsidR="00914A1A" w:rsidRPr="0081702E" w:rsidRDefault="00744912" w:rsidP="004623F8">
            <w:pPr>
              <w:pStyle w:val="Default"/>
              <w:keepNext/>
              <w:keepLines/>
              <w:rPr>
                <w:rFonts w:asciiTheme="majorHAnsi" w:hAnsiTheme="majorHAnsi" w:cs="Arial"/>
                <w:b w:val="0"/>
                <w:color w:val="auto"/>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4623F8">
              <w:rPr>
                <w:rFonts w:asciiTheme="majorHAnsi" w:hAnsiTheme="majorHAnsi" w:cs="Arial"/>
                <w:b w:val="0"/>
                <w:sz w:val="20"/>
                <w:szCs w:val="20"/>
                <w:lang w:val="fr-CA"/>
              </w:rPr>
              <w:t>Étude de cas à inclure dans une révision de manuel et des lignes directrices révisées à soumettre au Comité permanent et à la 13</w:t>
            </w:r>
            <w:r w:rsidR="004623F8" w:rsidRPr="004623F8">
              <w:rPr>
                <w:rFonts w:asciiTheme="majorHAnsi" w:hAnsiTheme="majorHAnsi" w:cs="Arial"/>
                <w:b w:val="0"/>
                <w:sz w:val="20"/>
                <w:szCs w:val="20"/>
                <w:vertAlign w:val="superscript"/>
                <w:lang w:val="fr-CA"/>
              </w:rPr>
              <w:t>e</w:t>
            </w:r>
            <w:r w:rsidR="004623F8">
              <w:rPr>
                <w:rFonts w:asciiTheme="majorHAnsi" w:hAnsiTheme="majorHAnsi" w:cs="Arial"/>
                <w:b w:val="0"/>
                <w:sz w:val="20"/>
                <w:szCs w:val="20"/>
                <w:lang w:val="fr-CA"/>
              </w:rPr>
              <w:t xml:space="preserve"> Session de la Conférence des Parties (COP13). </w:t>
            </w:r>
          </w:p>
          <w:p w14:paraId="5D477053" w14:textId="1C9DED3F" w:rsidR="00914A1A" w:rsidRPr="0081702E" w:rsidRDefault="00E01336" w:rsidP="004623F8">
            <w:pPr>
              <w:pStyle w:val="Default"/>
              <w:keepNext/>
              <w:keepLines/>
              <w:rPr>
                <w:rFonts w:asciiTheme="majorHAnsi" w:hAnsiTheme="majorHAnsi" w:cs="Arial"/>
                <w:b w:val="0"/>
                <w:color w:val="auto"/>
                <w:sz w:val="20"/>
                <w:szCs w:val="20"/>
                <w:lang w:val="fr-CA"/>
              </w:rPr>
            </w:pPr>
            <w:r w:rsidRPr="0081702E">
              <w:rPr>
                <w:rFonts w:asciiTheme="majorHAnsi" w:hAnsiTheme="majorHAnsi" w:cs="Arial"/>
                <w:b w:val="0"/>
                <w:color w:val="auto"/>
                <w:sz w:val="20"/>
                <w:szCs w:val="20"/>
                <w:lang w:val="fr-CA"/>
              </w:rPr>
              <w:t xml:space="preserve"> </w:t>
            </w:r>
          </w:p>
          <w:p w14:paraId="18AD13D8" w14:textId="4C1EA753" w:rsidR="00914A1A" w:rsidRPr="0081702E" w:rsidRDefault="00744912" w:rsidP="004623F8">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914A1A" w:rsidRPr="0081702E">
              <w:rPr>
                <w:rFonts w:asciiTheme="majorHAnsi" w:hAnsiTheme="majorHAnsi" w:cs="Arial"/>
                <w:b w:val="0"/>
                <w:sz w:val="20"/>
                <w:szCs w:val="20"/>
                <w:lang w:val="fr-CA"/>
              </w:rPr>
              <w:t>Pra</w:t>
            </w:r>
            <w:r w:rsidR="004623F8">
              <w:rPr>
                <w:rFonts w:asciiTheme="majorHAnsi" w:hAnsiTheme="majorHAnsi" w:cs="Arial"/>
                <w:b w:val="0"/>
                <w:sz w:val="20"/>
                <w:szCs w:val="20"/>
                <w:lang w:val="fr-CA"/>
              </w:rPr>
              <w:t>ticiens</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w:t>
            </w:r>
            <w:r w:rsidR="004623F8">
              <w:rPr>
                <w:rFonts w:asciiTheme="majorHAnsi" w:hAnsiTheme="majorHAnsi" w:cs="Arial"/>
                <w:b w:val="0"/>
                <w:sz w:val="20"/>
                <w:szCs w:val="20"/>
                <w:lang w:val="fr-CA"/>
              </w:rPr>
              <w:t xml:space="preserve">administrateurs de Site </w:t>
            </w:r>
            <w:r w:rsidR="00914A1A" w:rsidRPr="0081702E">
              <w:rPr>
                <w:rFonts w:asciiTheme="majorHAnsi" w:hAnsiTheme="majorHAnsi" w:cs="Arial"/>
                <w:b w:val="0"/>
                <w:sz w:val="20"/>
                <w:szCs w:val="20"/>
                <w:lang w:val="fr-CA"/>
              </w:rPr>
              <w:t>Ramsa</w:t>
            </w:r>
            <w:r w:rsidR="004623F8">
              <w:rPr>
                <w:rFonts w:asciiTheme="majorHAnsi" w:hAnsiTheme="majorHAnsi" w:cs="Arial"/>
                <w:b w:val="0"/>
                <w:sz w:val="20"/>
                <w:szCs w:val="20"/>
                <w:lang w:val="fr-CA"/>
              </w:rPr>
              <w:t>r</w:t>
            </w:r>
            <w:r w:rsidR="00914A1A" w:rsidRPr="0081702E">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r w:rsidR="004623F8">
              <w:rPr>
                <w:rFonts w:asciiTheme="majorHAnsi" w:hAnsiTheme="majorHAnsi" w:cs="Arial"/>
                <w:b w:val="0"/>
                <w:sz w:val="20"/>
                <w:szCs w:val="20"/>
                <w:lang w:val="fr-CA"/>
              </w:rPr>
              <w:t>Parties contractantes.</w:t>
            </w:r>
          </w:p>
        </w:tc>
        <w:tc>
          <w:tcPr>
            <w:tcW w:w="494" w:type="pct"/>
          </w:tcPr>
          <w:p w14:paraId="42DF0A54" w14:textId="77777777" w:rsidR="00914A1A" w:rsidRPr="0081702E" w:rsidRDefault="00914A1A" w:rsidP="00914A1A">
            <w:pPr>
              <w:rPr>
                <w:rFonts w:asciiTheme="majorHAnsi" w:hAnsiTheme="majorHAnsi" w:cs="Arial"/>
                <w:b w:val="0"/>
                <w:sz w:val="20"/>
                <w:szCs w:val="20"/>
                <w:lang w:val="fr-CA"/>
              </w:rPr>
            </w:pPr>
          </w:p>
        </w:tc>
      </w:tr>
      <w:tr w:rsidR="009D1F5A" w:rsidRPr="0081702E" w14:paraId="0073FC0D" w14:textId="77777777" w:rsidTr="00836984">
        <w:tc>
          <w:tcPr>
            <w:tcW w:w="532" w:type="pct"/>
          </w:tcPr>
          <w:p w14:paraId="0FD70CB8" w14:textId="72EDC1D5" w:rsidR="00E01336" w:rsidRPr="0081702E" w:rsidRDefault="009D1F5A" w:rsidP="00244D7B">
            <w:pPr>
              <w:rPr>
                <w:rFonts w:asciiTheme="majorHAnsi" w:hAnsiTheme="majorHAnsi" w:cs="Arial"/>
                <w:b w:val="0"/>
                <w:sz w:val="20"/>
                <w:szCs w:val="20"/>
                <w:lang w:val="fr-CA"/>
              </w:rPr>
            </w:pPr>
            <w:r>
              <w:rPr>
                <w:rFonts w:asciiTheme="majorHAnsi" w:hAnsiTheme="majorHAnsi" w:cs="Arial"/>
                <w:b w:val="0"/>
                <w:sz w:val="20"/>
                <w:szCs w:val="20"/>
                <w:lang w:val="fr-CA"/>
              </w:rPr>
              <w:t xml:space="preserve">2.6 Évaluation des progrès réalisés dans l’application des « Lignes directrices </w:t>
            </w:r>
            <w:r w:rsidR="00244D7B">
              <w:rPr>
                <w:rFonts w:asciiTheme="majorHAnsi" w:hAnsiTheme="majorHAnsi" w:cs="Arial"/>
                <w:b w:val="0"/>
                <w:sz w:val="20"/>
                <w:szCs w:val="20"/>
                <w:lang w:val="fr-CA"/>
              </w:rPr>
              <w:t>relatives à</w:t>
            </w:r>
            <w:r>
              <w:rPr>
                <w:rFonts w:asciiTheme="majorHAnsi" w:hAnsiTheme="majorHAnsi" w:cs="Arial"/>
                <w:b w:val="0"/>
                <w:sz w:val="20"/>
                <w:szCs w:val="20"/>
                <w:lang w:val="fr-CA"/>
              </w:rPr>
              <w:t xml:space="preserve"> une action mondiale </w:t>
            </w:r>
            <w:r w:rsidR="00244D7B">
              <w:rPr>
                <w:rFonts w:asciiTheme="majorHAnsi" w:hAnsiTheme="majorHAnsi" w:cs="Arial"/>
                <w:b w:val="0"/>
                <w:sz w:val="20"/>
                <w:szCs w:val="20"/>
                <w:lang w:val="fr-CA"/>
              </w:rPr>
              <w:t>pour les tourbières</w:t>
            </w:r>
            <w:r>
              <w:rPr>
                <w:rFonts w:asciiTheme="majorHAnsi" w:hAnsiTheme="majorHAnsi" w:cs="Arial"/>
                <w:b w:val="0"/>
                <w:sz w:val="20"/>
                <w:szCs w:val="20"/>
                <w:lang w:val="fr-CA"/>
              </w:rPr>
              <w:t xml:space="preserve"> » </w:t>
            </w:r>
          </w:p>
        </w:tc>
        <w:tc>
          <w:tcPr>
            <w:tcW w:w="279" w:type="pct"/>
          </w:tcPr>
          <w:p w14:paraId="480F9701" w14:textId="77777777" w:rsidR="00E01336" w:rsidRPr="0081702E" w:rsidRDefault="00E01336" w:rsidP="00914A1A">
            <w:pPr>
              <w:rPr>
                <w:rFonts w:asciiTheme="majorHAnsi" w:hAnsiTheme="majorHAnsi" w:cs="Arial"/>
                <w:b w:val="0"/>
                <w:sz w:val="20"/>
                <w:szCs w:val="20"/>
                <w:lang w:val="fr-CA"/>
              </w:rPr>
            </w:pPr>
          </w:p>
        </w:tc>
        <w:tc>
          <w:tcPr>
            <w:tcW w:w="341" w:type="pct"/>
          </w:tcPr>
          <w:p w14:paraId="1920E8FE" w14:textId="5D3058DC" w:rsidR="00E01336" w:rsidRPr="0081702E" w:rsidRDefault="00E01336"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XI.11, ¶24</w:t>
            </w:r>
          </w:p>
        </w:tc>
        <w:tc>
          <w:tcPr>
            <w:tcW w:w="401" w:type="pct"/>
          </w:tcPr>
          <w:p w14:paraId="1E9713C5" w14:textId="2A92786D" w:rsidR="00E01336" w:rsidRPr="0081702E" w:rsidRDefault="00E01336"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4.14</w:t>
            </w:r>
          </w:p>
        </w:tc>
        <w:tc>
          <w:tcPr>
            <w:tcW w:w="2953" w:type="pct"/>
          </w:tcPr>
          <w:p w14:paraId="5022C39D" w14:textId="625E7F92" w:rsidR="00E01336" w:rsidRPr="0081702E" w:rsidRDefault="00744912" w:rsidP="00E01336">
            <w:pPr>
              <w:pStyle w:val="Default"/>
              <w:rPr>
                <w:rFonts w:asciiTheme="majorHAnsi" w:hAnsiTheme="majorHAnsi" w:cs="Arial"/>
                <w:b w:val="0"/>
                <w:color w:val="auto"/>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9746C1">
              <w:rPr>
                <w:rFonts w:asciiTheme="majorHAnsi" w:hAnsiTheme="majorHAnsi" w:cs="Arial"/>
                <w:b w:val="0"/>
                <w:color w:val="auto"/>
                <w:sz w:val="20"/>
                <w:szCs w:val="20"/>
                <w:lang w:val="fr-CA"/>
              </w:rPr>
              <w:t xml:space="preserve">Élaboration et diffusion d’un </w:t>
            </w:r>
            <w:r w:rsidR="00E01336" w:rsidRPr="0081702E">
              <w:rPr>
                <w:rFonts w:asciiTheme="majorHAnsi" w:hAnsiTheme="majorHAnsi" w:cs="Arial"/>
                <w:b w:val="0"/>
                <w:color w:val="auto"/>
                <w:sz w:val="20"/>
                <w:szCs w:val="20"/>
                <w:lang w:val="fr-CA"/>
              </w:rPr>
              <w:t xml:space="preserve">questionnaire </w:t>
            </w:r>
            <w:r w:rsidR="009746C1">
              <w:rPr>
                <w:rFonts w:asciiTheme="majorHAnsi" w:hAnsiTheme="majorHAnsi" w:cs="Arial"/>
                <w:b w:val="0"/>
                <w:color w:val="auto"/>
                <w:sz w:val="20"/>
                <w:szCs w:val="20"/>
                <w:lang w:val="fr-CA"/>
              </w:rPr>
              <w:t xml:space="preserve">à des Parties </w:t>
            </w:r>
            <w:r w:rsidR="00244D7B">
              <w:rPr>
                <w:rFonts w:asciiTheme="majorHAnsi" w:hAnsiTheme="majorHAnsi" w:cs="Arial"/>
                <w:b w:val="0"/>
                <w:color w:val="auto"/>
                <w:sz w:val="20"/>
                <w:szCs w:val="20"/>
                <w:lang w:val="fr-CA"/>
              </w:rPr>
              <w:t>sélectionnées</w:t>
            </w:r>
            <w:r w:rsidR="009746C1">
              <w:rPr>
                <w:rFonts w:asciiTheme="majorHAnsi" w:hAnsiTheme="majorHAnsi" w:cs="Arial"/>
                <w:b w:val="0"/>
                <w:color w:val="auto"/>
                <w:sz w:val="20"/>
                <w:szCs w:val="20"/>
                <w:lang w:val="fr-CA"/>
              </w:rPr>
              <w:t>, par l’intermédiaire de leurs Correspondants nationaux GEST, fondé sur la superficie des tourbières et autres critères comme étude de cas pilote.</w:t>
            </w:r>
          </w:p>
          <w:p w14:paraId="60B74BF4" w14:textId="2252547D" w:rsidR="00E01336" w:rsidRPr="0081702E" w:rsidRDefault="00E01336" w:rsidP="00E01336">
            <w:pPr>
              <w:pStyle w:val="Default"/>
              <w:rPr>
                <w:rFonts w:asciiTheme="majorHAnsi" w:hAnsiTheme="majorHAnsi" w:cs="Arial"/>
                <w:b w:val="0"/>
                <w:color w:val="auto"/>
                <w:sz w:val="20"/>
                <w:szCs w:val="20"/>
                <w:lang w:val="fr-CA"/>
              </w:rPr>
            </w:pPr>
            <w:r w:rsidRPr="0081702E">
              <w:rPr>
                <w:rFonts w:asciiTheme="majorHAnsi" w:hAnsiTheme="majorHAnsi" w:cs="Arial"/>
                <w:b w:val="0"/>
                <w:color w:val="auto"/>
                <w:sz w:val="20"/>
                <w:szCs w:val="20"/>
                <w:lang w:val="fr-CA"/>
              </w:rPr>
              <w:t xml:space="preserve"> </w:t>
            </w:r>
          </w:p>
          <w:p w14:paraId="72E9BB62" w14:textId="59A4B0CA" w:rsidR="00E01336" w:rsidRPr="0081702E" w:rsidRDefault="00744912" w:rsidP="00E01336">
            <w:pPr>
              <w:pStyle w:val="Default"/>
              <w:rPr>
                <w:rFonts w:asciiTheme="majorHAnsi" w:hAnsiTheme="majorHAnsi" w:cs="Arial"/>
                <w:b w:val="0"/>
                <w:color w:val="auto"/>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9746C1">
              <w:rPr>
                <w:rFonts w:asciiTheme="majorHAnsi" w:hAnsiTheme="majorHAnsi" w:cs="Arial"/>
                <w:b w:val="0"/>
                <w:color w:val="auto"/>
                <w:sz w:val="20"/>
                <w:szCs w:val="20"/>
                <w:lang w:val="fr-CA"/>
              </w:rPr>
              <w:t>Rapport résumé sur les progrès d’application d</w:t>
            </w:r>
            <w:r w:rsidR="00244D7B">
              <w:rPr>
                <w:rFonts w:asciiTheme="majorHAnsi" w:hAnsiTheme="majorHAnsi" w:cs="Arial"/>
                <w:b w:val="0"/>
                <w:color w:val="auto"/>
                <w:sz w:val="20"/>
                <w:szCs w:val="20"/>
                <w:lang w:val="fr-CA"/>
              </w:rPr>
              <w:t>e l’Action mondiale pour les tourbières</w:t>
            </w:r>
            <w:r w:rsidR="009746C1">
              <w:rPr>
                <w:rFonts w:asciiTheme="majorHAnsi" w:hAnsiTheme="majorHAnsi" w:cs="Arial"/>
                <w:b w:val="0"/>
                <w:color w:val="auto"/>
                <w:sz w:val="20"/>
                <w:szCs w:val="20"/>
                <w:lang w:val="fr-CA"/>
              </w:rPr>
              <w:t xml:space="preserve">. </w:t>
            </w:r>
          </w:p>
          <w:p w14:paraId="0BC6A673" w14:textId="6E04B3CE" w:rsidR="00E01336" w:rsidRPr="0081702E" w:rsidRDefault="009746C1" w:rsidP="00E01336">
            <w:pPr>
              <w:pStyle w:val="Default"/>
              <w:rPr>
                <w:rFonts w:asciiTheme="majorHAnsi" w:hAnsiTheme="majorHAnsi" w:cs="Arial"/>
                <w:b w:val="0"/>
                <w:color w:val="auto"/>
                <w:sz w:val="20"/>
                <w:szCs w:val="20"/>
                <w:lang w:val="fr-CA"/>
              </w:rPr>
            </w:pPr>
            <w:r>
              <w:rPr>
                <w:rFonts w:asciiTheme="majorHAnsi" w:hAnsiTheme="majorHAnsi" w:cs="Arial"/>
                <w:b w:val="0"/>
                <w:color w:val="auto"/>
                <w:sz w:val="20"/>
                <w:szCs w:val="20"/>
                <w:lang w:val="fr-CA"/>
              </w:rPr>
              <w:t xml:space="preserve">Envisager de recommander une révision du modèle de Rapport national Ramsar pour </w:t>
            </w:r>
            <w:r w:rsidR="00244D7B">
              <w:rPr>
                <w:rFonts w:asciiTheme="majorHAnsi" w:hAnsiTheme="majorHAnsi" w:cs="Arial"/>
                <w:b w:val="0"/>
                <w:color w:val="auto"/>
                <w:sz w:val="20"/>
                <w:szCs w:val="20"/>
                <w:lang w:val="fr-CA"/>
              </w:rPr>
              <w:t xml:space="preserve">obtenir de meilleurs rapports </w:t>
            </w:r>
            <w:r>
              <w:rPr>
                <w:rFonts w:asciiTheme="majorHAnsi" w:hAnsiTheme="majorHAnsi" w:cs="Arial"/>
                <w:b w:val="0"/>
                <w:color w:val="auto"/>
                <w:sz w:val="20"/>
                <w:szCs w:val="20"/>
                <w:lang w:val="fr-CA"/>
              </w:rPr>
              <w:t>sur les progrès.</w:t>
            </w:r>
            <w:r w:rsidR="00E01336" w:rsidRPr="0081702E">
              <w:rPr>
                <w:rFonts w:asciiTheme="majorHAnsi" w:hAnsiTheme="majorHAnsi" w:cs="Arial"/>
                <w:b w:val="0"/>
                <w:color w:val="auto"/>
                <w:sz w:val="20"/>
                <w:szCs w:val="20"/>
                <w:lang w:val="fr-CA"/>
              </w:rPr>
              <w:t xml:space="preserve"> </w:t>
            </w:r>
          </w:p>
          <w:p w14:paraId="5EEC4964" w14:textId="77777777" w:rsidR="00E01336" w:rsidRPr="0081702E" w:rsidRDefault="00E01336" w:rsidP="00E01336">
            <w:pPr>
              <w:pStyle w:val="Default"/>
              <w:rPr>
                <w:rFonts w:asciiTheme="majorHAnsi" w:hAnsiTheme="majorHAnsi" w:cs="Arial"/>
                <w:b w:val="0"/>
                <w:color w:val="auto"/>
                <w:sz w:val="20"/>
                <w:szCs w:val="20"/>
                <w:lang w:val="fr-CA"/>
              </w:rPr>
            </w:pPr>
          </w:p>
          <w:p w14:paraId="24DE2896" w14:textId="5811BAAF" w:rsidR="00E01336" w:rsidRPr="0081702E" w:rsidRDefault="00744912" w:rsidP="009746C1">
            <w:pPr>
              <w:rPr>
                <w:rFonts w:asciiTheme="majorHAnsi" w:hAnsiTheme="majorHAnsi" w:cs="Arial"/>
                <w:b w:val="0"/>
                <w:sz w:val="20"/>
                <w:szCs w:val="20"/>
                <w:u w:val="single"/>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9746C1">
              <w:rPr>
                <w:rFonts w:asciiTheme="majorHAnsi" w:hAnsiTheme="majorHAnsi" w:cs="Arial"/>
                <w:b w:val="0"/>
                <w:sz w:val="20"/>
                <w:szCs w:val="20"/>
                <w:lang w:val="fr-CA"/>
              </w:rPr>
              <w:t>Décideurs et praticiens.</w:t>
            </w:r>
            <w:r w:rsidR="00E01336" w:rsidRPr="0081702E">
              <w:rPr>
                <w:rFonts w:asciiTheme="majorHAnsi" w:hAnsiTheme="majorHAnsi" w:cs="Arial"/>
                <w:b w:val="0"/>
                <w:sz w:val="20"/>
                <w:szCs w:val="20"/>
                <w:lang w:val="fr-CA"/>
              </w:rPr>
              <w:t xml:space="preserve"> </w:t>
            </w:r>
          </w:p>
        </w:tc>
        <w:tc>
          <w:tcPr>
            <w:tcW w:w="494" w:type="pct"/>
          </w:tcPr>
          <w:p w14:paraId="79C7C8EC" w14:textId="35B961BC" w:rsidR="00E01336" w:rsidRPr="0081702E" w:rsidRDefault="004623F8" w:rsidP="00914A1A">
            <w:pPr>
              <w:rPr>
                <w:rFonts w:asciiTheme="majorHAnsi" w:hAnsiTheme="majorHAnsi" w:cs="Arial"/>
                <w:b w:val="0"/>
                <w:sz w:val="20"/>
                <w:szCs w:val="20"/>
                <w:lang w:val="fr-CA"/>
              </w:rPr>
            </w:pPr>
            <w:r>
              <w:rPr>
                <w:rFonts w:asciiTheme="majorHAnsi" w:hAnsiTheme="majorHAnsi" w:cs="Arial"/>
                <w:b w:val="0"/>
                <w:sz w:val="20"/>
                <w:szCs w:val="20"/>
                <w:lang w:val="fr-CA"/>
              </w:rPr>
              <w:t>9</w:t>
            </w:r>
            <w:r w:rsidR="00E01336" w:rsidRPr="0081702E">
              <w:rPr>
                <w:rFonts w:asciiTheme="majorHAnsi" w:hAnsiTheme="majorHAnsi" w:cs="Arial"/>
                <w:b w:val="0"/>
                <w:sz w:val="20"/>
                <w:szCs w:val="20"/>
                <w:lang w:val="fr-CA"/>
              </w:rPr>
              <w:t xml:space="preserve">000 </w:t>
            </w:r>
          </w:p>
        </w:tc>
      </w:tr>
      <w:tr w:rsidR="009D1F5A" w:rsidRPr="0081702E" w14:paraId="14F0558C" w14:textId="77777777" w:rsidTr="00836984">
        <w:tc>
          <w:tcPr>
            <w:tcW w:w="532" w:type="pct"/>
          </w:tcPr>
          <w:p w14:paraId="0BD88450" w14:textId="1B70A480" w:rsidR="00E01336" w:rsidRPr="0081702E" w:rsidRDefault="00E01336" w:rsidP="009746C1">
            <w:pPr>
              <w:rPr>
                <w:rFonts w:asciiTheme="majorHAnsi" w:hAnsiTheme="majorHAnsi" w:cs="Arial"/>
                <w:b w:val="0"/>
                <w:sz w:val="20"/>
                <w:szCs w:val="20"/>
                <w:lang w:val="fr-CA"/>
              </w:rPr>
            </w:pPr>
            <w:r w:rsidRPr="0081702E">
              <w:rPr>
                <w:rFonts w:asciiTheme="majorHAnsi" w:hAnsiTheme="majorHAnsi" w:cs="Arial"/>
                <w:b w:val="0"/>
                <w:sz w:val="20"/>
                <w:szCs w:val="20"/>
                <w:lang w:val="fr-CA"/>
              </w:rPr>
              <w:t xml:space="preserve"> 2.7 </w:t>
            </w:r>
            <w:r w:rsidR="009746C1">
              <w:rPr>
                <w:rFonts w:asciiTheme="majorHAnsi" w:hAnsiTheme="majorHAnsi" w:cs="Arial"/>
                <w:b w:val="0"/>
                <w:sz w:val="20"/>
                <w:szCs w:val="20"/>
                <w:lang w:val="fr-CA"/>
              </w:rPr>
              <w:t xml:space="preserve">Espèces exotiques envahissantes et zones humides : un </w:t>
            </w:r>
            <w:r w:rsidRPr="0081702E">
              <w:rPr>
                <w:rFonts w:asciiTheme="majorHAnsi" w:hAnsiTheme="majorHAnsi" w:cs="Arial"/>
                <w:b w:val="0"/>
                <w:sz w:val="20"/>
                <w:szCs w:val="20"/>
                <w:lang w:val="fr-CA"/>
              </w:rPr>
              <w:t xml:space="preserve">guide </w:t>
            </w:r>
            <w:r w:rsidR="009746C1">
              <w:rPr>
                <w:rFonts w:asciiTheme="majorHAnsi" w:hAnsiTheme="majorHAnsi" w:cs="Arial"/>
                <w:b w:val="0"/>
                <w:sz w:val="20"/>
                <w:szCs w:val="20"/>
                <w:lang w:val="fr-CA"/>
              </w:rPr>
              <w:t>des orientations disponibles</w:t>
            </w:r>
          </w:p>
        </w:tc>
        <w:tc>
          <w:tcPr>
            <w:tcW w:w="279" w:type="pct"/>
          </w:tcPr>
          <w:p w14:paraId="0C5898B4" w14:textId="77777777" w:rsidR="00E01336" w:rsidRPr="0081702E" w:rsidRDefault="00E01336" w:rsidP="00914A1A">
            <w:pPr>
              <w:rPr>
                <w:rFonts w:asciiTheme="majorHAnsi" w:hAnsiTheme="majorHAnsi" w:cs="Arial"/>
                <w:b w:val="0"/>
                <w:sz w:val="20"/>
                <w:szCs w:val="20"/>
                <w:lang w:val="fr-CA"/>
              </w:rPr>
            </w:pPr>
          </w:p>
        </w:tc>
        <w:tc>
          <w:tcPr>
            <w:tcW w:w="341" w:type="pct"/>
          </w:tcPr>
          <w:p w14:paraId="3DE6E83D" w14:textId="58F03CDE" w:rsidR="00E01336" w:rsidRPr="0081702E" w:rsidRDefault="00E01336"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 xml:space="preserve">XII.2, ¶¶30, </w:t>
            </w:r>
          </w:p>
        </w:tc>
        <w:tc>
          <w:tcPr>
            <w:tcW w:w="401" w:type="pct"/>
          </w:tcPr>
          <w:p w14:paraId="5E684480" w14:textId="2EF0BD06" w:rsidR="00E01336" w:rsidRPr="0081702E" w:rsidRDefault="00E01336"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1.04</w:t>
            </w:r>
          </w:p>
        </w:tc>
        <w:tc>
          <w:tcPr>
            <w:tcW w:w="2953" w:type="pct"/>
          </w:tcPr>
          <w:p w14:paraId="64906C9D" w14:textId="47644206" w:rsidR="00E01336" w:rsidRPr="0081702E" w:rsidRDefault="00744912" w:rsidP="00E01336">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9746C1">
              <w:rPr>
                <w:rFonts w:asciiTheme="majorHAnsi" w:hAnsiTheme="majorHAnsi" w:cs="Arial"/>
                <w:b w:val="0"/>
                <w:sz w:val="20"/>
                <w:szCs w:val="20"/>
                <w:lang w:val="fr-CA"/>
              </w:rPr>
              <w:t xml:space="preserve">Terminer le projet de note d’information commencé durant la dernière période triennale </w:t>
            </w:r>
            <w:r w:rsidR="00E01336" w:rsidRPr="0081702E">
              <w:rPr>
                <w:rFonts w:asciiTheme="majorHAnsi" w:hAnsiTheme="majorHAnsi" w:cs="Arial"/>
                <w:b w:val="0"/>
                <w:sz w:val="20"/>
                <w:szCs w:val="20"/>
                <w:lang w:val="fr-CA"/>
              </w:rPr>
              <w:t xml:space="preserve">(2013-2015) </w:t>
            </w:r>
            <w:r w:rsidR="009746C1">
              <w:rPr>
                <w:rFonts w:asciiTheme="majorHAnsi" w:hAnsiTheme="majorHAnsi" w:cs="Arial"/>
                <w:b w:val="0"/>
                <w:sz w:val="20"/>
                <w:szCs w:val="20"/>
                <w:lang w:val="fr-CA"/>
              </w:rPr>
              <w:t xml:space="preserve">qui fournit un guide des orientations disponibles sur les zones humides et les espèces exotiques envahissantes. </w:t>
            </w:r>
          </w:p>
          <w:p w14:paraId="13A3B049" w14:textId="508E987E" w:rsidR="00E01336" w:rsidRPr="0081702E" w:rsidRDefault="00E01336" w:rsidP="00E01336">
            <w:pPr>
              <w:rPr>
                <w:rFonts w:asciiTheme="majorHAnsi" w:hAnsiTheme="majorHAnsi" w:cs="Arial"/>
                <w:b w:val="0"/>
                <w:sz w:val="20"/>
                <w:szCs w:val="20"/>
                <w:lang w:val="fr-CA"/>
              </w:rPr>
            </w:pPr>
            <w:r w:rsidRPr="0081702E">
              <w:rPr>
                <w:rFonts w:asciiTheme="majorHAnsi" w:hAnsiTheme="majorHAnsi" w:cs="Arial"/>
                <w:b w:val="0"/>
                <w:sz w:val="20"/>
                <w:szCs w:val="20"/>
                <w:lang w:val="fr-CA"/>
              </w:rPr>
              <w:t xml:space="preserve"> </w:t>
            </w:r>
          </w:p>
          <w:p w14:paraId="09AE8D8E" w14:textId="16D345BB" w:rsidR="00E01336" w:rsidRPr="0081702E" w:rsidRDefault="00744912" w:rsidP="00E01336">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9746C1">
              <w:rPr>
                <w:rFonts w:asciiTheme="majorHAnsi" w:hAnsiTheme="majorHAnsi" w:cs="Arial"/>
                <w:b w:val="0"/>
                <w:sz w:val="20"/>
                <w:szCs w:val="20"/>
                <w:lang w:val="fr-CA"/>
              </w:rPr>
              <w:t>Note d’information.</w:t>
            </w:r>
          </w:p>
          <w:p w14:paraId="08793A6F" w14:textId="77777777" w:rsidR="00E01336" w:rsidRPr="0081702E" w:rsidRDefault="00E01336" w:rsidP="00E01336">
            <w:pPr>
              <w:rPr>
                <w:rFonts w:asciiTheme="majorHAnsi" w:hAnsiTheme="majorHAnsi" w:cs="Arial"/>
                <w:b w:val="0"/>
                <w:sz w:val="20"/>
                <w:szCs w:val="20"/>
                <w:lang w:val="fr-CA"/>
              </w:rPr>
            </w:pPr>
          </w:p>
          <w:p w14:paraId="6118C242" w14:textId="77594502" w:rsidR="00E01336" w:rsidRPr="0081702E" w:rsidRDefault="00744912" w:rsidP="009746C1">
            <w:pPr>
              <w:rPr>
                <w:rFonts w:asciiTheme="majorHAnsi" w:hAnsiTheme="majorHAnsi" w:cs="Arial"/>
                <w:b w:val="0"/>
                <w:sz w:val="20"/>
                <w:szCs w:val="20"/>
                <w:u w:val="single"/>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9746C1">
              <w:rPr>
                <w:rFonts w:asciiTheme="majorHAnsi" w:hAnsiTheme="majorHAnsi" w:cs="Arial"/>
                <w:b w:val="0"/>
                <w:sz w:val="20"/>
                <w:szCs w:val="20"/>
                <w:lang w:val="fr-CA"/>
              </w:rPr>
              <w:t>Praticiens</w:t>
            </w:r>
            <w:r w:rsidR="00E01336" w:rsidRPr="0081702E">
              <w:rPr>
                <w:rFonts w:asciiTheme="majorHAnsi" w:hAnsiTheme="majorHAnsi" w:cs="Arial"/>
                <w:b w:val="0"/>
                <w:sz w:val="20"/>
                <w:szCs w:val="20"/>
                <w:lang w:val="fr-CA"/>
              </w:rPr>
              <w:t xml:space="preserve"> (</w:t>
            </w:r>
            <w:r w:rsidR="009746C1">
              <w:rPr>
                <w:rFonts w:asciiTheme="majorHAnsi" w:hAnsiTheme="majorHAnsi" w:cs="Arial"/>
                <w:b w:val="0"/>
                <w:sz w:val="20"/>
                <w:szCs w:val="20"/>
                <w:lang w:val="fr-CA"/>
              </w:rPr>
              <w:t>administrateurs de site</w:t>
            </w:r>
            <w:r w:rsidR="00E01336" w:rsidRPr="0081702E">
              <w:rPr>
                <w:rFonts w:asciiTheme="majorHAnsi" w:hAnsiTheme="majorHAnsi" w:cs="Arial"/>
                <w:b w:val="0"/>
                <w:sz w:val="20"/>
                <w:szCs w:val="20"/>
                <w:lang w:val="fr-CA"/>
              </w:rPr>
              <w:t>)</w:t>
            </w:r>
            <w:r w:rsidR="009746C1">
              <w:rPr>
                <w:rFonts w:asciiTheme="majorHAnsi" w:hAnsiTheme="majorHAnsi" w:cs="Arial"/>
                <w:b w:val="0"/>
                <w:sz w:val="20"/>
                <w:szCs w:val="20"/>
                <w:lang w:val="fr-CA"/>
              </w:rPr>
              <w:t>.</w:t>
            </w:r>
          </w:p>
        </w:tc>
        <w:tc>
          <w:tcPr>
            <w:tcW w:w="494" w:type="pct"/>
          </w:tcPr>
          <w:p w14:paraId="0DE13D10" w14:textId="79832D55" w:rsidR="00E01336" w:rsidRPr="0081702E" w:rsidRDefault="004623F8" w:rsidP="00914A1A">
            <w:pPr>
              <w:rPr>
                <w:rFonts w:asciiTheme="majorHAnsi" w:hAnsiTheme="majorHAnsi" w:cs="Arial"/>
                <w:b w:val="0"/>
                <w:sz w:val="20"/>
                <w:szCs w:val="20"/>
                <w:lang w:val="fr-CA"/>
              </w:rPr>
            </w:pPr>
            <w:r>
              <w:rPr>
                <w:rFonts w:asciiTheme="majorHAnsi" w:hAnsiTheme="majorHAnsi" w:cs="Arial"/>
                <w:b w:val="0"/>
                <w:sz w:val="20"/>
                <w:szCs w:val="20"/>
                <w:lang w:val="fr-CA"/>
              </w:rPr>
              <w:t>5</w:t>
            </w:r>
            <w:r w:rsidR="00E01336" w:rsidRPr="0081702E">
              <w:rPr>
                <w:rFonts w:asciiTheme="majorHAnsi" w:hAnsiTheme="majorHAnsi" w:cs="Arial"/>
                <w:b w:val="0"/>
                <w:sz w:val="20"/>
                <w:szCs w:val="20"/>
                <w:lang w:val="fr-CA"/>
              </w:rPr>
              <w:t>500</w:t>
            </w:r>
          </w:p>
        </w:tc>
      </w:tr>
    </w:tbl>
    <w:p w14:paraId="6B0D7C76" w14:textId="188A0664" w:rsidR="00914A1A" w:rsidRPr="0081702E" w:rsidRDefault="00914A1A" w:rsidP="00914A1A">
      <w:pPr>
        <w:rPr>
          <w:rFonts w:asciiTheme="majorHAnsi" w:hAnsiTheme="majorHAnsi" w:cs="Arial"/>
          <w:sz w:val="20"/>
          <w:szCs w:val="20"/>
          <w:lang w:val="fr-CA"/>
        </w:rPr>
      </w:pPr>
    </w:p>
    <w:p w14:paraId="6E0B71A2" w14:textId="77777777" w:rsidR="00836984" w:rsidRPr="0081702E" w:rsidRDefault="00836984" w:rsidP="00836984">
      <w:pPr>
        <w:rPr>
          <w:rFonts w:asciiTheme="majorHAnsi" w:hAnsiTheme="majorHAnsi" w:cs="Arial"/>
          <w:sz w:val="20"/>
          <w:szCs w:val="20"/>
          <w:lang w:val="fr-CA"/>
        </w:rPr>
      </w:pPr>
    </w:p>
    <w:tbl>
      <w:tblPr>
        <w:tblStyle w:val="TableGrid"/>
        <w:tblW w:w="5000" w:type="pct"/>
        <w:tblLook w:val="04A0" w:firstRow="1" w:lastRow="0" w:firstColumn="1" w:lastColumn="0" w:noHBand="0" w:noVBand="1"/>
      </w:tblPr>
      <w:tblGrid>
        <w:gridCol w:w="14174"/>
      </w:tblGrid>
      <w:tr w:rsidR="00836984" w:rsidRPr="00DF4418" w14:paraId="23C3E5ED" w14:textId="77777777" w:rsidTr="007A0789">
        <w:trPr>
          <w:trHeight w:val="271"/>
        </w:trPr>
        <w:tc>
          <w:tcPr>
            <w:tcW w:w="5000" w:type="pct"/>
            <w:shd w:val="clear" w:color="auto" w:fill="000000" w:themeFill="text1"/>
          </w:tcPr>
          <w:p w14:paraId="48133422" w14:textId="50ADF8EA" w:rsidR="00836984" w:rsidRPr="0081702E" w:rsidRDefault="009746C1" w:rsidP="009746C1">
            <w:pPr>
              <w:keepNext/>
              <w:keepLines/>
              <w:rPr>
                <w:rFonts w:asciiTheme="majorHAnsi" w:hAnsiTheme="majorHAnsi" w:cs="Arial"/>
                <w:sz w:val="20"/>
                <w:szCs w:val="20"/>
                <w:lang w:val="fr-CA"/>
              </w:rPr>
            </w:pPr>
            <w:r>
              <w:rPr>
                <w:rFonts w:asciiTheme="majorHAnsi" w:hAnsiTheme="majorHAnsi" w:cs="Arial"/>
                <w:sz w:val="20"/>
                <w:szCs w:val="20"/>
                <w:lang w:val="fr-CA"/>
              </w:rPr>
              <w:lastRenderedPageBreak/>
              <w:t>Domaine de travail thématique n</w:t>
            </w:r>
            <w:r w:rsidRPr="009746C1">
              <w:rPr>
                <w:rFonts w:asciiTheme="majorHAnsi" w:hAnsiTheme="majorHAnsi" w:cs="Arial"/>
                <w:sz w:val="20"/>
                <w:szCs w:val="20"/>
                <w:vertAlign w:val="superscript"/>
                <w:lang w:val="fr-CA"/>
              </w:rPr>
              <w:t>o</w:t>
            </w:r>
            <w:r>
              <w:rPr>
                <w:rFonts w:asciiTheme="majorHAnsi" w:hAnsiTheme="majorHAnsi" w:cs="Arial"/>
                <w:sz w:val="20"/>
                <w:szCs w:val="20"/>
                <w:lang w:val="fr-CA"/>
              </w:rPr>
              <w:t xml:space="preserve"> </w:t>
            </w:r>
            <w:r w:rsidR="00836984" w:rsidRPr="0081702E">
              <w:rPr>
                <w:rFonts w:asciiTheme="majorHAnsi" w:hAnsiTheme="majorHAnsi" w:cs="Arial"/>
                <w:sz w:val="20"/>
                <w:szCs w:val="20"/>
                <w:lang w:val="fr-CA"/>
              </w:rPr>
              <w:t>3</w:t>
            </w:r>
            <w:r>
              <w:rPr>
                <w:rFonts w:asciiTheme="majorHAnsi" w:hAnsiTheme="majorHAnsi" w:cs="Arial"/>
                <w:sz w:val="20"/>
                <w:szCs w:val="20"/>
                <w:lang w:val="fr-CA"/>
              </w:rPr>
              <w:t> </w:t>
            </w:r>
            <w:r w:rsidR="00836984" w:rsidRPr="0081702E">
              <w:rPr>
                <w:rFonts w:asciiTheme="majorHAnsi" w:hAnsiTheme="majorHAnsi" w:cs="Arial"/>
                <w:sz w:val="20"/>
                <w:szCs w:val="20"/>
                <w:lang w:val="fr-CA"/>
              </w:rPr>
              <w:t>: M</w:t>
            </w:r>
            <w:r>
              <w:rPr>
                <w:rFonts w:asciiTheme="majorHAnsi" w:hAnsiTheme="majorHAnsi" w:cs="Arial"/>
                <w:sz w:val="20"/>
                <w:szCs w:val="20"/>
                <w:lang w:val="fr-CA"/>
              </w:rPr>
              <w:t xml:space="preserve">éthodologies de valorisation économique et non économique des biens et services fournis par les zones humides </w:t>
            </w:r>
          </w:p>
        </w:tc>
      </w:tr>
    </w:tbl>
    <w:p w14:paraId="0223EBAB" w14:textId="77777777" w:rsidR="00501577" w:rsidRPr="0081702E" w:rsidRDefault="00501577" w:rsidP="009746C1">
      <w:pPr>
        <w:keepNext/>
        <w:keepLines/>
        <w:rPr>
          <w:rFonts w:asciiTheme="majorHAnsi" w:hAnsiTheme="majorHAnsi" w:cs="Arial"/>
          <w:sz w:val="20"/>
          <w:szCs w:val="20"/>
          <w:lang w:val="fr-CA"/>
        </w:rPr>
      </w:pPr>
    </w:p>
    <w:tbl>
      <w:tblPr>
        <w:tblStyle w:val="TableGrid2"/>
        <w:tblW w:w="5000" w:type="pct"/>
        <w:jc w:val="center"/>
        <w:tblLook w:val="04A0" w:firstRow="1" w:lastRow="0" w:firstColumn="1" w:lastColumn="0" w:noHBand="0" w:noVBand="1"/>
      </w:tblPr>
      <w:tblGrid>
        <w:gridCol w:w="3561"/>
        <w:gridCol w:w="10613"/>
      </w:tblGrid>
      <w:tr w:rsidR="00914A1A" w:rsidRPr="00DF4418" w14:paraId="06758AA7" w14:textId="77777777" w:rsidTr="00914A1A">
        <w:trPr>
          <w:jc w:val="center"/>
        </w:trPr>
        <w:tc>
          <w:tcPr>
            <w:tcW w:w="1256" w:type="pct"/>
          </w:tcPr>
          <w:p w14:paraId="0B5ED6CD" w14:textId="4A27BADF" w:rsidR="00914A1A" w:rsidRPr="0081702E" w:rsidRDefault="00A1768B" w:rsidP="009746C1">
            <w:pPr>
              <w:keepNext/>
              <w:keepLines/>
              <w:rPr>
                <w:rFonts w:asciiTheme="majorHAnsi" w:eastAsia="Calibri" w:hAnsiTheme="majorHAnsi" w:cs="Arial"/>
                <w:sz w:val="20"/>
                <w:szCs w:val="20"/>
                <w:lang w:val="fr-CA"/>
              </w:rPr>
            </w:pPr>
            <w:r>
              <w:rPr>
                <w:rFonts w:asciiTheme="majorHAnsi" w:eastAsia="Calibri" w:hAnsiTheme="majorHAnsi" w:cs="Arial"/>
                <w:sz w:val="20"/>
                <w:szCs w:val="20"/>
                <w:lang w:val="fr-CA"/>
              </w:rPr>
              <w:t>Leader</w:t>
            </w:r>
            <w:r w:rsidR="00C139E4">
              <w:rPr>
                <w:rFonts w:asciiTheme="majorHAnsi" w:eastAsia="Calibri" w:hAnsiTheme="majorHAnsi" w:cs="Arial"/>
                <w:sz w:val="20"/>
                <w:szCs w:val="20"/>
                <w:lang w:val="fr-CA"/>
              </w:rPr>
              <w:t>(s) de groupe de travail et</w:t>
            </w:r>
            <w:r w:rsidR="00C139E4" w:rsidRPr="0081702E">
              <w:rPr>
                <w:rFonts w:asciiTheme="majorHAnsi" w:eastAsia="Calibri" w:hAnsiTheme="majorHAnsi" w:cs="Arial"/>
                <w:sz w:val="20"/>
                <w:szCs w:val="20"/>
                <w:lang w:val="fr-CA"/>
              </w:rPr>
              <w:t xml:space="preserve"> participants</w:t>
            </w:r>
            <w:r w:rsidR="00C139E4">
              <w:rPr>
                <w:rFonts w:asciiTheme="majorHAnsi" w:eastAsia="Calibri" w:hAnsiTheme="majorHAnsi" w:cs="Arial"/>
                <w:sz w:val="20"/>
                <w:szCs w:val="20"/>
                <w:lang w:val="fr-CA"/>
              </w:rPr>
              <w:t> :</w:t>
            </w:r>
          </w:p>
        </w:tc>
        <w:tc>
          <w:tcPr>
            <w:tcW w:w="3744" w:type="pct"/>
          </w:tcPr>
          <w:p w14:paraId="50632454" w14:textId="47430A81" w:rsidR="00914A1A" w:rsidRPr="0081702E" w:rsidRDefault="00914A1A" w:rsidP="00BB7725">
            <w:pPr>
              <w:keepNext/>
              <w:keepLines/>
              <w:rPr>
                <w:rFonts w:asciiTheme="majorHAnsi" w:eastAsia="Calibri" w:hAnsiTheme="majorHAnsi" w:cs="Arial"/>
                <w:b w:val="0"/>
                <w:sz w:val="20"/>
                <w:szCs w:val="20"/>
                <w:lang w:val="fr-CA"/>
              </w:rPr>
            </w:pPr>
            <w:r w:rsidRPr="0081702E">
              <w:rPr>
                <w:rFonts w:asciiTheme="majorHAnsi" w:eastAsia="Calibri" w:hAnsiTheme="majorHAnsi" w:cs="Arial"/>
                <w:b w:val="0"/>
                <w:sz w:val="20"/>
                <w:szCs w:val="20"/>
                <w:lang w:val="fr-CA"/>
              </w:rPr>
              <w:t>Ritesh</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Kumar</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t>
            </w:r>
            <w:r w:rsidR="00A1768B">
              <w:rPr>
                <w:rFonts w:asciiTheme="majorHAnsi" w:eastAsia="Calibri" w:hAnsiTheme="majorHAnsi" w:cs="Arial"/>
                <w:b w:val="0"/>
                <w:sz w:val="20"/>
                <w:szCs w:val="20"/>
                <w:lang w:val="fr-CA"/>
              </w:rPr>
              <w:t>leader</w:t>
            </w:r>
            <w:r w:rsidRPr="0081702E">
              <w:rPr>
                <w:rFonts w:asciiTheme="majorHAnsi" w:eastAsia="Calibri" w:hAnsiTheme="majorHAnsi" w:cs="Arial"/>
                <w:b w:val="0"/>
                <w:sz w:val="20"/>
                <w:szCs w:val="20"/>
                <w:lang w:val="fr-CA"/>
              </w:rPr>
              <w: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Channa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Bambaradeniya,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Lars</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Dinesen,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Vincent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V.</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Hilomen,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Kassim</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Kulindwa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Guangchun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Lei,</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Laura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Martinez</w:t>
            </w:r>
            <w:r w:rsidR="00BB7725" w:rsidRPr="0081702E">
              <w:rPr>
                <w:rFonts w:asciiTheme="majorHAnsi" w:eastAsia="Calibri" w:hAnsiTheme="majorHAnsi" w:cs="Arial"/>
                <w:b w:val="0"/>
                <w:sz w:val="20"/>
                <w:szCs w:val="20"/>
                <w:lang w:val="fr-CA"/>
              </w:rPr>
              <w:t>, Dulce Infante</w:t>
            </w:r>
            <w:r w:rsidR="00BB7725">
              <w:rPr>
                <w:rFonts w:asciiTheme="majorHAnsi" w:eastAsia="Calibri" w:hAnsiTheme="majorHAnsi" w:cs="Arial"/>
                <w:b w:val="0"/>
                <w:sz w:val="20"/>
                <w:szCs w:val="20"/>
                <w:lang w:val="fr-CA"/>
              </w:rPr>
              <w:t xml:space="preserve"> Mata</w:t>
            </w:r>
          </w:p>
        </w:tc>
      </w:tr>
      <w:tr w:rsidR="00914A1A" w:rsidRPr="0081702E" w14:paraId="35EB3A69" w14:textId="77777777" w:rsidTr="00914A1A">
        <w:trPr>
          <w:jc w:val="center"/>
        </w:trPr>
        <w:tc>
          <w:tcPr>
            <w:tcW w:w="1256" w:type="pct"/>
          </w:tcPr>
          <w:p w14:paraId="6654DDDD" w14:textId="7EC9BEA0" w:rsidR="00914A1A" w:rsidRPr="0081702E" w:rsidRDefault="009746C1" w:rsidP="009746C1">
            <w:pPr>
              <w:keepNext/>
              <w:keepLines/>
              <w:rPr>
                <w:rFonts w:asciiTheme="majorHAnsi" w:eastAsia="Calibri" w:hAnsiTheme="majorHAnsi" w:cs="Arial"/>
                <w:sz w:val="20"/>
                <w:szCs w:val="20"/>
                <w:lang w:val="fr-CA"/>
              </w:rPr>
            </w:pPr>
            <w:r>
              <w:rPr>
                <w:rFonts w:asciiTheme="majorHAnsi" w:eastAsia="Calibri" w:hAnsiTheme="majorHAnsi" w:cs="Arial"/>
                <w:sz w:val="20"/>
                <w:szCs w:val="20"/>
                <w:lang w:val="fr-CA"/>
              </w:rPr>
              <w:t>Correspondant au Secrétariat :</w:t>
            </w:r>
          </w:p>
        </w:tc>
        <w:tc>
          <w:tcPr>
            <w:tcW w:w="3744" w:type="pct"/>
          </w:tcPr>
          <w:p w14:paraId="60D06623" w14:textId="5EF78B8D" w:rsidR="00914A1A" w:rsidRPr="0081702E" w:rsidRDefault="00914A1A" w:rsidP="009746C1">
            <w:pPr>
              <w:keepNext/>
              <w:keepLines/>
              <w:rPr>
                <w:rFonts w:asciiTheme="majorHAnsi" w:eastAsia="Calibri" w:hAnsiTheme="majorHAnsi" w:cs="Arial"/>
                <w:b w:val="0"/>
                <w:sz w:val="20"/>
                <w:szCs w:val="20"/>
                <w:lang w:val="fr-CA"/>
              </w:rPr>
            </w:pPr>
            <w:r w:rsidRPr="0081702E">
              <w:rPr>
                <w:rFonts w:asciiTheme="majorHAnsi" w:eastAsia="Calibri" w:hAnsiTheme="majorHAnsi" w:cs="Arial"/>
                <w:b w:val="0"/>
                <w:sz w:val="20"/>
                <w:szCs w:val="20"/>
                <w:lang w:val="fr-CA"/>
              </w:rPr>
              <w:t>Maria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Rivera</w:t>
            </w:r>
          </w:p>
        </w:tc>
      </w:tr>
      <w:tr w:rsidR="00914A1A" w:rsidRPr="00DF4418" w14:paraId="72ECF21B" w14:textId="77777777" w:rsidTr="00914A1A">
        <w:trPr>
          <w:jc w:val="center"/>
        </w:trPr>
        <w:tc>
          <w:tcPr>
            <w:tcW w:w="1256" w:type="pct"/>
          </w:tcPr>
          <w:p w14:paraId="1C2CA4FD" w14:textId="1223FAEE" w:rsidR="00914A1A" w:rsidRPr="0081702E" w:rsidRDefault="009746C1" w:rsidP="009746C1">
            <w:pPr>
              <w:keepNext/>
              <w:keepLines/>
              <w:rPr>
                <w:rFonts w:asciiTheme="majorHAnsi" w:eastAsia="Calibri" w:hAnsiTheme="majorHAnsi" w:cs="Arial"/>
                <w:sz w:val="20"/>
                <w:szCs w:val="20"/>
                <w:lang w:val="fr-CA"/>
              </w:rPr>
            </w:pPr>
            <w:r>
              <w:rPr>
                <w:rFonts w:asciiTheme="majorHAnsi" w:eastAsia="Calibri" w:hAnsiTheme="majorHAnsi" w:cs="Arial"/>
                <w:sz w:val="20"/>
                <w:szCs w:val="20"/>
                <w:lang w:val="fr-CA"/>
              </w:rPr>
              <w:t xml:space="preserve">Organisations participantes : </w:t>
            </w:r>
            <w:r w:rsidRPr="0081702E">
              <w:rPr>
                <w:rFonts w:asciiTheme="majorHAnsi" w:eastAsia="Calibri" w:hAnsiTheme="majorHAnsi" w:cs="Arial"/>
                <w:sz w:val="20"/>
                <w:szCs w:val="20"/>
                <w:lang w:val="fr-CA"/>
              </w:rPr>
              <w:t>[</w:t>
            </w:r>
            <w:r>
              <w:rPr>
                <w:rFonts w:asciiTheme="majorHAnsi" w:eastAsia="Calibri" w:hAnsiTheme="majorHAnsi" w:cs="Arial"/>
                <w:sz w:val="20"/>
                <w:szCs w:val="20"/>
                <w:lang w:val="fr-CA"/>
              </w:rPr>
              <w:t>OIP</w:t>
            </w:r>
            <w:r w:rsidRPr="0081702E">
              <w:rPr>
                <w:rFonts w:asciiTheme="majorHAnsi" w:eastAsia="Calibri" w:hAnsiTheme="majorHAnsi" w:cs="Arial"/>
                <w:sz w:val="20"/>
                <w:szCs w:val="20"/>
                <w:lang w:val="fr-CA"/>
              </w:rPr>
              <w:t>/observ</w:t>
            </w:r>
            <w:r>
              <w:rPr>
                <w:rFonts w:asciiTheme="majorHAnsi" w:eastAsia="Calibri" w:hAnsiTheme="majorHAnsi" w:cs="Arial"/>
                <w:sz w:val="20"/>
                <w:szCs w:val="20"/>
                <w:lang w:val="fr-CA"/>
              </w:rPr>
              <w:t>ateurs</w:t>
            </w:r>
            <w:r w:rsidRPr="0081702E">
              <w:rPr>
                <w:rFonts w:asciiTheme="majorHAnsi" w:eastAsia="Calibri" w:hAnsiTheme="majorHAnsi" w:cs="Arial"/>
                <w:sz w:val="20"/>
                <w:szCs w:val="20"/>
                <w:lang w:val="fr-CA"/>
              </w:rPr>
              <w:t>/</w:t>
            </w:r>
            <w:r>
              <w:rPr>
                <w:rFonts w:asciiTheme="majorHAnsi" w:eastAsia="Calibri" w:hAnsiTheme="majorHAnsi" w:cs="Arial"/>
                <w:sz w:val="20"/>
                <w:szCs w:val="20"/>
                <w:lang w:val="fr-CA"/>
              </w:rPr>
              <w:t>autres</w:t>
            </w:r>
            <w:r w:rsidRPr="0081702E">
              <w:rPr>
                <w:rFonts w:asciiTheme="majorHAnsi" w:eastAsia="Calibri" w:hAnsiTheme="majorHAnsi" w:cs="Arial"/>
                <w:sz w:val="20"/>
                <w:szCs w:val="20"/>
                <w:lang w:val="fr-CA"/>
              </w:rPr>
              <w:t>]</w:t>
            </w:r>
          </w:p>
        </w:tc>
        <w:tc>
          <w:tcPr>
            <w:tcW w:w="3744" w:type="pct"/>
          </w:tcPr>
          <w:p w14:paraId="77C24563" w14:textId="5A11C939" w:rsidR="00914A1A" w:rsidRPr="0081702E" w:rsidRDefault="00206E7C" w:rsidP="00D8361B">
            <w:pPr>
              <w:keepNext/>
              <w:keepLines/>
              <w:rPr>
                <w:rFonts w:asciiTheme="majorHAnsi" w:eastAsia="Calibri" w:hAnsiTheme="majorHAnsi" w:cs="Arial"/>
                <w:b w:val="0"/>
                <w:sz w:val="20"/>
                <w:szCs w:val="20"/>
                <w:lang w:val="fr-CA"/>
              </w:rPr>
            </w:pPr>
            <w:r>
              <w:rPr>
                <w:rFonts w:asciiTheme="majorHAnsi" w:eastAsia="Calibri" w:hAnsiTheme="majorHAnsi" w:cs="Arial"/>
                <w:b w:val="0"/>
                <w:sz w:val="20"/>
                <w:szCs w:val="20"/>
                <w:lang w:val="fr-CA"/>
              </w:rPr>
              <w:t>UICN</w:t>
            </w:r>
            <w:r w:rsidR="00E01336" w:rsidRPr="0081702E">
              <w:rPr>
                <w:rFonts w:asciiTheme="majorHAnsi" w:eastAsia="Calibri" w:hAnsiTheme="majorHAnsi" w:cs="Arial"/>
                <w:b w:val="0"/>
                <w:sz w:val="20"/>
                <w:szCs w:val="20"/>
                <w:lang w:val="fr-CA"/>
              </w:rPr>
              <w:t xml:space="preserve"> </w:t>
            </w:r>
            <w:r>
              <w:rPr>
                <w:rFonts w:asciiTheme="majorHAnsi" w:eastAsia="Calibri" w:hAnsiTheme="majorHAnsi" w:cs="Arial"/>
                <w:b w:val="0"/>
                <w:sz w:val="20"/>
                <w:szCs w:val="20"/>
                <w:lang w:val="fr-CA"/>
              </w:rPr>
              <w:t>[</w:t>
            </w:r>
            <w:r w:rsidR="00914A1A" w:rsidRPr="0081702E">
              <w:rPr>
                <w:rFonts w:asciiTheme="majorHAnsi" w:eastAsia="Calibri" w:hAnsiTheme="majorHAnsi" w:cs="Arial"/>
                <w:b w:val="0"/>
                <w:sz w:val="20"/>
                <w:szCs w:val="20"/>
                <w:lang w:val="fr-CA"/>
              </w:rPr>
              <w:t>Stefano</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Barchiesi,</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William</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Darwall</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w:t>
            </w:r>
            <w:r>
              <w:rPr>
                <w:rFonts w:asciiTheme="majorHAnsi" w:eastAsia="Calibri" w:hAnsiTheme="majorHAnsi" w:cs="Arial"/>
                <w:b w:val="0"/>
                <w:sz w:val="20"/>
                <w:szCs w:val="20"/>
                <w:lang w:val="fr-CA"/>
              </w:rPr>
              <w:t>à confirmer</w:t>
            </w:r>
            <w:r w:rsidR="00914A1A" w:rsidRPr="0081702E">
              <w:rPr>
                <w:rFonts w:asciiTheme="majorHAnsi" w:eastAsia="Calibri" w:hAnsiTheme="majorHAnsi" w:cs="Arial"/>
                <w:b w:val="0"/>
                <w:sz w:val="20"/>
                <w:szCs w:val="20"/>
                <w:lang w:val="fr-CA"/>
              </w:rPr>
              <w:t>)</w:t>
            </w:r>
            <w:r>
              <w:rPr>
                <w:rFonts w:asciiTheme="majorHAnsi" w:eastAsia="Calibri" w:hAnsiTheme="majorHAnsi" w:cs="Arial"/>
                <w:b w:val="0"/>
                <w:sz w:val="20"/>
                <w:szCs w:val="20"/>
                <w:lang w:val="fr-CA"/>
              </w:rPr>
              <w:t>]</w:t>
            </w:r>
            <w:r w:rsidR="00914A1A" w:rsidRPr="0081702E">
              <w:rPr>
                <w:rFonts w:asciiTheme="majorHAnsi" w:eastAsia="Calibri" w:hAnsiTheme="majorHAnsi" w:cs="Arial"/>
                <w:b w:val="0"/>
                <w:sz w:val="20"/>
                <w:szCs w:val="20"/>
                <w:lang w:val="fr-CA"/>
              </w:rPr>
              <w:t>,</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WI</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(Marcel</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Silvius),</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WWF</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International</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(Denis</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Landerbergue),</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IWMI</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(Sanjiv</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De</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Silva)/</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Tour</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Du</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Valat</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(Christian</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Perennou),</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SWS</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Society</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for</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Wetland</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Scientists</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(Nick</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Davidson),</w:t>
            </w:r>
            <w:r w:rsidR="00E01336" w:rsidRPr="0081702E">
              <w:rPr>
                <w:rFonts w:asciiTheme="majorHAnsi" w:eastAsia="Calibri" w:hAnsiTheme="majorHAnsi" w:cs="Arial"/>
                <w:b w:val="0"/>
                <w:sz w:val="20"/>
                <w:szCs w:val="20"/>
                <w:lang w:val="fr-CA"/>
              </w:rPr>
              <w:t xml:space="preserve"> </w:t>
            </w:r>
            <w:r w:rsidR="00D8361B">
              <w:rPr>
                <w:rFonts w:asciiTheme="majorHAnsi" w:eastAsia="Calibri" w:hAnsiTheme="majorHAnsi" w:cs="Arial"/>
                <w:b w:val="0"/>
                <w:sz w:val="20"/>
                <w:szCs w:val="20"/>
                <w:lang w:val="fr-CA"/>
              </w:rPr>
              <w:t>ONU</w:t>
            </w:r>
            <w:r w:rsidR="00914A1A" w:rsidRPr="0081702E">
              <w:rPr>
                <w:rFonts w:asciiTheme="majorHAnsi" w:eastAsia="Calibri" w:hAnsiTheme="majorHAnsi" w:cs="Arial"/>
                <w:b w:val="0"/>
                <w:sz w:val="20"/>
                <w:szCs w:val="20"/>
                <w:lang w:val="fr-CA"/>
              </w:rPr>
              <w:t>-Habitat</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(Rob</w:t>
            </w:r>
            <w:r w:rsidR="00D8361B">
              <w:rPr>
                <w:rFonts w:asciiTheme="majorHAnsi" w:eastAsia="Calibri" w:hAnsiTheme="majorHAnsi" w:cs="Arial"/>
                <w:b w:val="0"/>
                <w:sz w:val="20"/>
                <w:szCs w:val="20"/>
                <w:lang w:val="fr-CA"/>
              </w:rPr>
              <w:t> </w:t>
            </w:r>
            <w:r w:rsidR="00914A1A" w:rsidRPr="0081702E">
              <w:rPr>
                <w:rFonts w:asciiTheme="majorHAnsi" w:eastAsia="Calibri" w:hAnsiTheme="majorHAnsi" w:cs="Arial"/>
                <w:b w:val="0"/>
                <w:sz w:val="20"/>
                <w:szCs w:val="20"/>
                <w:lang w:val="fr-CA"/>
              </w:rPr>
              <w:t>McInnes),</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UNESCO-IHE</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(Anne</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van</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Dam),</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UNESCO-MAB</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(Marie</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Prchalova),</w:t>
            </w:r>
            <w:r w:rsidR="00E01336" w:rsidRPr="0081702E">
              <w:rPr>
                <w:rFonts w:asciiTheme="majorHAnsi" w:eastAsia="Calibri" w:hAnsiTheme="majorHAnsi" w:cs="Arial"/>
                <w:b w:val="0"/>
                <w:sz w:val="20"/>
                <w:szCs w:val="20"/>
                <w:lang w:val="fr-CA"/>
              </w:rPr>
              <w:t xml:space="preserve"> </w:t>
            </w:r>
            <w:r w:rsidR="00D8361B">
              <w:rPr>
                <w:rFonts w:asciiTheme="majorHAnsi" w:eastAsia="Calibri" w:hAnsiTheme="majorHAnsi" w:cs="Arial"/>
                <w:b w:val="0"/>
                <w:sz w:val="20"/>
                <w:szCs w:val="20"/>
                <w:lang w:val="fr-CA"/>
              </w:rPr>
              <w:t>Centre du patrimoine mondial</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(Tim</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Badman)/</w:t>
            </w:r>
            <w:r w:rsidR="00E01336" w:rsidRPr="0081702E">
              <w:rPr>
                <w:rFonts w:asciiTheme="majorHAnsi" w:eastAsia="Calibri" w:hAnsiTheme="majorHAnsi" w:cs="Arial"/>
                <w:b w:val="0"/>
                <w:sz w:val="20"/>
                <w:szCs w:val="20"/>
                <w:lang w:val="fr-CA"/>
              </w:rPr>
              <w:t xml:space="preserve"> </w:t>
            </w:r>
            <w:r w:rsidR="00D8361B">
              <w:rPr>
                <w:rFonts w:asciiTheme="majorHAnsi" w:eastAsia="Calibri" w:hAnsiTheme="majorHAnsi" w:cs="Arial"/>
                <w:b w:val="0"/>
                <w:sz w:val="20"/>
                <w:szCs w:val="20"/>
                <w:lang w:val="fr-CA"/>
              </w:rPr>
              <w:t>CN GEST Malaisie</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(Abdul</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Rahman),</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Mark</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Everard</w:t>
            </w:r>
            <w:r w:rsidR="00E01336" w:rsidRPr="0081702E">
              <w:rPr>
                <w:rFonts w:asciiTheme="majorHAnsi" w:eastAsia="Calibri" w:hAnsiTheme="majorHAnsi" w:cs="Arial"/>
                <w:b w:val="0"/>
                <w:sz w:val="20"/>
                <w:szCs w:val="20"/>
                <w:lang w:val="fr-CA"/>
              </w:rPr>
              <w:t xml:space="preserve"> </w:t>
            </w:r>
            <w:r w:rsidR="00914A1A" w:rsidRPr="0081702E">
              <w:rPr>
                <w:rFonts w:asciiTheme="majorHAnsi" w:eastAsia="Calibri" w:hAnsiTheme="majorHAnsi" w:cs="Arial"/>
                <w:b w:val="0"/>
                <w:sz w:val="20"/>
                <w:szCs w:val="20"/>
                <w:lang w:val="fr-CA"/>
              </w:rPr>
              <w:t>(</w:t>
            </w:r>
            <w:r>
              <w:rPr>
                <w:rFonts w:asciiTheme="majorHAnsi" w:eastAsia="Calibri" w:hAnsiTheme="majorHAnsi" w:cs="Arial"/>
                <w:b w:val="0"/>
                <w:sz w:val="20"/>
                <w:szCs w:val="20"/>
                <w:lang w:val="fr-CA"/>
              </w:rPr>
              <w:t>à confirmer</w:t>
            </w:r>
            <w:r w:rsidR="00914A1A" w:rsidRPr="0081702E">
              <w:rPr>
                <w:rFonts w:asciiTheme="majorHAnsi" w:eastAsia="Calibri" w:hAnsiTheme="majorHAnsi" w:cs="Arial"/>
                <w:b w:val="0"/>
                <w:sz w:val="20"/>
                <w:szCs w:val="20"/>
                <w:lang w:val="fr-CA"/>
              </w:rPr>
              <w:t>)</w:t>
            </w:r>
            <w:r w:rsidR="00E01336" w:rsidRPr="0081702E">
              <w:rPr>
                <w:rFonts w:asciiTheme="majorHAnsi" w:eastAsia="Calibri" w:hAnsiTheme="majorHAnsi" w:cs="Arial"/>
                <w:b w:val="0"/>
                <w:sz w:val="20"/>
                <w:szCs w:val="20"/>
                <w:lang w:val="fr-CA"/>
              </w:rPr>
              <w:t xml:space="preserve"> </w:t>
            </w:r>
          </w:p>
        </w:tc>
      </w:tr>
    </w:tbl>
    <w:p w14:paraId="36CB8D7B" w14:textId="77777777" w:rsidR="00914A1A" w:rsidRPr="0081702E" w:rsidRDefault="00914A1A" w:rsidP="00914A1A">
      <w:pPr>
        <w:rPr>
          <w:rFonts w:asciiTheme="majorHAnsi" w:hAnsiTheme="majorHAnsi" w:cs="Arial"/>
          <w:sz w:val="20"/>
          <w:szCs w:val="20"/>
          <w:lang w:val="fr-CA"/>
        </w:rPr>
      </w:pPr>
    </w:p>
    <w:tbl>
      <w:tblPr>
        <w:tblStyle w:val="TableGrid"/>
        <w:tblW w:w="5037" w:type="pct"/>
        <w:tblInd w:w="-85" w:type="dxa"/>
        <w:tblLayout w:type="fixed"/>
        <w:tblCellMar>
          <w:top w:w="57" w:type="dxa"/>
          <w:left w:w="57" w:type="dxa"/>
          <w:bottom w:w="57" w:type="dxa"/>
          <w:right w:w="57" w:type="dxa"/>
        </w:tblCellMar>
        <w:tblLook w:val="04A0" w:firstRow="1" w:lastRow="0" w:firstColumn="1" w:lastColumn="0" w:noHBand="0" w:noVBand="1"/>
      </w:tblPr>
      <w:tblGrid>
        <w:gridCol w:w="1456"/>
        <w:gridCol w:w="842"/>
        <w:gridCol w:w="1021"/>
        <w:gridCol w:w="1092"/>
        <w:gridCol w:w="8347"/>
        <w:gridCol w:w="1418"/>
      </w:tblGrid>
      <w:tr w:rsidR="00501577" w:rsidRPr="0081702E" w14:paraId="786A0390" w14:textId="77777777" w:rsidTr="00931645">
        <w:trPr>
          <w:tblHeader/>
        </w:trPr>
        <w:tc>
          <w:tcPr>
            <w:tcW w:w="514" w:type="pct"/>
            <w:shd w:val="clear" w:color="auto" w:fill="D9D9D9" w:themeFill="background1" w:themeFillShade="D9"/>
          </w:tcPr>
          <w:p w14:paraId="00ECE3C6" w14:textId="424BDAE6" w:rsidR="00914A1A" w:rsidRPr="0081702E" w:rsidRDefault="00D8361B" w:rsidP="00914A1A">
            <w:pPr>
              <w:jc w:val="center"/>
              <w:rPr>
                <w:rFonts w:asciiTheme="majorHAnsi" w:hAnsiTheme="majorHAnsi" w:cs="Arial"/>
                <w:sz w:val="20"/>
                <w:szCs w:val="20"/>
                <w:lang w:val="fr-CA"/>
              </w:rPr>
            </w:pPr>
            <w:r>
              <w:rPr>
                <w:rFonts w:asciiTheme="majorHAnsi" w:hAnsiTheme="majorHAnsi" w:cs="Arial"/>
                <w:sz w:val="20"/>
                <w:szCs w:val="20"/>
                <w:lang w:val="fr-CA"/>
              </w:rPr>
              <w:t>N</w:t>
            </w:r>
            <w:r w:rsidRPr="00130D8F">
              <w:rPr>
                <w:rFonts w:asciiTheme="majorHAnsi" w:hAnsiTheme="majorHAnsi" w:cs="Arial"/>
                <w:sz w:val="20"/>
                <w:szCs w:val="20"/>
                <w:vertAlign w:val="superscript"/>
                <w:lang w:val="fr-CA"/>
              </w:rPr>
              <w:t>o</w:t>
            </w:r>
            <w:r>
              <w:rPr>
                <w:rFonts w:asciiTheme="majorHAnsi" w:hAnsiTheme="majorHAnsi" w:cs="Arial"/>
                <w:sz w:val="20"/>
                <w:szCs w:val="20"/>
                <w:lang w:val="fr-CA"/>
              </w:rPr>
              <w:t xml:space="preserve"> de tâche, titre</w:t>
            </w:r>
          </w:p>
        </w:tc>
        <w:tc>
          <w:tcPr>
            <w:tcW w:w="297" w:type="pct"/>
            <w:shd w:val="clear" w:color="auto" w:fill="D9D9D9" w:themeFill="background1" w:themeFillShade="D9"/>
          </w:tcPr>
          <w:p w14:paraId="1AEADBBA" w14:textId="3A1D3F42" w:rsidR="00914A1A" w:rsidRPr="0081702E" w:rsidRDefault="001637EC" w:rsidP="00914A1A">
            <w:pPr>
              <w:jc w:val="center"/>
              <w:rPr>
                <w:rFonts w:asciiTheme="majorHAnsi" w:hAnsiTheme="majorHAnsi" w:cs="Arial"/>
                <w:sz w:val="20"/>
                <w:szCs w:val="20"/>
                <w:lang w:val="fr-CA"/>
              </w:rPr>
            </w:pPr>
            <w:r w:rsidRPr="0081702E">
              <w:rPr>
                <w:rFonts w:asciiTheme="majorHAnsi" w:hAnsiTheme="majorHAnsi" w:cs="Arial"/>
                <w:sz w:val="20"/>
                <w:szCs w:val="20"/>
                <w:lang w:val="fr-CA"/>
              </w:rPr>
              <w:t>Priorité</w:t>
            </w:r>
          </w:p>
        </w:tc>
        <w:tc>
          <w:tcPr>
            <w:tcW w:w="360" w:type="pct"/>
            <w:shd w:val="clear" w:color="auto" w:fill="D9D9D9" w:themeFill="background1" w:themeFillShade="D9"/>
          </w:tcPr>
          <w:p w14:paraId="3EFC3C46" w14:textId="5D04260F" w:rsidR="00914A1A" w:rsidRPr="0081702E" w:rsidRDefault="001637EC" w:rsidP="001637EC">
            <w:pPr>
              <w:jc w:val="center"/>
              <w:rPr>
                <w:rFonts w:asciiTheme="majorHAnsi" w:hAnsiTheme="majorHAnsi" w:cs="Arial"/>
                <w:sz w:val="20"/>
                <w:szCs w:val="20"/>
                <w:lang w:val="fr-CA"/>
              </w:rPr>
            </w:pPr>
            <w:r>
              <w:rPr>
                <w:rFonts w:asciiTheme="majorHAnsi" w:hAnsiTheme="majorHAnsi" w:cs="Arial"/>
                <w:sz w:val="20"/>
                <w:szCs w:val="20"/>
                <w:lang w:val="fr-CA"/>
              </w:rPr>
              <w:t>Résolution</w:t>
            </w:r>
          </w:p>
        </w:tc>
        <w:tc>
          <w:tcPr>
            <w:tcW w:w="385" w:type="pct"/>
            <w:shd w:val="clear" w:color="auto" w:fill="D9D9D9" w:themeFill="background1" w:themeFillShade="D9"/>
          </w:tcPr>
          <w:p w14:paraId="6DA11644" w14:textId="21B63B3E" w:rsidR="00914A1A" w:rsidRPr="0081702E" w:rsidRDefault="001637EC" w:rsidP="00914A1A">
            <w:pPr>
              <w:jc w:val="center"/>
              <w:rPr>
                <w:rFonts w:asciiTheme="majorHAnsi" w:hAnsiTheme="majorHAnsi" w:cs="Arial"/>
                <w:sz w:val="20"/>
                <w:szCs w:val="20"/>
                <w:lang w:val="fr-CA"/>
              </w:rPr>
            </w:pPr>
            <w:r>
              <w:rPr>
                <w:rFonts w:asciiTheme="majorHAnsi" w:eastAsia="Calibri" w:hAnsiTheme="majorHAnsi" w:cs="Arial"/>
                <w:sz w:val="20"/>
                <w:szCs w:val="20"/>
                <w:lang w:val="fr-CA"/>
              </w:rPr>
              <w:t>But et objectif PS</w:t>
            </w:r>
          </w:p>
        </w:tc>
        <w:tc>
          <w:tcPr>
            <w:tcW w:w="2944" w:type="pct"/>
            <w:shd w:val="clear" w:color="auto" w:fill="D9D9D9" w:themeFill="background1" w:themeFillShade="D9"/>
          </w:tcPr>
          <w:p w14:paraId="57E02623" w14:textId="17068B5C" w:rsidR="00914A1A" w:rsidRPr="0081702E" w:rsidRDefault="001637EC" w:rsidP="00914A1A">
            <w:pPr>
              <w:jc w:val="center"/>
              <w:rPr>
                <w:rFonts w:asciiTheme="majorHAnsi" w:hAnsiTheme="majorHAnsi" w:cs="Arial"/>
                <w:sz w:val="20"/>
                <w:szCs w:val="20"/>
                <w:lang w:val="fr-CA"/>
              </w:rPr>
            </w:pPr>
            <w:r>
              <w:rPr>
                <w:rFonts w:asciiTheme="majorHAnsi" w:hAnsiTheme="majorHAnsi" w:cs="Arial"/>
                <w:sz w:val="20"/>
                <w:szCs w:val="20"/>
                <w:lang w:val="fr-CA"/>
              </w:rPr>
              <w:t>Description de tâche, public ciblé et résultats escomptés</w:t>
            </w:r>
          </w:p>
        </w:tc>
        <w:tc>
          <w:tcPr>
            <w:tcW w:w="500" w:type="pct"/>
            <w:shd w:val="clear" w:color="auto" w:fill="D9D9D9" w:themeFill="background1" w:themeFillShade="D9"/>
          </w:tcPr>
          <w:p w14:paraId="4D23FB3C" w14:textId="2B0BA84F" w:rsidR="00914A1A" w:rsidRPr="0081702E" w:rsidRDefault="001637EC" w:rsidP="00914A1A">
            <w:pPr>
              <w:jc w:val="center"/>
              <w:rPr>
                <w:rFonts w:asciiTheme="majorHAnsi" w:hAnsiTheme="majorHAnsi" w:cs="Arial"/>
                <w:sz w:val="20"/>
                <w:szCs w:val="20"/>
                <w:lang w:val="fr-CA"/>
              </w:rPr>
            </w:pPr>
            <w:r>
              <w:rPr>
                <w:rFonts w:asciiTheme="majorHAnsi" w:hAnsiTheme="majorHAnsi" w:cs="Arial"/>
                <w:sz w:val="20"/>
                <w:szCs w:val="20"/>
                <w:lang w:val="fr-CA"/>
              </w:rPr>
              <w:t>Coûts</w:t>
            </w:r>
            <w:r w:rsidR="00E01336" w:rsidRPr="0081702E">
              <w:rPr>
                <w:rFonts w:asciiTheme="majorHAnsi" w:hAnsiTheme="majorHAnsi" w:cs="Arial"/>
                <w:sz w:val="20"/>
                <w:szCs w:val="20"/>
                <w:lang w:val="fr-CA"/>
              </w:rPr>
              <w:t xml:space="preserve"> </w:t>
            </w:r>
            <w:r w:rsidR="00914A1A" w:rsidRPr="0081702E">
              <w:rPr>
                <w:rFonts w:asciiTheme="majorHAnsi" w:hAnsiTheme="majorHAnsi" w:cs="Arial"/>
                <w:sz w:val="20"/>
                <w:szCs w:val="20"/>
                <w:lang w:val="fr-CA"/>
              </w:rPr>
              <w:t>CHF</w:t>
            </w:r>
          </w:p>
        </w:tc>
      </w:tr>
      <w:tr w:rsidR="00501577" w:rsidRPr="0081702E" w14:paraId="1C8065C7" w14:textId="77777777" w:rsidTr="001637EC">
        <w:tc>
          <w:tcPr>
            <w:tcW w:w="514" w:type="pct"/>
          </w:tcPr>
          <w:p w14:paraId="16179231" w14:textId="28E2D3B1" w:rsidR="00914A1A" w:rsidRPr="0081702E" w:rsidRDefault="00914A1A" w:rsidP="00914A1A">
            <w:pPr>
              <w:rPr>
                <w:rFonts w:asciiTheme="majorHAnsi" w:hAnsiTheme="majorHAnsi" w:cs="Arial"/>
                <w:b w:val="0"/>
                <w:sz w:val="20"/>
                <w:szCs w:val="20"/>
                <w:lang w:val="fr-CA"/>
              </w:rPr>
            </w:pPr>
            <w:r w:rsidRPr="0081702E">
              <w:rPr>
                <w:rFonts w:asciiTheme="majorHAnsi" w:eastAsiaTheme="minorHAnsi" w:hAnsiTheme="majorHAnsi" w:cs="Arial"/>
                <w:b w:val="0"/>
                <w:sz w:val="20"/>
                <w:szCs w:val="20"/>
                <w:lang w:val="fr-CA" w:eastAsia="en-US"/>
              </w:rPr>
              <w:t>3.1</w:t>
            </w:r>
            <w:r w:rsidR="00E01336" w:rsidRPr="0081702E">
              <w:rPr>
                <w:rFonts w:asciiTheme="majorHAnsi" w:eastAsiaTheme="minorHAnsi" w:hAnsiTheme="majorHAnsi" w:cs="Arial"/>
                <w:b w:val="0"/>
                <w:sz w:val="20"/>
                <w:szCs w:val="20"/>
                <w:lang w:val="fr-CA" w:eastAsia="en-US"/>
              </w:rPr>
              <w:t xml:space="preserve"> </w:t>
            </w:r>
            <w:r w:rsidR="00EE2AAD" w:rsidRPr="00EE2AAD">
              <w:rPr>
                <w:rFonts w:asciiTheme="majorHAnsi" w:eastAsiaTheme="minorHAnsi" w:hAnsiTheme="majorHAnsi" w:cs="Arial"/>
                <w:b w:val="0"/>
                <w:sz w:val="20"/>
                <w:szCs w:val="20"/>
                <w:lang w:val="fr-CA" w:eastAsia="en-US"/>
              </w:rPr>
              <w:t>Note d’information sur l’évaluation et la valorisation des services écosystémiques des zones humides</w:t>
            </w:r>
          </w:p>
        </w:tc>
        <w:tc>
          <w:tcPr>
            <w:tcW w:w="297" w:type="pct"/>
          </w:tcPr>
          <w:p w14:paraId="2150246A" w14:textId="2F1DB1F6" w:rsidR="00914A1A" w:rsidRPr="0081702E" w:rsidRDefault="00CB3638" w:rsidP="00914A1A">
            <w:pPr>
              <w:rPr>
                <w:rFonts w:asciiTheme="majorHAnsi" w:hAnsiTheme="majorHAnsi" w:cs="Arial"/>
                <w:b w:val="0"/>
                <w:sz w:val="20"/>
                <w:szCs w:val="20"/>
                <w:lang w:val="fr-CA"/>
              </w:rPr>
            </w:pPr>
            <w:r>
              <w:rPr>
                <w:rFonts w:asciiTheme="majorHAnsi" w:hAnsiTheme="majorHAnsi" w:cs="Arial"/>
                <w:b w:val="0"/>
                <w:sz w:val="20"/>
                <w:szCs w:val="20"/>
                <w:lang w:val="fr-CA"/>
              </w:rPr>
              <w:t>La plus élevée</w:t>
            </w:r>
          </w:p>
        </w:tc>
        <w:tc>
          <w:tcPr>
            <w:tcW w:w="360" w:type="pct"/>
          </w:tcPr>
          <w:p w14:paraId="1A91BC58" w14:textId="77777777"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XII.13</w:t>
            </w:r>
          </w:p>
        </w:tc>
        <w:tc>
          <w:tcPr>
            <w:tcW w:w="385" w:type="pct"/>
          </w:tcPr>
          <w:p w14:paraId="63F33A88" w14:textId="57204E38" w:rsidR="00914A1A" w:rsidRPr="0081702E" w:rsidRDefault="00E01336" w:rsidP="00914A1A">
            <w:pPr>
              <w:rPr>
                <w:rFonts w:asciiTheme="majorHAnsi" w:eastAsia="Calibri" w:hAnsiTheme="majorHAnsi" w:cs="Arial"/>
                <w:b w:val="0"/>
                <w:sz w:val="20"/>
                <w:szCs w:val="20"/>
                <w:lang w:val="fr-CA"/>
              </w:rPr>
            </w:pPr>
            <w:r w:rsidRPr="0081702E">
              <w:rPr>
                <w:rFonts w:asciiTheme="majorHAnsi" w:eastAsia="Calibri" w:hAnsiTheme="majorHAnsi" w:cs="Arial"/>
                <w:b w:val="0"/>
                <w:bCs/>
                <w:sz w:val="20"/>
                <w:szCs w:val="20"/>
                <w:lang w:val="fr-CA"/>
              </w:rPr>
              <w:t xml:space="preserve"> </w:t>
            </w:r>
            <w:r w:rsidR="00914A1A" w:rsidRPr="0081702E">
              <w:rPr>
                <w:rFonts w:asciiTheme="majorHAnsi" w:eastAsia="Calibri" w:hAnsiTheme="majorHAnsi" w:cs="Arial"/>
                <w:b w:val="0"/>
                <w:bCs/>
                <w:sz w:val="20"/>
                <w:szCs w:val="20"/>
                <w:lang w:val="fr-CA"/>
              </w:rPr>
              <w:t>3.9,</w:t>
            </w:r>
            <w:r w:rsidRPr="0081702E">
              <w:rPr>
                <w:rFonts w:asciiTheme="majorHAnsi" w:eastAsia="Calibri" w:hAnsiTheme="majorHAnsi" w:cs="Arial"/>
                <w:b w:val="0"/>
                <w:bCs/>
                <w:sz w:val="20"/>
                <w:szCs w:val="20"/>
                <w:lang w:val="fr-CA"/>
              </w:rPr>
              <w:t xml:space="preserve"> </w:t>
            </w:r>
            <w:r w:rsidR="00914A1A" w:rsidRPr="0081702E">
              <w:rPr>
                <w:rFonts w:asciiTheme="majorHAnsi" w:eastAsia="Calibri" w:hAnsiTheme="majorHAnsi" w:cs="Arial"/>
                <w:b w:val="0"/>
                <w:bCs/>
                <w:sz w:val="20"/>
                <w:szCs w:val="20"/>
                <w:lang w:val="fr-CA"/>
              </w:rPr>
              <w:t>3.11,</w:t>
            </w:r>
            <w:r w:rsidRPr="0081702E">
              <w:rPr>
                <w:rFonts w:asciiTheme="majorHAnsi" w:eastAsia="Calibri" w:hAnsiTheme="majorHAnsi" w:cs="Arial"/>
                <w:b w:val="0"/>
                <w:bCs/>
                <w:sz w:val="20"/>
                <w:szCs w:val="20"/>
                <w:lang w:val="fr-CA"/>
              </w:rPr>
              <w:t xml:space="preserve"> </w:t>
            </w:r>
            <w:r w:rsidR="00914A1A" w:rsidRPr="0081702E">
              <w:rPr>
                <w:rFonts w:asciiTheme="majorHAnsi" w:eastAsia="Calibri" w:hAnsiTheme="majorHAnsi" w:cs="Arial"/>
                <w:b w:val="0"/>
                <w:bCs/>
                <w:sz w:val="20"/>
                <w:szCs w:val="20"/>
                <w:lang w:val="fr-CA"/>
              </w:rPr>
              <w:t>3.13;</w:t>
            </w:r>
            <w:r w:rsidRPr="0081702E">
              <w:rPr>
                <w:rFonts w:asciiTheme="majorHAnsi" w:eastAsia="Calibri" w:hAnsiTheme="majorHAnsi" w:cs="Arial"/>
                <w:b w:val="0"/>
                <w:bCs/>
                <w:sz w:val="20"/>
                <w:szCs w:val="20"/>
                <w:lang w:val="fr-CA"/>
              </w:rPr>
              <w:t xml:space="preserve"> </w:t>
            </w:r>
            <w:r w:rsidR="00914A1A" w:rsidRPr="0081702E">
              <w:rPr>
                <w:rFonts w:asciiTheme="majorHAnsi" w:eastAsia="Calibri" w:hAnsiTheme="majorHAnsi" w:cs="Arial"/>
                <w:b w:val="0"/>
                <w:bCs/>
                <w:sz w:val="20"/>
                <w:szCs w:val="20"/>
                <w:lang w:val="fr-CA"/>
              </w:rPr>
              <w:t>1.1,</w:t>
            </w:r>
            <w:r w:rsidRPr="0081702E">
              <w:rPr>
                <w:rFonts w:asciiTheme="majorHAnsi" w:eastAsia="Calibri" w:hAnsiTheme="majorHAnsi" w:cs="Arial"/>
                <w:b w:val="0"/>
                <w:bCs/>
                <w:sz w:val="20"/>
                <w:szCs w:val="20"/>
                <w:lang w:val="fr-CA"/>
              </w:rPr>
              <w:t xml:space="preserve"> </w:t>
            </w:r>
            <w:r w:rsidR="00914A1A" w:rsidRPr="0081702E">
              <w:rPr>
                <w:rFonts w:asciiTheme="majorHAnsi" w:eastAsia="Calibri" w:hAnsiTheme="majorHAnsi" w:cs="Arial"/>
                <w:b w:val="0"/>
                <w:bCs/>
                <w:sz w:val="20"/>
                <w:szCs w:val="20"/>
                <w:lang w:val="fr-CA"/>
              </w:rPr>
              <w:t>1.2</w:t>
            </w:r>
            <w:r w:rsidRPr="0081702E">
              <w:rPr>
                <w:rFonts w:asciiTheme="majorHAnsi" w:eastAsia="Calibri" w:hAnsiTheme="majorHAnsi" w:cs="Arial"/>
                <w:b w:val="0"/>
                <w:bCs/>
                <w:sz w:val="20"/>
                <w:szCs w:val="20"/>
                <w:lang w:val="fr-CA"/>
              </w:rPr>
              <w:t xml:space="preserve"> </w:t>
            </w:r>
          </w:p>
          <w:p w14:paraId="051966F3" w14:textId="77777777" w:rsidR="00914A1A" w:rsidRPr="0081702E" w:rsidRDefault="00914A1A" w:rsidP="00914A1A">
            <w:pPr>
              <w:rPr>
                <w:rFonts w:asciiTheme="majorHAnsi" w:hAnsiTheme="majorHAnsi" w:cs="Arial"/>
                <w:b w:val="0"/>
                <w:sz w:val="20"/>
                <w:szCs w:val="20"/>
                <w:lang w:val="fr-CA"/>
              </w:rPr>
            </w:pPr>
          </w:p>
        </w:tc>
        <w:tc>
          <w:tcPr>
            <w:tcW w:w="2944" w:type="pct"/>
          </w:tcPr>
          <w:p w14:paraId="3A8F2F33" w14:textId="397D502A" w:rsidR="00914A1A" w:rsidRPr="0081702E" w:rsidRDefault="00931645"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357CE7">
              <w:rPr>
                <w:rFonts w:asciiTheme="majorHAnsi" w:hAnsiTheme="majorHAnsi" w:cs="Arial"/>
                <w:b w:val="0"/>
                <w:sz w:val="20"/>
                <w:szCs w:val="20"/>
                <w:lang w:val="fr-CA"/>
              </w:rPr>
              <w:t>Informer</w:t>
            </w:r>
            <w:r w:rsidR="00EE2AAD">
              <w:rPr>
                <w:rFonts w:asciiTheme="majorHAnsi" w:hAnsiTheme="majorHAnsi" w:cs="Arial"/>
                <w:b w:val="0"/>
                <w:sz w:val="20"/>
                <w:szCs w:val="20"/>
                <w:lang w:val="fr-CA"/>
              </w:rPr>
              <w:t xml:space="preserve"> les décideurs</w:t>
            </w:r>
            <w:r w:rsidR="00357CE7">
              <w:rPr>
                <w:rFonts w:asciiTheme="majorHAnsi" w:hAnsiTheme="majorHAnsi" w:cs="Arial"/>
                <w:b w:val="0"/>
                <w:sz w:val="20"/>
                <w:szCs w:val="20"/>
                <w:lang w:val="fr-CA"/>
              </w:rPr>
              <w:t>, par le biais d’une note d’information,</w:t>
            </w:r>
            <w:r w:rsidR="00EE2AAD">
              <w:rPr>
                <w:rFonts w:asciiTheme="majorHAnsi" w:hAnsiTheme="majorHAnsi" w:cs="Arial"/>
                <w:b w:val="0"/>
                <w:sz w:val="20"/>
                <w:szCs w:val="20"/>
                <w:lang w:val="fr-CA"/>
              </w:rPr>
              <w:t xml:space="preserve"> sur les moyens les plus modernes de reconnaître et d’évaluer les multiples valeurs des zones humides et leur application pour une gestion améliorée des sites. La portée de la note d’information devrait inclure : la justification de l’intégration de valeurs multiples des zones humides et de l’utilisation rationnelle, l’utilisation de valeurs multiples dans la prise de décisions sectorielle, les dernières méthodes pour reconnaître et évaluer les valeurs multiples, l’utilisation des valeurs pour</w:t>
            </w:r>
            <w:r w:rsidR="007A5CFB">
              <w:rPr>
                <w:rFonts w:asciiTheme="majorHAnsi" w:hAnsiTheme="majorHAnsi" w:cs="Arial"/>
                <w:b w:val="0"/>
                <w:sz w:val="20"/>
                <w:szCs w:val="20"/>
                <w:lang w:val="fr-CA"/>
              </w:rPr>
              <w:t xml:space="preserve"> </w:t>
            </w:r>
            <w:r w:rsidR="00EE2AAD">
              <w:rPr>
                <w:rFonts w:asciiTheme="majorHAnsi" w:hAnsiTheme="majorHAnsi" w:cs="Arial"/>
                <w:b w:val="0"/>
                <w:sz w:val="20"/>
                <w:szCs w:val="20"/>
                <w:lang w:val="fr-CA"/>
              </w:rPr>
              <w:t xml:space="preserve">soutenir une gestion intégrée des zones humides. </w:t>
            </w:r>
          </w:p>
          <w:p w14:paraId="221296D7" w14:textId="77777777" w:rsidR="00914A1A" w:rsidRPr="0081702E" w:rsidRDefault="00914A1A" w:rsidP="00914A1A">
            <w:pPr>
              <w:rPr>
                <w:rFonts w:asciiTheme="majorHAnsi" w:hAnsiTheme="majorHAnsi" w:cs="Arial"/>
                <w:b w:val="0"/>
                <w:sz w:val="20"/>
                <w:szCs w:val="20"/>
                <w:lang w:val="fr-CA"/>
              </w:rPr>
            </w:pPr>
          </w:p>
          <w:p w14:paraId="3E316B61" w14:textId="532B2F8F" w:rsidR="00914A1A" w:rsidRPr="0081702E" w:rsidRDefault="00931645"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357CE7" w:rsidRPr="00357CE7">
              <w:rPr>
                <w:rFonts w:asciiTheme="majorHAnsi" w:hAnsiTheme="majorHAnsi" w:cs="Arial"/>
                <w:sz w:val="20"/>
                <w:szCs w:val="20"/>
                <w:lang w:val="fr-CA"/>
              </w:rPr>
              <w:t>N</w:t>
            </w:r>
            <w:r w:rsidR="00EE2AAD">
              <w:rPr>
                <w:rFonts w:asciiTheme="majorHAnsi" w:hAnsiTheme="majorHAnsi" w:cs="Arial"/>
                <w:sz w:val="20"/>
                <w:szCs w:val="20"/>
                <w:lang w:val="fr-CA"/>
              </w:rPr>
              <w:t xml:space="preserve">ote d’information </w:t>
            </w:r>
            <w:r w:rsidR="00EE2AAD">
              <w:rPr>
                <w:rFonts w:asciiTheme="majorHAnsi" w:hAnsiTheme="majorHAnsi" w:cs="Arial"/>
                <w:b w:val="0"/>
                <w:sz w:val="20"/>
                <w:szCs w:val="20"/>
                <w:lang w:val="fr-CA"/>
              </w:rPr>
              <w:t>sur la reconnaissance, l’évaluation et l’applicatio</w:t>
            </w:r>
            <w:r w:rsidR="00914A1A" w:rsidRPr="0081702E">
              <w:rPr>
                <w:rFonts w:asciiTheme="majorHAnsi" w:hAnsiTheme="majorHAnsi" w:cs="Arial"/>
                <w:b w:val="0"/>
                <w:sz w:val="20"/>
                <w:szCs w:val="20"/>
                <w:lang w:val="fr-CA"/>
              </w:rPr>
              <w:t>n</w:t>
            </w:r>
            <w:r w:rsidR="00EE2AAD">
              <w:rPr>
                <w:rFonts w:asciiTheme="majorHAnsi" w:hAnsiTheme="majorHAnsi" w:cs="Arial"/>
                <w:b w:val="0"/>
                <w:sz w:val="20"/>
                <w:szCs w:val="20"/>
                <w:lang w:val="fr-CA"/>
              </w:rPr>
              <w:t xml:space="preserve"> des valeurs multiples des zones humides pour la gestion intégrée des zones humides. </w:t>
            </w:r>
            <w:r w:rsidR="00E01336" w:rsidRPr="0081702E">
              <w:rPr>
                <w:rFonts w:asciiTheme="majorHAnsi" w:hAnsiTheme="majorHAnsi" w:cs="Arial"/>
                <w:b w:val="0"/>
                <w:sz w:val="20"/>
                <w:szCs w:val="20"/>
                <w:lang w:val="fr-CA"/>
              </w:rPr>
              <w:t xml:space="preserve"> </w:t>
            </w:r>
          </w:p>
          <w:p w14:paraId="08F147B3" w14:textId="76230CC2" w:rsidR="00914A1A" w:rsidRPr="0081702E" w:rsidRDefault="00E01336"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 xml:space="preserve"> </w:t>
            </w:r>
          </w:p>
          <w:p w14:paraId="78973860" w14:textId="0C2A59FB" w:rsidR="00914A1A" w:rsidRPr="0081702E" w:rsidRDefault="00931645" w:rsidP="00EE2AAD">
            <w:pPr>
              <w:ind w:left="720" w:hanging="720"/>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EE2AAD">
              <w:rPr>
                <w:rFonts w:asciiTheme="majorHAnsi" w:hAnsiTheme="majorHAnsi" w:cs="Arial"/>
                <w:b w:val="0"/>
                <w:sz w:val="20"/>
                <w:szCs w:val="20"/>
                <w:lang w:val="fr-CA"/>
              </w:rPr>
              <w:t>Décideurs.</w:t>
            </w:r>
          </w:p>
        </w:tc>
        <w:tc>
          <w:tcPr>
            <w:tcW w:w="500" w:type="pct"/>
          </w:tcPr>
          <w:p w14:paraId="5C5AA532" w14:textId="5A99A3A1" w:rsidR="00914A1A" w:rsidRPr="0081702E" w:rsidRDefault="001637EC" w:rsidP="00914A1A">
            <w:pPr>
              <w:rPr>
                <w:rFonts w:asciiTheme="majorHAnsi" w:hAnsiTheme="majorHAnsi" w:cs="Arial"/>
                <w:b w:val="0"/>
                <w:sz w:val="20"/>
                <w:szCs w:val="20"/>
                <w:lang w:val="fr-CA"/>
              </w:rPr>
            </w:pPr>
            <w:r>
              <w:rPr>
                <w:rFonts w:asciiTheme="majorHAnsi" w:hAnsiTheme="majorHAnsi" w:cs="Arial"/>
                <w:b w:val="0"/>
                <w:sz w:val="20"/>
                <w:szCs w:val="20"/>
                <w:lang w:val="fr-CA"/>
              </w:rPr>
              <w:t>7</w:t>
            </w:r>
            <w:r w:rsidR="00914A1A" w:rsidRPr="0081702E">
              <w:rPr>
                <w:rFonts w:asciiTheme="majorHAnsi" w:hAnsiTheme="majorHAnsi" w:cs="Arial"/>
                <w:b w:val="0"/>
                <w:sz w:val="20"/>
                <w:szCs w:val="20"/>
                <w:lang w:val="fr-CA"/>
              </w:rPr>
              <w:t>300</w:t>
            </w:r>
            <w:r w:rsidR="00E01336" w:rsidRPr="0081702E">
              <w:rPr>
                <w:rFonts w:asciiTheme="majorHAnsi" w:hAnsiTheme="majorHAnsi" w:cs="Arial"/>
                <w:b w:val="0"/>
                <w:sz w:val="20"/>
                <w:szCs w:val="20"/>
                <w:lang w:val="fr-CA"/>
              </w:rPr>
              <w:t xml:space="preserve"> </w:t>
            </w:r>
          </w:p>
        </w:tc>
      </w:tr>
      <w:tr w:rsidR="00501577" w:rsidRPr="00DF4418" w14:paraId="362B69FB" w14:textId="77777777" w:rsidTr="001637EC">
        <w:tc>
          <w:tcPr>
            <w:tcW w:w="514" w:type="pct"/>
          </w:tcPr>
          <w:p w14:paraId="04CD4B61" w14:textId="69305974" w:rsidR="00914A1A" w:rsidRPr="0081702E" w:rsidRDefault="00914A1A" w:rsidP="00914A1A">
            <w:pPr>
              <w:rPr>
                <w:rFonts w:asciiTheme="majorHAnsi" w:hAnsiTheme="majorHAnsi" w:cs="Arial"/>
                <w:b w:val="0"/>
                <w:sz w:val="20"/>
                <w:szCs w:val="20"/>
                <w:lang w:val="fr-CA"/>
              </w:rPr>
            </w:pPr>
            <w:r w:rsidRPr="0081702E">
              <w:rPr>
                <w:rFonts w:asciiTheme="majorHAnsi" w:eastAsiaTheme="minorHAnsi" w:hAnsiTheme="majorHAnsi" w:cs="Arial"/>
                <w:b w:val="0"/>
                <w:sz w:val="20"/>
                <w:szCs w:val="20"/>
                <w:lang w:val="fr-CA" w:eastAsia="en-US"/>
              </w:rPr>
              <w:t>3.2</w:t>
            </w:r>
            <w:r w:rsidR="00E01336" w:rsidRPr="0081702E">
              <w:rPr>
                <w:rFonts w:asciiTheme="majorHAnsi" w:eastAsiaTheme="minorHAnsi" w:hAnsiTheme="majorHAnsi" w:cs="Arial"/>
                <w:b w:val="0"/>
                <w:sz w:val="20"/>
                <w:szCs w:val="20"/>
                <w:lang w:val="fr-CA" w:eastAsia="en-US"/>
              </w:rPr>
              <w:t xml:space="preserve"> </w:t>
            </w:r>
            <w:r w:rsidR="00726B77" w:rsidRPr="00726B77">
              <w:rPr>
                <w:rFonts w:asciiTheme="majorHAnsi" w:eastAsiaTheme="minorHAnsi" w:hAnsiTheme="majorHAnsi" w:cs="Arial"/>
                <w:b w:val="0"/>
                <w:sz w:val="20"/>
                <w:szCs w:val="20"/>
                <w:lang w:val="fr-CA" w:eastAsia="en-US"/>
              </w:rPr>
              <w:t>Protocole pour évaluer les valeurs multiples des zones humides – Protocole en 5 étapes (IPBES)</w:t>
            </w:r>
          </w:p>
        </w:tc>
        <w:tc>
          <w:tcPr>
            <w:tcW w:w="297" w:type="pct"/>
          </w:tcPr>
          <w:p w14:paraId="52D171AC" w14:textId="55374357" w:rsidR="00914A1A" w:rsidRPr="0081702E" w:rsidRDefault="00CB3638" w:rsidP="00914A1A">
            <w:pPr>
              <w:rPr>
                <w:rFonts w:asciiTheme="majorHAnsi" w:hAnsiTheme="majorHAnsi" w:cs="Arial"/>
                <w:b w:val="0"/>
                <w:sz w:val="20"/>
                <w:szCs w:val="20"/>
                <w:lang w:val="fr-CA"/>
              </w:rPr>
            </w:pPr>
            <w:r>
              <w:rPr>
                <w:rFonts w:asciiTheme="majorHAnsi" w:hAnsiTheme="majorHAnsi" w:cs="Arial"/>
                <w:b w:val="0"/>
                <w:sz w:val="20"/>
                <w:szCs w:val="20"/>
                <w:lang w:val="fr-CA"/>
              </w:rPr>
              <w:t>La plus élevée</w:t>
            </w:r>
          </w:p>
        </w:tc>
        <w:tc>
          <w:tcPr>
            <w:tcW w:w="360" w:type="pct"/>
          </w:tcPr>
          <w:p w14:paraId="4802BE7B" w14:textId="359998FC"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XII.13;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XII.15</w:t>
            </w:r>
          </w:p>
        </w:tc>
        <w:tc>
          <w:tcPr>
            <w:tcW w:w="385" w:type="pct"/>
          </w:tcPr>
          <w:p w14:paraId="2C525D36" w14:textId="56223066"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3.9,</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3.11,</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3.12,</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3.13;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1.1,</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1.2</w:t>
            </w:r>
          </w:p>
        </w:tc>
        <w:tc>
          <w:tcPr>
            <w:tcW w:w="2944" w:type="pct"/>
          </w:tcPr>
          <w:p w14:paraId="6ECEA300" w14:textId="034B480F" w:rsidR="00914A1A" w:rsidRPr="0081702E" w:rsidRDefault="00931645"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726B77">
              <w:rPr>
                <w:rFonts w:asciiTheme="majorHAnsi" w:hAnsiTheme="majorHAnsi" w:cs="Arial"/>
                <w:b w:val="0"/>
                <w:sz w:val="20"/>
                <w:szCs w:val="20"/>
                <w:lang w:val="fr-CA"/>
              </w:rPr>
              <w:t>Le guide de l’</w:t>
            </w:r>
            <w:r w:rsidR="00914A1A" w:rsidRPr="0081702E">
              <w:rPr>
                <w:rFonts w:asciiTheme="majorHAnsi" w:hAnsiTheme="majorHAnsi" w:cs="Arial"/>
                <w:b w:val="0"/>
                <w:sz w:val="20"/>
                <w:szCs w:val="20"/>
                <w:lang w:val="fr-CA"/>
              </w:rPr>
              <w:t>IPBES</w:t>
            </w:r>
            <w:r w:rsidR="00E01336" w:rsidRPr="0081702E">
              <w:rPr>
                <w:rFonts w:asciiTheme="majorHAnsi" w:hAnsiTheme="majorHAnsi" w:cs="Arial"/>
                <w:b w:val="0"/>
                <w:sz w:val="20"/>
                <w:szCs w:val="20"/>
                <w:lang w:val="fr-CA"/>
              </w:rPr>
              <w:t xml:space="preserve"> </w:t>
            </w:r>
            <w:r w:rsidR="00726B77">
              <w:rPr>
                <w:rFonts w:asciiTheme="majorHAnsi" w:hAnsiTheme="majorHAnsi" w:cs="Arial"/>
                <w:b w:val="0"/>
                <w:sz w:val="20"/>
                <w:szCs w:val="20"/>
                <w:lang w:val="fr-CA"/>
              </w:rPr>
              <w:t xml:space="preserve">existant </w:t>
            </w:r>
            <w:r w:rsidR="00914A1A" w:rsidRPr="0081702E">
              <w:rPr>
                <w:rFonts w:asciiTheme="majorHAnsi" w:hAnsiTheme="majorHAnsi" w:cs="Arial"/>
                <w:b w:val="0"/>
                <w:sz w:val="20"/>
                <w:szCs w:val="20"/>
                <w:lang w:val="fr-CA"/>
              </w:rPr>
              <w:t>(5</w:t>
            </w:r>
            <w:r w:rsidR="00726B77">
              <w:rPr>
                <w:rFonts w:asciiTheme="majorHAnsi" w:hAnsiTheme="majorHAnsi" w:cs="Arial"/>
                <w:b w:val="0"/>
                <w:sz w:val="20"/>
                <w:szCs w:val="20"/>
                <w:lang w:val="fr-CA"/>
              </w:rPr>
              <w:t> étapes</w:t>
            </w:r>
            <w:r w:rsidR="00914A1A" w:rsidRPr="0081702E">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r w:rsidR="00726B77">
              <w:rPr>
                <w:rFonts w:asciiTheme="majorHAnsi" w:hAnsiTheme="majorHAnsi" w:cs="Arial"/>
                <w:b w:val="0"/>
                <w:sz w:val="20"/>
                <w:szCs w:val="20"/>
                <w:lang w:val="fr-CA"/>
              </w:rPr>
              <w:t xml:space="preserve">sur l’évaluation des valeurs multiples de la nature, y compris </w:t>
            </w:r>
            <w:r w:rsidR="0019309C" w:rsidRPr="0019309C">
              <w:rPr>
                <w:rFonts w:asciiTheme="majorHAnsi" w:hAnsiTheme="majorHAnsi" w:cs="Arial"/>
                <w:b w:val="0"/>
                <w:sz w:val="20"/>
                <w:szCs w:val="20"/>
                <w:lang w:val="fr-CA"/>
              </w:rPr>
              <w:t>les con</w:t>
            </w:r>
            <w:r w:rsidR="0019309C">
              <w:rPr>
                <w:rFonts w:asciiTheme="majorHAnsi" w:hAnsiTheme="majorHAnsi" w:cs="Arial"/>
                <w:b w:val="0"/>
                <w:sz w:val="20"/>
                <w:szCs w:val="20"/>
                <w:lang w:val="fr-CA"/>
              </w:rPr>
              <w:t>naissances autochtones et locales</w:t>
            </w:r>
            <w:r w:rsidR="00726B77">
              <w:rPr>
                <w:rFonts w:asciiTheme="majorHAnsi" w:hAnsiTheme="majorHAnsi" w:cs="Arial"/>
                <w:b w:val="0"/>
                <w:sz w:val="20"/>
                <w:szCs w:val="20"/>
                <w:lang w:val="fr-CA"/>
              </w:rPr>
              <w:t xml:space="preserve">, adapté pour aider les décideurs politiques </w:t>
            </w:r>
            <w:r w:rsidR="007C3AE1">
              <w:rPr>
                <w:rFonts w:asciiTheme="majorHAnsi" w:hAnsiTheme="majorHAnsi" w:cs="Arial"/>
                <w:b w:val="0"/>
                <w:sz w:val="20"/>
                <w:szCs w:val="20"/>
                <w:lang w:val="fr-CA"/>
              </w:rPr>
              <w:t>du</w:t>
            </w:r>
            <w:r w:rsidR="00726B77">
              <w:rPr>
                <w:rFonts w:asciiTheme="majorHAnsi" w:hAnsiTheme="majorHAnsi" w:cs="Arial"/>
                <w:b w:val="0"/>
                <w:sz w:val="20"/>
                <w:szCs w:val="20"/>
                <w:lang w:val="fr-CA"/>
              </w:rPr>
              <w:t xml:space="preserve"> domaine des zones humides à reconnaître et évaluer les valeurs multiples des zones humides et à appliquer une gestion intégrée. </w:t>
            </w:r>
          </w:p>
          <w:p w14:paraId="085034A9" w14:textId="77777777" w:rsidR="00914A1A" w:rsidRPr="0081702E" w:rsidRDefault="00914A1A" w:rsidP="00914A1A">
            <w:pPr>
              <w:rPr>
                <w:rFonts w:asciiTheme="majorHAnsi" w:hAnsiTheme="majorHAnsi" w:cs="Arial"/>
                <w:b w:val="0"/>
                <w:sz w:val="20"/>
                <w:szCs w:val="20"/>
                <w:lang w:val="fr-CA"/>
              </w:rPr>
            </w:pPr>
          </w:p>
          <w:p w14:paraId="0800DC0A" w14:textId="25B342DD" w:rsidR="00914A1A" w:rsidRPr="0081702E" w:rsidRDefault="00931645"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726B77">
              <w:rPr>
                <w:rFonts w:asciiTheme="majorHAnsi" w:hAnsiTheme="majorHAnsi" w:cs="Arial"/>
                <w:b w:val="0"/>
                <w:sz w:val="20"/>
                <w:szCs w:val="20"/>
                <w:lang w:val="fr-CA"/>
              </w:rPr>
              <w:t xml:space="preserve">Protocole en différentes étapes sur la reconnaissance et l’évaluation des valeurs multiples des zones humides; produit de communication et d’information. </w:t>
            </w:r>
          </w:p>
          <w:p w14:paraId="2406184B" w14:textId="17704348" w:rsidR="00914A1A" w:rsidRPr="0081702E" w:rsidRDefault="00E01336"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 xml:space="preserve"> </w:t>
            </w:r>
          </w:p>
          <w:p w14:paraId="327701CF" w14:textId="7B80D924" w:rsidR="00914A1A" w:rsidRPr="0081702E" w:rsidRDefault="00914A1A" w:rsidP="00726B77">
            <w:pPr>
              <w:rPr>
                <w:rFonts w:asciiTheme="majorHAnsi" w:hAnsiTheme="majorHAnsi" w:cs="Arial"/>
                <w:b w:val="0"/>
                <w:sz w:val="20"/>
                <w:szCs w:val="20"/>
                <w:lang w:val="fr-CA"/>
              </w:rPr>
            </w:pPr>
            <w:r w:rsidRPr="0081702E">
              <w:rPr>
                <w:rFonts w:asciiTheme="majorHAnsi" w:hAnsiTheme="majorHAnsi" w:cs="Arial"/>
                <w:b w:val="0"/>
                <w:sz w:val="20"/>
                <w:szCs w:val="20"/>
                <w:u w:val="single"/>
                <w:lang w:val="fr-CA"/>
              </w:rPr>
              <w:t>Target</w:t>
            </w:r>
            <w:r w:rsidR="00E01336" w:rsidRPr="0081702E">
              <w:rPr>
                <w:rFonts w:asciiTheme="majorHAnsi" w:hAnsiTheme="majorHAnsi" w:cs="Arial"/>
                <w:b w:val="0"/>
                <w:sz w:val="20"/>
                <w:szCs w:val="20"/>
                <w:u w:val="single"/>
                <w:lang w:val="fr-CA"/>
              </w:rPr>
              <w:t xml:space="preserve"> </w:t>
            </w:r>
            <w:r w:rsidRPr="0081702E">
              <w:rPr>
                <w:rFonts w:asciiTheme="majorHAnsi" w:hAnsiTheme="majorHAnsi" w:cs="Arial"/>
                <w:b w:val="0"/>
                <w:sz w:val="20"/>
                <w:szCs w:val="20"/>
                <w:u w:val="single"/>
                <w:lang w:val="fr-CA"/>
              </w:rPr>
              <w:t>audience(s)</w:t>
            </w:r>
            <w:r w:rsidRPr="0081702E">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r w:rsidR="00726B77">
              <w:rPr>
                <w:rFonts w:asciiTheme="majorHAnsi" w:hAnsiTheme="majorHAnsi" w:cs="Arial"/>
                <w:b w:val="0"/>
                <w:sz w:val="20"/>
                <w:szCs w:val="20"/>
                <w:lang w:val="fr-CA"/>
              </w:rPr>
              <w:t>Décideurs.</w:t>
            </w:r>
            <w:r w:rsidR="00E01336" w:rsidRPr="0081702E">
              <w:rPr>
                <w:rFonts w:asciiTheme="majorHAnsi" w:hAnsiTheme="majorHAnsi" w:cs="Arial"/>
                <w:b w:val="0"/>
                <w:sz w:val="20"/>
                <w:szCs w:val="20"/>
                <w:lang w:val="fr-CA"/>
              </w:rPr>
              <w:t xml:space="preserve"> </w:t>
            </w:r>
          </w:p>
        </w:tc>
        <w:tc>
          <w:tcPr>
            <w:tcW w:w="500" w:type="pct"/>
          </w:tcPr>
          <w:p w14:paraId="1A8D34B3" w14:textId="1EB2005F" w:rsidR="00914A1A" w:rsidRPr="0081702E" w:rsidRDefault="001637EC" w:rsidP="00357CE7">
            <w:pPr>
              <w:rPr>
                <w:rFonts w:asciiTheme="majorHAnsi" w:hAnsiTheme="majorHAnsi" w:cs="Arial"/>
                <w:b w:val="0"/>
                <w:sz w:val="20"/>
                <w:szCs w:val="20"/>
                <w:lang w:val="fr-CA"/>
              </w:rPr>
            </w:pPr>
            <w:r>
              <w:rPr>
                <w:rFonts w:asciiTheme="majorHAnsi" w:hAnsiTheme="majorHAnsi" w:cs="Arial"/>
                <w:b w:val="0"/>
                <w:sz w:val="20"/>
                <w:szCs w:val="20"/>
                <w:lang w:val="fr-CA"/>
              </w:rPr>
              <w:t>9</w:t>
            </w:r>
            <w:r w:rsidR="00914A1A" w:rsidRPr="0081702E">
              <w:rPr>
                <w:rFonts w:asciiTheme="majorHAnsi" w:hAnsiTheme="majorHAnsi" w:cs="Arial"/>
                <w:b w:val="0"/>
                <w:sz w:val="20"/>
                <w:szCs w:val="20"/>
                <w:lang w:val="fr-CA"/>
              </w:rPr>
              <w:t>000</w:t>
            </w:r>
            <w:r w:rsidR="00E01336" w:rsidRPr="0081702E">
              <w:rPr>
                <w:rFonts w:asciiTheme="majorHAnsi" w:hAnsiTheme="majorHAnsi" w:cs="Arial"/>
                <w:b w:val="0"/>
                <w:sz w:val="20"/>
                <w:szCs w:val="20"/>
                <w:lang w:val="fr-CA"/>
              </w:rPr>
              <w:t xml:space="preserve"> </w:t>
            </w:r>
            <w:r w:rsidR="00914A1A" w:rsidRPr="00357CE7">
              <w:rPr>
                <w:rFonts w:asciiTheme="majorHAnsi" w:hAnsiTheme="majorHAnsi" w:cs="Arial"/>
                <w:b w:val="0"/>
                <w:sz w:val="20"/>
                <w:szCs w:val="20"/>
                <w:lang w:val="fr-CA"/>
              </w:rPr>
              <w:t>(</w:t>
            </w:r>
            <w:r w:rsidR="00726B77" w:rsidRPr="00357CE7">
              <w:rPr>
                <w:rFonts w:asciiTheme="majorHAnsi" w:hAnsiTheme="majorHAnsi" w:cs="Arial"/>
                <w:b w:val="0"/>
                <w:sz w:val="20"/>
                <w:szCs w:val="20"/>
                <w:lang w:val="fr-CA"/>
              </w:rPr>
              <w:t xml:space="preserve">pour un atelier </w:t>
            </w:r>
            <w:r w:rsidR="00357CE7" w:rsidRPr="00357CE7">
              <w:rPr>
                <w:rFonts w:asciiTheme="majorHAnsi" w:hAnsiTheme="majorHAnsi" w:cs="Arial"/>
                <w:b w:val="0"/>
                <w:sz w:val="20"/>
                <w:szCs w:val="20"/>
                <w:lang w:val="fr-CA"/>
              </w:rPr>
              <w:t>de rédaction</w:t>
            </w:r>
            <w:r w:rsidR="00914A1A" w:rsidRPr="00357CE7">
              <w:rPr>
                <w:rFonts w:asciiTheme="majorHAnsi" w:hAnsiTheme="majorHAnsi" w:cs="Arial"/>
                <w:b w:val="0"/>
                <w:sz w:val="20"/>
                <w:szCs w:val="20"/>
                <w:lang w:val="fr-CA"/>
              </w:rPr>
              <w:t>)</w:t>
            </w:r>
            <w:r w:rsidR="00E01336" w:rsidRPr="00357CE7">
              <w:rPr>
                <w:rFonts w:asciiTheme="majorHAnsi" w:hAnsiTheme="majorHAnsi" w:cs="Arial"/>
                <w:b w:val="0"/>
                <w:sz w:val="20"/>
                <w:szCs w:val="20"/>
                <w:lang w:val="fr-CA"/>
              </w:rPr>
              <w:t xml:space="preserve"> </w:t>
            </w:r>
            <w:r w:rsidR="00914A1A" w:rsidRPr="00357CE7">
              <w:rPr>
                <w:rFonts w:asciiTheme="majorHAnsi" w:hAnsiTheme="majorHAnsi" w:cs="Arial"/>
                <w:b w:val="0"/>
                <w:sz w:val="20"/>
                <w:szCs w:val="20"/>
                <w:lang w:val="fr-CA"/>
              </w:rPr>
              <w:t>(5</w:t>
            </w:r>
            <w:r w:rsidR="00726B77" w:rsidRPr="00357CE7">
              <w:rPr>
                <w:rFonts w:asciiTheme="majorHAnsi" w:hAnsiTheme="majorHAnsi" w:cs="Arial"/>
                <w:b w:val="0"/>
                <w:sz w:val="20"/>
                <w:szCs w:val="20"/>
                <w:lang w:val="fr-CA"/>
              </w:rPr>
              <w:t> </w:t>
            </w:r>
            <w:r w:rsidR="00914A1A" w:rsidRPr="00357CE7">
              <w:rPr>
                <w:rFonts w:asciiTheme="majorHAnsi" w:hAnsiTheme="majorHAnsi" w:cs="Arial"/>
                <w:b w:val="0"/>
                <w:sz w:val="20"/>
                <w:szCs w:val="20"/>
                <w:lang w:val="fr-CA"/>
              </w:rPr>
              <w:t>person</w:t>
            </w:r>
            <w:r w:rsidR="00726B77" w:rsidRPr="00357CE7">
              <w:rPr>
                <w:rFonts w:asciiTheme="majorHAnsi" w:hAnsiTheme="majorHAnsi" w:cs="Arial"/>
                <w:b w:val="0"/>
                <w:sz w:val="20"/>
                <w:szCs w:val="20"/>
                <w:lang w:val="fr-CA"/>
              </w:rPr>
              <w:t>ne</w:t>
            </w:r>
            <w:r w:rsidR="00914A1A" w:rsidRPr="00357CE7">
              <w:rPr>
                <w:rFonts w:asciiTheme="majorHAnsi" w:hAnsiTheme="majorHAnsi" w:cs="Arial"/>
                <w:b w:val="0"/>
                <w:sz w:val="20"/>
                <w:szCs w:val="20"/>
                <w:lang w:val="fr-CA"/>
              </w:rPr>
              <w:t>s</w:t>
            </w:r>
            <w:r w:rsidR="00E01336" w:rsidRPr="00357CE7">
              <w:rPr>
                <w:rFonts w:asciiTheme="majorHAnsi" w:hAnsiTheme="majorHAnsi" w:cs="Arial"/>
                <w:b w:val="0"/>
                <w:sz w:val="20"/>
                <w:szCs w:val="20"/>
                <w:lang w:val="fr-CA"/>
              </w:rPr>
              <w:t xml:space="preserve"> </w:t>
            </w:r>
            <w:r w:rsidR="00914A1A" w:rsidRPr="00357CE7">
              <w:rPr>
                <w:rFonts w:asciiTheme="majorHAnsi" w:hAnsiTheme="majorHAnsi" w:cs="Arial"/>
                <w:b w:val="0"/>
                <w:sz w:val="20"/>
                <w:szCs w:val="20"/>
                <w:lang w:val="fr-CA"/>
              </w:rPr>
              <w:t>+</w:t>
            </w:r>
            <w:r w:rsidR="00E01336" w:rsidRPr="00357CE7">
              <w:rPr>
                <w:rFonts w:asciiTheme="majorHAnsi" w:hAnsiTheme="majorHAnsi" w:cs="Arial"/>
                <w:b w:val="0"/>
                <w:sz w:val="20"/>
                <w:szCs w:val="20"/>
                <w:lang w:val="fr-CA"/>
              </w:rPr>
              <w:t xml:space="preserve"> </w:t>
            </w:r>
            <w:r w:rsidR="00914A1A" w:rsidRPr="00357CE7">
              <w:rPr>
                <w:rFonts w:asciiTheme="majorHAnsi" w:hAnsiTheme="majorHAnsi" w:cs="Arial"/>
                <w:b w:val="0"/>
                <w:sz w:val="20"/>
                <w:szCs w:val="20"/>
                <w:lang w:val="fr-CA"/>
              </w:rPr>
              <w:t>1</w:t>
            </w:r>
            <w:r w:rsidR="00726B77" w:rsidRPr="00357CE7">
              <w:rPr>
                <w:rFonts w:asciiTheme="majorHAnsi" w:hAnsiTheme="majorHAnsi" w:cs="Arial"/>
                <w:b w:val="0"/>
                <w:sz w:val="20"/>
                <w:szCs w:val="20"/>
                <w:lang w:val="fr-CA"/>
              </w:rPr>
              <w:t> membre de l’</w:t>
            </w:r>
            <w:r w:rsidR="00914A1A" w:rsidRPr="00357CE7">
              <w:rPr>
                <w:rFonts w:asciiTheme="majorHAnsi" w:hAnsiTheme="majorHAnsi" w:cs="Arial"/>
                <w:b w:val="0"/>
                <w:sz w:val="20"/>
                <w:szCs w:val="20"/>
                <w:lang w:val="fr-CA"/>
              </w:rPr>
              <w:t>IPBES)</w:t>
            </w:r>
          </w:p>
        </w:tc>
      </w:tr>
      <w:tr w:rsidR="00501577" w:rsidRPr="0081702E" w14:paraId="65D02A04" w14:textId="77777777" w:rsidTr="001637EC">
        <w:tc>
          <w:tcPr>
            <w:tcW w:w="514" w:type="pct"/>
          </w:tcPr>
          <w:p w14:paraId="3A8D8971" w14:textId="24C223B7" w:rsidR="00914A1A" w:rsidRPr="0081702E" w:rsidRDefault="00914A1A" w:rsidP="0085476E">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lastRenderedPageBreak/>
              <w:t>3.3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Protocol</w:t>
            </w:r>
            <w:r w:rsidR="00726B77">
              <w:rPr>
                <w:rFonts w:asciiTheme="majorHAnsi" w:hAnsiTheme="majorHAnsi" w:cs="Arial"/>
                <w:b w:val="0"/>
                <w:sz w:val="20"/>
                <w:szCs w:val="20"/>
                <w:lang w:val="fr-CA"/>
              </w:rPr>
              <w:t xml:space="preserve">e pour évaluer les valeurs multiples des zones humides </w:t>
            </w:r>
            <w:r w:rsidRPr="0081702E">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r w:rsidR="0085476E">
              <w:rPr>
                <w:rFonts w:asciiTheme="majorHAnsi" w:hAnsiTheme="majorHAnsi" w:cs="Arial"/>
                <w:b w:val="0"/>
                <w:sz w:val="20"/>
                <w:szCs w:val="20"/>
                <w:lang w:val="fr-CA"/>
              </w:rPr>
              <w:t>Panoplie</w:t>
            </w:r>
            <w:r w:rsidR="00726B77">
              <w:rPr>
                <w:rFonts w:asciiTheme="majorHAnsi" w:hAnsiTheme="majorHAnsi" w:cs="Arial"/>
                <w:b w:val="0"/>
                <w:sz w:val="20"/>
                <w:szCs w:val="20"/>
                <w:lang w:val="fr-CA"/>
              </w:rPr>
              <w:t xml:space="preserve"> d’outils</w:t>
            </w:r>
          </w:p>
        </w:tc>
        <w:tc>
          <w:tcPr>
            <w:tcW w:w="297" w:type="pct"/>
          </w:tcPr>
          <w:p w14:paraId="62DE83EC" w14:textId="77777777" w:rsidR="00914A1A" w:rsidRPr="0081702E" w:rsidRDefault="00914A1A" w:rsidP="00726B77">
            <w:pPr>
              <w:keepNext/>
              <w:keepLines/>
              <w:rPr>
                <w:rFonts w:asciiTheme="majorHAnsi" w:hAnsiTheme="majorHAnsi" w:cs="Arial"/>
                <w:b w:val="0"/>
                <w:sz w:val="20"/>
                <w:szCs w:val="20"/>
                <w:lang w:val="fr-CA"/>
              </w:rPr>
            </w:pPr>
          </w:p>
        </w:tc>
        <w:tc>
          <w:tcPr>
            <w:tcW w:w="360" w:type="pct"/>
          </w:tcPr>
          <w:p w14:paraId="0D77E6B4" w14:textId="68A3AFE0" w:rsidR="00914A1A" w:rsidRPr="0081702E" w:rsidRDefault="00914A1A" w:rsidP="00726B77">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XII.13;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XII.15</w:t>
            </w:r>
          </w:p>
        </w:tc>
        <w:tc>
          <w:tcPr>
            <w:tcW w:w="385" w:type="pct"/>
          </w:tcPr>
          <w:p w14:paraId="4BDA456E" w14:textId="380953A8" w:rsidR="00914A1A" w:rsidRPr="0081702E" w:rsidRDefault="00914A1A" w:rsidP="00726B77">
            <w:pPr>
              <w:keepNext/>
              <w:keepLines/>
              <w:rPr>
                <w:rFonts w:asciiTheme="majorHAnsi" w:hAnsiTheme="majorHAnsi" w:cs="Arial"/>
                <w:sz w:val="20"/>
                <w:szCs w:val="20"/>
                <w:lang w:val="fr-CA"/>
              </w:rPr>
            </w:pPr>
            <w:r w:rsidRPr="0081702E">
              <w:rPr>
                <w:rFonts w:asciiTheme="majorHAnsi" w:hAnsiTheme="majorHAnsi" w:cs="Arial"/>
                <w:b w:val="0"/>
                <w:sz w:val="20"/>
                <w:szCs w:val="20"/>
                <w:lang w:val="fr-CA"/>
              </w:rPr>
              <w:t>3.11,</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3.12,</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3.13;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1.2</w:t>
            </w:r>
          </w:p>
        </w:tc>
        <w:tc>
          <w:tcPr>
            <w:tcW w:w="2944" w:type="pct"/>
          </w:tcPr>
          <w:p w14:paraId="0FA67617" w14:textId="4B3DF38D" w:rsidR="00914A1A" w:rsidRPr="0081702E" w:rsidRDefault="00931645" w:rsidP="00726B77">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726B77">
              <w:rPr>
                <w:rFonts w:asciiTheme="majorHAnsi" w:hAnsiTheme="majorHAnsi" w:cs="Arial"/>
                <w:b w:val="0"/>
                <w:sz w:val="20"/>
                <w:szCs w:val="20"/>
                <w:lang w:val="fr-CA"/>
              </w:rPr>
              <w:t xml:space="preserve">Le protocole méthodologique élaboré sous 3.2, traduit en </w:t>
            </w:r>
            <w:r w:rsidR="007C3AE1">
              <w:rPr>
                <w:rFonts w:asciiTheme="majorHAnsi" w:hAnsiTheme="majorHAnsi" w:cs="Arial"/>
                <w:b w:val="0"/>
                <w:sz w:val="20"/>
                <w:szCs w:val="20"/>
                <w:lang w:val="fr-CA"/>
              </w:rPr>
              <w:t>une panoplie</w:t>
            </w:r>
            <w:r w:rsidR="00726B77">
              <w:rPr>
                <w:rFonts w:asciiTheme="majorHAnsi" w:hAnsiTheme="majorHAnsi" w:cs="Arial"/>
                <w:b w:val="0"/>
                <w:sz w:val="20"/>
                <w:szCs w:val="20"/>
                <w:lang w:val="fr-CA"/>
              </w:rPr>
              <w:t xml:space="preserve"> d’outils pour aider les praticiens des zones humides à appliquer les orientations. (L</w:t>
            </w:r>
            <w:r w:rsidR="007C3AE1">
              <w:rPr>
                <w:rFonts w:asciiTheme="majorHAnsi" w:hAnsiTheme="majorHAnsi" w:cs="Arial"/>
                <w:b w:val="0"/>
                <w:sz w:val="20"/>
                <w:szCs w:val="20"/>
                <w:lang w:val="fr-CA"/>
              </w:rPr>
              <w:t>a panoplie</w:t>
            </w:r>
            <w:r w:rsidR="00726B77">
              <w:rPr>
                <w:rFonts w:asciiTheme="majorHAnsi" w:hAnsiTheme="majorHAnsi" w:cs="Arial"/>
                <w:b w:val="0"/>
                <w:sz w:val="20"/>
                <w:szCs w:val="20"/>
                <w:lang w:val="fr-CA"/>
              </w:rPr>
              <w:t xml:space="preserve"> d’outils forme partie </w:t>
            </w:r>
            <w:r w:rsidR="0019309C">
              <w:rPr>
                <w:rFonts w:asciiTheme="majorHAnsi" w:hAnsiTheme="majorHAnsi" w:cs="Arial"/>
                <w:b w:val="0"/>
                <w:sz w:val="20"/>
                <w:szCs w:val="20"/>
                <w:lang w:val="fr-CA"/>
              </w:rPr>
              <w:t xml:space="preserve">des </w:t>
            </w:r>
            <w:r w:rsidR="00726B77" w:rsidRPr="0019309C">
              <w:rPr>
                <w:rFonts w:asciiTheme="majorHAnsi" w:hAnsiTheme="majorHAnsi" w:cs="Arial"/>
                <w:b w:val="0"/>
                <w:sz w:val="20"/>
                <w:szCs w:val="20"/>
                <w:lang w:val="fr-CA"/>
              </w:rPr>
              <w:t>TWA</w:t>
            </w:r>
            <w:r w:rsidR="00726B77">
              <w:rPr>
                <w:rFonts w:asciiTheme="majorHAnsi" w:hAnsiTheme="majorHAnsi" w:cs="Arial"/>
                <w:b w:val="0"/>
                <w:sz w:val="20"/>
                <w:szCs w:val="20"/>
                <w:lang w:val="fr-CA"/>
              </w:rPr>
              <w:t xml:space="preserve"> </w:t>
            </w:r>
            <w:r w:rsidR="0019309C" w:rsidRPr="0019309C">
              <w:rPr>
                <w:rFonts w:asciiTheme="majorHAnsi" w:hAnsiTheme="majorHAnsi" w:cs="Arial"/>
                <w:b w:val="0"/>
                <w:sz w:val="20"/>
                <w:szCs w:val="20"/>
                <w:lang w:val="fr-CA"/>
              </w:rPr>
              <w:t xml:space="preserve">(outils d'évaluation des zones humides) pour la gestion </w:t>
            </w:r>
            <w:r w:rsidR="00726B77">
              <w:rPr>
                <w:rFonts w:asciiTheme="majorHAnsi" w:hAnsiTheme="majorHAnsi" w:cs="Arial"/>
                <w:b w:val="0"/>
                <w:sz w:val="20"/>
                <w:szCs w:val="20"/>
                <w:lang w:val="fr-CA"/>
              </w:rPr>
              <w:t>des zones humides.) Pour chacune des 5 étapes du protocole sur les valeurs multiples, des orientations sur les outils, méthodes et études de cas seront disponibles pour aider à l’application.</w:t>
            </w:r>
          </w:p>
          <w:p w14:paraId="000CFDC4" w14:textId="77777777" w:rsidR="00914A1A" w:rsidRPr="0081702E" w:rsidRDefault="00914A1A" w:rsidP="00726B77">
            <w:pPr>
              <w:keepNext/>
              <w:keepLines/>
              <w:rPr>
                <w:rFonts w:asciiTheme="majorHAnsi" w:hAnsiTheme="majorHAnsi" w:cs="Arial"/>
                <w:b w:val="0"/>
                <w:sz w:val="20"/>
                <w:szCs w:val="20"/>
                <w:lang w:val="fr-CA"/>
              </w:rPr>
            </w:pPr>
          </w:p>
          <w:p w14:paraId="0D6FFE88" w14:textId="72B1B684" w:rsidR="00914A1A" w:rsidRPr="0081702E" w:rsidRDefault="00931645" w:rsidP="00726B77">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186C1F">
              <w:rPr>
                <w:rFonts w:asciiTheme="majorHAnsi" w:hAnsiTheme="majorHAnsi" w:cs="Arial"/>
                <w:b w:val="0"/>
                <w:sz w:val="20"/>
                <w:szCs w:val="20"/>
                <w:lang w:val="fr-CA"/>
              </w:rPr>
              <w:t>Panoplie</w:t>
            </w:r>
            <w:r w:rsidR="00726B77">
              <w:rPr>
                <w:rFonts w:asciiTheme="majorHAnsi" w:hAnsiTheme="majorHAnsi" w:cs="Arial"/>
                <w:b w:val="0"/>
                <w:sz w:val="20"/>
                <w:szCs w:val="20"/>
                <w:lang w:val="fr-CA"/>
              </w:rPr>
              <w:t xml:space="preserve"> d’outils pour évaluer les valeurs multiples des zones humides et pour l’application en gestion intégrée. </w:t>
            </w:r>
          </w:p>
          <w:p w14:paraId="1C844EF9" w14:textId="77777777" w:rsidR="00914A1A" w:rsidRPr="0081702E" w:rsidRDefault="00914A1A" w:rsidP="00726B77">
            <w:pPr>
              <w:keepNext/>
              <w:keepLines/>
              <w:rPr>
                <w:rFonts w:asciiTheme="majorHAnsi" w:hAnsiTheme="majorHAnsi" w:cs="Arial"/>
                <w:b w:val="0"/>
                <w:sz w:val="20"/>
                <w:szCs w:val="20"/>
                <w:lang w:val="fr-CA"/>
              </w:rPr>
            </w:pPr>
          </w:p>
          <w:p w14:paraId="2DC6DE1E" w14:textId="599DB053" w:rsidR="00914A1A" w:rsidRPr="000D57FF" w:rsidRDefault="00931645" w:rsidP="00726B77">
            <w:pPr>
              <w:keepNext/>
              <w:keepLines/>
              <w:rPr>
                <w:rFonts w:asciiTheme="majorHAnsi" w:hAnsiTheme="majorHAnsi" w:cs="Arial"/>
                <w:b w:val="0"/>
                <w:sz w:val="20"/>
                <w:szCs w:val="20"/>
                <w:lang w:val="en-CA"/>
              </w:rPr>
            </w:pPr>
            <w:r w:rsidRPr="000D57FF">
              <w:rPr>
                <w:rFonts w:asciiTheme="majorHAnsi" w:hAnsiTheme="majorHAnsi" w:cs="Arial"/>
                <w:b w:val="0"/>
                <w:sz w:val="20"/>
                <w:szCs w:val="20"/>
                <w:u w:val="single"/>
                <w:lang w:val="en-CA"/>
              </w:rPr>
              <w:t>Public(s) ciblé(s)</w:t>
            </w:r>
            <w:r w:rsidRPr="000D57FF">
              <w:rPr>
                <w:rFonts w:asciiTheme="majorHAnsi" w:hAnsiTheme="majorHAnsi" w:cs="Arial"/>
                <w:b w:val="0"/>
                <w:sz w:val="20"/>
                <w:szCs w:val="20"/>
                <w:lang w:val="en-CA"/>
              </w:rPr>
              <w:t xml:space="preserve"> : </w:t>
            </w:r>
            <w:r w:rsidR="00914A1A" w:rsidRPr="000D57FF">
              <w:rPr>
                <w:rFonts w:asciiTheme="majorHAnsi" w:hAnsiTheme="majorHAnsi" w:cs="Arial"/>
                <w:b w:val="0"/>
                <w:sz w:val="20"/>
                <w:szCs w:val="20"/>
                <w:lang w:val="en-CA"/>
              </w:rPr>
              <w:t>Pra</w:t>
            </w:r>
            <w:r w:rsidR="00726B77" w:rsidRPr="000D57FF">
              <w:rPr>
                <w:rFonts w:asciiTheme="majorHAnsi" w:hAnsiTheme="majorHAnsi" w:cs="Arial"/>
                <w:b w:val="0"/>
                <w:sz w:val="20"/>
                <w:szCs w:val="20"/>
                <w:lang w:val="en-CA"/>
              </w:rPr>
              <w:t>ticiens.</w:t>
            </w:r>
            <w:r w:rsidR="00E01336" w:rsidRPr="000D57FF">
              <w:rPr>
                <w:rFonts w:asciiTheme="majorHAnsi" w:hAnsiTheme="majorHAnsi" w:cs="Arial"/>
                <w:b w:val="0"/>
                <w:sz w:val="20"/>
                <w:szCs w:val="20"/>
                <w:lang w:val="en-CA"/>
              </w:rPr>
              <w:t xml:space="preserve"> </w:t>
            </w:r>
          </w:p>
        </w:tc>
        <w:tc>
          <w:tcPr>
            <w:tcW w:w="500" w:type="pct"/>
          </w:tcPr>
          <w:p w14:paraId="4143EC61" w14:textId="2CB0D3C9" w:rsidR="00914A1A" w:rsidRPr="0081702E" w:rsidRDefault="00914A1A" w:rsidP="00C139E4">
            <w:pPr>
              <w:rPr>
                <w:rFonts w:asciiTheme="majorHAnsi" w:hAnsiTheme="majorHAnsi" w:cs="Arial"/>
                <w:b w:val="0"/>
                <w:sz w:val="20"/>
                <w:szCs w:val="20"/>
                <w:lang w:val="fr-CA"/>
              </w:rPr>
            </w:pPr>
            <w:r w:rsidRPr="0081702E">
              <w:rPr>
                <w:rFonts w:asciiTheme="majorHAnsi" w:hAnsiTheme="majorHAnsi" w:cs="Arial"/>
                <w:b w:val="0"/>
                <w:sz w:val="20"/>
                <w:szCs w:val="20"/>
                <w:lang w:val="fr-CA"/>
              </w:rPr>
              <w:t>20</w:t>
            </w:r>
            <w:r w:rsidR="00C139E4">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000</w:t>
            </w:r>
          </w:p>
        </w:tc>
      </w:tr>
      <w:tr w:rsidR="00501577" w:rsidRPr="00DF4418" w14:paraId="271802FC" w14:textId="77777777" w:rsidTr="001637EC">
        <w:tc>
          <w:tcPr>
            <w:tcW w:w="514" w:type="pct"/>
          </w:tcPr>
          <w:p w14:paraId="7DE8C10D" w14:textId="7FB91D9E" w:rsidR="00914A1A" w:rsidRPr="0081702E" w:rsidRDefault="00914A1A" w:rsidP="00726B77">
            <w:pPr>
              <w:rPr>
                <w:rFonts w:asciiTheme="majorHAnsi" w:hAnsiTheme="majorHAnsi" w:cs="Arial"/>
                <w:b w:val="0"/>
                <w:sz w:val="20"/>
                <w:szCs w:val="20"/>
                <w:lang w:val="fr-CA"/>
              </w:rPr>
            </w:pPr>
            <w:r w:rsidRPr="0081702E">
              <w:rPr>
                <w:rFonts w:asciiTheme="majorHAnsi" w:hAnsiTheme="majorHAnsi" w:cs="Arial"/>
                <w:b w:val="0"/>
                <w:sz w:val="20"/>
                <w:szCs w:val="20"/>
                <w:lang w:val="fr-CA"/>
              </w:rPr>
              <w:t>3.4</w:t>
            </w:r>
            <w:r w:rsidR="00E01336" w:rsidRPr="0081702E">
              <w:rPr>
                <w:rFonts w:asciiTheme="majorHAnsi" w:hAnsiTheme="majorHAnsi" w:cs="Arial"/>
                <w:b w:val="0"/>
                <w:sz w:val="20"/>
                <w:szCs w:val="20"/>
                <w:lang w:val="fr-CA"/>
              </w:rPr>
              <w:t xml:space="preserve"> </w:t>
            </w:r>
            <w:r w:rsidR="00726B77">
              <w:rPr>
                <w:rFonts w:asciiTheme="majorHAnsi" w:hAnsiTheme="majorHAnsi" w:cs="Arial"/>
                <w:b w:val="0"/>
                <w:sz w:val="20"/>
                <w:szCs w:val="20"/>
                <w:lang w:val="fr-CA"/>
              </w:rPr>
              <w:t xml:space="preserve">Études de cas sur « la valorisation et l’utilisation rationnelle des zones humides » </w:t>
            </w:r>
          </w:p>
        </w:tc>
        <w:tc>
          <w:tcPr>
            <w:tcW w:w="297" w:type="pct"/>
          </w:tcPr>
          <w:p w14:paraId="65431B9D" w14:textId="77777777" w:rsidR="00914A1A" w:rsidRPr="0081702E" w:rsidRDefault="00914A1A" w:rsidP="00914A1A">
            <w:pPr>
              <w:rPr>
                <w:rFonts w:asciiTheme="majorHAnsi" w:hAnsiTheme="majorHAnsi" w:cs="Arial"/>
                <w:b w:val="0"/>
                <w:sz w:val="20"/>
                <w:szCs w:val="20"/>
                <w:lang w:val="fr-CA"/>
              </w:rPr>
            </w:pPr>
          </w:p>
        </w:tc>
        <w:tc>
          <w:tcPr>
            <w:tcW w:w="360" w:type="pct"/>
          </w:tcPr>
          <w:p w14:paraId="5A8734AB" w14:textId="614F35F0" w:rsidR="00914A1A" w:rsidRPr="0081702E" w:rsidRDefault="00914A1A" w:rsidP="00914A1A">
            <w:pPr>
              <w:rPr>
                <w:rFonts w:asciiTheme="majorHAnsi" w:hAnsiTheme="majorHAnsi" w:cs="Arial"/>
                <w:sz w:val="20"/>
                <w:szCs w:val="20"/>
                <w:lang w:val="fr-CA"/>
              </w:rPr>
            </w:pPr>
            <w:r w:rsidRPr="0081702E">
              <w:rPr>
                <w:rFonts w:asciiTheme="majorHAnsi" w:hAnsiTheme="majorHAnsi" w:cs="Arial"/>
                <w:b w:val="0"/>
                <w:sz w:val="20"/>
                <w:szCs w:val="20"/>
                <w:lang w:val="fr-CA"/>
              </w:rPr>
              <w:t>XII.13;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XII.15</w:t>
            </w:r>
          </w:p>
        </w:tc>
        <w:tc>
          <w:tcPr>
            <w:tcW w:w="385" w:type="pct"/>
          </w:tcPr>
          <w:p w14:paraId="0FFC6DC6" w14:textId="11C06E67" w:rsidR="00914A1A" w:rsidRPr="0081702E" w:rsidRDefault="00914A1A" w:rsidP="00914A1A">
            <w:pPr>
              <w:rPr>
                <w:rFonts w:asciiTheme="majorHAnsi" w:hAnsiTheme="majorHAnsi" w:cs="Arial"/>
                <w:sz w:val="20"/>
                <w:szCs w:val="20"/>
                <w:lang w:val="fr-CA"/>
              </w:rPr>
            </w:pPr>
            <w:r w:rsidRPr="0081702E">
              <w:rPr>
                <w:rFonts w:asciiTheme="majorHAnsi" w:hAnsiTheme="majorHAnsi" w:cs="Arial"/>
                <w:b w:val="0"/>
                <w:sz w:val="20"/>
                <w:szCs w:val="20"/>
                <w:lang w:val="fr-CA"/>
              </w:rPr>
              <w:t>3.11,</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3.12,</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3.13;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1.2</w:t>
            </w:r>
          </w:p>
        </w:tc>
        <w:tc>
          <w:tcPr>
            <w:tcW w:w="2944" w:type="pct"/>
          </w:tcPr>
          <w:p w14:paraId="620BFCC0" w14:textId="644C171C" w:rsidR="00914A1A" w:rsidRPr="0081702E" w:rsidRDefault="00931645"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726B77">
              <w:rPr>
                <w:rFonts w:asciiTheme="majorHAnsi" w:hAnsiTheme="majorHAnsi" w:cs="Arial"/>
                <w:b w:val="0"/>
                <w:sz w:val="20"/>
                <w:szCs w:val="20"/>
                <w:lang w:val="fr-CA"/>
              </w:rPr>
              <w:t xml:space="preserve">Des études de cas sont mises à la disposition des décideurs et praticiens sur l’utilisation des valeurs multiples des zones humides dans les contextes de planification et de prise de décisions. Travaux à mener dans le cadre de la tâche 2 </w:t>
            </w:r>
            <w:r w:rsidR="0019309C">
              <w:rPr>
                <w:rFonts w:asciiTheme="majorHAnsi" w:hAnsiTheme="majorHAnsi" w:cs="Arial"/>
                <w:b w:val="0"/>
                <w:sz w:val="20"/>
                <w:szCs w:val="20"/>
                <w:lang w:val="fr-CA"/>
              </w:rPr>
              <w:t xml:space="preserve">des </w:t>
            </w:r>
            <w:r w:rsidR="00726B77" w:rsidRPr="0019309C">
              <w:rPr>
                <w:rFonts w:asciiTheme="majorHAnsi" w:hAnsiTheme="majorHAnsi" w:cs="Arial"/>
                <w:b w:val="0"/>
                <w:sz w:val="20"/>
                <w:szCs w:val="20"/>
                <w:lang w:val="fr-CA"/>
              </w:rPr>
              <w:t>TWA</w:t>
            </w:r>
            <w:r w:rsidR="00726B77">
              <w:rPr>
                <w:rFonts w:asciiTheme="majorHAnsi" w:hAnsiTheme="majorHAnsi" w:cs="Arial"/>
                <w:b w:val="0"/>
                <w:sz w:val="20"/>
                <w:szCs w:val="20"/>
                <w:lang w:val="fr-CA"/>
              </w:rPr>
              <w:t xml:space="preserve"> </w:t>
            </w:r>
            <w:r w:rsidR="0019309C">
              <w:rPr>
                <w:rFonts w:asciiTheme="majorHAnsi" w:hAnsiTheme="majorHAnsi" w:cs="Arial"/>
                <w:b w:val="0"/>
                <w:sz w:val="20"/>
                <w:szCs w:val="20"/>
                <w:lang w:val="fr-CA"/>
              </w:rPr>
              <w:t xml:space="preserve">pour la gestion </w:t>
            </w:r>
            <w:r w:rsidR="00726B77">
              <w:rPr>
                <w:rFonts w:asciiTheme="majorHAnsi" w:hAnsiTheme="majorHAnsi" w:cs="Arial"/>
                <w:b w:val="0"/>
                <w:sz w:val="20"/>
                <w:szCs w:val="20"/>
                <w:lang w:val="fr-CA"/>
              </w:rPr>
              <w:t xml:space="preserve">des zones humides. </w:t>
            </w:r>
          </w:p>
          <w:p w14:paraId="00EC37F5" w14:textId="54B05512" w:rsidR="00914A1A" w:rsidRPr="0081702E" w:rsidRDefault="00E01336"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 xml:space="preserve"> </w:t>
            </w:r>
          </w:p>
          <w:p w14:paraId="012B5C31" w14:textId="29631E00" w:rsidR="00914A1A" w:rsidRPr="0081702E" w:rsidRDefault="00931645"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726B77">
              <w:rPr>
                <w:rFonts w:asciiTheme="majorHAnsi" w:hAnsiTheme="majorHAnsi" w:cs="Arial"/>
                <w:b w:val="0"/>
                <w:sz w:val="20"/>
                <w:szCs w:val="20"/>
                <w:lang w:val="fr-CA"/>
              </w:rPr>
              <w:t>Études de cas</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w:t>
            </w:r>
            <w:r w:rsidR="00726B77">
              <w:rPr>
                <w:rFonts w:asciiTheme="majorHAnsi" w:hAnsiTheme="majorHAnsi" w:cs="Arial"/>
                <w:b w:val="0"/>
                <w:sz w:val="20"/>
                <w:szCs w:val="20"/>
                <w:lang w:val="fr-CA"/>
              </w:rPr>
              <w:t>hébergées sur une base de données en ligne, produits de communication).</w:t>
            </w:r>
          </w:p>
          <w:p w14:paraId="777C8164" w14:textId="77777777" w:rsidR="00914A1A" w:rsidRPr="0081702E" w:rsidRDefault="00914A1A" w:rsidP="00914A1A">
            <w:pPr>
              <w:rPr>
                <w:rFonts w:asciiTheme="majorHAnsi" w:hAnsiTheme="majorHAnsi" w:cs="Arial"/>
                <w:b w:val="0"/>
                <w:sz w:val="20"/>
                <w:szCs w:val="20"/>
                <w:lang w:val="fr-CA"/>
              </w:rPr>
            </w:pPr>
          </w:p>
          <w:p w14:paraId="14719B0C" w14:textId="4F1E335E" w:rsidR="00914A1A" w:rsidRPr="0081702E" w:rsidRDefault="00931645" w:rsidP="0081604E">
            <w:pPr>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81604E">
              <w:rPr>
                <w:rFonts w:asciiTheme="majorHAnsi" w:hAnsiTheme="majorHAnsi" w:cs="Arial"/>
                <w:b w:val="0"/>
                <w:sz w:val="20"/>
                <w:szCs w:val="20"/>
                <w:lang w:val="fr-CA"/>
              </w:rPr>
              <w:t>Décideurs et praticiens.</w:t>
            </w:r>
            <w:r w:rsidR="00E01336" w:rsidRPr="0081702E">
              <w:rPr>
                <w:rFonts w:asciiTheme="majorHAnsi" w:hAnsiTheme="majorHAnsi" w:cs="Arial"/>
                <w:b w:val="0"/>
                <w:sz w:val="20"/>
                <w:szCs w:val="20"/>
                <w:lang w:val="fr-CA"/>
              </w:rPr>
              <w:t xml:space="preserve"> </w:t>
            </w:r>
          </w:p>
        </w:tc>
        <w:tc>
          <w:tcPr>
            <w:tcW w:w="500" w:type="pct"/>
          </w:tcPr>
          <w:p w14:paraId="6555C94A" w14:textId="20407B1E" w:rsidR="00914A1A" w:rsidRPr="0081702E" w:rsidRDefault="00914A1A" w:rsidP="00726B77">
            <w:pPr>
              <w:rPr>
                <w:rFonts w:asciiTheme="majorHAnsi" w:hAnsiTheme="majorHAnsi" w:cs="Arial"/>
                <w:b w:val="0"/>
                <w:sz w:val="20"/>
                <w:szCs w:val="20"/>
                <w:lang w:val="fr-CA"/>
              </w:rPr>
            </w:pPr>
            <w:r w:rsidRPr="0081702E">
              <w:rPr>
                <w:rFonts w:asciiTheme="majorHAnsi" w:hAnsiTheme="majorHAnsi" w:cs="Arial"/>
                <w:b w:val="0"/>
                <w:sz w:val="20"/>
                <w:szCs w:val="20"/>
                <w:lang w:val="fr-CA"/>
              </w:rPr>
              <w:t>10</w:t>
            </w:r>
            <w:r w:rsidR="00C139E4">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000</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w:t>
            </w:r>
            <w:r w:rsidR="00726B77">
              <w:rPr>
                <w:rFonts w:asciiTheme="majorHAnsi" w:hAnsiTheme="majorHAnsi" w:cs="Arial"/>
                <w:b w:val="0"/>
                <w:sz w:val="20"/>
                <w:szCs w:val="20"/>
                <w:lang w:val="fr-CA"/>
              </w:rPr>
              <w:t>frais de</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communication</w:t>
            </w:r>
            <w:r w:rsidR="00E01336" w:rsidRPr="0081702E">
              <w:rPr>
                <w:rFonts w:asciiTheme="majorHAnsi" w:hAnsiTheme="majorHAnsi" w:cs="Arial"/>
                <w:b w:val="0"/>
                <w:sz w:val="20"/>
                <w:szCs w:val="20"/>
                <w:lang w:val="fr-CA"/>
              </w:rPr>
              <w:t xml:space="preserve"> </w:t>
            </w:r>
            <w:r w:rsidR="00726B77">
              <w:rPr>
                <w:rFonts w:asciiTheme="majorHAnsi" w:hAnsiTheme="majorHAnsi" w:cs="Arial"/>
                <w:b w:val="0"/>
                <w:sz w:val="20"/>
                <w:szCs w:val="20"/>
                <w:lang w:val="fr-CA"/>
              </w:rPr>
              <w:t xml:space="preserve">du produit à finaliser en consultation avec l’expert de CESP) </w:t>
            </w:r>
          </w:p>
        </w:tc>
      </w:tr>
    </w:tbl>
    <w:p w14:paraId="5F3754FD" w14:textId="77777777" w:rsidR="00914A1A" w:rsidRPr="0081702E" w:rsidRDefault="00914A1A" w:rsidP="00914A1A">
      <w:pPr>
        <w:rPr>
          <w:rFonts w:asciiTheme="majorHAnsi" w:hAnsiTheme="majorHAnsi" w:cs="Arial"/>
          <w:sz w:val="20"/>
          <w:szCs w:val="20"/>
          <w:lang w:val="fr-CA"/>
        </w:rPr>
      </w:pPr>
    </w:p>
    <w:p w14:paraId="68C446C6" w14:textId="77777777" w:rsidR="00914A1A" w:rsidRPr="0081702E" w:rsidRDefault="00914A1A" w:rsidP="00914A1A">
      <w:pPr>
        <w:rPr>
          <w:rFonts w:asciiTheme="majorHAnsi" w:hAnsiTheme="majorHAnsi" w:cs="Arial"/>
          <w:sz w:val="20"/>
          <w:szCs w:val="20"/>
          <w:lang w:val="fr-CA"/>
        </w:rPr>
      </w:pPr>
    </w:p>
    <w:p w14:paraId="4CDC041A" w14:textId="77777777" w:rsidR="00914A1A" w:rsidRPr="0081702E" w:rsidRDefault="00914A1A" w:rsidP="00914A1A">
      <w:pPr>
        <w:rPr>
          <w:rFonts w:asciiTheme="majorHAnsi" w:hAnsiTheme="majorHAnsi" w:cs="Arial"/>
          <w:sz w:val="20"/>
          <w:szCs w:val="20"/>
          <w:lang w:val="fr-CA"/>
        </w:rPr>
      </w:pPr>
    </w:p>
    <w:tbl>
      <w:tblPr>
        <w:tblStyle w:val="TableGrid3"/>
        <w:tblW w:w="5000" w:type="pct"/>
        <w:tblLook w:val="04A0" w:firstRow="1" w:lastRow="0" w:firstColumn="1" w:lastColumn="0" w:noHBand="0" w:noVBand="1"/>
      </w:tblPr>
      <w:tblGrid>
        <w:gridCol w:w="14174"/>
      </w:tblGrid>
      <w:tr w:rsidR="00914A1A" w:rsidRPr="00DF4418" w14:paraId="32708FB7" w14:textId="77777777" w:rsidTr="00914A1A">
        <w:tc>
          <w:tcPr>
            <w:tcW w:w="5000" w:type="pct"/>
            <w:shd w:val="clear" w:color="auto" w:fill="000000" w:themeFill="text1"/>
          </w:tcPr>
          <w:p w14:paraId="2F96420C" w14:textId="18212EED" w:rsidR="00914A1A" w:rsidRPr="0081702E" w:rsidRDefault="00C139E4" w:rsidP="0081604E">
            <w:pPr>
              <w:rPr>
                <w:rFonts w:asciiTheme="majorHAnsi" w:hAnsiTheme="majorHAnsi" w:cs="Arial"/>
                <w:sz w:val="20"/>
                <w:szCs w:val="20"/>
                <w:lang w:val="fr-CA"/>
              </w:rPr>
            </w:pPr>
            <w:r>
              <w:rPr>
                <w:rFonts w:asciiTheme="majorHAnsi" w:hAnsiTheme="majorHAnsi" w:cs="Arial"/>
                <w:sz w:val="20"/>
                <w:szCs w:val="20"/>
                <w:lang w:val="fr-CA"/>
              </w:rPr>
              <w:t>Domaine de travail thématique n</w:t>
            </w:r>
            <w:r w:rsidRPr="009746C1">
              <w:rPr>
                <w:rFonts w:asciiTheme="majorHAnsi" w:hAnsiTheme="majorHAnsi" w:cs="Arial"/>
                <w:sz w:val="20"/>
                <w:szCs w:val="20"/>
                <w:vertAlign w:val="superscript"/>
                <w:lang w:val="fr-CA"/>
              </w:rPr>
              <w:t>o</w:t>
            </w:r>
            <w:r>
              <w:rPr>
                <w:rFonts w:asciiTheme="majorHAnsi" w:hAnsiTheme="majorHAnsi" w:cs="Arial"/>
                <w:sz w:val="20"/>
                <w:szCs w:val="20"/>
                <w:lang w:val="fr-CA"/>
              </w:rPr>
              <w:t xml:space="preserve"> </w:t>
            </w:r>
            <w:r w:rsidR="00914A1A" w:rsidRPr="0081702E">
              <w:rPr>
                <w:rFonts w:asciiTheme="majorHAnsi" w:hAnsiTheme="majorHAnsi" w:cs="Arial"/>
                <w:sz w:val="20"/>
                <w:szCs w:val="20"/>
                <w:lang w:val="fr-CA"/>
              </w:rPr>
              <w:t>4</w:t>
            </w:r>
            <w:r>
              <w:rPr>
                <w:rFonts w:asciiTheme="majorHAnsi" w:hAnsiTheme="majorHAnsi" w:cs="Arial"/>
                <w:sz w:val="20"/>
                <w:szCs w:val="20"/>
                <w:lang w:val="fr-CA"/>
              </w:rPr>
              <w:t> </w:t>
            </w:r>
            <w:r w:rsidR="00914A1A" w:rsidRPr="0081702E">
              <w:rPr>
                <w:rFonts w:asciiTheme="majorHAnsi" w:hAnsiTheme="majorHAnsi" w:cs="Arial"/>
                <w:sz w:val="20"/>
                <w:szCs w:val="20"/>
                <w:lang w:val="fr-CA"/>
              </w:rPr>
              <w:t>:</w:t>
            </w:r>
            <w:r>
              <w:rPr>
                <w:rFonts w:asciiTheme="majorHAnsi" w:hAnsiTheme="majorHAnsi" w:cs="Arial"/>
                <w:sz w:val="20"/>
                <w:szCs w:val="20"/>
                <w:lang w:val="fr-CA"/>
              </w:rPr>
              <w:t xml:space="preserve"> </w:t>
            </w:r>
            <w:r w:rsidR="0081604E">
              <w:rPr>
                <w:rFonts w:asciiTheme="majorHAnsi" w:hAnsiTheme="majorHAnsi" w:cs="Arial"/>
                <w:sz w:val="20"/>
                <w:szCs w:val="20"/>
                <w:lang w:val="fr-CA"/>
              </w:rPr>
              <w:t>Concilier conservation des zones humides et développement, à savoir :</w:t>
            </w:r>
            <w:r w:rsidR="00E01336" w:rsidRPr="0081702E">
              <w:rPr>
                <w:rFonts w:asciiTheme="majorHAnsi" w:hAnsiTheme="majorHAnsi" w:cs="Arial"/>
                <w:sz w:val="20"/>
                <w:szCs w:val="20"/>
                <w:lang w:val="fr-CA"/>
              </w:rPr>
              <w:t xml:space="preserve"> </w:t>
            </w:r>
            <w:r w:rsidR="00914A1A" w:rsidRPr="0081702E">
              <w:rPr>
                <w:rFonts w:asciiTheme="majorHAnsi" w:hAnsiTheme="majorHAnsi" w:cs="Arial"/>
                <w:sz w:val="20"/>
                <w:szCs w:val="20"/>
                <w:lang w:val="fr-CA"/>
              </w:rPr>
              <w:t>infrastructure,</w:t>
            </w:r>
            <w:r w:rsidR="00E01336" w:rsidRPr="0081702E">
              <w:rPr>
                <w:rFonts w:asciiTheme="majorHAnsi" w:hAnsiTheme="majorHAnsi" w:cs="Arial"/>
                <w:sz w:val="20"/>
                <w:szCs w:val="20"/>
                <w:lang w:val="fr-CA"/>
              </w:rPr>
              <w:t xml:space="preserve"> </w:t>
            </w:r>
            <w:r w:rsidR="0081604E">
              <w:rPr>
                <w:rFonts w:asciiTheme="majorHAnsi" w:hAnsiTheme="majorHAnsi" w:cs="Arial"/>
                <w:sz w:val="20"/>
                <w:szCs w:val="20"/>
                <w:lang w:val="fr-CA"/>
              </w:rPr>
              <w:t>urbanis</w:t>
            </w:r>
            <w:r w:rsidR="00914A1A" w:rsidRPr="0081702E">
              <w:rPr>
                <w:rFonts w:asciiTheme="majorHAnsi" w:hAnsiTheme="majorHAnsi" w:cs="Arial"/>
                <w:sz w:val="20"/>
                <w:szCs w:val="20"/>
                <w:lang w:val="fr-CA"/>
              </w:rPr>
              <w:t>ation,</w:t>
            </w:r>
            <w:r w:rsidR="00E01336" w:rsidRPr="0081702E">
              <w:rPr>
                <w:rFonts w:asciiTheme="majorHAnsi" w:hAnsiTheme="majorHAnsi" w:cs="Arial"/>
                <w:sz w:val="20"/>
                <w:szCs w:val="20"/>
                <w:lang w:val="fr-CA"/>
              </w:rPr>
              <w:t xml:space="preserve"> </w:t>
            </w:r>
            <w:r w:rsidR="00914A1A" w:rsidRPr="0081702E">
              <w:rPr>
                <w:rFonts w:asciiTheme="majorHAnsi" w:hAnsiTheme="majorHAnsi" w:cs="Arial"/>
                <w:sz w:val="20"/>
                <w:szCs w:val="20"/>
                <w:lang w:val="fr-CA"/>
              </w:rPr>
              <w:t>forest</w:t>
            </w:r>
            <w:r w:rsidR="0081604E">
              <w:rPr>
                <w:rFonts w:asciiTheme="majorHAnsi" w:hAnsiTheme="majorHAnsi" w:cs="Arial"/>
                <w:sz w:val="20"/>
                <w:szCs w:val="20"/>
                <w:lang w:val="fr-CA"/>
              </w:rPr>
              <w:t>erie, industries extractives et</w:t>
            </w:r>
            <w:r w:rsidR="00E01336" w:rsidRPr="0081702E">
              <w:rPr>
                <w:rFonts w:asciiTheme="majorHAnsi" w:hAnsiTheme="majorHAnsi" w:cs="Arial"/>
                <w:sz w:val="20"/>
                <w:szCs w:val="20"/>
                <w:lang w:val="fr-CA"/>
              </w:rPr>
              <w:t xml:space="preserve"> </w:t>
            </w:r>
            <w:r w:rsidR="0081604E">
              <w:rPr>
                <w:rFonts w:asciiTheme="majorHAnsi" w:hAnsiTheme="majorHAnsi" w:cs="Arial"/>
                <w:sz w:val="20"/>
                <w:szCs w:val="20"/>
                <w:lang w:val="fr-CA"/>
              </w:rPr>
              <w:t>agriculture</w:t>
            </w:r>
          </w:p>
        </w:tc>
      </w:tr>
    </w:tbl>
    <w:p w14:paraId="234632A7" w14:textId="77777777" w:rsidR="00914A1A" w:rsidRPr="0081702E" w:rsidRDefault="00914A1A" w:rsidP="00914A1A">
      <w:pPr>
        <w:rPr>
          <w:rFonts w:asciiTheme="majorHAnsi" w:hAnsiTheme="majorHAnsi" w:cs="Arial"/>
          <w:sz w:val="20"/>
          <w:szCs w:val="20"/>
          <w:lang w:val="fr-CA"/>
        </w:rPr>
      </w:pPr>
    </w:p>
    <w:tbl>
      <w:tblPr>
        <w:tblStyle w:val="TableGrid22"/>
        <w:tblW w:w="5000" w:type="pct"/>
        <w:jc w:val="center"/>
        <w:tblLook w:val="04A0" w:firstRow="1" w:lastRow="0" w:firstColumn="1" w:lastColumn="0" w:noHBand="0" w:noVBand="1"/>
      </w:tblPr>
      <w:tblGrid>
        <w:gridCol w:w="3561"/>
        <w:gridCol w:w="10613"/>
      </w:tblGrid>
      <w:tr w:rsidR="00914A1A" w:rsidRPr="005C7E58" w14:paraId="54628828" w14:textId="77777777" w:rsidTr="00914A1A">
        <w:trPr>
          <w:jc w:val="center"/>
        </w:trPr>
        <w:tc>
          <w:tcPr>
            <w:tcW w:w="1256" w:type="pct"/>
          </w:tcPr>
          <w:p w14:paraId="5711FBF8" w14:textId="2F73851F" w:rsidR="00914A1A" w:rsidRPr="0081702E" w:rsidRDefault="00A1768B" w:rsidP="00914A1A">
            <w:pPr>
              <w:rPr>
                <w:rFonts w:asciiTheme="majorHAnsi" w:eastAsia="Calibri" w:hAnsiTheme="majorHAnsi" w:cs="Arial"/>
                <w:sz w:val="20"/>
                <w:szCs w:val="20"/>
                <w:lang w:val="fr-CA"/>
              </w:rPr>
            </w:pPr>
            <w:r>
              <w:rPr>
                <w:rFonts w:asciiTheme="majorHAnsi" w:eastAsia="Calibri" w:hAnsiTheme="majorHAnsi" w:cs="Arial"/>
                <w:sz w:val="20"/>
                <w:szCs w:val="20"/>
                <w:lang w:val="fr-CA"/>
              </w:rPr>
              <w:t>Leader</w:t>
            </w:r>
            <w:r w:rsidR="00C139E4">
              <w:rPr>
                <w:rFonts w:asciiTheme="majorHAnsi" w:eastAsia="Calibri" w:hAnsiTheme="majorHAnsi" w:cs="Arial"/>
                <w:sz w:val="20"/>
                <w:szCs w:val="20"/>
                <w:lang w:val="fr-CA"/>
              </w:rPr>
              <w:t>(s) de groupe de travail et</w:t>
            </w:r>
            <w:r w:rsidR="00C139E4" w:rsidRPr="0081702E">
              <w:rPr>
                <w:rFonts w:asciiTheme="majorHAnsi" w:eastAsia="Calibri" w:hAnsiTheme="majorHAnsi" w:cs="Arial"/>
                <w:sz w:val="20"/>
                <w:szCs w:val="20"/>
                <w:lang w:val="fr-CA"/>
              </w:rPr>
              <w:t xml:space="preserve"> participants</w:t>
            </w:r>
            <w:r w:rsidR="00C139E4">
              <w:rPr>
                <w:rFonts w:asciiTheme="majorHAnsi" w:eastAsia="Calibri" w:hAnsiTheme="majorHAnsi" w:cs="Arial"/>
                <w:sz w:val="20"/>
                <w:szCs w:val="20"/>
                <w:lang w:val="fr-CA"/>
              </w:rPr>
              <w:t> :</w:t>
            </w:r>
          </w:p>
        </w:tc>
        <w:tc>
          <w:tcPr>
            <w:tcW w:w="3744" w:type="pct"/>
          </w:tcPr>
          <w:p w14:paraId="67FC47FC" w14:textId="7BFFB74B" w:rsidR="00914A1A" w:rsidRPr="0081702E" w:rsidRDefault="00914A1A" w:rsidP="00A1768B">
            <w:pPr>
              <w:rPr>
                <w:rFonts w:asciiTheme="majorHAnsi" w:eastAsia="Calibri" w:hAnsiTheme="majorHAnsi" w:cs="Arial"/>
                <w:b w:val="0"/>
                <w:sz w:val="20"/>
                <w:szCs w:val="20"/>
                <w:lang w:val="fr-CA"/>
              </w:rPr>
            </w:pPr>
            <w:r w:rsidRPr="0081702E">
              <w:rPr>
                <w:rFonts w:asciiTheme="majorHAnsi" w:hAnsiTheme="majorHAnsi" w:cs="Arial"/>
                <w:b w:val="0"/>
                <w:sz w:val="20"/>
                <w:szCs w:val="20"/>
                <w:lang w:val="fr-CA"/>
              </w:rPr>
              <w:t>Laura</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Martinez</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w:t>
            </w:r>
            <w:r w:rsidR="00A1768B">
              <w:rPr>
                <w:rFonts w:asciiTheme="majorHAnsi" w:hAnsiTheme="majorHAnsi" w:cs="Arial"/>
                <w:b w:val="0"/>
                <w:sz w:val="20"/>
                <w:szCs w:val="20"/>
                <w:lang w:val="fr-CA"/>
              </w:rPr>
              <w:t>leader</w:t>
            </w:r>
            <w:r w:rsidRPr="0081702E">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Roy</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Gardner,</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Kassim</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Kulindwa,</w:t>
            </w:r>
            <w:r w:rsidR="00A41C65">
              <w:rPr>
                <w:rFonts w:asciiTheme="majorHAnsi" w:hAnsiTheme="majorHAnsi" w:cs="Arial"/>
                <w:b w:val="0"/>
                <w:sz w:val="20"/>
                <w:szCs w:val="20"/>
                <w:lang w:val="fr-CA"/>
              </w:rPr>
              <w:t xml:space="preserve"> Dulce Infante Mata,</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Rubén</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Quintana</w:t>
            </w:r>
            <w:r w:rsidR="00E01336" w:rsidRPr="0081702E">
              <w:rPr>
                <w:rFonts w:asciiTheme="majorHAnsi" w:hAnsiTheme="majorHAnsi" w:cs="Arial"/>
                <w:b w:val="0"/>
                <w:sz w:val="20"/>
                <w:szCs w:val="20"/>
                <w:lang w:val="fr-CA"/>
              </w:rPr>
              <w:t xml:space="preserve"> </w:t>
            </w:r>
          </w:p>
        </w:tc>
      </w:tr>
      <w:tr w:rsidR="00914A1A" w:rsidRPr="0081702E" w14:paraId="01A47383" w14:textId="77777777" w:rsidTr="00914A1A">
        <w:trPr>
          <w:jc w:val="center"/>
        </w:trPr>
        <w:tc>
          <w:tcPr>
            <w:tcW w:w="1256" w:type="pct"/>
          </w:tcPr>
          <w:p w14:paraId="630E38CD" w14:textId="469D864C" w:rsidR="00914A1A" w:rsidRPr="0081702E" w:rsidRDefault="00C139E4" w:rsidP="00914A1A">
            <w:pPr>
              <w:rPr>
                <w:rFonts w:asciiTheme="majorHAnsi" w:eastAsia="Calibri" w:hAnsiTheme="majorHAnsi" w:cs="Arial"/>
                <w:sz w:val="20"/>
                <w:szCs w:val="20"/>
                <w:lang w:val="fr-CA"/>
              </w:rPr>
            </w:pPr>
            <w:r>
              <w:rPr>
                <w:rFonts w:asciiTheme="majorHAnsi" w:eastAsia="Calibri" w:hAnsiTheme="majorHAnsi" w:cs="Arial"/>
                <w:sz w:val="20"/>
                <w:szCs w:val="20"/>
                <w:lang w:val="fr-CA"/>
              </w:rPr>
              <w:t>Correspondant au Secrétariat :</w:t>
            </w:r>
          </w:p>
        </w:tc>
        <w:tc>
          <w:tcPr>
            <w:tcW w:w="3744" w:type="pct"/>
          </w:tcPr>
          <w:p w14:paraId="33A5FB3F" w14:textId="573AD5D8" w:rsidR="00914A1A" w:rsidRPr="0081702E" w:rsidRDefault="00914A1A" w:rsidP="00914A1A">
            <w:pPr>
              <w:rPr>
                <w:rFonts w:asciiTheme="majorHAnsi" w:hAnsiTheme="majorHAnsi" w:cs="Arial"/>
                <w:sz w:val="20"/>
                <w:szCs w:val="20"/>
                <w:lang w:val="fr-CA"/>
              </w:rPr>
            </w:pPr>
            <w:r w:rsidRPr="0081702E">
              <w:rPr>
                <w:rFonts w:asciiTheme="majorHAnsi" w:hAnsiTheme="majorHAnsi" w:cs="Arial"/>
                <w:b w:val="0"/>
                <w:sz w:val="20"/>
                <w:szCs w:val="20"/>
                <w:lang w:val="fr-CA"/>
              </w:rPr>
              <w:t>Ania</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Grobicki</w:t>
            </w:r>
          </w:p>
        </w:tc>
      </w:tr>
      <w:tr w:rsidR="00914A1A" w:rsidRPr="00DF4418" w14:paraId="580CF6E7" w14:textId="77777777" w:rsidTr="00914A1A">
        <w:trPr>
          <w:jc w:val="center"/>
        </w:trPr>
        <w:tc>
          <w:tcPr>
            <w:tcW w:w="1256" w:type="pct"/>
          </w:tcPr>
          <w:p w14:paraId="1CF010FB" w14:textId="05336323" w:rsidR="00914A1A" w:rsidRPr="0081702E" w:rsidRDefault="00C139E4" w:rsidP="00914A1A">
            <w:pPr>
              <w:rPr>
                <w:rFonts w:asciiTheme="majorHAnsi" w:eastAsia="Calibri" w:hAnsiTheme="majorHAnsi" w:cs="Arial"/>
                <w:sz w:val="20"/>
                <w:szCs w:val="20"/>
                <w:lang w:val="fr-CA"/>
              </w:rPr>
            </w:pPr>
            <w:r>
              <w:rPr>
                <w:rFonts w:asciiTheme="majorHAnsi" w:eastAsia="Calibri" w:hAnsiTheme="majorHAnsi" w:cs="Arial"/>
                <w:sz w:val="20"/>
                <w:szCs w:val="20"/>
                <w:lang w:val="fr-CA"/>
              </w:rPr>
              <w:t xml:space="preserve">Organisations participantes : </w:t>
            </w:r>
            <w:r w:rsidRPr="0081702E">
              <w:rPr>
                <w:rFonts w:asciiTheme="majorHAnsi" w:eastAsia="Calibri" w:hAnsiTheme="majorHAnsi" w:cs="Arial"/>
                <w:sz w:val="20"/>
                <w:szCs w:val="20"/>
                <w:lang w:val="fr-CA"/>
              </w:rPr>
              <w:t>[</w:t>
            </w:r>
            <w:r>
              <w:rPr>
                <w:rFonts w:asciiTheme="majorHAnsi" w:eastAsia="Calibri" w:hAnsiTheme="majorHAnsi" w:cs="Arial"/>
                <w:sz w:val="20"/>
                <w:szCs w:val="20"/>
                <w:lang w:val="fr-CA"/>
              </w:rPr>
              <w:t>OIP</w:t>
            </w:r>
            <w:r w:rsidRPr="0081702E">
              <w:rPr>
                <w:rFonts w:asciiTheme="majorHAnsi" w:eastAsia="Calibri" w:hAnsiTheme="majorHAnsi" w:cs="Arial"/>
                <w:sz w:val="20"/>
                <w:szCs w:val="20"/>
                <w:lang w:val="fr-CA"/>
              </w:rPr>
              <w:t>/observ</w:t>
            </w:r>
            <w:r>
              <w:rPr>
                <w:rFonts w:asciiTheme="majorHAnsi" w:eastAsia="Calibri" w:hAnsiTheme="majorHAnsi" w:cs="Arial"/>
                <w:sz w:val="20"/>
                <w:szCs w:val="20"/>
                <w:lang w:val="fr-CA"/>
              </w:rPr>
              <w:t>ateurs</w:t>
            </w:r>
            <w:r w:rsidRPr="0081702E">
              <w:rPr>
                <w:rFonts w:asciiTheme="majorHAnsi" w:eastAsia="Calibri" w:hAnsiTheme="majorHAnsi" w:cs="Arial"/>
                <w:sz w:val="20"/>
                <w:szCs w:val="20"/>
                <w:lang w:val="fr-CA"/>
              </w:rPr>
              <w:t>/</w:t>
            </w:r>
            <w:r>
              <w:rPr>
                <w:rFonts w:asciiTheme="majorHAnsi" w:eastAsia="Calibri" w:hAnsiTheme="majorHAnsi" w:cs="Arial"/>
                <w:sz w:val="20"/>
                <w:szCs w:val="20"/>
                <w:lang w:val="fr-CA"/>
              </w:rPr>
              <w:t>autres</w:t>
            </w:r>
            <w:r w:rsidRPr="0081702E">
              <w:rPr>
                <w:rFonts w:asciiTheme="majorHAnsi" w:eastAsia="Calibri" w:hAnsiTheme="majorHAnsi" w:cs="Arial"/>
                <w:sz w:val="20"/>
                <w:szCs w:val="20"/>
                <w:lang w:val="fr-CA"/>
              </w:rPr>
              <w:t>]</w:t>
            </w:r>
          </w:p>
        </w:tc>
        <w:tc>
          <w:tcPr>
            <w:tcW w:w="3744" w:type="pct"/>
          </w:tcPr>
          <w:p w14:paraId="40C81CFD" w14:textId="32C1589A" w:rsidR="00914A1A" w:rsidRPr="0081702E" w:rsidRDefault="00914A1A" w:rsidP="00B02716">
            <w:pPr>
              <w:rPr>
                <w:rFonts w:asciiTheme="majorHAnsi" w:eastAsia="Calibri" w:hAnsiTheme="majorHAnsi" w:cs="Arial"/>
                <w:b w:val="0"/>
                <w:sz w:val="20"/>
                <w:szCs w:val="20"/>
                <w:lang w:val="fr-CA"/>
              </w:rPr>
            </w:pPr>
            <w:r w:rsidRPr="0081702E">
              <w:rPr>
                <w:rFonts w:asciiTheme="majorHAnsi" w:eastAsia="Calibri" w:hAnsiTheme="majorHAnsi" w:cs="Arial"/>
                <w:b w:val="0"/>
                <w:sz w:val="20"/>
                <w:szCs w:val="20"/>
                <w:lang w:val="fr-CA"/>
              </w:rPr>
              <w:t>BirdLife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International</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(Zoltan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Waliczky),</w:t>
            </w:r>
            <w:r w:rsidR="00E01336" w:rsidRPr="0081702E">
              <w:rPr>
                <w:rFonts w:asciiTheme="majorHAnsi" w:eastAsia="Calibri" w:hAnsiTheme="majorHAnsi" w:cs="Arial"/>
                <w:b w:val="0"/>
                <w:sz w:val="20"/>
                <w:szCs w:val="20"/>
                <w:lang w:val="fr-CA"/>
              </w:rPr>
              <w:t xml:space="preserve"> </w:t>
            </w:r>
            <w:r w:rsidR="0081604E">
              <w:rPr>
                <w:rFonts w:asciiTheme="majorHAnsi" w:eastAsia="Calibri" w:hAnsiTheme="majorHAnsi" w:cs="Arial"/>
                <w:b w:val="0"/>
                <w:sz w:val="20"/>
                <w:szCs w:val="20"/>
                <w:lang w:val="fr-CA"/>
              </w:rPr>
              <w:t>UICN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(Stefano</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Barchiesi),</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IWMI</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(Sanjiv</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Silva),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WWF</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International</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(Denis</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Landenbergue,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Lifeng</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Li)/</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FAO</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t>
            </w:r>
            <w:r w:rsidR="0081604E">
              <w:rPr>
                <w:rFonts w:asciiTheme="majorHAnsi" w:eastAsia="Calibri" w:hAnsiTheme="majorHAnsi" w:cs="Arial"/>
                <w:b w:val="0"/>
                <w:sz w:val="20"/>
                <w:szCs w:val="20"/>
                <w:lang w:val="fr-CA"/>
              </w:rPr>
              <w:t>à confirmer</w:t>
            </w:r>
            <w:r w:rsidRPr="0081702E">
              <w:rPr>
                <w:rFonts w:asciiTheme="majorHAnsi" w:eastAsia="Calibri" w:hAnsiTheme="majorHAnsi" w:cs="Arial"/>
                <w:b w:val="0"/>
                <w:sz w:val="20"/>
                <w:szCs w:val="20"/>
                <w:lang w:val="fr-CA"/>
              </w:rPr>
              <w: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SWS</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(Nick</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Davidson),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TNC</w:t>
            </w:r>
            <w:r w:rsidR="00E01336" w:rsidRPr="0081702E">
              <w:rPr>
                <w:rFonts w:asciiTheme="majorHAnsi" w:eastAsia="Calibri" w:hAnsiTheme="majorHAnsi" w:cs="Arial"/>
                <w:b w:val="0"/>
                <w:sz w:val="20"/>
                <w:szCs w:val="20"/>
                <w:lang w:val="fr-CA"/>
              </w:rPr>
              <w:t xml:space="preserve"> </w:t>
            </w:r>
            <w:r w:rsidR="0081604E">
              <w:rPr>
                <w:rFonts w:asciiTheme="majorHAnsi" w:eastAsia="Calibri" w:hAnsiTheme="majorHAnsi" w:cs="Arial"/>
                <w:b w:val="0"/>
                <w:sz w:val="20"/>
                <w:szCs w:val="20"/>
                <w:lang w:val="fr-CA"/>
              </w:rPr>
              <w:t>[</w:t>
            </w:r>
            <w:r w:rsidRPr="0081702E">
              <w:rPr>
                <w:rFonts w:asciiTheme="majorHAnsi" w:eastAsia="Calibri" w:hAnsiTheme="majorHAnsi" w:cs="Arial"/>
                <w:b w:val="0"/>
                <w:sz w:val="20"/>
                <w:szCs w:val="20"/>
                <w:lang w:val="fr-CA"/>
              </w:rPr>
              <w:t>Boze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Hancok</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t>
            </w:r>
            <w:r w:rsidR="0081604E">
              <w:rPr>
                <w:rFonts w:asciiTheme="majorHAnsi" w:eastAsia="Calibri" w:hAnsiTheme="majorHAnsi" w:cs="Arial"/>
                <w:b w:val="0"/>
                <w:sz w:val="20"/>
                <w:szCs w:val="20"/>
                <w:lang w:val="fr-CA"/>
              </w:rPr>
              <w:t>à confirmer</w:t>
            </w:r>
            <w:r w:rsidRPr="0081702E">
              <w:rPr>
                <w:rFonts w:asciiTheme="majorHAnsi" w:eastAsia="Calibri" w:hAnsiTheme="majorHAnsi" w:cs="Arial"/>
                <w:b w:val="0"/>
                <w:sz w:val="20"/>
                <w:szCs w:val="20"/>
                <w:lang w:val="fr-CA"/>
              </w:rPr>
              <w:t>)</w:t>
            </w:r>
            <w:r w:rsidR="0081604E">
              <w:rPr>
                <w:rFonts w:asciiTheme="majorHAnsi" w:eastAsia="Calibri" w:hAnsiTheme="majorHAnsi" w:cs="Arial"/>
                <w:b w:val="0"/>
                <w:sz w:val="20"/>
                <w:szCs w:val="20"/>
                <w:lang w:val="fr-CA"/>
              </w:rPr>
              <w:t>]</w:t>
            </w:r>
            <w:r w:rsidRPr="0081702E">
              <w:rPr>
                <w:rFonts w:asciiTheme="majorHAnsi" w:eastAsia="Calibri" w:hAnsiTheme="majorHAnsi" w:cs="Arial"/>
                <w:b w:val="0"/>
                <w:sz w:val="20"/>
                <w:szCs w:val="20"/>
                <w:lang w:val="fr-CA"/>
              </w:rPr>
              <w: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UNESCO-IHE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(Anne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van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Dam)/</w:t>
            </w:r>
            <w:r w:rsidR="0081604E">
              <w:rPr>
                <w:rFonts w:asciiTheme="majorHAnsi" w:eastAsia="Calibri" w:hAnsiTheme="majorHAnsi" w:cs="Arial"/>
                <w:b w:val="0"/>
                <w:sz w:val="20"/>
                <w:szCs w:val="20"/>
                <w:lang w:val="fr-CA"/>
              </w:rPr>
              <w:t>CN GEST Malaisie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t>
            </w:r>
            <w:r w:rsidRPr="0081702E">
              <w:rPr>
                <w:rFonts w:asciiTheme="majorHAnsi" w:hAnsiTheme="majorHAnsi" w:cs="Arial"/>
                <w:b w:val="0"/>
                <w:sz w:val="20"/>
                <w:szCs w:val="20"/>
                <w:lang w:val="fr-CA"/>
              </w:rPr>
              <w:t>Abdullah</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Rahman),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eFlowNet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t>
            </w:r>
            <w:r w:rsidR="0081604E">
              <w:rPr>
                <w:rFonts w:asciiTheme="majorHAnsi" w:eastAsia="Calibri" w:hAnsiTheme="majorHAnsi" w:cs="Arial"/>
                <w:b w:val="0"/>
                <w:sz w:val="20"/>
                <w:szCs w:val="20"/>
                <w:lang w:val="fr-CA"/>
              </w:rPr>
              <w:t>à confirmer</w:t>
            </w:r>
            <w:r w:rsidRPr="0081702E">
              <w:rPr>
                <w:rFonts w:asciiTheme="majorHAnsi" w:eastAsia="Calibri" w:hAnsiTheme="majorHAnsi" w:cs="Arial"/>
                <w:b w:val="0"/>
                <w:sz w:val="20"/>
                <w:szCs w:val="20"/>
                <w:lang w:val="fr-CA"/>
              </w:rPr>
              <w: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SIWI</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t>
            </w:r>
            <w:r w:rsidR="0081604E">
              <w:rPr>
                <w:rFonts w:asciiTheme="majorHAnsi" w:eastAsia="Calibri" w:hAnsiTheme="majorHAnsi" w:cs="Arial"/>
                <w:b w:val="0"/>
                <w:sz w:val="20"/>
                <w:szCs w:val="20"/>
                <w:lang w:val="fr-CA"/>
              </w:rPr>
              <w:t>à confirmer</w:t>
            </w:r>
            <w:r w:rsidRPr="0081702E">
              <w:rPr>
                <w:rFonts w:asciiTheme="majorHAnsi" w:eastAsia="Calibri" w:hAnsiTheme="majorHAnsi" w:cs="Arial"/>
                <w:b w:val="0"/>
                <w:sz w:val="20"/>
                <w:szCs w:val="20"/>
                <w:lang w:val="fr-CA"/>
              </w:rPr>
              <w:t>)</w:t>
            </w:r>
          </w:p>
        </w:tc>
      </w:tr>
    </w:tbl>
    <w:p w14:paraId="0468EE1D" w14:textId="77777777" w:rsidR="00914A1A" w:rsidRPr="0081702E" w:rsidRDefault="00914A1A" w:rsidP="00914A1A">
      <w:pPr>
        <w:rPr>
          <w:rFonts w:asciiTheme="majorHAnsi" w:hAnsiTheme="majorHAnsi" w:cs="Arial"/>
          <w:sz w:val="20"/>
          <w:szCs w:val="20"/>
          <w:lang w:val="fr-CA"/>
        </w:rPr>
      </w:pPr>
    </w:p>
    <w:tbl>
      <w:tblPr>
        <w:tblStyle w:val="TableGrid3"/>
        <w:tblW w:w="5030" w:type="pct"/>
        <w:tblInd w:w="-85" w:type="dxa"/>
        <w:tblLayout w:type="fixed"/>
        <w:tblCellMar>
          <w:top w:w="57" w:type="dxa"/>
          <w:left w:w="57" w:type="dxa"/>
          <w:bottom w:w="57" w:type="dxa"/>
          <w:right w:w="57" w:type="dxa"/>
        </w:tblCellMar>
        <w:tblLook w:val="04A0" w:firstRow="1" w:lastRow="0" w:firstColumn="1" w:lastColumn="0" w:noHBand="0" w:noVBand="1"/>
      </w:tblPr>
      <w:tblGrid>
        <w:gridCol w:w="1452"/>
        <w:gridCol w:w="849"/>
        <w:gridCol w:w="1019"/>
        <w:gridCol w:w="1099"/>
        <w:gridCol w:w="8338"/>
        <w:gridCol w:w="1399"/>
      </w:tblGrid>
      <w:tr w:rsidR="00E01336" w:rsidRPr="0081702E" w14:paraId="1580BDD2" w14:textId="77777777" w:rsidTr="00C139E4">
        <w:trPr>
          <w:tblHeader/>
        </w:trPr>
        <w:tc>
          <w:tcPr>
            <w:tcW w:w="513" w:type="pct"/>
            <w:shd w:val="clear" w:color="auto" w:fill="D9D9D9" w:themeFill="background1" w:themeFillShade="D9"/>
          </w:tcPr>
          <w:p w14:paraId="4A00CA4A" w14:textId="6B73AD73" w:rsidR="00914A1A" w:rsidRPr="0081702E" w:rsidRDefault="00C139E4" w:rsidP="00914A1A">
            <w:pPr>
              <w:jc w:val="center"/>
              <w:rPr>
                <w:rFonts w:asciiTheme="majorHAnsi" w:hAnsiTheme="majorHAnsi" w:cs="Arial"/>
                <w:sz w:val="20"/>
                <w:szCs w:val="20"/>
                <w:lang w:val="fr-CA"/>
              </w:rPr>
            </w:pPr>
            <w:r>
              <w:rPr>
                <w:rFonts w:asciiTheme="majorHAnsi" w:hAnsiTheme="majorHAnsi" w:cs="Arial"/>
                <w:sz w:val="20"/>
                <w:szCs w:val="20"/>
                <w:lang w:val="fr-CA"/>
              </w:rPr>
              <w:lastRenderedPageBreak/>
              <w:t>N</w:t>
            </w:r>
            <w:r w:rsidRPr="00130D8F">
              <w:rPr>
                <w:rFonts w:asciiTheme="majorHAnsi" w:hAnsiTheme="majorHAnsi" w:cs="Arial"/>
                <w:sz w:val="20"/>
                <w:szCs w:val="20"/>
                <w:vertAlign w:val="superscript"/>
                <w:lang w:val="fr-CA"/>
              </w:rPr>
              <w:t>o</w:t>
            </w:r>
            <w:r>
              <w:rPr>
                <w:rFonts w:asciiTheme="majorHAnsi" w:hAnsiTheme="majorHAnsi" w:cs="Arial"/>
                <w:sz w:val="20"/>
                <w:szCs w:val="20"/>
                <w:lang w:val="fr-CA"/>
              </w:rPr>
              <w:t xml:space="preserve"> de tâche, titre</w:t>
            </w:r>
          </w:p>
        </w:tc>
        <w:tc>
          <w:tcPr>
            <w:tcW w:w="300" w:type="pct"/>
            <w:shd w:val="clear" w:color="auto" w:fill="D9D9D9" w:themeFill="background1" w:themeFillShade="D9"/>
          </w:tcPr>
          <w:p w14:paraId="1B5D4B15" w14:textId="456841CD" w:rsidR="00914A1A" w:rsidRPr="0081702E" w:rsidRDefault="00C139E4" w:rsidP="00914A1A">
            <w:pPr>
              <w:jc w:val="center"/>
              <w:rPr>
                <w:rFonts w:asciiTheme="majorHAnsi" w:hAnsiTheme="majorHAnsi" w:cs="Arial"/>
                <w:sz w:val="20"/>
                <w:szCs w:val="20"/>
                <w:lang w:val="fr-CA"/>
              </w:rPr>
            </w:pPr>
            <w:r w:rsidRPr="0081702E">
              <w:rPr>
                <w:rFonts w:asciiTheme="majorHAnsi" w:hAnsiTheme="majorHAnsi" w:cs="Arial"/>
                <w:sz w:val="20"/>
                <w:szCs w:val="20"/>
                <w:lang w:val="fr-CA"/>
              </w:rPr>
              <w:t>Priorité</w:t>
            </w:r>
          </w:p>
        </w:tc>
        <w:tc>
          <w:tcPr>
            <w:tcW w:w="360" w:type="pct"/>
            <w:shd w:val="clear" w:color="auto" w:fill="D9D9D9" w:themeFill="background1" w:themeFillShade="D9"/>
          </w:tcPr>
          <w:p w14:paraId="65162211" w14:textId="675702E5" w:rsidR="00914A1A" w:rsidRPr="0081702E" w:rsidRDefault="00C139E4" w:rsidP="00914A1A">
            <w:pPr>
              <w:jc w:val="center"/>
              <w:rPr>
                <w:rFonts w:asciiTheme="majorHAnsi" w:hAnsiTheme="majorHAnsi" w:cs="Arial"/>
                <w:sz w:val="20"/>
                <w:szCs w:val="20"/>
                <w:lang w:val="fr-CA"/>
              </w:rPr>
            </w:pPr>
            <w:r>
              <w:rPr>
                <w:rFonts w:asciiTheme="majorHAnsi" w:hAnsiTheme="majorHAnsi" w:cs="Arial"/>
                <w:sz w:val="20"/>
                <w:szCs w:val="20"/>
                <w:lang w:val="fr-CA"/>
              </w:rPr>
              <w:t>Résolution</w:t>
            </w:r>
          </w:p>
        </w:tc>
        <w:tc>
          <w:tcPr>
            <w:tcW w:w="388" w:type="pct"/>
            <w:shd w:val="clear" w:color="auto" w:fill="D9D9D9" w:themeFill="background1" w:themeFillShade="D9"/>
          </w:tcPr>
          <w:p w14:paraId="1D25E448" w14:textId="5EDAD656" w:rsidR="00914A1A" w:rsidRPr="0081702E" w:rsidRDefault="00C139E4" w:rsidP="00914A1A">
            <w:pPr>
              <w:jc w:val="center"/>
              <w:rPr>
                <w:rFonts w:asciiTheme="majorHAnsi" w:hAnsiTheme="majorHAnsi" w:cs="Arial"/>
                <w:sz w:val="20"/>
                <w:szCs w:val="20"/>
                <w:lang w:val="fr-CA"/>
              </w:rPr>
            </w:pPr>
            <w:r>
              <w:rPr>
                <w:rFonts w:asciiTheme="majorHAnsi" w:eastAsia="Calibri" w:hAnsiTheme="majorHAnsi" w:cs="Arial"/>
                <w:sz w:val="20"/>
                <w:szCs w:val="20"/>
                <w:lang w:val="fr-CA"/>
              </w:rPr>
              <w:t>But et objectif PS</w:t>
            </w:r>
          </w:p>
        </w:tc>
        <w:tc>
          <w:tcPr>
            <w:tcW w:w="2945" w:type="pct"/>
            <w:shd w:val="clear" w:color="auto" w:fill="D9D9D9" w:themeFill="background1" w:themeFillShade="D9"/>
          </w:tcPr>
          <w:p w14:paraId="51B36C88" w14:textId="1185AAAA" w:rsidR="00914A1A" w:rsidRPr="0081702E" w:rsidRDefault="00C139E4" w:rsidP="00914A1A">
            <w:pPr>
              <w:jc w:val="center"/>
              <w:rPr>
                <w:rFonts w:asciiTheme="majorHAnsi" w:hAnsiTheme="majorHAnsi" w:cs="Arial"/>
                <w:sz w:val="20"/>
                <w:szCs w:val="20"/>
                <w:lang w:val="fr-CA"/>
              </w:rPr>
            </w:pPr>
            <w:r>
              <w:rPr>
                <w:rFonts w:asciiTheme="majorHAnsi" w:hAnsiTheme="majorHAnsi" w:cs="Arial"/>
                <w:sz w:val="20"/>
                <w:szCs w:val="20"/>
                <w:lang w:val="fr-CA"/>
              </w:rPr>
              <w:t>Description de tâche, public ciblé et résultats escomptés</w:t>
            </w:r>
          </w:p>
        </w:tc>
        <w:tc>
          <w:tcPr>
            <w:tcW w:w="494" w:type="pct"/>
            <w:shd w:val="clear" w:color="auto" w:fill="D9D9D9" w:themeFill="background1" w:themeFillShade="D9"/>
          </w:tcPr>
          <w:p w14:paraId="6B577718" w14:textId="7EEA8197" w:rsidR="00914A1A" w:rsidRPr="0081702E" w:rsidRDefault="00C139E4" w:rsidP="00914A1A">
            <w:pPr>
              <w:jc w:val="center"/>
              <w:rPr>
                <w:rFonts w:asciiTheme="majorHAnsi" w:hAnsiTheme="majorHAnsi" w:cs="Arial"/>
                <w:sz w:val="20"/>
                <w:szCs w:val="20"/>
                <w:lang w:val="fr-CA"/>
              </w:rPr>
            </w:pPr>
            <w:r>
              <w:rPr>
                <w:rFonts w:asciiTheme="majorHAnsi" w:hAnsiTheme="majorHAnsi" w:cs="Arial"/>
                <w:sz w:val="20"/>
                <w:szCs w:val="20"/>
                <w:lang w:val="fr-CA"/>
              </w:rPr>
              <w:t>Coûts</w:t>
            </w:r>
            <w:r w:rsidR="00E01336" w:rsidRPr="0081702E">
              <w:rPr>
                <w:rFonts w:asciiTheme="majorHAnsi" w:hAnsiTheme="majorHAnsi" w:cs="Arial"/>
                <w:sz w:val="20"/>
                <w:szCs w:val="20"/>
                <w:lang w:val="fr-CA"/>
              </w:rPr>
              <w:t xml:space="preserve"> </w:t>
            </w:r>
            <w:r w:rsidR="00914A1A" w:rsidRPr="0081702E">
              <w:rPr>
                <w:rFonts w:asciiTheme="majorHAnsi" w:hAnsiTheme="majorHAnsi" w:cs="Arial"/>
                <w:sz w:val="20"/>
                <w:szCs w:val="20"/>
                <w:lang w:val="fr-CA"/>
              </w:rPr>
              <w:t>CHF</w:t>
            </w:r>
          </w:p>
        </w:tc>
      </w:tr>
      <w:tr w:rsidR="00E01336" w:rsidRPr="00DF4418" w14:paraId="610EAD5E" w14:textId="77777777" w:rsidTr="00C139E4">
        <w:tc>
          <w:tcPr>
            <w:tcW w:w="513" w:type="pct"/>
          </w:tcPr>
          <w:p w14:paraId="06FEDC90" w14:textId="39D1B6A6" w:rsidR="00914A1A" w:rsidRPr="0081702E" w:rsidRDefault="00914A1A" w:rsidP="007247E2">
            <w:pPr>
              <w:rPr>
                <w:rFonts w:asciiTheme="majorHAnsi" w:hAnsiTheme="majorHAnsi" w:cs="Arial"/>
                <w:b w:val="0"/>
                <w:sz w:val="20"/>
                <w:szCs w:val="20"/>
                <w:lang w:val="fr-CA"/>
              </w:rPr>
            </w:pPr>
            <w:r w:rsidRPr="0081702E">
              <w:rPr>
                <w:rFonts w:asciiTheme="majorHAnsi" w:hAnsiTheme="majorHAnsi" w:cs="Arial"/>
                <w:b w:val="0"/>
                <w:sz w:val="20"/>
                <w:szCs w:val="20"/>
                <w:lang w:val="fr-CA"/>
              </w:rPr>
              <w:t>4.1</w:t>
            </w:r>
            <w:r w:rsidR="00E01336" w:rsidRPr="0081702E">
              <w:rPr>
                <w:rFonts w:asciiTheme="majorHAnsi" w:hAnsiTheme="majorHAnsi" w:cs="Arial"/>
                <w:b w:val="0"/>
                <w:sz w:val="20"/>
                <w:szCs w:val="20"/>
                <w:lang w:val="fr-CA"/>
              </w:rPr>
              <w:t xml:space="preserve"> </w:t>
            </w:r>
            <w:r w:rsidR="0081604E" w:rsidRPr="0081604E">
              <w:rPr>
                <w:rFonts w:asciiTheme="majorHAnsi" w:hAnsiTheme="majorHAnsi" w:cs="Arial"/>
                <w:b w:val="0"/>
                <w:sz w:val="20"/>
                <w:szCs w:val="20"/>
                <w:lang w:val="fr-CA"/>
              </w:rPr>
              <w:t xml:space="preserve">Besoins en eau </w:t>
            </w:r>
            <w:r w:rsidR="007247E2">
              <w:rPr>
                <w:rFonts w:asciiTheme="majorHAnsi" w:hAnsiTheme="majorHAnsi" w:cs="Arial"/>
                <w:b w:val="0"/>
                <w:sz w:val="20"/>
                <w:szCs w:val="20"/>
                <w:lang w:val="fr-CA"/>
              </w:rPr>
              <w:t>des</w:t>
            </w:r>
            <w:r w:rsidR="0081604E" w:rsidRPr="0081604E">
              <w:rPr>
                <w:rFonts w:asciiTheme="majorHAnsi" w:hAnsiTheme="majorHAnsi" w:cs="Arial"/>
                <w:b w:val="0"/>
                <w:sz w:val="20"/>
                <w:szCs w:val="20"/>
                <w:lang w:val="fr-CA"/>
              </w:rPr>
              <w:t xml:space="preserve"> zones humides</w:t>
            </w:r>
          </w:p>
        </w:tc>
        <w:tc>
          <w:tcPr>
            <w:tcW w:w="300" w:type="pct"/>
          </w:tcPr>
          <w:p w14:paraId="7A60276C" w14:textId="7ECCA52B" w:rsidR="00914A1A" w:rsidRPr="0081702E" w:rsidRDefault="00CB3638" w:rsidP="00914A1A">
            <w:pPr>
              <w:rPr>
                <w:rFonts w:asciiTheme="majorHAnsi" w:hAnsiTheme="majorHAnsi" w:cs="Arial"/>
                <w:b w:val="0"/>
                <w:sz w:val="20"/>
                <w:szCs w:val="20"/>
                <w:lang w:val="fr-CA"/>
              </w:rPr>
            </w:pPr>
            <w:r>
              <w:rPr>
                <w:rFonts w:asciiTheme="majorHAnsi" w:hAnsiTheme="majorHAnsi" w:cs="Arial"/>
                <w:b w:val="0"/>
                <w:sz w:val="20"/>
                <w:szCs w:val="20"/>
                <w:lang w:val="fr-CA"/>
              </w:rPr>
              <w:t>La plus élevée</w:t>
            </w:r>
          </w:p>
        </w:tc>
        <w:tc>
          <w:tcPr>
            <w:tcW w:w="360" w:type="pct"/>
          </w:tcPr>
          <w:p w14:paraId="55D55364" w14:textId="51605610"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XII.12</w:t>
            </w:r>
          </w:p>
        </w:tc>
        <w:tc>
          <w:tcPr>
            <w:tcW w:w="388" w:type="pct"/>
          </w:tcPr>
          <w:p w14:paraId="73ED1897" w14:textId="2C24C969"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1.1;</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1.2;</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2.5;</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4.14,</w:t>
            </w:r>
            <w:r w:rsidR="00E01336" w:rsidRPr="0081702E">
              <w:rPr>
                <w:rFonts w:asciiTheme="majorHAnsi" w:hAnsiTheme="majorHAnsi" w:cs="Arial"/>
                <w:b w:val="0"/>
                <w:sz w:val="20"/>
                <w:szCs w:val="20"/>
                <w:lang w:val="fr-CA"/>
              </w:rPr>
              <w:t xml:space="preserve"> </w:t>
            </w:r>
          </w:p>
        </w:tc>
        <w:tc>
          <w:tcPr>
            <w:tcW w:w="2945" w:type="pct"/>
          </w:tcPr>
          <w:p w14:paraId="69D53CF5" w14:textId="5246C165" w:rsidR="00914A1A" w:rsidRPr="0081702E" w:rsidRDefault="00931645"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81604E">
              <w:rPr>
                <w:rFonts w:asciiTheme="majorHAnsi" w:hAnsiTheme="majorHAnsi" w:cs="Arial"/>
                <w:b w:val="0"/>
                <w:sz w:val="20"/>
                <w:szCs w:val="20"/>
                <w:lang w:val="fr-CA"/>
              </w:rPr>
              <w:t>Élaborer un document d’orientation sur les moyens d’intégrer les besoins en eau des z</w:t>
            </w:r>
            <w:r w:rsidR="00914A1A" w:rsidRPr="0081702E">
              <w:rPr>
                <w:rFonts w:asciiTheme="majorHAnsi" w:hAnsiTheme="majorHAnsi" w:cs="Arial"/>
                <w:b w:val="0"/>
                <w:sz w:val="20"/>
                <w:szCs w:val="20"/>
                <w:lang w:val="fr-CA"/>
              </w:rPr>
              <w:t>o</w:t>
            </w:r>
            <w:r w:rsidR="0081604E">
              <w:rPr>
                <w:rFonts w:asciiTheme="majorHAnsi" w:hAnsiTheme="majorHAnsi" w:cs="Arial"/>
                <w:b w:val="0"/>
                <w:sz w:val="20"/>
                <w:szCs w:val="20"/>
                <w:lang w:val="fr-CA"/>
              </w:rPr>
              <w:t xml:space="preserve">nes humides dans les plans/politiques nationaux sectoriels et les plans pour les bassins hydrographiques. </w:t>
            </w:r>
            <w:r w:rsidR="00E01336" w:rsidRPr="0081702E">
              <w:rPr>
                <w:rFonts w:asciiTheme="majorHAnsi" w:hAnsiTheme="majorHAnsi" w:cs="Arial"/>
                <w:b w:val="0"/>
                <w:sz w:val="20"/>
                <w:szCs w:val="20"/>
                <w:lang w:val="fr-CA"/>
              </w:rPr>
              <w:t xml:space="preserve"> </w:t>
            </w:r>
          </w:p>
          <w:p w14:paraId="3490769F" w14:textId="77777777" w:rsidR="00914A1A" w:rsidRPr="0081702E" w:rsidRDefault="00914A1A" w:rsidP="00914A1A">
            <w:pPr>
              <w:rPr>
                <w:rFonts w:asciiTheme="majorHAnsi" w:hAnsiTheme="majorHAnsi" w:cs="Arial"/>
                <w:b w:val="0"/>
                <w:sz w:val="20"/>
                <w:szCs w:val="20"/>
                <w:lang w:val="fr-CA"/>
              </w:rPr>
            </w:pPr>
          </w:p>
          <w:p w14:paraId="25236FA8" w14:textId="61DBE9AF" w:rsidR="00914A1A" w:rsidRPr="0081702E" w:rsidRDefault="0081604E" w:rsidP="00914A1A">
            <w:pPr>
              <w:rPr>
                <w:rFonts w:asciiTheme="majorHAnsi" w:hAnsiTheme="majorHAnsi" w:cs="Arial"/>
                <w:b w:val="0"/>
                <w:sz w:val="20"/>
                <w:szCs w:val="20"/>
                <w:lang w:val="fr-CA"/>
              </w:rPr>
            </w:pPr>
            <w:r>
              <w:rPr>
                <w:rFonts w:asciiTheme="majorHAnsi" w:hAnsiTheme="majorHAnsi" w:cs="Arial"/>
                <w:b w:val="0"/>
                <w:sz w:val="20"/>
                <w:szCs w:val="20"/>
                <w:lang w:val="fr-CA"/>
              </w:rPr>
              <w:t xml:space="preserve">Élaborer un rapport technique pour les praticiens sur a) comment incorporer les besoins en eau des zones humides dans l’objectif ODD 6.3; b) comment évaluer les besoins en eau des zones humides; c) comment déterminer et appliquer les stratégies et outils pour déterminer et attribuer l’eau aux zones humides; d) comment élaborer un programme de suivi des besoins en eau des zones humides. </w:t>
            </w:r>
          </w:p>
          <w:p w14:paraId="5B7F34DB" w14:textId="77777777" w:rsidR="00914A1A" w:rsidRPr="0081702E" w:rsidRDefault="00914A1A" w:rsidP="00914A1A">
            <w:pPr>
              <w:rPr>
                <w:rFonts w:asciiTheme="majorHAnsi" w:hAnsiTheme="majorHAnsi" w:cs="Arial"/>
                <w:b w:val="0"/>
                <w:sz w:val="20"/>
                <w:szCs w:val="20"/>
                <w:lang w:val="fr-CA"/>
              </w:rPr>
            </w:pPr>
          </w:p>
          <w:p w14:paraId="3A1B9192" w14:textId="6797D44A" w:rsidR="00914A1A" w:rsidRDefault="0081604E" w:rsidP="0081604E">
            <w:pPr>
              <w:ind w:left="-24"/>
              <w:rPr>
                <w:rFonts w:asciiTheme="majorHAnsi" w:hAnsiTheme="majorHAnsi" w:cs="Arial"/>
                <w:b w:val="0"/>
                <w:sz w:val="20"/>
                <w:szCs w:val="20"/>
                <w:lang w:val="fr-CA"/>
              </w:rPr>
            </w:pPr>
            <w:r>
              <w:rPr>
                <w:rFonts w:asciiTheme="majorHAnsi" w:hAnsiTheme="majorHAnsi" w:cs="Arial"/>
                <w:b w:val="0"/>
                <w:sz w:val="20"/>
                <w:szCs w:val="20"/>
                <w:lang w:val="fr-CA"/>
              </w:rPr>
              <w:t>Fondé sur des études de cas telles que les réserves d’eau au Mexique et les plans pour les bassins hydrographiques en Chine, en Australie, en Afrique du Sud, au Kenya, dans les pays membres de l’UE et la gestion des barrages aux États</w:t>
            </w:r>
            <w:r>
              <w:rPr>
                <w:rFonts w:asciiTheme="majorHAnsi" w:hAnsiTheme="majorHAnsi" w:cs="Arial"/>
                <w:b w:val="0"/>
                <w:sz w:val="20"/>
                <w:szCs w:val="20"/>
                <w:lang w:val="fr-CA"/>
              </w:rPr>
              <w:noBreakHyphen/>
              <w:t xml:space="preserve">Unis. </w:t>
            </w:r>
          </w:p>
          <w:p w14:paraId="25BE9E04" w14:textId="77777777" w:rsidR="00931645" w:rsidRPr="0081702E" w:rsidRDefault="00931645" w:rsidP="00914A1A">
            <w:pPr>
              <w:ind w:left="-24" w:firstLine="24"/>
              <w:rPr>
                <w:rFonts w:asciiTheme="majorHAnsi" w:hAnsiTheme="majorHAnsi" w:cs="Arial"/>
                <w:b w:val="0"/>
                <w:sz w:val="20"/>
                <w:szCs w:val="20"/>
                <w:lang w:val="fr-CA"/>
              </w:rPr>
            </w:pPr>
          </w:p>
          <w:p w14:paraId="4EAC69FA" w14:textId="39A5B933" w:rsidR="00914A1A" w:rsidRPr="0081702E" w:rsidRDefault="00931645"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E01336" w:rsidRPr="0081702E">
              <w:rPr>
                <w:rFonts w:asciiTheme="majorHAnsi" w:hAnsiTheme="majorHAnsi" w:cs="Arial"/>
                <w:b w:val="0"/>
                <w:sz w:val="20"/>
                <w:szCs w:val="20"/>
                <w:lang w:val="fr-CA"/>
              </w:rPr>
              <w:t xml:space="preserve"> </w:t>
            </w:r>
          </w:p>
          <w:p w14:paraId="476A70CA" w14:textId="25A9FBE7"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1)</w:t>
            </w:r>
            <w:r w:rsidR="00E01336" w:rsidRPr="0081702E">
              <w:rPr>
                <w:rFonts w:asciiTheme="majorHAnsi" w:hAnsiTheme="majorHAnsi" w:cs="Arial"/>
                <w:b w:val="0"/>
                <w:sz w:val="20"/>
                <w:szCs w:val="20"/>
                <w:lang w:val="fr-CA"/>
              </w:rPr>
              <w:t xml:space="preserve"> </w:t>
            </w:r>
            <w:r w:rsidR="0081604E">
              <w:rPr>
                <w:rFonts w:asciiTheme="majorHAnsi" w:hAnsiTheme="majorHAnsi" w:cs="Arial"/>
                <w:b w:val="0"/>
                <w:sz w:val="20"/>
                <w:szCs w:val="20"/>
                <w:lang w:val="fr-CA"/>
              </w:rPr>
              <w:t xml:space="preserve">Document d’orientation sur les moyens d’intégrer les besoins en eau des zones humides dans les plans/politiques nationaux et les plans pour les bassins hydrographiques. </w:t>
            </w:r>
          </w:p>
          <w:p w14:paraId="5975CE79" w14:textId="77777777" w:rsidR="00914A1A" w:rsidRPr="0081702E" w:rsidRDefault="00914A1A" w:rsidP="00914A1A">
            <w:pPr>
              <w:rPr>
                <w:rFonts w:asciiTheme="majorHAnsi" w:hAnsiTheme="majorHAnsi" w:cs="Arial"/>
                <w:b w:val="0"/>
                <w:sz w:val="20"/>
                <w:szCs w:val="20"/>
                <w:lang w:val="fr-CA"/>
              </w:rPr>
            </w:pPr>
          </w:p>
          <w:p w14:paraId="177ED0AD" w14:textId="2768C0B4"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2)</w:t>
            </w:r>
            <w:r w:rsidR="00E01336" w:rsidRPr="0081702E">
              <w:rPr>
                <w:rFonts w:asciiTheme="majorHAnsi" w:hAnsiTheme="majorHAnsi" w:cs="Arial"/>
                <w:b w:val="0"/>
                <w:sz w:val="20"/>
                <w:szCs w:val="20"/>
                <w:lang w:val="fr-CA"/>
              </w:rPr>
              <w:t xml:space="preserve"> </w:t>
            </w:r>
            <w:r w:rsidR="0081604E">
              <w:rPr>
                <w:rFonts w:asciiTheme="majorHAnsi" w:hAnsiTheme="majorHAnsi" w:cs="Arial"/>
                <w:b w:val="0"/>
                <w:sz w:val="20"/>
                <w:szCs w:val="20"/>
                <w:lang w:val="fr-CA"/>
              </w:rPr>
              <w:t xml:space="preserve">Rapport technique pour les praticiens sur l’évaluation et la mise en œuvre des besoins en eau des zones humides. </w:t>
            </w:r>
          </w:p>
          <w:p w14:paraId="771832B8" w14:textId="77777777" w:rsidR="00914A1A" w:rsidRPr="0081702E" w:rsidRDefault="00914A1A" w:rsidP="00914A1A">
            <w:pPr>
              <w:rPr>
                <w:rFonts w:asciiTheme="majorHAnsi" w:hAnsiTheme="majorHAnsi" w:cs="Arial"/>
                <w:b w:val="0"/>
                <w:sz w:val="20"/>
                <w:szCs w:val="20"/>
                <w:lang w:val="fr-CA"/>
              </w:rPr>
            </w:pPr>
          </w:p>
          <w:p w14:paraId="765EADAF" w14:textId="6523BB0A"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3)</w:t>
            </w:r>
            <w:r w:rsidR="00E01336" w:rsidRPr="0081702E">
              <w:rPr>
                <w:rFonts w:asciiTheme="majorHAnsi" w:hAnsiTheme="majorHAnsi" w:cs="Arial"/>
                <w:b w:val="0"/>
                <w:sz w:val="20"/>
                <w:szCs w:val="20"/>
                <w:lang w:val="fr-CA"/>
              </w:rPr>
              <w:t xml:space="preserve"> </w:t>
            </w:r>
            <w:r w:rsidR="0081604E">
              <w:rPr>
                <w:rFonts w:asciiTheme="majorHAnsi" w:hAnsiTheme="majorHAnsi" w:cs="Arial"/>
                <w:b w:val="0"/>
                <w:sz w:val="20"/>
                <w:szCs w:val="20"/>
                <w:lang w:val="fr-CA"/>
              </w:rPr>
              <w:t>Fiches techniques.</w:t>
            </w:r>
          </w:p>
          <w:p w14:paraId="293A01B2" w14:textId="77777777" w:rsidR="00914A1A" w:rsidRPr="0081702E" w:rsidRDefault="00914A1A" w:rsidP="00914A1A">
            <w:pPr>
              <w:rPr>
                <w:rFonts w:asciiTheme="majorHAnsi" w:hAnsiTheme="majorHAnsi" w:cs="Arial"/>
                <w:b w:val="0"/>
                <w:sz w:val="20"/>
                <w:szCs w:val="20"/>
                <w:lang w:val="fr-CA"/>
              </w:rPr>
            </w:pPr>
          </w:p>
          <w:p w14:paraId="430FC6EB" w14:textId="2F16F05C" w:rsidR="00914A1A" w:rsidRPr="0081702E" w:rsidRDefault="00931645" w:rsidP="0081604E">
            <w:pPr>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81604E">
              <w:rPr>
                <w:rFonts w:asciiTheme="majorHAnsi" w:hAnsiTheme="majorHAnsi" w:cs="Arial"/>
                <w:b w:val="0"/>
                <w:sz w:val="20"/>
                <w:szCs w:val="20"/>
                <w:lang w:val="fr-CA"/>
              </w:rPr>
              <w:t xml:space="preserve">Décideurs et praticiens aux niveaux national, du bassin et local. </w:t>
            </w:r>
          </w:p>
        </w:tc>
        <w:tc>
          <w:tcPr>
            <w:tcW w:w="494" w:type="pct"/>
          </w:tcPr>
          <w:p w14:paraId="4F4F0D25" w14:textId="5FEC25BA"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20</w:t>
            </w:r>
            <w:r w:rsidR="0081604E">
              <w:rPr>
                <w:rFonts w:asciiTheme="majorHAnsi" w:hAnsiTheme="majorHAnsi" w:cs="Arial"/>
                <w:b w:val="0"/>
                <w:sz w:val="20"/>
                <w:szCs w:val="20"/>
                <w:lang w:val="fr-CA"/>
              </w:rPr>
              <w:t> </w:t>
            </w:r>
            <w:r w:rsidRPr="0081702E">
              <w:rPr>
                <w:rFonts w:asciiTheme="majorHAnsi" w:hAnsiTheme="majorHAnsi" w:cs="Arial"/>
                <w:b w:val="0"/>
                <w:sz w:val="20"/>
                <w:szCs w:val="20"/>
                <w:lang w:val="fr-CA"/>
              </w:rPr>
              <w:t>000</w:t>
            </w:r>
            <w:r w:rsidR="00E01336" w:rsidRPr="0081702E">
              <w:rPr>
                <w:rFonts w:asciiTheme="majorHAnsi" w:hAnsiTheme="majorHAnsi" w:cs="Arial"/>
                <w:b w:val="0"/>
                <w:sz w:val="20"/>
                <w:szCs w:val="20"/>
                <w:lang w:val="fr-CA"/>
              </w:rPr>
              <w:t xml:space="preserve"> </w:t>
            </w:r>
          </w:p>
          <w:p w14:paraId="26B8343C" w14:textId="77777777" w:rsidR="00914A1A" w:rsidRPr="0081702E" w:rsidRDefault="00914A1A" w:rsidP="00914A1A">
            <w:pPr>
              <w:rPr>
                <w:rFonts w:asciiTheme="majorHAnsi" w:hAnsiTheme="majorHAnsi" w:cs="Arial"/>
                <w:b w:val="0"/>
                <w:sz w:val="20"/>
                <w:szCs w:val="20"/>
                <w:lang w:val="fr-CA"/>
              </w:rPr>
            </w:pPr>
          </w:p>
          <w:p w14:paraId="03B8BBF1" w14:textId="3A9A1437" w:rsidR="00914A1A" w:rsidRPr="0081702E" w:rsidRDefault="00914A1A" w:rsidP="0081604E">
            <w:pPr>
              <w:rPr>
                <w:rFonts w:asciiTheme="majorHAnsi" w:hAnsiTheme="majorHAnsi" w:cs="Arial"/>
                <w:b w:val="0"/>
                <w:sz w:val="20"/>
                <w:szCs w:val="20"/>
                <w:lang w:val="fr-CA"/>
              </w:rPr>
            </w:pPr>
            <w:r w:rsidRPr="0081702E">
              <w:rPr>
                <w:rFonts w:asciiTheme="majorHAnsi" w:hAnsiTheme="majorHAnsi" w:cs="Arial"/>
                <w:b w:val="0"/>
                <w:sz w:val="20"/>
                <w:szCs w:val="20"/>
                <w:lang w:val="fr-CA"/>
              </w:rPr>
              <w:t>[200</w:t>
            </w:r>
            <w:r w:rsidR="0081604E">
              <w:rPr>
                <w:rFonts w:asciiTheme="majorHAnsi" w:hAnsiTheme="majorHAnsi" w:cs="Arial"/>
                <w:b w:val="0"/>
                <w:sz w:val="20"/>
                <w:szCs w:val="20"/>
                <w:lang w:val="fr-CA"/>
              </w:rPr>
              <w:t> </w:t>
            </w:r>
            <w:r w:rsidRPr="0081702E">
              <w:rPr>
                <w:rFonts w:asciiTheme="majorHAnsi" w:hAnsiTheme="majorHAnsi" w:cs="Arial"/>
                <w:b w:val="0"/>
                <w:sz w:val="20"/>
                <w:szCs w:val="20"/>
                <w:lang w:val="fr-CA"/>
              </w:rPr>
              <w:t>000</w:t>
            </w:r>
            <w:r w:rsidR="00E01336" w:rsidRPr="0081702E">
              <w:rPr>
                <w:rFonts w:asciiTheme="majorHAnsi" w:hAnsiTheme="majorHAnsi" w:cs="Arial"/>
                <w:b w:val="0"/>
                <w:sz w:val="20"/>
                <w:szCs w:val="20"/>
                <w:lang w:val="fr-CA"/>
              </w:rPr>
              <w:t xml:space="preserve"> </w:t>
            </w:r>
            <w:r w:rsidR="0081604E">
              <w:rPr>
                <w:rFonts w:asciiTheme="majorHAnsi" w:hAnsiTheme="majorHAnsi" w:cs="Arial"/>
                <w:b w:val="0"/>
                <w:sz w:val="20"/>
                <w:szCs w:val="20"/>
                <w:lang w:val="fr-CA"/>
              </w:rPr>
              <w:t xml:space="preserve">pour le rapport technique devraient être fournis par le WWF </w:t>
            </w:r>
            <w:r w:rsidRPr="0081702E">
              <w:rPr>
                <w:rFonts w:asciiTheme="majorHAnsi" w:hAnsiTheme="majorHAnsi" w:cs="Arial"/>
                <w:b w:val="0"/>
                <w:sz w:val="20"/>
                <w:szCs w:val="20"/>
                <w:lang w:val="fr-CA"/>
              </w:rPr>
              <w:t>(100</w:t>
            </w:r>
            <w:r w:rsidR="0081604E">
              <w:rPr>
                <w:rFonts w:asciiTheme="majorHAnsi" w:hAnsiTheme="majorHAnsi" w:cs="Arial"/>
                <w:b w:val="0"/>
                <w:sz w:val="20"/>
                <w:szCs w:val="20"/>
                <w:lang w:val="fr-CA"/>
              </w:rPr>
              <w:t> </w:t>
            </w:r>
            <w:r w:rsidRPr="0081702E">
              <w:rPr>
                <w:rFonts w:asciiTheme="majorHAnsi" w:hAnsiTheme="majorHAnsi" w:cs="Arial"/>
                <w:b w:val="0"/>
                <w:sz w:val="20"/>
                <w:szCs w:val="20"/>
                <w:lang w:val="fr-CA"/>
              </w:rPr>
              <w:t>000)</w:t>
            </w:r>
            <w:r w:rsidR="00E01336" w:rsidRPr="0081702E">
              <w:rPr>
                <w:rFonts w:asciiTheme="majorHAnsi" w:hAnsiTheme="majorHAnsi" w:cs="Arial"/>
                <w:b w:val="0"/>
                <w:sz w:val="20"/>
                <w:szCs w:val="20"/>
                <w:lang w:val="fr-CA"/>
              </w:rPr>
              <w:t xml:space="preserve"> </w:t>
            </w:r>
            <w:r w:rsidR="0081604E">
              <w:rPr>
                <w:rFonts w:asciiTheme="majorHAnsi" w:hAnsiTheme="majorHAnsi" w:cs="Arial"/>
                <w:b w:val="0"/>
                <w:sz w:val="20"/>
                <w:szCs w:val="20"/>
                <w:lang w:val="fr-CA"/>
              </w:rPr>
              <w:t>et le reste par d’autres partenaires</w:t>
            </w:r>
            <w:r w:rsidRPr="0081702E">
              <w:rPr>
                <w:rFonts w:asciiTheme="majorHAnsi" w:hAnsiTheme="majorHAnsi" w:cs="Arial"/>
                <w:b w:val="0"/>
                <w:sz w:val="20"/>
                <w:szCs w:val="20"/>
                <w:lang w:val="fr-CA"/>
              </w:rPr>
              <w:t>.]</w:t>
            </w:r>
          </w:p>
        </w:tc>
      </w:tr>
      <w:tr w:rsidR="00E01336" w:rsidRPr="0081702E" w14:paraId="177C3061" w14:textId="77777777" w:rsidTr="00C139E4">
        <w:tc>
          <w:tcPr>
            <w:tcW w:w="513" w:type="pct"/>
          </w:tcPr>
          <w:p w14:paraId="0B1DDE6C" w14:textId="71580D20" w:rsidR="00914A1A" w:rsidRPr="0081702E" w:rsidRDefault="00914A1A" w:rsidP="00B24027">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lastRenderedPageBreak/>
              <w:t>4.2</w:t>
            </w:r>
            <w:r w:rsidR="00E01336" w:rsidRPr="0081702E">
              <w:rPr>
                <w:rFonts w:asciiTheme="majorHAnsi" w:hAnsiTheme="majorHAnsi" w:cs="Arial"/>
                <w:b w:val="0"/>
                <w:sz w:val="20"/>
                <w:szCs w:val="20"/>
                <w:lang w:val="fr-CA"/>
              </w:rPr>
              <w:t xml:space="preserve"> </w:t>
            </w:r>
            <w:r w:rsidR="0081604E" w:rsidRPr="0081604E">
              <w:rPr>
                <w:rFonts w:asciiTheme="majorHAnsi" w:hAnsiTheme="majorHAnsi" w:cs="Arial"/>
                <w:b w:val="0"/>
                <w:sz w:val="20"/>
                <w:szCs w:val="20"/>
                <w:lang w:val="fr-CA"/>
              </w:rPr>
              <w:t>Examen et analyse des rapports de</w:t>
            </w:r>
            <w:r w:rsidR="001A289E">
              <w:rPr>
                <w:rFonts w:asciiTheme="majorHAnsi" w:hAnsiTheme="majorHAnsi" w:cs="Arial"/>
                <w:b w:val="0"/>
                <w:sz w:val="20"/>
                <w:szCs w:val="20"/>
                <w:lang w:val="fr-CA"/>
              </w:rPr>
              <w:t>s</w:t>
            </w:r>
            <w:r w:rsidR="0081604E" w:rsidRPr="0081604E">
              <w:rPr>
                <w:rFonts w:asciiTheme="majorHAnsi" w:hAnsiTheme="majorHAnsi" w:cs="Arial"/>
                <w:b w:val="0"/>
                <w:sz w:val="20"/>
                <w:szCs w:val="20"/>
                <w:lang w:val="fr-CA"/>
              </w:rPr>
              <w:t xml:space="preserve"> missions consultatives Ramsar</w:t>
            </w:r>
          </w:p>
        </w:tc>
        <w:tc>
          <w:tcPr>
            <w:tcW w:w="300" w:type="pct"/>
          </w:tcPr>
          <w:p w14:paraId="13EA7E99" w14:textId="1050AF22" w:rsidR="00914A1A" w:rsidRPr="0081702E" w:rsidRDefault="00CB3638" w:rsidP="00B24027">
            <w:pPr>
              <w:keepNext/>
              <w:keepLines/>
              <w:rPr>
                <w:rFonts w:asciiTheme="majorHAnsi" w:hAnsiTheme="majorHAnsi" w:cs="Arial"/>
                <w:b w:val="0"/>
                <w:sz w:val="20"/>
                <w:szCs w:val="20"/>
                <w:lang w:val="fr-CA"/>
              </w:rPr>
            </w:pPr>
            <w:r>
              <w:rPr>
                <w:rFonts w:asciiTheme="majorHAnsi" w:hAnsiTheme="majorHAnsi" w:cs="Arial"/>
                <w:b w:val="0"/>
                <w:sz w:val="20"/>
                <w:szCs w:val="20"/>
                <w:lang w:val="fr-CA"/>
              </w:rPr>
              <w:t>La plus élevée</w:t>
            </w:r>
          </w:p>
        </w:tc>
        <w:tc>
          <w:tcPr>
            <w:tcW w:w="360" w:type="pct"/>
          </w:tcPr>
          <w:p w14:paraId="26077140" w14:textId="77777777" w:rsidR="00914A1A" w:rsidRPr="0081702E" w:rsidRDefault="00914A1A" w:rsidP="00B24027">
            <w:pPr>
              <w:keepNext/>
              <w:keepLines/>
              <w:rPr>
                <w:rFonts w:asciiTheme="majorHAnsi" w:hAnsiTheme="majorHAnsi" w:cs="Arial"/>
                <w:b w:val="0"/>
                <w:sz w:val="20"/>
                <w:szCs w:val="20"/>
                <w:lang w:val="fr-CA"/>
              </w:rPr>
            </w:pPr>
          </w:p>
        </w:tc>
        <w:tc>
          <w:tcPr>
            <w:tcW w:w="388" w:type="pct"/>
          </w:tcPr>
          <w:p w14:paraId="06906A89" w14:textId="6E4BF49E" w:rsidR="00914A1A" w:rsidRPr="0081702E" w:rsidRDefault="00914A1A" w:rsidP="00B24027">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1.1,</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1.3;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2.5,</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2.7;</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3.9,</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3.13;</w:t>
            </w:r>
            <w:r w:rsidR="00E01336" w:rsidRPr="0081702E">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4.14</w:t>
            </w:r>
          </w:p>
        </w:tc>
        <w:tc>
          <w:tcPr>
            <w:tcW w:w="2945" w:type="pct"/>
          </w:tcPr>
          <w:p w14:paraId="6D53CBC7" w14:textId="34AB4E03" w:rsidR="00914A1A" w:rsidRPr="0081702E" w:rsidRDefault="00931645" w:rsidP="00B24027">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D7595A">
              <w:rPr>
                <w:rFonts w:asciiTheme="majorHAnsi" w:hAnsiTheme="majorHAnsi" w:cs="Arial"/>
                <w:b w:val="0"/>
                <w:sz w:val="20"/>
                <w:szCs w:val="20"/>
                <w:lang w:val="fr-CA"/>
              </w:rPr>
              <w:t>Examen et analyse de tous les rapports de missions consultatives</w:t>
            </w:r>
            <w:r w:rsidR="00914A1A" w:rsidRPr="0081702E">
              <w:rPr>
                <w:rFonts w:asciiTheme="majorHAnsi" w:hAnsiTheme="majorHAnsi" w:cs="Arial"/>
                <w:b w:val="0"/>
                <w:sz w:val="20"/>
                <w:szCs w:val="20"/>
                <w:lang w:val="fr-CA"/>
              </w:rPr>
              <w:t>.</w:t>
            </w:r>
            <w:r w:rsidR="00E01336" w:rsidRPr="0081702E">
              <w:rPr>
                <w:rFonts w:asciiTheme="majorHAnsi" w:hAnsiTheme="majorHAnsi" w:cs="Arial"/>
                <w:b w:val="0"/>
                <w:sz w:val="20"/>
                <w:szCs w:val="20"/>
                <w:lang w:val="fr-CA"/>
              </w:rPr>
              <w:t xml:space="preserve"> </w:t>
            </w:r>
            <w:r w:rsidR="00D7595A">
              <w:rPr>
                <w:rFonts w:asciiTheme="majorHAnsi" w:hAnsiTheme="majorHAnsi" w:cs="Arial"/>
                <w:b w:val="0"/>
                <w:sz w:val="20"/>
                <w:szCs w:val="20"/>
                <w:lang w:val="fr-CA"/>
              </w:rPr>
              <w:t xml:space="preserve">Plus de 80 MCR ont eu lieu à ce jour et les rapports contiennent une ressource riche d’éventuelles études de cas sur l’application de la Convention, les difficultés et les succès. Les CN GEST seront priés de fournir des commentaires et </w:t>
            </w:r>
            <w:r w:rsidR="00A1768B">
              <w:rPr>
                <w:rFonts w:asciiTheme="majorHAnsi" w:hAnsiTheme="majorHAnsi" w:cs="Arial"/>
                <w:b w:val="0"/>
                <w:sz w:val="20"/>
                <w:szCs w:val="20"/>
                <w:lang w:val="fr-CA"/>
              </w:rPr>
              <w:t>de contribuer au</w:t>
            </w:r>
            <w:r w:rsidR="00D7595A">
              <w:rPr>
                <w:rFonts w:asciiTheme="majorHAnsi" w:hAnsiTheme="majorHAnsi" w:cs="Arial"/>
                <w:b w:val="0"/>
                <w:sz w:val="20"/>
                <w:szCs w:val="20"/>
                <w:lang w:val="fr-CA"/>
              </w:rPr>
              <w:t xml:space="preserve"> processus de révision. </w:t>
            </w:r>
          </w:p>
          <w:p w14:paraId="42BD9278" w14:textId="77777777" w:rsidR="00914A1A" w:rsidRPr="0081702E" w:rsidRDefault="00914A1A" w:rsidP="00B24027">
            <w:pPr>
              <w:keepNext/>
              <w:keepLines/>
              <w:rPr>
                <w:rFonts w:asciiTheme="majorHAnsi" w:hAnsiTheme="majorHAnsi" w:cs="Arial"/>
                <w:b w:val="0"/>
                <w:sz w:val="20"/>
                <w:szCs w:val="20"/>
                <w:lang w:val="fr-CA"/>
              </w:rPr>
            </w:pPr>
          </w:p>
          <w:p w14:paraId="7DA8E520" w14:textId="259AA131" w:rsidR="00914A1A" w:rsidRPr="0081702E" w:rsidRDefault="00931645" w:rsidP="00B24027">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w:t>
            </w:r>
          </w:p>
          <w:p w14:paraId="536AED2B" w14:textId="0E8B1E89" w:rsidR="00914A1A" w:rsidRPr="0081702E" w:rsidRDefault="00914A1A" w:rsidP="00B24027">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1)</w:t>
            </w:r>
            <w:r w:rsidR="00E01336" w:rsidRPr="0081702E">
              <w:rPr>
                <w:rFonts w:asciiTheme="majorHAnsi" w:hAnsiTheme="majorHAnsi" w:cs="Arial"/>
                <w:b w:val="0"/>
                <w:sz w:val="20"/>
                <w:szCs w:val="20"/>
                <w:lang w:val="fr-CA"/>
              </w:rPr>
              <w:t xml:space="preserve"> </w:t>
            </w:r>
            <w:r w:rsidR="00D7595A">
              <w:rPr>
                <w:rFonts w:asciiTheme="majorHAnsi" w:hAnsiTheme="majorHAnsi" w:cs="Arial"/>
                <w:b w:val="0"/>
                <w:sz w:val="20"/>
                <w:szCs w:val="20"/>
                <w:lang w:val="fr-CA"/>
              </w:rPr>
              <w:t xml:space="preserve">L’analyse complète à publier sur la page MCR du site web de Ramsar. </w:t>
            </w:r>
          </w:p>
          <w:p w14:paraId="48195DDE" w14:textId="77777777" w:rsidR="00914A1A" w:rsidRPr="0081702E" w:rsidRDefault="00914A1A" w:rsidP="00B24027">
            <w:pPr>
              <w:keepNext/>
              <w:keepLines/>
              <w:rPr>
                <w:rFonts w:asciiTheme="majorHAnsi" w:hAnsiTheme="majorHAnsi" w:cs="Arial"/>
                <w:b w:val="0"/>
                <w:sz w:val="20"/>
                <w:szCs w:val="20"/>
                <w:lang w:val="fr-CA"/>
              </w:rPr>
            </w:pPr>
          </w:p>
          <w:p w14:paraId="1032DFEC" w14:textId="5F299504" w:rsidR="00914A1A" w:rsidRPr="0081702E" w:rsidRDefault="00914A1A" w:rsidP="00B24027">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2)</w:t>
            </w:r>
            <w:r w:rsidR="00E01336" w:rsidRPr="0081702E">
              <w:rPr>
                <w:rFonts w:asciiTheme="majorHAnsi" w:hAnsiTheme="majorHAnsi" w:cs="Arial"/>
                <w:b w:val="0"/>
                <w:sz w:val="20"/>
                <w:szCs w:val="20"/>
                <w:lang w:val="fr-CA"/>
              </w:rPr>
              <w:t xml:space="preserve"> </w:t>
            </w:r>
            <w:r w:rsidR="00D7595A">
              <w:rPr>
                <w:rFonts w:asciiTheme="majorHAnsi" w:hAnsiTheme="majorHAnsi" w:cs="Arial"/>
                <w:b w:val="0"/>
                <w:sz w:val="20"/>
                <w:szCs w:val="20"/>
                <w:lang w:val="fr-CA"/>
              </w:rPr>
              <w:t xml:space="preserve">Le contenu de l’analyse sera synthétisé pour un document d’orientation (facilitant la compréhension et l’utilisation du concept de MCR et soulignant la valeur des MCR pour les décideurs et les enseignements tirés). </w:t>
            </w:r>
          </w:p>
          <w:p w14:paraId="0AC52526" w14:textId="77777777" w:rsidR="00914A1A" w:rsidRPr="0081702E" w:rsidRDefault="00914A1A" w:rsidP="00B24027">
            <w:pPr>
              <w:keepNext/>
              <w:keepLines/>
              <w:rPr>
                <w:rFonts w:asciiTheme="majorHAnsi" w:hAnsiTheme="majorHAnsi" w:cs="Arial"/>
                <w:b w:val="0"/>
                <w:sz w:val="20"/>
                <w:szCs w:val="20"/>
                <w:lang w:val="fr-CA"/>
              </w:rPr>
            </w:pPr>
          </w:p>
          <w:p w14:paraId="482ED010" w14:textId="2ADCA1CE" w:rsidR="00914A1A" w:rsidRPr="0081702E" w:rsidRDefault="00914A1A" w:rsidP="00B24027">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3)</w:t>
            </w:r>
            <w:r w:rsidR="00E01336" w:rsidRPr="0081702E">
              <w:rPr>
                <w:rFonts w:asciiTheme="majorHAnsi" w:hAnsiTheme="majorHAnsi" w:cs="Arial"/>
                <w:b w:val="0"/>
                <w:sz w:val="20"/>
                <w:szCs w:val="20"/>
                <w:lang w:val="fr-CA"/>
              </w:rPr>
              <w:t xml:space="preserve"> </w:t>
            </w:r>
            <w:r w:rsidR="00D7595A">
              <w:rPr>
                <w:rFonts w:asciiTheme="majorHAnsi" w:hAnsiTheme="majorHAnsi" w:cs="Arial"/>
                <w:b w:val="0"/>
                <w:sz w:val="20"/>
                <w:szCs w:val="20"/>
                <w:lang w:val="fr-CA"/>
              </w:rPr>
              <w:t>Une note d’information (facilitant la compréhension et l’utilisation du processus de MCR pour les administrateurs de site</w:t>
            </w:r>
            <w:r w:rsidR="00A1768B">
              <w:rPr>
                <w:rFonts w:asciiTheme="majorHAnsi" w:hAnsiTheme="majorHAnsi" w:cs="Arial"/>
                <w:b w:val="0"/>
                <w:sz w:val="20"/>
                <w:szCs w:val="20"/>
                <w:lang w:val="fr-CA"/>
              </w:rPr>
              <w:t>s</w:t>
            </w:r>
            <w:r w:rsidR="00D7595A">
              <w:rPr>
                <w:rFonts w:asciiTheme="majorHAnsi" w:hAnsiTheme="majorHAnsi" w:cs="Arial"/>
                <w:b w:val="0"/>
                <w:sz w:val="20"/>
                <w:szCs w:val="20"/>
                <w:lang w:val="fr-CA"/>
              </w:rPr>
              <w:t>); et de simple</w:t>
            </w:r>
            <w:r w:rsidR="00B24027">
              <w:rPr>
                <w:rFonts w:asciiTheme="majorHAnsi" w:hAnsiTheme="majorHAnsi" w:cs="Arial"/>
                <w:b w:val="0"/>
                <w:sz w:val="20"/>
                <w:szCs w:val="20"/>
                <w:lang w:val="fr-CA"/>
              </w:rPr>
              <w:t>s</w:t>
            </w:r>
            <w:r w:rsidR="00D7595A">
              <w:rPr>
                <w:rFonts w:asciiTheme="majorHAnsi" w:hAnsiTheme="majorHAnsi" w:cs="Arial"/>
                <w:b w:val="0"/>
                <w:sz w:val="20"/>
                <w:szCs w:val="20"/>
                <w:lang w:val="fr-CA"/>
              </w:rPr>
              <w:t xml:space="preserve"> fiches techniques pour le public en général mettant en relief les études de cas.</w:t>
            </w:r>
            <w:r w:rsidR="00E01336" w:rsidRPr="0081702E">
              <w:rPr>
                <w:rFonts w:asciiTheme="majorHAnsi" w:hAnsiTheme="majorHAnsi" w:cs="Arial"/>
                <w:b w:val="0"/>
                <w:sz w:val="20"/>
                <w:szCs w:val="20"/>
                <w:lang w:val="fr-CA"/>
              </w:rPr>
              <w:t xml:space="preserve"> </w:t>
            </w:r>
          </w:p>
          <w:p w14:paraId="46F0C490" w14:textId="77777777" w:rsidR="00914A1A" w:rsidRPr="0081702E" w:rsidRDefault="00914A1A" w:rsidP="00B24027">
            <w:pPr>
              <w:keepNext/>
              <w:keepLines/>
              <w:rPr>
                <w:rFonts w:asciiTheme="majorHAnsi" w:hAnsiTheme="majorHAnsi" w:cs="Arial"/>
                <w:b w:val="0"/>
                <w:sz w:val="20"/>
                <w:szCs w:val="20"/>
                <w:lang w:val="fr-CA"/>
              </w:rPr>
            </w:pPr>
          </w:p>
          <w:p w14:paraId="1DB19E7C" w14:textId="56806EDF" w:rsidR="00914A1A" w:rsidRPr="0081702E" w:rsidRDefault="00914A1A" w:rsidP="00B24027">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4)</w:t>
            </w:r>
            <w:r w:rsidR="00E01336" w:rsidRPr="0081702E">
              <w:rPr>
                <w:rFonts w:asciiTheme="majorHAnsi" w:hAnsiTheme="majorHAnsi" w:cs="Arial"/>
                <w:b w:val="0"/>
                <w:sz w:val="20"/>
                <w:szCs w:val="20"/>
                <w:lang w:val="fr-CA"/>
              </w:rPr>
              <w:t xml:space="preserve"> </w:t>
            </w:r>
            <w:r w:rsidR="00D7595A">
              <w:rPr>
                <w:rFonts w:asciiTheme="majorHAnsi" w:hAnsiTheme="majorHAnsi" w:cs="Arial"/>
                <w:b w:val="0"/>
                <w:sz w:val="20"/>
                <w:szCs w:val="20"/>
                <w:lang w:val="fr-CA"/>
              </w:rPr>
              <w:t>Des w</w:t>
            </w:r>
            <w:r w:rsidRPr="0081702E">
              <w:rPr>
                <w:rFonts w:asciiTheme="majorHAnsi" w:hAnsiTheme="majorHAnsi" w:cs="Arial"/>
                <w:b w:val="0"/>
                <w:sz w:val="20"/>
                <w:szCs w:val="20"/>
                <w:lang w:val="fr-CA"/>
              </w:rPr>
              <w:t>ebina</w:t>
            </w:r>
            <w:r w:rsidR="00D7595A">
              <w:rPr>
                <w:rFonts w:asciiTheme="majorHAnsi" w:hAnsiTheme="majorHAnsi" w:cs="Arial"/>
                <w:b w:val="0"/>
                <w:sz w:val="20"/>
                <w:szCs w:val="20"/>
                <w:lang w:val="fr-CA"/>
              </w:rPr>
              <w:t>i</w:t>
            </w:r>
            <w:r w:rsidRPr="0081702E">
              <w:rPr>
                <w:rFonts w:asciiTheme="majorHAnsi" w:hAnsiTheme="majorHAnsi" w:cs="Arial"/>
                <w:b w:val="0"/>
                <w:sz w:val="20"/>
                <w:szCs w:val="20"/>
                <w:lang w:val="fr-CA"/>
              </w:rPr>
              <w:t>r</w:t>
            </w:r>
            <w:r w:rsidR="00D7595A">
              <w:rPr>
                <w:rFonts w:asciiTheme="majorHAnsi" w:hAnsiTheme="majorHAnsi" w:cs="Arial"/>
                <w:b w:val="0"/>
                <w:sz w:val="20"/>
                <w:szCs w:val="20"/>
                <w:lang w:val="fr-CA"/>
              </w:rPr>
              <w:t>es</w:t>
            </w:r>
            <w:r w:rsidR="00E01336" w:rsidRPr="0081702E">
              <w:rPr>
                <w:rFonts w:asciiTheme="majorHAnsi" w:hAnsiTheme="majorHAnsi" w:cs="Arial"/>
                <w:b w:val="0"/>
                <w:sz w:val="20"/>
                <w:szCs w:val="20"/>
                <w:lang w:val="fr-CA"/>
              </w:rPr>
              <w:t xml:space="preserve"> </w:t>
            </w:r>
            <w:r w:rsidR="00D7595A">
              <w:rPr>
                <w:rFonts w:asciiTheme="majorHAnsi" w:hAnsiTheme="majorHAnsi" w:cs="Arial"/>
                <w:b w:val="0"/>
                <w:sz w:val="20"/>
                <w:szCs w:val="20"/>
                <w:lang w:val="fr-CA"/>
              </w:rPr>
              <w:t xml:space="preserve">pourraient aussi être réalisés pour atteindre un public plus vaste. </w:t>
            </w:r>
          </w:p>
          <w:p w14:paraId="4219AA2D" w14:textId="77777777" w:rsidR="00914A1A" w:rsidRPr="0081702E" w:rsidRDefault="00914A1A" w:rsidP="00B24027">
            <w:pPr>
              <w:keepNext/>
              <w:keepLines/>
              <w:rPr>
                <w:rFonts w:asciiTheme="majorHAnsi" w:hAnsiTheme="majorHAnsi" w:cs="Arial"/>
                <w:b w:val="0"/>
                <w:sz w:val="20"/>
                <w:szCs w:val="20"/>
                <w:lang w:val="fr-CA"/>
              </w:rPr>
            </w:pPr>
          </w:p>
          <w:p w14:paraId="09DD846E" w14:textId="20CBFB62" w:rsidR="00914A1A" w:rsidRPr="0081702E" w:rsidRDefault="00931645" w:rsidP="00A1768B">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D7595A">
              <w:rPr>
                <w:rFonts w:asciiTheme="majorHAnsi" w:hAnsiTheme="majorHAnsi" w:cs="Arial"/>
                <w:b w:val="0"/>
                <w:sz w:val="20"/>
                <w:szCs w:val="20"/>
                <w:lang w:val="fr-CA"/>
              </w:rPr>
              <w:t>Décideurs</w:t>
            </w:r>
            <w:r w:rsidR="00E01336" w:rsidRPr="0081702E">
              <w:rPr>
                <w:rFonts w:asciiTheme="majorHAnsi" w:hAnsiTheme="majorHAnsi" w:cs="Arial"/>
                <w:b w:val="0"/>
                <w:sz w:val="20"/>
                <w:szCs w:val="20"/>
                <w:lang w:val="fr-CA"/>
              </w:rPr>
              <w:t xml:space="preserve"> </w:t>
            </w:r>
            <w:r w:rsidR="00914A1A" w:rsidRPr="0081702E">
              <w:rPr>
                <w:rFonts w:asciiTheme="majorHAnsi" w:hAnsiTheme="majorHAnsi" w:cs="Arial"/>
                <w:b w:val="0"/>
                <w:sz w:val="20"/>
                <w:szCs w:val="20"/>
                <w:lang w:val="fr-CA"/>
              </w:rPr>
              <w:t>(</w:t>
            </w:r>
            <w:r w:rsidR="00D7595A">
              <w:rPr>
                <w:rFonts w:asciiTheme="majorHAnsi" w:hAnsiTheme="majorHAnsi" w:cs="Arial"/>
                <w:b w:val="0"/>
                <w:sz w:val="20"/>
                <w:szCs w:val="20"/>
                <w:lang w:val="fr-CA"/>
              </w:rPr>
              <w:t xml:space="preserve">y compris Autorités administratives et CN) et praticiens (administrateurs de site). À noter que les résultats peuvent être utiles pour mobiliser des ressources </w:t>
            </w:r>
            <w:r w:rsidR="00A1768B">
              <w:rPr>
                <w:rFonts w:asciiTheme="majorHAnsi" w:hAnsiTheme="majorHAnsi" w:cs="Arial"/>
                <w:b w:val="0"/>
                <w:sz w:val="20"/>
                <w:szCs w:val="20"/>
                <w:lang w:val="fr-CA"/>
              </w:rPr>
              <w:t>aux fins de</w:t>
            </w:r>
            <w:r w:rsidR="00D7595A">
              <w:rPr>
                <w:rFonts w:asciiTheme="majorHAnsi" w:hAnsiTheme="majorHAnsi" w:cs="Arial"/>
                <w:b w:val="0"/>
                <w:sz w:val="20"/>
                <w:szCs w:val="20"/>
                <w:lang w:val="fr-CA"/>
              </w:rPr>
              <w:t xml:space="preserve"> conduire de nouvelles MCR. </w:t>
            </w:r>
          </w:p>
        </w:tc>
        <w:tc>
          <w:tcPr>
            <w:tcW w:w="494" w:type="pct"/>
          </w:tcPr>
          <w:p w14:paraId="122E2889" w14:textId="00D43BC5"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66</w:t>
            </w:r>
            <w:r w:rsidR="00E64065">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000</w:t>
            </w:r>
            <w:r w:rsidR="00E01336" w:rsidRPr="0081702E">
              <w:rPr>
                <w:rFonts w:asciiTheme="majorHAnsi" w:hAnsiTheme="majorHAnsi" w:cs="Arial"/>
                <w:b w:val="0"/>
                <w:sz w:val="20"/>
                <w:szCs w:val="20"/>
                <w:lang w:val="fr-CA"/>
              </w:rPr>
              <w:t xml:space="preserve"> </w:t>
            </w:r>
          </w:p>
          <w:p w14:paraId="0FD5C892" w14:textId="77777777" w:rsidR="00914A1A" w:rsidRPr="0081702E" w:rsidRDefault="00914A1A" w:rsidP="00914A1A">
            <w:pPr>
              <w:rPr>
                <w:rFonts w:asciiTheme="majorHAnsi" w:hAnsiTheme="majorHAnsi" w:cs="Arial"/>
                <w:b w:val="0"/>
                <w:sz w:val="20"/>
                <w:szCs w:val="20"/>
                <w:lang w:val="fr-CA"/>
              </w:rPr>
            </w:pPr>
          </w:p>
        </w:tc>
      </w:tr>
      <w:tr w:rsidR="00E01336" w:rsidRPr="0081702E" w14:paraId="304B2F84" w14:textId="77777777" w:rsidTr="00C139E4">
        <w:tc>
          <w:tcPr>
            <w:tcW w:w="513" w:type="pct"/>
          </w:tcPr>
          <w:p w14:paraId="1258BA94" w14:textId="25567678" w:rsidR="00914A1A" w:rsidRPr="0081702E" w:rsidRDefault="00914A1A" w:rsidP="00A1768B">
            <w:pPr>
              <w:rPr>
                <w:rFonts w:asciiTheme="majorHAnsi" w:hAnsiTheme="majorHAnsi" w:cs="Arial"/>
                <w:b w:val="0"/>
                <w:sz w:val="20"/>
                <w:szCs w:val="20"/>
                <w:lang w:val="fr-CA"/>
              </w:rPr>
            </w:pPr>
            <w:r w:rsidRPr="0081702E">
              <w:rPr>
                <w:rFonts w:asciiTheme="majorHAnsi" w:hAnsiTheme="majorHAnsi" w:cs="Arial"/>
                <w:b w:val="0"/>
                <w:sz w:val="20"/>
                <w:szCs w:val="20"/>
                <w:lang w:val="fr-CA"/>
              </w:rPr>
              <w:t>4.3</w:t>
            </w:r>
            <w:r w:rsidR="00E01336" w:rsidRPr="0081702E">
              <w:rPr>
                <w:rFonts w:asciiTheme="majorHAnsi" w:hAnsiTheme="majorHAnsi" w:cs="Arial"/>
                <w:b w:val="0"/>
                <w:sz w:val="20"/>
                <w:szCs w:val="20"/>
                <w:lang w:val="fr-CA"/>
              </w:rPr>
              <w:t xml:space="preserve"> </w:t>
            </w:r>
            <w:r w:rsidR="00A1768B">
              <w:rPr>
                <w:rFonts w:asciiTheme="majorHAnsi" w:hAnsiTheme="majorHAnsi" w:cs="Arial"/>
                <w:b w:val="0"/>
                <w:sz w:val="20"/>
                <w:szCs w:val="20"/>
                <w:lang w:val="fr-CA"/>
              </w:rPr>
              <w:t>Développement</w:t>
            </w:r>
            <w:r w:rsidR="00D7595A">
              <w:rPr>
                <w:rFonts w:asciiTheme="majorHAnsi" w:hAnsiTheme="majorHAnsi" w:cs="Arial"/>
                <w:b w:val="0"/>
                <w:sz w:val="20"/>
                <w:szCs w:val="20"/>
                <w:lang w:val="fr-CA"/>
              </w:rPr>
              <w:t xml:space="preserve"> de l’a</w:t>
            </w:r>
            <w:r w:rsidRPr="0081702E">
              <w:rPr>
                <w:rFonts w:asciiTheme="majorHAnsi" w:hAnsiTheme="majorHAnsi" w:cs="Arial"/>
                <w:b w:val="0"/>
                <w:sz w:val="20"/>
                <w:szCs w:val="20"/>
                <w:lang w:val="fr-CA"/>
              </w:rPr>
              <w:t>quaculture</w:t>
            </w:r>
            <w:r w:rsidR="00E01336" w:rsidRPr="0081702E">
              <w:rPr>
                <w:rFonts w:asciiTheme="majorHAnsi" w:hAnsiTheme="majorHAnsi" w:cs="Arial"/>
                <w:b w:val="0"/>
                <w:sz w:val="20"/>
                <w:szCs w:val="20"/>
                <w:lang w:val="fr-CA"/>
              </w:rPr>
              <w:t xml:space="preserve"> </w:t>
            </w:r>
            <w:r w:rsidR="00D7595A">
              <w:rPr>
                <w:rFonts w:asciiTheme="majorHAnsi" w:hAnsiTheme="majorHAnsi" w:cs="Arial"/>
                <w:b w:val="0"/>
                <w:sz w:val="20"/>
                <w:szCs w:val="20"/>
                <w:lang w:val="fr-CA"/>
              </w:rPr>
              <w:t xml:space="preserve">et utilisation rationnelle des zones humides </w:t>
            </w:r>
          </w:p>
        </w:tc>
        <w:tc>
          <w:tcPr>
            <w:tcW w:w="300" w:type="pct"/>
          </w:tcPr>
          <w:p w14:paraId="70FA8239" w14:textId="77777777" w:rsidR="00914A1A" w:rsidRPr="0081702E" w:rsidRDefault="00914A1A" w:rsidP="00914A1A">
            <w:pPr>
              <w:rPr>
                <w:rFonts w:asciiTheme="majorHAnsi" w:hAnsiTheme="majorHAnsi" w:cs="Arial"/>
                <w:b w:val="0"/>
                <w:sz w:val="20"/>
                <w:szCs w:val="20"/>
                <w:lang w:val="fr-CA"/>
              </w:rPr>
            </w:pPr>
          </w:p>
        </w:tc>
        <w:tc>
          <w:tcPr>
            <w:tcW w:w="360" w:type="pct"/>
          </w:tcPr>
          <w:p w14:paraId="5562C954" w14:textId="77777777" w:rsidR="00914A1A" w:rsidRPr="0081702E" w:rsidRDefault="00914A1A" w:rsidP="00914A1A">
            <w:pPr>
              <w:rPr>
                <w:rFonts w:asciiTheme="majorHAnsi" w:hAnsiTheme="majorHAnsi" w:cs="Arial"/>
                <w:b w:val="0"/>
                <w:sz w:val="20"/>
                <w:szCs w:val="20"/>
                <w:lang w:val="fr-CA"/>
              </w:rPr>
            </w:pPr>
          </w:p>
        </w:tc>
        <w:tc>
          <w:tcPr>
            <w:tcW w:w="388" w:type="pct"/>
          </w:tcPr>
          <w:p w14:paraId="49D288D6" w14:textId="77777777"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4.14</w:t>
            </w:r>
          </w:p>
        </w:tc>
        <w:tc>
          <w:tcPr>
            <w:tcW w:w="2945" w:type="pct"/>
          </w:tcPr>
          <w:p w14:paraId="2CD8541B" w14:textId="5B2D1AA2" w:rsidR="00914A1A" w:rsidRPr="0081702E" w:rsidRDefault="00931645"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410B85">
              <w:rPr>
                <w:rFonts w:asciiTheme="majorHAnsi" w:hAnsiTheme="majorHAnsi" w:cs="Arial"/>
                <w:b w:val="0"/>
                <w:sz w:val="20"/>
                <w:szCs w:val="20"/>
                <w:lang w:val="fr-CA"/>
              </w:rPr>
              <w:t xml:space="preserve">Relier les principaux types de systèmes de production </w:t>
            </w:r>
            <w:r w:rsidR="00A1768B">
              <w:rPr>
                <w:rFonts w:asciiTheme="majorHAnsi" w:hAnsiTheme="majorHAnsi" w:cs="Arial"/>
                <w:b w:val="0"/>
                <w:sz w:val="20"/>
                <w:szCs w:val="20"/>
                <w:lang w:val="fr-CA"/>
              </w:rPr>
              <w:t>en aquaculture</w:t>
            </w:r>
            <w:r w:rsidR="00410B85">
              <w:rPr>
                <w:rFonts w:asciiTheme="majorHAnsi" w:hAnsiTheme="majorHAnsi" w:cs="Arial"/>
                <w:b w:val="0"/>
                <w:sz w:val="20"/>
                <w:szCs w:val="20"/>
                <w:lang w:val="fr-CA"/>
              </w:rPr>
              <w:t xml:space="preserve"> du monde au système de classification des zones humides Ramsar, dans le contexte du cadre de gouvernance interactif. Cela permettra aux décideurs </w:t>
            </w:r>
            <w:r w:rsidR="00A1768B">
              <w:rPr>
                <w:rFonts w:asciiTheme="majorHAnsi" w:hAnsiTheme="majorHAnsi" w:cs="Arial"/>
                <w:b w:val="0"/>
                <w:sz w:val="20"/>
                <w:szCs w:val="20"/>
                <w:lang w:val="fr-CA"/>
              </w:rPr>
              <w:t>des</w:t>
            </w:r>
            <w:r w:rsidR="00410B85">
              <w:rPr>
                <w:rFonts w:asciiTheme="majorHAnsi" w:hAnsiTheme="majorHAnsi" w:cs="Arial"/>
                <w:b w:val="0"/>
                <w:sz w:val="20"/>
                <w:szCs w:val="20"/>
                <w:lang w:val="fr-CA"/>
              </w:rPr>
              <w:t xml:space="preserve"> secteurs de la conservation, de l’aquaculture et des finances </w:t>
            </w:r>
            <w:r w:rsidR="00A1768B">
              <w:rPr>
                <w:rFonts w:asciiTheme="majorHAnsi" w:hAnsiTheme="majorHAnsi" w:cs="Arial"/>
                <w:b w:val="0"/>
                <w:sz w:val="20"/>
                <w:szCs w:val="20"/>
                <w:lang w:val="fr-CA"/>
              </w:rPr>
              <w:t>de forger</w:t>
            </w:r>
            <w:r w:rsidR="00410B85">
              <w:rPr>
                <w:rFonts w:asciiTheme="majorHAnsi" w:hAnsiTheme="majorHAnsi" w:cs="Arial"/>
                <w:b w:val="0"/>
                <w:sz w:val="20"/>
                <w:szCs w:val="20"/>
                <w:lang w:val="fr-CA"/>
              </w:rPr>
              <w:t xml:space="preserve"> une opinion plus équilibrée des impacts environnementaux et sociaux de l’aquaculture. Le document d’orientation démontrera le potentiel de l’aquaculture pour contribuer à la sécurité alimentaire, à l’utilisation rationnelle des zones humides et, en conséquence, au développement durable et équitable.  </w:t>
            </w:r>
          </w:p>
          <w:p w14:paraId="021F6BE6" w14:textId="77777777" w:rsidR="00914A1A" w:rsidRPr="0081702E" w:rsidRDefault="00914A1A" w:rsidP="00914A1A">
            <w:pPr>
              <w:rPr>
                <w:rFonts w:asciiTheme="majorHAnsi" w:hAnsiTheme="majorHAnsi" w:cs="Arial"/>
                <w:b w:val="0"/>
                <w:sz w:val="20"/>
                <w:szCs w:val="20"/>
                <w:lang w:val="fr-CA"/>
              </w:rPr>
            </w:pPr>
          </w:p>
          <w:p w14:paraId="0A7B131A" w14:textId="5D605DCA" w:rsidR="00914A1A" w:rsidRPr="0081702E" w:rsidRDefault="00931645"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410B85">
              <w:rPr>
                <w:rFonts w:asciiTheme="majorHAnsi" w:hAnsiTheme="majorHAnsi" w:cs="Arial"/>
                <w:b w:val="0"/>
                <w:sz w:val="20"/>
                <w:szCs w:val="20"/>
                <w:lang w:val="fr-CA"/>
              </w:rPr>
              <w:t>Document d’orientation sur le développement de l’</w:t>
            </w:r>
            <w:r w:rsidR="00914A1A" w:rsidRPr="0081702E">
              <w:rPr>
                <w:rFonts w:asciiTheme="majorHAnsi" w:hAnsiTheme="majorHAnsi" w:cs="Arial"/>
                <w:b w:val="0"/>
                <w:sz w:val="20"/>
                <w:szCs w:val="20"/>
                <w:lang w:val="fr-CA"/>
              </w:rPr>
              <w:t>aquaculture</w:t>
            </w:r>
            <w:r w:rsidR="00E01336" w:rsidRPr="0081702E">
              <w:rPr>
                <w:rFonts w:asciiTheme="majorHAnsi" w:hAnsiTheme="majorHAnsi" w:cs="Arial"/>
                <w:b w:val="0"/>
                <w:sz w:val="20"/>
                <w:szCs w:val="20"/>
                <w:lang w:val="fr-CA"/>
              </w:rPr>
              <w:t xml:space="preserve"> </w:t>
            </w:r>
            <w:r w:rsidR="00410B85">
              <w:rPr>
                <w:rFonts w:asciiTheme="majorHAnsi" w:hAnsiTheme="majorHAnsi" w:cs="Arial"/>
                <w:b w:val="0"/>
                <w:sz w:val="20"/>
                <w:szCs w:val="20"/>
                <w:lang w:val="fr-CA"/>
              </w:rPr>
              <w:t>et l’utilisation rationnelle des zones humides.</w:t>
            </w:r>
          </w:p>
          <w:p w14:paraId="2E9876EF" w14:textId="77777777" w:rsidR="00914A1A" w:rsidRPr="0081702E" w:rsidRDefault="00914A1A" w:rsidP="00914A1A">
            <w:pPr>
              <w:rPr>
                <w:rFonts w:asciiTheme="majorHAnsi" w:hAnsiTheme="majorHAnsi" w:cs="Arial"/>
                <w:b w:val="0"/>
                <w:sz w:val="20"/>
                <w:szCs w:val="20"/>
                <w:lang w:val="fr-CA"/>
              </w:rPr>
            </w:pPr>
          </w:p>
          <w:p w14:paraId="6186B29D" w14:textId="43587DF7" w:rsidR="00914A1A" w:rsidRPr="0081702E" w:rsidRDefault="00931645" w:rsidP="00A1768B">
            <w:pPr>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410B85">
              <w:rPr>
                <w:rFonts w:asciiTheme="majorHAnsi" w:hAnsiTheme="majorHAnsi" w:cs="Arial"/>
                <w:b w:val="0"/>
                <w:sz w:val="20"/>
                <w:szCs w:val="20"/>
                <w:lang w:val="fr-CA"/>
              </w:rPr>
              <w:t xml:space="preserve">Décideurs </w:t>
            </w:r>
            <w:r w:rsidR="00A1768B">
              <w:rPr>
                <w:rFonts w:asciiTheme="majorHAnsi" w:hAnsiTheme="majorHAnsi" w:cs="Arial"/>
                <w:b w:val="0"/>
                <w:sz w:val="20"/>
                <w:szCs w:val="20"/>
                <w:lang w:val="fr-CA"/>
              </w:rPr>
              <w:t>des</w:t>
            </w:r>
            <w:r w:rsidR="00410B85">
              <w:rPr>
                <w:rFonts w:asciiTheme="majorHAnsi" w:hAnsiTheme="majorHAnsi" w:cs="Arial"/>
                <w:b w:val="0"/>
                <w:sz w:val="20"/>
                <w:szCs w:val="20"/>
                <w:lang w:val="fr-CA"/>
              </w:rPr>
              <w:t xml:space="preserve"> communautés de la conservation et de l’</w:t>
            </w:r>
            <w:r w:rsidR="00914A1A" w:rsidRPr="0081702E">
              <w:rPr>
                <w:rFonts w:asciiTheme="majorHAnsi" w:hAnsiTheme="majorHAnsi" w:cs="Arial"/>
                <w:b w:val="0"/>
                <w:sz w:val="20"/>
                <w:szCs w:val="20"/>
                <w:lang w:val="fr-CA"/>
              </w:rPr>
              <w:t>aquaculture.</w:t>
            </w:r>
            <w:r w:rsidR="00E01336" w:rsidRPr="0081702E">
              <w:rPr>
                <w:rFonts w:asciiTheme="majorHAnsi" w:hAnsiTheme="majorHAnsi" w:cs="Arial"/>
                <w:b w:val="0"/>
                <w:sz w:val="20"/>
                <w:szCs w:val="20"/>
                <w:lang w:val="fr-CA"/>
              </w:rPr>
              <w:t xml:space="preserve"> </w:t>
            </w:r>
          </w:p>
        </w:tc>
        <w:tc>
          <w:tcPr>
            <w:tcW w:w="494" w:type="pct"/>
          </w:tcPr>
          <w:p w14:paraId="077F0E10" w14:textId="1A936E15" w:rsidR="00914A1A" w:rsidRPr="0081702E" w:rsidRDefault="00E64065" w:rsidP="00914A1A">
            <w:pPr>
              <w:rPr>
                <w:rFonts w:asciiTheme="majorHAnsi" w:hAnsiTheme="majorHAnsi" w:cs="Arial"/>
                <w:b w:val="0"/>
                <w:sz w:val="20"/>
                <w:szCs w:val="20"/>
                <w:lang w:val="fr-CA"/>
              </w:rPr>
            </w:pPr>
            <w:r>
              <w:rPr>
                <w:rFonts w:asciiTheme="majorHAnsi" w:hAnsiTheme="majorHAnsi" w:cs="Arial"/>
                <w:b w:val="0"/>
                <w:sz w:val="20"/>
                <w:szCs w:val="20"/>
                <w:lang w:val="fr-CA"/>
              </w:rPr>
              <w:t>6</w:t>
            </w:r>
            <w:r w:rsidR="00914A1A" w:rsidRPr="0081702E">
              <w:rPr>
                <w:rFonts w:asciiTheme="majorHAnsi" w:hAnsiTheme="majorHAnsi" w:cs="Arial"/>
                <w:b w:val="0"/>
                <w:sz w:val="20"/>
                <w:szCs w:val="20"/>
                <w:lang w:val="fr-CA"/>
              </w:rPr>
              <w:t>000</w:t>
            </w:r>
          </w:p>
        </w:tc>
      </w:tr>
    </w:tbl>
    <w:p w14:paraId="35261EB9" w14:textId="718469A4" w:rsidR="00836984" w:rsidRPr="0081702E" w:rsidRDefault="00836984">
      <w:pPr>
        <w:rPr>
          <w:rFonts w:asciiTheme="majorHAnsi" w:hAnsiTheme="majorHAnsi" w:cs="Arial"/>
          <w:sz w:val="20"/>
          <w:szCs w:val="20"/>
          <w:lang w:val="fr-CA"/>
        </w:rPr>
      </w:pPr>
    </w:p>
    <w:p w14:paraId="13537D24" w14:textId="77777777" w:rsidR="00914A1A" w:rsidRPr="0081702E" w:rsidRDefault="00914A1A" w:rsidP="00914A1A">
      <w:pPr>
        <w:rPr>
          <w:rFonts w:asciiTheme="majorHAnsi" w:hAnsiTheme="majorHAnsi" w:cs="Arial"/>
          <w:sz w:val="20"/>
          <w:szCs w:val="20"/>
          <w:lang w:val="fr-CA"/>
        </w:rPr>
      </w:pPr>
    </w:p>
    <w:tbl>
      <w:tblPr>
        <w:tblStyle w:val="TableGrid"/>
        <w:tblpPr w:leftFromText="180" w:rightFromText="180" w:horzAnchor="margin" w:tblpY="204"/>
        <w:tblW w:w="5000" w:type="pct"/>
        <w:tblLook w:val="04A0" w:firstRow="1" w:lastRow="0" w:firstColumn="1" w:lastColumn="0" w:noHBand="0" w:noVBand="1"/>
      </w:tblPr>
      <w:tblGrid>
        <w:gridCol w:w="14174"/>
      </w:tblGrid>
      <w:tr w:rsidR="00914A1A" w:rsidRPr="00DF4418" w14:paraId="0079E8A8" w14:textId="77777777" w:rsidTr="00914A1A">
        <w:tc>
          <w:tcPr>
            <w:tcW w:w="5000" w:type="pct"/>
            <w:shd w:val="clear" w:color="auto" w:fill="000000" w:themeFill="text1"/>
          </w:tcPr>
          <w:p w14:paraId="47CF8DA6" w14:textId="3004C688" w:rsidR="00914A1A" w:rsidRPr="0081702E" w:rsidRDefault="00AB3020" w:rsidP="00A1768B">
            <w:pPr>
              <w:rPr>
                <w:rFonts w:asciiTheme="majorHAnsi" w:hAnsiTheme="majorHAnsi" w:cs="Arial"/>
                <w:sz w:val="20"/>
                <w:szCs w:val="20"/>
                <w:lang w:val="fr-CA"/>
              </w:rPr>
            </w:pPr>
            <w:r>
              <w:rPr>
                <w:rFonts w:asciiTheme="majorHAnsi" w:hAnsiTheme="majorHAnsi" w:cs="Arial"/>
                <w:sz w:val="20"/>
                <w:szCs w:val="20"/>
                <w:lang w:val="fr-CA"/>
              </w:rPr>
              <w:t>Domaine de travail thématique n</w:t>
            </w:r>
            <w:r w:rsidRPr="009746C1">
              <w:rPr>
                <w:rFonts w:asciiTheme="majorHAnsi" w:hAnsiTheme="majorHAnsi" w:cs="Arial"/>
                <w:sz w:val="20"/>
                <w:szCs w:val="20"/>
                <w:vertAlign w:val="superscript"/>
                <w:lang w:val="fr-CA"/>
              </w:rPr>
              <w:t>o</w:t>
            </w:r>
            <w:r>
              <w:rPr>
                <w:rFonts w:asciiTheme="majorHAnsi" w:hAnsiTheme="majorHAnsi" w:cs="Arial"/>
                <w:sz w:val="20"/>
                <w:szCs w:val="20"/>
                <w:lang w:val="fr-CA"/>
              </w:rPr>
              <w:t xml:space="preserve"> 5 </w:t>
            </w:r>
            <w:r w:rsidRPr="0081702E">
              <w:rPr>
                <w:rFonts w:asciiTheme="majorHAnsi" w:hAnsiTheme="majorHAnsi" w:cs="Arial"/>
                <w:sz w:val="20"/>
                <w:szCs w:val="20"/>
                <w:lang w:val="fr-CA"/>
              </w:rPr>
              <w:t>:</w:t>
            </w:r>
            <w:r>
              <w:rPr>
                <w:rFonts w:asciiTheme="majorHAnsi" w:hAnsiTheme="majorHAnsi" w:cs="Arial"/>
                <w:sz w:val="20"/>
                <w:szCs w:val="20"/>
                <w:lang w:val="fr-CA"/>
              </w:rPr>
              <w:t xml:space="preserve"> </w:t>
            </w:r>
            <w:r w:rsidR="000F4FDF" w:rsidRPr="00A1768B">
              <w:rPr>
                <w:rFonts w:asciiTheme="majorHAnsi" w:hAnsiTheme="majorHAnsi" w:cs="Arial"/>
                <w:sz w:val="20"/>
                <w:szCs w:val="20"/>
                <w:lang w:val="fr-CA"/>
              </w:rPr>
              <w:t xml:space="preserve">Changements climatiques et zones humides : Méthodologies novatrices pour la restauration des zones humides </w:t>
            </w:r>
          </w:p>
        </w:tc>
      </w:tr>
    </w:tbl>
    <w:tbl>
      <w:tblPr>
        <w:tblStyle w:val="TableGrid2"/>
        <w:tblW w:w="5000" w:type="pct"/>
        <w:jc w:val="center"/>
        <w:tblLook w:val="04A0" w:firstRow="1" w:lastRow="0" w:firstColumn="1" w:lastColumn="0" w:noHBand="0" w:noVBand="1"/>
      </w:tblPr>
      <w:tblGrid>
        <w:gridCol w:w="3561"/>
        <w:gridCol w:w="10613"/>
      </w:tblGrid>
      <w:tr w:rsidR="00914A1A" w:rsidRPr="00DF4418" w14:paraId="6599B775" w14:textId="77777777" w:rsidTr="00914A1A">
        <w:trPr>
          <w:jc w:val="center"/>
        </w:trPr>
        <w:tc>
          <w:tcPr>
            <w:tcW w:w="1256" w:type="pct"/>
          </w:tcPr>
          <w:p w14:paraId="112FDD3C" w14:textId="3F6EAAAC" w:rsidR="00914A1A" w:rsidRPr="0081702E" w:rsidRDefault="00A1768B" w:rsidP="00914A1A">
            <w:pPr>
              <w:rPr>
                <w:rFonts w:asciiTheme="majorHAnsi" w:eastAsia="Calibri" w:hAnsiTheme="majorHAnsi" w:cs="Arial"/>
                <w:sz w:val="20"/>
                <w:szCs w:val="20"/>
                <w:lang w:val="fr-CA"/>
              </w:rPr>
            </w:pPr>
            <w:r>
              <w:rPr>
                <w:rFonts w:asciiTheme="majorHAnsi" w:eastAsia="Calibri" w:hAnsiTheme="majorHAnsi" w:cs="Arial"/>
                <w:sz w:val="20"/>
                <w:szCs w:val="20"/>
                <w:lang w:val="fr-CA"/>
              </w:rPr>
              <w:t>Leader</w:t>
            </w:r>
            <w:r w:rsidR="00C139E4">
              <w:rPr>
                <w:rFonts w:asciiTheme="majorHAnsi" w:eastAsia="Calibri" w:hAnsiTheme="majorHAnsi" w:cs="Arial"/>
                <w:sz w:val="20"/>
                <w:szCs w:val="20"/>
                <w:lang w:val="fr-CA"/>
              </w:rPr>
              <w:t>(s) de groupe de travail et</w:t>
            </w:r>
            <w:r w:rsidR="00C139E4" w:rsidRPr="0081702E">
              <w:rPr>
                <w:rFonts w:asciiTheme="majorHAnsi" w:eastAsia="Calibri" w:hAnsiTheme="majorHAnsi" w:cs="Arial"/>
                <w:sz w:val="20"/>
                <w:szCs w:val="20"/>
                <w:lang w:val="fr-CA"/>
              </w:rPr>
              <w:t xml:space="preserve"> participants</w:t>
            </w:r>
            <w:r w:rsidR="00C139E4">
              <w:rPr>
                <w:rFonts w:asciiTheme="majorHAnsi" w:eastAsia="Calibri" w:hAnsiTheme="majorHAnsi" w:cs="Arial"/>
                <w:sz w:val="20"/>
                <w:szCs w:val="20"/>
                <w:lang w:val="fr-CA"/>
              </w:rPr>
              <w:t> :</w:t>
            </w:r>
          </w:p>
        </w:tc>
        <w:tc>
          <w:tcPr>
            <w:tcW w:w="3744" w:type="pct"/>
          </w:tcPr>
          <w:p w14:paraId="74471266" w14:textId="04D01AAD" w:rsidR="00914A1A" w:rsidRPr="00A62B29" w:rsidRDefault="00914A1A" w:rsidP="00A62B29">
            <w:pPr>
              <w:rPr>
                <w:rFonts w:asciiTheme="majorHAnsi" w:eastAsia="Calibri" w:hAnsiTheme="majorHAnsi" w:cs="Arial"/>
                <w:b w:val="0"/>
                <w:sz w:val="20"/>
                <w:szCs w:val="20"/>
                <w:lang w:val="fr-CA"/>
              </w:rPr>
            </w:pPr>
            <w:r w:rsidRPr="00A62B29">
              <w:rPr>
                <w:rFonts w:asciiTheme="majorHAnsi" w:eastAsia="Calibri" w:hAnsiTheme="majorHAnsi" w:cs="Arial"/>
                <w:b w:val="0"/>
                <w:sz w:val="20"/>
                <w:szCs w:val="20"/>
                <w:lang w:val="fr-CA"/>
              </w:rPr>
              <w:t>Siobhan</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Fennessy</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w:t>
            </w:r>
            <w:r w:rsidR="00A1768B" w:rsidRPr="00A62B29">
              <w:rPr>
                <w:rFonts w:asciiTheme="majorHAnsi" w:eastAsia="Calibri" w:hAnsiTheme="majorHAnsi" w:cs="Arial"/>
                <w:b w:val="0"/>
                <w:sz w:val="20"/>
                <w:szCs w:val="20"/>
                <w:lang w:val="fr-CA"/>
              </w:rPr>
              <w:t>co-leader</w:t>
            </w:r>
            <w:r w:rsidRPr="00A62B29">
              <w:rPr>
                <w:rFonts w:asciiTheme="majorHAnsi" w:eastAsia="Calibri" w:hAnsiTheme="majorHAnsi" w:cs="Arial"/>
                <w:b w:val="0"/>
                <w:sz w:val="20"/>
                <w:szCs w:val="20"/>
                <w:lang w:val="fr-CA"/>
              </w:rPr>
              <w:t>),</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Guangchun</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Lei</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w:t>
            </w:r>
            <w:r w:rsidR="00A1768B" w:rsidRPr="00A62B29">
              <w:rPr>
                <w:rFonts w:asciiTheme="majorHAnsi" w:eastAsia="Calibri" w:hAnsiTheme="majorHAnsi" w:cs="Arial"/>
                <w:b w:val="0"/>
                <w:sz w:val="20"/>
                <w:szCs w:val="20"/>
                <w:lang w:val="fr-CA"/>
              </w:rPr>
              <w:t>co-leader</w:t>
            </w:r>
            <w:r w:rsidRPr="00A62B29">
              <w:rPr>
                <w:rFonts w:asciiTheme="majorHAnsi" w:eastAsia="Calibri" w:hAnsiTheme="majorHAnsi" w:cs="Arial"/>
                <w:b w:val="0"/>
                <w:sz w:val="20"/>
                <w:szCs w:val="20"/>
                <w:lang w:val="fr-CA"/>
              </w:rPr>
              <w:t>),</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Suana</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Aguilar,</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Lars</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Dinesen,</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Vicent</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V.</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Hilomen,</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Jari</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Ilmonen,</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Kassim</w:t>
            </w:r>
            <w:r w:rsidR="00E01336" w:rsidRPr="00A62B29">
              <w:rPr>
                <w:rFonts w:asciiTheme="majorHAnsi" w:eastAsia="Calibri" w:hAnsiTheme="majorHAnsi" w:cs="Arial"/>
                <w:b w:val="0"/>
                <w:sz w:val="20"/>
                <w:szCs w:val="20"/>
                <w:lang w:val="fr-CA"/>
              </w:rPr>
              <w:t xml:space="preserve"> </w:t>
            </w:r>
            <w:r w:rsidRPr="00A62B29">
              <w:rPr>
                <w:rFonts w:asciiTheme="majorHAnsi" w:eastAsia="Calibri" w:hAnsiTheme="majorHAnsi" w:cs="Arial"/>
                <w:b w:val="0"/>
                <w:sz w:val="20"/>
                <w:szCs w:val="20"/>
                <w:lang w:val="fr-CA"/>
              </w:rPr>
              <w:t>Kulindwa,</w:t>
            </w:r>
            <w:r w:rsidR="00A62B29" w:rsidRPr="00A62B29">
              <w:rPr>
                <w:rFonts w:asciiTheme="majorHAnsi" w:eastAsia="Calibri" w:hAnsiTheme="majorHAnsi" w:cs="Arial"/>
                <w:b w:val="0"/>
                <w:sz w:val="20"/>
                <w:szCs w:val="20"/>
                <w:lang w:val="fr-CA"/>
              </w:rPr>
              <w:t xml:space="preserve"> Dulce Infante </w:t>
            </w:r>
            <w:r w:rsidR="00A62B29">
              <w:rPr>
                <w:rFonts w:asciiTheme="majorHAnsi" w:eastAsia="Calibri" w:hAnsiTheme="majorHAnsi" w:cs="Arial"/>
                <w:b w:val="0"/>
                <w:sz w:val="20"/>
                <w:szCs w:val="20"/>
                <w:lang w:val="fr-CA"/>
              </w:rPr>
              <w:t xml:space="preserve">Mata, </w:t>
            </w:r>
            <w:r w:rsidRPr="00A62B29">
              <w:rPr>
                <w:rFonts w:asciiTheme="majorHAnsi" w:eastAsia="Calibri" w:hAnsiTheme="majorHAnsi" w:cs="Arial"/>
                <w:b w:val="0"/>
                <w:sz w:val="20"/>
                <w:szCs w:val="20"/>
                <w:lang w:val="fr-CA"/>
              </w:rPr>
              <w:t>Ritesh</w:t>
            </w:r>
            <w:r w:rsidR="00E01336" w:rsidRPr="00A62B29">
              <w:rPr>
                <w:rFonts w:asciiTheme="majorHAnsi" w:eastAsia="Calibri" w:hAnsiTheme="majorHAnsi" w:cs="Arial"/>
                <w:b w:val="0"/>
                <w:sz w:val="20"/>
                <w:szCs w:val="20"/>
                <w:lang w:val="fr-CA"/>
              </w:rPr>
              <w:t xml:space="preserve"> </w:t>
            </w:r>
            <w:r w:rsidR="000F4FDF" w:rsidRPr="00A62B29">
              <w:rPr>
                <w:rFonts w:asciiTheme="majorHAnsi" w:eastAsia="Calibri" w:hAnsiTheme="majorHAnsi" w:cs="Arial"/>
                <w:b w:val="0"/>
                <w:sz w:val="20"/>
                <w:szCs w:val="20"/>
                <w:lang w:val="fr-CA"/>
              </w:rPr>
              <w:t>Kumar</w:t>
            </w:r>
          </w:p>
        </w:tc>
      </w:tr>
      <w:tr w:rsidR="00914A1A" w:rsidRPr="0081702E" w14:paraId="6F07B0A9" w14:textId="77777777" w:rsidTr="00914A1A">
        <w:trPr>
          <w:jc w:val="center"/>
        </w:trPr>
        <w:tc>
          <w:tcPr>
            <w:tcW w:w="1256" w:type="pct"/>
          </w:tcPr>
          <w:p w14:paraId="551FECA1" w14:textId="327603CC" w:rsidR="00914A1A" w:rsidRPr="0081702E" w:rsidRDefault="00C139E4" w:rsidP="00914A1A">
            <w:pPr>
              <w:rPr>
                <w:rFonts w:asciiTheme="majorHAnsi" w:eastAsia="Calibri" w:hAnsiTheme="majorHAnsi" w:cs="Arial"/>
                <w:sz w:val="20"/>
                <w:szCs w:val="20"/>
                <w:lang w:val="fr-CA"/>
              </w:rPr>
            </w:pPr>
            <w:r>
              <w:rPr>
                <w:rFonts w:asciiTheme="majorHAnsi" w:eastAsia="Calibri" w:hAnsiTheme="majorHAnsi" w:cs="Arial"/>
                <w:sz w:val="20"/>
                <w:szCs w:val="20"/>
                <w:lang w:val="fr-CA"/>
              </w:rPr>
              <w:t>Correspondant au Secrétariat :</w:t>
            </w:r>
          </w:p>
        </w:tc>
        <w:tc>
          <w:tcPr>
            <w:tcW w:w="3744" w:type="pct"/>
          </w:tcPr>
          <w:p w14:paraId="44C5B042" w14:textId="177CA03A" w:rsidR="00914A1A" w:rsidRPr="0081702E" w:rsidRDefault="00914A1A" w:rsidP="00914A1A">
            <w:pPr>
              <w:rPr>
                <w:rFonts w:asciiTheme="majorHAnsi" w:eastAsia="Calibri" w:hAnsiTheme="majorHAnsi" w:cs="Arial"/>
                <w:b w:val="0"/>
                <w:sz w:val="20"/>
                <w:szCs w:val="20"/>
                <w:lang w:val="fr-CA"/>
              </w:rPr>
            </w:pPr>
            <w:r w:rsidRPr="0081702E">
              <w:rPr>
                <w:rFonts w:asciiTheme="majorHAnsi" w:eastAsia="Calibri" w:hAnsiTheme="majorHAnsi" w:cs="Arial"/>
                <w:b w:val="0"/>
                <w:sz w:val="20"/>
                <w:szCs w:val="20"/>
                <w:lang w:val="fr-CA"/>
              </w:rPr>
              <w:t>Christopher</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Briggs</w:t>
            </w:r>
          </w:p>
        </w:tc>
      </w:tr>
      <w:tr w:rsidR="00914A1A" w:rsidRPr="00DF4418" w14:paraId="0DB5D064" w14:textId="77777777" w:rsidTr="00914A1A">
        <w:trPr>
          <w:jc w:val="center"/>
        </w:trPr>
        <w:tc>
          <w:tcPr>
            <w:tcW w:w="1256" w:type="pct"/>
          </w:tcPr>
          <w:p w14:paraId="151137B0" w14:textId="5A5664A2" w:rsidR="00914A1A" w:rsidRPr="0081702E" w:rsidRDefault="00C139E4" w:rsidP="00914A1A">
            <w:pPr>
              <w:rPr>
                <w:rFonts w:asciiTheme="majorHAnsi" w:eastAsia="Calibri" w:hAnsiTheme="majorHAnsi" w:cs="Arial"/>
                <w:sz w:val="20"/>
                <w:szCs w:val="20"/>
                <w:lang w:val="fr-CA"/>
              </w:rPr>
            </w:pPr>
            <w:r>
              <w:rPr>
                <w:rFonts w:asciiTheme="majorHAnsi" w:eastAsia="Calibri" w:hAnsiTheme="majorHAnsi" w:cs="Arial"/>
                <w:sz w:val="20"/>
                <w:szCs w:val="20"/>
                <w:lang w:val="fr-CA"/>
              </w:rPr>
              <w:t xml:space="preserve">Organisations participantes : </w:t>
            </w:r>
            <w:r w:rsidRPr="0081702E">
              <w:rPr>
                <w:rFonts w:asciiTheme="majorHAnsi" w:eastAsia="Calibri" w:hAnsiTheme="majorHAnsi" w:cs="Arial"/>
                <w:sz w:val="20"/>
                <w:szCs w:val="20"/>
                <w:lang w:val="fr-CA"/>
              </w:rPr>
              <w:t>[</w:t>
            </w:r>
            <w:r>
              <w:rPr>
                <w:rFonts w:asciiTheme="majorHAnsi" w:eastAsia="Calibri" w:hAnsiTheme="majorHAnsi" w:cs="Arial"/>
                <w:sz w:val="20"/>
                <w:szCs w:val="20"/>
                <w:lang w:val="fr-CA"/>
              </w:rPr>
              <w:t>OIP</w:t>
            </w:r>
            <w:r w:rsidRPr="0081702E">
              <w:rPr>
                <w:rFonts w:asciiTheme="majorHAnsi" w:eastAsia="Calibri" w:hAnsiTheme="majorHAnsi" w:cs="Arial"/>
                <w:sz w:val="20"/>
                <w:szCs w:val="20"/>
                <w:lang w:val="fr-CA"/>
              </w:rPr>
              <w:t>/observ</w:t>
            </w:r>
            <w:r>
              <w:rPr>
                <w:rFonts w:asciiTheme="majorHAnsi" w:eastAsia="Calibri" w:hAnsiTheme="majorHAnsi" w:cs="Arial"/>
                <w:sz w:val="20"/>
                <w:szCs w:val="20"/>
                <w:lang w:val="fr-CA"/>
              </w:rPr>
              <w:t>ateurs</w:t>
            </w:r>
            <w:r w:rsidRPr="0081702E">
              <w:rPr>
                <w:rFonts w:asciiTheme="majorHAnsi" w:eastAsia="Calibri" w:hAnsiTheme="majorHAnsi" w:cs="Arial"/>
                <w:sz w:val="20"/>
                <w:szCs w:val="20"/>
                <w:lang w:val="fr-CA"/>
              </w:rPr>
              <w:t>/</w:t>
            </w:r>
            <w:r>
              <w:rPr>
                <w:rFonts w:asciiTheme="majorHAnsi" w:eastAsia="Calibri" w:hAnsiTheme="majorHAnsi" w:cs="Arial"/>
                <w:sz w:val="20"/>
                <w:szCs w:val="20"/>
                <w:lang w:val="fr-CA"/>
              </w:rPr>
              <w:t>autres</w:t>
            </w:r>
            <w:r w:rsidRPr="0081702E">
              <w:rPr>
                <w:rFonts w:asciiTheme="majorHAnsi" w:eastAsia="Calibri" w:hAnsiTheme="majorHAnsi" w:cs="Arial"/>
                <w:sz w:val="20"/>
                <w:szCs w:val="20"/>
                <w:lang w:val="fr-CA"/>
              </w:rPr>
              <w:t>]</w:t>
            </w:r>
          </w:p>
        </w:tc>
        <w:tc>
          <w:tcPr>
            <w:tcW w:w="3744" w:type="pct"/>
          </w:tcPr>
          <w:p w14:paraId="50920AD1" w14:textId="55D86CB2" w:rsidR="00914A1A" w:rsidRPr="0081702E" w:rsidRDefault="00914A1A" w:rsidP="000F4FDF">
            <w:pPr>
              <w:rPr>
                <w:rFonts w:asciiTheme="majorHAnsi" w:eastAsia="Calibri" w:hAnsiTheme="majorHAnsi" w:cs="Arial"/>
                <w:b w:val="0"/>
                <w:sz w:val="20"/>
                <w:szCs w:val="20"/>
                <w:lang w:val="fr-CA"/>
              </w:rPr>
            </w:pPr>
            <w:r w:rsidRPr="0081702E">
              <w:rPr>
                <w:rFonts w:asciiTheme="majorHAnsi" w:eastAsia="Calibri" w:hAnsiTheme="majorHAnsi" w:cs="Arial"/>
                <w:b w:val="0"/>
                <w:sz w:val="20"/>
                <w:szCs w:val="20"/>
                <w:lang w:val="fr-CA"/>
              </w:rPr>
              <w:t>WI</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(Marcel</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Silvius)/</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UNESCO-MAB</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(Marie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Prchalova),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Tour</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du</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Valat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(Christian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Perennou)/</w:t>
            </w:r>
            <w:r w:rsidR="00E01336" w:rsidRPr="0081702E">
              <w:rPr>
                <w:rFonts w:asciiTheme="majorHAnsi" w:eastAsia="Calibri" w:hAnsiTheme="majorHAnsi" w:cs="Arial"/>
                <w:b w:val="0"/>
                <w:sz w:val="20"/>
                <w:szCs w:val="20"/>
                <w:lang w:val="fr-CA"/>
              </w:rPr>
              <w:t xml:space="preserve"> </w:t>
            </w:r>
            <w:r w:rsidR="000F4FDF">
              <w:rPr>
                <w:rFonts w:asciiTheme="majorHAnsi" w:eastAsia="Calibri" w:hAnsiTheme="majorHAnsi" w:cs="Arial"/>
                <w:b w:val="0"/>
                <w:sz w:val="20"/>
                <w:szCs w:val="20"/>
                <w:lang w:val="fr-CA"/>
              </w:rPr>
              <w:t>CN GEST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Canada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(Barry</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Warner),</w:t>
            </w:r>
            <w:r w:rsidR="00E01336" w:rsidRPr="0081702E">
              <w:rPr>
                <w:rFonts w:asciiTheme="majorHAnsi" w:eastAsia="Calibri" w:hAnsiTheme="majorHAnsi" w:cs="Arial"/>
                <w:b w:val="0"/>
                <w:sz w:val="20"/>
                <w:szCs w:val="20"/>
                <w:lang w:val="fr-CA"/>
              </w:rPr>
              <w:t xml:space="preserve"> </w:t>
            </w:r>
            <w:r w:rsidR="000F4FDF">
              <w:rPr>
                <w:rFonts w:asciiTheme="majorHAnsi" w:eastAsia="Calibri" w:hAnsiTheme="majorHAnsi" w:cs="Arial"/>
                <w:b w:val="0"/>
                <w:sz w:val="20"/>
                <w:szCs w:val="20"/>
                <w:lang w:val="fr-CA"/>
              </w:rPr>
              <w:t>CN GEST Malaisie</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(Abdulla</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Rahman),</w:t>
            </w:r>
            <w:r w:rsidR="00E01336" w:rsidRPr="0081702E">
              <w:rPr>
                <w:rFonts w:asciiTheme="majorHAnsi" w:eastAsia="Calibri" w:hAnsiTheme="majorHAnsi" w:cs="Arial"/>
                <w:b w:val="0"/>
                <w:sz w:val="20"/>
                <w:szCs w:val="20"/>
                <w:lang w:val="fr-CA"/>
              </w:rPr>
              <w:t xml:space="preserve"> </w:t>
            </w:r>
            <w:r w:rsidR="000F4FDF">
              <w:rPr>
                <w:rFonts w:asciiTheme="majorHAnsi" w:eastAsia="Calibri" w:hAnsiTheme="majorHAnsi" w:cs="Arial"/>
                <w:b w:val="0"/>
                <w:sz w:val="20"/>
                <w:szCs w:val="20"/>
                <w:lang w:val="fr-CA"/>
              </w:rPr>
              <w:t>ONU-</w:t>
            </w:r>
            <w:r w:rsidRPr="0081702E">
              <w:rPr>
                <w:rFonts w:asciiTheme="majorHAnsi" w:eastAsia="Calibri" w:hAnsiTheme="majorHAnsi" w:cs="Arial"/>
                <w:b w:val="0"/>
                <w:sz w:val="20"/>
                <w:szCs w:val="20"/>
                <w:lang w:val="fr-CA"/>
              </w:rPr>
              <w:t>Habitat</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(Rob</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McInnes),</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Nick</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Davidson</w:t>
            </w:r>
            <w:r w:rsidR="00E01336" w:rsidRPr="0081702E">
              <w:rPr>
                <w:rFonts w:asciiTheme="majorHAnsi" w:eastAsia="Calibri" w:hAnsiTheme="majorHAnsi" w:cs="Arial"/>
                <w:b w:val="0"/>
                <w:sz w:val="20"/>
                <w:szCs w:val="20"/>
                <w:lang w:val="fr-CA"/>
              </w:rPr>
              <w:t xml:space="preserve"> </w:t>
            </w:r>
            <w:r w:rsidRPr="0081702E">
              <w:rPr>
                <w:rFonts w:asciiTheme="majorHAnsi" w:eastAsia="Calibri" w:hAnsiTheme="majorHAnsi" w:cs="Arial"/>
                <w:b w:val="0"/>
                <w:sz w:val="20"/>
                <w:szCs w:val="20"/>
                <w:lang w:val="fr-CA"/>
              </w:rPr>
              <w:t>(SWS)</w:t>
            </w:r>
          </w:p>
        </w:tc>
      </w:tr>
    </w:tbl>
    <w:p w14:paraId="1308455A" w14:textId="77777777" w:rsidR="00914A1A" w:rsidRPr="0081702E" w:rsidRDefault="00914A1A" w:rsidP="00914A1A">
      <w:pPr>
        <w:rPr>
          <w:rFonts w:asciiTheme="majorHAnsi" w:hAnsiTheme="majorHAnsi" w:cs="Arial"/>
          <w:sz w:val="20"/>
          <w:szCs w:val="20"/>
          <w:lang w:val="fr-CA"/>
        </w:rPr>
      </w:pPr>
    </w:p>
    <w:tbl>
      <w:tblPr>
        <w:tblStyle w:val="TableGrid"/>
        <w:tblW w:w="5030" w:type="pct"/>
        <w:tblInd w:w="-85" w:type="dxa"/>
        <w:tblCellMar>
          <w:top w:w="57" w:type="dxa"/>
          <w:left w:w="57" w:type="dxa"/>
          <w:bottom w:w="57" w:type="dxa"/>
          <w:right w:w="57" w:type="dxa"/>
        </w:tblCellMar>
        <w:tblLook w:val="04A0" w:firstRow="1" w:lastRow="0" w:firstColumn="1" w:lastColumn="0" w:noHBand="0" w:noVBand="1"/>
      </w:tblPr>
      <w:tblGrid>
        <w:gridCol w:w="1461"/>
        <w:gridCol w:w="801"/>
        <w:gridCol w:w="1005"/>
        <w:gridCol w:w="1132"/>
        <w:gridCol w:w="8360"/>
        <w:gridCol w:w="1397"/>
      </w:tblGrid>
      <w:tr w:rsidR="00914A1A" w:rsidRPr="0081702E" w14:paraId="32EAE771" w14:textId="77777777" w:rsidTr="00AB3020">
        <w:trPr>
          <w:tblHeader/>
        </w:trPr>
        <w:tc>
          <w:tcPr>
            <w:tcW w:w="512" w:type="pct"/>
            <w:shd w:val="clear" w:color="auto" w:fill="D9D9D9" w:themeFill="background1" w:themeFillShade="D9"/>
          </w:tcPr>
          <w:p w14:paraId="5A0899A1" w14:textId="3F490D08" w:rsidR="00914A1A" w:rsidRPr="0081702E" w:rsidRDefault="00E64065" w:rsidP="00914A1A">
            <w:pPr>
              <w:jc w:val="center"/>
              <w:rPr>
                <w:rFonts w:asciiTheme="majorHAnsi" w:hAnsiTheme="majorHAnsi" w:cs="Arial"/>
                <w:sz w:val="20"/>
                <w:szCs w:val="20"/>
                <w:lang w:val="fr-CA"/>
              </w:rPr>
            </w:pPr>
            <w:r>
              <w:rPr>
                <w:rFonts w:asciiTheme="majorHAnsi" w:hAnsiTheme="majorHAnsi" w:cs="Arial"/>
                <w:sz w:val="20"/>
                <w:szCs w:val="20"/>
                <w:lang w:val="fr-CA"/>
              </w:rPr>
              <w:t>N</w:t>
            </w:r>
            <w:r w:rsidRPr="00130D8F">
              <w:rPr>
                <w:rFonts w:asciiTheme="majorHAnsi" w:hAnsiTheme="majorHAnsi" w:cs="Arial"/>
                <w:sz w:val="20"/>
                <w:szCs w:val="20"/>
                <w:vertAlign w:val="superscript"/>
                <w:lang w:val="fr-CA"/>
              </w:rPr>
              <w:t>o</w:t>
            </w:r>
            <w:r>
              <w:rPr>
                <w:rFonts w:asciiTheme="majorHAnsi" w:hAnsiTheme="majorHAnsi" w:cs="Arial"/>
                <w:sz w:val="20"/>
                <w:szCs w:val="20"/>
                <w:lang w:val="fr-CA"/>
              </w:rPr>
              <w:t xml:space="preserve"> de tâche, titre</w:t>
            </w:r>
          </w:p>
        </w:tc>
        <w:tc>
          <w:tcPr>
            <w:tcW w:w="284" w:type="pct"/>
            <w:shd w:val="clear" w:color="auto" w:fill="D9D9D9" w:themeFill="background1" w:themeFillShade="D9"/>
          </w:tcPr>
          <w:p w14:paraId="16FA8930" w14:textId="58F14BAF" w:rsidR="00914A1A" w:rsidRPr="0081702E" w:rsidRDefault="00E64065" w:rsidP="00914A1A">
            <w:pPr>
              <w:jc w:val="center"/>
              <w:rPr>
                <w:rFonts w:asciiTheme="majorHAnsi" w:hAnsiTheme="majorHAnsi" w:cs="Arial"/>
                <w:sz w:val="20"/>
                <w:szCs w:val="20"/>
                <w:lang w:val="fr-CA"/>
              </w:rPr>
            </w:pPr>
            <w:r w:rsidRPr="0081702E">
              <w:rPr>
                <w:rFonts w:asciiTheme="majorHAnsi" w:hAnsiTheme="majorHAnsi" w:cs="Arial"/>
                <w:sz w:val="20"/>
                <w:szCs w:val="20"/>
                <w:lang w:val="fr-CA"/>
              </w:rPr>
              <w:t>Priorité</w:t>
            </w:r>
          </w:p>
        </w:tc>
        <w:tc>
          <w:tcPr>
            <w:tcW w:w="355" w:type="pct"/>
            <w:shd w:val="clear" w:color="auto" w:fill="D9D9D9" w:themeFill="background1" w:themeFillShade="D9"/>
          </w:tcPr>
          <w:p w14:paraId="246DA5CB" w14:textId="38728D5C" w:rsidR="00914A1A" w:rsidRPr="0081702E" w:rsidRDefault="00E64065" w:rsidP="00914A1A">
            <w:pPr>
              <w:jc w:val="center"/>
              <w:rPr>
                <w:rFonts w:asciiTheme="majorHAnsi" w:hAnsiTheme="majorHAnsi" w:cs="Arial"/>
                <w:sz w:val="20"/>
                <w:szCs w:val="20"/>
                <w:lang w:val="fr-CA"/>
              </w:rPr>
            </w:pPr>
            <w:r>
              <w:rPr>
                <w:rFonts w:asciiTheme="majorHAnsi" w:hAnsiTheme="majorHAnsi" w:cs="Arial"/>
                <w:sz w:val="20"/>
                <w:szCs w:val="20"/>
                <w:lang w:val="fr-CA"/>
              </w:rPr>
              <w:t>Résolution</w:t>
            </w:r>
          </w:p>
        </w:tc>
        <w:tc>
          <w:tcPr>
            <w:tcW w:w="401" w:type="pct"/>
            <w:shd w:val="clear" w:color="auto" w:fill="D9D9D9" w:themeFill="background1" w:themeFillShade="D9"/>
          </w:tcPr>
          <w:p w14:paraId="1D7E2ECC" w14:textId="7D7039FC" w:rsidR="00914A1A" w:rsidRPr="0081702E" w:rsidRDefault="00E64065" w:rsidP="00914A1A">
            <w:pPr>
              <w:jc w:val="center"/>
              <w:rPr>
                <w:rFonts w:asciiTheme="majorHAnsi" w:hAnsiTheme="majorHAnsi" w:cs="Arial"/>
                <w:sz w:val="20"/>
                <w:szCs w:val="20"/>
                <w:lang w:val="fr-CA"/>
              </w:rPr>
            </w:pPr>
            <w:r>
              <w:rPr>
                <w:rFonts w:asciiTheme="majorHAnsi" w:eastAsia="Calibri" w:hAnsiTheme="majorHAnsi" w:cs="Arial"/>
                <w:sz w:val="20"/>
                <w:szCs w:val="20"/>
                <w:lang w:val="fr-CA"/>
              </w:rPr>
              <w:t>But et objectif PS</w:t>
            </w:r>
          </w:p>
        </w:tc>
        <w:tc>
          <w:tcPr>
            <w:tcW w:w="2954" w:type="pct"/>
            <w:shd w:val="clear" w:color="auto" w:fill="D9D9D9" w:themeFill="background1" w:themeFillShade="D9"/>
          </w:tcPr>
          <w:p w14:paraId="0CD5F79E" w14:textId="06ADBF0A" w:rsidR="00914A1A" w:rsidRPr="0081702E" w:rsidRDefault="00E64065" w:rsidP="00E64065">
            <w:pPr>
              <w:jc w:val="center"/>
              <w:rPr>
                <w:rFonts w:asciiTheme="majorHAnsi" w:hAnsiTheme="majorHAnsi" w:cs="Arial"/>
                <w:sz w:val="20"/>
                <w:szCs w:val="20"/>
                <w:lang w:val="fr-CA"/>
              </w:rPr>
            </w:pPr>
            <w:r>
              <w:rPr>
                <w:rFonts w:asciiTheme="majorHAnsi" w:hAnsiTheme="majorHAnsi" w:cs="Arial"/>
                <w:sz w:val="20"/>
                <w:szCs w:val="20"/>
                <w:lang w:val="fr-CA"/>
              </w:rPr>
              <w:t>Description de tâche, public ciblé et résultats escomptés</w:t>
            </w:r>
          </w:p>
        </w:tc>
        <w:tc>
          <w:tcPr>
            <w:tcW w:w="494" w:type="pct"/>
            <w:shd w:val="clear" w:color="auto" w:fill="D9D9D9" w:themeFill="background1" w:themeFillShade="D9"/>
          </w:tcPr>
          <w:p w14:paraId="07892206" w14:textId="7B0D0CA9" w:rsidR="00914A1A" w:rsidRPr="0081702E" w:rsidRDefault="00E64065" w:rsidP="00914A1A">
            <w:pPr>
              <w:jc w:val="center"/>
              <w:rPr>
                <w:rFonts w:asciiTheme="majorHAnsi" w:hAnsiTheme="majorHAnsi" w:cs="Arial"/>
                <w:sz w:val="20"/>
                <w:szCs w:val="20"/>
                <w:lang w:val="fr-CA"/>
              </w:rPr>
            </w:pPr>
            <w:r>
              <w:rPr>
                <w:rFonts w:asciiTheme="majorHAnsi" w:hAnsiTheme="majorHAnsi" w:cs="Arial"/>
                <w:sz w:val="20"/>
                <w:szCs w:val="20"/>
                <w:lang w:val="fr-CA"/>
              </w:rPr>
              <w:t>Coûts</w:t>
            </w:r>
            <w:r w:rsidR="00E01336" w:rsidRPr="0081702E">
              <w:rPr>
                <w:rFonts w:asciiTheme="majorHAnsi" w:hAnsiTheme="majorHAnsi" w:cs="Arial"/>
                <w:sz w:val="20"/>
                <w:szCs w:val="20"/>
                <w:lang w:val="fr-CA"/>
              </w:rPr>
              <w:t xml:space="preserve"> </w:t>
            </w:r>
            <w:r w:rsidR="00914A1A" w:rsidRPr="0081702E">
              <w:rPr>
                <w:rFonts w:asciiTheme="majorHAnsi" w:hAnsiTheme="majorHAnsi" w:cs="Arial"/>
                <w:sz w:val="20"/>
                <w:szCs w:val="20"/>
                <w:lang w:val="fr-CA"/>
              </w:rPr>
              <w:t>CHF</w:t>
            </w:r>
          </w:p>
        </w:tc>
      </w:tr>
      <w:tr w:rsidR="00914A1A" w:rsidRPr="0081702E" w14:paraId="47719E1F" w14:textId="77777777" w:rsidTr="00836984">
        <w:tc>
          <w:tcPr>
            <w:tcW w:w="512" w:type="pct"/>
          </w:tcPr>
          <w:p w14:paraId="78BDBAC8" w14:textId="18988595" w:rsidR="00914A1A" w:rsidRPr="0081702E" w:rsidRDefault="00914A1A" w:rsidP="000F4FDF">
            <w:pPr>
              <w:rPr>
                <w:rFonts w:asciiTheme="majorHAnsi" w:hAnsiTheme="majorHAnsi" w:cs="Arial"/>
                <w:b w:val="0"/>
                <w:sz w:val="20"/>
                <w:szCs w:val="20"/>
                <w:lang w:val="fr-CA" w:eastAsia="zh-CN"/>
              </w:rPr>
            </w:pPr>
            <w:r w:rsidRPr="0081702E">
              <w:rPr>
                <w:rFonts w:asciiTheme="majorHAnsi" w:hAnsiTheme="majorHAnsi" w:cs="Arial"/>
                <w:b w:val="0"/>
                <w:sz w:val="20"/>
                <w:szCs w:val="20"/>
                <w:lang w:val="fr-CA" w:eastAsia="zh-CN"/>
              </w:rPr>
              <w:t>5.1</w:t>
            </w:r>
            <w:r w:rsidR="00E01336" w:rsidRPr="0081702E">
              <w:rPr>
                <w:rFonts w:asciiTheme="majorHAnsi" w:hAnsiTheme="majorHAnsi" w:cs="Arial"/>
                <w:b w:val="0"/>
                <w:sz w:val="20"/>
                <w:szCs w:val="20"/>
                <w:lang w:val="fr-CA" w:eastAsia="zh-CN"/>
              </w:rPr>
              <w:t xml:space="preserve"> </w:t>
            </w:r>
            <w:r w:rsidR="000F4FDF">
              <w:rPr>
                <w:rFonts w:asciiTheme="majorHAnsi" w:hAnsiTheme="majorHAnsi" w:cs="Arial"/>
                <w:b w:val="0"/>
                <w:sz w:val="20"/>
                <w:szCs w:val="20"/>
                <w:lang w:val="fr-CA" w:eastAsia="zh-CN"/>
              </w:rPr>
              <w:t>Promouvoir les meilleures pratiques de restauration des zones humides</w:t>
            </w:r>
          </w:p>
        </w:tc>
        <w:tc>
          <w:tcPr>
            <w:tcW w:w="284" w:type="pct"/>
          </w:tcPr>
          <w:p w14:paraId="21B3779B" w14:textId="77777777" w:rsidR="00914A1A" w:rsidRPr="0081702E" w:rsidRDefault="00914A1A" w:rsidP="00914A1A">
            <w:pPr>
              <w:rPr>
                <w:rFonts w:asciiTheme="majorHAnsi" w:hAnsiTheme="majorHAnsi" w:cs="Arial"/>
                <w:b w:val="0"/>
                <w:sz w:val="20"/>
                <w:szCs w:val="20"/>
                <w:lang w:val="fr-CA"/>
              </w:rPr>
            </w:pPr>
          </w:p>
        </w:tc>
        <w:tc>
          <w:tcPr>
            <w:tcW w:w="355" w:type="pct"/>
          </w:tcPr>
          <w:p w14:paraId="7D002CFA" w14:textId="77777777"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XII.2</w:t>
            </w:r>
          </w:p>
        </w:tc>
        <w:tc>
          <w:tcPr>
            <w:tcW w:w="401" w:type="pct"/>
          </w:tcPr>
          <w:p w14:paraId="0ACA7174" w14:textId="77777777" w:rsidR="00914A1A" w:rsidRPr="0081702E" w:rsidRDefault="00914A1A" w:rsidP="00914A1A">
            <w:pPr>
              <w:rPr>
                <w:rFonts w:asciiTheme="majorHAnsi" w:eastAsia="Calibri" w:hAnsiTheme="majorHAnsi" w:cs="Arial"/>
                <w:b w:val="0"/>
                <w:bCs/>
                <w:sz w:val="20"/>
                <w:szCs w:val="20"/>
                <w:lang w:val="fr-CA"/>
              </w:rPr>
            </w:pPr>
            <w:r w:rsidRPr="0081702E">
              <w:rPr>
                <w:rFonts w:asciiTheme="majorHAnsi" w:hAnsiTheme="majorHAnsi" w:cs="Arial"/>
                <w:b w:val="0"/>
                <w:sz w:val="20"/>
                <w:szCs w:val="20"/>
                <w:lang w:val="fr-CA" w:eastAsia="zh-CN"/>
              </w:rPr>
              <w:t>3.12</w:t>
            </w:r>
          </w:p>
        </w:tc>
        <w:tc>
          <w:tcPr>
            <w:tcW w:w="2954" w:type="pct"/>
          </w:tcPr>
          <w:p w14:paraId="136F21B8" w14:textId="4133DB4E" w:rsidR="00914A1A" w:rsidRPr="0081702E" w:rsidRDefault="00931645" w:rsidP="00914A1A">
            <w:pPr>
              <w:tabs>
                <w:tab w:val="left" w:pos="0"/>
              </w:tabs>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914A1A" w:rsidRPr="0081702E">
              <w:rPr>
                <w:rFonts w:asciiTheme="majorHAnsi" w:hAnsiTheme="majorHAnsi" w:cs="Arial"/>
                <w:b w:val="0"/>
                <w:sz w:val="20"/>
                <w:szCs w:val="20"/>
                <w:lang w:val="fr-CA"/>
              </w:rPr>
              <w:t>Compil</w:t>
            </w:r>
            <w:r w:rsidR="000F4FDF">
              <w:rPr>
                <w:rFonts w:asciiTheme="majorHAnsi" w:hAnsiTheme="majorHAnsi" w:cs="Arial"/>
                <w:b w:val="0"/>
                <w:sz w:val="20"/>
                <w:szCs w:val="20"/>
                <w:lang w:val="fr-CA"/>
              </w:rPr>
              <w:t xml:space="preserve">er les meilleures pratiques de restauration des zones humides pour l’atténuation des changements climatiques et l’adaptation à ces changements, y compris les politiques, instruments et incitations et les innovations techniques de différentes régions. </w:t>
            </w:r>
          </w:p>
          <w:p w14:paraId="296D5AA0" w14:textId="77777777" w:rsidR="00914A1A" w:rsidRPr="0081702E" w:rsidRDefault="00914A1A" w:rsidP="00914A1A">
            <w:pPr>
              <w:tabs>
                <w:tab w:val="left" w:pos="0"/>
              </w:tabs>
              <w:rPr>
                <w:rFonts w:asciiTheme="majorHAnsi" w:hAnsiTheme="majorHAnsi" w:cs="Arial"/>
                <w:sz w:val="20"/>
                <w:szCs w:val="20"/>
                <w:u w:val="single"/>
                <w:lang w:val="fr-CA"/>
              </w:rPr>
            </w:pPr>
          </w:p>
          <w:p w14:paraId="633A6A3D" w14:textId="34DFCC47" w:rsidR="00914A1A" w:rsidRPr="0081702E" w:rsidRDefault="00931645" w:rsidP="00914A1A">
            <w:pPr>
              <w:tabs>
                <w:tab w:val="left" w:pos="0"/>
              </w:tabs>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E01336" w:rsidRPr="0081702E">
              <w:rPr>
                <w:rFonts w:asciiTheme="majorHAnsi" w:hAnsiTheme="majorHAnsi" w:cs="Arial"/>
                <w:b w:val="0"/>
                <w:sz w:val="20"/>
                <w:szCs w:val="20"/>
                <w:lang w:val="fr-CA"/>
              </w:rPr>
              <w:t xml:space="preserve"> </w:t>
            </w:r>
          </w:p>
          <w:p w14:paraId="530A9641" w14:textId="31D99AE5" w:rsidR="00914A1A" w:rsidRPr="0081702E" w:rsidRDefault="00914A1A" w:rsidP="00914A1A">
            <w:pPr>
              <w:tabs>
                <w:tab w:val="left" w:pos="0"/>
              </w:tabs>
              <w:rPr>
                <w:rFonts w:asciiTheme="majorHAnsi" w:hAnsiTheme="majorHAnsi" w:cs="Arial"/>
                <w:b w:val="0"/>
                <w:sz w:val="20"/>
                <w:szCs w:val="20"/>
                <w:lang w:val="fr-CA"/>
              </w:rPr>
            </w:pPr>
            <w:r w:rsidRPr="0081702E">
              <w:rPr>
                <w:rFonts w:asciiTheme="majorHAnsi" w:hAnsiTheme="majorHAnsi" w:cs="Arial"/>
                <w:b w:val="0"/>
                <w:sz w:val="20"/>
                <w:szCs w:val="20"/>
                <w:lang w:val="fr-CA"/>
              </w:rPr>
              <w:t>1)</w:t>
            </w:r>
            <w:r w:rsidR="00E01336" w:rsidRPr="0081702E">
              <w:rPr>
                <w:rFonts w:asciiTheme="majorHAnsi" w:hAnsiTheme="majorHAnsi" w:cs="Arial"/>
                <w:b w:val="0"/>
                <w:sz w:val="20"/>
                <w:szCs w:val="20"/>
                <w:lang w:val="fr-CA"/>
              </w:rPr>
              <w:t xml:space="preserve"> </w:t>
            </w:r>
            <w:r w:rsidR="000F4FDF">
              <w:rPr>
                <w:rFonts w:asciiTheme="majorHAnsi" w:hAnsiTheme="majorHAnsi" w:cs="Arial"/>
                <w:b w:val="0"/>
                <w:sz w:val="20"/>
                <w:szCs w:val="20"/>
                <w:lang w:val="fr-CA"/>
              </w:rPr>
              <w:t xml:space="preserve">En s’appuyant sur la note d’information Ramsar </w:t>
            </w:r>
            <w:r w:rsidRPr="0081702E">
              <w:rPr>
                <w:rFonts w:asciiTheme="majorHAnsi" w:hAnsiTheme="majorHAnsi" w:cs="Arial"/>
                <w:b w:val="0"/>
                <w:sz w:val="20"/>
                <w:szCs w:val="20"/>
                <w:lang w:val="fr-CA"/>
              </w:rPr>
              <w:t>[6],</w:t>
            </w:r>
            <w:r w:rsidR="00E01336" w:rsidRPr="0081702E">
              <w:rPr>
                <w:rFonts w:asciiTheme="majorHAnsi" w:hAnsiTheme="majorHAnsi" w:cs="Arial"/>
                <w:b w:val="0"/>
                <w:sz w:val="20"/>
                <w:szCs w:val="20"/>
                <w:lang w:val="fr-CA"/>
              </w:rPr>
              <w:t xml:space="preserve"> </w:t>
            </w:r>
            <w:r w:rsidR="000F4FDF">
              <w:rPr>
                <w:rFonts w:asciiTheme="majorHAnsi" w:hAnsiTheme="majorHAnsi" w:cs="Arial"/>
                <w:b w:val="0"/>
                <w:sz w:val="20"/>
                <w:szCs w:val="20"/>
                <w:lang w:val="fr-CA"/>
              </w:rPr>
              <w:t xml:space="preserve">une nouvelle note d’information soulignera le potentiel et </w:t>
            </w:r>
            <w:r w:rsidR="00A1768B">
              <w:rPr>
                <w:rFonts w:asciiTheme="majorHAnsi" w:hAnsiTheme="majorHAnsi" w:cs="Arial"/>
                <w:b w:val="0"/>
                <w:sz w:val="20"/>
                <w:szCs w:val="20"/>
                <w:lang w:val="fr-CA"/>
              </w:rPr>
              <w:t>la justification de</w:t>
            </w:r>
            <w:r w:rsidR="000F4FDF">
              <w:rPr>
                <w:rFonts w:asciiTheme="majorHAnsi" w:hAnsiTheme="majorHAnsi" w:cs="Arial"/>
                <w:b w:val="0"/>
                <w:sz w:val="20"/>
                <w:szCs w:val="20"/>
                <w:lang w:val="fr-CA"/>
              </w:rPr>
              <w:t xml:space="preserve"> la restauration des zones humides dans le contexte des changements climatiques.</w:t>
            </w:r>
            <w:r w:rsidR="00E01336" w:rsidRPr="0081702E">
              <w:rPr>
                <w:rFonts w:asciiTheme="majorHAnsi" w:hAnsiTheme="majorHAnsi" w:cs="Arial"/>
                <w:b w:val="0"/>
                <w:sz w:val="20"/>
                <w:szCs w:val="20"/>
                <w:lang w:val="fr-CA"/>
              </w:rPr>
              <w:t xml:space="preserve"> </w:t>
            </w:r>
          </w:p>
          <w:p w14:paraId="58330B43" w14:textId="77777777" w:rsidR="00914A1A" w:rsidRPr="0081702E" w:rsidRDefault="00914A1A" w:rsidP="00914A1A">
            <w:pPr>
              <w:tabs>
                <w:tab w:val="left" w:pos="0"/>
              </w:tabs>
              <w:rPr>
                <w:rFonts w:asciiTheme="majorHAnsi" w:hAnsiTheme="majorHAnsi" w:cs="Arial"/>
                <w:b w:val="0"/>
                <w:sz w:val="20"/>
                <w:szCs w:val="20"/>
                <w:lang w:val="fr-CA"/>
              </w:rPr>
            </w:pPr>
          </w:p>
          <w:p w14:paraId="3943E667" w14:textId="46701826" w:rsidR="00914A1A" w:rsidRPr="0081702E" w:rsidRDefault="00914A1A" w:rsidP="00914A1A">
            <w:pPr>
              <w:tabs>
                <w:tab w:val="left" w:pos="0"/>
              </w:tabs>
              <w:rPr>
                <w:rFonts w:asciiTheme="majorHAnsi" w:hAnsiTheme="majorHAnsi" w:cs="Arial"/>
                <w:b w:val="0"/>
                <w:sz w:val="20"/>
                <w:szCs w:val="20"/>
                <w:lang w:val="fr-CA"/>
              </w:rPr>
            </w:pPr>
            <w:r w:rsidRPr="0081702E">
              <w:rPr>
                <w:rFonts w:asciiTheme="majorHAnsi" w:hAnsiTheme="majorHAnsi" w:cs="Arial"/>
                <w:b w:val="0"/>
                <w:sz w:val="20"/>
                <w:szCs w:val="20"/>
                <w:lang w:val="fr-CA"/>
              </w:rPr>
              <w:t>2)</w:t>
            </w:r>
            <w:r w:rsidR="00E01336" w:rsidRPr="0081702E">
              <w:rPr>
                <w:rFonts w:asciiTheme="majorHAnsi" w:hAnsiTheme="majorHAnsi" w:cs="Arial"/>
                <w:b w:val="0"/>
                <w:sz w:val="20"/>
                <w:szCs w:val="20"/>
                <w:lang w:val="fr-CA"/>
              </w:rPr>
              <w:t xml:space="preserve"> </w:t>
            </w:r>
            <w:r w:rsidR="000F4FDF">
              <w:rPr>
                <w:rFonts w:asciiTheme="majorHAnsi" w:hAnsiTheme="majorHAnsi" w:cs="Arial"/>
                <w:b w:val="0"/>
                <w:sz w:val="20"/>
                <w:szCs w:val="20"/>
                <w:lang w:val="fr-CA"/>
              </w:rPr>
              <w:t>Un document d’orientation discutera des meilleures pratiques et politiques pour les incitations et instruments de restauration des zones humides (p. ex., fonds carbone/secteur privé/VCS</w:t>
            </w:r>
            <w:r w:rsidR="00102344">
              <w:rPr>
                <w:rFonts w:asciiTheme="majorHAnsi" w:hAnsiTheme="majorHAnsi" w:cs="Arial"/>
                <w:b w:val="0"/>
                <w:sz w:val="20"/>
                <w:szCs w:val="20"/>
                <w:lang w:val="fr-CA"/>
              </w:rPr>
              <w:t>- Verified Carbon Standard</w:t>
            </w:r>
            <w:r w:rsidR="000F4FDF">
              <w:rPr>
                <w:rFonts w:asciiTheme="majorHAnsi" w:hAnsiTheme="majorHAnsi" w:cs="Arial"/>
                <w:b w:val="0"/>
                <w:sz w:val="20"/>
                <w:szCs w:val="20"/>
                <w:lang w:val="fr-CA"/>
              </w:rPr>
              <w:t>/CCBA</w:t>
            </w:r>
            <w:r w:rsidR="00102344">
              <w:rPr>
                <w:rFonts w:asciiTheme="majorHAnsi" w:hAnsiTheme="majorHAnsi" w:cs="Arial"/>
                <w:b w:val="0"/>
                <w:sz w:val="20"/>
                <w:szCs w:val="20"/>
                <w:lang w:val="fr-CA"/>
              </w:rPr>
              <w:t>-Climate, Community &amp; Biodiversity Alliance)</w:t>
            </w:r>
            <w:r w:rsidR="000F4FDF">
              <w:rPr>
                <w:rFonts w:asciiTheme="majorHAnsi" w:hAnsiTheme="majorHAnsi" w:cs="Arial"/>
                <w:b w:val="0"/>
                <w:sz w:val="20"/>
                <w:szCs w:val="20"/>
                <w:lang w:val="fr-CA"/>
              </w:rPr>
              <w:t xml:space="preserve"> pour expliquer pourquoi des ressources doivent être investies dans ces efforts.</w:t>
            </w:r>
            <w:r w:rsidR="00E01336" w:rsidRPr="0081702E">
              <w:rPr>
                <w:rFonts w:asciiTheme="majorHAnsi" w:hAnsiTheme="majorHAnsi" w:cs="Arial"/>
                <w:b w:val="0"/>
                <w:sz w:val="20"/>
                <w:szCs w:val="20"/>
                <w:lang w:val="fr-CA"/>
              </w:rPr>
              <w:t xml:space="preserve"> </w:t>
            </w:r>
          </w:p>
          <w:p w14:paraId="7CEAC7D2" w14:textId="77777777" w:rsidR="00914A1A" w:rsidRPr="0081702E" w:rsidRDefault="00914A1A" w:rsidP="00914A1A">
            <w:pPr>
              <w:tabs>
                <w:tab w:val="left" w:pos="0"/>
              </w:tabs>
              <w:rPr>
                <w:rFonts w:asciiTheme="majorHAnsi" w:hAnsiTheme="majorHAnsi" w:cs="Arial"/>
                <w:b w:val="0"/>
                <w:sz w:val="20"/>
                <w:szCs w:val="20"/>
                <w:lang w:val="fr-CA"/>
              </w:rPr>
            </w:pPr>
          </w:p>
          <w:p w14:paraId="5600AB4A" w14:textId="3C60D2A1" w:rsidR="00914A1A" w:rsidRPr="0081702E" w:rsidRDefault="00914A1A" w:rsidP="00914A1A">
            <w:pPr>
              <w:tabs>
                <w:tab w:val="left" w:pos="0"/>
              </w:tabs>
              <w:rPr>
                <w:rFonts w:asciiTheme="majorHAnsi" w:hAnsiTheme="majorHAnsi" w:cs="Arial"/>
                <w:b w:val="0"/>
                <w:sz w:val="20"/>
                <w:szCs w:val="20"/>
                <w:lang w:val="fr-CA"/>
              </w:rPr>
            </w:pPr>
            <w:r w:rsidRPr="0081702E">
              <w:rPr>
                <w:rFonts w:asciiTheme="majorHAnsi" w:hAnsiTheme="majorHAnsi" w:cs="Arial"/>
                <w:b w:val="0"/>
                <w:sz w:val="20"/>
                <w:szCs w:val="20"/>
                <w:lang w:val="fr-CA"/>
              </w:rPr>
              <w:t>3)</w:t>
            </w:r>
            <w:r w:rsidR="00E01336" w:rsidRPr="0081702E">
              <w:rPr>
                <w:rFonts w:asciiTheme="majorHAnsi" w:hAnsiTheme="majorHAnsi" w:cs="Arial"/>
                <w:b w:val="0"/>
                <w:sz w:val="20"/>
                <w:szCs w:val="20"/>
                <w:lang w:val="fr-CA"/>
              </w:rPr>
              <w:t xml:space="preserve"> </w:t>
            </w:r>
            <w:r w:rsidR="000F4FDF">
              <w:rPr>
                <w:rFonts w:asciiTheme="majorHAnsi" w:hAnsiTheme="majorHAnsi" w:cs="Arial"/>
                <w:b w:val="0"/>
                <w:sz w:val="20"/>
                <w:szCs w:val="20"/>
                <w:lang w:val="fr-CA"/>
              </w:rPr>
              <w:t xml:space="preserve">Une note d’information en rapport identifiera, pour les praticiens des zones humides, les sources possibles de financement pour les activités de restauration (y compris les programmes de microcrédit), en tenant compte des questions d’équité et d’égalité </w:t>
            </w:r>
            <w:r w:rsidR="0085476E">
              <w:rPr>
                <w:rFonts w:asciiTheme="majorHAnsi" w:hAnsiTheme="majorHAnsi" w:cs="Arial"/>
                <w:b w:val="0"/>
                <w:sz w:val="20"/>
                <w:szCs w:val="20"/>
                <w:lang w:val="fr-CA"/>
              </w:rPr>
              <w:t>entre les</w:t>
            </w:r>
            <w:r w:rsidR="000F4FDF">
              <w:rPr>
                <w:rFonts w:asciiTheme="majorHAnsi" w:hAnsiTheme="majorHAnsi" w:cs="Arial"/>
                <w:b w:val="0"/>
                <w:sz w:val="20"/>
                <w:szCs w:val="20"/>
                <w:lang w:val="fr-CA"/>
              </w:rPr>
              <w:t xml:space="preserve"> sexes. </w:t>
            </w:r>
          </w:p>
          <w:p w14:paraId="72B81437" w14:textId="77777777" w:rsidR="00914A1A" w:rsidRPr="0081702E" w:rsidRDefault="00914A1A" w:rsidP="00914A1A">
            <w:pPr>
              <w:pStyle w:val="ListParagraph"/>
              <w:tabs>
                <w:tab w:val="left" w:pos="0"/>
              </w:tabs>
              <w:ind w:left="360"/>
              <w:rPr>
                <w:rFonts w:asciiTheme="majorHAnsi" w:hAnsiTheme="majorHAnsi" w:cs="Arial"/>
                <w:b w:val="0"/>
                <w:sz w:val="20"/>
                <w:szCs w:val="20"/>
                <w:u w:val="single"/>
                <w:lang w:val="fr-CA"/>
              </w:rPr>
            </w:pPr>
          </w:p>
          <w:p w14:paraId="1AEC761F" w14:textId="58FFD644" w:rsidR="00914A1A" w:rsidRPr="0081702E" w:rsidRDefault="00931645" w:rsidP="000F4FDF">
            <w:pPr>
              <w:tabs>
                <w:tab w:val="left" w:pos="0"/>
              </w:tabs>
              <w:rPr>
                <w:rFonts w:asciiTheme="majorHAnsi" w:hAnsiTheme="majorHAnsi" w:cs="Arial"/>
                <w:sz w:val="20"/>
                <w:szCs w:val="20"/>
                <w:u w:val="single"/>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0F4FDF">
              <w:rPr>
                <w:rFonts w:asciiTheme="majorHAnsi" w:hAnsiTheme="majorHAnsi" w:cs="Arial"/>
                <w:b w:val="0"/>
                <w:sz w:val="20"/>
                <w:szCs w:val="20"/>
                <w:lang w:val="fr-CA"/>
              </w:rPr>
              <w:t>Décideurs et praticiens.</w:t>
            </w:r>
            <w:r w:rsidR="00E01336" w:rsidRPr="0081702E">
              <w:rPr>
                <w:rFonts w:asciiTheme="majorHAnsi" w:hAnsiTheme="majorHAnsi" w:cs="Arial"/>
                <w:sz w:val="20"/>
                <w:szCs w:val="20"/>
                <w:u w:val="single"/>
                <w:lang w:val="fr-CA"/>
              </w:rPr>
              <w:t xml:space="preserve">  </w:t>
            </w:r>
          </w:p>
        </w:tc>
        <w:tc>
          <w:tcPr>
            <w:tcW w:w="494" w:type="pct"/>
          </w:tcPr>
          <w:p w14:paraId="7C7C4BB7" w14:textId="15E5839B" w:rsidR="00914A1A" w:rsidRPr="0081702E" w:rsidRDefault="00914A1A" w:rsidP="00E64065">
            <w:pPr>
              <w:rPr>
                <w:rFonts w:asciiTheme="majorHAnsi" w:hAnsiTheme="majorHAnsi" w:cs="Arial"/>
                <w:b w:val="0"/>
                <w:sz w:val="20"/>
                <w:szCs w:val="20"/>
                <w:lang w:val="fr-CA"/>
              </w:rPr>
            </w:pPr>
            <w:r w:rsidRPr="0081702E">
              <w:rPr>
                <w:rFonts w:asciiTheme="majorHAnsi" w:hAnsiTheme="majorHAnsi" w:cs="Arial"/>
                <w:b w:val="0"/>
                <w:sz w:val="20"/>
                <w:szCs w:val="20"/>
                <w:lang w:val="fr-CA"/>
              </w:rPr>
              <w:t>55</w:t>
            </w:r>
            <w:r w:rsidR="00E64065">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000</w:t>
            </w:r>
          </w:p>
        </w:tc>
      </w:tr>
      <w:tr w:rsidR="00914A1A" w:rsidRPr="0081702E" w14:paraId="1658DD1A" w14:textId="77777777" w:rsidTr="00836984">
        <w:tc>
          <w:tcPr>
            <w:tcW w:w="512" w:type="pct"/>
          </w:tcPr>
          <w:p w14:paraId="6CCBE1CD" w14:textId="4AB7F54B" w:rsidR="00914A1A" w:rsidRPr="0081702E" w:rsidRDefault="00914A1A" w:rsidP="000F4FDF">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lastRenderedPageBreak/>
              <w:t>5.2</w:t>
            </w:r>
            <w:r w:rsidR="00E01336" w:rsidRPr="0081702E">
              <w:rPr>
                <w:rFonts w:asciiTheme="majorHAnsi" w:hAnsiTheme="majorHAnsi" w:cs="Arial"/>
                <w:b w:val="0"/>
                <w:sz w:val="20"/>
                <w:szCs w:val="20"/>
                <w:lang w:val="fr-CA"/>
              </w:rPr>
              <w:t xml:space="preserve"> </w:t>
            </w:r>
            <w:r w:rsidR="000F4FDF">
              <w:rPr>
                <w:rFonts w:asciiTheme="majorHAnsi" w:hAnsiTheme="majorHAnsi" w:cs="Arial"/>
                <w:b w:val="0"/>
                <w:sz w:val="20"/>
                <w:szCs w:val="20"/>
                <w:lang w:val="fr-CA"/>
              </w:rPr>
              <w:t xml:space="preserve">Incidences de la </w:t>
            </w:r>
            <w:r w:rsidRPr="0081702E">
              <w:rPr>
                <w:rFonts w:asciiTheme="majorHAnsi" w:hAnsiTheme="majorHAnsi" w:cs="Arial"/>
                <w:b w:val="0"/>
                <w:sz w:val="20"/>
                <w:szCs w:val="20"/>
                <w:lang w:val="fr-CA"/>
              </w:rPr>
              <w:t>REDD-plus</w:t>
            </w:r>
            <w:r w:rsidR="00E01336" w:rsidRPr="0081702E">
              <w:rPr>
                <w:rFonts w:asciiTheme="majorHAnsi" w:hAnsiTheme="majorHAnsi" w:cs="Arial"/>
                <w:b w:val="0"/>
                <w:sz w:val="20"/>
                <w:szCs w:val="20"/>
                <w:lang w:val="fr-CA"/>
              </w:rPr>
              <w:t xml:space="preserve"> </w:t>
            </w:r>
            <w:r w:rsidR="000F4FDF">
              <w:rPr>
                <w:rFonts w:asciiTheme="majorHAnsi" w:hAnsiTheme="majorHAnsi" w:cs="Arial"/>
                <w:b w:val="0"/>
                <w:sz w:val="20"/>
                <w:szCs w:val="20"/>
                <w:lang w:val="fr-CA"/>
              </w:rPr>
              <w:t xml:space="preserve">pour l’utilisation rationnelle des zones humides </w:t>
            </w:r>
          </w:p>
          <w:p w14:paraId="64A26DCE" w14:textId="77777777" w:rsidR="00914A1A" w:rsidRPr="0081702E" w:rsidRDefault="00914A1A" w:rsidP="000F4FDF">
            <w:pPr>
              <w:keepNext/>
              <w:keepLines/>
              <w:rPr>
                <w:rFonts w:asciiTheme="majorHAnsi" w:hAnsiTheme="majorHAnsi" w:cs="Arial"/>
                <w:b w:val="0"/>
                <w:sz w:val="20"/>
                <w:szCs w:val="20"/>
                <w:lang w:val="fr-CA"/>
              </w:rPr>
            </w:pPr>
          </w:p>
        </w:tc>
        <w:tc>
          <w:tcPr>
            <w:tcW w:w="284" w:type="pct"/>
          </w:tcPr>
          <w:p w14:paraId="465B6D40" w14:textId="77777777" w:rsidR="00914A1A" w:rsidRPr="0081702E" w:rsidRDefault="00914A1A" w:rsidP="000F4FDF">
            <w:pPr>
              <w:keepNext/>
              <w:keepLines/>
              <w:rPr>
                <w:rFonts w:asciiTheme="majorHAnsi" w:hAnsiTheme="majorHAnsi" w:cs="Arial"/>
                <w:b w:val="0"/>
                <w:sz w:val="20"/>
                <w:szCs w:val="20"/>
                <w:lang w:val="fr-CA"/>
              </w:rPr>
            </w:pPr>
          </w:p>
        </w:tc>
        <w:tc>
          <w:tcPr>
            <w:tcW w:w="355" w:type="pct"/>
          </w:tcPr>
          <w:p w14:paraId="3C7AFBEE" w14:textId="77777777" w:rsidR="00914A1A" w:rsidRPr="0081702E" w:rsidRDefault="00914A1A" w:rsidP="000F4FDF">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XII.2</w:t>
            </w:r>
          </w:p>
        </w:tc>
        <w:tc>
          <w:tcPr>
            <w:tcW w:w="401" w:type="pct"/>
          </w:tcPr>
          <w:p w14:paraId="551F9E78" w14:textId="77777777" w:rsidR="00914A1A" w:rsidRPr="0081702E" w:rsidRDefault="00914A1A" w:rsidP="000F4FDF">
            <w:pPr>
              <w:keepNext/>
              <w:keepLines/>
              <w:rPr>
                <w:rFonts w:asciiTheme="majorHAnsi" w:hAnsiTheme="majorHAnsi" w:cs="Arial"/>
                <w:b w:val="0"/>
                <w:sz w:val="20"/>
                <w:szCs w:val="20"/>
                <w:lang w:val="fr-CA"/>
              </w:rPr>
            </w:pPr>
            <w:r w:rsidRPr="0081702E">
              <w:rPr>
                <w:rFonts w:asciiTheme="majorHAnsi" w:hAnsiTheme="majorHAnsi" w:cs="Arial"/>
                <w:b w:val="0"/>
                <w:sz w:val="20"/>
                <w:szCs w:val="20"/>
                <w:lang w:val="fr-CA"/>
              </w:rPr>
              <w:t>3.12</w:t>
            </w:r>
          </w:p>
        </w:tc>
        <w:tc>
          <w:tcPr>
            <w:tcW w:w="2954" w:type="pct"/>
          </w:tcPr>
          <w:p w14:paraId="390F4699" w14:textId="33C7AAC8" w:rsidR="00914A1A" w:rsidRPr="0081702E" w:rsidRDefault="00931645" w:rsidP="000F4FDF">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0F4FDF">
              <w:rPr>
                <w:rFonts w:asciiTheme="majorHAnsi" w:hAnsiTheme="majorHAnsi" w:cs="Arial"/>
                <w:b w:val="0"/>
                <w:sz w:val="20"/>
                <w:szCs w:val="20"/>
                <w:lang w:val="fr-CA"/>
              </w:rPr>
              <w:t xml:space="preserve">Examen des décisions prises par les accords multilatéraux sur l’environnement concernant la </w:t>
            </w:r>
            <w:r w:rsidR="00914A1A" w:rsidRPr="0081702E">
              <w:rPr>
                <w:rFonts w:asciiTheme="majorHAnsi" w:hAnsiTheme="majorHAnsi" w:cs="Arial"/>
                <w:b w:val="0"/>
                <w:sz w:val="20"/>
                <w:szCs w:val="20"/>
                <w:lang w:val="fr-CA"/>
              </w:rPr>
              <w:t>REDD-plus</w:t>
            </w:r>
            <w:r w:rsidR="00E01336" w:rsidRPr="0081702E">
              <w:rPr>
                <w:rFonts w:asciiTheme="majorHAnsi" w:hAnsiTheme="majorHAnsi" w:cs="Arial"/>
                <w:b w:val="0"/>
                <w:sz w:val="20"/>
                <w:szCs w:val="20"/>
                <w:lang w:val="fr-CA"/>
              </w:rPr>
              <w:t xml:space="preserve"> </w:t>
            </w:r>
            <w:r w:rsidR="000F4FDF">
              <w:rPr>
                <w:rFonts w:asciiTheme="majorHAnsi" w:hAnsiTheme="majorHAnsi" w:cs="Arial"/>
                <w:b w:val="0"/>
                <w:sz w:val="20"/>
                <w:szCs w:val="20"/>
                <w:lang w:val="fr-CA"/>
              </w:rPr>
              <w:t xml:space="preserve">et leurs incidences pour l’utilisation rationnelle des zones humides. Cela permettrait de terminer les travaux en cours depuis la période triennale précédente. </w:t>
            </w:r>
          </w:p>
          <w:p w14:paraId="1A142FBB" w14:textId="77777777" w:rsidR="00914A1A" w:rsidRPr="0081702E" w:rsidRDefault="00914A1A" w:rsidP="000F4FDF">
            <w:pPr>
              <w:keepNext/>
              <w:keepLines/>
              <w:rPr>
                <w:rFonts w:asciiTheme="majorHAnsi" w:hAnsiTheme="majorHAnsi" w:cs="Arial"/>
                <w:b w:val="0"/>
                <w:sz w:val="20"/>
                <w:szCs w:val="20"/>
                <w:u w:val="single"/>
                <w:lang w:val="fr-CA"/>
              </w:rPr>
            </w:pPr>
          </w:p>
          <w:p w14:paraId="1377CBBD" w14:textId="0B85F7A6" w:rsidR="00914A1A" w:rsidRPr="0081702E" w:rsidRDefault="00931645" w:rsidP="000F4FDF">
            <w:pPr>
              <w:keepNext/>
              <w:keepLines/>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0F4FDF">
              <w:rPr>
                <w:rFonts w:asciiTheme="majorHAnsi" w:hAnsiTheme="majorHAnsi" w:cs="Arial"/>
                <w:b w:val="0"/>
                <w:sz w:val="20"/>
                <w:szCs w:val="20"/>
                <w:lang w:val="fr-CA"/>
              </w:rPr>
              <w:t xml:space="preserve">Note d’information. </w:t>
            </w:r>
            <w:r w:rsidR="00E01336" w:rsidRPr="0081702E">
              <w:rPr>
                <w:rFonts w:asciiTheme="majorHAnsi" w:hAnsiTheme="majorHAnsi" w:cs="Arial"/>
                <w:b w:val="0"/>
                <w:sz w:val="20"/>
                <w:szCs w:val="20"/>
                <w:lang w:val="fr-CA"/>
              </w:rPr>
              <w:t xml:space="preserve"> </w:t>
            </w:r>
          </w:p>
          <w:p w14:paraId="75CFCAFA" w14:textId="77777777" w:rsidR="00914A1A" w:rsidRPr="0081702E" w:rsidRDefault="00914A1A" w:rsidP="000F4FDF">
            <w:pPr>
              <w:keepNext/>
              <w:keepLines/>
              <w:rPr>
                <w:rFonts w:asciiTheme="majorHAnsi" w:hAnsiTheme="majorHAnsi" w:cs="Arial"/>
                <w:b w:val="0"/>
                <w:sz w:val="20"/>
                <w:szCs w:val="20"/>
                <w:lang w:val="fr-CA"/>
              </w:rPr>
            </w:pPr>
          </w:p>
          <w:p w14:paraId="3FAAD74D" w14:textId="5D18417D" w:rsidR="00914A1A" w:rsidRPr="0081702E" w:rsidRDefault="00931645" w:rsidP="000F4FDF">
            <w:pPr>
              <w:keepNext/>
              <w:keepLines/>
              <w:rPr>
                <w:rFonts w:asciiTheme="majorHAnsi" w:hAnsiTheme="majorHAnsi" w:cs="Arial"/>
                <w:b w:val="0"/>
                <w:sz w:val="20"/>
                <w:szCs w:val="20"/>
                <w:u w:val="single"/>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914A1A" w:rsidRPr="0081702E">
              <w:rPr>
                <w:rFonts w:asciiTheme="majorHAnsi" w:hAnsiTheme="majorHAnsi" w:cs="Arial"/>
                <w:b w:val="0"/>
                <w:sz w:val="20"/>
                <w:szCs w:val="20"/>
                <w:lang w:val="fr-CA"/>
              </w:rPr>
              <w:t>Pra</w:t>
            </w:r>
            <w:r w:rsidR="000F4FDF">
              <w:rPr>
                <w:rFonts w:asciiTheme="majorHAnsi" w:hAnsiTheme="majorHAnsi" w:cs="Arial"/>
                <w:b w:val="0"/>
                <w:sz w:val="20"/>
                <w:szCs w:val="20"/>
                <w:lang w:val="fr-CA"/>
              </w:rPr>
              <w:t>ticiens et décideurs.</w:t>
            </w:r>
          </w:p>
        </w:tc>
        <w:tc>
          <w:tcPr>
            <w:tcW w:w="494" w:type="pct"/>
          </w:tcPr>
          <w:p w14:paraId="18126FD4" w14:textId="306A157D" w:rsidR="00914A1A" w:rsidRPr="0081702E" w:rsidRDefault="00E64065" w:rsidP="00914A1A">
            <w:pPr>
              <w:rPr>
                <w:rFonts w:asciiTheme="majorHAnsi" w:hAnsiTheme="majorHAnsi" w:cs="Arial"/>
                <w:b w:val="0"/>
                <w:sz w:val="20"/>
                <w:szCs w:val="20"/>
                <w:lang w:val="fr-CA"/>
              </w:rPr>
            </w:pPr>
            <w:r>
              <w:rPr>
                <w:rFonts w:asciiTheme="majorHAnsi" w:hAnsiTheme="majorHAnsi" w:cs="Arial"/>
                <w:b w:val="0"/>
                <w:sz w:val="20"/>
                <w:szCs w:val="20"/>
                <w:lang w:val="fr-CA"/>
              </w:rPr>
              <w:t>6</w:t>
            </w:r>
            <w:r w:rsidR="00914A1A" w:rsidRPr="0081702E">
              <w:rPr>
                <w:rFonts w:asciiTheme="majorHAnsi" w:hAnsiTheme="majorHAnsi" w:cs="Arial"/>
                <w:b w:val="0"/>
                <w:sz w:val="20"/>
                <w:szCs w:val="20"/>
                <w:lang w:val="fr-CA"/>
              </w:rPr>
              <w:t>780</w:t>
            </w:r>
          </w:p>
        </w:tc>
      </w:tr>
      <w:tr w:rsidR="00914A1A" w:rsidRPr="0081702E" w14:paraId="578885D1" w14:textId="77777777" w:rsidTr="00836984">
        <w:tc>
          <w:tcPr>
            <w:tcW w:w="512" w:type="pct"/>
          </w:tcPr>
          <w:p w14:paraId="736D8D1B" w14:textId="0E197D5F" w:rsidR="00914A1A" w:rsidRPr="0081702E" w:rsidRDefault="00914A1A" w:rsidP="000F4FDF">
            <w:pPr>
              <w:rPr>
                <w:rFonts w:asciiTheme="majorHAnsi" w:hAnsiTheme="majorHAnsi" w:cs="Arial"/>
                <w:b w:val="0"/>
                <w:sz w:val="20"/>
                <w:szCs w:val="20"/>
                <w:lang w:val="fr-CA"/>
              </w:rPr>
            </w:pPr>
            <w:r w:rsidRPr="0081702E">
              <w:rPr>
                <w:rFonts w:asciiTheme="majorHAnsi" w:hAnsiTheme="majorHAnsi" w:cs="Arial"/>
                <w:b w:val="0"/>
                <w:sz w:val="20"/>
                <w:szCs w:val="20"/>
                <w:lang w:val="fr-CA"/>
              </w:rPr>
              <w:t>5.3</w:t>
            </w:r>
            <w:r w:rsidR="000F4FDF">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A</w:t>
            </w:r>
            <w:r w:rsidR="000F4FDF">
              <w:rPr>
                <w:rFonts w:asciiTheme="majorHAnsi" w:hAnsiTheme="majorHAnsi" w:cs="Arial"/>
                <w:b w:val="0"/>
                <w:sz w:val="20"/>
                <w:szCs w:val="20"/>
                <w:lang w:val="fr-CA"/>
              </w:rPr>
              <w:t>vis pour la 13</w:t>
            </w:r>
            <w:r w:rsidR="000F4FDF" w:rsidRPr="000F4FDF">
              <w:rPr>
                <w:rFonts w:asciiTheme="majorHAnsi" w:hAnsiTheme="majorHAnsi" w:cs="Arial"/>
                <w:b w:val="0"/>
                <w:sz w:val="20"/>
                <w:szCs w:val="20"/>
                <w:vertAlign w:val="superscript"/>
                <w:lang w:val="fr-CA"/>
              </w:rPr>
              <w:t>e</w:t>
            </w:r>
            <w:r w:rsidR="000F4FDF">
              <w:rPr>
                <w:rFonts w:asciiTheme="majorHAnsi" w:hAnsiTheme="majorHAnsi" w:cs="Arial"/>
                <w:b w:val="0"/>
                <w:sz w:val="20"/>
                <w:szCs w:val="20"/>
                <w:lang w:val="fr-CA"/>
              </w:rPr>
              <w:t xml:space="preserve"> Session de la Conférence des Parties sur les méthodes pratiques de réhumidification et de restauration des tourbières </w:t>
            </w:r>
          </w:p>
        </w:tc>
        <w:tc>
          <w:tcPr>
            <w:tcW w:w="284" w:type="pct"/>
          </w:tcPr>
          <w:p w14:paraId="4CCB44B6" w14:textId="77777777" w:rsidR="00914A1A" w:rsidRPr="0081702E" w:rsidRDefault="00914A1A" w:rsidP="00914A1A">
            <w:pPr>
              <w:rPr>
                <w:rFonts w:asciiTheme="majorHAnsi" w:hAnsiTheme="majorHAnsi" w:cs="Arial"/>
                <w:b w:val="0"/>
                <w:sz w:val="20"/>
                <w:szCs w:val="20"/>
                <w:lang w:val="fr-CA"/>
              </w:rPr>
            </w:pPr>
          </w:p>
        </w:tc>
        <w:tc>
          <w:tcPr>
            <w:tcW w:w="355" w:type="pct"/>
          </w:tcPr>
          <w:p w14:paraId="2D17D65B" w14:textId="77777777" w:rsidR="00914A1A" w:rsidRPr="0081702E" w:rsidRDefault="00914A1A" w:rsidP="00914A1A">
            <w:pPr>
              <w:rPr>
                <w:rFonts w:asciiTheme="majorHAnsi" w:hAnsiTheme="majorHAnsi" w:cs="Arial"/>
                <w:sz w:val="20"/>
                <w:szCs w:val="20"/>
                <w:lang w:val="fr-CA"/>
              </w:rPr>
            </w:pPr>
          </w:p>
        </w:tc>
        <w:tc>
          <w:tcPr>
            <w:tcW w:w="401" w:type="pct"/>
          </w:tcPr>
          <w:p w14:paraId="06872B8B" w14:textId="77777777" w:rsidR="00914A1A" w:rsidRPr="0081702E" w:rsidRDefault="00914A1A" w:rsidP="00914A1A">
            <w:pPr>
              <w:rPr>
                <w:rFonts w:asciiTheme="majorHAnsi" w:hAnsiTheme="majorHAnsi" w:cs="Arial"/>
                <w:b w:val="0"/>
                <w:sz w:val="20"/>
                <w:szCs w:val="20"/>
                <w:lang w:val="fr-CA"/>
              </w:rPr>
            </w:pPr>
            <w:r w:rsidRPr="0081702E">
              <w:rPr>
                <w:rFonts w:asciiTheme="majorHAnsi" w:hAnsiTheme="majorHAnsi" w:cs="Arial"/>
                <w:b w:val="0"/>
                <w:sz w:val="20"/>
                <w:szCs w:val="20"/>
                <w:lang w:val="fr-CA"/>
              </w:rPr>
              <w:t>3.12</w:t>
            </w:r>
          </w:p>
        </w:tc>
        <w:tc>
          <w:tcPr>
            <w:tcW w:w="2954" w:type="pct"/>
          </w:tcPr>
          <w:p w14:paraId="0A9E15BE" w14:textId="66098FEA" w:rsidR="00914A1A" w:rsidRPr="0081702E" w:rsidRDefault="00931645"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Description de tâche</w:t>
            </w:r>
            <w:r w:rsidRPr="00130D8F">
              <w:rPr>
                <w:rFonts w:asciiTheme="majorHAnsi" w:hAnsiTheme="majorHAnsi" w:cs="Arial"/>
                <w:b w:val="0"/>
                <w:sz w:val="20"/>
                <w:szCs w:val="20"/>
                <w:lang w:val="fr-CA"/>
              </w:rPr>
              <w:t xml:space="preserve"> : </w:t>
            </w:r>
            <w:r w:rsidR="000F4FDF">
              <w:rPr>
                <w:rFonts w:asciiTheme="majorHAnsi" w:hAnsiTheme="majorHAnsi" w:cs="Arial"/>
                <w:b w:val="0"/>
                <w:sz w:val="20"/>
                <w:szCs w:val="20"/>
                <w:lang w:val="fr-CA"/>
              </w:rPr>
              <w:t>Un rapport technique examinant les méthodes de restauration et de réhumidification pratiques pour les tourbières, produit par un consultant, en collaboration avec le GEST.</w:t>
            </w:r>
          </w:p>
          <w:p w14:paraId="6DB4CDDF" w14:textId="77777777" w:rsidR="00914A1A" w:rsidRPr="0081702E" w:rsidRDefault="00914A1A" w:rsidP="00914A1A">
            <w:pPr>
              <w:rPr>
                <w:rFonts w:asciiTheme="majorHAnsi" w:hAnsiTheme="majorHAnsi" w:cs="Arial"/>
                <w:b w:val="0"/>
                <w:sz w:val="20"/>
                <w:szCs w:val="20"/>
                <w:lang w:val="fr-CA"/>
              </w:rPr>
            </w:pPr>
          </w:p>
          <w:p w14:paraId="4C4AD886" w14:textId="69F72791" w:rsidR="00914A1A" w:rsidRPr="0081702E" w:rsidRDefault="00931645"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Résultat</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escompté(s)</w:t>
            </w:r>
            <w:r w:rsidRPr="00130D8F">
              <w:rPr>
                <w:rFonts w:asciiTheme="majorHAnsi" w:hAnsiTheme="majorHAnsi" w:cs="Arial"/>
                <w:b w:val="0"/>
                <w:sz w:val="20"/>
                <w:szCs w:val="20"/>
                <w:lang w:val="fr-CA"/>
              </w:rPr>
              <w:t> </w:t>
            </w:r>
            <w:r>
              <w:rPr>
                <w:rFonts w:asciiTheme="majorHAnsi" w:hAnsiTheme="majorHAnsi" w:cs="Arial"/>
                <w:b w:val="0"/>
                <w:sz w:val="20"/>
                <w:szCs w:val="20"/>
                <w:lang w:val="fr-CA"/>
              </w:rPr>
              <w:t xml:space="preserve">: </w:t>
            </w:r>
            <w:r w:rsidR="000F4FDF">
              <w:rPr>
                <w:rFonts w:asciiTheme="majorHAnsi" w:hAnsiTheme="majorHAnsi" w:cs="Arial"/>
                <w:b w:val="0"/>
                <w:sz w:val="20"/>
                <w:szCs w:val="20"/>
                <w:lang w:val="fr-CA"/>
              </w:rPr>
              <w:t xml:space="preserve">Rapport technique en tant que vue d’ensemble et avec des références à la compilation d’expériences sur les méthodes de réhumidification fondées </w:t>
            </w:r>
            <w:r w:rsidR="00253B43">
              <w:rPr>
                <w:rFonts w:asciiTheme="majorHAnsi" w:hAnsiTheme="majorHAnsi" w:cs="Arial"/>
                <w:b w:val="0"/>
                <w:sz w:val="20"/>
                <w:szCs w:val="20"/>
                <w:lang w:val="fr-CA"/>
              </w:rPr>
              <w:t xml:space="preserve">sur la littérature existante, etc., env. 20 pages. </w:t>
            </w:r>
          </w:p>
          <w:p w14:paraId="6E6177E6" w14:textId="77777777" w:rsidR="00914A1A" w:rsidRPr="0081702E" w:rsidRDefault="00914A1A" w:rsidP="00914A1A">
            <w:pPr>
              <w:rPr>
                <w:rFonts w:asciiTheme="majorHAnsi" w:hAnsiTheme="majorHAnsi" w:cs="Arial"/>
                <w:b w:val="0"/>
                <w:sz w:val="20"/>
                <w:szCs w:val="20"/>
                <w:lang w:val="fr-CA"/>
              </w:rPr>
            </w:pPr>
          </w:p>
          <w:p w14:paraId="2C41AFFC" w14:textId="34D68B6B" w:rsidR="00914A1A" w:rsidRPr="0081702E" w:rsidRDefault="00931645" w:rsidP="00914A1A">
            <w:pPr>
              <w:rPr>
                <w:rFonts w:asciiTheme="majorHAnsi" w:hAnsiTheme="majorHAnsi" w:cs="Arial"/>
                <w:b w:val="0"/>
                <w:sz w:val="20"/>
                <w:szCs w:val="20"/>
                <w:lang w:val="fr-CA"/>
              </w:rPr>
            </w:pPr>
            <w:r>
              <w:rPr>
                <w:rFonts w:asciiTheme="majorHAnsi" w:hAnsiTheme="majorHAnsi" w:cs="Arial"/>
                <w:b w:val="0"/>
                <w:sz w:val="20"/>
                <w:szCs w:val="20"/>
                <w:u w:val="single"/>
                <w:lang w:val="fr-CA"/>
              </w:rPr>
              <w:t>Public</w:t>
            </w:r>
            <w:r w:rsidRPr="0081702E">
              <w:rPr>
                <w:rFonts w:asciiTheme="majorHAnsi" w:hAnsiTheme="majorHAnsi" w:cs="Arial"/>
                <w:b w:val="0"/>
                <w:sz w:val="20"/>
                <w:szCs w:val="20"/>
                <w:u w:val="single"/>
                <w:lang w:val="fr-CA"/>
              </w:rPr>
              <w:t>(s)</w:t>
            </w:r>
            <w:r>
              <w:rPr>
                <w:rFonts w:asciiTheme="majorHAnsi" w:hAnsiTheme="majorHAnsi" w:cs="Arial"/>
                <w:b w:val="0"/>
                <w:sz w:val="20"/>
                <w:szCs w:val="20"/>
                <w:u w:val="single"/>
                <w:lang w:val="fr-CA"/>
              </w:rPr>
              <w:t xml:space="preserve"> ciblé(s)</w:t>
            </w:r>
            <w:r w:rsidRPr="00130D8F">
              <w:rPr>
                <w:rFonts w:asciiTheme="majorHAnsi" w:hAnsiTheme="majorHAnsi" w:cs="Arial"/>
                <w:b w:val="0"/>
                <w:sz w:val="20"/>
                <w:szCs w:val="20"/>
                <w:lang w:val="fr-CA"/>
              </w:rPr>
              <w:t xml:space="preserve"> : </w:t>
            </w:r>
            <w:r w:rsidR="00253B43">
              <w:rPr>
                <w:rFonts w:asciiTheme="majorHAnsi" w:hAnsiTheme="majorHAnsi" w:cs="Arial"/>
                <w:b w:val="0"/>
                <w:sz w:val="20"/>
                <w:szCs w:val="20"/>
                <w:lang w:val="fr-CA"/>
              </w:rPr>
              <w:t>Praticiens (administrateurs de site</w:t>
            </w:r>
            <w:r w:rsidR="00914A1A" w:rsidRPr="0081702E">
              <w:rPr>
                <w:rFonts w:asciiTheme="majorHAnsi" w:hAnsiTheme="majorHAnsi" w:cs="Arial"/>
                <w:b w:val="0"/>
                <w:sz w:val="20"/>
                <w:szCs w:val="20"/>
                <w:lang w:val="fr-CA"/>
              </w:rPr>
              <w:t>)</w:t>
            </w:r>
            <w:r w:rsidR="00253B43">
              <w:rPr>
                <w:rFonts w:asciiTheme="majorHAnsi" w:hAnsiTheme="majorHAnsi" w:cs="Arial"/>
                <w:b w:val="0"/>
                <w:sz w:val="20"/>
                <w:szCs w:val="20"/>
                <w:lang w:val="fr-CA"/>
              </w:rPr>
              <w:t>.</w:t>
            </w:r>
          </w:p>
          <w:p w14:paraId="6F093315" w14:textId="77777777" w:rsidR="00914A1A" w:rsidRPr="0081702E" w:rsidRDefault="00914A1A" w:rsidP="00914A1A">
            <w:pPr>
              <w:rPr>
                <w:rFonts w:asciiTheme="majorHAnsi" w:hAnsiTheme="majorHAnsi" w:cs="Arial"/>
                <w:sz w:val="20"/>
                <w:szCs w:val="20"/>
                <w:lang w:val="fr-CA"/>
              </w:rPr>
            </w:pPr>
          </w:p>
        </w:tc>
        <w:tc>
          <w:tcPr>
            <w:tcW w:w="494" w:type="pct"/>
          </w:tcPr>
          <w:p w14:paraId="4EF992FB" w14:textId="2434358A" w:rsidR="00914A1A" w:rsidRPr="0081702E" w:rsidRDefault="00914A1A" w:rsidP="00E64065">
            <w:pPr>
              <w:rPr>
                <w:rFonts w:asciiTheme="majorHAnsi" w:hAnsiTheme="majorHAnsi" w:cs="Arial"/>
                <w:b w:val="0"/>
                <w:sz w:val="20"/>
                <w:szCs w:val="20"/>
                <w:lang w:val="fr-CA"/>
              </w:rPr>
            </w:pPr>
            <w:r w:rsidRPr="0081702E">
              <w:rPr>
                <w:rFonts w:asciiTheme="majorHAnsi" w:hAnsiTheme="majorHAnsi" w:cs="Arial"/>
                <w:b w:val="0"/>
                <w:sz w:val="20"/>
                <w:szCs w:val="20"/>
                <w:lang w:val="fr-CA"/>
              </w:rPr>
              <w:t>33</w:t>
            </w:r>
            <w:r w:rsidR="00E64065">
              <w:rPr>
                <w:rFonts w:asciiTheme="majorHAnsi" w:hAnsiTheme="majorHAnsi" w:cs="Arial"/>
                <w:b w:val="0"/>
                <w:sz w:val="20"/>
                <w:szCs w:val="20"/>
                <w:lang w:val="fr-CA"/>
              </w:rPr>
              <w:t xml:space="preserve"> </w:t>
            </w:r>
            <w:r w:rsidRPr="0081702E">
              <w:rPr>
                <w:rFonts w:asciiTheme="majorHAnsi" w:hAnsiTheme="majorHAnsi" w:cs="Arial"/>
                <w:b w:val="0"/>
                <w:sz w:val="20"/>
                <w:szCs w:val="20"/>
                <w:lang w:val="fr-CA"/>
              </w:rPr>
              <w:t>500</w:t>
            </w:r>
          </w:p>
        </w:tc>
      </w:tr>
    </w:tbl>
    <w:p w14:paraId="24D534A8" w14:textId="77777777" w:rsidR="00E01336" w:rsidRPr="0081702E" w:rsidRDefault="00E01336" w:rsidP="00914A1A">
      <w:pPr>
        <w:rPr>
          <w:rFonts w:asciiTheme="majorHAnsi" w:eastAsia="MS Mincho" w:hAnsiTheme="majorHAnsi"/>
          <w:sz w:val="22"/>
          <w:szCs w:val="22"/>
          <w:lang w:val="fr-CA" w:eastAsia="ja-JP"/>
        </w:rPr>
      </w:pPr>
    </w:p>
    <w:p w14:paraId="66AD3185" w14:textId="77777777" w:rsidR="00E01336" w:rsidRPr="0081702E" w:rsidRDefault="00E01336" w:rsidP="00914A1A">
      <w:pPr>
        <w:rPr>
          <w:rFonts w:asciiTheme="majorHAnsi" w:hAnsiTheme="majorHAnsi" w:cs="Arial"/>
          <w:sz w:val="20"/>
          <w:szCs w:val="20"/>
          <w:lang w:val="fr-CA"/>
        </w:rPr>
        <w:sectPr w:rsidR="00E01336" w:rsidRPr="0081702E" w:rsidSect="00914A1A">
          <w:footerReference w:type="default" r:id="rId10"/>
          <w:pgSz w:w="16838" w:h="11906" w:orient="landscape"/>
          <w:pgMar w:top="1440" w:right="1440" w:bottom="1440" w:left="1440" w:header="708" w:footer="708" w:gutter="0"/>
          <w:cols w:space="708"/>
          <w:docGrid w:linePitch="360"/>
        </w:sectPr>
      </w:pPr>
    </w:p>
    <w:p w14:paraId="173196EF" w14:textId="14931616" w:rsidR="00E01336" w:rsidRPr="0081702E" w:rsidRDefault="00E01336" w:rsidP="00E01336">
      <w:pPr>
        <w:widowControl w:val="0"/>
        <w:autoSpaceDE w:val="0"/>
        <w:autoSpaceDN w:val="0"/>
        <w:adjustRightInd w:val="0"/>
        <w:rPr>
          <w:rFonts w:asciiTheme="majorHAnsi" w:hAnsiTheme="majorHAnsi" w:cs="Times"/>
          <w:b/>
          <w:color w:val="000000"/>
          <w:lang w:val="fr-CA"/>
        </w:rPr>
      </w:pPr>
      <w:r w:rsidRPr="0081702E">
        <w:rPr>
          <w:rFonts w:asciiTheme="majorHAnsi" w:hAnsiTheme="majorHAnsi" w:cs="Times"/>
          <w:b/>
          <w:color w:val="000000"/>
          <w:lang w:val="fr-CA"/>
        </w:rPr>
        <w:lastRenderedPageBreak/>
        <w:t>Annex</w:t>
      </w:r>
      <w:r w:rsidR="00931645">
        <w:rPr>
          <w:rFonts w:asciiTheme="majorHAnsi" w:hAnsiTheme="majorHAnsi" w:cs="Times"/>
          <w:b/>
          <w:color w:val="000000"/>
          <w:lang w:val="fr-CA"/>
        </w:rPr>
        <w:t>e</w:t>
      </w:r>
      <w:r w:rsidRPr="0081702E">
        <w:rPr>
          <w:rFonts w:asciiTheme="majorHAnsi" w:hAnsiTheme="majorHAnsi" w:cs="Times"/>
          <w:b/>
          <w:color w:val="000000"/>
          <w:lang w:val="fr-CA"/>
        </w:rPr>
        <w:t xml:space="preserve"> 2</w:t>
      </w:r>
    </w:p>
    <w:p w14:paraId="64780F1C" w14:textId="77777777" w:rsidR="00E01336" w:rsidRPr="0081702E" w:rsidRDefault="00E01336" w:rsidP="00E01336">
      <w:pPr>
        <w:widowControl w:val="0"/>
        <w:autoSpaceDE w:val="0"/>
        <w:autoSpaceDN w:val="0"/>
        <w:adjustRightInd w:val="0"/>
        <w:rPr>
          <w:rFonts w:asciiTheme="majorHAnsi" w:hAnsiTheme="majorHAnsi" w:cs="Times"/>
          <w:b/>
          <w:color w:val="000000"/>
          <w:lang w:val="fr-CA"/>
        </w:rPr>
      </w:pPr>
    </w:p>
    <w:p w14:paraId="2EFDA042" w14:textId="6CDF1E67" w:rsidR="00E01336" w:rsidRPr="0081702E" w:rsidRDefault="00E01336" w:rsidP="00E01336">
      <w:pPr>
        <w:widowControl w:val="0"/>
        <w:autoSpaceDE w:val="0"/>
        <w:autoSpaceDN w:val="0"/>
        <w:adjustRightInd w:val="0"/>
        <w:rPr>
          <w:rFonts w:asciiTheme="majorHAnsi" w:hAnsiTheme="majorHAnsi" w:cs="Times"/>
          <w:b/>
          <w:color w:val="000000"/>
          <w:lang w:val="fr-CA"/>
        </w:rPr>
      </w:pPr>
      <w:r w:rsidRPr="0081702E">
        <w:rPr>
          <w:rFonts w:asciiTheme="majorHAnsi" w:hAnsiTheme="majorHAnsi"/>
          <w:b/>
          <w:szCs w:val="22"/>
          <w:lang w:val="fr-CA"/>
        </w:rPr>
        <w:t>Lett</w:t>
      </w:r>
      <w:r w:rsidR="00253B43">
        <w:rPr>
          <w:rFonts w:asciiTheme="majorHAnsi" w:hAnsiTheme="majorHAnsi"/>
          <w:b/>
          <w:szCs w:val="22"/>
          <w:lang w:val="fr-CA"/>
        </w:rPr>
        <w:t>re au Correspondant national GEST de l’Indonésie</w:t>
      </w:r>
    </w:p>
    <w:p w14:paraId="52F9DE6A" w14:textId="77777777" w:rsidR="00E01336" w:rsidRPr="0081702E" w:rsidRDefault="00E01336" w:rsidP="00E01336">
      <w:pPr>
        <w:widowControl w:val="0"/>
        <w:autoSpaceDE w:val="0"/>
        <w:autoSpaceDN w:val="0"/>
        <w:adjustRightInd w:val="0"/>
        <w:rPr>
          <w:rFonts w:asciiTheme="majorHAnsi" w:hAnsiTheme="majorHAnsi" w:cs="Times"/>
          <w:color w:val="000000"/>
          <w:lang w:val="fr-CA"/>
        </w:rPr>
      </w:pPr>
    </w:p>
    <w:p w14:paraId="487DAB39" w14:textId="77777777" w:rsidR="00836984" w:rsidRPr="0081702E" w:rsidRDefault="00836984" w:rsidP="00E01336">
      <w:pPr>
        <w:widowControl w:val="0"/>
        <w:autoSpaceDE w:val="0"/>
        <w:autoSpaceDN w:val="0"/>
        <w:adjustRightInd w:val="0"/>
        <w:rPr>
          <w:rFonts w:asciiTheme="majorHAnsi" w:hAnsiTheme="majorHAnsi" w:cs="Times"/>
          <w:color w:val="000000"/>
          <w:lang w:val="fr-CA"/>
        </w:rPr>
      </w:pPr>
    </w:p>
    <w:p w14:paraId="6CE89F87" w14:textId="038800BC" w:rsidR="00E01336" w:rsidRPr="0081702E" w:rsidRDefault="006B18A9" w:rsidP="00E01336">
      <w:pPr>
        <w:widowControl w:val="0"/>
        <w:autoSpaceDE w:val="0"/>
        <w:autoSpaceDN w:val="0"/>
        <w:adjustRightInd w:val="0"/>
        <w:rPr>
          <w:rFonts w:asciiTheme="majorHAnsi" w:hAnsiTheme="majorHAnsi"/>
          <w:color w:val="000000"/>
          <w:sz w:val="22"/>
          <w:szCs w:val="22"/>
          <w:lang w:val="fr-CA"/>
        </w:rPr>
      </w:pPr>
      <w:r>
        <w:rPr>
          <w:rFonts w:asciiTheme="majorHAnsi" w:hAnsiTheme="majorHAnsi" w:cs="Times"/>
          <w:color w:val="000000"/>
          <w:sz w:val="22"/>
          <w:szCs w:val="22"/>
          <w:lang w:val="fr-CA"/>
        </w:rPr>
        <w:t>Dr</w:t>
      </w:r>
      <w:r w:rsidR="00E01336" w:rsidRPr="0081702E">
        <w:rPr>
          <w:rFonts w:asciiTheme="majorHAnsi" w:hAnsiTheme="majorHAnsi" w:cs="Times"/>
          <w:color w:val="000000"/>
          <w:sz w:val="22"/>
          <w:szCs w:val="22"/>
          <w:lang w:val="fr-CA"/>
        </w:rPr>
        <w:t xml:space="preserve"> Sulastri Maolan</w:t>
      </w:r>
    </w:p>
    <w:p w14:paraId="333CEFA3" w14:textId="446062C2" w:rsidR="00E01336" w:rsidRPr="0081702E" w:rsidRDefault="00253B43" w:rsidP="00E01336">
      <w:pPr>
        <w:widowControl w:val="0"/>
        <w:autoSpaceDE w:val="0"/>
        <w:autoSpaceDN w:val="0"/>
        <w:adjustRightInd w:val="0"/>
        <w:rPr>
          <w:rFonts w:asciiTheme="majorHAnsi" w:hAnsiTheme="majorHAnsi"/>
          <w:color w:val="000000"/>
          <w:sz w:val="22"/>
          <w:szCs w:val="22"/>
          <w:lang w:val="fr-CA"/>
        </w:rPr>
      </w:pPr>
      <w:r>
        <w:rPr>
          <w:rFonts w:asciiTheme="majorHAnsi" w:hAnsiTheme="majorHAnsi" w:cs="Times"/>
          <w:color w:val="000000"/>
          <w:sz w:val="22"/>
          <w:szCs w:val="22"/>
          <w:lang w:val="fr-CA"/>
        </w:rPr>
        <w:t>Centre de recherche en limnologie</w:t>
      </w:r>
    </w:p>
    <w:p w14:paraId="43C201C7" w14:textId="1F1DCBBD" w:rsidR="00E01336" w:rsidRPr="0081702E" w:rsidRDefault="00253B43" w:rsidP="00E01336">
      <w:pPr>
        <w:widowControl w:val="0"/>
        <w:autoSpaceDE w:val="0"/>
        <w:autoSpaceDN w:val="0"/>
        <w:adjustRightInd w:val="0"/>
        <w:rPr>
          <w:rFonts w:asciiTheme="majorHAnsi" w:hAnsiTheme="majorHAnsi"/>
          <w:color w:val="000000"/>
          <w:sz w:val="22"/>
          <w:szCs w:val="22"/>
          <w:lang w:val="fr-CA"/>
        </w:rPr>
      </w:pPr>
      <w:r>
        <w:rPr>
          <w:rFonts w:asciiTheme="majorHAnsi" w:hAnsiTheme="majorHAnsi" w:cs="Times"/>
          <w:color w:val="000000"/>
          <w:sz w:val="22"/>
          <w:szCs w:val="22"/>
          <w:lang w:val="fr-CA"/>
        </w:rPr>
        <w:t>Institut scientifique indonésien</w:t>
      </w:r>
      <w:r w:rsidR="00E01336" w:rsidRPr="0081702E">
        <w:rPr>
          <w:rFonts w:asciiTheme="majorHAnsi" w:hAnsiTheme="majorHAnsi" w:cs="Times"/>
          <w:color w:val="000000"/>
          <w:sz w:val="22"/>
          <w:szCs w:val="22"/>
          <w:lang w:val="fr-CA"/>
        </w:rPr>
        <w:t xml:space="preserve"> </w:t>
      </w:r>
    </w:p>
    <w:p w14:paraId="04CB06AA" w14:textId="5A55D651" w:rsidR="00E01336" w:rsidRPr="0081702E" w:rsidRDefault="00E01336" w:rsidP="00E01336">
      <w:pPr>
        <w:widowControl w:val="0"/>
        <w:autoSpaceDE w:val="0"/>
        <w:autoSpaceDN w:val="0"/>
        <w:adjustRightInd w:val="0"/>
        <w:rPr>
          <w:rFonts w:asciiTheme="majorHAnsi" w:hAnsiTheme="majorHAnsi"/>
          <w:color w:val="000000"/>
          <w:sz w:val="22"/>
          <w:szCs w:val="22"/>
          <w:lang w:val="fr-CA"/>
        </w:rPr>
      </w:pPr>
      <w:r w:rsidRPr="0081702E">
        <w:rPr>
          <w:rFonts w:asciiTheme="majorHAnsi" w:hAnsiTheme="majorHAnsi" w:cs="Times"/>
          <w:color w:val="000000"/>
          <w:sz w:val="22"/>
          <w:szCs w:val="22"/>
          <w:lang w:val="fr-CA"/>
        </w:rPr>
        <w:t xml:space="preserve"> </w:t>
      </w:r>
    </w:p>
    <w:p w14:paraId="7BCB534A" w14:textId="5D3CCF2B" w:rsidR="00E01336" w:rsidRPr="0081702E" w:rsidRDefault="00253B43" w:rsidP="00E01336">
      <w:pPr>
        <w:rPr>
          <w:rFonts w:asciiTheme="majorHAnsi" w:hAnsiTheme="majorHAnsi"/>
          <w:color w:val="000000"/>
          <w:sz w:val="22"/>
          <w:szCs w:val="22"/>
          <w:lang w:val="fr-CA"/>
        </w:rPr>
      </w:pPr>
      <w:r>
        <w:rPr>
          <w:rFonts w:asciiTheme="majorHAnsi" w:hAnsiTheme="majorHAnsi"/>
          <w:color w:val="000000"/>
          <w:sz w:val="22"/>
          <w:szCs w:val="22"/>
          <w:lang w:val="fr-CA"/>
        </w:rPr>
        <w:t>Ch</w:t>
      </w:r>
      <w:r w:rsidR="0085476E">
        <w:rPr>
          <w:rFonts w:asciiTheme="majorHAnsi" w:hAnsiTheme="majorHAnsi"/>
          <w:color w:val="000000"/>
          <w:sz w:val="22"/>
          <w:szCs w:val="22"/>
          <w:lang w:val="fr-CA"/>
        </w:rPr>
        <w:t>er</w:t>
      </w:r>
      <w:r>
        <w:rPr>
          <w:rFonts w:asciiTheme="majorHAnsi" w:hAnsiTheme="majorHAnsi"/>
          <w:color w:val="000000"/>
          <w:sz w:val="22"/>
          <w:szCs w:val="22"/>
          <w:lang w:val="fr-CA"/>
        </w:rPr>
        <w:t xml:space="preserve"> </w:t>
      </w:r>
      <w:r w:rsidR="0085476E">
        <w:rPr>
          <w:rFonts w:asciiTheme="majorHAnsi" w:hAnsiTheme="majorHAnsi"/>
          <w:color w:val="000000"/>
          <w:sz w:val="22"/>
          <w:szCs w:val="22"/>
          <w:lang w:val="fr-CA"/>
        </w:rPr>
        <w:t>Dr</w:t>
      </w:r>
      <w:r>
        <w:rPr>
          <w:rFonts w:asciiTheme="majorHAnsi" w:hAnsiTheme="majorHAnsi"/>
          <w:color w:val="000000"/>
          <w:sz w:val="22"/>
          <w:szCs w:val="22"/>
          <w:lang w:val="fr-CA"/>
        </w:rPr>
        <w:t> </w:t>
      </w:r>
      <w:r w:rsidR="00E01336" w:rsidRPr="0081702E">
        <w:rPr>
          <w:rFonts w:asciiTheme="majorHAnsi" w:hAnsiTheme="majorHAnsi"/>
          <w:color w:val="000000"/>
          <w:sz w:val="22"/>
          <w:szCs w:val="22"/>
          <w:lang w:val="fr-CA"/>
        </w:rPr>
        <w:t>Maolan,</w:t>
      </w:r>
    </w:p>
    <w:p w14:paraId="42472C2D" w14:textId="77777777" w:rsidR="00E01336" w:rsidRPr="0081702E" w:rsidRDefault="00E01336" w:rsidP="00E01336">
      <w:pPr>
        <w:rPr>
          <w:rFonts w:asciiTheme="majorHAnsi" w:hAnsiTheme="majorHAnsi"/>
          <w:color w:val="000000"/>
          <w:sz w:val="22"/>
          <w:szCs w:val="22"/>
          <w:lang w:val="fr-CA"/>
        </w:rPr>
      </w:pPr>
    </w:p>
    <w:p w14:paraId="3F76A293" w14:textId="22264899" w:rsidR="00E01336" w:rsidRPr="0081702E" w:rsidRDefault="00903741" w:rsidP="00E01336">
      <w:pPr>
        <w:rPr>
          <w:rFonts w:asciiTheme="majorHAnsi" w:hAnsiTheme="majorHAnsi"/>
          <w:color w:val="000000"/>
          <w:sz w:val="22"/>
          <w:szCs w:val="22"/>
          <w:lang w:val="fr-CA"/>
        </w:rPr>
      </w:pPr>
      <w:r>
        <w:rPr>
          <w:rFonts w:asciiTheme="majorHAnsi" w:hAnsiTheme="majorHAnsi"/>
          <w:color w:val="000000"/>
          <w:sz w:val="22"/>
          <w:szCs w:val="22"/>
          <w:lang w:val="fr-CA"/>
        </w:rPr>
        <w:t>C’est en</w:t>
      </w:r>
      <w:r w:rsidR="00253B43">
        <w:rPr>
          <w:rFonts w:asciiTheme="majorHAnsi" w:hAnsiTheme="majorHAnsi"/>
          <w:color w:val="000000"/>
          <w:sz w:val="22"/>
          <w:szCs w:val="22"/>
          <w:lang w:val="fr-CA"/>
        </w:rPr>
        <w:t xml:space="preserve"> votre </w:t>
      </w:r>
      <w:r>
        <w:rPr>
          <w:rFonts w:asciiTheme="majorHAnsi" w:hAnsiTheme="majorHAnsi"/>
          <w:color w:val="000000"/>
          <w:sz w:val="22"/>
          <w:szCs w:val="22"/>
          <w:lang w:val="fr-CA"/>
        </w:rPr>
        <w:t>qualité</w:t>
      </w:r>
      <w:r w:rsidR="00253B43">
        <w:rPr>
          <w:rFonts w:asciiTheme="majorHAnsi" w:hAnsiTheme="majorHAnsi"/>
          <w:color w:val="000000"/>
          <w:sz w:val="22"/>
          <w:szCs w:val="22"/>
          <w:lang w:val="fr-CA"/>
        </w:rPr>
        <w:t xml:space="preserve"> de Correspondant national </w:t>
      </w:r>
      <w:r>
        <w:rPr>
          <w:rFonts w:asciiTheme="majorHAnsi" w:hAnsiTheme="majorHAnsi"/>
          <w:color w:val="000000"/>
          <w:sz w:val="22"/>
          <w:szCs w:val="22"/>
          <w:lang w:val="fr-CA"/>
        </w:rPr>
        <w:t xml:space="preserve">de l’Indonésie </w:t>
      </w:r>
      <w:r w:rsidR="00253B43">
        <w:rPr>
          <w:rFonts w:asciiTheme="majorHAnsi" w:hAnsiTheme="majorHAnsi"/>
          <w:color w:val="000000"/>
          <w:sz w:val="22"/>
          <w:szCs w:val="22"/>
          <w:lang w:val="fr-CA"/>
        </w:rPr>
        <w:t>pour le Groupe d’évaluation scientifique et technique (GEST)</w:t>
      </w:r>
      <w:r>
        <w:rPr>
          <w:rFonts w:asciiTheme="majorHAnsi" w:hAnsiTheme="majorHAnsi"/>
          <w:color w:val="000000"/>
          <w:sz w:val="22"/>
          <w:szCs w:val="22"/>
          <w:lang w:val="fr-CA"/>
        </w:rPr>
        <w:t xml:space="preserve"> que je m’adresse à vous</w:t>
      </w:r>
      <w:r w:rsidR="00253B43">
        <w:rPr>
          <w:rFonts w:asciiTheme="majorHAnsi" w:hAnsiTheme="majorHAnsi"/>
          <w:color w:val="000000"/>
          <w:sz w:val="22"/>
          <w:szCs w:val="22"/>
          <w:lang w:val="fr-CA"/>
        </w:rPr>
        <w:t>. Lors de la 19</w:t>
      </w:r>
      <w:r w:rsidR="00253B43" w:rsidRPr="00253B43">
        <w:rPr>
          <w:rFonts w:asciiTheme="majorHAnsi" w:hAnsiTheme="majorHAnsi"/>
          <w:color w:val="000000"/>
          <w:sz w:val="22"/>
          <w:szCs w:val="22"/>
          <w:vertAlign w:val="superscript"/>
          <w:lang w:val="fr-CA"/>
        </w:rPr>
        <w:t>e</w:t>
      </w:r>
      <w:r w:rsidR="00253B43">
        <w:rPr>
          <w:rFonts w:asciiTheme="majorHAnsi" w:hAnsiTheme="majorHAnsi"/>
          <w:color w:val="000000"/>
          <w:sz w:val="22"/>
          <w:szCs w:val="22"/>
          <w:lang w:val="fr-CA"/>
        </w:rPr>
        <w:t xml:space="preserve"> Réunion du GEST, qui a eu lieu du 2 au 6 novembre 2015 en Suisse, le </w:t>
      </w:r>
      <w:r>
        <w:rPr>
          <w:rFonts w:asciiTheme="majorHAnsi" w:hAnsiTheme="majorHAnsi"/>
          <w:color w:val="000000"/>
          <w:sz w:val="22"/>
          <w:szCs w:val="22"/>
          <w:lang w:val="fr-CA"/>
        </w:rPr>
        <w:t>Groupe</w:t>
      </w:r>
      <w:r w:rsidR="00253B43">
        <w:rPr>
          <w:rFonts w:asciiTheme="majorHAnsi" w:hAnsiTheme="majorHAnsi"/>
          <w:color w:val="000000"/>
          <w:sz w:val="22"/>
          <w:szCs w:val="22"/>
          <w:lang w:val="fr-CA"/>
        </w:rPr>
        <w:t xml:space="preserve"> m’a demandé de vous transmettre </w:t>
      </w:r>
      <w:r>
        <w:rPr>
          <w:rFonts w:asciiTheme="majorHAnsi" w:hAnsiTheme="majorHAnsi"/>
          <w:color w:val="000000"/>
          <w:sz w:val="22"/>
          <w:szCs w:val="22"/>
          <w:lang w:val="fr-CA"/>
        </w:rPr>
        <w:t>l’</w:t>
      </w:r>
      <w:r w:rsidR="00253B43">
        <w:rPr>
          <w:rFonts w:asciiTheme="majorHAnsi" w:hAnsiTheme="majorHAnsi"/>
          <w:color w:val="000000"/>
          <w:sz w:val="22"/>
          <w:szCs w:val="22"/>
          <w:lang w:val="fr-CA"/>
        </w:rPr>
        <w:t xml:space="preserve">offre d’organiser des consultations ou une aide concernant les grands incendies </w:t>
      </w:r>
      <w:r>
        <w:rPr>
          <w:rFonts w:asciiTheme="majorHAnsi" w:hAnsiTheme="majorHAnsi"/>
          <w:color w:val="000000"/>
          <w:sz w:val="22"/>
          <w:szCs w:val="22"/>
          <w:lang w:val="fr-CA"/>
        </w:rPr>
        <w:t>in</w:t>
      </w:r>
      <w:r w:rsidR="00253B43">
        <w:rPr>
          <w:rFonts w:asciiTheme="majorHAnsi" w:hAnsiTheme="majorHAnsi"/>
          <w:color w:val="000000"/>
          <w:sz w:val="22"/>
          <w:szCs w:val="22"/>
          <w:lang w:val="fr-CA"/>
        </w:rPr>
        <w:t xml:space="preserve">contrôlés qui sévissent dans les tourbières indonésiennes. Soyez assuré que le GEST est prêt à </w:t>
      </w:r>
      <w:r>
        <w:rPr>
          <w:rFonts w:asciiTheme="majorHAnsi" w:hAnsiTheme="majorHAnsi"/>
          <w:color w:val="000000"/>
          <w:sz w:val="22"/>
          <w:szCs w:val="22"/>
          <w:lang w:val="fr-CA"/>
        </w:rPr>
        <w:t>apporter</w:t>
      </w:r>
      <w:r w:rsidR="00253B43">
        <w:rPr>
          <w:rFonts w:asciiTheme="majorHAnsi" w:hAnsiTheme="majorHAnsi"/>
          <w:color w:val="000000"/>
          <w:sz w:val="22"/>
          <w:szCs w:val="22"/>
          <w:lang w:val="fr-CA"/>
        </w:rPr>
        <w:t xml:space="preserve"> son expertise, </w:t>
      </w:r>
      <w:r>
        <w:rPr>
          <w:rFonts w:asciiTheme="majorHAnsi" w:hAnsiTheme="majorHAnsi"/>
          <w:color w:val="000000"/>
          <w:sz w:val="22"/>
          <w:szCs w:val="22"/>
          <w:lang w:val="fr-CA"/>
        </w:rPr>
        <w:t>au besoin</w:t>
      </w:r>
      <w:r w:rsidR="00253B43">
        <w:rPr>
          <w:rFonts w:asciiTheme="majorHAnsi" w:hAnsiTheme="majorHAnsi"/>
          <w:color w:val="000000"/>
          <w:sz w:val="22"/>
          <w:szCs w:val="22"/>
          <w:lang w:val="fr-CA"/>
        </w:rPr>
        <w:t xml:space="preserve">. </w:t>
      </w:r>
    </w:p>
    <w:p w14:paraId="4547AE47" w14:textId="77777777" w:rsidR="00E01336" w:rsidRPr="0081702E" w:rsidRDefault="00E01336" w:rsidP="00E01336">
      <w:pPr>
        <w:rPr>
          <w:rFonts w:asciiTheme="majorHAnsi" w:hAnsiTheme="majorHAnsi"/>
          <w:color w:val="000000"/>
          <w:sz w:val="22"/>
          <w:szCs w:val="22"/>
          <w:lang w:val="fr-CA"/>
        </w:rPr>
      </w:pPr>
    </w:p>
    <w:p w14:paraId="69F5C191" w14:textId="1E97F8BA" w:rsidR="00E01336" w:rsidRPr="0081702E" w:rsidRDefault="00253B43" w:rsidP="00E01336">
      <w:pPr>
        <w:rPr>
          <w:rFonts w:asciiTheme="majorHAnsi" w:hAnsiTheme="majorHAnsi"/>
          <w:color w:val="000000"/>
          <w:sz w:val="22"/>
          <w:szCs w:val="22"/>
          <w:lang w:val="fr-CA"/>
        </w:rPr>
      </w:pPr>
      <w:r>
        <w:rPr>
          <w:rFonts w:asciiTheme="majorHAnsi" w:hAnsiTheme="majorHAnsi"/>
          <w:color w:val="000000"/>
          <w:sz w:val="22"/>
          <w:szCs w:val="22"/>
          <w:lang w:val="fr-CA"/>
        </w:rPr>
        <w:t xml:space="preserve">Le GEST </w:t>
      </w:r>
      <w:r w:rsidR="00903741">
        <w:rPr>
          <w:rFonts w:asciiTheme="majorHAnsi" w:hAnsiTheme="majorHAnsi"/>
          <w:color w:val="000000"/>
          <w:sz w:val="22"/>
          <w:szCs w:val="22"/>
          <w:lang w:val="fr-CA"/>
        </w:rPr>
        <w:t>est très préoccupé par</w:t>
      </w:r>
      <w:r>
        <w:rPr>
          <w:rFonts w:asciiTheme="majorHAnsi" w:hAnsiTheme="majorHAnsi"/>
          <w:color w:val="000000"/>
          <w:sz w:val="22"/>
          <w:szCs w:val="22"/>
          <w:lang w:val="fr-CA"/>
        </w:rPr>
        <w:t xml:space="preserve"> ces incendies de tourbières. Nous savons qu’ils ont </w:t>
      </w:r>
      <w:r w:rsidR="00903741">
        <w:rPr>
          <w:rFonts w:asciiTheme="majorHAnsi" w:hAnsiTheme="majorHAnsi"/>
          <w:color w:val="000000"/>
          <w:sz w:val="22"/>
          <w:szCs w:val="22"/>
          <w:lang w:val="fr-CA"/>
        </w:rPr>
        <w:t>provoqué</w:t>
      </w:r>
      <w:r>
        <w:rPr>
          <w:rFonts w:asciiTheme="majorHAnsi" w:hAnsiTheme="majorHAnsi"/>
          <w:color w:val="000000"/>
          <w:sz w:val="22"/>
          <w:szCs w:val="22"/>
          <w:lang w:val="fr-CA"/>
        </w:rPr>
        <w:t xml:space="preserve"> un brouillard et des </w:t>
      </w:r>
      <w:r w:rsidR="00903741">
        <w:rPr>
          <w:rFonts w:asciiTheme="majorHAnsi" w:hAnsiTheme="majorHAnsi"/>
          <w:color w:val="000000"/>
          <w:sz w:val="22"/>
          <w:szCs w:val="22"/>
          <w:lang w:val="fr-CA"/>
        </w:rPr>
        <w:t xml:space="preserve">nuages de </w:t>
      </w:r>
      <w:r>
        <w:rPr>
          <w:rFonts w:asciiTheme="majorHAnsi" w:hAnsiTheme="majorHAnsi"/>
          <w:color w:val="000000"/>
          <w:sz w:val="22"/>
          <w:szCs w:val="22"/>
          <w:lang w:val="fr-CA"/>
        </w:rPr>
        <w:t xml:space="preserve">fumées graves </w:t>
      </w:r>
      <w:r w:rsidR="00903741">
        <w:rPr>
          <w:rFonts w:asciiTheme="majorHAnsi" w:hAnsiTheme="majorHAnsi"/>
          <w:color w:val="000000"/>
          <w:sz w:val="22"/>
          <w:szCs w:val="22"/>
          <w:lang w:val="fr-CA"/>
        </w:rPr>
        <w:t>qui ont couvert d</w:t>
      </w:r>
      <w:r>
        <w:rPr>
          <w:rFonts w:asciiTheme="majorHAnsi" w:hAnsiTheme="majorHAnsi"/>
          <w:color w:val="000000"/>
          <w:sz w:val="22"/>
          <w:szCs w:val="22"/>
          <w:lang w:val="fr-CA"/>
        </w:rPr>
        <w:t>e vastes secteurs de l’Asie du Sud</w:t>
      </w:r>
      <w:r>
        <w:rPr>
          <w:rFonts w:asciiTheme="majorHAnsi" w:hAnsiTheme="majorHAnsi"/>
          <w:color w:val="000000"/>
          <w:sz w:val="22"/>
          <w:szCs w:val="22"/>
          <w:lang w:val="fr-CA"/>
        </w:rPr>
        <w:noBreakHyphen/>
        <w:t>Est</w:t>
      </w:r>
      <w:r w:rsidR="00903741">
        <w:rPr>
          <w:rFonts w:asciiTheme="majorHAnsi" w:hAnsiTheme="majorHAnsi"/>
          <w:color w:val="000000"/>
          <w:sz w:val="22"/>
          <w:szCs w:val="22"/>
          <w:lang w:val="fr-CA"/>
        </w:rPr>
        <w:t>,</w:t>
      </w:r>
      <w:r>
        <w:rPr>
          <w:rFonts w:asciiTheme="majorHAnsi" w:hAnsiTheme="majorHAnsi"/>
          <w:color w:val="000000"/>
          <w:sz w:val="22"/>
          <w:szCs w:val="22"/>
          <w:lang w:val="fr-CA"/>
        </w:rPr>
        <w:t xml:space="preserve"> affectant l’activité économique régionale, les moyens d’existence et la santé des populations </w:t>
      </w:r>
      <w:r w:rsidR="00903741">
        <w:rPr>
          <w:rFonts w:asciiTheme="majorHAnsi" w:hAnsiTheme="majorHAnsi"/>
          <w:color w:val="000000"/>
          <w:sz w:val="22"/>
          <w:szCs w:val="22"/>
          <w:lang w:val="fr-CA"/>
        </w:rPr>
        <w:t>ainsi que</w:t>
      </w:r>
      <w:r>
        <w:rPr>
          <w:rFonts w:asciiTheme="majorHAnsi" w:hAnsiTheme="majorHAnsi"/>
          <w:color w:val="000000"/>
          <w:sz w:val="22"/>
          <w:szCs w:val="22"/>
          <w:lang w:val="fr-CA"/>
        </w:rPr>
        <w:t xml:space="preserve"> les valeurs de biodiversité, </w:t>
      </w:r>
      <w:r w:rsidR="00903741">
        <w:rPr>
          <w:rFonts w:asciiTheme="majorHAnsi" w:hAnsiTheme="majorHAnsi"/>
          <w:color w:val="000000"/>
          <w:sz w:val="22"/>
          <w:szCs w:val="22"/>
          <w:lang w:val="fr-CA"/>
        </w:rPr>
        <w:t>notamment</w:t>
      </w:r>
      <w:r>
        <w:rPr>
          <w:rFonts w:asciiTheme="majorHAnsi" w:hAnsiTheme="majorHAnsi"/>
          <w:color w:val="000000"/>
          <w:sz w:val="22"/>
          <w:szCs w:val="22"/>
          <w:lang w:val="fr-CA"/>
        </w:rPr>
        <w:t xml:space="preserve"> celles du Parc national de </w:t>
      </w:r>
      <w:r w:rsidR="00E01336" w:rsidRPr="0081702E">
        <w:rPr>
          <w:rFonts w:asciiTheme="majorHAnsi" w:hAnsiTheme="majorHAnsi"/>
          <w:color w:val="000000"/>
          <w:sz w:val="22"/>
          <w:szCs w:val="22"/>
          <w:lang w:val="fr-CA"/>
        </w:rPr>
        <w:t xml:space="preserve">Berbak, </w:t>
      </w:r>
      <w:r>
        <w:rPr>
          <w:rFonts w:asciiTheme="majorHAnsi" w:hAnsiTheme="majorHAnsi"/>
          <w:color w:val="000000"/>
          <w:sz w:val="22"/>
          <w:szCs w:val="22"/>
          <w:lang w:val="fr-CA"/>
        </w:rPr>
        <w:t xml:space="preserve">un Site </w:t>
      </w:r>
      <w:r w:rsidR="00E01336" w:rsidRPr="0081702E">
        <w:rPr>
          <w:rFonts w:asciiTheme="majorHAnsi" w:hAnsiTheme="majorHAnsi"/>
          <w:color w:val="000000"/>
          <w:sz w:val="22"/>
          <w:szCs w:val="22"/>
          <w:lang w:val="fr-CA"/>
        </w:rPr>
        <w:t xml:space="preserve">Ramsar. </w:t>
      </w:r>
    </w:p>
    <w:p w14:paraId="140FC779" w14:textId="77777777" w:rsidR="00E01336" w:rsidRPr="0081702E" w:rsidRDefault="00E01336" w:rsidP="00E01336">
      <w:pPr>
        <w:rPr>
          <w:rFonts w:asciiTheme="majorHAnsi" w:hAnsiTheme="majorHAnsi"/>
          <w:color w:val="000000"/>
          <w:sz w:val="22"/>
          <w:szCs w:val="22"/>
          <w:lang w:val="fr-CA"/>
        </w:rPr>
      </w:pPr>
    </w:p>
    <w:p w14:paraId="3C6420BC" w14:textId="633272C4" w:rsidR="00E01336" w:rsidRPr="0081702E" w:rsidRDefault="00253B43" w:rsidP="00E01336">
      <w:pPr>
        <w:rPr>
          <w:rFonts w:asciiTheme="majorHAnsi" w:hAnsiTheme="majorHAnsi"/>
          <w:color w:val="000000"/>
          <w:sz w:val="22"/>
          <w:szCs w:val="22"/>
          <w:lang w:val="fr-CA"/>
        </w:rPr>
      </w:pPr>
      <w:r>
        <w:rPr>
          <w:rFonts w:asciiTheme="majorHAnsi" w:hAnsiTheme="majorHAnsi"/>
          <w:color w:val="000000"/>
          <w:sz w:val="22"/>
          <w:szCs w:val="22"/>
          <w:lang w:val="fr-CA"/>
        </w:rPr>
        <w:t xml:space="preserve">Ces incendies </w:t>
      </w:r>
      <w:r w:rsidR="00903741">
        <w:rPr>
          <w:rFonts w:asciiTheme="majorHAnsi" w:hAnsiTheme="majorHAnsi"/>
          <w:color w:val="000000"/>
          <w:sz w:val="22"/>
          <w:szCs w:val="22"/>
          <w:lang w:val="fr-CA"/>
        </w:rPr>
        <w:t>sont</w:t>
      </w:r>
      <w:r>
        <w:rPr>
          <w:rFonts w:asciiTheme="majorHAnsi" w:hAnsiTheme="majorHAnsi"/>
          <w:color w:val="000000"/>
          <w:sz w:val="22"/>
          <w:szCs w:val="22"/>
          <w:lang w:val="fr-CA"/>
        </w:rPr>
        <w:t xml:space="preserve"> également </w:t>
      </w:r>
      <w:r w:rsidR="00903741">
        <w:rPr>
          <w:rFonts w:asciiTheme="majorHAnsi" w:hAnsiTheme="majorHAnsi"/>
          <w:color w:val="000000"/>
          <w:sz w:val="22"/>
          <w:szCs w:val="22"/>
          <w:lang w:val="fr-CA"/>
        </w:rPr>
        <w:t xml:space="preserve">source </w:t>
      </w:r>
      <w:r>
        <w:rPr>
          <w:rFonts w:asciiTheme="majorHAnsi" w:hAnsiTheme="majorHAnsi"/>
          <w:color w:val="000000"/>
          <w:sz w:val="22"/>
          <w:szCs w:val="22"/>
          <w:lang w:val="fr-CA"/>
        </w:rPr>
        <w:t xml:space="preserve">de graves émissions de gaz à effet de serre. </w:t>
      </w:r>
      <w:r w:rsidR="00903741">
        <w:rPr>
          <w:rFonts w:asciiTheme="majorHAnsi" w:hAnsiTheme="majorHAnsi"/>
          <w:color w:val="000000"/>
          <w:sz w:val="22"/>
          <w:szCs w:val="22"/>
          <w:lang w:val="fr-CA"/>
        </w:rPr>
        <w:t>Sachant</w:t>
      </w:r>
      <w:r>
        <w:rPr>
          <w:rFonts w:asciiTheme="majorHAnsi" w:hAnsiTheme="majorHAnsi"/>
          <w:color w:val="000000"/>
          <w:sz w:val="22"/>
          <w:szCs w:val="22"/>
          <w:lang w:val="fr-CA"/>
        </w:rPr>
        <w:t xml:space="preserve"> que les tourbières drainées, même sans incendies, libèrent plus d’émissions que toute autre activité économique en Indonésie, nous ajoutons </w:t>
      </w:r>
      <w:r w:rsidR="00903741">
        <w:rPr>
          <w:rFonts w:asciiTheme="majorHAnsi" w:hAnsiTheme="majorHAnsi"/>
          <w:color w:val="000000"/>
          <w:sz w:val="22"/>
          <w:szCs w:val="22"/>
          <w:lang w:val="fr-CA"/>
        </w:rPr>
        <w:t xml:space="preserve">que </w:t>
      </w:r>
      <w:r>
        <w:rPr>
          <w:rFonts w:asciiTheme="majorHAnsi" w:hAnsiTheme="majorHAnsi"/>
          <w:color w:val="000000"/>
          <w:sz w:val="22"/>
          <w:szCs w:val="22"/>
          <w:lang w:val="fr-CA"/>
        </w:rPr>
        <w:t>ces incendies</w:t>
      </w:r>
      <w:r w:rsidR="00903741">
        <w:rPr>
          <w:rFonts w:asciiTheme="majorHAnsi" w:hAnsiTheme="majorHAnsi"/>
          <w:color w:val="000000"/>
          <w:sz w:val="22"/>
          <w:szCs w:val="22"/>
          <w:lang w:val="fr-CA"/>
        </w:rPr>
        <w:t xml:space="preserve"> rendent d’autant plus difficile l’exécution, par </w:t>
      </w:r>
      <w:r>
        <w:rPr>
          <w:rFonts w:asciiTheme="majorHAnsi" w:hAnsiTheme="majorHAnsi"/>
          <w:color w:val="000000"/>
          <w:sz w:val="22"/>
          <w:szCs w:val="22"/>
          <w:lang w:val="fr-CA"/>
        </w:rPr>
        <w:t>l’Indonésie</w:t>
      </w:r>
      <w:r w:rsidR="00903741">
        <w:rPr>
          <w:rFonts w:asciiTheme="majorHAnsi" w:hAnsiTheme="majorHAnsi"/>
          <w:color w:val="000000"/>
          <w:sz w:val="22"/>
          <w:szCs w:val="22"/>
          <w:lang w:val="fr-CA"/>
        </w:rPr>
        <w:t>,</w:t>
      </w:r>
      <w:r>
        <w:rPr>
          <w:rFonts w:asciiTheme="majorHAnsi" w:hAnsiTheme="majorHAnsi"/>
          <w:color w:val="000000"/>
          <w:sz w:val="22"/>
          <w:szCs w:val="22"/>
          <w:lang w:val="fr-CA"/>
        </w:rPr>
        <w:t xml:space="preserve"> </w:t>
      </w:r>
      <w:r w:rsidR="00903741">
        <w:rPr>
          <w:rFonts w:asciiTheme="majorHAnsi" w:hAnsiTheme="majorHAnsi"/>
          <w:color w:val="000000"/>
          <w:sz w:val="22"/>
          <w:szCs w:val="22"/>
          <w:lang w:val="fr-CA"/>
        </w:rPr>
        <w:t xml:space="preserve">de son </w:t>
      </w:r>
      <w:r>
        <w:rPr>
          <w:rFonts w:asciiTheme="majorHAnsi" w:hAnsiTheme="majorHAnsi"/>
          <w:color w:val="000000"/>
          <w:sz w:val="22"/>
          <w:szCs w:val="22"/>
          <w:lang w:val="fr-CA"/>
        </w:rPr>
        <w:t>engagement</w:t>
      </w:r>
      <w:r w:rsidR="007C62E9">
        <w:rPr>
          <w:rFonts w:asciiTheme="majorHAnsi" w:hAnsiTheme="majorHAnsi"/>
          <w:color w:val="000000"/>
          <w:sz w:val="22"/>
          <w:szCs w:val="22"/>
          <w:lang w:val="fr-CA"/>
        </w:rPr>
        <w:t xml:space="preserve"> INDC</w:t>
      </w:r>
      <w:r w:rsidR="00903741">
        <w:rPr>
          <w:rFonts w:asciiTheme="majorHAnsi" w:hAnsiTheme="majorHAnsi"/>
          <w:color w:val="000000"/>
          <w:sz w:val="22"/>
          <w:szCs w:val="22"/>
          <w:lang w:val="fr-CA"/>
        </w:rPr>
        <w:t>,</w:t>
      </w:r>
      <w:r>
        <w:rPr>
          <w:rFonts w:asciiTheme="majorHAnsi" w:hAnsiTheme="majorHAnsi"/>
          <w:color w:val="000000"/>
          <w:sz w:val="22"/>
          <w:szCs w:val="22"/>
          <w:lang w:val="fr-CA"/>
        </w:rPr>
        <w:t xml:space="preserve"> </w:t>
      </w:r>
      <w:r w:rsidR="00903741">
        <w:rPr>
          <w:rFonts w:asciiTheme="majorHAnsi" w:hAnsiTheme="majorHAnsi"/>
          <w:color w:val="000000"/>
          <w:sz w:val="22"/>
          <w:szCs w:val="22"/>
          <w:lang w:val="fr-CA"/>
        </w:rPr>
        <w:t>auprès de</w:t>
      </w:r>
      <w:r>
        <w:rPr>
          <w:rFonts w:asciiTheme="majorHAnsi" w:hAnsiTheme="majorHAnsi"/>
          <w:color w:val="000000"/>
          <w:sz w:val="22"/>
          <w:szCs w:val="22"/>
          <w:lang w:val="fr-CA"/>
        </w:rPr>
        <w:t xml:space="preserve"> la CCNUCC</w:t>
      </w:r>
      <w:r w:rsidR="00903741">
        <w:rPr>
          <w:rFonts w:asciiTheme="majorHAnsi" w:hAnsiTheme="majorHAnsi"/>
          <w:color w:val="000000"/>
          <w:sz w:val="22"/>
          <w:szCs w:val="22"/>
          <w:lang w:val="fr-CA"/>
        </w:rPr>
        <w:t>,</w:t>
      </w:r>
      <w:r>
        <w:rPr>
          <w:rFonts w:asciiTheme="majorHAnsi" w:hAnsiTheme="majorHAnsi"/>
          <w:color w:val="000000"/>
          <w:sz w:val="22"/>
          <w:szCs w:val="22"/>
          <w:lang w:val="fr-CA"/>
        </w:rPr>
        <w:t xml:space="preserve"> </w:t>
      </w:r>
      <w:r w:rsidR="00903741">
        <w:rPr>
          <w:rFonts w:asciiTheme="majorHAnsi" w:hAnsiTheme="majorHAnsi"/>
          <w:color w:val="000000"/>
          <w:sz w:val="22"/>
          <w:szCs w:val="22"/>
          <w:lang w:val="fr-CA"/>
        </w:rPr>
        <w:t>à</w:t>
      </w:r>
      <w:r>
        <w:rPr>
          <w:rFonts w:asciiTheme="majorHAnsi" w:hAnsiTheme="majorHAnsi"/>
          <w:color w:val="000000"/>
          <w:sz w:val="22"/>
          <w:szCs w:val="22"/>
          <w:lang w:val="fr-CA"/>
        </w:rPr>
        <w:t xml:space="preserve"> réduire ses émissions de gaz à effet de serre de 29% d’ici à 2030. </w:t>
      </w:r>
    </w:p>
    <w:p w14:paraId="6848937A" w14:textId="77777777" w:rsidR="00E01336" w:rsidRPr="0081702E" w:rsidRDefault="00E01336" w:rsidP="00E01336">
      <w:pPr>
        <w:rPr>
          <w:rFonts w:asciiTheme="majorHAnsi" w:hAnsiTheme="majorHAnsi"/>
          <w:color w:val="000000"/>
          <w:sz w:val="22"/>
          <w:szCs w:val="22"/>
          <w:lang w:val="fr-CA"/>
        </w:rPr>
      </w:pPr>
    </w:p>
    <w:p w14:paraId="434E9E97" w14:textId="00CF7BC7" w:rsidR="00E01336" w:rsidRPr="0081702E" w:rsidRDefault="00253B43" w:rsidP="00E01336">
      <w:pPr>
        <w:rPr>
          <w:rFonts w:asciiTheme="majorHAnsi" w:hAnsiTheme="majorHAnsi"/>
          <w:color w:val="000000"/>
          <w:sz w:val="22"/>
          <w:szCs w:val="22"/>
          <w:lang w:val="fr-CA"/>
        </w:rPr>
      </w:pPr>
      <w:r>
        <w:rPr>
          <w:rFonts w:asciiTheme="majorHAnsi" w:hAnsiTheme="majorHAnsi"/>
          <w:color w:val="000000"/>
          <w:sz w:val="22"/>
          <w:szCs w:val="22"/>
          <w:lang w:val="fr-CA"/>
        </w:rPr>
        <w:t xml:space="preserve">Nous </w:t>
      </w:r>
      <w:r w:rsidR="00903741">
        <w:rPr>
          <w:rFonts w:asciiTheme="majorHAnsi" w:hAnsiTheme="majorHAnsi"/>
          <w:color w:val="000000"/>
          <w:sz w:val="22"/>
          <w:szCs w:val="22"/>
          <w:lang w:val="fr-CA"/>
        </w:rPr>
        <w:t>sommes conscients du fait</w:t>
      </w:r>
      <w:r>
        <w:rPr>
          <w:rFonts w:asciiTheme="majorHAnsi" w:hAnsiTheme="majorHAnsi"/>
          <w:color w:val="000000"/>
          <w:sz w:val="22"/>
          <w:szCs w:val="22"/>
          <w:lang w:val="fr-CA"/>
        </w:rPr>
        <w:t xml:space="preserve"> que votre Gouvernement a largement consulté et entrepris </w:t>
      </w:r>
      <w:r w:rsidR="00903741">
        <w:rPr>
          <w:rFonts w:asciiTheme="majorHAnsi" w:hAnsiTheme="majorHAnsi"/>
          <w:color w:val="000000"/>
          <w:sz w:val="22"/>
          <w:szCs w:val="22"/>
          <w:lang w:val="fr-CA"/>
        </w:rPr>
        <w:t xml:space="preserve">rapidement </w:t>
      </w:r>
      <w:r>
        <w:rPr>
          <w:rFonts w:asciiTheme="majorHAnsi" w:hAnsiTheme="majorHAnsi"/>
          <w:color w:val="000000"/>
          <w:sz w:val="22"/>
          <w:szCs w:val="22"/>
          <w:lang w:val="fr-CA"/>
        </w:rPr>
        <w:t xml:space="preserve">de </w:t>
      </w:r>
      <w:r w:rsidR="00024AD0">
        <w:rPr>
          <w:rFonts w:asciiTheme="majorHAnsi" w:hAnsiTheme="majorHAnsi"/>
          <w:color w:val="000000"/>
          <w:sz w:val="22"/>
          <w:szCs w:val="22"/>
          <w:lang w:val="fr-CA"/>
        </w:rPr>
        <w:t xml:space="preserve">nombreuses actions pour </w:t>
      </w:r>
      <w:r w:rsidR="00903741">
        <w:rPr>
          <w:rFonts w:asciiTheme="majorHAnsi" w:hAnsiTheme="majorHAnsi"/>
          <w:color w:val="000000"/>
          <w:sz w:val="22"/>
          <w:szCs w:val="22"/>
          <w:lang w:val="fr-CA"/>
        </w:rPr>
        <w:t>traiter</w:t>
      </w:r>
      <w:r w:rsidR="00024AD0">
        <w:rPr>
          <w:rFonts w:asciiTheme="majorHAnsi" w:hAnsiTheme="majorHAnsi"/>
          <w:color w:val="000000"/>
          <w:sz w:val="22"/>
          <w:szCs w:val="22"/>
          <w:lang w:val="fr-CA"/>
        </w:rPr>
        <w:t xml:space="preserve"> la gestion des incendies. Nous savons que les incendies de tourbières peuvent être très difficiles à éteindre et qu’un problème de cette ampleur n’est pas facile à résoudre. Nous sommes également satisfaits de voir que votre Gouvernement envisage d’empêcher que des incendies de tourbières</w:t>
      </w:r>
      <w:r w:rsidR="00903741">
        <w:rPr>
          <w:rFonts w:asciiTheme="majorHAnsi" w:hAnsiTheme="majorHAnsi"/>
          <w:color w:val="000000"/>
          <w:sz w:val="22"/>
          <w:szCs w:val="22"/>
          <w:lang w:val="fr-CA"/>
        </w:rPr>
        <w:t xml:space="preserve"> et des brouillards</w:t>
      </w:r>
      <w:r w:rsidR="00024AD0">
        <w:rPr>
          <w:rFonts w:asciiTheme="majorHAnsi" w:hAnsiTheme="majorHAnsi"/>
          <w:color w:val="000000"/>
          <w:sz w:val="22"/>
          <w:szCs w:val="22"/>
          <w:lang w:val="fr-CA"/>
        </w:rPr>
        <w:t xml:space="preserve"> semblables </w:t>
      </w:r>
      <w:r w:rsidR="00903741">
        <w:rPr>
          <w:rFonts w:asciiTheme="majorHAnsi" w:hAnsiTheme="majorHAnsi"/>
          <w:color w:val="000000"/>
          <w:sz w:val="22"/>
          <w:szCs w:val="22"/>
          <w:lang w:val="fr-CA"/>
        </w:rPr>
        <w:t xml:space="preserve">ne </w:t>
      </w:r>
      <w:r w:rsidR="00024AD0">
        <w:rPr>
          <w:rFonts w:asciiTheme="majorHAnsi" w:hAnsiTheme="majorHAnsi"/>
          <w:color w:val="000000"/>
          <w:sz w:val="22"/>
          <w:szCs w:val="22"/>
          <w:lang w:val="fr-CA"/>
        </w:rPr>
        <w:t xml:space="preserve">se produisent à l’avenir. </w:t>
      </w:r>
    </w:p>
    <w:p w14:paraId="3A26D694" w14:textId="77777777" w:rsidR="00E01336" w:rsidRPr="0081702E" w:rsidRDefault="00E01336" w:rsidP="00E01336">
      <w:pPr>
        <w:rPr>
          <w:rFonts w:asciiTheme="majorHAnsi" w:hAnsiTheme="majorHAnsi"/>
          <w:color w:val="000000"/>
          <w:sz w:val="22"/>
          <w:szCs w:val="22"/>
          <w:lang w:val="fr-CA"/>
        </w:rPr>
      </w:pPr>
    </w:p>
    <w:p w14:paraId="7F02CFCB" w14:textId="14B40A99" w:rsidR="00E01336" w:rsidRPr="0081702E" w:rsidRDefault="00024AD0" w:rsidP="00E01336">
      <w:pPr>
        <w:rPr>
          <w:rFonts w:asciiTheme="majorHAnsi" w:hAnsiTheme="majorHAnsi"/>
          <w:color w:val="000000"/>
          <w:sz w:val="22"/>
          <w:szCs w:val="22"/>
          <w:lang w:val="fr-CA"/>
        </w:rPr>
      </w:pPr>
      <w:r>
        <w:rPr>
          <w:rFonts w:asciiTheme="majorHAnsi" w:hAnsiTheme="majorHAnsi"/>
          <w:color w:val="000000"/>
          <w:sz w:val="22"/>
          <w:szCs w:val="22"/>
          <w:lang w:val="fr-CA"/>
        </w:rPr>
        <w:t xml:space="preserve">La Convention de </w:t>
      </w:r>
      <w:r w:rsidR="00E01336" w:rsidRPr="0081702E">
        <w:rPr>
          <w:rFonts w:asciiTheme="majorHAnsi" w:hAnsiTheme="majorHAnsi"/>
          <w:color w:val="000000"/>
          <w:sz w:val="22"/>
          <w:szCs w:val="22"/>
          <w:lang w:val="fr-CA"/>
        </w:rPr>
        <w:t xml:space="preserve">Ramsar </w:t>
      </w:r>
      <w:r>
        <w:rPr>
          <w:rFonts w:asciiTheme="majorHAnsi" w:hAnsiTheme="majorHAnsi"/>
          <w:color w:val="000000"/>
          <w:sz w:val="22"/>
          <w:szCs w:val="22"/>
          <w:lang w:val="fr-CA"/>
        </w:rPr>
        <w:t xml:space="preserve">dispose d’un grand nombre d’outils destinés à aider les Parties contractantes à utiliser leurs zones humides de manière durable et à les conserver. Le GEST a accès à des experts mondiaux connaissant bien les zones humides et la gestion des tourbières, la restauration et le suivi. Compte tenu de l’ampleur des défis actuels que </w:t>
      </w:r>
      <w:r w:rsidR="00903741">
        <w:rPr>
          <w:rFonts w:asciiTheme="majorHAnsi" w:hAnsiTheme="majorHAnsi"/>
          <w:color w:val="000000"/>
          <w:sz w:val="22"/>
          <w:szCs w:val="22"/>
          <w:lang w:val="fr-CA"/>
        </w:rPr>
        <w:t xml:space="preserve">doit relever </w:t>
      </w:r>
      <w:r>
        <w:rPr>
          <w:rFonts w:asciiTheme="majorHAnsi" w:hAnsiTheme="majorHAnsi"/>
          <w:color w:val="000000"/>
          <w:sz w:val="22"/>
          <w:szCs w:val="22"/>
          <w:lang w:val="fr-CA"/>
        </w:rPr>
        <w:t xml:space="preserve">l’Indonésie en matière de gestion des tourbières, le GEST souhaite offrir son aide, y compris des avis sur les moyens de </w:t>
      </w:r>
      <w:r w:rsidR="00903741">
        <w:rPr>
          <w:rFonts w:asciiTheme="majorHAnsi" w:hAnsiTheme="majorHAnsi"/>
          <w:color w:val="000000"/>
          <w:sz w:val="22"/>
          <w:szCs w:val="22"/>
          <w:lang w:val="fr-CA"/>
        </w:rPr>
        <w:t>solliciter</w:t>
      </w:r>
      <w:r>
        <w:rPr>
          <w:rFonts w:asciiTheme="majorHAnsi" w:hAnsiTheme="majorHAnsi"/>
          <w:color w:val="000000"/>
          <w:sz w:val="22"/>
          <w:szCs w:val="22"/>
          <w:lang w:val="fr-CA"/>
        </w:rPr>
        <w:t xml:space="preserve"> une </w:t>
      </w:r>
      <w:r w:rsidR="00903741">
        <w:rPr>
          <w:rFonts w:asciiTheme="majorHAnsi" w:hAnsiTheme="majorHAnsi"/>
          <w:color w:val="000000"/>
          <w:sz w:val="22"/>
          <w:szCs w:val="22"/>
          <w:lang w:val="fr-CA"/>
        </w:rPr>
        <w:t>M</w:t>
      </w:r>
      <w:r>
        <w:rPr>
          <w:rFonts w:asciiTheme="majorHAnsi" w:hAnsiTheme="majorHAnsi"/>
          <w:color w:val="000000"/>
          <w:sz w:val="22"/>
          <w:szCs w:val="22"/>
          <w:lang w:val="fr-CA"/>
        </w:rPr>
        <w:t>ission consultative Ramsar.</w:t>
      </w:r>
      <w:r w:rsidR="00E01336" w:rsidRPr="0081702E">
        <w:rPr>
          <w:rFonts w:asciiTheme="majorHAnsi" w:hAnsiTheme="majorHAnsi"/>
          <w:color w:val="000000"/>
          <w:sz w:val="22"/>
          <w:szCs w:val="22"/>
          <w:lang w:val="fr-CA"/>
        </w:rPr>
        <w:t xml:space="preserve"> </w:t>
      </w:r>
    </w:p>
    <w:p w14:paraId="29EA8B65" w14:textId="77777777" w:rsidR="00E01336" w:rsidRPr="0081702E" w:rsidRDefault="00E01336" w:rsidP="00E01336">
      <w:pPr>
        <w:rPr>
          <w:rFonts w:asciiTheme="majorHAnsi" w:hAnsiTheme="majorHAnsi"/>
          <w:color w:val="000000"/>
          <w:sz w:val="22"/>
          <w:szCs w:val="22"/>
          <w:lang w:val="fr-CA"/>
        </w:rPr>
      </w:pPr>
    </w:p>
    <w:p w14:paraId="25F263DB" w14:textId="5D4DC794" w:rsidR="00E01336" w:rsidRPr="0081702E" w:rsidRDefault="00024AD0" w:rsidP="00E01336">
      <w:pPr>
        <w:rPr>
          <w:rFonts w:asciiTheme="majorHAnsi" w:hAnsiTheme="majorHAnsi"/>
          <w:color w:val="000000"/>
          <w:sz w:val="22"/>
          <w:szCs w:val="22"/>
          <w:lang w:val="fr-CA"/>
        </w:rPr>
      </w:pPr>
      <w:r>
        <w:rPr>
          <w:rFonts w:asciiTheme="majorHAnsi" w:hAnsiTheme="majorHAnsi"/>
          <w:color w:val="000000"/>
          <w:sz w:val="22"/>
          <w:szCs w:val="22"/>
          <w:lang w:val="fr-CA"/>
        </w:rPr>
        <w:t>Nous nous réjouissons d’avoir rapidement de vos nouvelles et nous vous remercions de votre attention.</w:t>
      </w:r>
    </w:p>
    <w:p w14:paraId="5EED8AF2" w14:textId="77777777" w:rsidR="00E01336" w:rsidRPr="0081702E" w:rsidRDefault="00E01336" w:rsidP="00E01336">
      <w:pPr>
        <w:rPr>
          <w:rFonts w:asciiTheme="majorHAnsi" w:hAnsiTheme="majorHAnsi"/>
          <w:color w:val="000000"/>
          <w:sz w:val="22"/>
          <w:szCs w:val="22"/>
          <w:lang w:val="fr-CA"/>
        </w:rPr>
      </w:pPr>
    </w:p>
    <w:p w14:paraId="59F83D34" w14:textId="506DFB48" w:rsidR="00E01336" w:rsidRPr="0081702E" w:rsidRDefault="00024AD0" w:rsidP="00E01336">
      <w:pPr>
        <w:rPr>
          <w:rFonts w:asciiTheme="majorHAnsi" w:hAnsiTheme="majorHAnsi"/>
          <w:color w:val="000000"/>
          <w:sz w:val="22"/>
          <w:szCs w:val="22"/>
          <w:lang w:val="fr-CA"/>
        </w:rPr>
      </w:pPr>
      <w:r>
        <w:rPr>
          <w:rFonts w:asciiTheme="majorHAnsi" w:hAnsiTheme="majorHAnsi"/>
          <w:color w:val="000000"/>
          <w:sz w:val="22"/>
          <w:szCs w:val="22"/>
          <w:lang w:val="fr-CA"/>
        </w:rPr>
        <w:t>Cordialement</w:t>
      </w:r>
      <w:r w:rsidR="00E01336" w:rsidRPr="0081702E">
        <w:rPr>
          <w:rFonts w:asciiTheme="majorHAnsi" w:hAnsiTheme="majorHAnsi"/>
          <w:color w:val="000000"/>
          <w:sz w:val="22"/>
          <w:szCs w:val="22"/>
          <w:lang w:val="fr-CA"/>
        </w:rPr>
        <w:t>,</w:t>
      </w:r>
    </w:p>
    <w:p w14:paraId="2350E52F" w14:textId="77777777" w:rsidR="00E01336" w:rsidRPr="0081702E" w:rsidRDefault="00E01336" w:rsidP="00E01336">
      <w:pPr>
        <w:rPr>
          <w:rFonts w:asciiTheme="majorHAnsi" w:hAnsiTheme="majorHAnsi"/>
          <w:color w:val="000000"/>
          <w:sz w:val="22"/>
          <w:szCs w:val="22"/>
          <w:lang w:val="fr-CA"/>
        </w:rPr>
      </w:pPr>
    </w:p>
    <w:p w14:paraId="71750820" w14:textId="63407C50" w:rsidR="00E01336" w:rsidRPr="0081702E" w:rsidRDefault="00E01336" w:rsidP="00E01336">
      <w:pPr>
        <w:rPr>
          <w:rFonts w:asciiTheme="majorHAnsi" w:hAnsiTheme="majorHAnsi"/>
          <w:color w:val="000000"/>
          <w:sz w:val="22"/>
          <w:szCs w:val="22"/>
          <w:lang w:val="fr-CA"/>
        </w:rPr>
      </w:pPr>
      <w:r w:rsidRPr="0081702E">
        <w:rPr>
          <w:rFonts w:asciiTheme="majorHAnsi" w:hAnsiTheme="majorHAnsi"/>
          <w:color w:val="000000"/>
          <w:sz w:val="22"/>
          <w:szCs w:val="22"/>
          <w:lang w:val="fr-CA"/>
        </w:rPr>
        <w:t>Royal C. Gardner</w:t>
      </w:r>
    </w:p>
    <w:p w14:paraId="04EA67DF" w14:textId="5A3F9E1C" w:rsidR="00E01336" w:rsidRPr="0081702E" w:rsidRDefault="00024AD0" w:rsidP="00E01336">
      <w:pPr>
        <w:rPr>
          <w:rFonts w:asciiTheme="majorHAnsi" w:hAnsiTheme="majorHAnsi"/>
          <w:sz w:val="22"/>
          <w:szCs w:val="22"/>
          <w:lang w:val="fr-CA"/>
        </w:rPr>
      </w:pPr>
      <w:r>
        <w:rPr>
          <w:rFonts w:asciiTheme="majorHAnsi" w:hAnsiTheme="majorHAnsi"/>
          <w:color w:val="000000"/>
          <w:sz w:val="22"/>
          <w:szCs w:val="22"/>
          <w:lang w:val="fr-CA"/>
        </w:rPr>
        <w:t>Président du GEST</w:t>
      </w:r>
    </w:p>
    <w:p w14:paraId="6D12FB40" w14:textId="0C3DBD94" w:rsidR="00914A1A" w:rsidRPr="0081702E" w:rsidRDefault="00914A1A" w:rsidP="00914A1A">
      <w:pPr>
        <w:rPr>
          <w:rFonts w:asciiTheme="majorHAnsi" w:eastAsia="MS Mincho" w:hAnsiTheme="majorHAnsi"/>
          <w:sz w:val="22"/>
          <w:szCs w:val="22"/>
          <w:lang w:val="fr-CA" w:eastAsia="ja-JP"/>
        </w:rPr>
      </w:pPr>
    </w:p>
    <w:sectPr w:rsidR="00914A1A" w:rsidRPr="0081702E" w:rsidSect="00E0133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C90F6" w14:textId="77777777" w:rsidR="003E499A" w:rsidRDefault="003E499A" w:rsidP="00B92085">
      <w:r>
        <w:separator/>
      </w:r>
    </w:p>
  </w:endnote>
  <w:endnote w:type="continuationSeparator" w:id="0">
    <w:p w14:paraId="6E47C62A" w14:textId="77777777" w:rsidR="003E499A" w:rsidRDefault="003E499A" w:rsidP="00B9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EC57F" w14:textId="0AB4A175" w:rsidR="00F82E36" w:rsidRPr="00A94469" w:rsidRDefault="00F82E36">
    <w:pPr>
      <w:pStyle w:val="Footer"/>
      <w:rPr>
        <w:rFonts w:asciiTheme="majorHAnsi" w:hAnsiTheme="majorHAnsi"/>
        <w:sz w:val="20"/>
        <w:szCs w:val="20"/>
        <w:lang w:val="en-GB"/>
      </w:rPr>
    </w:pPr>
    <w:r w:rsidRPr="00A94469">
      <w:rPr>
        <w:rFonts w:asciiTheme="majorHAnsi" w:hAnsiTheme="majorHAnsi"/>
        <w:sz w:val="20"/>
        <w:szCs w:val="20"/>
        <w:lang w:val="en-GB"/>
      </w:rPr>
      <w:t>SC51-13</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DF4418">
      <w:rPr>
        <w:rFonts w:asciiTheme="majorHAnsi" w:hAnsiTheme="majorHAnsi"/>
        <w:noProof/>
        <w:sz w:val="20"/>
        <w:szCs w:val="20"/>
        <w:lang w:val="en-GB"/>
      </w:rPr>
      <w:t>4</w:t>
    </w:r>
    <w:r w:rsidRPr="00A94469">
      <w:rPr>
        <w:rFonts w:asciiTheme="majorHAnsi" w:hAnsiTheme="majorHAnsi"/>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BA2E0" w14:textId="77777777" w:rsidR="00F82E36" w:rsidRPr="00A94469" w:rsidRDefault="00F82E36" w:rsidP="00836984">
    <w:pPr>
      <w:pStyle w:val="Footer"/>
      <w:tabs>
        <w:tab w:val="clear" w:pos="9360"/>
        <w:tab w:val="right" w:pos="14175"/>
      </w:tabs>
      <w:ind w:right="3752"/>
      <w:rPr>
        <w:rFonts w:asciiTheme="majorHAnsi" w:hAnsiTheme="majorHAnsi"/>
        <w:sz w:val="20"/>
        <w:szCs w:val="20"/>
        <w:lang w:val="en-GB"/>
      </w:rPr>
    </w:pPr>
    <w:r w:rsidRPr="00A94469">
      <w:rPr>
        <w:rFonts w:asciiTheme="majorHAnsi" w:hAnsiTheme="majorHAnsi"/>
        <w:sz w:val="20"/>
        <w:szCs w:val="20"/>
        <w:lang w:val="en-GB"/>
      </w:rPr>
      <w:t>SC51-13</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DF4418">
      <w:rPr>
        <w:rFonts w:asciiTheme="majorHAnsi" w:hAnsiTheme="majorHAnsi"/>
        <w:noProof/>
        <w:sz w:val="20"/>
        <w:szCs w:val="20"/>
        <w:lang w:val="en-GB"/>
      </w:rPr>
      <w:t>10</w:t>
    </w:r>
    <w:r w:rsidRPr="00A94469">
      <w:rPr>
        <w:rFonts w:asciiTheme="majorHAnsi" w:hAnsiTheme="majorHAnsi"/>
        <w:noProof/>
        <w:sz w:val="20"/>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1075" w14:textId="77777777" w:rsidR="00F82E36" w:rsidRPr="00A94469" w:rsidRDefault="00F82E36" w:rsidP="00836984">
    <w:pPr>
      <w:pStyle w:val="Footer"/>
      <w:tabs>
        <w:tab w:val="clear" w:pos="9360"/>
        <w:tab w:val="right" w:pos="9072"/>
      </w:tabs>
      <w:ind w:right="3752"/>
      <w:rPr>
        <w:rFonts w:asciiTheme="majorHAnsi" w:hAnsiTheme="majorHAnsi"/>
        <w:sz w:val="20"/>
        <w:szCs w:val="20"/>
        <w:lang w:val="en-GB"/>
      </w:rPr>
    </w:pPr>
    <w:r w:rsidRPr="00A94469">
      <w:rPr>
        <w:rFonts w:asciiTheme="majorHAnsi" w:hAnsiTheme="majorHAnsi"/>
        <w:sz w:val="20"/>
        <w:szCs w:val="20"/>
        <w:lang w:val="en-GB"/>
      </w:rPr>
      <w:t>SC51-13</w:t>
    </w:r>
    <w:r w:rsidRPr="00A94469">
      <w:rPr>
        <w:rFonts w:asciiTheme="majorHAnsi" w:hAnsiTheme="majorHAnsi"/>
        <w:sz w:val="20"/>
        <w:szCs w:val="20"/>
        <w:lang w:val="en-GB"/>
      </w:rPr>
      <w:tab/>
    </w:r>
    <w:r w:rsidRPr="00A94469">
      <w:rPr>
        <w:rFonts w:asciiTheme="majorHAnsi" w:hAnsiTheme="majorHAnsi"/>
        <w:sz w:val="20"/>
        <w:szCs w:val="20"/>
        <w:lang w:val="en-GB"/>
      </w:rPr>
      <w:tab/>
    </w:r>
    <w:r w:rsidRPr="00A94469">
      <w:rPr>
        <w:rFonts w:asciiTheme="majorHAnsi" w:hAnsiTheme="majorHAnsi"/>
        <w:sz w:val="20"/>
        <w:szCs w:val="20"/>
        <w:lang w:val="en-GB"/>
      </w:rPr>
      <w:fldChar w:fldCharType="begin"/>
    </w:r>
    <w:r w:rsidRPr="00A94469">
      <w:rPr>
        <w:rFonts w:asciiTheme="majorHAnsi" w:hAnsiTheme="majorHAnsi"/>
        <w:sz w:val="20"/>
        <w:szCs w:val="20"/>
        <w:lang w:val="en-GB"/>
      </w:rPr>
      <w:instrText xml:space="preserve"> PAGE   \* MERGEFORMAT </w:instrText>
    </w:r>
    <w:r w:rsidRPr="00A94469">
      <w:rPr>
        <w:rFonts w:asciiTheme="majorHAnsi" w:hAnsiTheme="majorHAnsi"/>
        <w:sz w:val="20"/>
        <w:szCs w:val="20"/>
        <w:lang w:val="en-GB"/>
      </w:rPr>
      <w:fldChar w:fldCharType="separate"/>
    </w:r>
    <w:r w:rsidR="00DF4418">
      <w:rPr>
        <w:rFonts w:asciiTheme="majorHAnsi" w:hAnsiTheme="majorHAnsi"/>
        <w:noProof/>
        <w:sz w:val="20"/>
        <w:szCs w:val="20"/>
        <w:lang w:val="en-GB"/>
      </w:rPr>
      <w:t>18</w:t>
    </w:r>
    <w:r w:rsidRPr="00A94469">
      <w:rPr>
        <w:rFonts w:asciiTheme="majorHAnsi" w:hAnsiTheme="majorHAns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0F82C" w14:textId="77777777" w:rsidR="003E499A" w:rsidRDefault="003E499A" w:rsidP="00B92085">
      <w:r>
        <w:separator/>
      </w:r>
    </w:p>
  </w:footnote>
  <w:footnote w:type="continuationSeparator" w:id="0">
    <w:p w14:paraId="0E3604B3" w14:textId="77777777" w:rsidR="003E499A" w:rsidRDefault="003E499A" w:rsidP="00B9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6ED8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56272"/>
    <w:multiLevelType w:val="hybridMultilevel"/>
    <w:tmpl w:val="D5A0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7853"/>
    <w:multiLevelType w:val="hybridMultilevel"/>
    <w:tmpl w:val="501CD170"/>
    <w:lvl w:ilvl="0" w:tplc="1EC02834">
      <w:start w:val="1"/>
      <w:numFmt w:val="decimal"/>
      <w:lvlText w:val="%1."/>
      <w:lvlJc w:val="left"/>
      <w:pPr>
        <w:ind w:left="725" w:hanging="360"/>
      </w:pPr>
      <w:rPr>
        <w:rFonts w:hint="default"/>
        <w:b w:val="0"/>
      </w:rPr>
    </w:lvl>
    <w:lvl w:ilvl="1" w:tplc="0FA8EE7C">
      <w:start w:val="1"/>
      <w:numFmt w:val="lowerRoman"/>
      <w:lvlText w:val="%2)"/>
      <w:lvlJc w:val="left"/>
      <w:pPr>
        <w:ind w:left="1445" w:hanging="360"/>
      </w:pPr>
      <w:rPr>
        <w:rFonts w:ascii="Garamond" w:eastAsia="MS Mincho" w:hAnsi="Garamond" w:cs="Times New Roman" w:hint="default"/>
        <w:b w:val="0"/>
      </w:rPr>
    </w:lvl>
    <w:lvl w:ilvl="2" w:tplc="81CA8584">
      <w:start w:val="1"/>
      <w:numFmt w:val="lowerLetter"/>
      <w:lvlText w:val="%3."/>
      <w:lvlJc w:val="left"/>
      <w:pPr>
        <w:ind w:left="2165" w:hanging="360"/>
      </w:pPr>
      <w:rPr>
        <w:rFonts w:hint="default"/>
        <w:b w:val="0"/>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
    <w:nsid w:val="04C409CD"/>
    <w:multiLevelType w:val="hybridMultilevel"/>
    <w:tmpl w:val="FBDE0666"/>
    <w:lvl w:ilvl="0" w:tplc="D2FA5010">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56C02"/>
    <w:multiLevelType w:val="hybridMultilevel"/>
    <w:tmpl w:val="5E24061E"/>
    <w:lvl w:ilvl="0" w:tplc="FB8AA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80BAD"/>
    <w:multiLevelType w:val="hybridMultilevel"/>
    <w:tmpl w:val="F7FC2278"/>
    <w:lvl w:ilvl="0" w:tplc="F8687904">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EE622F"/>
    <w:multiLevelType w:val="hybridMultilevel"/>
    <w:tmpl w:val="BF8CD2F4"/>
    <w:lvl w:ilvl="0" w:tplc="6DBC5E0E">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F95D69"/>
    <w:multiLevelType w:val="hybridMultilevel"/>
    <w:tmpl w:val="7D165B06"/>
    <w:lvl w:ilvl="0" w:tplc="10090003">
      <w:start w:val="1"/>
      <w:numFmt w:val="bullet"/>
      <w:lvlText w:val="o"/>
      <w:lvlJc w:val="left"/>
      <w:pPr>
        <w:ind w:left="1571" w:hanging="360"/>
      </w:pPr>
      <w:rPr>
        <w:rFonts w:ascii="Courier New" w:hAnsi="Courier New" w:hint="default"/>
      </w:rPr>
    </w:lvl>
    <w:lvl w:ilvl="1" w:tplc="10090003" w:tentative="1">
      <w:start w:val="1"/>
      <w:numFmt w:val="bullet"/>
      <w:lvlText w:val="o"/>
      <w:lvlJc w:val="left"/>
      <w:pPr>
        <w:ind w:left="2291" w:hanging="360"/>
      </w:pPr>
      <w:rPr>
        <w:rFonts w:ascii="Courier New" w:hAnsi="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nsid w:val="1233603E"/>
    <w:multiLevelType w:val="hybridMultilevel"/>
    <w:tmpl w:val="73E226DE"/>
    <w:lvl w:ilvl="0" w:tplc="826E201E">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C016F0"/>
    <w:multiLevelType w:val="hybridMultilevel"/>
    <w:tmpl w:val="539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221FF"/>
    <w:multiLevelType w:val="hybridMultilevel"/>
    <w:tmpl w:val="E2521DA8"/>
    <w:lvl w:ilvl="0" w:tplc="08248A8C">
      <w:start w:val="1"/>
      <w:numFmt w:val="bullet"/>
      <w:lvlText w:val="•"/>
      <w:lvlJc w:val="left"/>
      <w:pPr>
        <w:tabs>
          <w:tab w:val="num" w:pos="720"/>
        </w:tabs>
        <w:ind w:left="720" w:hanging="360"/>
      </w:pPr>
      <w:rPr>
        <w:rFonts w:ascii="Arial" w:hAnsi="Arial" w:hint="default"/>
      </w:rPr>
    </w:lvl>
    <w:lvl w:ilvl="1" w:tplc="9FF87ACC" w:tentative="1">
      <w:start w:val="1"/>
      <w:numFmt w:val="bullet"/>
      <w:lvlText w:val="•"/>
      <w:lvlJc w:val="left"/>
      <w:pPr>
        <w:tabs>
          <w:tab w:val="num" w:pos="1440"/>
        </w:tabs>
        <w:ind w:left="1440" w:hanging="360"/>
      </w:pPr>
      <w:rPr>
        <w:rFonts w:ascii="Arial" w:hAnsi="Arial" w:hint="default"/>
      </w:rPr>
    </w:lvl>
    <w:lvl w:ilvl="2" w:tplc="410E27EA" w:tentative="1">
      <w:start w:val="1"/>
      <w:numFmt w:val="bullet"/>
      <w:lvlText w:val="•"/>
      <w:lvlJc w:val="left"/>
      <w:pPr>
        <w:tabs>
          <w:tab w:val="num" w:pos="2160"/>
        </w:tabs>
        <w:ind w:left="2160" w:hanging="360"/>
      </w:pPr>
      <w:rPr>
        <w:rFonts w:ascii="Arial" w:hAnsi="Arial" w:hint="default"/>
      </w:rPr>
    </w:lvl>
    <w:lvl w:ilvl="3" w:tplc="8E8882FC" w:tentative="1">
      <w:start w:val="1"/>
      <w:numFmt w:val="bullet"/>
      <w:lvlText w:val="•"/>
      <w:lvlJc w:val="left"/>
      <w:pPr>
        <w:tabs>
          <w:tab w:val="num" w:pos="2880"/>
        </w:tabs>
        <w:ind w:left="2880" w:hanging="360"/>
      </w:pPr>
      <w:rPr>
        <w:rFonts w:ascii="Arial" w:hAnsi="Arial" w:hint="default"/>
      </w:rPr>
    </w:lvl>
    <w:lvl w:ilvl="4" w:tplc="81D2CDB6" w:tentative="1">
      <w:start w:val="1"/>
      <w:numFmt w:val="bullet"/>
      <w:lvlText w:val="•"/>
      <w:lvlJc w:val="left"/>
      <w:pPr>
        <w:tabs>
          <w:tab w:val="num" w:pos="3600"/>
        </w:tabs>
        <w:ind w:left="3600" w:hanging="360"/>
      </w:pPr>
      <w:rPr>
        <w:rFonts w:ascii="Arial" w:hAnsi="Arial" w:hint="default"/>
      </w:rPr>
    </w:lvl>
    <w:lvl w:ilvl="5" w:tplc="46AC9ED8" w:tentative="1">
      <w:start w:val="1"/>
      <w:numFmt w:val="bullet"/>
      <w:lvlText w:val="•"/>
      <w:lvlJc w:val="left"/>
      <w:pPr>
        <w:tabs>
          <w:tab w:val="num" w:pos="4320"/>
        </w:tabs>
        <w:ind w:left="4320" w:hanging="360"/>
      </w:pPr>
      <w:rPr>
        <w:rFonts w:ascii="Arial" w:hAnsi="Arial" w:hint="default"/>
      </w:rPr>
    </w:lvl>
    <w:lvl w:ilvl="6" w:tplc="57666456" w:tentative="1">
      <w:start w:val="1"/>
      <w:numFmt w:val="bullet"/>
      <w:lvlText w:val="•"/>
      <w:lvlJc w:val="left"/>
      <w:pPr>
        <w:tabs>
          <w:tab w:val="num" w:pos="5040"/>
        </w:tabs>
        <w:ind w:left="5040" w:hanging="360"/>
      </w:pPr>
      <w:rPr>
        <w:rFonts w:ascii="Arial" w:hAnsi="Arial" w:hint="default"/>
      </w:rPr>
    </w:lvl>
    <w:lvl w:ilvl="7" w:tplc="8D64B3A4" w:tentative="1">
      <w:start w:val="1"/>
      <w:numFmt w:val="bullet"/>
      <w:lvlText w:val="•"/>
      <w:lvlJc w:val="left"/>
      <w:pPr>
        <w:tabs>
          <w:tab w:val="num" w:pos="5760"/>
        </w:tabs>
        <w:ind w:left="5760" w:hanging="360"/>
      </w:pPr>
      <w:rPr>
        <w:rFonts w:ascii="Arial" w:hAnsi="Arial" w:hint="default"/>
      </w:rPr>
    </w:lvl>
    <w:lvl w:ilvl="8" w:tplc="4058E75C" w:tentative="1">
      <w:start w:val="1"/>
      <w:numFmt w:val="bullet"/>
      <w:lvlText w:val="•"/>
      <w:lvlJc w:val="left"/>
      <w:pPr>
        <w:tabs>
          <w:tab w:val="num" w:pos="6480"/>
        </w:tabs>
        <w:ind w:left="6480" w:hanging="360"/>
      </w:pPr>
      <w:rPr>
        <w:rFonts w:ascii="Arial" w:hAnsi="Arial" w:hint="default"/>
      </w:rPr>
    </w:lvl>
  </w:abstractNum>
  <w:abstractNum w:abstractNumId="11">
    <w:nsid w:val="25432DB0"/>
    <w:multiLevelType w:val="hybridMultilevel"/>
    <w:tmpl w:val="E806E182"/>
    <w:lvl w:ilvl="0" w:tplc="69FA05B8">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2C7149"/>
    <w:multiLevelType w:val="hybridMultilevel"/>
    <w:tmpl w:val="61EE4FCE"/>
    <w:lvl w:ilvl="0" w:tplc="43FA1EC8">
      <w:numFmt w:val="bullet"/>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E7232D"/>
    <w:multiLevelType w:val="hybridMultilevel"/>
    <w:tmpl w:val="2A1E22A8"/>
    <w:lvl w:ilvl="0" w:tplc="04060011">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4">
    <w:nsid w:val="2F2320B5"/>
    <w:multiLevelType w:val="hybridMultilevel"/>
    <w:tmpl w:val="F0CED3B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5B34332"/>
    <w:multiLevelType w:val="hybridMultilevel"/>
    <w:tmpl w:val="7E502BC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88F7D68"/>
    <w:multiLevelType w:val="hybridMultilevel"/>
    <w:tmpl w:val="A942F468"/>
    <w:lvl w:ilvl="0" w:tplc="04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7">
    <w:nsid w:val="39855262"/>
    <w:multiLevelType w:val="hybridMultilevel"/>
    <w:tmpl w:val="817E6840"/>
    <w:lvl w:ilvl="0" w:tplc="826E201E">
      <w:start w:val="9"/>
      <w:numFmt w:val="lowerLetter"/>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E5DBC"/>
    <w:multiLevelType w:val="hybridMultilevel"/>
    <w:tmpl w:val="740C7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35D52"/>
    <w:multiLevelType w:val="hybridMultilevel"/>
    <w:tmpl w:val="B3D47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BB10BF"/>
    <w:multiLevelType w:val="multilevel"/>
    <w:tmpl w:val="39AE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9721C9"/>
    <w:multiLevelType w:val="hybridMultilevel"/>
    <w:tmpl w:val="A956CBA6"/>
    <w:lvl w:ilvl="0" w:tplc="CE902708">
      <w:start w:val="7"/>
      <w:numFmt w:val="decimal"/>
      <w:lvlText w:val="%1."/>
      <w:lvlJc w:val="left"/>
      <w:pPr>
        <w:ind w:left="725" w:hanging="360"/>
      </w:pPr>
      <w:rPr>
        <w:rFonts w:hint="default"/>
        <w:b w:val="0"/>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2">
    <w:nsid w:val="4CD30E17"/>
    <w:multiLevelType w:val="hybridMultilevel"/>
    <w:tmpl w:val="70B099F8"/>
    <w:lvl w:ilvl="0" w:tplc="4232FBF8">
      <w:start w:val="1"/>
      <w:numFmt w:val="lowerLetter"/>
      <w:lvlText w:val="%1."/>
      <w:lvlJc w:val="left"/>
      <w:pPr>
        <w:ind w:left="2208" w:hanging="360"/>
      </w:pPr>
      <w:rPr>
        <w:b w:val="0"/>
      </w:rPr>
    </w:lvl>
    <w:lvl w:ilvl="1" w:tplc="04090019" w:tentative="1">
      <w:start w:val="1"/>
      <w:numFmt w:val="lowerLetter"/>
      <w:lvlText w:val="%2."/>
      <w:lvlJc w:val="left"/>
      <w:pPr>
        <w:ind w:left="2928" w:hanging="360"/>
      </w:pPr>
    </w:lvl>
    <w:lvl w:ilvl="2" w:tplc="0409001B" w:tentative="1">
      <w:start w:val="1"/>
      <w:numFmt w:val="lowerRoman"/>
      <w:lvlText w:val="%3."/>
      <w:lvlJc w:val="right"/>
      <w:pPr>
        <w:ind w:left="3648" w:hanging="180"/>
      </w:pPr>
    </w:lvl>
    <w:lvl w:ilvl="3" w:tplc="0409000F" w:tentative="1">
      <w:start w:val="1"/>
      <w:numFmt w:val="decimal"/>
      <w:lvlText w:val="%4."/>
      <w:lvlJc w:val="left"/>
      <w:pPr>
        <w:ind w:left="4368" w:hanging="360"/>
      </w:pPr>
    </w:lvl>
    <w:lvl w:ilvl="4" w:tplc="04090019" w:tentative="1">
      <w:start w:val="1"/>
      <w:numFmt w:val="lowerLetter"/>
      <w:lvlText w:val="%5."/>
      <w:lvlJc w:val="left"/>
      <w:pPr>
        <w:ind w:left="5088" w:hanging="360"/>
      </w:pPr>
    </w:lvl>
    <w:lvl w:ilvl="5" w:tplc="0409001B" w:tentative="1">
      <w:start w:val="1"/>
      <w:numFmt w:val="lowerRoman"/>
      <w:lvlText w:val="%6."/>
      <w:lvlJc w:val="right"/>
      <w:pPr>
        <w:ind w:left="5808" w:hanging="180"/>
      </w:pPr>
    </w:lvl>
    <w:lvl w:ilvl="6" w:tplc="0409000F" w:tentative="1">
      <w:start w:val="1"/>
      <w:numFmt w:val="decimal"/>
      <w:lvlText w:val="%7."/>
      <w:lvlJc w:val="left"/>
      <w:pPr>
        <w:ind w:left="6528" w:hanging="360"/>
      </w:pPr>
    </w:lvl>
    <w:lvl w:ilvl="7" w:tplc="04090019" w:tentative="1">
      <w:start w:val="1"/>
      <w:numFmt w:val="lowerLetter"/>
      <w:lvlText w:val="%8."/>
      <w:lvlJc w:val="left"/>
      <w:pPr>
        <w:ind w:left="7248" w:hanging="360"/>
      </w:pPr>
    </w:lvl>
    <w:lvl w:ilvl="8" w:tplc="0409001B" w:tentative="1">
      <w:start w:val="1"/>
      <w:numFmt w:val="lowerRoman"/>
      <w:lvlText w:val="%9."/>
      <w:lvlJc w:val="right"/>
      <w:pPr>
        <w:ind w:left="7968" w:hanging="180"/>
      </w:pPr>
    </w:lvl>
  </w:abstractNum>
  <w:abstractNum w:abstractNumId="23">
    <w:nsid w:val="4DDE01A6"/>
    <w:multiLevelType w:val="hybridMultilevel"/>
    <w:tmpl w:val="6BE0CE4E"/>
    <w:lvl w:ilvl="0" w:tplc="A75E3CE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F65C35"/>
    <w:multiLevelType w:val="hybridMultilevel"/>
    <w:tmpl w:val="7B44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43180"/>
    <w:multiLevelType w:val="hybridMultilevel"/>
    <w:tmpl w:val="7DE8D3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5EB5BAA"/>
    <w:multiLevelType w:val="hybridMultilevel"/>
    <w:tmpl w:val="942CD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BC2366"/>
    <w:multiLevelType w:val="hybridMultilevel"/>
    <w:tmpl w:val="95FA4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3E0596"/>
    <w:multiLevelType w:val="hybridMultilevel"/>
    <w:tmpl w:val="152A4744"/>
    <w:lvl w:ilvl="0" w:tplc="91AE416E">
      <w:start w:val="1"/>
      <w:numFmt w:val="bullet"/>
      <w:lvlText w:val="•"/>
      <w:lvlJc w:val="left"/>
      <w:pPr>
        <w:tabs>
          <w:tab w:val="num" w:pos="720"/>
        </w:tabs>
        <w:ind w:left="720" w:hanging="360"/>
      </w:pPr>
      <w:rPr>
        <w:rFonts w:ascii="Arial" w:hAnsi="Arial" w:hint="default"/>
      </w:rPr>
    </w:lvl>
    <w:lvl w:ilvl="1" w:tplc="8940CAA6" w:tentative="1">
      <w:start w:val="1"/>
      <w:numFmt w:val="bullet"/>
      <w:lvlText w:val="•"/>
      <w:lvlJc w:val="left"/>
      <w:pPr>
        <w:tabs>
          <w:tab w:val="num" w:pos="1440"/>
        </w:tabs>
        <w:ind w:left="1440" w:hanging="360"/>
      </w:pPr>
      <w:rPr>
        <w:rFonts w:ascii="Arial" w:hAnsi="Arial" w:hint="default"/>
      </w:rPr>
    </w:lvl>
    <w:lvl w:ilvl="2" w:tplc="CF56D35C" w:tentative="1">
      <w:start w:val="1"/>
      <w:numFmt w:val="bullet"/>
      <w:lvlText w:val="•"/>
      <w:lvlJc w:val="left"/>
      <w:pPr>
        <w:tabs>
          <w:tab w:val="num" w:pos="2160"/>
        </w:tabs>
        <w:ind w:left="2160" w:hanging="360"/>
      </w:pPr>
      <w:rPr>
        <w:rFonts w:ascii="Arial" w:hAnsi="Arial" w:hint="default"/>
      </w:rPr>
    </w:lvl>
    <w:lvl w:ilvl="3" w:tplc="00B8E08E" w:tentative="1">
      <w:start w:val="1"/>
      <w:numFmt w:val="bullet"/>
      <w:lvlText w:val="•"/>
      <w:lvlJc w:val="left"/>
      <w:pPr>
        <w:tabs>
          <w:tab w:val="num" w:pos="2880"/>
        </w:tabs>
        <w:ind w:left="2880" w:hanging="360"/>
      </w:pPr>
      <w:rPr>
        <w:rFonts w:ascii="Arial" w:hAnsi="Arial" w:hint="default"/>
      </w:rPr>
    </w:lvl>
    <w:lvl w:ilvl="4" w:tplc="27C66270" w:tentative="1">
      <w:start w:val="1"/>
      <w:numFmt w:val="bullet"/>
      <w:lvlText w:val="•"/>
      <w:lvlJc w:val="left"/>
      <w:pPr>
        <w:tabs>
          <w:tab w:val="num" w:pos="3600"/>
        </w:tabs>
        <w:ind w:left="3600" w:hanging="360"/>
      </w:pPr>
      <w:rPr>
        <w:rFonts w:ascii="Arial" w:hAnsi="Arial" w:hint="default"/>
      </w:rPr>
    </w:lvl>
    <w:lvl w:ilvl="5" w:tplc="03006B3A" w:tentative="1">
      <w:start w:val="1"/>
      <w:numFmt w:val="bullet"/>
      <w:lvlText w:val="•"/>
      <w:lvlJc w:val="left"/>
      <w:pPr>
        <w:tabs>
          <w:tab w:val="num" w:pos="4320"/>
        </w:tabs>
        <w:ind w:left="4320" w:hanging="360"/>
      </w:pPr>
      <w:rPr>
        <w:rFonts w:ascii="Arial" w:hAnsi="Arial" w:hint="default"/>
      </w:rPr>
    </w:lvl>
    <w:lvl w:ilvl="6" w:tplc="31DE5B1A" w:tentative="1">
      <w:start w:val="1"/>
      <w:numFmt w:val="bullet"/>
      <w:lvlText w:val="•"/>
      <w:lvlJc w:val="left"/>
      <w:pPr>
        <w:tabs>
          <w:tab w:val="num" w:pos="5040"/>
        </w:tabs>
        <w:ind w:left="5040" w:hanging="360"/>
      </w:pPr>
      <w:rPr>
        <w:rFonts w:ascii="Arial" w:hAnsi="Arial" w:hint="default"/>
      </w:rPr>
    </w:lvl>
    <w:lvl w:ilvl="7" w:tplc="510C9C0E" w:tentative="1">
      <w:start w:val="1"/>
      <w:numFmt w:val="bullet"/>
      <w:lvlText w:val="•"/>
      <w:lvlJc w:val="left"/>
      <w:pPr>
        <w:tabs>
          <w:tab w:val="num" w:pos="5760"/>
        </w:tabs>
        <w:ind w:left="5760" w:hanging="360"/>
      </w:pPr>
      <w:rPr>
        <w:rFonts w:ascii="Arial" w:hAnsi="Arial" w:hint="default"/>
      </w:rPr>
    </w:lvl>
    <w:lvl w:ilvl="8" w:tplc="53C63072" w:tentative="1">
      <w:start w:val="1"/>
      <w:numFmt w:val="bullet"/>
      <w:lvlText w:val="•"/>
      <w:lvlJc w:val="left"/>
      <w:pPr>
        <w:tabs>
          <w:tab w:val="num" w:pos="6480"/>
        </w:tabs>
        <w:ind w:left="6480" w:hanging="360"/>
      </w:pPr>
      <w:rPr>
        <w:rFonts w:ascii="Arial" w:hAnsi="Arial" w:hint="default"/>
      </w:rPr>
    </w:lvl>
  </w:abstractNum>
  <w:abstractNum w:abstractNumId="29">
    <w:nsid w:val="623732AB"/>
    <w:multiLevelType w:val="hybridMultilevel"/>
    <w:tmpl w:val="33106B36"/>
    <w:lvl w:ilvl="0" w:tplc="65E43F46">
      <w:start w:val="1"/>
      <w:numFmt w:val="bullet"/>
      <w:lvlText w:val="•"/>
      <w:lvlJc w:val="left"/>
      <w:pPr>
        <w:tabs>
          <w:tab w:val="num" w:pos="720"/>
        </w:tabs>
        <w:ind w:left="720" w:hanging="360"/>
      </w:pPr>
      <w:rPr>
        <w:rFonts w:ascii="Arial" w:hAnsi="Arial" w:hint="default"/>
      </w:rPr>
    </w:lvl>
    <w:lvl w:ilvl="1" w:tplc="BD947AC4" w:tentative="1">
      <w:start w:val="1"/>
      <w:numFmt w:val="bullet"/>
      <w:lvlText w:val="•"/>
      <w:lvlJc w:val="left"/>
      <w:pPr>
        <w:tabs>
          <w:tab w:val="num" w:pos="1440"/>
        </w:tabs>
        <w:ind w:left="1440" w:hanging="360"/>
      </w:pPr>
      <w:rPr>
        <w:rFonts w:ascii="Arial" w:hAnsi="Arial" w:hint="default"/>
      </w:rPr>
    </w:lvl>
    <w:lvl w:ilvl="2" w:tplc="3CEA71EA" w:tentative="1">
      <w:start w:val="1"/>
      <w:numFmt w:val="bullet"/>
      <w:lvlText w:val="•"/>
      <w:lvlJc w:val="left"/>
      <w:pPr>
        <w:tabs>
          <w:tab w:val="num" w:pos="2160"/>
        </w:tabs>
        <w:ind w:left="2160" w:hanging="360"/>
      </w:pPr>
      <w:rPr>
        <w:rFonts w:ascii="Arial" w:hAnsi="Arial" w:hint="default"/>
      </w:rPr>
    </w:lvl>
    <w:lvl w:ilvl="3" w:tplc="B5CCEFC8" w:tentative="1">
      <w:start w:val="1"/>
      <w:numFmt w:val="bullet"/>
      <w:lvlText w:val="•"/>
      <w:lvlJc w:val="left"/>
      <w:pPr>
        <w:tabs>
          <w:tab w:val="num" w:pos="2880"/>
        </w:tabs>
        <w:ind w:left="2880" w:hanging="360"/>
      </w:pPr>
      <w:rPr>
        <w:rFonts w:ascii="Arial" w:hAnsi="Arial" w:hint="default"/>
      </w:rPr>
    </w:lvl>
    <w:lvl w:ilvl="4" w:tplc="71C2ABF0" w:tentative="1">
      <w:start w:val="1"/>
      <w:numFmt w:val="bullet"/>
      <w:lvlText w:val="•"/>
      <w:lvlJc w:val="left"/>
      <w:pPr>
        <w:tabs>
          <w:tab w:val="num" w:pos="3600"/>
        </w:tabs>
        <w:ind w:left="3600" w:hanging="360"/>
      </w:pPr>
      <w:rPr>
        <w:rFonts w:ascii="Arial" w:hAnsi="Arial" w:hint="default"/>
      </w:rPr>
    </w:lvl>
    <w:lvl w:ilvl="5" w:tplc="C350596A" w:tentative="1">
      <w:start w:val="1"/>
      <w:numFmt w:val="bullet"/>
      <w:lvlText w:val="•"/>
      <w:lvlJc w:val="left"/>
      <w:pPr>
        <w:tabs>
          <w:tab w:val="num" w:pos="4320"/>
        </w:tabs>
        <w:ind w:left="4320" w:hanging="360"/>
      </w:pPr>
      <w:rPr>
        <w:rFonts w:ascii="Arial" w:hAnsi="Arial" w:hint="default"/>
      </w:rPr>
    </w:lvl>
    <w:lvl w:ilvl="6" w:tplc="C71621C0" w:tentative="1">
      <w:start w:val="1"/>
      <w:numFmt w:val="bullet"/>
      <w:lvlText w:val="•"/>
      <w:lvlJc w:val="left"/>
      <w:pPr>
        <w:tabs>
          <w:tab w:val="num" w:pos="5040"/>
        </w:tabs>
        <w:ind w:left="5040" w:hanging="360"/>
      </w:pPr>
      <w:rPr>
        <w:rFonts w:ascii="Arial" w:hAnsi="Arial" w:hint="default"/>
      </w:rPr>
    </w:lvl>
    <w:lvl w:ilvl="7" w:tplc="1FE86B56" w:tentative="1">
      <w:start w:val="1"/>
      <w:numFmt w:val="bullet"/>
      <w:lvlText w:val="•"/>
      <w:lvlJc w:val="left"/>
      <w:pPr>
        <w:tabs>
          <w:tab w:val="num" w:pos="5760"/>
        </w:tabs>
        <w:ind w:left="5760" w:hanging="360"/>
      </w:pPr>
      <w:rPr>
        <w:rFonts w:ascii="Arial" w:hAnsi="Arial" w:hint="default"/>
      </w:rPr>
    </w:lvl>
    <w:lvl w:ilvl="8" w:tplc="2E5016C2" w:tentative="1">
      <w:start w:val="1"/>
      <w:numFmt w:val="bullet"/>
      <w:lvlText w:val="•"/>
      <w:lvlJc w:val="left"/>
      <w:pPr>
        <w:tabs>
          <w:tab w:val="num" w:pos="6480"/>
        </w:tabs>
        <w:ind w:left="6480" w:hanging="360"/>
      </w:pPr>
      <w:rPr>
        <w:rFonts w:ascii="Arial" w:hAnsi="Arial" w:hint="default"/>
      </w:rPr>
    </w:lvl>
  </w:abstractNum>
  <w:abstractNum w:abstractNumId="30">
    <w:nsid w:val="6A3130D2"/>
    <w:multiLevelType w:val="hybridMultilevel"/>
    <w:tmpl w:val="3AD8E690"/>
    <w:lvl w:ilvl="0" w:tplc="DB04DED6">
      <w:start w:val="1"/>
      <w:numFmt w:val="bullet"/>
      <w:lvlText w:val="•"/>
      <w:lvlJc w:val="left"/>
      <w:pPr>
        <w:tabs>
          <w:tab w:val="num" w:pos="720"/>
        </w:tabs>
        <w:ind w:left="720" w:hanging="360"/>
      </w:pPr>
      <w:rPr>
        <w:rFonts w:ascii="Arial" w:hAnsi="Arial" w:hint="default"/>
      </w:rPr>
    </w:lvl>
    <w:lvl w:ilvl="1" w:tplc="3B9C1A8A" w:tentative="1">
      <w:start w:val="1"/>
      <w:numFmt w:val="bullet"/>
      <w:lvlText w:val="•"/>
      <w:lvlJc w:val="left"/>
      <w:pPr>
        <w:tabs>
          <w:tab w:val="num" w:pos="1440"/>
        </w:tabs>
        <w:ind w:left="1440" w:hanging="360"/>
      </w:pPr>
      <w:rPr>
        <w:rFonts w:ascii="Arial" w:hAnsi="Arial" w:hint="default"/>
      </w:rPr>
    </w:lvl>
    <w:lvl w:ilvl="2" w:tplc="70362A70" w:tentative="1">
      <w:start w:val="1"/>
      <w:numFmt w:val="bullet"/>
      <w:lvlText w:val="•"/>
      <w:lvlJc w:val="left"/>
      <w:pPr>
        <w:tabs>
          <w:tab w:val="num" w:pos="2160"/>
        </w:tabs>
        <w:ind w:left="2160" w:hanging="360"/>
      </w:pPr>
      <w:rPr>
        <w:rFonts w:ascii="Arial" w:hAnsi="Arial" w:hint="default"/>
      </w:rPr>
    </w:lvl>
    <w:lvl w:ilvl="3" w:tplc="6AC802EC" w:tentative="1">
      <w:start w:val="1"/>
      <w:numFmt w:val="bullet"/>
      <w:lvlText w:val="•"/>
      <w:lvlJc w:val="left"/>
      <w:pPr>
        <w:tabs>
          <w:tab w:val="num" w:pos="2880"/>
        </w:tabs>
        <w:ind w:left="2880" w:hanging="360"/>
      </w:pPr>
      <w:rPr>
        <w:rFonts w:ascii="Arial" w:hAnsi="Arial" w:hint="default"/>
      </w:rPr>
    </w:lvl>
    <w:lvl w:ilvl="4" w:tplc="5A781FFC" w:tentative="1">
      <w:start w:val="1"/>
      <w:numFmt w:val="bullet"/>
      <w:lvlText w:val="•"/>
      <w:lvlJc w:val="left"/>
      <w:pPr>
        <w:tabs>
          <w:tab w:val="num" w:pos="3600"/>
        </w:tabs>
        <w:ind w:left="3600" w:hanging="360"/>
      </w:pPr>
      <w:rPr>
        <w:rFonts w:ascii="Arial" w:hAnsi="Arial" w:hint="default"/>
      </w:rPr>
    </w:lvl>
    <w:lvl w:ilvl="5" w:tplc="7222DAE0" w:tentative="1">
      <w:start w:val="1"/>
      <w:numFmt w:val="bullet"/>
      <w:lvlText w:val="•"/>
      <w:lvlJc w:val="left"/>
      <w:pPr>
        <w:tabs>
          <w:tab w:val="num" w:pos="4320"/>
        </w:tabs>
        <w:ind w:left="4320" w:hanging="360"/>
      </w:pPr>
      <w:rPr>
        <w:rFonts w:ascii="Arial" w:hAnsi="Arial" w:hint="default"/>
      </w:rPr>
    </w:lvl>
    <w:lvl w:ilvl="6" w:tplc="4EC8E644" w:tentative="1">
      <w:start w:val="1"/>
      <w:numFmt w:val="bullet"/>
      <w:lvlText w:val="•"/>
      <w:lvlJc w:val="left"/>
      <w:pPr>
        <w:tabs>
          <w:tab w:val="num" w:pos="5040"/>
        </w:tabs>
        <w:ind w:left="5040" w:hanging="360"/>
      </w:pPr>
      <w:rPr>
        <w:rFonts w:ascii="Arial" w:hAnsi="Arial" w:hint="default"/>
      </w:rPr>
    </w:lvl>
    <w:lvl w:ilvl="7" w:tplc="605C2FC0" w:tentative="1">
      <w:start w:val="1"/>
      <w:numFmt w:val="bullet"/>
      <w:lvlText w:val="•"/>
      <w:lvlJc w:val="left"/>
      <w:pPr>
        <w:tabs>
          <w:tab w:val="num" w:pos="5760"/>
        </w:tabs>
        <w:ind w:left="5760" w:hanging="360"/>
      </w:pPr>
      <w:rPr>
        <w:rFonts w:ascii="Arial" w:hAnsi="Arial" w:hint="default"/>
      </w:rPr>
    </w:lvl>
    <w:lvl w:ilvl="8" w:tplc="41303CE4"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
  </w:num>
  <w:num w:numId="3">
    <w:abstractNumId w:val="23"/>
  </w:num>
  <w:num w:numId="4">
    <w:abstractNumId w:val="22"/>
  </w:num>
  <w:num w:numId="5">
    <w:abstractNumId w:val="4"/>
  </w:num>
  <w:num w:numId="6">
    <w:abstractNumId w:val="21"/>
  </w:num>
  <w:num w:numId="7">
    <w:abstractNumId w:val="6"/>
  </w:num>
  <w:num w:numId="8">
    <w:abstractNumId w:val="11"/>
  </w:num>
  <w:num w:numId="9">
    <w:abstractNumId w:val="5"/>
  </w:num>
  <w:num w:numId="10">
    <w:abstractNumId w:val="3"/>
  </w:num>
  <w:num w:numId="11">
    <w:abstractNumId w:val="12"/>
  </w:num>
  <w:num w:numId="12">
    <w:abstractNumId w:val="25"/>
  </w:num>
  <w:num w:numId="13">
    <w:abstractNumId w:val="18"/>
  </w:num>
  <w:num w:numId="14">
    <w:abstractNumId w:val="8"/>
  </w:num>
  <w:num w:numId="15">
    <w:abstractNumId w:val="17"/>
  </w:num>
  <w:num w:numId="16">
    <w:abstractNumId w:val="13"/>
  </w:num>
  <w:num w:numId="17">
    <w:abstractNumId w:val="28"/>
  </w:num>
  <w:num w:numId="18">
    <w:abstractNumId w:val="30"/>
  </w:num>
  <w:num w:numId="19">
    <w:abstractNumId w:val="29"/>
  </w:num>
  <w:num w:numId="20">
    <w:abstractNumId w:val="10"/>
  </w:num>
  <w:num w:numId="21">
    <w:abstractNumId w:val="7"/>
  </w:num>
  <w:num w:numId="22">
    <w:abstractNumId w:val="1"/>
  </w:num>
  <w:num w:numId="23">
    <w:abstractNumId w:val="16"/>
  </w:num>
  <w:num w:numId="24">
    <w:abstractNumId w:val="24"/>
  </w:num>
  <w:num w:numId="25">
    <w:abstractNumId w:val="14"/>
  </w:num>
  <w:num w:numId="26">
    <w:abstractNumId w:val="15"/>
  </w:num>
  <w:num w:numId="27">
    <w:abstractNumId w:val="9"/>
  </w:num>
  <w:num w:numId="28">
    <w:abstractNumId w:val="0"/>
  </w:num>
  <w:num w:numId="29">
    <w:abstractNumId w:val="27"/>
  </w:num>
  <w:num w:numId="30">
    <w:abstractNumId w:val="1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0C"/>
    <w:rsid w:val="00012E11"/>
    <w:rsid w:val="00022FDE"/>
    <w:rsid w:val="00024AD0"/>
    <w:rsid w:val="00030587"/>
    <w:rsid w:val="00037FF1"/>
    <w:rsid w:val="00054CFF"/>
    <w:rsid w:val="0006161F"/>
    <w:rsid w:val="00082ACC"/>
    <w:rsid w:val="000B0A62"/>
    <w:rsid w:val="000B17B5"/>
    <w:rsid w:val="000D2DCE"/>
    <w:rsid w:val="000D57FF"/>
    <w:rsid w:val="000E50B0"/>
    <w:rsid w:val="000F253D"/>
    <w:rsid w:val="000F29A9"/>
    <w:rsid w:val="000F2E6B"/>
    <w:rsid w:val="000F4FDF"/>
    <w:rsid w:val="00102344"/>
    <w:rsid w:val="00120DB7"/>
    <w:rsid w:val="00130D8F"/>
    <w:rsid w:val="00135933"/>
    <w:rsid w:val="00137A95"/>
    <w:rsid w:val="001506F4"/>
    <w:rsid w:val="001571F3"/>
    <w:rsid w:val="001637EC"/>
    <w:rsid w:val="00176F36"/>
    <w:rsid w:val="00186C1F"/>
    <w:rsid w:val="0019309C"/>
    <w:rsid w:val="001A289E"/>
    <w:rsid w:val="001A5866"/>
    <w:rsid w:val="001B7FEF"/>
    <w:rsid w:val="0020217E"/>
    <w:rsid w:val="00206C47"/>
    <w:rsid w:val="00206E7C"/>
    <w:rsid w:val="002309E9"/>
    <w:rsid w:val="002378EC"/>
    <w:rsid w:val="00244D7B"/>
    <w:rsid w:val="002522BC"/>
    <w:rsid w:val="0025366A"/>
    <w:rsid w:val="00253B43"/>
    <w:rsid w:val="00255A2D"/>
    <w:rsid w:val="00261EA9"/>
    <w:rsid w:val="002D1CB4"/>
    <w:rsid w:val="002E39D4"/>
    <w:rsid w:val="00302D29"/>
    <w:rsid w:val="00331336"/>
    <w:rsid w:val="003365C7"/>
    <w:rsid w:val="003408ED"/>
    <w:rsid w:val="00347313"/>
    <w:rsid w:val="00352BA4"/>
    <w:rsid w:val="00357CE7"/>
    <w:rsid w:val="00372E0C"/>
    <w:rsid w:val="003760D6"/>
    <w:rsid w:val="0038153A"/>
    <w:rsid w:val="003A160F"/>
    <w:rsid w:val="003D6F87"/>
    <w:rsid w:val="003E1FA4"/>
    <w:rsid w:val="003E499A"/>
    <w:rsid w:val="003E5CD6"/>
    <w:rsid w:val="003E773D"/>
    <w:rsid w:val="003F42B1"/>
    <w:rsid w:val="00410B85"/>
    <w:rsid w:val="004565C0"/>
    <w:rsid w:val="004623F8"/>
    <w:rsid w:val="00477174"/>
    <w:rsid w:val="004829CC"/>
    <w:rsid w:val="00483B33"/>
    <w:rsid w:val="00491713"/>
    <w:rsid w:val="00496E6B"/>
    <w:rsid w:val="004A137C"/>
    <w:rsid w:val="004A340F"/>
    <w:rsid w:val="004A3B65"/>
    <w:rsid w:val="004B31D6"/>
    <w:rsid w:val="00501577"/>
    <w:rsid w:val="00502323"/>
    <w:rsid w:val="0050367C"/>
    <w:rsid w:val="00510BDE"/>
    <w:rsid w:val="00512383"/>
    <w:rsid w:val="005203ED"/>
    <w:rsid w:val="005216F1"/>
    <w:rsid w:val="00521F7A"/>
    <w:rsid w:val="0052281A"/>
    <w:rsid w:val="005425D1"/>
    <w:rsid w:val="0054794E"/>
    <w:rsid w:val="00553E75"/>
    <w:rsid w:val="00566D72"/>
    <w:rsid w:val="00580213"/>
    <w:rsid w:val="005A01B4"/>
    <w:rsid w:val="005B7B50"/>
    <w:rsid w:val="005C7E58"/>
    <w:rsid w:val="005D1240"/>
    <w:rsid w:val="005F5D36"/>
    <w:rsid w:val="006216A4"/>
    <w:rsid w:val="00656349"/>
    <w:rsid w:val="00664CE1"/>
    <w:rsid w:val="006934E8"/>
    <w:rsid w:val="00693A1B"/>
    <w:rsid w:val="006A4B64"/>
    <w:rsid w:val="006A5DA2"/>
    <w:rsid w:val="006B18A9"/>
    <w:rsid w:val="006C03C2"/>
    <w:rsid w:val="006C541D"/>
    <w:rsid w:val="006E2B9A"/>
    <w:rsid w:val="006F1AF8"/>
    <w:rsid w:val="00703261"/>
    <w:rsid w:val="0070486B"/>
    <w:rsid w:val="00713474"/>
    <w:rsid w:val="007247E2"/>
    <w:rsid w:val="00726B77"/>
    <w:rsid w:val="00742C1C"/>
    <w:rsid w:val="00744912"/>
    <w:rsid w:val="007508C5"/>
    <w:rsid w:val="00751672"/>
    <w:rsid w:val="00752C5C"/>
    <w:rsid w:val="007572F7"/>
    <w:rsid w:val="00771505"/>
    <w:rsid w:val="0079165A"/>
    <w:rsid w:val="007A0789"/>
    <w:rsid w:val="007A40E0"/>
    <w:rsid w:val="007A5CFB"/>
    <w:rsid w:val="007B5675"/>
    <w:rsid w:val="007B6712"/>
    <w:rsid w:val="007C3AE1"/>
    <w:rsid w:val="007C62E9"/>
    <w:rsid w:val="007D07CF"/>
    <w:rsid w:val="007E34EC"/>
    <w:rsid w:val="007E69E6"/>
    <w:rsid w:val="0080122A"/>
    <w:rsid w:val="0081604E"/>
    <w:rsid w:val="0081702E"/>
    <w:rsid w:val="00836984"/>
    <w:rsid w:val="00847F3E"/>
    <w:rsid w:val="0085476E"/>
    <w:rsid w:val="008E19CA"/>
    <w:rsid w:val="008F1C8C"/>
    <w:rsid w:val="00903741"/>
    <w:rsid w:val="00914A1A"/>
    <w:rsid w:val="00917A8C"/>
    <w:rsid w:val="00920E7F"/>
    <w:rsid w:val="00931645"/>
    <w:rsid w:val="00955C62"/>
    <w:rsid w:val="009746C1"/>
    <w:rsid w:val="00975E7E"/>
    <w:rsid w:val="009A7F56"/>
    <w:rsid w:val="009C111E"/>
    <w:rsid w:val="009C440A"/>
    <w:rsid w:val="009D1F5A"/>
    <w:rsid w:val="009E16DC"/>
    <w:rsid w:val="00A1002F"/>
    <w:rsid w:val="00A1768B"/>
    <w:rsid w:val="00A41C65"/>
    <w:rsid w:val="00A54112"/>
    <w:rsid w:val="00A62B29"/>
    <w:rsid w:val="00A87BC1"/>
    <w:rsid w:val="00A94469"/>
    <w:rsid w:val="00AA223F"/>
    <w:rsid w:val="00AB2826"/>
    <w:rsid w:val="00AB3020"/>
    <w:rsid w:val="00AB78B9"/>
    <w:rsid w:val="00AC45B7"/>
    <w:rsid w:val="00AD2094"/>
    <w:rsid w:val="00AF1432"/>
    <w:rsid w:val="00B02716"/>
    <w:rsid w:val="00B07C1F"/>
    <w:rsid w:val="00B122E0"/>
    <w:rsid w:val="00B12778"/>
    <w:rsid w:val="00B238AD"/>
    <w:rsid w:val="00B24027"/>
    <w:rsid w:val="00B32124"/>
    <w:rsid w:val="00B33F56"/>
    <w:rsid w:val="00B41A2A"/>
    <w:rsid w:val="00B50244"/>
    <w:rsid w:val="00B50569"/>
    <w:rsid w:val="00B52CE6"/>
    <w:rsid w:val="00B827A6"/>
    <w:rsid w:val="00B92085"/>
    <w:rsid w:val="00BB7725"/>
    <w:rsid w:val="00BD4E75"/>
    <w:rsid w:val="00BF6823"/>
    <w:rsid w:val="00C03160"/>
    <w:rsid w:val="00C139E4"/>
    <w:rsid w:val="00C2201D"/>
    <w:rsid w:val="00C22102"/>
    <w:rsid w:val="00C23109"/>
    <w:rsid w:val="00C73220"/>
    <w:rsid w:val="00C769FD"/>
    <w:rsid w:val="00CA75EF"/>
    <w:rsid w:val="00CB22A6"/>
    <w:rsid w:val="00CB3638"/>
    <w:rsid w:val="00CB3946"/>
    <w:rsid w:val="00CD1F50"/>
    <w:rsid w:val="00CD2BED"/>
    <w:rsid w:val="00CE03C1"/>
    <w:rsid w:val="00CE22E2"/>
    <w:rsid w:val="00D63503"/>
    <w:rsid w:val="00D7595A"/>
    <w:rsid w:val="00D8361B"/>
    <w:rsid w:val="00D86AFE"/>
    <w:rsid w:val="00DF4418"/>
    <w:rsid w:val="00E01336"/>
    <w:rsid w:val="00E23894"/>
    <w:rsid w:val="00E41318"/>
    <w:rsid w:val="00E52773"/>
    <w:rsid w:val="00E64065"/>
    <w:rsid w:val="00E77562"/>
    <w:rsid w:val="00EA0941"/>
    <w:rsid w:val="00EA61A9"/>
    <w:rsid w:val="00EC509E"/>
    <w:rsid w:val="00ED1B77"/>
    <w:rsid w:val="00EE2AAD"/>
    <w:rsid w:val="00EF211E"/>
    <w:rsid w:val="00F06E9D"/>
    <w:rsid w:val="00F3062A"/>
    <w:rsid w:val="00F3068C"/>
    <w:rsid w:val="00F424F9"/>
    <w:rsid w:val="00F64020"/>
    <w:rsid w:val="00F74AFE"/>
    <w:rsid w:val="00F80EF2"/>
    <w:rsid w:val="00F82E36"/>
    <w:rsid w:val="00FA5AB6"/>
    <w:rsid w:val="00FC6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949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A0789"/>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E0C"/>
    <w:rPr>
      <w:rFonts w:ascii="Times New Roman" w:eastAsia="Times New Roman" w:hAnsi="Times New Roman"/>
      <w:sz w:val="24"/>
      <w:szCs w:val="24"/>
    </w:rPr>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val="en-GB" w:eastAsia="ja-JP"/>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72E0C"/>
    <w:rPr>
      <w:sz w:val="16"/>
      <w:szCs w:val="16"/>
    </w:rPr>
  </w:style>
  <w:style w:type="paragraph" w:styleId="CommentText">
    <w:name w:val="annotation text"/>
    <w:basedOn w:val="Normal"/>
    <w:link w:val="CommentTextChar"/>
    <w:uiPriority w:val="99"/>
    <w:semiHidden/>
    <w:unhideWhenUsed/>
    <w:rsid w:val="00372E0C"/>
    <w:rPr>
      <w:sz w:val="20"/>
      <w:szCs w:val="20"/>
      <w:lang w:val="x-none" w:eastAsia="x-none"/>
    </w:rPr>
  </w:style>
  <w:style w:type="character" w:customStyle="1" w:styleId="CommentTextChar">
    <w:name w:val="Comment Text Char"/>
    <w:link w:val="CommentText"/>
    <w:uiPriority w:val="99"/>
    <w:semiHidden/>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val="en-GB"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sz w:val="24"/>
      <w:szCs w:val="24"/>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val="en-GB"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semiHidden/>
    <w:rsid w:val="00752C5C"/>
    <w:rPr>
      <w:vertAlign w:val="superscript"/>
    </w:rPr>
  </w:style>
  <w:style w:type="table" w:styleId="TableGrid">
    <w:name w:val="Table Grid"/>
    <w:basedOn w:val="TableNormal"/>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eastAsia="Times New Roman"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A0789"/>
    <w:rPr>
      <w:rFonts w:asciiTheme="minorHAnsi" w:eastAsiaTheme="minorEastAsia" w:hAnsiTheme="minorHAnsi" w:cstheme="minorBidi"/>
      <w:b/>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5254-A6BE-4296-A0FC-F55E76C1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5674</Words>
  <Characters>33479</Characters>
  <Application>Microsoft Office Word</Application>
  <DocSecurity>0</DocSecurity>
  <Lines>1115</Lines>
  <Paragraphs>515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Stetson University College of Law</Company>
  <LinksUpToDate>false</LinksUpToDate>
  <CharactersWithSpaces>38638</CharactersWithSpaces>
  <SharedDoc>false</SharedDoc>
  <HLinks>
    <vt:vector size="66" baseType="variant">
      <vt:variant>
        <vt:i4>5308424</vt:i4>
      </vt:variant>
      <vt:variant>
        <vt:i4>30</vt:i4>
      </vt:variant>
      <vt:variant>
        <vt:i4>0</vt:i4>
      </vt:variant>
      <vt:variant>
        <vt:i4>5</vt:i4>
      </vt:variant>
      <vt:variant>
        <vt:lpwstr>http://www.ramsar.org/pdf/cop11/doc/cop11-doc22-e-RIS.pdf</vt:lpwstr>
      </vt:variant>
      <vt:variant>
        <vt:lpwstr/>
      </vt:variant>
      <vt:variant>
        <vt:i4>5308424</vt:i4>
      </vt:variant>
      <vt:variant>
        <vt:i4>27</vt:i4>
      </vt:variant>
      <vt:variant>
        <vt:i4>0</vt:i4>
      </vt:variant>
      <vt:variant>
        <vt:i4>5</vt:i4>
      </vt:variant>
      <vt:variant>
        <vt:lpwstr>http://www.ramsar.org/pdf/cop11/doc/cop11-doc22-e-RIS.pdf</vt:lpwstr>
      </vt:variant>
      <vt:variant>
        <vt:lpwstr/>
      </vt:variant>
      <vt:variant>
        <vt:i4>5308424</vt:i4>
      </vt:variant>
      <vt:variant>
        <vt:i4>24</vt:i4>
      </vt:variant>
      <vt:variant>
        <vt:i4>0</vt:i4>
      </vt:variant>
      <vt:variant>
        <vt:i4>5</vt:i4>
      </vt:variant>
      <vt:variant>
        <vt:lpwstr>http://www.ramsar.org/pdf/cop11/doc/cop11-doc22-e-RIS.pdf</vt:lpwstr>
      </vt:variant>
      <vt:variant>
        <vt:lpwstr/>
      </vt:variant>
      <vt:variant>
        <vt:i4>5308424</vt:i4>
      </vt:variant>
      <vt:variant>
        <vt:i4>21</vt:i4>
      </vt:variant>
      <vt:variant>
        <vt:i4>0</vt:i4>
      </vt:variant>
      <vt:variant>
        <vt:i4>5</vt:i4>
      </vt:variant>
      <vt:variant>
        <vt:lpwstr>http://www.ramsar.org/pdf/cop11/doc/cop11-doc22-e-RIS.pdf</vt:lpwstr>
      </vt:variant>
      <vt:variant>
        <vt:lpwstr/>
      </vt:variant>
      <vt:variant>
        <vt:i4>2097210</vt:i4>
      </vt:variant>
      <vt:variant>
        <vt:i4>18</vt:i4>
      </vt:variant>
      <vt:variant>
        <vt:i4>0</vt:i4>
      </vt:variant>
      <vt:variant>
        <vt:i4>5</vt:i4>
      </vt:variant>
      <vt:variant>
        <vt:lpwstr>http://www.ramsar.org/doc/cop11/res/cop11-res08-e-anx2.doc</vt:lpwstr>
      </vt:variant>
      <vt:variant>
        <vt:lpwstr/>
      </vt:variant>
      <vt:variant>
        <vt:i4>2293818</vt:i4>
      </vt:variant>
      <vt:variant>
        <vt:i4>15</vt:i4>
      </vt:variant>
      <vt:variant>
        <vt:i4>0</vt:i4>
      </vt:variant>
      <vt:variant>
        <vt:i4>5</vt:i4>
      </vt:variant>
      <vt:variant>
        <vt:lpwstr>http://www.ramsar.org/doc/cop11/res/cop11-res08-e-anx1.doc</vt:lpwstr>
      </vt:variant>
      <vt:variant>
        <vt:lpwstr/>
      </vt:variant>
      <vt:variant>
        <vt:i4>1507334</vt:i4>
      </vt:variant>
      <vt:variant>
        <vt:i4>12</vt:i4>
      </vt:variant>
      <vt:variant>
        <vt:i4>0</vt:i4>
      </vt:variant>
      <vt:variant>
        <vt:i4>5</vt:i4>
      </vt:variant>
      <vt:variant>
        <vt:lpwstr>http://www.ramsar.org/doc/cop11/res/cop11-res08-e.doc</vt:lpwstr>
      </vt:variant>
      <vt:variant>
        <vt:lpwstr/>
      </vt:variant>
      <vt:variant>
        <vt:i4>1507334</vt:i4>
      </vt:variant>
      <vt:variant>
        <vt:i4>9</vt:i4>
      </vt:variant>
      <vt:variant>
        <vt:i4>0</vt:i4>
      </vt:variant>
      <vt:variant>
        <vt:i4>5</vt:i4>
      </vt:variant>
      <vt:variant>
        <vt:lpwstr>http://www.ramsar.org/doc/cop11/res/cop11-res08-e.doc</vt:lpwstr>
      </vt:variant>
      <vt:variant>
        <vt:lpwstr/>
      </vt:variant>
      <vt:variant>
        <vt:i4>655386</vt:i4>
      </vt:variant>
      <vt:variant>
        <vt:i4>6</vt:i4>
      </vt:variant>
      <vt:variant>
        <vt:i4>0</vt:i4>
      </vt:variant>
      <vt:variant>
        <vt:i4>5</vt:i4>
      </vt:variant>
      <vt:variant>
        <vt:lpwstr>http://www.ramsar.org/cda/en/ramsar-about-glossary-acronyms/main/ramsar/1-36-56-155_4000_0__</vt:lpwstr>
      </vt:variant>
      <vt:variant>
        <vt:lpwstr/>
      </vt:variant>
      <vt:variant>
        <vt:i4>1507343</vt:i4>
      </vt:variant>
      <vt:variant>
        <vt:i4>3</vt:i4>
      </vt:variant>
      <vt:variant>
        <vt:i4>0</vt:i4>
      </vt:variant>
      <vt:variant>
        <vt:i4>5</vt:i4>
      </vt:variant>
      <vt:variant>
        <vt:lpwstr>http://www.ramsar.org/cda/en/ramsar-documents-strp/main/ramsar/1-31-111_4000_0__</vt:lpwstr>
      </vt:variant>
      <vt:variant>
        <vt:lpwstr/>
      </vt:variant>
      <vt:variant>
        <vt:i4>6881389</vt:i4>
      </vt:variant>
      <vt:variant>
        <vt:i4>0</vt:i4>
      </vt:variant>
      <vt:variant>
        <vt:i4>0</vt:i4>
      </vt:variant>
      <vt:variant>
        <vt:i4>5</vt:i4>
      </vt:variant>
      <vt:variant>
        <vt:lpwstr>http://www.ramsar.org/pdf/strp/STRPmod-op-2013-2015.pdf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Royal</dc:creator>
  <cp:lastModifiedBy>Ramsar\JenningsE</cp:lastModifiedBy>
  <cp:revision>3</cp:revision>
  <cp:lastPrinted>2013-03-11T17:47:00Z</cp:lastPrinted>
  <dcterms:created xsi:type="dcterms:W3CDTF">2015-11-18T08:34:00Z</dcterms:created>
  <dcterms:modified xsi:type="dcterms:W3CDTF">2015-11-19T09:51:00Z</dcterms:modified>
</cp:coreProperties>
</file>