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BB" w:rsidRPr="003B6FD9" w:rsidRDefault="00593DBB" w:rsidP="00DE1818">
      <w:pPr>
        <w:spacing w:before="9"/>
        <w:rPr>
          <w:rFonts w:ascii="Times New Roman" w:eastAsia="Times New Roman" w:hAnsi="Times New Roman" w:cs="Times New Roman"/>
          <w:sz w:val="7"/>
          <w:szCs w:val="7"/>
          <w:lang w:val="es-ES_tradnl"/>
        </w:rPr>
      </w:pPr>
    </w:p>
    <w:p w:rsidR="00593DBB" w:rsidRPr="003B6FD9" w:rsidRDefault="000E3905" w:rsidP="00DE1818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0E390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n-GB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ES_tradnl" w:eastAsia="en-GB"/>
        </w:rPr>
        <w:pict>
          <v:group id="Group 89" o:spid="_x0000_s1026" style="width:332.9pt;height:50.4pt;mso-position-horizontal-relative:char;mso-position-vertical-relative:line" coordsize="665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">
            <v:group id="Group 101" o:spid="_x0000_s1027" style="position:absolute;left:30;top:15;width:6569;height:2" coordorigin="30,15" coordsize="6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02" o:spid="_x0000_s1028" style="position:absolute;left:30;top:15;width:6569;height:0;visibility:visible;mso-wrap-style:square;v-text-anchor:top" coordsize="6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vbcQA&#10;AADaAAAADwAAAGRycy9kb3ducmV2LnhtbESPQWvCQBSE74L/YXlCb7qxiEjqJkiwoFBKY7309sy+&#10;ZkOzb0N2jWl/fbcg9DjMzDfMNh9tKwbqfeNYwXKRgCCunG64VnB+f55vQPiArLF1TAq+yUOeTSdb&#10;TLW7cUnDKdQiQtinqMCE0KVS+sqQRb9wHXH0Pl1vMUTZ11L3eItw28rHJFlLiw3HBYMdFYaqr9PV&#10;KngtBnMuxreP3c/lUjbH9cu+KyulHmbj7glEoDH8h+/tg1awgr8r8Qb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L23EAAAA2gAAAA8AAAAAAAAAAAAAAAAAmAIAAGRycy9k&#10;b3ducmV2LnhtbFBLBQYAAAAABAAEAPUAAACJAwAAAAA=&#10;" path="m,l6569,e" filled="f" strokeweight="1.54pt">
                <v:path arrowok="t" o:connecttype="custom" o:connectlocs="0,0;6569,0" o:connectangles="0,0"/>
              </v:shape>
            </v:group>
            <v:group id="Group 99" o:spid="_x0000_s1029" style="position:absolute;left:44;top:30;width:2;height:905" coordorigin="44,30" coordsize="2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00" o:spid="_x0000_s1030" style="position:absolute;left:44;top:30;width:0;height:905;visibility:visible;mso-wrap-style:square;v-text-anchor:top" coordsize="2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wk8MA&#10;AADaAAAADwAAAGRycy9kb3ducmV2LnhtbESPQWvCQBSE7wX/w/KEXopuGjA00VVEsFTBQ6PeH9ln&#10;Es2+DdltTP+9KxR6HGbmG2axGkwjeupcbVnB+zQCQVxYXXOp4HTcTj5AOI+ssbFMCn7JwWo5ellg&#10;pu2dv6nPfSkChF2GCirv20xKV1Rk0E1tSxy8i+0M+iC7UuoO7wFuGhlHUSIN1hwWKmxpU1Fxy3+M&#10;ghTPn0l67bcHne9318PbbB3HO6Vex8N6DsLT4P/Df+0vrSCB55V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wk8MAAADaAAAADwAAAAAAAAAAAAAAAACYAgAAZHJzL2Rv&#10;d25yZXYueG1sUEsFBgAAAAAEAAQA9QAAAIgDAAAAAA==&#10;" path="m,l,905e" filled="f" strokeweight="1.54pt">
                <v:path arrowok="t" o:connecttype="custom" o:connectlocs="0,30;0,935" o:connectangles="0,0"/>
              </v:shape>
            </v:group>
            <v:group id="Group 97" o:spid="_x0000_s1031" style="position:absolute;left:6599;top:30;width:2;height:948" coordorigin="6599,30" coordsize="2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98" o:spid="_x0000_s1032" style="position:absolute;left:6599;top:30;width:0;height:948;visibility:visible;mso-wrap-style:square;v-text-anchor:top" coordsize="2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9EI78A&#10;AADaAAAADwAAAGRycy9kb3ducmV2LnhtbERPS2rDMBDdF3oHMYHsajleBONaNiWkHyhZJOkBBmsq&#10;q7VGxlId5/bVIpDl4/3rdnGDmGkK1rOCTZaDIO68tmwUfJ1fn0oQISJrHDyTgisFaJvHhxor7S98&#10;pPkUjUghHCpU0Mc4VlKGrieHIfMjceK+/eQwJjgZqSe8pHA3yCLPt9Kh5dTQ40i7nrrf059TMMZZ&#10;+0PxVtpPs+9+tAlX+14qtV4tL88gIi3xLr65P7SCtDVdSTdAN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z0QjvwAAANoAAAAPAAAAAAAAAAAAAAAAAJgCAABkcnMvZG93bnJl&#10;di54bWxQSwUGAAAAAAQABAD1AAAAhAMAAAAA&#10;" path="m,l,948e" filled="f" strokeweight="2.93pt">
                <v:path arrowok="t" o:connecttype="custom" o:connectlocs="0,30;0,978" o:connectangles="0,0"/>
              </v:shape>
            </v:group>
            <v:group id="Group 95" o:spid="_x0000_s1033" style="position:absolute;left:6584;top:30;width:2;height:905" coordorigin="6584,30" coordsize="2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96" o:spid="_x0000_s1034" style="position:absolute;left:6584;top:30;width:0;height:905;visibility:visible;mso-wrap-style:square;v-text-anchor:top" coordsize="2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JYsUA&#10;AADbAAAADwAAAGRycy9kb3ducmV2LnhtbESPQWvCQBCF74X+h2UKvRTdNFCp0VWkoFTBg6neh+yY&#10;RLOzIbvG9N87h0JvM7w3730zXw6uUT11ofZs4H2cgCIuvK25NHD8WY8+QYWIbLHxTAZ+KcBy8fw0&#10;x8z6Ox+oz2OpJIRDhgaqGNtM61BU5DCMfUss2tl3DqOsXalth3cJd41Ok2SiHdYsDRW29FVRcc1v&#10;zsAUT5vJ9NKv9zbfbS/7t49Vmm6NeX0ZVjNQkYb4b/67/ra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QlixQAAANsAAAAPAAAAAAAAAAAAAAAAAJgCAABkcnMv&#10;ZG93bnJldi54bWxQSwUGAAAAAAQABAD1AAAAigMAAAAA&#10;" path="m,l,905e" filled="f" strokeweight="1.54pt">
                <v:path arrowok="t" o:connecttype="custom" o:connectlocs="0,30;0,935" o:connectangles="0,0"/>
              </v:shape>
            </v:group>
            <v:group id="Group 93" o:spid="_x0000_s1035" style="position:absolute;left:30;top:963;width:6598;height:2" coordorigin="30,963" coordsize="6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94" o:spid="_x0000_s1036" style="position:absolute;left:30;top:963;width:6597;height:0;visibility:visible;mso-wrap-style:square;v-text-anchor:top" coordsize="6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kXMAA&#10;AADbAAAADwAAAGRycy9kb3ducmV2LnhtbERPS4vCMBC+C/6HMMLeNNXDItW0iCIK4mG7Ih6HZvrQ&#10;ZlKaWOu/3yws7G0+vues08E0oqfO1ZYVzGcRCOLc6ppLBZfv/XQJwnlkjY1lUvAmB2kyHq0x1vbF&#10;X9RnvhQhhF2MCirv21hKl1dk0M1sSxy4wnYGfYBdKXWHrxBuGrmIok9psObQUGFL24ryR/Y0Cu7l&#10;6brsi7o/nG86K+5yR0w7pT4mw2YFwtPg/8V/7qMO8xfw+0s4QC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YkXMAAAADbAAAADwAAAAAAAAAAAAAAAACYAgAAZHJzL2Rvd25y&#10;ZXYueG1sUEsFBgAAAAAEAAQA9QAAAIUDAAAAAA==&#10;" path="m,l6598,e" filled="f" strokeweight="2.98pt">
                <v:path arrowok="t" o:connecttype="custom" o:connectlocs="0,0;6597,0" o:connectangles="0,0"/>
              </v:shape>
            </v:group>
            <v:group id="Group 90" o:spid="_x0000_s1037" style="position:absolute;left:59;top:963;width:6569;height:2" coordorigin="59,963" coordsize="6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92" o:spid="_x0000_s1038" style="position:absolute;left:59;top:963;width:6568;height:0;visibility:visible;mso-wrap-style:square;v-text-anchor:top" coordsize="6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sxsEA&#10;AADbAAAADwAAAGRycy9kb3ducmV2LnhtbERPzWrCQBC+F/oOyxS8NRuLrRJdJRQVj2r6AGN2zIZm&#10;Z9PsRqNP3xUKvc3H9zuL1WAbcaHO144VjJMUBHHpdM2Vgq9i8zoD4QOyxsYxKbiRh9Xy+WmBmXZX&#10;PtDlGCoRQ9hnqMCE0GZS+tKQRZ+4ljhyZ9dZDBF2ldQdXmO4beRbmn5IizXHBoMtfRoqv4+9VdCb&#10;6fbOk7w4/JzG0xu/l/s1e6VGL0M+BxFoCP/iP/dOx/kTePw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uLMbBAAAA2wAAAA8AAAAAAAAAAAAAAAAAmAIAAGRycy9kb3du&#10;cmV2LnhtbFBLBQYAAAAABAAEAPUAAACGAwAAAAA=&#10;" path="m,l6569,e" filled="f" strokeweight="2.98pt">
                <v:path arrowok="t" o:connecttype="custom" o:connectlocs="0,0;6568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39" type="#_x0000_t202" style="position:absolute;left:44;top:15;width:6555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723596" w:rsidRPr="003B6FD9" w:rsidRDefault="00723596">
                      <w:pPr>
                        <w:spacing w:before="16" w:line="276" w:lineRule="exact"/>
                        <w:ind w:left="12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t-EE"/>
                        </w:rPr>
                      </w:pPr>
                      <w:r w:rsidRPr="003B6FD9">
                        <w:rPr>
                          <w:rFonts w:ascii="Calibri"/>
                          <w:spacing w:val="-1"/>
                          <w:sz w:val="24"/>
                          <w:szCs w:val="24"/>
                          <w:lang w:val="et-EE"/>
                        </w:rPr>
                        <w:t>CONVENCIÓN SOBRE LOS HUMEDALES</w:t>
                      </w:r>
                      <w:r w:rsidRPr="003B6FD9">
                        <w:rPr>
                          <w:rFonts w:ascii="Calibri"/>
                          <w:spacing w:val="-5"/>
                          <w:sz w:val="24"/>
                          <w:szCs w:val="24"/>
                          <w:lang w:val="et-EE"/>
                        </w:rPr>
                        <w:t xml:space="preserve"> </w:t>
                      </w:r>
                      <w:r w:rsidRPr="003B6FD9">
                        <w:rPr>
                          <w:rFonts w:ascii="Calibri"/>
                          <w:spacing w:val="-1"/>
                          <w:sz w:val="24"/>
                          <w:szCs w:val="24"/>
                          <w:lang w:val="et-EE"/>
                        </w:rPr>
                        <w:t>(Ramsar,</w:t>
                      </w:r>
                      <w:r w:rsidRPr="003B6FD9">
                        <w:rPr>
                          <w:rFonts w:ascii="Calibri"/>
                          <w:spacing w:val="-4"/>
                          <w:sz w:val="24"/>
                          <w:szCs w:val="24"/>
                          <w:lang w:val="et-EE"/>
                        </w:rPr>
                        <w:t xml:space="preserve"> </w:t>
                      </w:r>
                      <w:r w:rsidRPr="003B6FD9">
                        <w:rPr>
                          <w:rFonts w:ascii="Calibri"/>
                          <w:spacing w:val="-1"/>
                          <w:sz w:val="24"/>
                          <w:szCs w:val="24"/>
                          <w:lang w:val="et-EE"/>
                        </w:rPr>
                        <w:t>Irán,</w:t>
                      </w:r>
                      <w:r w:rsidRPr="003B6FD9">
                        <w:rPr>
                          <w:rFonts w:ascii="Calibri"/>
                          <w:spacing w:val="-7"/>
                          <w:sz w:val="24"/>
                          <w:szCs w:val="24"/>
                          <w:lang w:val="et-EE"/>
                        </w:rPr>
                        <w:t xml:space="preserve"> </w:t>
                      </w:r>
                      <w:r w:rsidRPr="003B6FD9">
                        <w:rPr>
                          <w:rFonts w:ascii="Calibri"/>
                          <w:spacing w:val="-1"/>
                          <w:sz w:val="24"/>
                          <w:szCs w:val="24"/>
                          <w:lang w:val="et-EE"/>
                        </w:rPr>
                        <w:t>1971)</w:t>
                      </w:r>
                    </w:p>
                    <w:p w:rsidR="00723596" w:rsidRPr="003B6FD9" w:rsidRDefault="00723596" w:rsidP="009A141D">
                      <w:pPr>
                        <w:tabs>
                          <w:tab w:val="left" w:pos="5670"/>
                        </w:tabs>
                        <w:spacing w:before="8" w:line="296" w:lineRule="exact"/>
                        <w:ind w:left="122" w:right="230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t-EE"/>
                        </w:rPr>
                      </w:pPr>
                      <w:r w:rsidRPr="003B6FD9">
                        <w:rPr>
                          <w:rFonts w:ascii="Calibri"/>
                          <w:spacing w:val="-1"/>
                          <w:sz w:val="24"/>
                          <w:szCs w:val="24"/>
                          <w:lang w:val="et-EE"/>
                        </w:rPr>
                        <w:t>49ª Reunión del Comité Permanente P</w:t>
                      </w:r>
                      <w:r w:rsidRPr="003B6FD9">
                        <w:rPr>
                          <w:rFonts w:ascii="Calibri"/>
                          <w:sz w:val="24"/>
                          <w:szCs w:val="24"/>
                          <w:lang w:val="et-EE"/>
                        </w:rPr>
                        <w:t>unta del Este,</w:t>
                      </w:r>
                      <w:r w:rsidRPr="003B6FD9">
                        <w:rPr>
                          <w:rFonts w:ascii="Calibri"/>
                          <w:spacing w:val="-5"/>
                          <w:sz w:val="24"/>
                          <w:szCs w:val="24"/>
                          <w:lang w:val="et-EE"/>
                        </w:rPr>
                        <w:t xml:space="preserve"> </w:t>
                      </w:r>
                      <w:r w:rsidRPr="003B6FD9">
                        <w:rPr>
                          <w:rFonts w:ascii="Calibri"/>
                          <w:spacing w:val="-1"/>
                          <w:sz w:val="24"/>
                          <w:szCs w:val="24"/>
                          <w:lang w:val="et-EE"/>
                        </w:rPr>
                        <w:t>Uruguay,</w:t>
                      </w:r>
                      <w:r w:rsidRPr="003B6FD9">
                        <w:rPr>
                          <w:rFonts w:ascii="Calibri"/>
                          <w:spacing w:val="-8"/>
                          <w:sz w:val="24"/>
                          <w:szCs w:val="24"/>
                          <w:lang w:val="et-EE"/>
                        </w:rPr>
                        <w:t xml:space="preserve"> 1 de junio de 20</w:t>
                      </w:r>
                      <w:r w:rsidRPr="003B6FD9">
                        <w:rPr>
                          <w:rFonts w:ascii="Calibri"/>
                          <w:spacing w:val="-1"/>
                          <w:sz w:val="24"/>
                          <w:szCs w:val="24"/>
                          <w:lang w:val="et-EE"/>
                        </w:rPr>
                        <w:t>15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93DBB" w:rsidRPr="003B6FD9" w:rsidRDefault="00593DBB" w:rsidP="00DE1818">
      <w:pPr>
        <w:spacing w:before="3"/>
        <w:rPr>
          <w:rFonts w:ascii="Times New Roman" w:eastAsia="Times New Roman" w:hAnsi="Times New Roman" w:cs="Times New Roman"/>
          <w:sz w:val="18"/>
          <w:szCs w:val="18"/>
          <w:lang w:val="es-ES_tradnl"/>
        </w:rPr>
      </w:pPr>
    </w:p>
    <w:p w:rsidR="00593DBB" w:rsidRPr="003B6FD9" w:rsidRDefault="00B31829" w:rsidP="00297222">
      <w:pPr>
        <w:widowControl/>
        <w:jc w:val="right"/>
        <w:rPr>
          <w:rFonts w:eastAsia="Calibri" w:cstheme="minorHAnsi"/>
          <w:b/>
          <w:sz w:val="28"/>
          <w:szCs w:val="28"/>
          <w:lang w:val="es-ES_tradnl"/>
        </w:rPr>
      </w:pPr>
      <w:bookmarkStart w:id="0" w:name="DOC._SC47-21"/>
      <w:bookmarkEnd w:id="0"/>
      <w:r w:rsidRPr="003B6FD9">
        <w:rPr>
          <w:rFonts w:eastAsia="Calibri" w:cstheme="minorHAnsi"/>
          <w:b/>
          <w:sz w:val="28"/>
          <w:szCs w:val="28"/>
          <w:lang w:val="es-ES_tradnl"/>
        </w:rPr>
        <w:t>SC49-</w:t>
      </w:r>
      <w:r w:rsidR="00344AFE" w:rsidRPr="003B6FD9">
        <w:rPr>
          <w:rFonts w:eastAsia="Calibri" w:cstheme="minorHAnsi"/>
          <w:b/>
          <w:sz w:val="28"/>
          <w:szCs w:val="28"/>
          <w:lang w:val="es-ES_tradnl"/>
        </w:rPr>
        <w:t>03</w:t>
      </w:r>
    </w:p>
    <w:p w:rsidR="00593DBB" w:rsidRPr="003B6FD9" w:rsidRDefault="00593DBB" w:rsidP="00DE1818">
      <w:pPr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</w:p>
    <w:p w:rsidR="00B1357F" w:rsidRPr="003B6FD9" w:rsidRDefault="00A84D75" w:rsidP="00B1357F">
      <w:pPr>
        <w:widowControl/>
        <w:jc w:val="center"/>
        <w:rPr>
          <w:rFonts w:eastAsia="Calibri" w:cs="Arial"/>
          <w:b/>
          <w:sz w:val="28"/>
          <w:szCs w:val="28"/>
          <w:lang w:val="es-ES_tradnl"/>
        </w:rPr>
      </w:pPr>
      <w:r w:rsidRPr="003B6FD9">
        <w:rPr>
          <w:rFonts w:eastAsia="Calibri" w:cs="Arial"/>
          <w:b/>
          <w:sz w:val="28"/>
          <w:szCs w:val="28"/>
          <w:lang w:val="es-ES_tradnl"/>
        </w:rPr>
        <w:t xml:space="preserve">Excedente del presupuesto básico de </w:t>
      </w:r>
      <w:r w:rsidR="00B1357F" w:rsidRPr="003B6FD9">
        <w:rPr>
          <w:rFonts w:eastAsia="Calibri" w:cs="Arial"/>
          <w:b/>
          <w:sz w:val="28"/>
          <w:szCs w:val="28"/>
          <w:lang w:val="es-ES_tradnl"/>
        </w:rPr>
        <w:t>2014</w:t>
      </w:r>
      <w:r w:rsidRPr="003B6FD9">
        <w:rPr>
          <w:rFonts w:eastAsia="Calibri" w:cs="Arial"/>
          <w:b/>
          <w:sz w:val="28"/>
          <w:szCs w:val="28"/>
          <w:lang w:val="es-ES_tradnl"/>
        </w:rPr>
        <w:t>, estado de la financiación para el patrocinio de delegados, reasignación del excedente del presupuesto básico de 2014 y utilización temporal de los fondos de reserva</w:t>
      </w:r>
    </w:p>
    <w:p w:rsidR="00F84309" w:rsidRPr="003B6FD9" w:rsidRDefault="00F84309" w:rsidP="00DE1818">
      <w:pPr>
        <w:spacing w:before="6"/>
        <w:rPr>
          <w:rFonts w:ascii="Calibri" w:eastAsia="Calibri" w:hAnsi="Calibri" w:cs="Calibri"/>
          <w:b/>
          <w:bCs/>
          <w:sz w:val="25"/>
          <w:szCs w:val="25"/>
          <w:lang w:val="es-ES_tradnl"/>
        </w:rPr>
      </w:pPr>
    </w:p>
    <w:p w:rsidR="00751046" w:rsidRPr="003B6FD9" w:rsidRDefault="00751046" w:rsidP="00DE1818">
      <w:pPr>
        <w:spacing w:before="6"/>
        <w:rPr>
          <w:rFonts w:ascii="Calibri" w:eastAsia="Calibri" w:hAnsi="Calibri" w:cs="Calibri"/>
          <w:b/>
          <w:bCs/>
          <w:sz w:val="25"/>
          <w:szCs w:val="25"/>
          <w:lang w:val="es-ES_tradnl"/>
        </w:rPr>
      </w:pPr>
    </w:p>
    <w:p w:rsidR="00751046" w:rsidRPr="003B6FD9" w:rsidRDefault="000E3905" w:rsidP="00DE1818">
      <w:pPr>
        <w:spacing w:before="6"/>
        <w:rPr>
          <w:rFonts w:ascii="Calibri" w:eastAsia="Calibri" w:hAnsi="Calibri" w:cs="Calibri"/>
          <w:b/>
          <w:bCs/>
          <w:sz w:val="25"/>
          <w:szCs w:val="25"/>
          <w:lang w:val="es-ES_tradnl"/>
        </w:rPr>
      </w:pPr>
      <w:r w:rsidRPr="000E3905">
        <w:rPr>
          <w:rFonts w:ascii="Calibri" w:eastAsia="Calibri" w:hAnsi="Calibri" w:cs="Calibri"/>
          <w:noProof/>
          <w:sz w:val="20"/>
          <w:szCs w:val="20"/>
          <w:lang w:val="es-ES_tradnl" w:eastAsia="en-GB"/>
        </w:rPr>
      </w:r>
      <w:r w:rsidRPr="000E3905">
        <w:rPr>
          <w:rFonts w:ascii="Calibri" w:eastAsia="Calibri" w:hAnsi="Calibri" w:cs="Calibri"/>
          <w:noProof/>
          <w:sz w:val="20"/>
          <w:szCs w:val="20"/>
          <w:lang w:val="es-ES_tradnl" w:eastAsia="en-GB"/>
        </w:rPr>
        <w:pict>
          <v:shape id="Text Box 88" o:spid="_x0000_s1040" type="#_x0000_t202" style="width:451.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" filled="f">
            <v:textbox inset="0,0,0,0">
              <w:txbxContent>
                <w:p w:rsidR="00723596" w:rsidRPr="003B6FD9" w:rsidRDefault="00723596" w:rsidP="00751046">
                  <w:pPr>
                    <w:spacing w:before="69"/>
                    <w:ind w:left="145"/>
                    <w:rPr>
                      <w:rFonts w:ascii="Calibri" w:eastAsia="Calibri" w:hAnsi="Calibri" w:cs="Calibri"/>
                      <w:lang w:val="es-ES_tradnl"/>
                    </w:rPr>
                  </w:pPr>
                  <w:r w:rsidRPr="003B6FD9">
                    <w:rPr>
                      <w:rFonts w:ascii="Calibri"/>
                      <w:b/>
                      <w:spacing w:val="-1"/>
                      <w:lang w:val="es-ES_tradnl"/>
                    </w:rPr>
                    <w:t>Acciones solicitadas:</w:t>
                  </w:r>
                </w:p>
                <w:p w:rsidR="00723596" w:rsidRPr="003B6FD9" w:rsidRDefault="00723596" w:rsidP="00751046">
                  <w:pPr>
                    <w:numPr>
                      <w:ilvl w:val="0"/>
                      <w:numId w:val="4"/>
                    </w:numPr>
                    <w:tabs>
                      <w:tab w:val="left" w:pos="866"/>
                    </w:tabs>
                    <w:ind w:right="699"/>
                    <w:rPr>
                      <w:rFonts w:ascii="Calibri" w:eastAsia="Calibri" w:hAnsi="Calibri" w:cs="Calibri"/>
                      <w:lang w:val="es-ES_tradnl"/>
                    </w:rPr>
                  </w:pPr>
                  <w:r w:rsidRPr="003B6FD9">
                    <w:rPr>
                      <w:rFonts w:ascii="Calibri" w:eastAsia="Calibri" w:hAnsi="Calibri" w:cs="Calibri"/>
                      <w:spacing w:val="-1"/>
                      <w:lang w:val="es-ES_tradnl"/>
                    </w:rPr>
                    <w:t xml:space="preserve">Se invita al Comité Permanente a considerar que el préstamo temporal de 300.000 dólares de los EE.UU. </w:t>
                  </w:r>
                  <w:r w:rsidRPr="003B6FD9">
                    <w:rPr>
                      <w:spacing w:val="-1"/>
                      <w:lang w:val="es-ES_tradnl"/>
                    </w:rPr>
                    <w:t>(equivalentes a 277.000 francos suizos)</w:t>
                  </w:r>
                  <w:r w:rsidRPr="003B6FD9">
                    <w:rPr>
                      <w:rFonts w:ascii="Calibri" w:eastAsia="Calibri" w:hAnsi="Calibri" w:cs="Calibri"/>
                      <w:spacing w:val="-1"/>
                      <w:lang w:val="es-ES_tradnl"/>
                    </w:rPr>
                    <w:t xml:space="preserve"> del fondo de reserva se ha reembolsado completamente</w:t>
                  </w:r>
                </w:p>
                <w:p w:rsidR="00723596" w:rsidRPr="003B6FD9" w:rsidRDefault="00723596" w:rsidP="00751046">
                  <w:pPr>
                    <w:numPr>
                      <w:ilvl w:val="0"/>
                      <w:numId w:val="4"/>
                    </w:numPr>
                    <w:tabs>
                      <w:tab w:val="left" w:pos="866"/>
                    </w:tabs>
                    <w:ind w:right="699"/>
                    <w:rPr>
                      <w:rFonts w:ascii="Calibri" w:eastAsia="Calibri" w:hAnsi="Calibri" w:cs="Calibri"/>
                      <w:lang w:val="es-ES_tradnl"/>
                    </w:rPr>
                  </w:pPr>
                  <w:r w:rsidRPr="003B6FD9">
                    <w:rPr>
                      <w:rFonts w:ascii="Calibri" w:eastAsia="Calibri" w:hAnsi="Calibri" w:cs="Calibri"/>
                      <w:spacing w:val="-1"/>
                      <w:lang w:val="es-ES_tradnl"/>
                    </w:rPr>
                    <w:t xml:space="preserve">Se invita al Comité Permanente a reasignar el excedente de </w:t>
                  </w:r>
                  <w:r w:rsidRPr="003B6FD9">
                    <w:rPr>
                      <w:rFonts w:ascii="Calibri" w:eastAsia="Calibri" w:hAnsi="Calibri" w:cs="Calibri"/>
                      <w:spacing w:val="-2"/>
                      <w:lang w:val="es-ES_tradnl"/>
                    </w:rPr>
                    <w:t>2014 según se decidió inicialmente en la 48ª reunión de dicho Comité.</w:t>
                  </w:r>
                </w:p>
              </w:txbxContent>
            </v:textbox>
            <w10:wrap type="none"/>
            <w10:anchorlock/>
          </v:shape>
        </w:pict>
      </w:r>
    </w:p>
    <w:p w:rsidR="00751046" w:rsidRPr="003B6FD9" w:rsidRDefault="00751046" w:rsidP="00DE1818">
      <w:pPr>
        <w:spacing w:before="6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:rsidR="00B1357F" w:rsidRPr="003B6FD9" w:rsidRDefault="00D3057A" w:rsidP="00B1357F">
      <w:pPr>
        <w:spacing w:before="6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r w:rsidRPr="003B6FD9">
        <w:rPr>
          <w:rFonts w:ascii="Calibri" w:eastAsia="Calibri" w:hAnsi="Calibri" w:cs="Calibri"/>
          <w:b/>
          <w:bCs/>
          <w:sz w:val="24"/>
          <w:szCs w:val="24"/>
          <w:lang w:val="es-ES_tradnl"/>
        </w:rPr>
        <w:t xml:space="preserve">Actualización sobre el excedente </w:t>
      </w:r>
      <w:r w:rsidR="00B57AAD" w:rsidRPr="003B6FD9">
        <w:rPr>
          <w:rFonts w:ascii="Calibri" w:eastAsia="Calibri" w:hAnsi="Calibri" w:cs="Calibri"/>
          <w:b/>
          <w:bCs/>
          <w:sz w:val="24"/>
          <w:szCs w:val="24"/>
          <w:lang w:val="es-ES_tradnl"/>
        </w:rPr>
        <w:t>del presupuesto básico de</w:t>
      </w:r>
      <w:r w:rsidRPr="003B6FD9">
        <w:rPr>
          <w:rFonts w:ascii="Calibri" w:eastAsia="Calibri" w:hAnsi="Calibri" w:cs="Calibri"/>
          <w:b/>
          <w:bCs/>
          <w:sz w:val="24"/>
          <w:szCs w:val="24"/>
          <w:lang w:val="es-ES_tradnl"/>
        </w:rPr>
        <w:t xml:space="preserve"> 2014</w:t>
      </w:r>
    </w:p>
    <w:p w:rsidR="00B1357F" w:rsidRPr="003B6FD9" w:rsidRDefault="00B1357F" w:rsidP="00B1357F">
      <w:pPr>
        <w:spacing w:before="6"/>
        <w:rPr>
          <w:rFonts w:ascii="Calibri" w:eastAsia="Calibri" w:hAnsi="Calibri" w:cs="Calibri"/>
          <w:bCs/>
          <w:lang w:val="es-ES_tradnl"/>
        </w:rPr>
      </w:pPr>
    </w:p>
    <w:p w:rsidR="00B1357F" w:rsidRPr="003B6FD9" w:rsidRDefault="00D3057A" w:rsidP="00344AFE">
      <w:pPr>
        <w:pStyle w:val="BodyText"/>
        <w:numPr>
          <w:ilvl w:val="0"/>
          <w:numId w:val="5"/>
        </w:numPr>
        <w:ind w:left="426" w:hanging="426"/>
        <w:rPr>
          <w:rFonts w:asciiTheme="minorHAnsi" w:hAnsiTheme="minorHAnsi"/>
          <w:spacing w:val="-1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>En la 48ª reunión del Comité Permanente (</w:t>
      </w:r>
      <w:r w:rsidR="00B1357F" w:rsidRPr="003B6FD9">
        <w:rPr>
          <w:rFonts w:asciiTheme="minorHAnsi" w:hAnsiTheme="minorHAnsi"/>
          <w:spacing w:val="-1"/>
          <w:lang w:val="es-ES_tradnl"/>
        </w:rPr>
        <w:t>SC48</w:t>
      </w:r>
      <w:r w:rsidRPr="003B6FD9">
        <w:rPr>
          <w:rFonts w:asciiTheme="minorHAnsi" w:hAnsiTheme="minorHAnsi"/>
          <w:spacing w:val="-1"/>
          <w:lang w:val="es-ES_tradnl"/>
        </w:rPr>
        <w:t xml:space="preserve">), el excedente </w:t>
      </w:r>
      <w:r w:rsidR="00B57AAD" w:rsidRPr="003B6FD9">
        <w:rPr>
          <w:rFonts w:asciiTheme="minorHAnsi" w:hAnsiTheme="minorHAnsi"/>
          <w:spacing w:val="-1"/>
          <w:lang w:val="es-ES_tradnl"/>
        </w:rPr>
        <w:t>del presupuesto básico de 2014 previsto era de</w:t>
      </w:r>
      <w:r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B1357F" w:rsidRPr="003B6FD9">
        <w:rPr>
          <w:rFonts w:asciiTheme="minorHAnsi" w:hAnsiTheme="minorHAnsi"/>
          <w:spacing w:val="-1"/>
          <w:lang w:val="es-ES_tradnl"/>
        </w:rPr>
        <w:t>345</w:t>
      </w:r>
      <w:r w:rsidRPr="003B6FD9">
        <w:rPr>
          <w:rFonts w:asciiTheme="minorHAnsi" w:hAnsiTheme="minorHAnsi"/>
          <w:spacing w:val="-1"/>
          <w:lang w:val="es-ES_tradnl"/>
        </w:rPr>
        <w:t>.</w:t>
      </w:r>
      <w:r w:rsidR="00B1357F" w:rsidRPr="003B6FD9">
        <w:rPr>
          <w:rFonts w:asciiTheme="minorHAnsi" w:hAnsiTheme="minorHAnsi"/>
          <w:spacing w:val="-1"/>
          <w:lang w:val="es-ES_tradnl"/>
        </w:rPr>
        <w:t>000</w:t>
      </w:r>
      <w:r w:rsidRPr="003B6FD9">
        <w:rPr>
          <w:rFonts w:asciiTheme="minorHAnsi" w:hAnsiTheme="minorHAnsi"/>
          <w:spacing w:val="-1"/>
          <w:lang w:val="es-ES_tradnl"/>
        </w:rPr>
        <w:t xml:space="preserve"> francos suizos. A finales de abril de </w:t>
      </w:r>
      <w:r w:rsidR="00B1357F" w:rsidRPr="003B6FD9">
        <w:rPr>
          <w:rFonts w:asciiTheme="minorHAnsi" w:hAnsiTheme="minorHAnsi"/>
          <w:spacing w:val="-1"/>
          <w:lang w:val="es-ES_tradnl"/>
        </w:rPr>
        <w:t xml:space="preserve">2015, </w:t>
      </w:r>
      <w:r w:rsidRPr="003B6FD9">
        <w:rPr>
          <w:rFonts w:asciiTheme="minorHAnsi" w:hAnsiTheme="minorHAnsi"/>
          <w:spacing w:val="-1"/>
          <w:lang w:val="es-ES_tradnl"/>
        </w:rPr>
        <w:t xml:space="preserve">se </w:t>
      </w:r>
      <w:r w:rsidR="00B57AAD" w:rsidRPr="003B6FD9">
        <w:rPr>
          <w:rFonts w:asciiTheme="minorHAnsi" w:hAnsiTheme="minorHAnsi"/>
          <w:spacing w:val="-1"/>
          <w:lang w:val="es-ES_tradnl"/>
        </w:rPr>
        <w:t xml:space="preserve">prevé </w:t>
      </w:r>
      <w:r w:rsidRPr="003B6FD9">
        <w:rPr>
          <w:rFonts w:asciiTheme="minorHAnsi" w:hAnsiTheme="minorHAnsi"/>
          <w:spacing w:val="-1"/>
          <w:lang w:val="es-ES_tradnl"/>
        </w:rPr>
        <w:t xml:space="preserve">que </w:t>
      </w:r>
      <w:r w:rsidR="00B57AAD" w:rsidRPr="003B6FD9">
        <w:rPr>
          <w:rFonts w:asciiTheme="minorHAnsi" w:hAnsiTheme="minorHAnsi"/>
          <w:spacing w:val="-1"/>
          <w:lang w:val="es-ES_tradnl"/>
        </w:rPr>
        <w:t xml:space="preserve">dicho excedente ascienda a </w:t>
      </w:r>
      <w:r w:rsidR="00B1357F" w:rsidRPr="003B6FD9">
        <w:rPr>
          <w:rFonts w:asciiTheme="minorHAnsi" w:hAnsiTheme="minorHAnsi"/>
          <w:spacing w:val="-1"/>
          <w:lang w:val="es-ES_tradnl"/>
        </w:rPr>
        <w:t>459</w:t>
      </w:r>
      <w:r w:rsidRPr="003B6FD9">
        <w:rPr>
          <w:rFonts w:asciiTheme="minorHAnsi" w:hAnsiTheme="minorHAnsi"/>
          <w:spacing w:val="-1"/>
          <w:lang w:val="es-ES_tradnl"/>
        </w:rPr>
        <w:t>.</w:t>
      </w:r>
      <w:r w:rsidR="00B1357F" w:rsidRPr="003B6FD9">
        <w:rPr>
          <w:rFonts w:asciiTheme="minorHAnsi" w:hAnsiTheme="minorHAnsi"/>
          <w:spacing w:val="-1"/>
          <w:lang w:val="es-ES_tradnl"/>
        </w:rPr>
        <w:t>000</w:t>
      </w:r>
      <w:r w:rsidRPr="003B6FD9">
        <w:rPr>
          <w:rFonts w:asciiTheme="minorHAnsi" w:hAnsiTheme="minorHAnsi"/>
          <w:spacing w:val="-1"/>
          <w:lang w:val="es-ES_tradnl"/>
        </w:rPr>
        <w:t xml:space="preserve"> francos suizos. </w:t>
      </w:r>
      <w:r w:rsidR="007C7D2F" w:rsidRPr="003B6FD9">
        <w:rPr>
          <w:rFonts w:asciiTheme="minorHAnsi" w:hAnsiTheme="minorHAnsi"/>
          <w:spacing w:val="-1"/>
          <w:lang w:val="es-ES_tradnl"/>
        </w:rPr>
        <w:t>Una</w:t>
      </w:r>
      <w:r w:rsidRPr="003B6FD9">
        <w:rPr>
          <w:rFonts w:asciiTheme="minorHAnsi" w:hAnsiTheme="minorHAnsi"/>
          <w:spacing w:val="-1"/>
          <w:lang w:val="es-ES_tradnl"/>
        </w:rPr>
        <w:t xml:space="preserve"> explicación de la diferencia entre la</w:t>
      </w:r>
      <w:r w:rsidR="00B57AAD" w:rsidRPr="003B6FD9">
        <w:rPr>
          <w:rFonts w:asciiTheme="minorHAnsi" w:hAnsiTheme="minorHAnsi"/>
          <w:spacing w:val="-1"/>
          <w:lang w:val="es-ES_tradnl"/>
        </w:rPr>
        <w:t xml:space="preserve"> 48ª y la 49ª </w:t>
      </w:r>
      <w:r w:rsidR="00A6415D" w:rsidRPr="003B6FD9">
        <w:rPr>
          <w:rFonts w:asciiTheme="minorHAnsi" w:hAnsiTheme="minorHAnsi"/>
          <w:spacing w:val="-1"/>
          <w:lang w:val="es-ES_tradnl"/>
        </w:rPr>
        <w:t>reunión</w:t>
      </w:r>
      <w:r w:rsidR="007C7D2F"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B57AAD" w:rsidRPr="003B6FD9">
        <w:rPr>
          <w:rFonts w:asciiTheme="minorHAnsi" w:hAnsiTheme="minorHAnsi"/>
          <w:spacing w:val="-1"/>
          <w:lang w:val="es-ES_tradnl"/>
        </w:rPr>
        <w:t xml:space="preserve">del Comité Permanente </w:t>
      </w:r>
      <w:r w:rsidR="00D11DC3" w:rsidRPr="003B6FD9">
        <w:rPr>
          <w:rFonts w:asciiTheme="minorHAnsi" w:hAnsiTheme="minorHAnsi"/>
          <w:spacing w:val="-1"/>
          <w:lang w:val="es-ES_tradnl"/>
        </w:rPr>
        <w:t>(</w:t>
      </w:r>
      <w:r w:rsidR="00B1357F" w:rsidRPr="003B6FD9">
        <w:rPr>
          <w:rFonts w:asciiTheme="minorHAnsi" w:hAnsiTheme="minorHAnsi"/>
          <w:spacing w:val="-1"/>
          <w:lang w:val="es-ES_tradnl"/>
        </w:rPr>
        <w:t xml:space="preserve">SC48 </w:t>
      </w:r>
      <w:r w:rsidRPr="003B6FD9">
        <w:rPr>
          <w:rFonts w:asciiTheme="minorHAnsi" w:hAnsiTheme="minorHAnsi"/>
          <w:spacing w:val="-1"/>
          <w:lang w:val="es-ES_tradnl"/>
        </w:rPr>
        <w:t>y</w:t>
      </w:r>
      <w:r w:rsidR="00B1357F" w:rsidRPr="003B6FD9">
        <w:rPr>
          <w:rFonts w:asciiTheme="minorHAnsi" w:hAnsiTheme="minorHAnsi"/>
          <w:spacing w:val="-1"/>
          <w:lang w:val="es-ES_tradnl"/>
        </w:rPr>
        <w:t xml:space="preserve"> SC49</w:t>
      </w:r>
      <w:r w:rsidR="00D11DC3" w:rsidRPr="003B6FD9">
        <w:rPr>
          <w:rFonts w:asciiTheme="minorHAnsi" w:hAnsiTheme="minorHAnsi"/>
          <w:spacing w:val="-1"/>
          <w:lang w:val="es-ES_tradnl"/>
        </w:rPr>
        <w:t>, respectivamente)</w:t>
      </w:r>
      <w:r w:rsidR="00B1357F" w:rsidRPr="003B6FD9">
        <w:rPr>
          <w:rFonts w:asciiTheme="minorHAnsi" w:hAnsiTheme="minorHAnsi"/>
          <w:spacing w:val="-1"/>
          <w:lang w:val="es-ES_tradnl"/>
        </w:rPr>
        <w:t xml:space="preserve"> </w:t>
      </w:r>
      <w:r w:rsidRPr="003B6FD9">
        <w:rPr>
          <w:rFonts w:asciiTheme="minorHAnsi" w:hAnsiTheme="minorHAnsi"/>
          <w:spacing w:val="-1"/>
          <w:lang w:val="es-ES_tradnl"/>
        </w:rPr>
        <w:t>es la siguiente:</w:t>
      </w:r>
    </w:p>
    <w:p w:rsidR="00B1357F" w:rsidRDefault="00B1357F" w:rsidP="00B1357F">
      <w:pPr>
        <w:spacing w:before="6"/>
        <w:rPr>
          <w:rFonts w:ascii="Calibri" w:eastAsia="Calibri" w:hAnsi="Calibri" w:cs="Calibri"/>
          <w:bCs/>
          <w:lang w:val="es-ES_tradnl"/>
        </w:rPr>
      </w:pPr>
    </w:p>
    <w:p w:rsidR="004810B0" w:rsidRDefault="004810B0" w:rsidP="00B1357F">
      <w:pPr>
        <w:spacing w:before="6"/>
        <w:rPr>
          <w:rFonts w:ascii="Calibri" w:eastAsia="Calibri" w:hAnsi="Calibri" w:cs="Calibri"/>
          <w:bCs/>
          <w:lang w:val="es-ES_tradnl"/>
        </w:rPr>
      </w:pPr>
      <w:r w:rsidRPr="004810B0">
        <w:drawing>
          <wp:inline distT="0" distB="0" distL="0" distR="0">
            <wp:extent cx="5734050" cy="184517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4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7F" w:rsidRPr="003B6FD9" w:rsidRDefault="00B1357F" w:rsidP="00B1357F">
      <w:pPr>
        <w:spacing w:before="6"/>
        <w:rPr>
          <w:rFonts w:ascii="Calibri" w:eastAsia="Calibri" w:hAnsi="Calibri" w:cs="Calibri"/>
          <w:bCs/>
          <w:lang w:val="es-ES_tradnl"/>
        </w:rPr>
      </w:pPr>
    </w:p>
    <w:p w:rsidR="00B1357F" w:rsidRPr="003B6FD9" w:rsidRDefault="007C7D2F" w:rsidP="00B1357F">
      <w:pPr>
        <w:pStyle w:val="BodyText"/>
        <w:numPr>
          <w:ilvl w:val="0"/>
          <w:numId w:val="5"/>
        </w:numPr>
        <w:tabs>
          <w:tab w:val="left" w:pos="548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>El</w:t>
      </w:r>
      <w:r w:rsidR="00B1357F" w:rsidRPr="003B6FD9">
        <w:rPr>
          <w:rFonts w:asciiTheme="minorHAnsi" w:hAnsiTheme="minorHAnsi"/>
          <w:spacing w:val="-1"/>
          <w:lang w:val="es-ES_tradnl"/>
        </w:rPr>
        <w:t xml:space="preserve"> </w:t>
      </w:r>
      <w:r w:rsidRPr="003B6FD9">
        <w:rPr>
          <w:rFonts w:asciiTheme="minorHAnsi" w:hAnsiTheme="minorHAnsi"/>
          <w:spacing w:val="-1"/>
          <w:lang w:val="es-ES_tradnl"/>
        </w:rPr>
        <w:t xml:space="preserve">saldo del </w:t>
      </w:r>
      <w:r w:rsidR="00B57AAD" w:rsidRPr="003B6FD9">
        <w:rPr>
          <w:rFonts w:asciiTheme="minorHAnsi" w:hAnsiTheme="minorHAnsi"/>
          <w:spacing w:val="-1"/>
          <w:lang w:val="es-ES_tradnl"/>
        </w:rPr>
        <w:t>excedente del presupuesto básico</w:t>
      </w:r>
      <w:r w:rsidR="00B1357F"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C42F3F" w:rsidRPr="003B6FD9">
        <w:rPr>
          <w:rFonts w:asciiTheme="minorHAnsi" w:hAnsiTheme="minorHAnsi"/>
          <w:spacing w:val="-1"/>
          <w:lang w:val="es-ES_tradnl"/>
        </w:rPr>
        <w:t xml:space="preserve">no es </w:t>
      </w:r>
      <w:r w:rsidR="003B6FD9" w:rsidRPr="003B6FD9">
        <w:rPr>
          <w:rFonts w:asciiTheme="minorHAnsi" w:hAnsiTheme="minorHAnsi"/>
          <w:spacing w:val="-1"/>
          <w:lang w:val="es-ES_tradnl"/>
        </w:rPr>
        <w:t>definitiv</w:t>
      </w:r>
      <w:r w:rsidR="003B6FD9">
        <w:rPr>
          <w:rFonts w:asciiTheme="minorHAnsi" w:hAnsiTheme="minorHAnsi"/>
          <w:spacing w:val="-1"/>
          <w:lang w:val="es-ES_tradnl"/>
        </w:rPr>
        <w:t>o</w:t>
      </w:r>
      <w:r w:rsidR="00C42F3F" w:rsidRPr="003B6FD9">
        <w:rPr>
          <w:rFonts w:asciiTheme="minorHAnsi" w:hAnsiTheme="minorHAnsi"/>
          <w:spacing w:val="-1"/>
          <w:lang w:val="es-ES_tradnl"/>
        </w:rPr>
        <w:t xml:space="preserve"> porque </w:t>
      </w:r>
      <w:r w:rsidRPr="003B6FD9">
        <w:rPr>
          <w:rFonts w:asciiTheme="minorHAnsi" w:hAnsiTheme="minorHAnsi"/>
          <w:spacing w:val="-1"/>
          <w:lang w:val="es-ES_tradnl"/>
        </w:rPr>
        <w:t xml:space="preserve">aún no ha finalizado </w:t>
      </w:r>
      <w:r w:rsidR="00C42F3F" w:rsidRPr="003B6FD9">
        <w:rPr>
          <w:rFonts w:asciiTheme="minorHAnsi" w:hAnsiTheme="minorHAnsi"/>
          <w:spacing w:val="-1"/>
          <w:lang w:val="es-ES_tradnl"/>
        </w:rPr>
        <w:t xml:space="preserve">la auditoría </w:t>
      </w:r>
      <w:r w:rsidRPr="003B6FD9">
        <w:rPr>
          <w:rFonts w:asciiTheme="minorHAnsi" w:hAnsiTheme="minorHAnsi"/>
          <w:spacing w:val="-1"/>
          <w:lang w:val="es-ES_tradnl"/>
        </w:rPr>
        <w:t>correspondiente a</w:t>
      </w:r>
      <w:r w:rsidR="00C42F3F" w:rsidRPr="003B6FD9">
        <w:rPr>
          <w:rFonts w:asciiTheme="minorHAnsi" w:hAnsiTheme="minorHAnsi"/>
          <w:spacing w:val="-1"/>
          <w:lang w:val="es-ES_tradnl"/>
        </w:rPr>
        <w:t xml:space="preserve"> 2014. </w:t>
      </w:r>
      <w:r w:rsidRPr="003B6FD9">
        <w:rPr>
          <w:rFonts w:asciiTheme="minorHAnsi" w:hAnsiTheme="minorHAnsi"/>
          <w:spacing w:val="-1"/>
          <w:lang w:val="es-ES_tradnl"/>
        </w:rPr>
        <w:t>El i</w:t>
      </w:r>
      <w:r w:rsidR="00C42F3F" w:rsidRPr="003B6FD9">
        <w:rPr>
          <w:rFonts w:asciiTheme="minorHAnsi" w:hAnsiTheme="minorHAnsi"/>
          <w:spacing w:val="-1"/>
          <w:lang w:val="es-ES_tradnl"/>
        </w:rPr>
        <w:t xml:space="preserve">nforme definitivo </w:t>
      </w:r>
      <w:r w:rsidRPr="003B6FD9">
        <w:rPr>
          <w:rFonts w:asciiTheme="minorHAnsi" w:hAnsiTheme="minorHAnsi"/>
          <w:spacing w:val="-1"/>
          <w:lang w:val="es-ES_tradnl"/>
        </w:rPr>
        <w:t>está previsto para</w:t>
      </w:r>
      <w:r w:rsidR="00C42F3F" w:rsidRPr="003B6FD9">
        <w:rPr>
          <w:rFonts w:asciiTheme="minorHAnsi" w:hAnsiTheme="minorHAnsi"/>
          <w:spacing w:val="-1"/>
          <w:lang w:val="es-ES_tradnl"/>
        </w:rPr>
        <w:t xml:space="preserve"> junio de </w:t>
      </w:r>
      <w:r w:rsidR="00B1357F" w:rsidRPr="003B6FD9">
        <w:rPr>
          <w:rFonts w:asciiTheme="minorHAnsi" w:hAnsiTheme="minorHAnsi"/>
          <w:spacing w:val="-1"/>
          <w:lang w:val="es-ES_tradnl"/>
        </w:rPr>
        <w:t xml:space="preserve">2015. </w:t>
      </w:r>
    </w:p>
    <w:p w:rsidR="00B1357F" w:rsidRPr="003B6FD9" w:rsidRDefault="00B1357F" w:rsidP="00B1357F">
      <w:pPr>
        <w:pStyle w:val="BodyText"/>
        <w:tabs>
          <w:tab w:val="left" w:pos="548"/>
        </w:tabs>
        <w:ind w:left="426" w:firstLine="0"/>
        <w:rPr>
          <w:rFonts w:asciiTheme="minorHAnsi" w:hAnsiTheme="minorHAnsi"/>
          <w:spacing w:val="-1"/>
          <w:lang w:val="es-ES_tradnl"/>
        </w:rPr>
      </w:pPr>
    </w:p>
    <w:p w:rsidR="00B1357F" w:rsidRPr="003B6FD9" w:rsidRDefault="00D3057A" w:rsidP="00B1357F">
      <w:pPr>
        <w:pStyle w:val="BodyText"/>
        <w:numPr>
          <w:ilvl w:val="0"/>
          <w:numId w:val="5"/>
        </w:numPr>
        <w:tabs>
          <w:tab w:val="left" w:pos="548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 xml:space="preserve">Debido </w:t>
      </w:r>
      <w:r w:rsidR="007C7D2F" w:rsidRPr="003B6FD9">
        <w:rPr>
          <w:rFonts w:asciiTheme="minorHAnsi" w:hAnsiTheme="minorHAnsi"/>
          <w:spacing w:val="-1"/>
          <w:lang w:val="es-ES_tradnl"/>
        </w:rPr>
        <w:t>a la</w:t>
      </w:r>
      <w:r w:rsidR="00C42F3F" w:rsidRPr="003B6FD9">
        <w:rPr>
          <w:rFonts w:asciiTheme="minorHAnsi" w:hAnsiTheme="minorHAnsi"/>
          <w:spacing w:val="-1"/>
          <w:lang w:val="es-ES_tradnl"/>
        </w:rPr>
        <w:t xml:space="preserve"> implantación de</w:t>
      </w:r>
      <w:r w:rsidRPr="003B6FD9">
        <w:rPr>
          <w:rFonts w:asciiTheme="minorHAnsi" w:hAnsiTheme="minorHAnsi"/>
          <w:spacing w:val="-1"/>
          <w:lang w:val="es-ES_tradnl"/>
        </w:rPr>
        <w:t xml:space="preserve"> un nuevo sistema de contabilidad, </w:t>
      </w:r>
      <w:r w:rsidR="00A6415D" w:rsidRPr="003B6FD9">
        <w:rPr>
          <w:rFonts w:asciiTheme="minorHAnsi" w:hAnsiTheme="minorHAnsi"/>
          <w:spacing w:val="-1"/>
          <w:lang w:val="es-ES_tradnl"/>
        </w:rPr>
        <w:t xml:space="preserve">a </w:t>
      </w:r>
      <w:r w:rsidRPr="003B6FD9">
        <w:rPr>
          <w:rFonts w:asciiTheme="minorHAnsi" w:hAnsiTheme="minorHAnsi"/>
          <w:spacing w:val="-1"/>
          <w:lang w:val="es-ES_tradnl"/>
        </w:rPr>
        <w:t>la mi</w:t>
      </w:r>
      <w:r w:rsidR="007C7D2F" w:rsidRPr="003B6FD9">
        <w:rPr>
          <w:rFonts w:asciiTheme="minorHAnsi" w:hAnsiTheme="minorHAnsi"/>
          <w:spacing w:val="-1"/>
          <w:lang w:val="es-ES_tradnl"/>
        </w:rPr>
        <w:t xml:space="preserve">gración de datos del antiguo </w:t>
      </w:r>
      <w:r w:rsidRPr="003B6FD9">
        <w:rPr>
          <w:rFonts w:asciiTheme="minorHAnsi" w:hAnsiTheme="minorHAnsi"/>
          <w:spacing w:val="-1"/>
          <w:lang w:val="es-ES_tradnl"/>
        </w:rPr>
        <w:t xml:space="preserve">sistema de contabilidad y </w:t>
      </w:r>
      <w:r w:rsidR="007C7D2F" w:rsidRPr="003B6FD9">
        <w:rPr>
          <w:rFonts w:asciiTheme="minorHAnsi" w:hAnsiTheme="minorHAnsi"/>
          <w:spacing w:val="-1"/>
          <w:lang w:val="es-ES_tradnl"/>
        </w:rPr>
        <w:t>d</w:t>
      </w:r>
      <w:r w:rsidRPr="003B6FD9">
        <w:rPr>
          <w:rFonts w:asciiTheme="minorHAnsi" w:hAnsiTheme="minorHAnsi"/>
          <w:spacing w:val="-1"/>
          <w:lang w:val="es-ES_tradnl"/>
        </w:rPr>
        <w:t xml:space="preserve">el </w:t>
      </w:r>
      <w:r w:rsidR="00C42F3F" w:rsidRPr="003B6FD9">
        <w:rPr>
          <w:rFonts w:asciiTheme="minorHAnsi" w:hAnsiTheme="minorHAnsi"/>
          <w:spacing w:val="-1"/>
          <w:lang w:val="es-ES_tradnl"/>
        </w:rPr>
        <w:t>nuevo</w:t>
      </w:r>
      <w:r w:rsidR="00B90FE8" w:rsidRPr="003B6FD9">
        <w:rPr>
          <w:rFonts w:asciiTheme="minorHAnsi" w:hAnsiTheme="minorHAnsi"/>
          <w:spacing w:val="-1"/>
          <w:lang w:val="es-ES_tradnl"/>
        </w:rPr>
        <w:t xml:space="preserve"> sistema y a un cambio en el plan contable</w:t>
      </w:r>
      <w:r w:rsidR="00B1357F" w:rsidRPr="003B6FD9">
        <w:rPr>
          <w:rFonts w:asciiTheme="minorHAnsi" w:hAnsiTheme="minorHAnsi"/>
          <w:spacing w:val="-1"/>
          <w:lang w:val="es-ES_tradnl"/>
        </w:rPr>
        <w:t xml:space="preserve">, </w:t>
      </w:r>
      <w:r w:rsidR="00B90FE8" w:rsidRPr="003B6FD9">
        <w:rPr>
          <w:rFonts w:asciiTheme="minorHAnsi" w:hAnsiTheme="minorHAnsi"/>
          <w:spacing w:val="-1"/>
          <w:lang w:val="es-ES_tradnl"/>
        </w:rPr>
        <w:t>los auditores</w:t>
      </w:r>
      <w:r w:rsidRPr="003B6FD9">
        <w:rPr>
          <w:rFonts w:asciiTheme="minorHAnsi" w:hAnsiTheme="minorHAnsi"/>
          <w:spacing w:val="-1"/>
          <w:lang w:val="es-ES_tradnl"/>
        </w:rPr>
        <w:t xml:space="preserve"> descubrieron algunas cuestiones que requieren ajustes</w:t>
      </w:r>
      <w:r w:rsidR="00B90FE8" w:rsidRPr="003B6FD9">
        <w:rPr>
          <w:rFonts w:asciiTheme="minorHAnsi" w:hAnsiTheme="minorHAnsi"/>
          <w:spacing w:val="-1"/>
          <w:lang w:val="es-ES_tradnl"/>
        </w:rPr>
        <w:t>. Actualmente no se dispone de información sobre di</w:t>
      </w:r>
      <w:r w:rsidRPr="003B6FD9">
        <w:rPr>
          <w:rFonts w:asciiTheme="minorHAnsi" w:hAnsiTheme="minorHAnsi"/>
          <w:spacing w:val="-1"/>
          <w:lang w:val="es-ES_tradnl"/>
        </w:rPr>
        <w:t>chos ajustes</w:t>
      </w:r>
      <w:r w:rsidR="00B90FE8" w:rsidRPr="003B6FD9">
        <w:rPr>
          <w:rFonts w:asciiTheme="minorHAnsi" w:hAnsiTheme="minorHAnsi"/>
          <w:spacing w:val="-1"/>
          <w:lang w:val="es-ES_tradnl"/>
        </w:rPr>
        <w:t xml:space="preserve">, que no se han </w:t>
      </w:r>
      <w:r w:rsidRPr="003B6FD9">
        <w:rPr>
          <w:rFonts w:asciiTheme="minorHAnsi" w:hAnsiTheme="minorHAnsi"/>
          <w:spacing w:val="-1"/>
          <w:lang w:val="es-ES_tradnl"/>
        </w:rPr>
        <w:t xml:space="preserve">finalizado </w:t>
      </w:r>
      <w:r w:rsidR="00B90FE8" w:rsidRPr="003B6FD9">
        <w:rPr>
          <w:rFonts w:asciiTheme="minorHAnsi" w:hAnsiTheme="minorHAnsi"/>
          <w:spacing w:val="-1"/>
          <w:lang w:val="es-ES_tradnl"/>
        </w:rPr>
        <w:t>aún</w:t>
      </w:r>
      <w:r w:rsidRPr="003B6FD9">
        <w:rPr>
          <w:rFonts w:asciiTheme="minorHAnsi" w:hAnsiTheme="minorHAnsi"/>
          <w:spacing w:val="-1"/>
          <w:lang w:val="es-ES_tradnl"/>
        </w:rPr>
        <w:t>. Por lo tanto</w:t>
      </w:r>
      <w:r w:rsidR="00B90FE8" w:rsidRPr="003B6FD9">
        <w:rPr>
          <w:rFonts w:asciiTheme="minorHAnsi" w:hAnsiTheme="minorHAnsi"/>
          <w:spacing w:val="-1"/>
          <w:lang w:val="es-ES_tradnl"/>
        </w:rPr>
        <w:t xml:space="preserve">, es posible que se produzcan cambios en el saldo definitivo </w:t>
      </w:r>
      <w:r w:rsidRPr="003B6FD9">
        <w:rPr>
          <w:rFonts w:asciiTheme="minorHAnsi" w:hAnsiTheme="minorHAnsi"/>
          <w:spacing w:val="-1"/>
          <w:lang w:val="es-ES_tradnl"/>
        </w:rPr>
        <w:t xml:space="preserve">del </w:t>
      </w:r>
      <w:r w:rsidR="00B57AAD" w:rsidRPr="003B6FD9">
        <w:rPr>
          <w:rFonts w:asciiTheme="minorHAnsi" w:hAnsiTheme="minorHAnsi"/>
          <w:spacing w:val="-1"/>
          <w:lang w:val="es-ES_tradnl"/>
        </w:rPr>
        <w:t>excedente del presupuesto básico</w:t>
      </w:r>
      <w:r w:rsidR="00B90FE8" w:rsidRPr="003B6FD9">
        <w:rPr>
          <w:rFonts w:asciiTheme="minorHAnsi" w:hAnsiTheme="minorHAnsi"/>
          <w:spacing w:val="-1"/>
          <w:lang w:val="es-ES_tradnl"/>
        </w:rPr>
        <w:t xml:space="preserve"> de</w:t>
      </w:r>
      <w:r w:rsidR="00586D1C"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B90FE8" w:rsidRPr="003B6FD9">
        <w:rPr>
          <w:rFonts w:asciiTheme="minorHAnsi" w:hAnsiTheme="minorHAnsi"/>
          <w:spacing w:val="-1"/>
          <w:lang w:val="es-ES_tradnl"/>
        </w:rPr>
        <w:t>2014</w:t>
      </w:r>
      <w:r w:rsidR="00586D1C" w:rsidRPr="003B6FD9">
        <w:rPr>
          <w:rFonts w:asciiTheme="minorHAnsi" w:hAnsiTheme="minorHAnsi"/>
          <w:spacing w:val="-1"/>
          <w:lang w:val="es-ES_tradnl"/>
        </w:rPr>
        <w:t>.</w:t>
      </w:r>
      <w:r w:rsidR="00B1357F" w:rsidRPr="003B6FD9">
        <w:rPr>
          <w:rFonts w:asciiTheme="minorHAnsi" w:hAnsiTheme="minorHAnsi"/>
          <w:spacing w:val="-1"/>
          <w:lang w:val="es-ES_tradnl"/>
        </w:rPr>
        <w:t xml:space="preserve">  </w:t>
      </w:r>
    </w:p>
    <w:p w:rsidR="00B1357F" w:rsidRPr="003B6FD9" w:rsidRDefault="00B1357F" w:rsidP="00B1357F">
      <w:pPr>
        <w:spacing w:before="6"/>
        <w:rPr>
          <w:rFonts w:ascii="Calibri" w:eastAsia="Calibri" w:hAnsi="Calibri" w:cs="Calibri"/>
          <w:bCs/>
          <w:lang w:val="es-ES_tradnl"/>
        </w:rPr>
      </w:pPr>
    </w:p>
    <w:p w:rsidR="00E23965" w:rsidRDefault="00E23965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s-ES_tradnl"/>
        </w:rPr>
        <w:br w:type="page"/>
      </w:r>
    </w:p>
    <w:p w:rsidR="00B1357F" w:rsidRPr="003B6FD9" w:rsidRDefault="00D3057A" w:rsidP="00B1357F">
      <w:pPr>
        <w:spacing w:before="6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r w:rsidRPr="003B6FD9">
        <w:rPr>
          <w:rFonts w:ascii="Calibri" w:eastAsia="Calibri" w:hAnsi="Calibri" w:cs="Calibri"/>
          <w:b/>
          <w:bCs/>
          <w:sz w:val="24"/>
          <w:szCs w:val="24"/>
          <w:lang w:val="es-ES_tradnl"/>
        </w:rPr>
        <w:lastRenderedPageBreak/>
        <w:t>Patrocinio de delegados</w:t>
      </w:r>
    </w:p>
    <w:p w:rsidR="00B1357F" w:rsidRPr="003B6FD9" w:rsidRDefault="00B1357F" w:rsidP="00B1357F">
      <w:pPr>
        <w:pStyle w:val="Heading2"/>
        <w:ind w:left="0"/>
        <w:rPr>
          <w:spacing w:val="-1"/>
          <w:lang w:val="es-ES_tradnl"/>
        </w:rPr>
      </w:pPr>
    </w:p>
    <w:p w:rsidR="00B1357F" w:rsidRPr="003B6FD9" w:rsidRDefault="007124F1" w:rsidP="00B1357F">
      <w:pPr>
        <w:pStyle w:val="BodyText"/>
        <w:numPr>
          <w:ilvl w:val="0"/>
          <w:numId w:val="5"/>
        </w:numPr>
        <w:tabs>
          <w:tab w:val="left" w:pos="548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 xml:space="preserve">En reuniones anteriores de la Conferencia de las Partes Contratantes (COP), se ha </w:t>
      </w:r>
      <w:r w:rsidR="00B90FE8" w:rsidRPr="003B6FD9">
        <w:rPr>
          <w:rFonts w:asciiTheme="minorHAnsi" w:hAnsiTheme="minorHAnsi"/>
          <w:spacing w:val="-1"/>
          <w:lang w:val="es-ES_tradnl"/>
        </w:rPr>
        <w:t xml:space="preserve">proporcionado </w:t>
      </w:r>
      <w:r w:rsidRPr="003B6FD9">
        <w:rPr>
          <w:rFonts w:asciiTheme="minorHAnsi" w:hAnsiTheme="minorHAnsi"/>
          <w:spacing w:val="-1"/>
          <w:lang w:val="es-ES_tradnl"/>
        </w:rPr>
        <w:t>fin</w:t>
      </w:r>
      <w:r w:rsidR="00B90FE8" w:rsidRPr="003B6FD9">
        <w:rPr>
          <w:rFonts w:asciiTheme="minorHAnsi" w:hAnsiTheme="minorHAnsi"/>
          <w:spacing w:val="-1"/>
          <w:lang w:val="es-ES_tradnl"/>
        </w:rPr>
        <w:t>anciación a los representantes</w:t>
      </w:r>
      <w:r w:rsidRPr="003B6FD9">
        <w:rPr>
          <w:rFonts w:asciiTheme="minorHAnsi" w:hAnsiTheme="minorHAnsi"/>
          <w:spacing w:val="-1"/>
          <w:lang w:val="es-ES_tradnl"/>
        </w:rPr>
        <w:t xml:space="preserve"> de varios países para </w:t>
      </w:r>
      <w:r w:rsidR="00B90FE8" w:rsidRPr="003B6FD9">
        <w:rPr>
          <w:rFonts w:asciiTheme="minorHAnsi" w:hAnsiTheme="minorHAnsi"/>
          <w:spacing w:val="-1"/>
          <w:lang w:val="es-ES_tradnl"/>
        </w:rPr>
        <w:t>que estos pudieran participar</w:t>
      </w:r>
      <w:r w:rsidRPr="003B6FD9">
        <w:rPr>
          <w:rFonts w:asciiTheme="minorHAnsi" w:hAnsiTheme="minorHAnsi"/>
          <w:spacing w:val="-1"/>
          <w:lang w:val="es-ES_tradnl"/>
        </w:rPr>
        <w:t xml:space="preserve"> en</w:t>
      </w:r>
      <w:r w:rsidR="00B90FE8" w:rsidRPr="003B6FD9">
        <w:rPr>
          <w:rFonts w:asciiTheme="minorHAnsi" w:hAnsiTheme="minorHAnsi"/>
          <w:spacing w:val="-1"/>
          <w:lang w:val="es-ES_tradnl"/>
        </w:rPr>
        <w:t xml:space="preserve"> la COP. La decisión sobre </w:t>
      </w:r>
      <w:r w:rsidRPr="003B6FD9">
        <w:rPr>
          <w:rFonts w:asciiTheme="minorHAnsi" w:hAnsiTheme="minorHAnsi"/>
          <w:spacing w:val="-1"/>
          <w:lang w:val="es-ES_tradnl"/>
        </w:rPr>
        <w:t xml:space="preserve">qué países son candidatos a dicha ayuda se toma en consulta con la última versión de la lista del </w:t>
      </w:r>
      <w:r w:rsidR="00B90FE8" w:rsidRPr="003B6FD9">
        <w:rPr>
          <w:rFonts w:asciiTheme="minorHAnsi" w:hAnsiTheme="minorHAnsi"/>
          <w:spacing w:val="-1"/>
          <w:lang w:val="es-ES_tradnl"/>
        </w:rPr>
        <w:t>CAD</w:t>
      </w:r>
      <w:r w:rsidR="00B1357F" w:rsidRPr="003B6FD9">
        <w:rPr>
          <w:rFonts w:asciiTheme="minorHAnsi" w:hAnsiTheme="minorHAnsi"/>
          <w:spacing w:val="-1"/>
          <w:lang w:val="es-ES_tradnl"/>
        </w:rPr>
        <w:t xml:space="preserve"> (O</w:t>
      </w:r>
      <w:r w:rsidRPr="003B6FD9">
        <w:rPr>
          <w:rFonts w:asciiTheme="minorHAnsi" w:hAnsiTheme="minorHAnsi"/>
          <w:spacing w:val="-1"/>
          <w:lang w:val="es-ES_tradnl"/>
        </w:rPr>
        <w:t xml:space="preserve">CDE). Los participantes de los países </w:t>
      </w:r>
      <w:r w:rsidR="00B90FE8" w:rsidRPr="003B6FD9">
        <w:rPr>
          <w:rFonts w:asciiTheme="minorHAnsi" w:hAnsiTheme="minorHAnsi"/>
          <w:spacing w:val="-1"/>
          <w:lang w:val="es-ES_tradnl"/>
        </w:rPr>
        <w:t xml:space="preserve">candidatos </w:t>
      </w:r>
      <w:r w:rsidR="00F23F0A" w:rsidRPr="003B6FD9">
        <w:rPr>
          <w:rFonts w:asciiTheme="minorHAnsi" w:hAnsiTheme="minorHAnsi"/>
          <w:spacing w:val="-1"/>
          <w:lang w:val="es-ES_tradnl"/>
        </w:rPr>
        <w:t>se conocen como</w:t>
      </w:r>
      <w:r w:rsidRPr="003B6FD9">
        <w:rPr>
          <w:rFonts w:asciiTheme="minorHAnsi" w:hAnsiTheme="minorHAnsi"/>
          <w:spacing w:val="-1"/>
          <w:lang w:val="es-ES_tradnl"/>
        </w:rPr>
        <w:t xml:space="preserve"> “delegados patrocinados”. Estos fondos se han derivado de </w:t>
      </w:r>
      <w:r w:rsidR="00B90FE8" w:rsidRPr="003B6FD9">
        <w:rPr>
          <w:rFonts w:asciiTheme="minorHAnsi" w:hAnsiTheme="minorHAnsi"/>
          <w:spacing w:val="-1"/>
          <w:lang w:val="es-ES_tradnl"/>
        </w:rPr>
        <w:t>aportaciones</w:t>
      </w:r>
      <w:r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C42F3F" w:rsidRPr="003B6FD9">
        <w:rPr>
          <w:rFonts w:asciiTheme="minorHAnsi" w:hAnsiTheme="minorHAnsi"/>
          <w:spacing w:val="-1"/>
          <w:lang w:val="es-ES_tradnl"/>
        </w:rPr>
        <w:t>voluntarias</w:t>
      </w:r>
      <w:r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B90FE8" w:rsidRPr="003B6FD9">
        <w:rPr>
          <w:rFonts w:asciiTheme="minorHAnsi" w:hAnsiTheme="minorHAnsi"/>
          <w:spacing w:val="-1"/>
          <w:lang w:val="es-ES_tradnl"/>
        </w:rPr>
        <w:t>al</w:t>
      </w:r>
      <w:r w:rsidRPr="003B6FD9">
        <w:rPr>
          <w:rFonts w:asciiTheme="minorHAnsi" w:hAnsiTheme="minorHAnsi"/>
          <w:spacing w:val="-1"/>
          <w:lang w:val="es-ES_tradnl"/>
        </w:rPr>
        <w:t xml:space="preserve"> presupuesto no básico en todas las COP anteriores y se ha </w:t>
      </w:r>
      <w:r w:rsidR="00B90FE8" w:rsidRPr="003B6FD9">
        <w:rPr>
          <w:rFonts w:asciiTheme="minorHAnsi" w:hAnsiTheme="minorHAnsi"/>
          <w:spacing w:val="-1"/>
          <w:lang w:val="es-ES_tradnl"/>
        </w:rPr>
        <w:t>encomendado a la Secretaría</w:t>
      </w:r>
      <w:r w:rsidRPr="003B6FD9">
        <w:rPr>
          <w:rFonts w:asciiTheme="minorHAnsi" w:hAnsiTheme="minorHAnsi"/>
          <w:spacing w:val="-1"/>
          <w:lang w:val="es-ES_tradnl"/>
        </w:rPr>
        <w:t xml:space="preserve"> la </w:t>
      </w:r>
      <w:r w:rsidR="00C42F3F" w:rsidRPr="003B6FD9">
        <w:rPr>
          <w:rFonts w:asciiTheme="minorHAnsi" w:hAnsiTheme="minorHAnsi"/>
          <w:spacing w:val="-1"/>
          <w:lang w:val="es-ES_tradnl"/>
        </w:rPr>
        <w:t>responsabilidad</w:t>
      </w:r>
      <w:r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B90FE8" w:rsidRPr="003B6FD9">
        <w:rPr>
          <w:rFonts w:asciiTheme="minorHAnsi" w:hAnsiTheme="minorHAnsi"/>
          <w:spacing w:val="-1"/>
          <w:lang w:val="es-ES_tradnl"/>
        </w:rPr>
        <w:t xml:space="preserve">de </w:t>
      </w:r>
      <w:r w:rsidR="00BC056D" w:rsidRPr="003B6FD9">
        <w:rPr>
          <w:rFonts w:asciiTheme="minorHAnsi" w:hAnsiTheme="minorHAnsi"/>
          <w:spacing w:val="-1"/>
          <w:lang w:val="es-ES_tradnl"/>
        </w:rPr>
        <w:t xml:space="preserve">obtener dicha financiación </w:t>
      </w:r>
      <w:r w:rsidRPr="003B6FD9">
        <w:rPr>
          <w:rFonts w:asciiTheme="minorHAnsi" w:hAnsiTheme="minorHAnsi"/>
          <w:spacing w:val="-1"/>
          <w:lang w:val="es-ES_tradnl"/>
        </w:rPr>
        <w:t xml:space="preserve">de los países, el sector privado y otros </w:t>
      </w:r>
      <w:r w:rsidR="00BC056D" w:rsidRPr="003B6FD9">
        <w:rPr>
          <w:rFonts w:asciiTheme="minorHAnsi" w:hAnsiTheme="minorHAnsi"/>
          <w:spacing w:val="-1"/>
          <w:lang w:val="es-ES_tradnl"/>
        </w:rPr>
        <w:t>colaboradores</w:t>
      </w:r>
      <w:r w:rsidRPr="003B6FD9">
        <w:rPr>
          <w:rFonts w:asciiTheme="minorHAnsi" w:hAnsiTheme="minorHAnsi"/>
          <w:spacing w:val="-1"/>
          <w:lang w:val="es-ES_tradnl"/>
        </w:rPr>
        <w:t>.</w:t>
      </w:r>
    </w:p>
    <w:p w:rsidR="008234AE" w:rsidRPr="003B6FD9" w:rsidRDefault="008234AE" w:rsidP="005D4325">
      <w:pPr>
        <w:pStyle w:val="Heading2"/>
        <w:ind w:left="0"/>
        <w:rPr>
          <w:spacing w:val="-1"/>
          <w:lang w:val="es-ES_tradnl"/>
        </w:rPr>
      </w:pPr>
    </w:p>
    <w:p w:rsidR="003148C4" w:rsidRPr="003B6FD9" w:rsidRDefault="005D490F" w:rsidP="003148C4">
      <w:pPr>
        <w:pStyle w:val="BodyText"/>
        <w:numPr>
          <w:ilvl w:val="0"/>
          <w:numId w:val="5"/>
        </w:numPr>
        <w:tabs>
          <w:tab w:val="left" w:pos="548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 xml:space="preserve">En 2015, </w:t>
      </w:r>
      <w:r w:rsidR="007124F1" w:rsidRPr="003B6FD9">
        <w:rPr>
          <w:rFonts w:asciiTheme="minorHAnsi" w:hAnsiTheme="minorHAnsi"/>
          <w:spacing w:val="-1"/>
          <w:lang w:val="es-ES_tradnl"/>
        </w:rPr>
        <w:t xml:space="preserve">un total de </w:t>
      </w:r>
      <w:r w:rsidR="003148C4" w:rsidRPr="003B6FD9">
        <w:rPr>
          <w:rFonts w:asciiTheme="minorHAnsi" w:hAnsiTheme="minorHAnsi"/>
          <w:spacing w:val="-1"/>
          <w:lang w:val="es-ES_tradnl"/>
        </w:rPr>
        <w:t xml:space="preserve">120 </w:t>
      </w:r>
      <w:r w:rsidR="007124F1" w:rsidRPr="003B6FD9">
        <w:rPr>
          <w:rFonts w:asciiTheme="minorHAnsi" w:hAnsiTheme="minorHAnsi"/>
          <w:spacing w:val="-1"/>
          <w:lang w:val="es-ES_tradnl"/>
        </w:rPr>
        <w:t xml:space="preserve">países en la lista </w:t>
      </w:r>
      <w:r w:rsidRPr="003B6FD9">
        <w:rPr>
          <w:rFonts w:asciiTheme="minorHAnsi" w:hAnsiTheme="minorHAnsi"/>
          <w:spacing w:val="-1"/>
          <w:lang w:val="es-ES_tradnl"/>
        </w:rPr>
        <w:t>del CAD</w:t>
      </w:r>
      <w:r w:rsidR="007124F1" w:rsidRPr="003B6FD9">
        <w:rPr>
          <w:rFonts w:asciiTheme="minorHAnsi" w:hAnsiTheme="minorHAnsi"/>
          <w:spacing w:val="-1"/>
          <w:lang w:val="es-ES_tradnl"/>
        </w:rPr>
        <w:t xml:space="preserve"> son candidatos a</w:t>
      </w:r>
      <w:r w:rsidRPr="003B6FD9">
        <w:rPr>
          <w:rFonts w:asciiTheme="minorHAnsi" w:hAnsiTheme="minorHAnsi"/>
          <w:spacing w:val="-1"/>
          <w:lang w:val="es-ES_tradnl"/>
        </w:rPr>
        <w:t>l patrocinio de delegados</w:t>
      </w:r>
      <w:r w:rsidR="003148C4" w:rsidRPr="003B6FD9">
        <w:rPr>
          <w:rFonts w:asciiTheme="minorHAnsi" w:hAnsiTheme="minorHAnsi"/>
          <w:spacing w:val="-1"/>
          <w:lang w:val="es-ES_tradnl"/>
        </w:rPr>
        <w:t xml:space="preserve">. </w:t>
      </w:r>
      <w:r w:rsidR="007124F1" w:rsidRPr="003B6FD9">
        <w:rPr>
          <w:rFonts w:asciiTheme="minorHAnsi" w:hAnsiTheme="minorHAnsi"/>
          <w:spacing w:val="-1"/>
          <w:lang w:val="es-ES_tradnl"/>
        </w:rPr>
        <w:t xml:space="preserve">A fecha de </w:t>
      </w:r>
      <w:r w:rsidR="003148C4" w:rsidRPr="003B6FD9">
        <w:rPr>
          <w:rFonts w:asciiTheme="minorHAnsi" w:hAnsiTheme="minorHAnsi"/>
          <w:spacing w:val="-1"/>
          <w:lang w:val="es-ES_tradnl"/>
        </w:rPr>
        <w:t>1</w:t>
      </w:r>
      <w:r w:rsidR="001F2D4B" w:rsidRPr="003B6FD9">
        <w:rPr>
          <w:rFonts w:asciiTheme="minorHAnsi" w:hAnsiTheme="minorHAnsi"/>
          <w:spacing w:val="-1"/>
          <w:lang w:val="es-ES_tradnl"/>
        </w:rPr>
        <w:t>8</w:t>
      </w:r>
      <w:r w:rsidR="003148C4"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7124F1" w:rsidRPr="003B6FD9">
        <w:rPr>
          <w:rFonts w:asciiTheme="minorHAnsi" w:hAnsiTheme="minorHAnsi"/>
          <w:spacing w:val="-1"/>
          <w:lang w:val="es-ES_tradnl"/>
        </w:rPr>
        <w:t xml:space="preserve">de mayo de </w:t>
      </w:r>
      <w:r w:rsidR="003148C4" w:rsidRPr="003B6FD9">
        <w:rPr>
          <w:rFonts w:asciiTheme="minorHAnsi" w:hAnsiTheme="minorHAnsi"/>
          <w:spacing w:val="-1"/>
          <w:lang w:val="es-ES_tradnl"/>
        </w:rPr>
        <w:t xml:space="preserve">2015, </w:t>
      </w:r>
      <w:r w:rsidR="007124F1" w:rsidRPr="003B6FD9">
        <w:rPr>
          <w:rFonts w:asciiTheme="minorHAnsi" w:hAnsiTheme="minorHAnsi"/>
          <w:spacing w:val="-1"/>
          <w:lang w:val="es-ES_tradnl"/>
        </w:rPr>
        <w:t>de la posible lista de 120 países</w:t>
      </w:r>
      <w:r w:rsidR="003148C4" w:rsidRPr="003B6FD9">
        <w:rPr>
          <w:rFonts w:asciiTheme="minorHAnsi" w:hAnsiTheme="minorHAnsi"/>
          <w:spacing w:val="-1"/>
          <w:lang w:val="es-ES_tradnl"/>
        </w:rPr>
        <w:t xml:space="preserve">: </w:t>
      </w:r>
    </w:p>
    <w:p w:rsidR="003148C4" w:rsidRPr="003B6FD9" w:rsidRDefault="003148C4" w:rsidP="003148C4">
      <w:pPr>
        <w:pStyle w:val="BodyText"/>
        <w:numPr>
          <w:ilvl w:val="1"/>
          <w:numId w:val="5"/>
        </w:numPr>
        <w:tabs>
          <w:tab w:val="left" w:pos="548"/>
        </w:tabs>
        <w:rPr>
          <w:rFonts w:asciiTheme="minorHAnsi" w:hAnsiTheme="minorHAnsi"/>
          <w:spacing w:val="-1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>1</w:t>
      </w:r>
      <w:r w:rsidR="001F2D4B" w:rsidRPr="003B6FD9">
        <w:rPr>
          <w:rFonts w:asciiTheme="minorHAnsi" w:hAnsiTheme="minorHAnsi"/>
          <w:spacing w:val="-1"/>
          <w:lang w:val="es-ES_tradnl"/>
        </w:rPr>
        <w:t>13</w:t>
      </w:r>
      <w:r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A76095" w:rsidRPr="003B6FD9">
        <w:rPr>
          <w:rFonts w:asciiTheme="minorHAnsi" w:hAnsiTheme="minorHAnsi"/>
          <w:spacing w:val="-1"/>
          <w:lang w:val="es-ES_tradnl"/>
        </w:rPr>
        <w:t xml:space="preserve">países ya </w:t>
      </w:r>
      <w:r w:rsidR="005D490F" w:rsidRPr="003B6FD9">
        <w:rPr>
          <w:rFonts w:asciiTheme="minorHAnsi" w:hAnsiTheme="minorHAnsi"/>
          <w:spacing w:val="-1"/>
          <w:lang w:val="es-ES_tradnl"/>
        </w:rPr>
        <w:t xml:space="preserve">han </w:t>
      </w:r>
      <w:r w:rsidR="00F23F0A" w:rsidRPr="003B6FD9">
        <w:rPr>
          <w:rFonts w:asciiTheme="minorHAnsi" w:hAnsiTheme="minorHAnsi"/>
          <w:spacing w:val="-1"/>
          <w:lang w:val="es-ES_tradnl"/>
        </w:rPr>
        <w:t xml:space="preserve">recibido fondos para el patrocinio de delegados </w:t>
      </w:r>
      <w:r w:rsidRPr="003B6FD9">
        <w:rPr>
          <w:rFonts w:asciiTheme="minorHAnsi" w:hAnsiTheme="minorHAnsi"/>
          <w:spacing w:val="-1"/>
          <w:lang w:val="es-ES_tradnl"/>
        </w:rPr>
        <w:t>(</w:t>
      </w:r>
      <w:r w:rsidR="00A76095" w:rsidRPr="003B6FD9">
        <w:rPr>
          <w:rFonts w:asciiTheme="minorHAnsi" w:hAnsiTheme="minorHAnsi"/>
          <w:spacing w:val="-1"/>
          <w:lang w:val="es-ES_tradnl"/>
        </w:rPr>
        <w:t xml:space="preserve">véase la </w:t>
      </w:r>
      <w:r w:rsidRPr="003B6FD9">
        <w:rPr>
          <w:rFonts w:asciiTheme="minorHAnsi" w:hAnsiTheme="minorHAnsi"/>
          <w:b/>
          <w:spacing w:val="-1"/>
          <w:lang w:val="es-ES_tradnl"/>
        </w:rPr>
        <w:t>T</w:t>
      </w:r>
      <w:r w:rsidR="00A76095" w:rsidRPr="003B6FD9">
        <w:rPr>
          <w:rFonts w:asciiTheme="minorHAnsi" w:hAnsiTheme="minorHAnsi"/>
          <w:b/>
          <w:spacing w:val="-1"/>
          <w:lang w:val="es-ES_tradnl"/>
        </w:rPr>
        <w:t>abla</w:t>
      </w:r>
      <w:r w:rsidR="00710743" w:rsidRPr="003B6FD9">
        <w:rPr>
          <w:rFonts w:asciiTheme="minorHAnsi" w:hAnsiTheme="minorHAnsi"/>
          <w:b/>
          <w:spacing w:val="-1"/>
          <w:lang w:val="es-ES_tradnl"/>
        </w:rPr>
        <w:t xml:space="preserve"> 2</w:t>
      </w:r>
      <w:r w:rsidRPr="003B6FD9">
        <w:rPr>
          <w:rFonts w:asciiTheme="minorHAnsi" w:hAnsiTheme="minorHAnsi"/>
          <w:b/>
          <w:spacing w:val="-1"/>
          <w:lang w:val="es-ES_tradnl"/>
        </w:rPr>
        <w:t xml:space="preserve"> </w:t>
      </w:r>
      <w:r w:rsidR="00A76095" w:rsidRPr="003B6FD9">
        <w:rPr>
          <w:rFonts w:asciiTheme="minorHAnsi" w:hAnsiTheme="minorHAnsi"/>
          <w:spacing w:val="-1"/>
          <w:lang w:val="es-ES_tradnl"/>
        </w:rPr>
        <w:t xml:space="preserve">para consultar la lista de </w:t>
      </w:r>
      <w:r w:rsidR="005D490F" w:rsidRPr="003B6FD9">
        <w:rPr>
          <w:rFonts w:asciiTheme="minorHAnsi" w:hAnsiTheme="minorHAnsi"/>
          <w:spacing w:val="-1"/>
          <w:lang w:val="es-ES_tradnl"/>
        </w:rPr>
        <w:t>países patrocinados</w:t>
      </w:r>
      <w:r w:rsidRPr="003B6FD9">
        <w:rPr>
          <w:rFonts w:asciiTheme="minorHAnsi" w:hAnsiTheme="minorHAnsi"/>
          <w:spacing w:val="-1"/>
          <w:lang w:val="es-ES_tradnl"/>
        </w:rPr>
        <w:t xml:space="preserve">), </w:t>
      </w:r>
    </w:p>
    <w:p w:rsidR="003148C4" w:rsidRPr="003B6FD9" w:rsidRDefault="003148C4" w:rsidP="003148C4">
      <w:pPr>
        <w:pStyle w:val="BodyText"/>
        <w:numPr>
          <w:ilvl w:val="1"/>
          <w:numId w:val="5"/>
        </w:numPr>
        <w:tabs>
          <w:tab w:val="left" w:pos="548"/>
        </w:tabs>
        <w:rPr>
          <w:rFonts w:asciiTheme="minorHAnsi" w:hAnsiTheme="minorHAnsi"/>
          <w:spacing w:val="-1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 xml:space="preserve">4 </w:t>
      </w:r>
      <w:r w:rsidR="00A76095" w:rsidRPr="003B6FD9">
        <w:rPr>
          <w:rFonts w:asciiTheme="minorHAnsi" w:hAnsiTheme="minorHAnsi"/>
          <w:spacing w:val="-1"/>
          <w:lang w:val="es-ES_tradnl"/>
        </w:rPr>
        <w:t xml:space="preserve">países se autofinancian </w:t>
      </w:r>
      <w:r w:rsidRPr="003B6FD9">
        <w:rPr>
          <w:rFonts w:asciiTheme="minorHAnsi" w:hAnsiTheme="minorHAnsi"/>
          <w:spacing w:val="-1"/>
          <w:lang w:val="es-ES_tradnl"/>
        </w:rPr>
        <w:t>(China, Namibia, S</w:t>
      </w:r>
      <w:r w:rsidR="00A76095" w:rsidRPr="003B6FD9">
        <w:rPr>
          <w:rFonts w:asciiTheme="minorHAnsi" w:hAnsiTheme="minorHAnsi"/>
          <w:spacing w:val="-1"/>
          <w:lang w:val="es-ES_tradnl"/>
        </w:rPr>
        <w:t>udáfrica y Tailandia</w:t>
      </w:r>
      <w:r w:rsidRPr="003B6FD9">
        <w:rPr>
          <w:rFonts w:asciiTheme="minorHAnsi" w:hAnsiTheme="minorHAnsi"/>
          <w:spacing w:val="-1"/>
          <w:lang w:val="es-ES_tradnl"/>
        </w:rPr>
        <w:t xml:space="preserve">) </w:t>
      </w:r>
    </w:p>
    <w:p w:rsidR="003148C4" w:rsidRPr="003B6FD9" w:rsidRDefault="003148C4" w:rsidP="003148C4">
      <w:pPr>
        <w:pStyle w:val="BodyText"/>
        <w:numPr>
          <w:ilvl w:val="1"/>
          <w:numId w:val="5"/>
        </w:numPr>
        <w:tabs>
          <w:tab w:val="left" w:pos="548"/>
        </w:tabs>
        <w:rPr>
          <w:rFonts w:asciiTheme="minorHAnsi" w:hAnsiTheme="minorHAnsi"/>
          <w:spacing w:val="-1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>1</w:t>
      </w:r>
      <w:r w:rsidR="00A76095" w:rsidRPr="003B6FD9">
        <w:rPr>
          <w:rFonts w:asciiTheme="minorHAnsi" w:hAnsiTheme="minorHAnsi"/>
          <w:spacing w:val="-1"/>
          <w:lang w:val="es-ES_tradnl"/>
        </w:rPr>
        <w:t xml:space="preserve"> país no </w:t>
      </w:r>
      <w:r w:rsidR="005D490F" w:rsidRPr="003B6FD9">
        <w:rPr>
          <w:rFonts w:asciiTheme="minorHAnsi" w:hAnsiTheme="minorHAnsi"/>
          <w:spacing w:val="-1"/>
          <w:lang w:val="es-ES_tradnl"/>
        </w:rPr>
        <w:t>asistirá</w:t>
      </w:r>
      <w:r w:rsidRPr="003B6FD9">
        <w:rPr>
          <w:rFonts w:asciiTheme="minorHAnsi" w:hAnsiTheme="minorHAnsi"/>
          <w:spacing w:val="-1"/>
          <w:lang w:val="es-ES_tradnl"/>
        </w:rPr>
        <w:t xml:space="preserve"> (S</w:t>
      </w:r>
      <w:r w:rsidR="00A76095" w:rsidRPr="003B6FD9">
        <w:rPr>
          <w:rFonts w:asciiTheme="minorHAnsi" w:hAnsiTheme="minorHAnsi"/>
          <w:spacing w:val="-1"/>
          <w:lang w:val="es-ES_tradnl"/>
        </w:rPr>
        <w:t>iria</w:t>
      </w:r>
      <w:r w:rsidR="005D490F" w:rsidRPr="003B6FD9">
        <w:rPr>
          <w:rFonts w:asciiTheme="minorHAnsi" w:hAnsiTheme="minorHAnsi"/>
          <w:spacing w:val="-1"/>
          <w:lang w:val="es-ES_tradnl"/>
        </w:rPr>
        <w:t>) y</w:t>
      </w:r>
    </w:p>
    <w:p w:rsidR="003148C4" w:rsidRPr="003B6FD9" w:rsidRDefault="001F2D4B" w:rsidP="003148C4">
      <w:pPr>
        <w:pStyle w:val="BodyText"/>
        <w:numPr>
          <w:ilvl w:val="1"/>
          <w:numId w:val="5"/>
        </w:numPr>
        <w:tabs>
          <w:tab w:val="left" w:pos="548"/>
        </w:tabs>
        <w:rPr>
          <w:rFonts w:asciiTheme="minorHAnsi" w:hAnsiTheme="minorHAnsi"/>
          <w:spacing w:val="-1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>2</w:t>
      </w:r>
      <w:r w:rsidR="003148C4"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5D490F" w:rsidRPr="003B6FD9">
        <w:rPr>
          <w:rFonts w:asciiTheme="minorHAnsi" w:hAnsiTheme="minorHAnsi"/>
          <w:spacing w:val="-1"/>
          <w:lang w:val="es-ES_tradnl"/>
        </w:rPr>
        <w:t xml:space="preserve">países </w:t>
      </w:r>
      <w:r w:rsidR="00A76095" w:rsidRPr="003B6FD9">
        <w:rPr>
          <w:rFonts w:asciiTheme="minorHAnsi" w:hAnsiTheme="minorHAnsi"/>
          <w:spacing w:val="-1"/>
          <w:lang w:val="es-ES_tradnl"/>
        </w:rPr>
        <w:t xml:space="preserve">no se han </w:t>
      </w:r>
      <w:r w:rsidR="00C42F3F" w:rsidRPr="003B6FD9">
        <w:rPr>
          <w:rFonts w:asciiTheme="minorHAnsi" w:hAnsiTheme="minorHAnsi"/>
          <w:spacing w:val="-1"/>
          <w:lang w:val="es-ES_tradnl"/>
        </w:rPr>
        <w:t>inscrito</w:t>
      </w:r>
      <w:r w:rsidR="005D490F" w:rsidRPr="003B6FD9">
        <w:rPr>
          <w:rFonts w:asciiTheme="minorHAnsi" w:hAnsiTheme="minorHAnsi"/>
          <w:spacing w:val="-1"/>
          <w:lang w:val="es-ES_tradnl"/>
        </w:rPr>
        <w:t xml:space="preserve"> aún y no han sido patrocinados todavía</w:t>
      </w:r>
      <w:r w:rsidR="003148C4" w:rsidRPr="003B6FD9">
        <w:rPr>
          <w:rFonts w:asciiTheme="minorHAnsi" w:hAnsiTheme="minorHAnsi"/>
          <w:spacing w:val="-1"/>
          <w:lang w:val="es-ES_tradnl"/>
        </w:rPr>
        <w:t xml:space="preserve">. </w:t>
      </w:r>
    </w:p>
    <w:p w:rsidR="003148C4" w:rsidRPr="003B6FD9" w:rsidRDefault="003148C4" w:rsidP="005D4325">
      <w:pPr>
        <w:pStyle w:val="Heading2"/>
        <w:ind w:left="0"/>
        <w:rPr>
          <w:spacing w:val="-1"/>
          <w:lang w:val="es-ES_tradnl"/>
        </w:rPr>
      </w:pPr>
    </w:p>
    <w:p w:rsidR="00BD1FF7" w:rsidRPr="003B6FD9" w:rsidRDefault="00E921D9" w:rsidP="00344AFE">
      <w:pPr>
        <w:pStyle w:val="BodyText"/>
        <w:numPr>
          <w:ilvl w:val="0"/>
          <w:numId w:val="5"/>
        </w:numPr>
        <w:ind w:left="426" w:hanging="426"/>
        <w:rPr>
          <w:lang w:val="es-ES_tradnl"/>
        </w:rPr>
      </w:pPr>
      <w:r w:rsidRPr="003B6FD9">
        <w:rPr>
          <w:spacing w:val="-1"/>
          <w:lang w:val="es-ES_tradnl"/>
        </w:rPr>
        <w:t>Se calculó que el presupuesto</w:t>
      </w:r>
      <w:r w:rsidR="005D490F" w:rsidRPr="003B6FD9">
        <w:rPr>
          <w:spacing w:val="-1"/>
          <w:lang w:val="es-ES_tradnl"/>
        </w:rPr>
        <w:t xml:space="preserve"> necesario</w:t>
      </w:r>
      <w:r w:rsidRPr="003B6FD9">
        <w:rPr>
          <w:spacing w:val="-1"/>
          <w:lang w:val="es-ES_tradnl"/>
        </w:rPr>
        <w:t xml:space="preserve"> para </w:t>
      </w:r>
      <w:r w:rsidR="005D490F" w:rsidRPr="003B6FD9">
        <w:rPr>
          <w:spacing w:val="-1"/>
          <w:lang w:val="es-ES_tradnl"/>
        </w:rPr>
        <w:t>patrocinar</w:t>
      </w:r>
      <w:r w:rsidRPr="003B6FD9">
        <w:rPr>
          <w:spacing w:val="-1"/>
          <w:lang w:val="es-ES_tradnl"/>
        </w:rPr>
        <w:t xml:space="preserve"> </w:t>
      </w:r>
      <w:r w:rsidR="00C76617" w:rsidRPr="003B6FD9">
        <w:rPr>
          <w:spacing w:val="-1"/>
          <w:lang w:val="es-ES_tradnl"/>
        </w:rPr>
        <w:t>la asistencia de u</w:t>
      </w:r>
      <w:r w:rsidRPr="003B6FD9">
        <w:rPr>
          <w:spacing w:val="-1"/>
          <w:lang w:val="es-ES_tradnl"/>
        </w:rPr>
        <w:t xml:space="preserve">n delegado de cada uno de los </w:t>
      </w:r>
      <w:r w:rsidR="00BD1FF7" w:rsidRPr="003B6FD9">
        <w:rPr>
          <w:spacing w:val="-1"/>
          <w:lang w:val="es-ES_tradnl"/>
        </w:rPr>
        <w:t>120</w:t>
      </w:r>
      <w:r w:rsidRPr="003B6FD9">
        <w:rPr>
          <w:spacing w:val="-1"/>
          <w:lang w:val="es-ES_tradnl"/>
        </w:rPr>
        <w:t xml:space="preserve"> países candidatos sería de </w:t>
      </w:r>
      <w:r w:rsidR="00BD1FF7" w:rsidRPr="003B6FD9">
        <w:rPr>
          <w:spacing w:val="-1"/>
          <w:lang w:val="es-ES_tradnl"/>
        </w:rPr>
        <w:t>600</w:t>
      </w:r>
      <w:r w:rsidRPr="003B6FD9">
        <w:rPr>
          <w:spacing w:val="-1"/>
          <w:lang w:val="es-ES_tradnl"/>
        </w:rPr>
        <w:t>.</w:t>
      </w:r>
      <w:r w:rsidR="00BD1FF7" w:rsidRPr="003B6FD9">
        <w:rPr>
          <w:spacing w:val="-1"/>
          <w:lang w:val="es-ES_tradnl"/>
        </w:rPr>
        <w:t>000</w:t>
      </w:r>
      <w:r w:rsidRPr="003B6FD9">
        <w:rPr>
          <w:spacing w:val="-1"/>
          <w:lang w:val="es-ES_tradnl"/>
        </w:rPr>
        <w:t xml:space="preserve"> dólares de los EE.UU.</w:t>
      </w:r>
      <w:r w:rsidR="00BD1FF7" w:rsidRPr="003B6FD9">
        <w:rPr>
          <w:spacing w:val="-1"/>
          <w:lang w:val="es-ES_tradnl"/>
        </w:rPr>
        <w:t xml:space="preserve"> (</w:t>
      </w:r>
      <w:r w:rsidRPr="003B6FD9">
        <w:rPr>
          <w:spacing w:val="-1"/>
          <w:lang w:val="es-ES_tradnl"/>
        </w:rPr>
        <w:t>equivalentes a 555.</w:t>
      </w:r>
      <w:r w:rsidR="00BD1FF7" w:rsidRPr="003B6FD9">
        <w:rPr>
          <w:spacing w:val="-1"/>
          <w:lang w:val="es-ES_tradnl"/>
        </w:rPr>
        <w:t xml:space="preserve">000 </w:t>
      </w:r>
      <w:r w:rsidRPr="003B6FD9">
        <w:rPr>
          <w:spacing w:val="-1"/>
          <w:lang w:val="es-ES_tradnl"/>
        </w:rPr>
        <w:t>francos suizos</w:t>
      </w:r>
      <w:r w:rsidR="00BD1FF7" w:rsidRPr="003B6FD9">
        <w:rPr>
          <w:spacing w:val="-1"/>
          <w:lang w:val="es-ES_tradnl"/>
        </w:rPr>
        <w:t>).</w:t>
      </w:r>
    </w:p>
    <w:p w:rsidR="00BD1FF7" w:rsidRPr="003B6FD9" w:rsidRDefault="00BD1FF7" w:rsidP="00BD1FF7">
      <w:pPr>
        <w:pStyle w:val="ListParagraph"/>
        <w:rPr>
          <w:spacing w:val="-1"/>
          <w:lang w:val="es-ES_tradnl"/>
        </w:rPr>
      </w:pPr>
    </w:p>
    <w:p w:rsidR="00BD1FF7" w:rsidRPr="003B6FD9" w:rsidRDefault="00E921D9" w:rsidP="00BD1FF7">
      <w:pPr>
        <w:pStyle w:val="BodyText"/>
        <w:numPr>
          <w:ilvl w:val="0"/>
          <w:numId w:val="5"/>
        </w:numPr>
        <w:tabs>
          <w:tab w:val="left" w:pos="707"/>
        </w:tabs>
        <w:ind w:left="426" w:hanging="426"/>
        <w:rPr>
          <w:lang w:val="es-ES_tradnl"/>
        </w:rPr>
      </w:pPr>
      <w:r w:rsidRPr="003B6FD9">
        <w:rPr>
          <w:spacing w:val="-1"/>
          <w:lang w:val="es-ES_tradnl"/>
        </w:rPr>
        <w:t xml:space="preserve">A </w:t>
      </w:r>
      <w:r w:rsidR="00BD1FF7" w:rsidRPr="003B6FD9">
        <w:rPr>
          <w:spacing w:val="-1"/>
          <w:lang w:val="es-ES_tradnl"/>
        </w:rPr>
        <w:t xml:space="preserve">30 </w:t>
      </w:r>
      <w:r w:rsidRPr="003B6FD9">
        <w:rPr>
          <w:spacing w:val="-1"/>
          <w:lang w:val="es-ES_tradnl"/>
        </w:rPr>
        <w:t xml:space="preserve">de marzo de </w:t>
      </w:r>
      <w:r w:rsidR="00BD1FF7" w:rsidRPr="003B6FD9">
        <w:rPr>
          <w:spacing w:val="-1"/>
          <w:lang w:val="es-ES_tradnl"/>
        </w:rPr>
        <w:t>2015,</w:t>
      </w:r>
      <w:r w:rsidRPr="003B6FD9">
        <w:rPr>
          <w:spacing w:val="-1"/>
          <w:lang w:val="es-ES_tradnl"/>
        </w:rPr>
        <w:t xml:space="preserve"> </w:t>
      </w:r>
      <w:r w:rsidR="005D490F" w:rsidRPr="003B6FD9">
        <w:rPr>
          <w:spacing w:val="-1"/>
          <w:lang w:val="es-ES_tradnl"/>
        </w:rPr>
        <w:t xml:space="preserve">la Secretaría había recaudado </w:t>
      </w:r>
      <w:r w:rsidRPr="003B6FD9">
        <w:rPr>
          <w:spacing w:val="-1"/>
          <w:lang w:val="es-ES_tradnl"/>
        </w:rPr>
        <w:t>300.</w:t>
      </w:r>
      <w:r w:rsidR="00BD1FF7" w:rsidRPr="003B6FD9">
        <w:rPr>
          <w:spacing w:val="-1"/>
          <w:lang w:val="es-ES_tradnl"/>
        </w:rPr>
        <w:t xml:space="preserve">000 </w:t>
      </w:r>
      <w:r w:rsidRPr="003B6FD9">
        <w:rPr>
          <w:spacing w:val="-1"/>
          <w:lang w:val="es-ES_tradnl"/>
        </w:rPr>
        <w:t>dólares de los EE.UU. para</w:t>
      </w:r>
      <w:r w:rsidR="00BD1FF7" w:rsidRPr="003B6FD9">
        <w:rPr>
          <w:spacing w:val="-1"/>
          <w:lang w:val="es-ES_tradnl"/>
        </w:rPr>
        <w:t xml:space="preserve"> </w:t>
      </w:r>
      <w:r w:rsidR="005D490F" w:rsidRPr="003B6FD9">
        <w:rPr>
          <w:spacing w:val="-1"/>
          <w:lang w:val="es-ES_tradnl"/>
        </w:rPr>
        <w:t>el patrocinio de delegados</w:t>
      </w:r>
      <w:r w:rsidR="00BD1FF7" w:rsidRPr="003B6FD9">
        <w:rPr>
          <w:spacing w:val="-1"/>
          <w:lang w:val="es-ES_tradnl"/>
        </w:rPr>
        <w:t xml:space="preserve"> </w:t>
      </w:r>
      <w:r w:rsidRPr="003B6FD9">
        <w:rPr>
          <w:spacing w:val="-1"/>
          <w:lang w:val="es-ES_tradnl"/>
        </w:rPr>
        <w:t xml:space="preserve">en comparación con el presupuesto de </w:t>
      </w:r>
      <w:r w:rsidR="00BD1FF7" w:rsidRPr="003B6FD9">
        <w:rPr>
          <w:spacing w:val="-1"/>
          <w:lang w:val="es-ES_tradnl"/>
        </w:rPr>
        <w:t>600</w:t>
      </w:r>
      <w:r w:rsidRPr="003B6FD9">
        <w:rPr>
          <w:spacing w:val="-1"/>
          <w:lang w:val="es-ES_tradnl"/>
        </w:rPr>
        <w:t>.</w:t>
      </w:r>
      <w:r w:rsidR="00BD1FF7" w:rsidRPr="003B6FD9">
        <w:rPr>
          <w:spacing w:val="-1"/>
          <w:lang w:val="es-ES_tradnl"/>
        </w:rPr>
        <w:t>000</w:t>
      </w:r>
      <w:r w:rsidRPr="003B6FD9">
        <w:rPr>
          <w:spacing w:val="-1"/>
          <w:lang w:val="es-ES_tradnl"/>
        </w:rPr>
        <w:t xml:space="preserve"> dólares</w:t>
      </w:r>
      <w:r w:rsidR="00BD1FF7" w:rsidRPr="003B6FD9">
        <w:rPr>
          <w:spacing w:val="-1"/>
          <w:lang w:val="es-ES_tradnl"/>
        </w:rPr>
        <w:t xml:space="preserve">. </w:t>
      </w:r>
      <w:r w:rsidRPr="003B6FD9">
        <w:rPr>
          <w:spacing w:val="-1"/>
          <w:lang w:val="es-ES_tradnl"/>
        </w:rPr>
        <w:t xml:space="preserve">Esto significa que faltan </w:t>
      </w:r>
      <w:r w:rsidR="004E1856" w:rsidRPr="003B6FD9">
        <w:rPr>
          <w:spacing w:val="-1"/>
          <w:lang w:val="es-ES_tradnl"/>
        </w:rPr>
        <w:t>300</w:t>
      </w:r>
      <w:r w:rsidRPr="003B6FD9">
        <w:rPr>
          <w:spacing w:val="-1"/>
          <w:lang w:val="es-ES_tradnl"/>
        </w:rPr>
        <w:t>.</w:t>
      </w:r>
      <w:r w:rsidR="004E1856" w:rsidRPr="003B6FD9">
        <w:rPr>
          <w:spacing w:val="-1"/>
          <w:lang w:val="es-ES_tradnl"/>
        </w:rPr>
        <w:t>000</w:t>
      </w:r>
      <w:r w:rsidRPr="003B6FD9">
        <w:rPr>
          <w:spacing w:val="-1"/>
          <w:lang w:val="es-ES_tradnl"/>
        </w:rPr>
        <w:t xml:space="preserve"> dólares para alcanzar </w:t>
      </w:r>
      <w:r w:rsidR="002B6063" w:rsidRPr="003B6FD9">
        <w:rPr>
          <w:spacing w:val="-1"/>
          <w:lang w:val="es-ES_tradnl"/>
        </w:rPr>
        <w:t>el presupuesto</w:t>
      </w:r>
      <w:r w:rsidRPr="003B6FD9">
        <w:rPr>
          <w:spacing w:val="-1"/>
          <w:lang w:val="es-ES_tradnl"/>
        </w:rPr>
        <w:t xml:space="preserve">. Teniendo en cuenta la </w:t>
      </w:r>
      <w:r w:rsidR="00C42F3F" w:rsidRPr="003B6FD9">
        <w:rPr>
          <w:spacing w:val="-1"/>
          <w:lang w:val="es-ES_tradnl"/>
        </w:rPr>
        <w:t>urgencia</w:t>
      </w:r>
      <w:r w:rsidRPr="003B6FD9">
        <w:rPr>
          <w:spacing w:val="-1"/>
          <w:lang w:val="es-ES_tradnl"/>
        </w:rPr>
        <w:t xml:space="preserve"> de </w:t>
      </w:r>
      <w:r w:rsidR="002B6063" w:rsidRPr="003B6FD9">
        <w:rPr>
          <w:spacing w:val="-1"/>
          <w:lang w:val="es-ES_tradnl"/>
        </w:rPr>
        <w:t xml:space="preserve">contactar </w:t>
      </w:r>
      <w:r w:rsidRPr="003B6FD9">
        <w:rPr>
          <w:spacing w:val="-1"/>
          <w:lang w:val="es-ES_tradnl"/>
        </w:rPr>
        <w:t xml:space="preserve">a los </w:t>
      </w:r>
      <w:r w:rsidR="005D490F" w:rsidRPr="003B6FD9">
        <w:rPr>
          <w:spacing w:val="-1"/>
          <w:lang w:val="es-ES_tradnl"/>
        </w:rPr>
        <w:t>delegados</w:t>
      </w:r>
      <w:r w:rsidR="00BD1FF7" w:rsidRPr="003B6FD9">
        <w:rPr>
          <w:spacing w:val="-1"/>
          <w:lang w:val="es-ES_tradnl"/>
        </w:rPr>
        <w:t xml:space="preserve"> </w:t>
      </w:r>
      <w:r w:rsidR="002B6063" w:rsidRPr="003B6FD9">
        <w:rPr>
          <w:spacing w:val="-1"/>
          <w:lang w:val="es-ES_tradnl"/>
        </w:rPr>
        <w:t>patrocinados con tiempo</w:t>
      </w:r>
      <w:r w:rsidRPr="003B6FD9">
        <w:rPr>
          <w:spacing w:val="-1"/>
          <w:lang w:val="es-ES_tradnl"/>
        </w:rPr>
        <w:t xml:space="preserve"> para </w:t>
      </w:r>
      <w:r w:rsidR="002B6063" w:rsidRPr="003B6FD9">
        <w:rPr>
          <w:spacing w:val="-1"/>
          <w:lang w:val="es-ES_tradnl"/>
        </w:rPr>
        <w:t>organizar los preparativos</w:t>
      </w:r>
      <w:r w:rsidRPr="003B6FD9">
        <w:rPr>
          <w:lang w:val="es-ES_tradnl"/>
        </w:rPr>
        <w:t xml:space="preserve"> del alojamiento, el viaje y los visados y la necesidad de </w:t>
      </w:r>
      <w:r w:rsidR="00C42F3F" w:rsidRPr="003B6FD9">
        <w:rPr>
          <w:lang w:val="es-ES_tradnl"/>
        </w:rPr>
        <w:t>pagar</w:t>
      </w:r>
      <w:r w:rsidRPr="003B6FD9">
        <w:rPr>
          <w:lang w:val="es-ES_tradnl"/>
        </w:rPr>
        <w:t xml:space="preserve"> depósitos para la logística y los hoteles, el Secretario General </w:t>
      </w:r>
      <w:r w:rsidR="00716EB1" w:rsidRPr="003B6FD9">
        <w:rPr>
          <w:lang w:val="es-ES_tradnl"/>
        </w:rPr>
        <w:t xml:space="preserve">solicitó al Comité Ejecutivo el 30 de marzo de 2015 que utilizara </w:t>
      </w:r>
      <w:r w:rsidR="00BD1FF7" w:rsidRPr="003B6FD9">
        <w:rPr>
          <w:spacing w:val="-1"/>
          <w:lang w:val="es-ES_tradnl"/>
        </w:rPr>
        <w:t>300</w:t>
      </w:r>
      <w:r w:rsidR="00716EB1" w:rsidRPr="003B6FD9">
        <w:rPr>
          <w:spacing w:val="-1"/>
          <w:lang w:val="es-ES_tradnl"/>
        </w:rPr>
        <w:t>.</w:t>
      </w:r>
      <w:r w:rsidR="00BD1FF7" w:rsidRPr="003B6FD9">
        <w:rPr>
          <w:spacing w:val="-1"/>
          <w:lang w:val="es-ES_tradnl"/>
        </w:rPr>
        <w:t xml:space="preserve">000 </w:t>
      </w:r>
      <w:r w:rsidR="00716EB1" w:rsidRPr="003B6FD9">
        <w:rPr>
          <w:spacing w:val="-1"/>
          <w:lang w:val="es-ES_tradnl"/>
        </w:rPr>
        <w:t xml:space="preserve">dólares de los EE.UU. </w:t>
      </w:r>
      <w:r w:rsidR="00F868A8" w:rsidRPr="003B6FD9">
        <w:rPr>
          <w:spacing w:val="-1"/>
          <w:lang w:val="es-ES_tradnl"/>
        </w:rPr>
        <w:t>(</w:t>
      </w:r>
      <w:r w:rsidR="00716EB1" w:rsidRPr="003B6FD9">
        <w:rPr>
          <w:spacing w:val="-1"/>
          <w:lang w:val="es-ES_tradnl"/>
        </w:rPr>
        <w:t xml:space="preserve">equivalentes a </w:t>
      </w:r>
      <w:r w:rsidR="00F868A8" w:rsidRPr="003B6FD9">
        <w:rPr>
          <w:spacing w:val="-1"/>
          <w:lang w:val="es-ES_tradnl"/>
        </w:rPr>
        <w:t>277</w:t>
      </w:r>
      <w:r w:rsidR="00716EB1" w:rsidRPr="003B6FD9">
        <w:rPr>
          <w:spacing w:val="-1"/>
          <w:lang w:val="es-ES_tradnl"/>
        </w:rPr>
        <w:t>.</w:t>
      </w:r>
      <w:r w:rsidR="00F868A8" w:rsidRPr="003B6FD9">
        <w:rPr>
          <w:spacing w:val="-1"/>
          <w:lang w:val="es-ES_tradnl"/>
        </w:rPr>
        <w:t>000</w:t>
      </w:r>
      <w:r w:rsidR="00716EB1" w:rsidRPr="003B6FD9">
        <w:rPr>
          <w:spacing w:val="-1"/>
          <w:lang w:val="es-ES_tradnl"/>
        </w:rPr>
        <w:t xml:space="preserve"> francos suizos) de los fondos de reserva de Ramsar</w:t>
      </w:r>
      <w:r w:rsidR="008864EF" w:rsidRPr="003B6FD9">
        <w:rPr>
          <w:spacing w:val="-1"/>
          <w:lang w:val="es-ES_tradnl"/>
        </w:rPr>
        <w:t xml:space="preserve"> con carácter excepcional</w:t>
      </w:r>
      <w:r w:rsidR="00716EB1" w:rsidRPr="003B6FD9">
        <w:rPr>
          <w:spacing w:val="-1"/>
          <w:lang w:val="es-ES_tradnl"/>
        </w:rPr>
        <w:t xml:space="preserve">. </w:t>
      </w:r>
      <w:r w:rsidR="008864EF" w:rsidRPr="003B6FD9">
        <w:rPr>
          <w:spacing w:val="-1"/>
          <w:lang w:val="es-ES_tradnl"/>
        </w:rPr>
        <w:t>Estaba previsto que esto</w:t>
      </w:r>
      <w:r w:rsidR="00716EB1" w:rsidRPr="003B6FD9">
        <w:rPr>
          <w:spacing w:val="-1"/>
          <w:lang w:val="es-ES_tradnl"/>
        </w:rPr>
        <w:t xml:space="preserve"> fuera una medida temporal mientras que la Secretaría </w:t>
      </w:r>
      <w:r w:rsidR="008864EF" w:rsidRPr="003B6FD9">
        <w:rPr>
          <w:spacing w:val="-1"/>
          <w:lang w:val="es-ES_tradnl"/>
        </w:rPr>
        <w:t>seguía buscando financiación</w:t>
      </w:r>
      <w:r w:rsidR="00716EB1" w:rsidRPr="003B6FD9">
        <w:rPr>
          <w:spacing w:val="-1"/>
          <w:lang w:val="es-ES_tradnl"/>
        </w:rPr>
        <w:t>.</w:t>
      </w:r>
    </w:p>
    <w:p w:rsidR="00BD1FF7" w:rsidRPr="003B6FD9" w:rsidRDefault="00BD1FF7" w:rsidP="00BD1FF7">
      <w:pPr>
        <w:pStyle w:val="BodyText"/>
        <w:ind w:left="426" w:firstLine="0"/>
        <w:rPr>
          <w:lang w:val="es-ES_tradnl"/>
        </w:rPr>
      </w:pPr>
    </w:p>
    <w:p w:rsidR="00C244B4" w:rsidRPr="003B6FD9" w:rsidRDefault="00716EB1" w:rsidP="00BD1FF7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spacing w:val="-1"/>
          <w:lang w:val="es-ES_tradnl"/>
        </w:rPr>
      </w:pPr>
      <w:r w:rsidRPr="003B6FD9">
        <w:rPr>
          <w:spacing w:val="-2"/>
          <w:lang w:val="es-ES_tradnl"/>
        </w:rPr>
        <w:t xml:space="preserve">El </w:t>
      </w:r>
      <w:r w:rsidR="00BD1FF7" w:rsidRPr="003B6FD9">
        <w:rPr>
          <w:spacing w:val="-2"/>
          <w:lang w:val="es-ES_tradnl"/>
        </w:rPr>
        <w:t xml:space="preserve">13 </w:t>
      </w:r>
      <w:r w:rsidRPr="003B6FD9">
        <w:rPr>
          <w:spacing w:val="-2"/>
          <w:lang w:val="es-ES_tradnl"/>
        </w:rPr>
        <w:t xml:space="preserve">de abril de </w:t>
      </w:r>
      <w:r w:rsidR="00BD1FF7" w:rsidRPr="003B6FD9">
        <w:rPr>
          <w:spacing w:val="-2"/>
          <w:lang w:val="es-ES_tradnl"/>
        </w:rPr>
        <w:t xml:space="preserve">2015, </w:t>
      </w:r>
      <w:r w:rsidRPr="003B6FD9">
        <w:rPr>
          <w:spacing w:val="-2"/>
          <w:lang w:val="es-ES_tradnl"/>
        </w:rPr>
        <w:t xml:space="preserve">la Presidencia del Subgrupo de Finanzas, con el acuerdo del </w:t>
      </w:r>
      <w:r w:rsidR="00C42F3F" w:rsidRPr="003B6FD9">
        <w:rPr>
          <w:spacing w:val="-2"/>
          <w:lang w:val="es-ES_tradnl"/>
        </w:rPr>
        <w:t>Subgrupo</w:t>
      </w:r>
      <w:r w:rsidRPr="003B6FD9">
        <w:rPr>
          <w:spacing w:val="-2"/>
          <w:lang w:val="es-ES_tradnl"/>
        </w:rPr>
        <w:t xml:space="preserve"> de Finanzas y de la Presidencia del Comité Ejecutivo, </w:t>
      </w:r>
      <w:r w:rsidR="00723596" w:rsidRPr="003B6FD9">
        <w:rPr>
          <w:spacing w:val="-2"/>
          <w:lang w:val="es-ES_tradnl"/>
        </w:rPr>
        <w:t>apoyó</w:t>
      </w:r>
      <w:r w:rsidR="003C11B9" w:rsidRPr="003B6FD9">
        <w:rPr>
          <w:spacing w:val="-2"/>
          <w:lang w:val="es-ES_tradnl"/>
        </w:rPr>
        <w:t xml:space="preserve"> la utilización </w:t>
      </w:r>
      <w:r w:rsidRPr="003B6FD9">
        <w:rPr>
          <w:spacing w:val="-2"/>
          <w:lang w:val="es-ES_tradnl"/>
        </w:rPr>
        <w:t xml:space="preserve">temporal de los fondos de reserva para </w:t>
      </w:r>
      <w:r w:rsidR="00141840" w:rsidRPr="003B6FD9">
        <w:rPr>
          <w:spacing w:val="-2"/>
          <w:lang w:val="es-ES_tradnl"/>
        </w:rPr>
        <w:t>el</w:t>
      </w:r>
      <w:r w:rsidRPr="003B6FD9">
        <w:rPr>
          <w:spacing w:val="-2"/>
          <w:lang w:val="es-ES_tradnl"/>
        </w:rPr>
        <w:t xml:space="preserve"> </w:t>
      </w:r>
      <w:r w:rsidR="005D490F" w:rsidRPr="003B6FD9">
        <w:rPr>
          <w:spacing w:val="-2"/>
          <w:lang w:val="es-ES_tradnl"/>
        </w:rPr>
        <w:t>patrocinio de delegados</w:t>
      </w:r>
      <w:r w:rsidRPr="003B6FD9">
        <w:rPr>
          <w:spacing w:val="-2"/>
          <w:lang w:val="es-ES_tradnl"/>
        </w:rPr>
        <w:t>.</w:t>
      </w:r>
    </w:p>
    <w:p w:rsidR="00BD1FF7" w:rsidRPr="003B6FD9" w:rsidRDefault="00BD1FF7" w:rsidP="00BD1FF7">
      <w:pPr>
        <w:pStyle w:val="ListParagraph"/>
        <w:rPr>
          <w:spacing w:val="-1"/>
          <w:lang w:val="es-ES_tradnl"/>
        </w:rPr>
      </w:pPr>
    </w:p>
    <w:p w:rsidR="00710743" w:rsidRPr="003B6FD9" w:rsidRDefault="00716EB1" w:rsidP="00BD1FF7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 xml:space="preserve">La utilización de </w:t>
      </w:r>
      <w:r w:rsidR="00BD1FF7" w:rsidRPr="003B6FD9">
        <w:rPr>
          <w:rFonts w:asciiTheme="minorHAnsi" w:hAnsiTheme="minorHAnsi"/>
          <w:spacing w:val="-1"/>
          <w:lang w:val="es-ES_tradnl"/>
        </w:rPr>
        <w:t>300</w:t>
      </w:r>
      <w:r w:rsidRPr="003B6FD9">
        <w:rPr>
          <w:rFonts w:asciiTheme="minorHAnsi" w:hAnsiTheme="minorHAnsi"/>
          <w:spacing w:val="-1"/>
          <w:lang w:val="es-ES_tradnl"/>
        </w:rPr>
        <w:t>.</w:t>
      </w:r>
      <w:r w:rsidR="00BD1FF7" w:rsidRPr="003B6FD9">
        <w:rPr>
          <w:rFonts w:asciiTheme="minorHAnsi" w:hAnsiTheme="minorHAnsi"/>
          <w:spacing w:val="-1"/>
          <w:lang w:val="es-ES_tradnl"/>
        </w:rPr>
        <w:t xml:space="preserve">000 </w:t>
      </w:r>
      <w:r w:rsidRPr="003B6FD9">
        <w:rPr>
          <w:rFonts w:asciiTheme="minorHAnsi" w:hAnsiTheme="minorHAnsi"/>
          <w:spacing w:val="-1"/>
          <w:lang w:val="es-ES_tradnl"/>
        </w:rPr>
        <w:t xml:space="preserve">dólares de los EE.UU. </w:t>
      </w:r>
      <w:r w:rsidR="00141840" w:rsidRPr="003B6FD9">
        <w:rPr>
          <w:rFonts w:asciiTheme="minorHAnsi" w:hAnsiTheme="minorHAnsi"/>
          <w:spacing w:val="-1"/>
          <w:lang w:val="es-ES_tradnl"/>
        </w:rPr>
        <w:t>del fondo de</w:t>
      </w:r>
      <w:r w:rsidRPr="003B6FD9">
        <w:rPr>
          <w:rFonts w:asciiTheme="minorHAnsi" w:hAnsiTheme="minorHAnsi"/>
          <w:spacing w:val="-1"/>
          <w:lang w:val="es-ES_tradnl"/>
        </w:rPr>
        <w:t xml:space="preserve"> reserva se cons</w:t>
      </w:r>
      <w:r w:rsidR="00141840" w:rsidRPr="003B6FD9">
        <w:rPr>
          <w:rFonts w:asciiTheme="minorHAnsi" w:hAnsiTheme="minorHAnsi"/>
          <w:spacing w:val="-1"/>
          <w:lang w:val="es-ES_tradnl"/>
        </w:rPr>
        <w:t xml:space="preserve">ideró como una medida temporal </w:t>
      </w:r>
      <w:r w:rsidRPr="003B6FD9">
        <w:rPr>
          <w:rFonts w:asciiTheme="minorHAnsi" w:hAnsiTheme="minorHAnsi"/>
          <w:spacing w:val="-1"/>
          <w:lang w:val="es-ES_tradnl"/>
        </w:rPr>
        <w:t xml:space="preserve">para </w:t>
      </w:r>
      <w:r w:rsidR="00141840" w:rsidRPr="003B6FD9">
        <w:rPr>
          <w:rFonts w:asciiTheme="minorHAnsi" w:hAnsiTheme="minorHAnsi"/>
          <w:spacing w:val="-1"/>
          <w:lang w:val="es-ES_tradnl"/>
        </w:rPr>
        <w:t xml:space="preserve">que se pudieran realizar </w:t>
      </w:r>
      <w:r w:rsidRPr="003B6FD9">
        <w:rPr>
          <w:rFonts w:asciiTheme="minorHAnsi" w:hAnsiTheme="minorHAnsi"/>
          <w:spacing w:val="-1"/>
          <w:lang w:val="es-ES_tradnl"/>
        </w:rPr>
        <w:t xml:space="preserve">los </w:t>
      </w:r>
      <w:r w:rsidR="00141840" w:rsidRPr="003B6FD9">
        <w:rPr>
          <w:rFonts w:asciiTheme="minorHAnsi" w:hAnsiTheme="minorHAnsi"/>
          <w:spacing w:val="-1"/>
          <w:lang w:val="es-ES_tradnl"/>
        </w:rPr>
        <w:t>preparativos</w:t>
      </w:r>
      <w:r w:rsidR="00BD1FF7" w:rsidRPr="003B6FD9">
        <w:rPr>
          <w:rFonts w:asciiTheme="minorHAnsi" w:hAnsiTheme="minorHAnsi"/>
          <w:spacing w:val="-1"/>
          <w:lang w:val="es-ES_tradnl"/>
        </w:rPr>
        <w:t xml:space="preserve"> </w:t>
      </w:r>
      <w:r w:rsidRPr="003B6FD9">
        <w:rPr>
          <w:rFonts w:asciiTheme="minorHAnsi" w:hAnsiTheme="minorHAnsi"/>
          <w:spacing w:val="-1"/>
          <w:lang w:val="es-ES_tradnl"/>
        </w:rPr>
        <w:t xml:space="preserve">del alojamiento y el viaje de los </w:t>
      </w:r>
      <w:r w:rsidR="005D490F" w:rsidRPr="003B6FD9">
        <w:rPr>
          <w:rFonts w:asciiTheme="minorHAnsi" w:hAnsiTheme="minorHAnsi"/>
          <w:spacing w:val="-1"/>
          <w:lang w:val="es-ES_tradnl"/>
        </w:rPr>
        <w:t>delegados</w:t>
      </w:r>
      <w:r w:rsidR="004E1856"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141840" w:rsidRPr="003B6FD9">
        <w:rPr>
          <w:rFonts w:asciiTheme="minorHAnsi" w:hAnsiTheme="minorHAnsi"/>
          <w:spacing w:val="-1"/>
          <w:lang w:val="es-ES_tradnl"/>
        </w:rPr>
        <w:t>patrocinados a tiempo para que estos pudiesen</w:t>
      </w:r>
      <w:r w:rsidRPr="003B6FD9">
        <w:rPr>
          <w:rFonts w:asciiTheme="minorHAnsi" w:hAnsiTheme="minorHAnsi"/>
          <w:spacing w:val="-1"/>
          <w:lang w:val="es-ES_tradnl"/>
        </w:rPr>
        <w:t xml:space="preserve"> asistir a la </w:t>
      </w:r>
      <w:r w:rsidR="004E1856" w:rsidRPr="003B6FD9">
        <w:rPr>
          <w:rFonts w:asciiTheme="minorHAnsi" w:hAnsiTheme="minorHAnsi"/>
          <w:spacing w:val="-1"/>
          <w:lang w:val="es-ES_tradnl"/>
        </w:rPr>
        <w:t>COP12</w:t>
      </w:r>
      <w:r w:rsidR="00710743" w:rsidRPr="003B6FD9">
        <w:rPr>
          <w:rFonts w:asciiTheme="minorHAnsi" w:hAnsiTheme="minorHAnsi"/>
          <w:spacing w:val="-1"/>
          <w:lang w:val="es-ES_tradnl"/>
        </w:rPr>
        <w:t xml:space="preserve">. </w:t>
      </w:r>
    </w:p>
    <w:p w:rsidR="00710743" w:rsidRPr="003B6FD9" w:rsidRDefault="00710743" w:rsidP="00710743">
      <w:pPr>
        <w:pStyle w:val="ListParagraph"/>
        <w:rPr>
          <w:spacing w:val="-1"/>
          <w:lang w:val="es-ES_tradnl"/>
        </w:rPr>
      </w:pPr>
    </w:p>
    <w:p w:rsidR="00710743" w:rsidRPr="003B6FD9" w:rsidRDefault="00716EB1" w:rsidP="00BD1FF7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 xml:space="preserve">Entre el </w:t>
      </w:r>
      <w:r w:rsidR="00BD1FF7" w:rsidRPr="003B6FD9">
        <w:rPr>
          <w:rFonts w:asciiTheme="minorHAnsi" w:hAnsiTheme="minorHAnsi"/>
          <w:spacing w:val="-1"/>
          <w:lang w:val="es-ES_tradnl"/>
        </w:rPr>
        <w:t xml:space="preserve">30 </w:t>
      </w:r>
      <w:r w:rsidRPr="003B6FD9">
        <w:rPr>
          <w:rFonts w:asciiTheme="minorHAnsi" w:hAnsiTheme="minorHAnsi"/>
          <w:spacing w:val="-1"/>
          <w:lang w:val="es-ES_tradnl"/>
        </w:rPr>
        <w:t xml:space="preserve">de marzo de </w:t>
      </w:r>
      <w:r w:rsidR="00BD1FF7" w:rsidRPr="003B6FD9">
        <w:rPr>
          <w:rFonts w:asciiTheme="minorHAnsi" w:hAnsiTheme="minorHAnsi"/>
          <w:spacing w:val="-1"/>
          <w:lang w:val="es-ES_tradnl"/>
        </w:rPr>
        <w:t>2015</w:t>
      </w:r>
      <w:r w:rsidR="00710743" w:rsidRPr="003B6FD9">
        <w:rPr>
          <w:rFonts w:asciiTheme="minorHAnsi" w:hAnsiTheme="minorHAnsi"/>
          <w:spacing w:val="-1"/>
          <w:lang w:val="es-ES_tradnl"/>
        </w:rPr>
        <w:t xml:space="preserve"> </w:t>
      </w:r>
      <w:r w:rsidRPr="003B6FD9">
        <w:rPr>
          <w:rFonts w:asciiTheme="minorHAnsi" w:hAnsiTheme="minorHAnsi"/>
          <w:spacing w:val="-1"/>
          <w:lang w:val="es-ES_tradnl"/>
        </w:rPr>
        <w:t xml:space="preserve">y el </w:t>
      </w:r>
      <w:r w:rsidR="00710743" w:rsidRPr="003B6FD9">
        <w:rPr>
          <w:rFonts w:asciiTheme="minorHAnsi" w:hAnsiTheme="minorHAnsi"/>
          <w:spacing w:val="-1"/>
          <w:lang w:val="es-ES_tradnl"/>
        </w:rPr>
        <w:t xml:space="preserve">11 </w:t>
      </w:r>
      <w:r w:rsidRPr="003B6FD9">
        <w:rPr>
          <w:rFonts w:asciiTheme="minorHAnsi" w:hAnsiTheme="minorHAnsi"/>
          <w:spacing w:val="-1"/>
          <w:lang w:val="es-ES_tradnl"/>
        </w:rPr>
        <w:t>de mayo de</w:t>
      </w:r>
      <w:r w:rsidR="00710743" w:rsidRPr="003B6FD9">
        <w:rPr>
          <w:rFonts w:asciiTheme="minorHAnsi" w:hAnsiTheme="minorHAnsi"/>
          <w:spacing w:val="-1"/>
          <w:lang w:val="es-ES_tradnl"/>
        </w:rPr>
        <w:t xml:space="preserve"> 2015</w:t>
      </w:r>
      <w:r w:rsidR="00BD1FF7" w:rsidRPr="003B6FD9">
        <w:rPr>
          <w:rFonts w:asciiTheme="minorHAnsi" w:hAnsiTheme="minorHAnsi"/>
          <w:spacing w:val="-1"/>
          <w:lang w:val="es-ES_tradnl"/>
        </w:rPr>
        <w:t xml:space="preserve">, </w:t>
      </w:r>
      <w:r w:rsidRPr="003B6FD9">
        <w:rPr>
          <w:rFonts w:asciiTheme="minorHAnsi" w:hAnsiTheme="minorHAnsi"/>
          <w:spacing w:val="-1"/>
          <w:lang w:val="es-ES_tradnl"/>
        </w:rPr>
        <w:t xml:space="preserve">la Secretaría recaudó </w:t>
      </w:r>
      <w:r w:rsidR="00BD1FF7" w:rsidRPr="003B6FD9">
        <w:rPr>
          <w:rFonts w:asciiTheme="minorHAnsi" w:hAnsiTheme="minorHAnsi"/>
          <w:spacing w:val="-1"/>
          <w:lang w:val="es-ES_tradnl"/>
        </w:rPr>
        <w:t>185</w:t>
      </w:r>
      <w:r w:rsidRPr="003B6FD9">
        <w:rPr>
          <w:rFonts w:asciiTheme="minorHAnsi" w:hAnsiTheme="minorHAnsi"/>
          <w:spacing w:val="-1"/>
          <w:lang w:val="es-ES_tradnl"/>
        </w:rPr>
        <w:t>.</w:t>
      </w:r>
      <w:r w:rsidR="00BD1FF7" w:rsidRPr="003B6FD9">
        <w:rPr>
          <w:rFonts w:asciiTheme="minorHAnsi" w:hAnsiTheme="minorHAnsi"/>
          <w:spacing w:val="-1"/>
          <w:lang w:val="es-ES_tradnl"/>
        </w:rPr>
        <w:t>000</w:t>
      </w:r>
      <w:r w:rsidRPr="003B6FD9">
        <w:rPr>
          <w:rFonts w:asciiTheme="minorHAnsi" w:hAnsiTheme="minorHAnsi"/>
          <w:spacing w:val="-1"/>
          <w:lang w:val="es-ES_tradnl"/>
        </w:rPr>
        <w:t xml:space="preserve"> dólares de los EE.UU. adicionales</w:t>
      </w:r>
      <w:r w:rsidR="00BD1FF7" w:rsidRPr="003B6FD9">
        <w:rPr>
          <w:rFonts w:asciiTheme="minorHAnsi" w:hAnsiTheme="minorHAnsi"/>
          <w:spacing w:val="-1"/>
          <w:lang w:val="es-ES_tradnl"/>
        </w:rPr>
        <w:t xml:space="preserve"> (150</w:t>
      </w:r>
      <w:r w:rsidRPr="003B6FD9">
        <w:rPr>
          <w:rFonts w:asciiTheme="minorHAnsi" w:hAnsiTheme="minorHAnsi"/>
          <w:spacing w:val="-1"/>
          <w:lang w:val="es-ES_tradnl"/>
        </w:rPr>
        <w:t>.</w:t>
      </w:r>
      <w:r w:rsidR="00BD1FF7" w:rsidRPr="003B6FD9">
        <w:rPr>
          <w:rFonts w:asciiTheme="minorHAnsi" w:hAnsiTheme="minorHAnsi"/>
          <w:spacing w:val="-1"/>
          <w:lang w:val="es-ES_tradnl"/>
        </w:rPr>
        <w:t>000</w:t>
      </w:r>
      <w:r w:rsidRPr="003B6FD9">
        <w:rPr>
          <w:rFonts w:asciiTheme="minorHAnsi" w:hAnsiTheme="minorHAnsi"/>
          <w:spacing w:val="-1"/>
          <w:lang w:val="es-ES_tradnl"/>
        </w:rPr>
        <w:t xml:space="preserve"> francos suizos), </w:t>
      </w:r>
      <w:r w:rsidR="00141840" w:rsidRPr="003B6FD9">
        <w:rPr>
          <w:rFonts w:asciiTheme="minorHAnsi" w:hAnsiTheme="minorHAnsi"/>
          <w:spacing w:val="-1"/>
          <w:lang w:val="es-ES_tradnl"/>
        </w:rPr>
        <w:t xml:space="preserve">por lo que el total de </w:t>
      </w:r>
      <w:r w:rsidRPr="003B6FD9">
        <w:rPr>
          <w:rFonts w:asciiTheme="minorHAnsi" w:hAnsiTheme="minorHAnsi"/>
          <w:spacing w:val="-1"/>
          <w:lang w:val="es-ES_tradnl"/>
        </w:rPr>
        <w:t>fondos recaudados</w:t>
      </w:r>
      <w:r w:rsidR="00141840" w:rsidRPr="003B6FD9">
        <w:rPr>
          <w:rFonts w:asciiTheme="minorHAnsi" w:hAnsiTheme="minorHAnsi"/>
          <w:spacing w:val="-1"/>
          <w:lang w:val="es-ES_tradnl"/>
        </w:rPr>
        <w:t xml:space="preserve"> asciende a</w:t>
      </w:r>
      <w:r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710743" w:rsidRPr="003B6FD9">
        <w:rPr>
          <w:rFonts w:asciiTheme="minorHAnsi" w:hAnsiTheme="minorHAnsi"/>
          <w:spacing w:val="-1"/>
          <w:lang w:val="es-ES_tradnl"/>
        </w:rPr>
        <w:t>485</w:t>
      </w:r>
      <w:r w:rsidRPr="003B6FD9">
        <w:rPr>
          <w:rFonts w:asciiTheme="minorHAnsi" w:hAnsiTheme="minorHAnsi"/>
          <w:spacing w:val="-1"/>
          <w:lang w:val="es-ES_tradnl"/>
        </w:rPr>
        <w:t>.</w:t>
      </w:r>
      <w:r w:rsidR="00710743" w:rsidRPr="003B6FD9">
        <w:rPr>
          <w:rFonts w:asciiTheme="minorHAnsi" w:hAnsiTheme="minorHAnsi"/>
          <w:spacing w:val="-1"/>
          <w:lang w:val="es-ES_tradnl"/>
        </w:rPr>
        <w:t xml:space="preserve">000 </w:t>
      </w:r>
      <w:r w:rsidRPr="003B6FD9">
        <w:rPr>
          <w:rFonts w:asciiTheme="minorHAnsi" w:hAnsiTheme="minorHAnsi"/>
          <w:spacing w:val="-1"/>
          <w:lang w:val="es-ES_tradnl"/>
        </w:rPr>
        <w:t xml:space="preserve">dólares </w:t>
      </w:r>
      <w:r w:rsidR="00141840" w:rsidRPr="003B6FD9">
        <w:rPr>
          <w:rFonts w:asciiTheme="minorHAnsi" w:hAnsiTheme="minorHAnsi"/>
          <w:spacing w:val="-1"/>
          <w:lang w:val="es-ES_tradnl"/>
        </w:rPr>
        <w:t>en comparación con el</w:t>
      </w:r>
      <w:r w:rsidRPr="003B6FD9">
        <w:rPr>
          <w:rFonts w:asciiTheme="minorHAnsi" w:hAnsiTheme="minorHAnsi"/>
          <w:spacing w:val="-1"/>
          <w:lang w:val="es-ES_tradnl"/>
        </w:rPr>
        <w:t xml:space="preserve"> presupuesto de </w:t>
      </w:r>
      <w:r w:rsidR="00710743" w:rsidRPr="003B6FD9">
        <w:rPr>
          <w:rFonts w:asciiTheme="minorHAnsi" w:hAnsiTheme="minorHAnsi"/>
          <w:spacing w:val="-1"/>
          <w:lang w:val="es-ES_tradnl"/>
        </w:rPr>
        <w:t>600</w:t>
      </w:r>
      <w:r w:rsidRPr="003B6FD9">
        <w:rPr>
          <w:rFonts w:asciiTheme="minorHAnsi" w:hAnsiTheme="minorHAnsi"/>
          <w:spacing w:val="-1"/>
          <w:lang w:val="es-ES_tradnl"/>
        </w:rPr>
        <w:t>.</w:t>
      </w:r>
      <w:r w:rsidR="00710743" w:rsidRPr="003B6FD9">
        <w:rPr>
          <w:rFonts w:asciiTheme="minorHAnsi" w:hAnsiTheme="minorHAnsi"/>
          <w:spacing w:val="-1"/>
          <w:lang w:val="es-ES_tradnl"/>
        </w:rPr>
        <w:t>000</w:t>
      </w:r>
      <w:r w:rsidRPr="003B6FD9">
        <w:rPr>
          <w:rFonts w:asciiTheme="minorHAnsi" w:hAnsiTheme="minorHAnsi"/>
          <w:spacing w:val="-1"/>
          <w:lang w:val="es-ES_tradnl"/>
        </w:rPr>
        <w:t xml:space="preserve"> dólares</w:t>
      </w:r>
      <w:r w:rsidR="00710743" w:rsidRPr="003B6FD9">
        <w:rPr>
          <w:rFonts w:asciiTheme="minorHAnsi" w:hAnsiTheme="minorHAnsi"/>
          <w:spacing w:val="-1"/>
          <w:lang w:val="es-ES_tradnl"/>
        </w:rPr>
        <w:t xml:space="preserve">. </w:t>
      </w:r>
      <w:r w:rsidRPr="003B6FD9">
        <w:rPr>
          <w:rFonts w:asciiTheme="minorHAnsi" w:hAnsiTheme="minorHAnsi"/>
          <w:spacing w:val="-1"/>
          <w:lang w:val="es-ES_tradnl"/>
        </w:rPr>
        <w:t xml:space="preserve">Esto </w:t>
      </w:r>
      <w:r w:rsidR="00C42F3F" w:rsidRPr="003B6FD9">
        <w:rPr>
          <w:rFonts w:asciiTheme="minorHAnsi" w:hAnsiTheme="minorHAnsi"/>
          <w:spacing w:val="-1"/>
          <w:lang w:val="es-ES_tradnl"/>
        </w:rPr>
        <w:t>significa</w:t>
      </w:r>
      <w:r w:rsidRPr="003B6FD9">
        <w:rPr>
          <w:rFonts w:asciiTheme="minorHAnsi" w:hAnsiTheme="minorHAnsi"/>
          <w:spacing w:val="-1"/>
          <w:lang w:val="es-ES_tradnl"/>
        </w:rPr>
        <w:t xml:space="preserve"> que siguen faltando </w:t>
      </w:r>
      <w:r w:rsidR="00710743" w:rsidRPr="003B6FD9">
        <w:rPr>
          <w:rFonts w:asciiTheme="minorHAnsi" w:hAnsiTheme="minorHAnsi"/>
          <w:spacing w:val="-1"/>
          <w:lang w:val="es-ES_tradnl"/>
        </w:rPr>
        <w:t>115</w:t>
      </w:r>
      <w:r w:rsidRPr="003B6FD9">
        <w:rPr>
          <w:rFonts w:asciiTheme="minorHAnsi" w:hAnsiTheme="minorHAnsi"/>
          <w:spacing w:val="-1"/>
          <w:lang w:val="es-ES_tradnl"/>
        </w:rPr>
        <w:t>.</w:t>
      </w:r>
      <w:r w:rsidR="00710743" w:rsidRPr="003B6FD9">
        <w:rPr>
          <w:rFonts w:asciiTheme="minorHAnsi" w:hAnsiTheme="minorHAnsi"/>
          <w:spacing w:val="-1"/>
          <w:lang w:val="es-ES_tradnl"/>
        </w:rPr>
        <w:t>000</w:t>
      </w:r>
      <w:r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141840" w:rsidRPr="003B6FD9">
        <w:rPr>
          <w:rFonts w:asciiTheme="minorHAnsi" w:hAnsiTheme="minorHAnsi"/>
          <w:spacing w:val="-1"/>
          <w:lang w:val="es-ES_tradnl"/>
        </w:rPr>
        <w:t>dólares para alcanzar el presupuesto</w:t>
      </w:r>
      <w:r w:rsidR="00710743" w:rsidRPr="003B6FD9">
        <w:rPr>
          <w:rFonts w:asciiTheme="minorHAnsi" w:hAnsiTheme="minorHAnsi"/>
          <w:spacing w:val="-1"/>
          <w:lang w:val="es-ES_tradnl"/>
        </w:rPr>
        <w:t xml:space="preserve">. </w:t>
      </w:r>
    </w:p>
    <w:p w:rsidR="005B4D25" w:rsidRPr="003B6FD9" w:rsidRDefault="005B4D25" w:rsidP="005B4D25">
      <w:pPr>
        <w:pStyle w:val="BodyText"/>
        <w:tabs>
          <w:tab w:val="left" w:pos="547"/>
        </w:tabs>
        <w:ind w:left="0" w:firstLine="0"/>
        <w:rPr>
          <w:rFonts w:asciiTheme="minorHAnsi" w:hAnsiTheme="minorHAnsi"/>
          <w:spacing w:val="-1"/>
          <w:lang w:val="es-ES_tradnl"/>
        </w:rPr>
      </w:pPr>
    </w:p>
    <w:p w:rsidR="005B4D25" w:rsidRPr="003B6FD9" w:rsidRDefault="00141840" w:rsidP="0083452F">
      <w:pPr>
        <w:pStyle w:val="BodyText"/>
        <w:numPr>
          <w:ilvl w:val="0"/>
          <w:numId w:val="5"/>
        </w:numPr>
        <w:ind w:left="426" w:hanging="426"/>
        <w:rPr>
          <w:rFonts w:asciiTheme="minorHAnsi" w:hAnsiTheme="minorHAnsi" w:cs="Calibri-Bold"/>
          <w:bCs/>
          <w:color w:val="FF0000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>La</w:t>
      </w:r>
      <w:r w:rsidR="00716EB1"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C42F3F" w:rsidRPr="003B6FD9">
        <w:rPr>
          <w:rFonts w:asciiTheme="minorHAnsi" w:hAnsiTheme="minorHAnsi"/>
          <w:b/>
          <w:spacing w:val="-1"/>
          <w:lang w:val="es-ES_tradnl"/>
        </w:rPr>
        <w:t>Tabla</w:t>
      </w:r>
      <w:r w:rsidR="00716EB1" w:rsidRPr="003B6FD9">
        <w:rPr>
          <w:rFonts w:asciiTheme="minorHAnsi" w:hAnsiTheme="minorHAnsi"/>
          <w:b/>
          <w:spacing w:val="-1"/>
          <w:lang w:val="es-ES_tradnl"/>
        </w:rPr>
        <w:t xml:space="preserve"> 3 </w:t>
      </w:r>
      <w:r w:rsidRPr="003B6FD9">
        <w:rPr>
          <w:rFonts w:asciiTheme="minorHAnsi" w:hAnsiTheme="minorHAnsi"/>
          <w:spacing w:val="-1"/>
          <w:lang w:val="es-ES_tradnl"/>
        </w:rPr>
        <w:t xml:space="preserve">muestra una </w:t>
      </w:r>
      <w:r w:rsidR="00716EB1" w:rsidRPr="003B6FD9">
        <w:rPr>
          <w:rFonts w:asciiTheme="minorHAnsi" w:hAnsiTheme="minorHAnsi"/>
          <w:spacing w:val="-1"/>
          <w:lang w:val="es-ES_tradnl"/>
        </w:rPr>
        <w:t xml:space="preserve">lista de las fuentes de financiación para </w:t>
      </w:r>
      <w:r w:rsidRPr="003B6FD9">
        <w:rPr>
          <w:rFonts w:asciiTheme="minorHAnsi" w:hAnsiTheme="minorHAnsi"/>
          <w:spacing w:val="-1"/>
          <w:lang w:val="es-ES_tradnl"/>
        </w:rPr>
        <w:t>el</w:t>
      </w:r>
      <w:r w:rsidR="00716EB1"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5D490F" w:rsidRPr="003B6FD9">
        <w:rPr>
          <w:rFonts w:asciiTheme="minorHAnsi" w:hAnsiTheme="minorHAnsi"/>
          <w:spacing w:val="-1"/>
          <w:lang w:val="es-ES_tradnl"/>
        </w:rPr>
        <w:t>patrocinio de delegados</w:t>
      </w:r>
      <w:r w:rsidR="005B4D25"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716EB1" w:rsidRPr="003B6FD9">
        <w:rPr>
          <w:rFonts w:asciiTheme="minorHAnsi" w:hAnsiTheme="minorHAnsi"/>
          <w:spacing w:val="-1"/>
          <w:lang w:val="es-ES_tradnl"/>
        </w:rPr>
        <w:t>y</w:t>
      </w:r>
      <w:r w:rsidRPr="003B6FD9">
        <w:rPr>
          <w:rFonts w:asciiTheme="minorHAnsi" w:hAnsiTheme="minorHAnsi"/>
          <w:spacing w:val="-1"/>
          <w:lang w:val="es-ES_tradnl"/>
        </w:rPr>
        <w:t xml:space="preserve"> de las cantidades obtenidas </w:t>
      </w:r>
      <w:r w:rsidR="00716EB1" w:rsidRPr="003B6FD9">
        <w:rPr>
          <w:rFonts w:asciiTheme="minorHAnsi" w:hAnsiTheme="minorHAnsi"/>
          <w:spacing w:val="-1"/>
          <w:lang w:val="es-ES_tradnl"/>
        </w:rPr>
        <w:t>hasta el 18 de mayo de</w:t>
      </w:r>
      <w:r w:rsidR="004E1856"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1F2D4B" w:rsidRPr="003B6FD9">
        <w:rPr>
          <w:rFonts w:asciiTheme="minorHAnsi" w:hAnsiTheme="minorHAnsi"/>
          <w:spacing w:val="-1"/>
          <w:lang w:val="es-ES_tradnl"/>
        </w:rPr>
        <w:t>2015</w:t>
      </w:r>
      <w:r w:rsidR="005B4D25" w:rsidRPr="003B6FD9">
        <w:rPr>
          <w:rFonts w:asciiTheme="minorHAnsi" w:hAnsiTheme="minorHAnsi"/>
          <w:spacing w:val="-1"/>
          <w:lang w:val="es-ES_tradnl"/>
        </w:rPr>
        <w:t>.</w:t>
      </w:r>
    </w:p>
    <w:p w:rsidR="005B4D25" w:rsidRPr="003B6FD9" w:rsidRDefault="005B4D25" w:rsidP="005B4D25">
      <w:pPr>
        <w:pStyle w:val="BodyText"/>
        <w:tabs>
          <w:tab w:val="left" w:pos="547"/>
        </w:tabs>
        <w:ind w:left="426" w:firstLine="0"/>
        <w:rPr>
          <w:rFonts w:asciiTheme="minorHAnsi" w:hAnsiTheme="minorHAnsi" w:cs="Calibri-Bold"/>
          <w:bCs/>
          <w:lang w:val="es-ES_tradnl"/>
        </w:rPr>
      </w:pPr>
    </w:p>
    <w:p w:rsidR="00F868A8" w:rsidRPr="003B6FD9" w:rsidRDefault="00716EB1" w:rsidP="00F868A8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spacing w:val="-1"/>
          <w:lang w:val="es-ES_tradnl"/>
        </w:rPr>
      </w:pPr>
      <w:r w:rsidRPr="003B6FD9">
        <w:rPr>
          <w:rFonts w:asciiTheme="minorHAnsi" w:hAnsiTheme="minorHAnsi" w:cs="Calibri-Bold"/>
          <w:bCs/>
          <w:lang w:val="es-ES_tradnl"/>
        </w:rPr>
        <w:t xml:space="preserve">A </w:t>
      </w:r>
      <w:r w:rsidR="005B4D25" w:rsidRPr="003B6FD9">
        <w:rPr>
          <w:rFonts w:asciiTheme="minorHAnsi" w:hAnsiTheme="minorHAnsi" w:cs="Calibri-Bold"/>
          <w:bCs/>
          <w:lang w:val="es-ES_tradnl"/>
        </w:rPr>
        <w:t>11</w:t>
      </w:r>
      <w:r w:rsidRPr="003B6FD9">
        <w:rPr>
          <w:rFonts w:asciiTheme="minorHAnsi" w:hAnsiTheme="minorHAnsi" w:cs="Calibri-Bold"/>
          <w:bCs/>
          <w:lang w:val="es-ES_tradnl"/>
        </w:rPr>
        <w:t xml:space="preserve"> de mayo de </w:t>
      </w:r>
      <w:r w:rsidR="005B4D25" w:rsidRPr="003B6FD9">
        <w:rPr>
          <w:rFonts w:asciiTheme="minorHAnsi" w:hAnsiTheme="minorHAnsi" w:cs="Calibri-Bold"/>
          <w:bCs/>
          <w:lang w:val="es-ES_tradnl"/>
        </w:rPr>
        <w:t xml:space="preserve">2015, </w:t>
      </w:r>
      <w:r w:rsidRPr="003B6FD9">
        <w:rPr>
          <w:rFonts w:asciiTheme="minorHAnsi" w:hAnsiTheme="minorHAnsi" w:cs="Calibri-Bold"/>
          <w:bCs/>
          <w:lang w:val="es-ES_tradnl"/>
        </w:rPr>
        <w:t xml:space="preserve">se </w:t>
      </w:r>
      <w:r w:rsidR="00141840" w:rsidRPr="003B6FD9">
        <w:rPr>
          <w:rFonts w:asciiTheme="minorHAnsi" w:hAnsiTheme="minorHAnsi" w:cs="Calibri-Bold"/>
          <w:bCs/>
          <w:lang w:val="es-ES_tradnl"/>
        </w:rPr>
        <w:t>calcula</w:t>
      </w:r>
      <w:r w:rsidRPr="003B6FD9">
        <w:rPr>
          <w:rFonts w:asciiTheme="minorHAnsi" w:hAnsiTheme="minorHAnsi" w:cs="Calibri-Bold"/>
          <w:bCs/>
          <w:lang w:val="es-ES_tradnl"/>
        </w:rPr>
        <w:t xml:space="preserve"> que los costos reales de patrocinar a 29 delegados ascienden a</w:t>
      </w:r>
      <w:r w:rsidR="005B4D25" w:rsidRPr="003B6FD9">
        <w:rPr>
          <w:rFonts w:asciiTheme="minorHAnsi" w:hAnsiTheme="minorHAnsi" w:cs="Calibri-Bold"/>
          <w:bCs/>
          <w:lang w:val="es-ES_tradnl"/>
        </w:rPr>
        <w:t xml:space="preserve"> 140</w:t>
      </w:r>
      <w:r w:rsidRPr="003B6FD9">
        <w:rPr>
          <w:rFonts w:asciiTheme="minorHAnsi" w:hAnsiTheme="minorHAnsi" w:cs="Calibri-Bold"/>
          <w:bCs/>
          <w:lang w:val="es-ES_tradnl"/>
        </w:rPr>
        <w:t>.</w:t>
      </w:r>
      <w:r w:rsidR="005B4D25" w:rsidRPr="003B6FD9">
        <w:rPr>
          <w:rFonts w:asciiTheme="minorHAnsi" w:hAnsiTheme="minorHAnsi" w:cs="Calibri-Bold"/>
          <w:bCs/>
          <w:lang w:val="es-ES_tradnl"/>
        </w:rPr>
        <w:t>000</w:t>
      </w:r>
      <w:r w:rsidRPr="003B6FD9">
        <w:rPr>
          <w:rFonts w:asciiTheme="minorHAnsi" w:hAnsiTheme="minorHAnsi" w:cs="Calibri-Bold"/>
          <w:bCs/>
          <w:lang w:val="es-ES_tradnl"/>
        </w:rPr>
        <w:t xml:space="preserve"> dólares</w:t>
      </w:r>
      <w:r w:rsidR="00141840" w:rsidRPr="003B6FD9">
        <w:rPr>
          <w:rFonts w:asciiTheme="minorHAnsi" w:hAnsiTheme="minorHAnsi" w:cs="Calibri-Bold"/>
          <w:bCs/>
          <w:lang w:val="es-ES_tradnl"/>
        </w:rPr>
        <w:t xml:space="preserve"> de los EE.UU</w:t>
      </w:r>
      <w:r w:rsidR="005B4D25" w:rsidRPr="003B6FD9">
        <w:rPr>
          <w:rFonts w:asciiTheme="minorHAnsi" w:hAnsiTheme="minorHAnsi" w:cs="Calibri-Bold"/>
          <w:bCs/>
          <w:lang w:val="es-ES_tradnl"/>
        </w:rPr>
        <w:t xml:space="preserve">. </w:t>
      </w:r>
      <w:r w:rsidRPr="003B6FD9">
        <w:rPr>
          <w:rFonts w:asciiTheme="minorHAnsi" w:hAnsiTheme="minorHAnsi" w:cs="Calibri-Bold"/>
          <w:bCs/>
          <w:lang w:val="es-ES_tradnl"/>
        </w:rPr>
        <w:t xml:space="preserve">Por lo tanto, </w:t>
      </w:r>
      <w:r w:rsidR="00141840" w:rsidRPr="003B6FD9">
        <w:rPr>
          <w:rFonts w:asciiTheme="minorHAnsi" w:hAnsiTheme="minorHAnsi" w:cs="Calibri-Bold"/>
          <w:bCs/>
          <w:lang w:val="es-ES_tradnl"/>
        </w:rPr>
        <w:t xml:space="preserve">se calcula que el </w:t>
      </w:r>
      <w:r w:rsidRPr="003B6FD9">
        <w:rPr>
          <w:rFonts w:asciiTheme="minorHAnsi" w:hAnsiTheme="minorHAnsi" w:cs="Calibri-Bold"/>
          <w:bCs/>
          <w:lang w:val="es-ES_tradnl"/>
        </w:rPr>
        <w:t xml:space="preserve">costo medio </w:t>
      </w:r>
      <w:r w:rsidR="003220E3" w:rsidRPr="003B6FD9">
        <w:rPr>
          <w:rFonts w:asciiTheme="minorHAnsi" w:hAnsiTheme="minorHAnsi" w:cs="Calibri-Bold"/>
          <w:bCs/>
          <w:lang w:val="es-ES_tradnl"/>
        </w:rPr>
        <w:t xml:space="preserve">es de </w:t>
      </w:r>
      <w:r w:rsidR="00F868A8" w:rsidRPr="003B6FD9">
        <w:rPr>
          <w:rFonts w:asciiTheme="minorHAnsi" w:hAnsiTheme="minorHAnsi" w:cs="Calibri-Bold"/>
          <w:bCs/>
          <w:lang w:val="es-ES_tradnl"/>
        </w:rPr>
        <w:t>4</w:t>
      </w:r>
      <w:r w:rsidR="003220E3" w:rsidRPr="003B6FD9">
        <w:rPr>
          <w:rFonts w:asciiTheme="minorHAnsi" w:hAnsiTheme="minorHAnsi" w:cs="Calibri-Bold"/>
          <w:bCs/>
          <w:lang w:val="es-ES_tradnl"/>
        </w:rPr>
        <w:t>.</w:t>
      </w:r>
      <w:r w:rsidR="00F868A8" w:rsidRPr="003B6FD9">
        <w:rPr>
          <w:rFonts w:asciiTheme="minorHAnsi" w:hAnsiTheme="minorHAnsi" w:cs="Calibri-Bold"/>
          <w:bCs/>
          <w:lang w:val="es-ES_tradnl"/>
        </w:rPr>
        <w:t xml:space="preserve">750 </w:t>
      </w:r>
      <w:r w:rsidR="00141840" w:rsidRPr="003B6FD9">
        <w:rPr>
          <w:rFonts w:asciiTheme="minorHAnsi" w:hAnsiTheme="minorHAnsi" w:cs="Calibri-Bold"/>
          <w:bCs/>
          <w:lang w:val="es-ES_tradnl"/>
        </w:rPr>
        <w:t xml:space="preserve">dólares </w:t>
      </w:r>
      <w:r w:rsidR="003220E3" w:rsidRPr="003B6FD9">
        <w:rPr>
          <w:rFonts w:asciiTheme="minorHAnsi" w:hAnsiTheme="minorHAnsi" w:cs="Calibri-Bold"/>
          <w:bCs/>
          <w:lang w:val="es-ES_tradnl"/>
        </w:rPr>
        <w:t xml:space="preserve">en </w:t>
      </w:r>
      <w:r w:rsidR="003220E3" w:rsidRPr="003B6FD9">
        <w:rPr>
          <w:rFonts w:asciiTheme="minorHAnsi" w:hAnsiTheme="minorHAnsi" w:cs="Calibri-Bold"/>
          <w:bCs/>
          <w:lang w:val="es-ES_tradnl"/>
        </w:rPr>
        <w:lastRenderedPageBreak/>
        <w:t xml:space="preserve">comparación con el presupuesto original de </w:t>
      </w:r>
      <w:r w:rsidR="00F868A8" w:rsidRPr="003B6FD9">
        <w:rPr>
          <w:rFonts w:asciiTheme="minorHAnsi" w:hAnsiTheme="minorHAnsi" w:cs="Calibri-Bold"/>
          <w:bCs/>
          <w:lang w:val="es-ES_tradnl"/>
        </w:rPr>
        <w:t>4</w:t>
      </w:r>
      <w:r w:rsidR="003220E3" w:rsidRPr="003B6FD9">
        <w:rPr>
          <w:rFonts w:asciiTheme="minorHAnsi" w:hAnsiTheme="minorHAnsi" w:cs="Calibri-Bold"/>
          <w:bCs/>
          <w:lang w:val="es-ES_tradnl"/>
        </w:rPr>
        <w:t>.</w:t>
      </w:r>
      <w:r w:rsidR="00F868A8" w:rsidRPr="003B6FD9">
        <w:rPr>
          <w:rFonts w:asciiTheme="minorHAnsi" w:hAnsiTheme="minorHAnsi" w:cs="Calibri-Bold"/>
          <w:bCs/>
          <w:lang w:val="es-ES_tradnl"/>
        </w:rPr>
        <w:t>930</w:t>
      </w:r>
      <w:r w:rsidR="00141840" w:rsidRPr="003B6FD9">
        <w:rPr>
          <w:rFonts w:asciiTheme="minorHAnsi" w:hAnsiTheme="minorHAnsi" w:cs="Calibri-Bold"/>
          <w:bCs/>
          <w:lang w:val="es-ES_tradnl"/>
        </w:rPr>
        <w:t xml:space="preserve"> dólares. No obstante, la </w:t>
      </w:r>
      <w:r w:rsidR="00C42F3F" w:rsidRPr="003B6FD9">
        <w:rPr>
          <w:rFonts w:asciiTheme="minorHAnsi" w:hAnsiTheme="minorHAnsi" w:cs="Calibri-Bold"/>
          <w:bCs/>
          <w:lang w:val="es-ES_tradnl"/>
        </w:rPr>
        <w:t>diferencia</w:t>
      </w:r>
      <w:r w:rsidR="003220E3" w:rsidRPr="003B6FD9">
        <w:rPr>
          <w:rFonts w:asciiTheme="minorHAnsi" w:hAnsiTheme="minorHAnsi" w:cs="Calibri-Bold"/>
          <w:bCs/>
          <w:lang w:val="es-ES_tradnl"/>
        </w:rPr>
        <w:t xml:space="preserve"> no se </w:t>
      </w:r>
      <w:r w:rsidR="00C42F3F" w:rsidRPr="003B6FD9">
        <w:rPr>
          <w:rFonts w:asciiTheme="minorHAnsi" w:hAnsiTheme="minorHAnsi" w:cs="Calibri-Bold"/>
          <w:bCs/>
          <w:lang w:val="es-ES_tradnl"/>
        </w:rPr>
        <w:t>considera</w:t>
      </w:r>
      <w:r w:rsidR="003220E3" w:rsidRPr="003B6FD9">
        <w:rPr>
          <w:rFonts w:asciiTheme="minorHAnsi" w:hAnsiTheme="minorHAnsi" w:cs="Calibri-Bold"/>
          <w:bCs/>
          <w:lang w:val="es-ES_tradnl"/>
        </w:rPr>
        <w:t xml:space="preserve"> lo suficientemente importante </w:t>
      </w:r>
      <w:r w:rsidR="00141840" w:rsidRPr="003B6FD9">
        <w:rPr>
          <w:rFonts w:asciiTheme="minorHAnsi" w:hAnsiTheme="minorHAnsi" w:cs="Calibri-Bold"/>
          <w:bCs/>
          <w:lang w:val="es-ES_tradnl"/>
        </w:rPr>
        <w:t xml:space="preserve">como para justificar </w:t>
      </w:r>
      <w:r w:rsidR="003220E3" w:rsidRPr="003B6FD9">
        <w:rPr>
          <w:rFonts w:asciiTheme="minorHAnsi" w:hAnsiTheme="minorHAnsi" w:cs="Calibri-Bold"/>
          <w:bCs/>
          <w:lang w:val="es-ES_tradnl"/>
        </w:rPr>
        <w:t xml:space="preserve">un </w:t>
      </w:r>
      <w:r w:rsidR="00C42F3F" w:rsidRPr="003B6FD9">
        <w:rPr>
          <w:rFonts w:asciiTheme="minorHAnsi" w:hAnsiTheme="minorHAnsi" w:cs="Calibri-Bold"/>
          <w:bCs/>
          <w:lang w:val="es-ES_tradnl"/>
        </w:rPr>
        <w:t>nuevo</w:t>
      </w:r>
      <w:r w:rsidR="003220E3" w:rsidRPr="003B6FD9">
        <w:rPr>
          <w:rFonts w:asciiTheme="minorHAnsi" w:hAnsiTheme="minorHAnsi" w:cs="Calibri-Bold"/>
          <w:bCs/>
          <w:lang w:val="es-ES_tradnl"/>
        </w:rPr>
        <w:t xml:space="preserve"> cálculo del </w:t>
      </w:r>
      <w:r w:rsidR="00C42F3F" w:rsidRPr="003B6FD9">
        <w:rPr>
          <w:rFonts w:asciiTheme="minorHAnsi" w:hAnsiTheme="minorHAnsi" w:cs="Calibri-Bold"/>
          <w:bCs/>
          <w:lang w:val="es-ES_tradnl"/>
        </w:rPr>
        <w:t>presupuesto</w:t>
      </w:r>
      <w:r w:rsidR="003220E3" w:rsidRPr="003B6FD9">
        <w:rPr>
          <w:rFonts w:asciiTheme="minorHAnsi" w:hAnsiTheme="minorHAnsi" w:cs="Calibri-Bold"/>
          <w:bCs/>
          <w:lang w:val="es-ES_tradnl"/>
        </w:rPr>
        <w:t xml:space="preserve"> total </w:t>
      </w:r>
      <w:r w:rsidR="00C42F3F" w:rsidRPr="003B6FD9">
        <w:rPr>
          <w:rFonts w:asciiTheme="minorHAnsi" w:hAnsiTheme="minorHAnsi" w:cs="Calibri-Bold"/>
          <w:bCs/>
          <w:lang w:val="es-ES_tradnl"/>
        </w:rPr>
        <w:t>necesario</w:t>
      </w:r>
      <w:r w:rsidR="00F868A8" w:rsidRPr="003B6FD9">
        <w:rPr>
          <w:rFonts w:asciiTheme="minorHAnsi" w:hAnsiTheme="minorHAnsi" w:cs="Calibri-Bold"/>
          <w:bCs/>
          <w:lang w:val="es-ES_tradnl"/>
        </w:rPr>
        <w:t>.</w:t>
      </w:r>
    </w:p>
    <w:p w:rsidR="00F868A8" w:rsidRPr="003B6FD9" w:rsidRDefault="00F868A8" w:rsidP="00F868A8">
      <w:pPr>
        <w:pStyle w:val="ListParagraph"/>
        <w:rPr>
          <w:spacing w:val="-1"/>
          <w:lang w:val="es-ES_tradnl"/>
        </w:rPr>
      </w:pPr>
    </w:p>
    <w:p w:rsidR="00F868A8" w:rsidRPr="003B6FD9" w:rsidRDefault="003220E3" w:rsidP="00BD1FF7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 xml:space="preserve">A partir de mayo de </w:t>
      </w:r>
      <w:r w:rsidR="009534C2" w:rsidRPr="003B6FD9">
        <w:rPr>
          <w:rFonts w:asciiTheme="minorHAnsi" w:hAnsiTheme="minorHAnsi"/>
          <w:spacing w:val="-1"/>
          <w:lang w:val="es-ES_tradnl"/>
        </w:rPr>
        <w:t>2015</w:t>
      </w:r>
      <w:r w:rsidR="00710743" w:rsidRPr="003B6FD9">
        <w:rPr>
          <w:rFonts w:asciiTheme="minorHAnsi" w:hAnsiTheme="minorHAnsi"/>
          <w:spacing w:val="-1"/>
          <w:lang w:val="es-ES_tradnl"/>
        </w:rPr>
        <w:t xml:space="preserve">, </w:t>
      </w:r>
      <w:r w:rsidRPr="003B6FD9">
        <w:rPr>
          <w:rFonts w:asciiTheme="minorHAnsi" w:hAnsiTheme="minorHAnsi"/>
          <w:spacing w:val="-1"/>
          <w:lang w:val="es-ES_tradnl"/>
        </w:rPr>
        <w:t xml:space="preserve">se dispone de un excedente adicional de </w:t>
      </w:r>
      <w:r w:rsidR="00BD1FF7" w:rsidRPr="003B6FD9">
        <w:rPr>
          <w:rFonts w:asciiTheme="minorHAnsi" w:hAnsiTheme="minorHAnsi"/>
          <w:spacing w:val="-1"/>
          <w:lang w:val="es-ES_tradnl"/>
        </w:rPr>
        <w:t>115</w:t>
      </w:r>
      <w:r w:rsidRPr="003B6FD9">
        <w:rPr>
          <w:rFonts w:asciiTheme="minorHAnsi" w:hAnsiTheme="minorHAnsi"/>
          <w:spacing w:val="-1"/>
          <w:lang w:val="es-ES_tradnl"/>
        </w:rPr>
        <w:t>.</w:t>
      </w:r>
      <w:r w:rsidR="00BD1FF7" w:rsidRPr="003B6FD9">
        <w:rPr>
          <w:rFonts w:asciiTheme="minorHAnsi" w:hAnsiTheme="minorHAnsi"/>
          <w:spacing w:val="-1"/>
          <w:lang w:val="es-ES_tradnl"/>
        </w:rPr>
        <w:t>000</w:t>
      </w:r>
      <w:r w:rsidRPr="003B6FD9">
        <w:rPr>
          <w:rFonts w:asciiTheme="minorHAnsi" w:hAnsiTheme="minorHAnsi"/>
          <w:spacing w:val="-1"/>
          <w:lang w:val="es-ES_tradnl"/>
        </w:rPr>
        <w:t xml:space="preserve"> francos suizos</w:t>
      </w:r>
      <w:r w:rsidR="00BD1FF7" w:rsidRPr="003B6FD9">
        <w:rPr>
          <w:rFonts w:asciiTheme="minorHAnsi" w:hAnsiTheme="minorHAnsi"/>
          <w:spacing w:val="-1"/>
          <w:lang w:val="es-ES_tradnl"/>
        </w:rPr>
        <w:t xml:space="preserve"> (122</w:t>
      </w:r>
      <w:r w:rsidRPr="003B6FD9">
        <w:rPr>
          <w:rFonts w:asciiTheme="minorHAnsi" w:hAnsiTheme="minorHAnsi"/>
          <w:spacing w:val="-1"/>
          <w:lang w:val="es-ES_tradnl"/>
        </w:rPr>
        <w:t>.</w:t>
      </w:r>
      <w:r w:rsidR="00BD1FF7" w:rsidRPr="003B6FD9">
        <w:rPr>
          <w:rFonts w:asciiTheme="minorHAnsi" w:hAnsiTheme="minorHAnsi"/>
          <w:spacing w:val="-1"/>
          <w:lang w:val="es-ES_tradnl"/>
        </w:rPr>
        <w:t>000</w:t>
      </w:r>
      <w:r w:rsidRPr="003B6FD9">
        <w:rPr>
          <w:rFonts w:asciiTheme="minorHAnsi" w:hAnsiTheme="minorHAnsi"/>
          <w:spacing w:val="-1"/>
          <w:lang w:val="es-ES_tradnl"/>
        </w:rPr>
        <w:t xml:space="preserve"> dólares de los EE.UU.</w:t>
      </w:r>
      <w:r w:rsidR="00BD1FF7" w:rsidRPr="003B6FD9">
        <w:rPr>
          <w:rFonts w:asciiTheme="minorHAnsi" w:hAnsiTheme="minorHAnsi"/>
          <w:spacing w:val="-1"/>
          <w:lang w:val="es-ES_tradnl"/>
        </w:rPr>
        <w:t xml:space="preserve">) </w:t>
      </w:r>
      <w:r w:rsidR="00141840" w:rsidRPr="003B6FD9">
        <w:rPr>
          <w:rFonts w:asciiTheme="minorHAnsi" w:hAnsiTheme="minorHAnsi"/>
          <w:spacing w:val="-1"/>
          <w:lang w:val="es-ES_tradnl"/>
        </w:rPr>
        <w:t>de 2014</w:t>
      </w:r>
      <w:r w:rsidR="001468D5" w:rsidRPr="003B6FD9">
        <w:rPr>
          <w:rFonts w:asciiTheme="minorHAnsi" w:hAnsiTheme="minorHAnsi"/>
          <w:spacing w:val="-1"/>
          <w:lang w:val="es-ES_tradnl"/>
        </w:rPr>
        <w:t>,</w:t>
      </w:r>
      <w:r w:rsidR="00141840" w:rsidRPr="003B6FD9">
        <w:rPr>
          <w:rFonts w:asciiTheme="minorHAnsi" w:hAnsiTheme="minorHAnsi"/>
          <w:spacing w:val="-1"/>
          <w:lang w:val="es-ES_tradnl"/>
        </w:rPr>
        <w:t xml:space="preserve"> </w:t>
      </w:r>
      <w:r w:rsidRPr="003B6FD9">
        <w:rPr>
          <w:rFonts w:asciiTheme="minorHAnsi" w:hAnsiTheme="minorHAnsi"/>
          <w:spacing w:val="-1"/>
          <w:lang w:val="es-ES_tradnl"/>
        </w:rPr>
        <w:t xml:space="preserve">principalmente debido </w:t>
      </w:r>
      <w:r w:rsidR="00141840" w:rsidRPr="003B6FD9">
        <w:rPr>
          <w:rFonts w:asciiTheme="minorHAnsi" w:hAnsiTheme="minorHAnsi"/>
          <w:spacing w:val="-1"/>
          <w:lang w:val="es-ES_tradnl"/>
        </w:rPr>
        <w:t xml:space="preserve">a ganancias </w:t>
      </w:r>
      <w:r w:rsidR="001468D5" w:rsidRPr="003B6FD9">
        <w:rPr>
          <w:rFonts w:asciiTheme="minorHAnsi" w:hAnsiTheme="minorHAnsi"/>
          <w:spacing w:val="-1"/>
          <w:lang w:val="es-ES_tradnl"/>
        </w:rPr>
        <w:t xml:space="preserve">por diferencias cambiarias </w:t>
      </w:r>
      <w:r w:rsidRPr="003B6FD9">
        <w:rPr>
          <w:rFonts w:asciiTheme="minorHAnsi" w:hAnsiTheme="minorHAnsi"/>
          <w:spacing w:val="-1"/>
          <w:lang w:val="es-ES_tradnl"/>
        </w:rPr>
        <w:t>no declaradas por la UICN hasta finales de enero de 2015.</w:t>
      </w:r>
    </w:p>
    <w:p w:rsidR="00F868A8" w:rsidRPr="003B6FD9" w:rsidRDefault="00F868A8" w:rsidP="00F868A8">
      <w:pPr>
        <w:pStyle w:val="ListParagraph"/>
        <w:rPr>
          <w:spacing w:val="-1"/>
          <w:lang w:val="es-ES_tradnl"/>
        </w:rPr>
      </w:pPr>
    </w:p>
    <w:p w:rsidR="00F868A8" w:rsidRPr="003B6FD9" w:rsidRDefault="003220E3" w:rsidP="00BD1FF7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>Considerando la</w:t>
      </w:r>
      <w:r w:rsidR="002551F8" w:rsidRPr="003B6FD9">
        <w:rPr>
          <w:rFonts w:asciiTheme="minorHAnsi" w:hAnsiTheme="minorHAnsi"/>
          <w:spacing w:val="-1"/>
          <w:lang w:val="es-ES_tradnl"/>
        </w:rPr>
        <w:t xml:space="preserve"> disponibilidad de fondos y el importe de los fondos necesarios para alcanzar el presupuesto</w:t>
      </w:r>
      <w:r w:rsidRPr="003B6FD9">
        <w:rPr>
          <w:rFonts w:asciiTheme="minorHAnsi" w:hAnsiTheme="minorHAnsi"/>
          <w:spacing w:val="-1"/>
          <w:lang w:val="es-ES_tradnl"/>
        </w:rPr>
        <w:t xml:space="preserve">, ha sido posible </w:t>
      </w:r>
      <w:r w:rsidR="00C91416" w:rsidRPr="003B6FD9">
        <w:rPr>
          <w:rFonts w:asciiTheme="minorHAnsi" w:hAnsiTheme="minorHAnsi"/>
          <w:spacing w:val="-1"/>
          <w:lang w:val="es-ES_tradnl"/>
        </w:rPr>
        <w:t>reponer</w:t>
      </w:r>
      <w:r w:rsidR="002551F8" w:rsidRPr="003B6FD9">
        <w:rPr>
          <w:rFonts w:asciiTheme="minorHAnsi" w:hAnsiTheme="minorHAnsi"/>
          <w:spacing w:val="-1"/>
          <w:lang w:val="es-ES_tradnl"/>
        </w:rPr>
        <w:t xml:space="preserve"> totalmente </w:t>
      </w:r>
      <w:r w:rsidRPr="003B6FD9">
        <w:rPr>
          <w:rFonts w:asciiTheme="minorHAnsi" w:hAnsiTheme="minorHAnsi"/>
          <w:spacing w:val="-1"/>
          <w:lang w:val="es-ES_tradnl"/>
        </w:rPr>
        <w:t>el</w:t>
      </w:r>
      <w:r w:rsidR="00C91416" w:rsidRPr="003B6FD9">
        <w:rPr>
          <w:rFonts w:asciiTheme="minorHAnsi" w:hAnsiTheme="minorHAnsi"/>
          <w:spacing w:val="-1"/>
          <w:lang w:val="es-ES_tradnl"/>
        </w:rPr>
        <w:t xml:space="preserve"> saldo del</w:t>
      </w:r>
      <w:r w:rsidRPr="003B6FD9">
        <w:rPr>
          <w:rFonts w:asciiTheme="minorHAnsi" w:hAnsiTheme="minorHAnsi"/>
          <w:spacing w:val="-1"/>
          <w:lang w:val="es-ES_tradnl"/>
        </w:rPr>
        <w:t xml:space="preserve"> </w:t>
      </w:r>
      <w:r w:rsidR="00C42F3F" w:rsidRPr="003B6FD9">
        <w:rPr>
          <w:rFonts w:asciiTheme="minorHAnsi" w:hAnsiTheme="minorHAnsi"/>
          <w:spacing w:val="-1"/>
          <w:lang w:val="es-ES_tradnl"/>
        </w:rPr>
        <w:t>fondo</w:t>
      </w:r>
      <w:r w:rsidR="002551F8" w:rsidRPr="003B6FD9">
        <w:rPr>
          <w:rFonts w:asciiTheme="minorHAnsi" w:hAnsiTheme="minorHAnsi"/>
          <w:spacing w:val="-1"/>
          <w:lang w:val="es-ES_tradnl"/>
        </w:rPr>
        <w:t xml:space="preserve"> de reserva </w:t>
      </w:r>
      <w:r w:rsidRPr="003B6FD9">
        <w:rPr>
          <w:rFonts w:asciiTheme="minorHAnsi" w:hAnsiTheme="minorHAnsi"/>
          <w:spacing w:val="-1"/>
          <w:lang w:val="es-ES_tradnl"/>
        </w:rPr>
        <w:t xml:space="preserve">y la Secretaría anuncia que </w:t>
      </w:r>
      <w:r w:rsidR="002551F8" w:rsidRPr="003B6FD9">
        <w:rPr>
          <w:rFonts w:asciiTheme="minorHAnsi" w:hAnsiTheme="minorHAnsi"/>
          <w:spacing w:val="-1"/>
          <w:lang w:val="es-ES_tradnl"/>
        </w:rPr>
        <w:t xml:space="preserve">ya se ha reembolsado </w:t>
      </w:r>
      <w:r w:rsidRPr="003B6FD9">
        <w:rPr>
          <w:rFonts w:asciiTheme="minorHAnsi" w:hAnsiTheme="minorHAnsi"/>
          <w:spacing w:val="-1"/>
          <w:lang w:val="es-ES_tradnl"/>
        </w:rPr>
        <w:t xml:space="preserve">el préstamo temporal de </w:t>
      </w:r>
      <w:r w:rsidR="00F868A8" w:rsidRPr="003B6FD9">
        <w:rPr>
          <w:rFonts w:asciiTheme="minorHAnsi" w:hAnsiTheme="minorHAnsi"/>
          <w:spacing w:val="-1"/>
          <w:lang w:val="es-ES_tradnl"/>
        </w:rPr>
        <w:t>300</w:t>
      </w:r>
      <w:r w:rsidRPr="003B6FD9">
        <w:rPr>
          <w:rFonts w:asciiTheme="minorHAnsi" w:hAnsiTheme="minorHAnsi"/>
          <w:spacing w:val="-1"/>
          <w:lang w:val="es-ES_tradnl"/>
        </w:rPr>
        <w:t>.0</w:t>
      </w:r>
      <w:r w:rsidR="00F868A8" w:rsidRPr="003B6FD9">
        <w:rPr>
          <w:rFonts w:asciiTheme="minorHAnsi" w:hAnsiTheme="minorHAnsi"/>
          <w:spacing w:val="-1"/>
          <w:lang w:val="es-ES_tradnl"/>
        </w:rPr>
        <w:t>00</w:t>
      </w:r>
      <w:r w:rsidR="002551F8" w:rsidRPr="003B6FD9">
        <w:rPr>
          <w:rFonts w:asciiTheme="minorHAnsi" w:hAnsiTheme="minorHAnsi"/>
          <w:spacing w:val="-1"/>
          <w:lang w:val="es-ES_tradnl"/>
        </w:rPr>
        <w:t xml:space="preserve"> dólares de los EE.UU. del fondo de r</w:t>
      </w:r>
      <w:r w:rsidRPr="003B6FD9">
        <w:rPr>
          <w:rFonts w:asciiTheme="minorHAnsi" w:hAnsiTheme="minorHAnsi"/>
          <w:spacing w:val="-1"/>
          <w:lang w:val="es-ES_tradnl"/>
        </w:rPr>
        <w:t>eserva.</w:t>
      </w:r>
    </w:p>
    <w:p w:rsidR="00F868A8" w:rsidRPr="003B6FD9" w:rsidRDefault="00F868A8" w:rsidP="00F868A8">
      <w:pPr>
        <w:pStyle w:val="ListParagraph"/>
        <w:rPr>
          <w:spacing w:val="-1"/>
          <w:lang w:val="es-ES_tradnl"/>
        </w:rPr>
      </w:pPr>
    </w:p>
    <w:p w:rsidR="00BD1FF7" w:rsidRPr="003B6FD9" w:rsidRDefault="002551F8" w:rsidP="00BD1FF7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3B6FD9">
        <w:rPr>
          <w:rFonts w:asciiTheme="minorHAnsi" w:hAnsiTheme="minorHAnsi"/>
          <w:spacing w:val="-1"/>
          <w:lang w:val="es-ES_tradnl"/>
        </w:rPr>
        <w:t xml:space="preserve">El estado de los fondos recaudados y de </w:t>
      </w:r>
      <w:r w:rsidR="003220E3" w:rsidRPr="003B6FD9">
        <w:rPr>
          <w:rFonts w:asciiTheme="minorHAnsi" w:hAnsiTheme="minorHAnsi"/>
          <w:spacing w:val="-1"/>
          <w:lang w:val="es-ES_tradnl"/>
        </w:rPr>
        <w:t xml:space="preserve">los presupuestos se presenta en la </w:t>
      </w:r>
      <w:r w:rsidR="003220E3" w:rsidRPr="003B6FD9">
        <w:rPr>
          <w:rFonts w:asciiTheme="minorHAnsi" w:hAnsiTheme="minorHAnsi"/>
          <w:b/>
          <w:spacing w:val="-1"/>
          <w:lang w:val="es-ES_tradnl"/>
        </w:rPr>
        <w:t>Tabla</w:t>
      </w:r>
      <w:r w:rsidR="00710743" w:rsidRPr="003B6FD9">
        <w:rPr>
          <w:rFonts w:asciiTheme="minorHAnsi" w:hAnsiTheme="minorHAnsi"/>
          <w:b/>
          <w:spacing w:val="-1"/>
          <w:lang w:val="es-ES_tradnl"/>
        </w:rPr>
        <w:t xml:space="preserve"> 1</w:t>
      </w:r>
      <w:r w:rsidRPr="003B6FD9">
        <w:rPr>
          <w:rFonts w:asciiTheme="minorHAnsi" w:hAnsiTheme="minorHAnsi"/>
          <w:spacing w:val="-1"/>
          <w:lang w:val="es-ES_tradnl"/>
        </w:rPr>
        <w:t xml:space="preserve"> a continuación</w:t>
      </w:r>
      <w:r w:rsidR="00710743" w:rsidRPr="003B6FD9">
        <w:rPr>
          <w:rFonts w:asciiTheme="minorHAnsi" w:hAnsiTheme="minorHAnsi"/>
          <w:spacing w:val="-1"/>
          <w:lang w:val="es-ES_tradnl"/>
        </w:rPr>
        <w:t>:</w:t>
      </w:r>
    </w:p>
    <w:p w:rsidR="00710743" w:rsidRPr="003B6FD9" w:rsidRDefault="00710743" w:rsidP="00710743">
      <w:pPr>
        <w:pStyle w:val="BodyText"/>
        <w:tabs>
          <w:tab w:val="left" w:pos="547"/>
        </w:tabs>
        <w:ind w:left="720" w:firstLine="0"/>
        <w:rPr>
          <w:rFonts w:asciiTheme="minorHAnsi" w:eastAsiaTheme="minorHAnsi" w:hAnsiTheme="minorHAnsi"/>
          <w:spacing w:val="-1"/>
          <w:lang w:val="es-ES_tradnl"/>
        </w:rPr>
      </w:pPr>
    </w:p>
    <w:p w:rsidR="00710743" w:rsidRPr="003B6FD9" w:rsidRDefault="00EE41CD" w:rsidP="00344AFE">
      <w:pPr>
        <w:pStyle w:val="BodyText"/>
        <w:tabs>
          <w:tab w:val="left" w:pos="0"/>
        </w:tabs>
        <w:ind w:left="0" w:firstLine="0"/>
        <w:rPr>
          <w:rFonts w:asciiTheme="minorHAnsi" w:hAnsiTheme="minorHAnsi"/>
          <w:b/>
          <w:spacing w:val="-1"/>
          <w:lang w:val="es-ES_tradnl"/>
        </w:rPr>
      </w:pPr>
      <w:r w:rsidRPr="003B6FD9">
        <w:rPr>
          <w:rFonts w:asciiTheme="minorHAnsi" w:eastAsiaTheme="minorHAnsi" w:hAnsiTheme="minorHAnsi"/>
          <w:b/>
          <w:spacing w:val="-1"/>
          <w:lang w:val="es-ES_tradnl"/>
        </w:rPr>
        <w:t>Tabla</w:t>
      </w:r>
      <w:r w:rsidR="00710743" w:rsidRPr="003B6FD9">
        <w:rPr>
          <w:rFonts w:asciiTheme="minorHAnsi" w:eastAsiaTheme="minorHAnsi" w:hAnsiTheme="minorHAnsi"/>
          <w:b/>
          <w:spacing w:val="-1"/>
          <w:lang w:val="es-ES_tradnl"/>
        </w:rPr>
        <w:t xml:space="preserve"> 1</w:t>
      </w:r>
      <w:r w:rsidR="00344AFE" w:rsidRPr="003B6FD9">
        <w:rPr>
          <w:rFonts w:asciiTheme="minorHAnsi" w:eastAsiaTheme="minorHAnsi" w:hAnsiTheme="minorHAnsi"/>
          <w:b/>
          <w:spacing w:val="-1"/>
          <w:lang w:val="es-ES_tradnl"/>
        </w:rPr>
        <w:t xml:space="preserve">: </w:t>
      </w:r>
      <w:r w:rsidRPr="003B6FD9">
        <w:rPr>
          <w:rFonts w:asciiTheme="minorHAnsi" w:eastAsiaTheme="minorHAnsi" w:hAnsiTheme="minorHAnsi"/>
          <w:b/>
          <w:spacing w:val="-1"/>
          <w:lang w:val="es-ES_tradnl"/>
        </w:rPr>
        <w:t>Estado de los fondos recaudados y de los presupuestos</w:t>
      </w:r>
    </w:p>
    <w:p w:rsidR="00BD1FF7" w:rsidRDefault="00BD1FF7" w:rsidP="00BD1FF7">
      <w:pPr>
        <w:pStyle w:val="ListParagraph"/>
        <w:rPr>
          <w:spacing w:val="-1"/>
          <w:lang w:val="es-ES_tradnl"/>
        </w:rPr>
      </w:pPr>
    </w:p>
    <w:p w:rsidR="004810B0" w:rsidRDefault="004810B0" w:rsidP="00BD1FF7">
      <w:pPr>
        <w:pStyle w:val="ListParagraph"/>
        <w:rPr>
          <w:spacing w:val="-1"/>
          <w:lang w:val="es-ES_tradnl"/>
        </w:rPr>
      </w:pPr>
      <w:r w:rsidRPr="004810B0">
        <w:drawing>
          <wp:inline distT="0" distB="0" distL="0" distR="0">
            <wp:extent cx="3441700" cy="135890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0" w:rsidRPr="003B6FD9" w:rsidRDefault="004810B0" w:rsidP="00BD1FF7">
      <w:pPr>
        <w:pStyle w:val="ListParagraph"/>
        <w:rPr>
          <w:spacing w:val="-1"/>
          <w:lang w:val="es-ES_tradnl"/>
        </w:rPr>
      </w:pPr>
    </w:p>
    <w:p w:rsidR="005B4D25" w:rsidRPr="003B6FD9" w:rsidRDefault="005B4D25" w:rsidP="005B4D25">
      <w:pPr>
        <w:pStyle w:val="BodyText"/>
        <w:ind w:left="0" w:firstLine="0"/>
        <w:rPr>
          <w:lang w:val="es-ES_tradnl"/>
        </w:rPr>
      </w:pPr>
    </w:p>
    <w:p w:rsidR="00C244B4" w:rsidRPr="003B6FD9" w:rsidRDefault="00C244B4" w:rsidP="00C244B4">
      <w:pPr>
        <w:spacing w:before="6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r w:rsidRPr="003B6FD9">
        <w:rPr>
          <w:rFonts w:ascii="Calibri" w:eastAsia="Calibri" w:hAnsi="Calibri" w:cs="Calibri"/>
          <w:b/>
          <w:bCs/>
          <w:sz w:val="24"/>
          <w:szCs w:val="24"/>
          <w:lang w:val="es-ES_tradnl"/>
        </w:rPr>
        <w:t>Re</w:t>
      </w:r>
      <w:r w:rsidR="003220E3" w:rsidRPr="003B6FD9">
        <w:rPr>
          <w:rFonts w:ascii="Calibri" w:eastAsia="Calibri" w:hAnsi="Calibri" w:cs="Calibri"/>
          <w:b/>
          <w:bCs/>
          <w:sz w:val="24"/>
          <w:szCs w:val="24"/>
          <w:lang w:val="es-ES_tradnl"/>
        </w:rPr>
        <w:t>asignación de</w:t>
      </w:r>
      <w:r w:rsidR="002551F8" w:rsidRPr="003B6FD9">
        <w:rPr>
          <w:rFonts w:ascii="Calibri" w:eastAsia="Calibri" w:hAnsi="Calibri" w:cs="Calibri"/>
          <w:b/>
          <w:bCs/>
          <w:sz w:val="24"/>
          <w:szCs w:val="24"/>
          <w:lang w:val="es-ES_tradnl"/>
        </w:rPr>
        <w:t>l excedente del presupuesto de 2014</w:t>
      </w:r>
    </w:p>
    <w:p w:rsidR="00C244B4" w:rsidRPr="003B6FD9" w:rsidRDefault="00C244B4" w:rsidP="00BD1FF7">
      <w:pPr>
        <w:pStyle w:val="BodyText"/>
        <w:ind w:left="426" w:firstLine="0"/>
        <w:rPr>
          <w:lang w:val="es-ES_tradnl"/>
        </w:rPr>
      </w:pPr>
    </w:p>
    <w:p w:rsidR="00710743" w:rsidRPr="003B6FD9" w:rsidRDefault="003220E3" w:rsidP="00C1047B">
      <w:pPr>
        <w:pStyle w:val="BodyText"/>
        <w:numPr>
          <w:ilvl w:val="0"/>
          <w:numId w:val="5"/>
        </w:numPr>
        <w:ind w:left="426" w:hanging="426"/>
        <w:rPr>
          <w:rFonts w:asciiTheme="minorHAnsi" w:eastAsiaTheme="minorHAnsi" w:hAnsiTheme="minorHAnsi"/>
          <w:lang w:val="es-ES_tradnl"/>
        </w:rPr>
      </w:pPr>
      <w:r w:rsidRPr="003B6FD9">
        <w:rPr>
          <w:spacing w:val="-1"/>
          <w:lang w:val="es-ES_tradnl"/>
        </w:rPr>
        <w:t xml:space="preserve">En la 48ª reunión del Comité </w:t>
      </w:r>
      <w:r w:rsidR="00C42F3F" w:rsidRPr="003B6FD9">
        <w:rPr>
          <w:spacing w:val="-1"/>
          <w:lang w:val="es-ES_tradnl"/>
        </w:rPr>
        <w:t>Permanente</w:t>
      </w:r>
      <w:r w:rsidRPr="003B6FD9">
        <w:rPr>
          <w:spacing w:val="-1"/>
          <w:lang w:val="es-ES_tradnl"/>
        </w:rPr>
        <w:t>, se señaló a las Partes Contratantes que se disponía</w:t>
      </w:r>
      <w:r w:rsidR="002551F8" w:rsidRPr="003B6FD9">
        <w:rPr>
          <w:spacing w:val="-1"/>
          <w:lang w:val="es-ES_tradnl"/>
        </w:rPr>
        <w:t xml:space="preserve"> de</w:t>
      </w:r>
      <w:r w:rsidRPr="003B6FD9">
        <w:rPr>
          <w:spacing w:val="-1"/>
          <w:lang w:val="es-ES_tradnl"/>
        </w:rPr>
        <w:t xml:space="preserve"> </w:t>
      </w:r>
      <w:r w:rsidR="002551F8" w:rsidRPr="003B6FD9">
        <w:rPr>
          <w:spacing w:val="-1"/>
          <w:lang w:val="es-ES_tradnl"/>
        </w:rPr>
        <w:t xml:space="preserve">un excedente que ascendía a </w:t>
      </w:r>
      <w:r w:rsidR="00710743" w:rsidRPr="003B6FD9">
        <w:rPr>
          <w:spacing w:val="-1"/>
          <w:lang w:val="es-ES_tradnl"/>
        </w:rPr>
        <w:t>345</w:t>
      </w:r>
      <w:r w:rsidRPr="003B6FD9">
        <w:rPr>
          <w:spacing w:val="-1"/>
          <w:lang w:val="es-ES_tradnl"/>
        </w:rPr>
        <w:t>.</w:t>
      </w:r>
      <w:r w:rsidR="00710743" w:rsidRPr="003B6FD9">
        <w:rPr>
          <w:spacing w:val="-1"/>
          <w:lang w:val="es-ES_tradnl"/>
        </w:rPr>
        <w:t>000</w:t>
      </w:r>
      <w:r w:rsidR="002551F8" w:rsidRPr="003B6FD9">
        <w:rPr>
          <w:spacing w:val="-1"/>
          <w:lang w:val="es-ES_tradnl"/>
        </w:rPr>
        <w:t xml:space="preserve"> francos suizos</w:t>
      </w:r>
      <w:r w:rsidRPr="003B6FD9">
        <w:rPr>
          <w:spacing w:val="-1"/>
          <w:lang w:val="es-ES_tradnl"/>
        </w:rPr>
        <w:t xml:space="preserve">. En dicha reunión, se decidió </w:t>
      </w:r>
      <w:r w:rsidR="002551F8" w:rsidRPr="003B6FD9">
        <w:rPr>
          <w:spacing w:val="-1"/>
          <w:lang w:val="es-ES_tradnl"/>
        </w:rPr>
        <w:t>reasignar l</w:t>
      </w:r>
      <w:r w:rsidRPr="003B6FD9">
        <w:rPr>
          <w:spacing w:val="-1"/>
          <w:lang w:val="es-ES_tradnl"/>
        </w:rPr>
        <w:t xml:space="preserve">os fondos del presupuesto </w:t>
      </w:r>
      <w:r w:rsidR="002551F8" w:rsidRPr="003B6FD9">
        <w:rPr>
          <w:spacing w:val="-1"/>
          <w:lang w:val="es-ES_tradnl"/>
        </w:rPr>
        <w:t>básico de la siguiente forma:</w:t>
      </w:r>
    </w:p>
    <w:p w:rsidR="00F64F62" w:rsidRPr="003B6FD9" w:rsidRDefault="00F64F62" w:rsidP="00C1047B">
      <w:pPr>
        <w:pStyle w:val="BodyText"/>
        <w:rPr>
          <w:rFonts w:asciiTheme="minorHAnsi" w:eastAsiaTheme="minorHAnsi" w:hAnsiTheme="minorHAnsi"/>
          <w:lang w:val="es-ES_tradnl"/>
        </w:rPr>
      </w:pPr>
    </w:p>
    <w:tbl>
      <w:tblPr>
        <w:tblW w:w="8652" w:type="dxa"/>
        <w:tblInd w:w="103" w:type="dxa"/>
        <w:tblLook w:val="04A0"/>
      </w:tblPr>
      <w:tblGrid>
        <w:gridCol w:w="7660"/>
        <w:gridCol w:w="992"/>
      </w:tblGrid>
      <w:tr w:rsidR="00892758" w:rsidRPr="003B6FD9" w:rsidTr="00892758">
        <w:trPr>
          <w:trHeight w:val="3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92758" w:rsidRPr="003B6FD9" w:rsidRDefault="00892758" w:rsidP="00EE41CD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Descrip</w:t>
            </w:r>
            <w:r w:rsidR="008F4E5D" w:rsidRPr="003B6FD9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ción de las partidas </w:t>
            </w:r>
            <w:r w:rsidR="002551F8" w:rsidRPr="003B6FD9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que </w:t>
            </w:r>
            <w:r w:rsidR="00EE41CD" w:rsidRPr="003B6FD9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estaba previsto apoyar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92758" w:rsidRPr="003B6FD9" w:rsidRDefault="008F4E5D" w:rsidP="002551F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CHF </w:t>
            </w:r>
            <w:r w:rsidR="002551F8" w:rsidRPr="003B6FD9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(miles)</w:t>
            </w:r>
          </w:p>
        </w:tc>
      </w:tr>
      <w:tr w:rsidR="00892758" w:rsidRPr="003B6FD9" w:rsidTr="0089275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9A45EA">
            <w:pPr>
              <w:widowControl/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>ENB (</w:t>
            </w:r>
            <w:r w:rsidR="008F4E5D"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 xml:space="preserve">apoyo </w:t>
            </w:r>
            <w:r w:rsidR="009A45EA"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>para</w:t>
            </w:r>
            <w:r w:rsidR="008F4E5D"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 xml:space="preserve"> la COP12</w:t>
            </w:r>
            <w:r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A9366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50</w:t>
            </w:r>
          </w:p>
        </w:tc>
      </w:tr>
      <w:tr w:rsidR="00892758" w:rsidRPr="003B6FD9" w:rsidTr="0089275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F4E5D" w:rsidP="008F4E5D">
            <w:pPr>
              <w:widowControl/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>Misiones Ramsar de Asesoramiento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892758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75</w:t>
            </w:r>
          </w:p>
        </w:tc>
      </w:tr>
      <w:tr w:rsidR="00892758" w:rsidRPr="003B6FD9" w:rsidTr="0089275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9A45EA" w:rsidP="002551F8">
            <w:pPr>
              <w:widowControl/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>Formación</w:t>
            </w:r>
            <w:r w:rsidR="008F4E5D"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 xml:space="preserve"> </w:t>
            </w:r>
            <w:r w:rsidR="002551F8"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>del personal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A9366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20</w:t>
            </w:r>
          </w:p>
        </w:tc>
      </w:tr>
      <w:tr w:rsidR="00892758" w:rsidRPr="003B6FD9" w:rsidTr="0089275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2551F8" w:rsidP="008F4E5D">
            <w:pPr>
              <w:widowControl/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>Centros Regionales de</w:t>
            </w:r>
            <w:r w:rsidR="008F4E5D"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 xml:space="preserve"> </w:t>
            </w:r>
            <w:r w:rsidR="00892758"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>Ramsar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A93664">
            <w:pPr>
              <w:widowControl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892758" w:rsidRPr="003B6FD9" w:rsidTr="0089275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2551F8">
            <w:pPr>
              <w:widowControl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 xml:space="preserve">  </w:t>
            </w:r>
            <w:r w:rsidR="008F4E5D"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 xml:space="preserve">Talleres sobre </w:t>
            </w:r>
            <w:r w:rsidR="002551F8"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el Plan Estratégico</w:t>
            </w:r>
            <w:r w:rsidR="008F4E5D"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 xml:space="preserve"> </w:t>
            </w: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 xml:space="preserve">(4 x </w:t>
            </w:r>
            <w:r w:rsidR="002551F8"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10.000)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A9366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40</w:t>
            </w:r>
          </w:p>
        </w:tc>
      </w:tr>
      <w:tr w:rsidR="00892758" w:rsidRPr="003B6FD9" w:rsidTr="0089275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8F4E5D">
            <w:pPr>
              <w:widowControl/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>Com</w:t>
            </w:r>
            <w:r w:rsidR="008F4E5D"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>unicaciones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A93664">
            <w:pPr>
              <w:widowControl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892758" w:rsidRPr="003B6FD9" w:rsidTr="0089275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8F4E5D">
            <w:pPr>
              <w:widowControl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 xml:space="preserve">  </w:t>
            </w:r>
            <w:r w:rsidR="008F4E5D"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Traducción para el GECT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A9366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20</w:t>
            </w:r>
          </w:p>
        </w:tc>
      </w:tr>
      <w:tr w:rsidR="00892758" w:rsidRPr="003B6FD9" w:rsidTr="0089275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9A45EA">
            <w:pPr>
              <w:widowControl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 xml:space="preserve">  </w:t>
            </w:r>
            <w:r w:rsidR="009A45EA"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Publicaciones para administradores de humedales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A9366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20</w:t>
            </w:r>
          </w:p>
        </w:tc>
      </w:tr>
      <w:tr w:rsidR="00892758" w:rsidRPr="003B6FD9" w:rsidTr="0089275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9A45EA">
            <w:pPr>
              <w:widowControl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 xml:space="preserve">  </w:t>
            </w:r>
            <w:r w:rsidR="008F4E5D"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 xml:space="preserve">Prioridades </w:t>
            </w:r>
            <w:r w:rsidR="009A45EA"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después de</w:t>
            </w:r>
            <w:r w:rsidR="008F4E5D"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 xml:space="preserve"> la COP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A9366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20</w:t>
            </w:r>
          </w:p>
        </w:tc>
      </w:tr>
      <w:tr w:rsidR="00892758" w:rsidRPr="003B6FD9" w:rsidTr="0089275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F4E5D" w:rsidP="008F4E5D">
            <w:pPr>
              <w:widowControl/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b/>
                <w:color w:val="000000"/>
                <w:lang w:val="es-ES_tradnl" w:eastAsia="en-GB"/>
              </w:rPr>
              <w:t>Provisión para el personal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A9366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100</w:t>
            </w:r>
          </w:p>
        </w:tc>
      </w:tr>
      <w:tr w:rsidR="00892758" w:rsidRPr="003B6FD9" w:rsidTr="0089275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A93664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58" w:rsidRPr="003B6FD9" w:rsidRDefault="00892758" w:rsidP="00A93664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3B6FD9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345</w:t>
            </w:r>
          </w:p>
        </w:tc>
      </w:tr>
    </w:tbl>
    <w:p w:rsidR="00892758" w:rsidRPr="003B6FD9" w:rsidRDefault="00892758" w:rsidP="00C1047B">
      <w:pPr>
        <w:pStyle w:val="BodyText"/>
        <w:rPr>
          <w:rFonts w:asciiTheme="minorHAnsi" w:eastAsiaTheme="minorHAnsi" w:hAnsiTheme="minorHAnsi"/>
          <w:lang w:val="es-ES_tradnl"/>
        </w:rPr>
      </w:pPr>
    </w:p>
    <w:p w:rsidR="00892758" w:rsidRPr="003B6FD9" w:rsidRDefault="00892758" w:rsidP="00C1047B">
      <w:pPr>
        <w:pStyle w:val="BodyText"/>
        <w:rPr>
          <w:rFonts w:asciiTheme="minorHAnsi" w:eastAsiaTheme="minorHAnsi" w:hAnsiTheme="minorHAnsi"/>
          <w:lang w:val="es-ES_tradnl"/>
        </w:rPr>
      </w:pPr>
    </w:p>
    <w:p w:rsidR="00710743" w:rsidRPr="003B6FD9" w:rsidRDefault="009A45EA" w:rsidP="007C795F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 w:cs="Calibri-Bold"/>
          <w:bCs/>
          <w:lang w:val="es-ES_tradnl"/>
        </w:rPr>
      </w:pPr>
      <w:r w:rsidRPr="003B6FD9">
        <w:rPr>
          <w:rFonts w:asciiTheme="minorHAnsi" w:hAnsiTheme="minorHAnsi" w:cs="Calibri-Bold"/>
          <w:bCs/>
          <w:lang w:val="es-ES_tradnl"/>
        </w:rPr>
        <w:lastRenderedPageBreak/>
        <w:t xml:space="preserve">En el marco de las deliberaciones </w:t>
      </w:r>
      <w:r w:rsidR="003220E3" w:rsidRPr="003B6FD9">
        <w:rPr>
          <w:rFonts w:asciiTheme="minorHAnsi" w:hAnsiTheme="minorHAnsi" w:cs="Calibri-Bold"/>
          <w:bCs/>
          <w:lang w:val="es-ES_tradnl"/>
        </w:rPr>
        <w:t>sob</w:t>
      </w:r>
      <w:r w:rsidRPr="003B6FD9">
        <w:rPr>
          <w:rFonts w:asciiTheme="minorHAnsi" w:hAnsiTheme="minorHAnsi" w:cs="Calibri-Bold"/>
          <w:bCs/>
          <w:lang w:val="es-ES_tradnl"/>
        </w:rPr>
        <w:t xml:space="preserve">re la utilización temporal </w:t>
      </w:r>
      <w:r w:rsidR="003220E3" w:rsidRPr="003B6FD9">
        <w:rPr>
          <w:rFonts w:asciiTheme="minorHAnsi" w:hAnsiTheme="minorHAnsi" w:cs="Calibri-Bold"/>
          <w:bCs/>
          <w:lang w:val="es-ES_tradnl"/>
        </w:rPr>
        <w:t xml:space="preserve">de los fondos de reserva, se solicitó que se </w:t>
      </w:r>
      <w:r w:rsidRPr="003B6FD9">
        <w:rPr>
          <w:rFonts w:asciiTheme="minorHAnsi" w:hAnsiTheme="minorHAnsi" w:cs="Calibri-Bold"/>
          <w:bCs/>
          <w:lang w:val="es-ES_tradnl"/>
        </w:rPr>
        <w:t xml:space="preserve">pusieran en suspenso </w:t>
      </w:r>
      <w:r w:rsidR="003220E3" w:rsidRPr="003B6FD9">
        <w:rPr>
          <w:rFonts w:asciiTheme="minorHAnsi" w:hAnsiTheme="minorHAnsi" w:cs="Calibri-Bold"/>
          <w:bCs/>
          <w:lang w:val="es-ES_tradnl"/>
        </w:rPr>
        <w:t xml:space="preserve">todas las actividades relativas al excedente de 2014 excepto </w:t>
      </w:r>
      <w:r w:rsidR="009D163A" w:rsidRPr="003B6FD9">
        <w:rPr>
          <w:rFonts w:asciiTheme="minorHAnsi" w:hAnsiTheme="minorHAnsi" w:cs="Calibri-Bold"/>
          <w:bCs/>
          <w:lang w:val="es-ES_tradnl"/>
        </w:rPr>
        <w:t xml:space="preserve">la </w:t>
      </w:r>
      <w:r w:rsidR="003B6FD9">
        <w:rPr>
          <w:rFonts w:asciiTheme="minorHAnsi" w:hAnsiTheme="minorHAnsi" w:cs="Calibri-Bold"/>
          <w:bCs/>
          <w:lang w:val="es-ES_tradnl"/>
        </w:rPr>
        <w:t xml:space="preserve">que corresponde al </w:t>
      </w:r>
      <w:r w:rsidR="0065107C" w:rsidRPr="003B6FD9">
        <w:rPr>
          <w:rFonts w:asciiTheme="minorHAnsi" w:hAnsiTheme="minorHAnsi" w:cs="Calibri-Bold"/>
          <w:bCs/>
          <w:lang w:val="es-ES_tradnl"/>
        </w:rPr>
        <w:t>ENB (</w:t>
      </w:r>
      <w:r w:rsidRPr="003B6FD9">
        <w:rPr>
          <w:rFonts w:asciiTheme="minorHAnsi" w:hAnsiTheme="minorHAnsi" w:cs="Calibri-Bold"/>
          <w:bCs/>
          <w:lang w:val="es-ES_tradnl"/>
        </w:rPr>
        <w:t>apoyo para</w:t>
      </w:r>
      <w:r w:rsidR="003220E3" w:rsidRPr="003B6FD9">
        <w:rPr>
          <w:rFonts w:asciiTheme="minorHAnsi" w:hAnsiTheme="minorHAnsi" w:cs="Calibri-Bold"/>
          <w:bCs/>
          <w:lang w:val="es-ES_tradnl"/>
        </w:rPr>
        <w:t xml:space="preserve"> la COP12</w:t>
      </w:r>
      <w:r w:rsidR="0065107C" w:rsidRPr="003B6FD9">
        <w:rPr>
          <w:rFonts w:asciiTheme="minorHAnsi" w:hAnsiTheme="minorHAnsi" w:cs="Calibri-Bold"/>
          <w:bCs/>
          <w:lang w:val="es-ES_tradnl"/>
        </w:rPr>
        <w:t xml:space="preserve">), </w:t>
      </w:r>
      <w:r w:rsidRPr="003B6FD9">
        <w:rPr>
          <w:rFonts w:asciiTheme="minorHAnsi" w:hAnsiTheme="minorHAnsi" w:cs="Calibri-Bold"/>
          <w:bCs/>
          <w:lang w:val="es-ES_tradnl"/>
        </w:rPr>
        <w:t>la provisión para el personal y</w:t>
      </w:r>
      <w:r w:rsidR="003220E3" w:rsidRPr="003B6FD9">
        <w:rPr>
          <w:rFonts w:asciiTheme="minorHAnsi" w:hAnsiTheme="minorHAnsi" w:cs="Calibri-Bold"/>
          <w:bCs/>
          <w:lang w:val="es-ES_tradnl"/>
        </w:rPr>
        <w:t xml:space="preserve"> todas las actividades </w:t>
      </w:r>
      <w:r w:rsidRPr="003B6FD9">
        <w:rPr>
          <w:rFonts w:asciiTheme="minorHAnsi" w:hAnsiTheme="minorHAnsi" w:cs="Calibri-Bold"/>
          <w:bCs/>
          <w:lang w:val="es-ES_tradnl"/>
        </w:rPr>
        <w:t xml:space="preserve">ya </w:t>
      </w:r>
      <w:r w:rsidR="009D163A" w:rsidRPr="003B6FD9">
        <w:rPr>
          <w:rFonts w:asciiTheme="minorHAnsi" w:hAnsiTheme="minorHAnsi" w:cs="Calibri-Bold"/>
          <w:bCs/>
          <w:lang w:val="es-ES_tradnl"/>
        </w:rPr>
        <w:t>planificadas</w:t>
      </w:r>
      <w:r w:rsidR="003220E3" w:rsidRPr="003B6FD9">
        <w:rPr>
          <w:rFonts w:asciiTheme="minorHAnsi" w:hAnsiTheme="minorHAnsi" w:cs="Calibri-Bold"/>
          <w:bCs/>
          <w:lang w:val="es-ES_tradnl"/>
        </w:rPr>
        <w:t xml:space="preserve">. En este caso, solo se había </w:t>
      </w:r>
      <w:r w:rsidR="009D163A" w:rsidRPr="003B6FD9">
        <w:rPr>
          <w:rFonts w:asciiTheme="minorHAnsi" w:hAnsiTheme="minorHAnsi" w:cs="Calibri-Bold"/>
          <w:bCs/>
          <w:lang w:val="es-ES_tradnl"/>
        </w:rPr>
        <w:t>planificado</w:t>
      </w:r>
      <w:r w:rsidR="003220E3" w:rsidRPr="003B6FD9">
        <w:rPr>
          <w:rFonts w:asciiTheme="minorHAnsi" w:hAnsiTheme="minorHAnsi" w:cs="Calibri-Bold"/>
          <w:bCs/>
          <w:lang w:val="es-ES_tradnl"/>
        </w:rPr>
        <w:t xml:space="preserve"> una Misión Ramsar de Asesoramiento a Nicaragua por un importe de 25.000 francos suizos. Dado que todas las actividades restantes están</w:t>
      </w:r>
      <w:r w:rsidRPr="003B6FD9">
        <w:rPr>
          <w:rFonts w:asciiTheme="minorHAnsi" w:hAnsiTheme="minorHAnsi" w:cs="Calibri-Bold"/>
          <w:bCs/>
          <w:lang w:val="es-ES_tradnl"/>
        </w:rPr>
        <w:t xml:space="preserve"> en suspenso</w:t>
      </w:r>
      <w:r w:rsidR="003220E3" w:rsidRPr="003B6FD9">
        <w:rPr>
          <w:rFonts w:asciiTheme="minorHAnsi" w:hAnsiTheme="minorHAnsi" w:cs="Calibri-Bold"/>
          <w:bCs/>
          <w:lang w:val="es-ES_tradnl"/>
        </w:rPr>
        <w:t>, no hay nada que</w:t>
      </w:r>
      <w:r w:rsidRPr="003B6FD9">
        <w:rPr>
          <w:rFonts w:asciiTheme="minorHAnsi" w:hAnsiTheme="minorHAnsi" w:cs="Calibri-Bold"/>
          <w:bCs/>
          <w:lang w:val="es-ES_tradnl"/>
        </w:rPr>
        <w:t xml:space="preserve"> señalar sobre esas partidas</w:t>
      </w:r>
      <w:r w:rsidR="003220E3" w:rsidRPr="003B6FD9">
        <w:rPr>
          <w:rFonts w:asciiTheme="minorHAnsi" w:hAnsiTheme="minorHAnsi" w:cs="Calibri-Bold"/>
          <w:bCs/>
          <w:lang w:val="es-ES_tradnl"/>
        </w:rPr>
        <w:t>.</w:t>
      </w:r>
    </w:p>
    <w:p w:rsidR="0065107C" w:rsidRPr="003B6FD9" w:rsidRDefault="0065107C" w:rsidP="0065107C">
      <w:pPr>
        <w:pStyle w:val="BodyText"/>
        <w:tabs>
          <w:tab w:val="left" w:pos="547"/>
        </w:tabs>
        <w:ind w:left="426" w:firstLine="0"/>
        <w:rPr>
          <w:rFonts w:asciiTheme="minorHAnsi" w:hAnsiTheme="minorHAnsi" w:cs="Calibri-Bold"/>
          <w:bCs/>
          <w:lang w:val="es-ES_tradnl"/>
        </w:rPr>
      </w:pPr>
    </w:p>
    <w:p w:rsidR="0065107C" w:rsidRPr="003B6FD9" w:rsidRDefault="009A45EA" w:rsidP="007C795F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 w:cs="Calibri-Bold"/>
          <w:bCs/>
          <w:lang w:val="es-ES_tradnl"/>
        </w:rPr>
      </w:pPr>
      <w:r w:rsidRPr="003B6FD9">
        <w:rPr>
          <w:rFonts w:asciiTheme="minorHAnsi" w:hAnsiTheme="minorHAnsi" w:cs="Calibri-Bold"/>
          <w:bCs/>
          <w:lang w:val="es-ES_tradnl"/>
        </w:rPr>
        <w:t xml:space="preserve">Al haberse </w:t>
      </w:r>
      <w:r w:rsidR="003C7879" w:rsidRPr="003B6FD9">
        <w:rPr>
          <w:rFonts w:asciiTheme="minorHAnsi" w:hAnsiTheme="minorHAnsi" w:cs="Calibri-Bold"/>
          <w:bCs/>
          <w:lang w:val="es-ES_tradnl"/>
        </w:rPr>
        <w:t>repuesto</w:t>
      </w:r>
      <w:r w:rsidRPr="003B6FD9">
        <w:rPr>
          <w:rFonts w:asciiTheme="minorHAnsi" w:hAnsiTheme="minorHAnsi" w:cs="Calibri-Bold"/>
          <w:bCs/>
          <w:lang w:val="es-ES_tradnl"/>
        </w:rPr>
        <w:t xml:space="preserve"> totalmente </w:t>
      </w:r>
      <w:r w:rsidR="00C42F3F" w:rsidRPr="003B6FD9">
        <w:rPr>
          <w:rFonts w:asciiTheme="minorHAnsi" w:hAnsiTheme="minorHAnsi" w:cs="Calibri-Bold"/>
          <w:bCs/>
          <w:lang w:val="es-ES_tradnl"/>
        </w:rPr>
        <w:t>el</w:t>
      </w:r>
      <w:r w:rsidR="003C7879" w:rsidRPr="003B6FD9">
        <w:rPr>
          <w:rFonts w:asciiTheme="minorHAnsi" w:hAnsiTheme="minorHAnsi" w:cs="Calibri-Bold"/>
          <w:bCs/>
          <w:lang w:val="es-ES_tradnl"/>
        </w:rPr>
        <w:t xml:space="preserve"> saldo del</w:t>
      </w:r>
      <w:r w:rsidR="00C42F3F" w:rsidRPr="003B6FD9">
        <w:rPr>
          <w:rFonts w:asciiTheme="minorHAnsi" w:hAnsiTheme="minorHAnsi" w:cs="Calibri-Bold"/>
          <w:bCs/>
          <w:lang w:val="es-ES_tradnl"/>
        </w:rPr>
        <w:t xml:space="preserve"> fondo de reserva </w:t>
      </w:r>
      <w:r w:rsidRPr="003B6FD9">
        <w:rPr>
          <w:rFonts w:asciiTheme="minorHAnsi" w:hAnsiTheme="minorHAnsi" w:cs="Calibri-Bold"/>
          <w:bCs/>
          <w:lang w:val="es-ES_tradnl"/>
        </w:rPr>
        <w:t>a</w:t>
      </w:r>
      <w:r w:rsidR="00C42F3F" w:rsidRPr="003B6FD9">
        <w:rPr>
          <w:rFonts w:asciiTheme="minorHAnsi" w:hAnsiTheme="minorHAnsi" w:cs="Calibri-Bold"/>
          <w:bCs/>
          <w:lang w:val="es-ES_tradnl"/>
        </w:rPr>
        <w:t xml:space="preserve"> </w:t>
      </w:r>
      <w:r w:rsidR="003C7879" w:rsidRPr="003B6FD9">
        <w:rPr>
          <w:rFonts w:asciiTheme="minorHAnsi" w:hAnsiTheme="minorHAnsi" w:cs="Calibri-Bold"/>
          <w:bCs/>
          <w:lang w:val="es-ES_tradnl"/>
        </w:rPr>
        <w:t>fecha de</w:t>
      </w:r>
      <w:r w:rsidRPr="003B6FD9">
        <w:rPr>
          <w:rFonts w:asciiTheme="minorHAnsi" w:hAnsiTheme="minorHAnsi" w:cs="Calibri-Bold"/>
          <w:bCs/>
          <w:lang w:val="es-ES_tradnl"/>
        </w:rPr>
        <w:t xml:space="preserve"> </w:t>
      </w:r>
      <w:r w:rsidR="00C42F3F" w:rsidRPr="003B6FD9">
        <w:rPr>
          <w:rFonts w:asciiTheme="minorHAnsi" w:hAnsiTheme="minorHAnsi" w:cs="Calibri-Bold"/>
          <w:bCs/>
          <w:lang w:val="es-ES_tradnl"/>
        </w:rPr>
        <w:t xml:space="preserve">11 de mayo, </w:t>
      </w:r>
      <w:r w:rsidRPr="003B6FD9">
        <w:rPr>
          <w:rFonts w:asciiTheme="minorHAnsi" w:hAnsiTheme="minorHAnsi" w:cs="Calibri-Bold"/>
          <w:bCs/>
          <w:lang w:val="es-ES_tradnl"/>
        </w:rPr>
        <w:t>el excedente de</w:t>
      </w:r>
      <w:r w:rsidR="00C42F3F" w:rsidRPr="003B6FD9">
        <w:rPr>
          <w:rFonts w:asciiTheme="minorHAnsi" w:hAnsiTheme="minorHAnsi" w:cs="Calibri-Bold"/>
          <w:bCs/>
          <w:lang w:val="es-ES_tradnl"/>
        </w:rPr>
        <w:t xml:space="preserve"> </w:t>
      </w:r>
      <w:r w:rsidR="009534C2" w:rsidRPr="003B6FD9">
        <w:rPr>
          <w:rFonts w:asciiTheme="minorHAnsi" w:hAnsiTheme="minorHAnsi" w:cs="Calibri-Bold"/>
          <w:bCs/>
          <w:lang w:val="es-ES_tradnl"/>
        </w:rPr>
        <w:t xml:space="preserve">2014 </w:t>
      </w:r>
      <w:r w:rsidRPr="003B6FD9">
        <w:rPr>
          <w:rFonts w:asciiTheme="minorHAnsi" w:hAnsiTheme="minorHAnsi" w:cs="Calibri-Bold"/>
          <w:bCs/>
          <w:lang w:val="es-ES_tradnl"/>
        </w:rPr>
        <w:t>vuelve a estar disponible</w:t>
      </w:r>
      <w:r w:rsidR="000B62EC" w:rsidRPr="003B6FD9">
        <w:rPr>
          <w:rFonts w:asciiTheme="minorHAnsi" w:hAnsiTheme="minorHAnsi" w:cs="Calibri-Bold"/>
          <w:bCs/>
          <w:lang w:val="es-ES_tradnl"/>
        </w:rPr>
        <w:t xml:space="preserve"> para </w:t>
      </w:r>
      <w:r w:rsidR="003C7879" w:rsidRPr="003B6FD9">
        <w:rPr>
          <w:rFonts w:asciiTheme="minorHAnsi" w:hAnsiTheme="minorHAnsi" w:cs="Calibri-Bold"/>
          <w:bCs/>
          <w:lang w:val="es-ES_tradnl"/>
        </w:rPr>
        <w:t>ser reasignado</w:t>
      </w:r>
      <w:r w:rsidR="000B62EC" w:rsidRPr="003B6FD9">
        <w:rPr>
          <w:rFonts w:asciiTheme="minorHAnsi" w:hAnsiTheme="minorHAnsi" w:cs="Calibri-Bold"/>
          <w:bCs/>
          <w:lang w:val="es-ES_tradnl"/>
        </w:rPr>
        <w:t xml:space="preserve"> de acuerdo con la </w:t>
      </w:r>
      <w:r w:rsidR="00C42F3F" w:rsidRPr="003B6FD9">
        <w:rPr>
          <w:rFonts w:asciiTheme="minorHAnsi" w:hAnsiTheme="minorHAnsi" w:cs="Calibri-Bold"/>
          <w:bCs/>
          <w:lang w:val="es-ES_tradnl"/>
        </w:rPr>
        <w:t xml:space="preserve">decisión tomada </w:t>
      </w:r>
      <w:r w:rsidR="000B62EC" w:rsidRPr="003B6FD9">
        <w:rPr>
          <w:rFonts w:asciiTheme="minorHAnsi" w:hAnsiTheme="minorHAnsi" w:cs="Calibri-Bold"/>
          <w:bCs/>
          <w:lang w:val="es-ES_tradnl"/>
        </w:rPr>
        <w:t>por el</w:t>
      </w:r>
      <w:r w:rsidR="00C42F3F" w:rsidRPr="003B6FD9">
        <w:rPr>
          <w:rFonts w:asciiTheme="minorHAnsi" w:hAnsiTheme="minorHAnsi" w:cs="Calibri-Bold"/>
          <w:bCs/>
          <w:lang w:val="es-ES_tradnl"/>
        </w:rPr>
        <w:t xml:space="preserve"> Comité Permanente en su 48ª reunión. </w:t>
      </w:r>
      <w:r w:rsidR="000B62EC" w:rsidRPr="003B6FD9">
        <w:rPr>
          <w:rFonts w:asciiTheme="minorHAnsi" w:hAnsiTheme="minorHAnsi" w:cs="Calibri-Bold"/>
          <w:bCs/>
          <w:lang w:val="es-ES_tradnl"/>
        </w:rPr>
        <w:t>Este</w:t>
      </w:r>
      <w:r w:rsidR="00C42F3F" w:rsidRPr="003B6FD9">
        <w:rPr>
          <w:rFonts w:asciiTheme="minorHAnsi" w:hAnsiTheme="minorHAnsi" w:cs="Calibri-Bold"/>
          <w:bCs/>
          <w:lang w:val="es-ES_tradnl"/>
        </w:rPr>
        <w:t xml:space="preserve"> Comité puede estudiar</w:t>
      </w:r>
      <w:r w:rsidR="000B62EC" w:rsidRPr="003B6FD9">
        <w:rPr>
          <w:rFonts w:asciiTheme="minorHAnsi" w:hAnsiTheme="minorHAnsi" w:cs="Calibri-Bold"/>
          <w:bCs/>
          <w:lang w:val="es-ES_tradnl"/>
        </w:rPr>
        <w:t xml:space="preserve"> la posibilidad de aprobar</w:t>
      </w:r>
      <w:r w:rsidR="00C42F3F" w:rsidRPr="003B6FD9">
        <w:rPr>
          <w:rFonts w:asciiTheme="minorHAnsi" w:hAnsiTheme="minorHAnsi" w:cs="Calibri-Bold"/>
          <w:bCs/>
          <w:lang w:val="es-ES_tradnl"/>
        </w:rPr>
        <w:t xml:space="preserve"> la utilización </w:t>
      </w:r>
      <w:r w:rsidR="000B62EC" w:rsidRPr="003B6FD9">
        <w:rPr>
          <w:rFonts w:asciiTheme="minorHAnsi" w:hAnsiTheme="minorHAnsi" w:cs="Calibri-Bold"/>
          <w:bCs/>
          <w:lang w:val="es-ES_tradnl"/>
        </w:rPr>
        <w:t xml:space="preserve">de este excedente según </w:t>
      </w:r>
      <w:r w:rsidR="00C42F3F" w:rsidRPr="003B6FD9">
        <w:rPr>
          <w:rFonts w:asciiTheme="minorHAnsi" w:hAnsiTheme="minorHAnsi" w:cs="Calibri-Bold"/>
          <w:bCs/>
          <w:lang w:val="es-ES_tradnl"/>
        </w:rPr>
        <w:t>se decidió</w:t>
      </w:r>
      <w:r w:rsidR="000B62EC" w:rsidRPr="003B6FD9">
        <w:rPr>
          <w:rFonts w:asciiTheme="minorHAnsi" w:hAnsiTheme="minorHAnsi" w:cs="Calibri-Bold"/>
          <w:bCs/>
          <w:lang w:val="es-ES_tradnl"/>
        </w:rPr>
        <w:t xml:space="preserve"> o de reasignarlo de cualquier otra forma</w:t>
      </w:r>
      <w:r w:rsidR="00C42F3F" w:rsidRPr="003B6FD9">
        <w:rPr>
          <w:rFonts w:asciiTheme="minorHAnsi" w:hAnsiTheme="minorHAnsi" w:cs="Calibri-Bold"/>
          <w:bCs/>
          <w:lang w:val="es-ES_tradnl"/>
        </w:rPr>
        <w:t>.</w:t>
      </w:r>
    </w:p>
    <w:p w:rsidR="00710743" w:rsidRPr="003B6FD9" w:rsidRDefault="00710743" w:rsidP="0065107C">
      <w:pPr>
        <w:pStyle w:val="BodyText"/>
        <w:tabs>
          <w:tab w:val="left" w:pos="547"/>
        </w:tabs>
        <w:ind w:left="426" w:firstLine="0"/>
        <w:rPr>
          <w:rFonts w:asciiTheme="minorHAnsi" w:hAnsiTheme="minorHAnsi" w:cs="Calibri-Bold"/>
          <w:bCs/>
          <w:lang w:val="es-ES_tradnl"/>
        </w:rPr>
      </w:pPr>
    </w:p>
    <w:p w:rsidR="00297222" w:rsidRPr="003B6FD9" w:rsidRDefault="005B099C" w:rsidP="001E02DF">
      <w:pPr>
        <w:rPr>
          <w:rFonts w:ascii="Calibri" w:eastAsia="Calibri" w:hAnsi="Calibri"/>
          <w:b/>
          <w:spacing w:val="-1"/>
          <w:lang w:val="es-ES_tradnl"/>
        </w:rPr>
      </w:pPr>
      <w:r w:rsidRPr="003B6FD9">
        <w:rPr>
          <w:rFonts w:ascii="Calibri" w:eastAsia="Calibri" w:hAnsi="Calibri"/>
          <w:b/>
          <w:spacing w:val="-1"/>
          <w:lang w:val="es-ES_tradnl"/>
        </w:rPr>
        <w:t>Tabl</w:t>
      </w:r>
      <w:r w:rsidR="00C42F3F" w:rsidRPr="003B6FD9">
        <w:rPr>
          <w:rFonts w:ascii="Calibri" w:eastAsia="Calibri" w:hAnsi="Calibri"/>
          <w:b/>
          <w:spacing w:val="-1"/>
          <w:lang w:val="es-ES_tradnl"/>
        </w:rPr>
        <w:t>a</w:t>
      </w:r>
      <w:r w:rsidRPr="003B6FD9">
        <w:rPr>
          <w:rFonts w:ascii="Calibri" w:eastAsia="Calibri" w:hAnsi="Calibri"/>
          <w:b/>
          <w:spacing w:val="-1"/>
          <w:lang w:val="es-ES_tradnl"/>
        </w:rPr>
        <w:t xml:space="preserve"> </w:t>
      </w:r>
      <w:r w:rsidR="00710743" w:rsidRPr="003B6FD9">
        <w:rPr>
          <w:rFonts w:ascii="Calibri" w:eastAsia="Calibri" w:hAnsi="Calibri"/>
          <w:b/>
          <w:spacing w:val="-1"/>
          <w:lang w:val="es-ES_tradnl"/>
        </w:rPr>
        <w:t>2</w:t>
      </w:r>
      <w:r w:rsidR="00344AFE" w:rsidRPr="003B6FD9">
        <w:rPr>
          <w:rFonts w:ascii="Calibri" w:eastAsia="Calibri" w:hAnsi="Calibri"/>
          <w:b/>
          <w:spacing w:val="-1"/>
          <w:lang w:val="es-ES_tradnl"/>
        </w:rPr>
        <w:t>:</w:t>
      </w:r>
      <w:r w:rsidRPr="003B6FD9">
        <w:rPr>
          <w:rFonts w:ascii="Calibri" w:eastAsia="Calibri" w:hAnsi="Calibri"/>
          <w:b/>
          <w:spacing w:val="-1"/>
          <w:lang w:val="es-ES_tradnl"/>
        </w:rPr>
        <w:t xml:space="preserve"> List</w:t>
      </w:r>
      <w:r w:rsidR="00C42F3F" w:rsidRPr="003B6FD9">
        <w:rPr>
          <w:rFonts w:ascii="Calibri" w:eastAsia="Calibri" w:hAnsi="Calibri"/>
          <w:b/>
          <w:spacing w:val="-1"/>
          <w:lang w:val="es-ES_tradnl"/>
        </w:rPr>
        <w:t xml:space="preserve">a de países </w:t>
      </w:r>
      <w:r w:rsidR="003B6FD9" w:rsidRPr="003B6FD9">
        <w:rPr>
          <w:rFonts w:ascii="Calibri" w:eastAsia="Calibri" w:hAnsi="Calibri"/>
          <w:b/>
          <w:spacing w:val="-1"/>
          <w:lang w:val="es-ES_tradnl"/>
        </w:rPr>
        <w:t>de los</w:t>
      </w:r>
      <w:r w:rsidR="005D490F" w:rsidRPr="003B6FD9">
        <w:rPr>
          <w:rFonts w:ascii="Calibri" w:eastAsia="Calibri" w:hAnsi="Calibri"/>
          <w:b/>
          <w:spacing w:val="-1"/>
          <w:lang w:val="es-ES_tradnl"/>
        </w:rPr>
        <w:t xml:space="preserve"> delegados</w:t>
      </w:r>
      <w:r w:rsidR="003B6FD9" w:rsidRPr="003B6FD9">
        <w:rPr>
          <w:rFonts w:ascii="Calibri" w:eastAsia="Calibri" w:hAnsi="Calibri"/>
          <w:b/>
          <w:spacing w:val="-1"/>
          <w:lang w:val="es-ES_tradnl"/>
        </w:rPr>
        <w:t xml:space="preserve"> patrocinados</w:t>
      </w:r>
      <w:r w:rsidR="00344AFE" w:rsidRPr="003B6FD9">
        <w:rPr>
          <w:rFonts w:ascii="Calibri" w:eastAsia="Calibri" w:hAnsi="Calibri"/>
          <w:b/>
          <w:spacing w:val="-1"/>
          <w:lang w:val="es-ES_tradnl"/>
        </w:rPr>
        <w:t xml:space="preserve"> </w:t>
      </w:r>
      <w:r w:rsidR="003B6FD9" w:rsidRPr="003B6FD9">
        <w:rPr>
          <w:rFonts w:ascii="Calibri" w:eastAsia="Calibri" w:hAnsi="Calibri"/>
          <w:b/>
          <w:spacing w:val="-1"/>
          <w:lang w:val="es-ES_tradnl"/>
        </w:rPr>
        <w:t xml:space="preserve">a </w:t>
      </w:r>
      <w:r w:rsidR="00C42F3F" w:rsidRPr="003B6FD9">
        <w:rPr>
          <w:rFonts w:ascii="Calibri" w:eastAsia="Calibri" w:hAnsi="Calibri"/>
          <w:b/>
          <w:spacing w:val="-1"/>
          <w:lang w:val="es-ES_tradnl"/>
        </w:rPr>
        <w:t>18 de mayo de 2015</w:t>
      </w:r>
    </w:p>
    <w:p w:rsidR="005B099C" w:rsidRDefault="005B099C" w:rsidP="001E02DF">
      <w:pPr>
        <w:rPr>
          <w:rFonts w:ascii="Calibri" w:eastAsia="Calibri" w:hAnsi="Calibri"/>
          <w:spacing w:val="-1"/>
          <w:lang w:val="es-ES_tradnl"/>
        </w:rPr>
      </w:pPr>
    </w:p>
    <w:p w:rsidR="004810B0" w:rsidRDefault="004810B0" w:rsidP="001E02DF">
      <w:pPr>
        <w:rPr>
          <w:rFonts w:ascii="Calibri" w:eastAsia="Calibri" w:hAnsi="Calibri"/>
          <w:spacing w:val="-1"/>
          <w:lang w:val="es-ES_tradnl"/>
        </w:rPr>
      </w:pPr>
      <w:r w:rsidRPr="004810B0">
        <w:drawing>
          <wp:inline distT="0" distB="0" distL="0" distR="0">
            <wp:extent cx="5340350" cy="614241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49" cy="614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0" w:rsidRPr="003B6FD9" w:rsidRDefault="004810B0" w:rsidP="001E02DF">
      <w:pPr>
        <w:rPr>
          <w:rFonts w:ascii="Calibri" w:eastAsia="Calibri" w:hAnsi="Calibri"/>
          <w:spacing w:val="-1"/>
          <w:lang w:val="es-ES_tradnl"/>
        </w:rPr>
      </w:pPr>
    </w:p>
    <w:p w:rsidR="001F2D4B" w:rsidRDefault="001F2D4B" w:rsidP="00344AFE">
      <w:pPr>
        <w:rPr>
          <w:rFonts w:ascii="Calibri" w:eastAsia="Calibri" w:hAnsi="Calibri"/>
          <w:b/>
          <w:spacing w:val="-1"/>
          <w:lang w:val="es-ES_tradnl"/>
        </w:rPr>
      </w:pPr>
      <w:r w:rsidRPr="003B6FD9">
        <w:rPr>
          <w:rFonts w:ascii="Calibri" w:eastAsia="Calibri" w:hAnsi="Calibri"/>
          <w:b/>
          <w:spacing w:val="-1"/>
          <w:lang w:val="es-ES_tradnl"/>
        </w:rPr>
        <w:t>Tabl</w:t>
      </w:r>
      <w:r w:rsidR="00C42F3F" w:rsidRPr="003B6FD9">
        <w:rPr>
          <w:rFonts w:ascii="Calibri" w:eastAsia="Calibri" w:hAnsi="Calibri"/>
          <w:b/>
          <w:spacing w:val="-1"/>
          <w:lang w:val="es-ES_tradnl"/>
        </w:rPr>
        <w:t>a</w:t>
      </w:r>
      <w:r w:rsidRPr="003B6FD9">
        <w:rPr>
          <w:rFonts w:ascii="Calibri" w:eastAsia="Calibri" w:hAnsi="Calibri"/>
          <w:b/>
          <w:spacing w:val="-1"/>
          <w:lang w:val="es-ES_tradnl"/>
        </w:rPr>
        <w:t xml:space="preserve"> 3</w:t>
      </w:r>
      <w:r w:rsidR="006931C4" w:rsidRPr="003B6FD9">
        <w:rPr>
          <w:rFonts w:ascii="Calibri" w:eastAsia="Calibri" w:hAnsi="Calibri"/>
          <w:b/>
          <w:spacing w:val="-1"/>
          <w:lang w:val="es-ES_tradnl"/>
        </w:rPr>
        <w:t>:</w:t>
      </w:r>
      <w:r w:rsidRPr="003B6FD9">
        <w:rPr>
          <w:rFonts w:ascii="Calibri" w:eastAsia="Calibri" w:hAnsi="Calibri"/>
          <w:b/>
          <w:spacing w:val="-1"/>
          <w:lang w:val="es-ES_tradnl"/>
        </w:rPr>
        <w:t xml:space="preserve"> </w:t>
      </w:r>
      <w:r w:rsidR="00C42F3F" w:rsidRPr="003B6FD9">
        <w:rPr>
          <w:rFonts w:ascii="Calibri" w:eastAsia="Calibri" w:hAnsi="Calibri"/>
          <w:b/>
          <w:spacing w:val="-1"/>
          <w:lang w:val="es-ES_tradnl"/>
        </w:rPr>
        <w:t xml:space="preserve">Fuentes de financiación de la COP12 para </w:t>
      </w:r>
      <w:r w:rsidR="003B6FD9" w:rsidRPr="003B6FD9">
        <w:rPr>
          <w:rFonts w:ascii="Calibri" w:eastAsia="Calibri" w:hAnsi="Calibri"/>
          <w:b/>
          <w:spacing w:val="-1"/>
          <w:lang w:val="es-ES_tradnl"/>
        </w:rPr>
        <w:t xml:space="preserve">el </w:t>
      </w:r>
      <w:r w:rsidR="005D490F" w:rsidRPr="003B6FD9">
        <w:rPr>
          <w:rFonts w:ascii="Calibri" w:eastAsia="Calibri" w:hAnsi="Calibri"/>
          <w:b/>
          <w:spacing w:val="-1"/>
          <w:lang w:val="es-ES_tradnl"/>
        </w:rPr>
        <w:t>patrocinio de delegados</w:t>
      </w:r>
      <w:r w:rsidR="00344AFE" w:rsidRPr="003B6FD9">
        <w:rPr>
          <w:rFonts w:ascii="Calibri" w:eastAsia="Calibri" w:hAnsi="Calibri"/>
          <w:b/>
          <w:spacing w:val="-1"/>
          <w:lang w:val="es-ES_tradnl"/>
        </w:rPr>
        <w:t xml:space="preserve"> </w:t>
      </w:r>
      <w:r w:rsidR="00C42F3F" w:rsidRPr="003B6FD9">
        <w:rPr>
          <w:rFonts w:ascii="Calibri" w:eastAsia="Calibri" w:hAnsi="Calibri"/>
          <w:b/>
          <w:spacing w:val="-1"/>
          <w:lang w:val="es-ES_tradnl"/>
        </w:rPr>
        <w:t xml:space="preserve">a 11 de mayo de </w:t>
      </w:r>
      <w:r w:rsidRPr="003B6FD9">
        <w:rPr>
          <w:rFonts w:ascii="Calibri" w:eastAsia="Calibri" w:hAnsi="Calibri"/>
          <w:b/>
          <w:spacing w:val="-1"/>
          <w:lang w:val="es-ES_tradnl"/>
        </w:rPr>
        <w:t>2015</w:t>
      </w:r>
      <w:r w:rsidR="00344AFE" w:rsidRPr="003B6FD9">
        <w:rPr>
          <w:rFonts w:ascii="Calibri" w:eastAsia="Calibri" w:hAnsi="Calibri"/>
          <w:b/>
          <w:spacing w:val="-1"/>
          <w:lang w:val="es-ES_tradnl"/>
        </w:rPr>
        <w:tab/>
      </w:r>
    </w:p>
    <w:p w:rsidR="004810B0" w:rsidRDefault="0083452F" w:rsidP="00344AFE">
      <w:pPr>
        <w:rPr>
          <w:rFonts w:ascii="Calibri" w:eastAsia="Calibri" w:hAnsi="Calibri"/>
          <w:b/>
          <w:spacing w:val="-1"/>
          <w:lang w:val="es-ES_tradnl"/>
        </w:rPr>
      </w:pPr>
      <w:r w:rsidRPr="0083452F">
        <w:drawing>
          <wp:inline distT="0" distB="0" distL="0" distR="0">
            <wp:extent cx="3975100" cy="4495800"/>
            <wp:effectExtent l="1905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0" w:rsidRPr="003B6FD9" w:rsidRDefault="004810B0" w:rsidP="00344AFE">
      <w:pPr>
        <w:rPr>
          <w:rFonts w:ascii="Calibri" w:eastAsia="Calibri" w:hAnsi="Calibri"/>
          <w:b/>
          <w:spacing w:val="-1"/>
          <w:lang w:val="es-ES_tradnl"/>
        </w:rPr>
      </w:pPr>
    </w:p>
    <w:p w:rsidR="00003DCC" w:rsidRPr="003B6FD9" w:rsidRDefault="00003DCC" w:rsidP="001E02DF">
      <w:pPr>
        <w:rPr>
          <w:rFonts w:ascii="Calibri" w:eastAsia="Calibri" w:hAnsi="Calibri"/>
          <w:b/>
          <w:spacing w:val="-1"/>
          <w:lang w:val="es-ES_tradnl"/>
        </w:rPr>
      </w:pPr>
    </w:p>
    <w:sectPr w:rsidR="00003DCC" w:rsidRPr="003B6FD9" w:rsidSect="0083452F">
      <w:headerReference w:type="default" r:id="rId12"/>
      <w:footerReference w:type="default" r:id="rId13"/>
      <w:pgSz w:w="11910" w:h="16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96" w:rsidRDefault="00723596">
      <w:r>
        <w:separator/>
      </w:r>
    </w:p>
  </w:endnote>
  <w:endnote w:type="continuationSeparator" w:id="0">
    <w:p w:rsidR="00723596" w:rsidRDefault="0072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96" w:rsidRPr="00297222" w:rsidRDefault="00723596" w:rsidP="00297222">
    <w:pPr>
      <w:pStyle w:val="Footer"/>
      <w:tabs>
        <w:tab w:val="clear" w:pos="9026"/>
        <w:tab w:val="right" w:pos="9072"/>
      </w:tabs>
      <w:rPr>
        <w:sz w:val="20"/>
        <w:szCs w:val="20"/>
      </w:rPr>
    </w:pPr>
    <w:r>
      <w:rPr>
        <w:sz w:val="20"/>
        <w:szCs w:val="20"/>
      </w:rPr>
      <w:t>SC49-03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0E3905" w:rsidRPr="006B6339">
      <w:rPr>
        <w:sz w:val="20"/>
        <w:szCs w:val="20"/>
      </w:rPr>
      <w:fldChar w:fldCharType="begin"/>
    </w:r>
    <w:r w:rsidRPr="006B6339">
      <w:rPr>
        <w:sz w:val="20"/>
        <w:szCs w:val="20"/>
      </w:rPr>
      <w:instrText xml:space="preserve"> PAGE   \* MERGEFORMAT </w:instrText>
    </w:r>
    <w:r w:rsidR="000E3905" w:rsidRPr="006B6339">
      <w:rPr>
        <w:sz w:val="20"/>
        <w:szCs w:val="20"/>
      </w:rPr>
      <w:fldChar w:fldCharType="separate"/>
    </w:r>
    <w:r w:rsidR="0083452F">
      <w:rPr>
        <w:noProof/>
        <w:sz w:val="20"/>
        <w:szCs w:val="20"/>
      </w:rPr>
      <w:t>2</w:t>
    </w:r>
    <w:r w:rsidR="000E3905" w:rsidRPr="006B633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96" w:rsidRDefault="00723596">
      <w:r>
        <w:separator/>
      </w:r>
    </w:p>
  </w:footnote>
  <w:footnote w:type="continuationSeparator" w:id="0">
    <w:p w:rsidR="00723596" w:rsidRDefault="00723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96" w:rsidRDefault="00723596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534"/>
    <w:multiLevelType w:val="hybridMultilevel"/>
    <w:tmpl w:val="96BAE5DC"/>
    <w:lvl w:ilvl="0" w:tplc="8A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BBE"/>
    <w:multiLevelType w:val="hybridMultilevel"/>
    <w:tmpl w:val="FFEEF58E"/>
    <w:lvl w:ilvl="0" w:tplc="DD56AE00">
      <w:start w:val="1"/>
      <w:numFmt w:val="decimal"/>
      <w:lvlText w:val="%1."/>
      <w:lvlJc w:val="left"/>
      <w:pPr>
        <w:ind w:left="706" w:hanging="428"/>
        <w:jc w:val="right"/>
      </w:pPr>
      <w:rPr>
        <w:rFonts w:ascii="Calibri" w:eastAsia="Calibri" w:hAnsi="Calibri" w:hint="default"/>
        <w:sz w:val="22"/>
        <w:szCs w:val="22"/>
      </w:rPr>
    </w:lvl>
    <w:lvl w:ilvl="1" w:tplc="DD7A15F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color w:val="1C1C1C"/>
        <w:w w:val="99"/>
        <w:sz w:val="20"/>
        <w:szCs w:val="20"/>
      </w:rPr>
    </w:lvl>
    <w:lvl w:ilvl="2" w:tplc="AA1A3FE2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3ADC9564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4" w:tplc="92902A16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5" w:tplc="0A7A3E54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6" w:tplc="AE8A585E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7" w:tplc="767017B6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8" w:tplc="1040D6BE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</w:abstractNum>
  <w:abstractNum w:abstractNumId="2">
    <w:nsid w:val="2E1F2437"/>
    <w:multiLevelType w:val="hybridMultilevel"/>
    <w:tmpl w:val="1022561C"/>
    <w:lvl w:ilvl="0" w:tplc="E92E28B0">
      <w:start w:val="1"/>
      <w:numFmt w:val="bullet"/>
      <w:lvlText w:val="-"/>
      <w:lvlJc w:val="left"/>
      <w:pPr>
        <w:ind w:left="865" w:hanging="360"/>
      </w:pPr>
      <w:rPr>
        <w:rFonts w:ascii="Garamond" w:eastAsia="Garamond" w:hAnsi="Garamond" w:hint="default"/>
        <w:sz w:val="22"/>
        <w:szCs w:val="22"/>
      </w:rPr>
    </w:lvl>
    <w:lvl w:ilvl="1" w:tplc="541AD05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666EDEEC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9EFA8860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5FC2347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AA88AADA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FA6A6492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B1C0A9A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D2D4B386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</w:abstractNum>
  <w:abstractNum w:abstractNumId="3">
    <w:nsid w:val="33D357F7"/>
    <w:multiLevelType w:val="hybridMultilevel"/>
    <w:tmpl w:val="3CC024AE"/>
    <w:lvl w:ilvl="0" w:tplc="8A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A57F5"/>
    <w:multiLevelType w:val="hybridMultilevel"/>
    <w:tmpl w:val="C714D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367A2"/>
    <w:multiLevelType w:val="hybridMultilevel"/>
    <w:tmpl w:val="3E98B930"/>
    <w:lvl w:ilvl="0" w:tplc="FCA03FB0">
      <w:start w:val="1"/>
      <w:numFmt w:val="upperLetter"/>
      <w:lvlText w:val="%1)"/>
      <w:lvlJc w:val="left"/>
      <w:pPr>
        <w:ind w:left="1196" w:hanging="360"/>
      </w:pPr>
      <w:rPr>
        <w:rFonts w:ascii="Calibri" w:eastAsia="Calibri" w:hAnsi="Calibri" w:cstheme="minorBidi"/>
        <w:spacing w:val="-1"/>
        <w:sz w:val="22"/>
        <w:szCs w:val="22"/>
      </w:rPr>
    </w:lvl>
    <w:lvl w:ilvl="1" w:tplc="59F0C9B6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2" w:tplc="CC1607EC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29E45B88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DDA0C59E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F0F47F64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89DC39EE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D7C678EA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19DA2128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6">
    <w:nsid w:val="68AD05CE"/>
    <w:multiLevelType w:val="hybridMultilevel"/>
    <w:tmpl w:val="3CC024AE"/>
    <w:lvl w:ilvl="0" w:tplc="8AF2E3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3E04F0"/>
    <w:multiLevelType w:val="hybridMultilevel"/>
    <w:tmpl w:val="1C44C76C"/>
    <w:lvl w:ilvl="0" w:tplc="F8A46A72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65C3CDE">
      <w:start w:val="1"/>
      <w:numFmt w:val="bullet"/>
      <w:lvlText w:val="-"/>
      <w:lvlJc w:val="left"/>
      <w:pPr>
        <w:ind w:left="1278" w:hanging="360"/>
      </w:pPr>
      <w:rPr>
        <w:rFonts w:ascii="Garamond" w:eastAsia="Garamond" w:hAnsi="Garamond" w:hint="default"/>
        <w:w w:val="99"/>
        <w:sz w:val="20"/>
        <w:szCs w:val="20"/>
      </w:rPr>
    </w:lvl>
    <w:lvl w:ilvl="2" w:tplc="940AD05A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9A74CFBC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D910E302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692050CE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C2E6EE2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  <w:lvl w:ilvl="7" w:tplc="514E9CD0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84DC8C2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3DBB"/>
    <w:rsid w:val="00003DCC"/>
    <w:rsid w:val="000143B8"/>
    <w:rsid w:val="000161F5"/>
    <w:rsid w:val="000265F5"/>
    <w:rsid w:val="00032F9E"/>
    <w:rsid w:val="00036D55"/>
    <w:rsid w:val="00037186"/>
    <w:rsid w:val="00044254"/>
    <w:rsid w:val="000A391F"/>
    <w:rsid w:val="000B62EC"/>
    <w:rsid w:val="000C4192"/>
    <w:rsid w:val="000D68C5"/>
    <w:rsid w:val="000E3905"/>
    <w:rsid w:val="00141840"/>
    <w:rsid w:val="001468D5"/>
    <w:rsid w:val="001517EC"/>
    <w:rsid w:val="00156153"/>
    <w:rsid w:val="00174CD9"/>
    <w:rsid w:val="001B2850"/>
    <w:rsid w:val="001E02DF"/>
    <w:rsid w:val="001F2D4B"/>
    <w:rsid w:val="00202292"/>
    <w:rsid w:val="00242464"/>
    <w:rsid w:val="002551F8"/>
    <w:rsid w:val="00257F82"/>
    <w:rsid w:val="00265AB6"/>
    <w:rsid w:val="002666F1"/>
    <w:rsid w:val="00297222"/>
    <w:rsid w:val="002B6063"/>
    <w:rsid w:val="002E4FF9"/>
    <w:rsid w:val="003037C3"/>
    <w:rsid w:val="003067F6"/>
    <w:rsid w:val="003148C4"/>
    <w:rsid w:val="003220E3"/>
    <w:rsid w:val="00336E2E"/>
    <w:rsid w:val="00344AFE"/>
    <w:rsid w:val="00352F8E"/>
    <w:rsid w:val="00362B5A"/>
    <w:rsid w:val="00392D40"/>
    <w:rsid w:val="003B55A9"/>
    <w:rsid w:val="003B6FD9"/>
    <w:rsid w:val="003C11B9"/>
    <w:rsid w:val="003C7879"/>
    <w:rsid w:val="004234D6"/>
    <w:rsid w:val="0042382B"/>
    <w:rsid w:val="0046254B"/>
    <w:rsid w:val="004810B0"/>
    <w:rsid w:val="00490BB9"/>
    <w:rsid w:val="004A08D7"/>
    <w:rsid w:val="004E1856"/>
    <w:rsid w:val="005160CA"/>
    <w:rsid w:val="00586D1C"/>
    <w:rsid w:val="00593DBB"/>
    <w:rsid w:val="00594AAF"/>
    <w:rsid w:val="00595E0E"/>
    <w:rsid w:val="005B099C"/>
    <w:rsid w:val="005B4D25"/>
    <w:rsid w:val="005D4325"/>
    <w:rsid w:val="005D490F"/>
    <w:rsid w:val="005F2B1D"/>
    <w:rsid w:val="0065107C"/>
    <w:rsid w:val="006931C4"/>
    <w:rsid w:val="00710743"/>
    <w:rsid w:val="007124F1"/>
    <w:rsid w:val="00716EB1"/>
    <w:rsid w:val="00723596"/>
    <w:rsid w:val="007331F5"/>
    <w:rsid w:val="007361BB"/>
    <w:rsid w:val="00751046"/>
    <w:rsid w:val="0077564D"/>
    <w:rsid w:val="007A7B8B"/>
    <w:rsid w:val="007B4F7C"/>
    <w:rsid w:val="007C4D8A"/>
    <w:rsid w:val="007C795F"/>
    <w:rsid w:val="007C7D2F"/>
    <w:rsid w:val="007D43D2"/>
    <w:rsid w:val="008234AE"/>
    <w:rsid w:val="0083452F"/>
    <w:rsid w:val="008820FD"/>
    <w:rsid w:val="008864EF"/>
    <w:rsid w:val="00892758"/>
    <w:rsid w:val="00897A3A"/>
    <w:rsid w:val="008C1A9D"/>
    <w:rsid w:val="008C5F61"/>
    <w:rsid w:val="008F4E5D"/>
    <w:rsid w:val="009534C2"/>
    <w:rsid w:val="009857E8"/>
    <w:rsid w:val="009A141D"/>
    <w:rsid w:val="009A45EA"/>
    <w:rsid w:val="009D163A"/>
    <w:rsid w:val="00A176B9"/>
    <w:rsid w:val="00A455FE"/>
    <w:rsid w:val="00A51FED"/>
    <w:rsid w:val="00A6415D"/>
    <w:rsid w:val="00A66D67"/>
    <w:rsid w:val="00A74283"/>
    <w:rsid w:val="00A76095"/>
    <w:rsid w:val="00A84D75"/>
    <w:rsid w:val="00A93664"/>
    <w:rsid w:val="00A93AF3"/>
    <w:rsid w:val="00AA3E13"/>
    <w:rsid w:val="00AC19BE"/>
    <w:rsid w:val="00AF53FF"/>
    <w:rsid w:val="00B12690"/>
    <w:rsid w:val="00B1357F"/>
    <w:rsid w:val="00B31829"/>
    <w:rsid w:val="00B549DB"/>
    <w:rsid w:val="00B54A0E"/>
    <w:rsid w:val="00B565FA"/>
    <w:rsid w:val="00B57AAD"/>
    <w:rsid w:val="00B66940"/>
    <w:rsid w:val="00B70949"/>
    <w:rsid w:val="00B90FE8"/>
    <w:rsid w:val="00BA4EC9"/>
    <w:rsid w:val="00BB69D9"/>
    <w:rsid w:val="00BC056D"/>
    <w:rsid w:val="00BD1FF7"/>
    <w:rsid w:val="00C02BBA"/>
    <w:rsid w:val="00C1047B"/>
    <w:rsid w:val="00C13000"/>
    <w:rsid w:val="00C244B4"/>
    <w:rsid w:val="00C42DAD"/>
    <w:rsid w:val="00C42F3F"/>
    <w:rsid w:val="00C468F6"/>
    <w:rsid w:val="00C76617"/>
    <w:rsid w:val="00C91416"/>
    <w:rsid w:val="00CC6B6B"/>
    <w:rsid w:val="00D11DC3"/>
    <w:rsid w:val="00D26F13"/>
    <w:rsid w:val="00D3057A"/>
    <w:rsid w:val="00D41247"/>
    <w:rsid w:val="00D9638C"/>
    <w:rsid w:val="00DD4337"/>
    <w:rsid w:val="00DE1818"/>
    <w:rsid w:val="00DF1DE8"/>
    <w:rsid w:val="00E23965"/>
    <w:rsid w:val="00E624F9"/>
    <w:rsid w:val="00E62B34"/>
    <w:rsid w:val="00E921D9"/>
    <w:rsid w:val="00E968CB"/>
    <w:rsid w:val="00EE41CD"/>
    <w:rsid w:val="00F23F0A"/>
    <w:rsid w:val="00F40108"/>
    <w:rsid w:val="00F64F62"/>
    <w:rsid w:val="00F84309"/>
    <w:rsid w:val="00F868A8"/>
    <w:rsid w:val="00FA5C41"/>
    <w:rsid w:val="00FC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464"/>
  </w:style>
  <w:style w:type="paragraph" w:styleId="Heading1">
    <w:name w:val="heading 1"/>
    <w:basedOn w:val="Normal"/>
    <w:uiPriority w:val="1"/>
    <w:qFormat/>
    <w:rsid w:val="00242464"/>
    <w:pPr>
      <w:ind w:hanging="368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42464"/>
    <w:pPr>
      <w:ind w:left="1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242464"/>
    <w:pPr>
      <w:spacing w:before="56"/>
      <w:ind w:left="119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2464"/>
    <w:pPr>
      <w:ind w:left="839" w:hanging="3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242464"/>
  </w:style>
  <w:style w:type="paragraph" w:customStyle="1" w:styleId="TableParagraph">
    <w:name w:val="Table Paragraph"/>
    <w:basedOn w:val="Normal"/>
    <w:uiPriority w:val="1"/>
    <w:qFormat/>
    <w:rsid w:val="00242464"/>
  </w:style>
  <w:style w:type="paragraph" w:styleId="Header">
    <w:name w:val="header"/>
    <w:basedOn w:val="Normal"/>
    <w:link w:val="HeaderCh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850"/>
  </w:style>
  <w:style w:type="paragraph" w:styleId="Footer">
    <w:name w:val="footer"/>
    <w:basedOn w:val="Normal"/>
    <w:link w:val="FooterCh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50"/>
  </w:style>
  <w:style w:type="table" w:customStyle="1" w:styleId="TableGrid1">
    <w:name w:val="Table Grid1"/>
    <w:basedOn w:val="TableNormal"/>
    <w:next w:val="TableGrid"/>
    <w:uiPriority w:val="59"/>
    <w:rsid w:val="001E02DF"/>
    <w:pPr>
      <w:widowControl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0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7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D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2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hanging="368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paragraph" w:styleId="Ttulo3">
    <w:name w:val="heading 3"/>
    <w:basedOn w:val="Normal"/>
    <w:uiPriority w:val="1"/>
    <w:qFormat/>
    <w:pPr>
      <w:spacing w:before="56"/>
      <w:ind w:left="119"/>
      <w:outlineLvl w:val="2"/>
    </w:pPr>
    <w:rPr>
      <w:rFonts w:ascii="Calibri" w:eastAsia="Calibri" w:hAnsi="Calibri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uiPriority w:val="1"/>
    <w:qFormat/>
    <w:pPr>
      <w:ind w:left="839" w:hanging="359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EncabezadoCar">
    <w:name w:val="Header Char"/>
    <w:basedOn w:val="Fuentedeprrafopredeter"/>
    <w:link w:val="Encabezado"/>
    <w:uiPriority w:val="99"/>
    <w:rsid w:val="001B2850"/>
  </w:style>
  <w:style w:type="paragraph" w:styleId="Piedepgina">
    <w:name w:val="footer"/>
    <w:basedOn w:val="Normal"/>
    <w:link w:val="PiedepginaC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PiedepginaCar">
    <w:name w:val="Footer Char"/>
    <w:basedOn w:val="Fuentedeprrafopredeter"/>
    <w:link w:val="Piedepgina"/>
    <w:uiPriority w:val="99"/>
    <w:rsid w:val="001B2850"/>
  </w:style>
  <w:style w:type="table" w:customStyle="1" w:styleId="TableGrid1">
    <w:name w:val="Table Grid1"/>
    <w:basedOn w:val="Tablanormal"/>
    <w:next w:val="Tablaconcuadrcula"/>
    <w:uiPriority w:val="59"/>
    <w:rsid w:val="001E02DF"/>
    <w:pPr>
      <w:widowControl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E0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722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99C"/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5B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E8B8-1F43-46D0-8287-75DE0B83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PapayannisT</dc:creator>
  <cp:lastModifiedBy>Ramsar\JenningsE</cp:lastModifiedBy>
  <cp:revision>2</cp:revision>
  <cp:lastPrinted>2015-05-19T13:16:00Z</cp:lastPrinted>
  <dcterms:created xsi:type="dcterms:W3CDTF">2015-05-21T13:09:00Z</dcterms:created>
  <dcterms:modified xsi:type="dcterms:W3CDTF">2015-05-21T13:09:00Z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2015-03-20T00:00:00Z</vt:filetime>
  </property>
</Properties>
</file>