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F" w:rsidRPr="00FC72ED" w:rsidRDefault="00AD0125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bookmarkStart w:id="0" w:name="OLE_LINK1"/>
      <w:r w:rsidRPr="00FC72ED">
        <w:rPr>
          <w:rFonts w:eastAsia="Times New Roman"/>
          <w:bCs/>
          <w:sz w:val="24"/>
          <w:szCs w:val="24"/>
          <w:lang w:val="es-ES_tradnl"/>
        </w:rPr>
        <w:t xml:space="preserve">CONVENCIÓN SOBRE LOS HUMEDALES </w:t>
      </w:r>
      <w:r w:rsidR="001F558F" w:rsidRPr="00FC72ED">
        <w:rPr>
          <w:rFonts w:eastAsia="Times New Roman"/>
          <w:bCs/>
          <w:sz w:val="24"/>
          <w:szCs w:val="24"/>
          <w:lang w:val="es-ES_tradnl"/>
        </w:rPr>
        <w:t xml:space="preserve">(Ramsar, </w:t>
      </w:r>
      <w:r w:rsidR="00495B4F" w:rsidRPr="00FC72ED">
        <w:rPr>
          <w:rFonts w:eastAsia="Times New Roman"/>
          <w:bCs/>
          <w:sz w:val="24"/>
          <w:szCs w:val="24"/>
          <w:lang w:val="es-ES_tradnl"/>
        </w:rPr>
        <w:t>Irán</w:t>
      </w:r>
      <w:r w:rsidR="001F558F" w:rsidRPr="00FC72ED">
        <w:rPr>
          <w:rFonts w:eastAsia="Times New Roman"/>
          <w:bCs/>
          <w:sz w:val="24"/>
          <w:szCs w:val="24"/>
          <w:lang w:val="es-ES_tradnl"/>
        </w:rPr>
        <w:t>, 1971)</w:t>
      </w:r>
    </w:p>
    <w:p w:rsidR="001F558F" w:rsidRPr="00FC72ED" w:rsidRDefault="001F558F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r w:rsidRPr="00FC72ED">
        <w:rPr>
          <w:rFonts w:eastAsia="Times New Roman"/>
          <w:bCs/>
          <w:sz w:val="24"/>
          <w:szCs w:val="24"/>
          <w:lang w:val="es-ES_tradnl"/>
        </w:rPr>
        <w:t>4</w:t>
      </w:r>
      <w:r w:rsidR="009D6DBD" w:rsidRPr="00FC72ED">
        <w:rPr>
          <w:rFonts w:eastAsia="Times New Roman"/>
          <w:bCs/>
          <w:sz w:val="24"/>
          <w:szCs w:val="24"/>
          <w:lang w:val="es-ES_tradnl"/>
        </w:rPr>
        <w:t>9</w:t>
      </w:r>
      <w:r w:rsidR="00220929" w:rsidRPr="00FC72ED">
        <w:rPr>
          <w:rFonts w:eastAsia="Times New Roman"/>
          <w:bCs/>
          <w:sz w:val="24"/>
          <w:szCs w:val="24"/>
          <w:vertAlign w:val="superscript"/>
          <w:lang w:val="es-ES_tradnl"/>
        </w:rPr>
        <w:t>a</w:t>
      </w:r>
      <w:r w:rsidRPr="00FC72ED">
        <w:rPr>
          <w:rFonts w:eastAsia="Times New Roman"/>
          <w:bCs/>
          <w:sz w:val="24"/>
          <w:szCs w:val="24"/>
          <w:lang w:val="es-ES_tradnl"/>
        </w:rPr>
        <w:t xml:space="preserve"> </w:t>
      </w:r>
      <w:r w:rsidR="00AD0125" w:rsidRPr="00FC72ED">
        <w:rPr>
          <w:rFonts w:eastAsia="Times New Roman"/>
          <w:bCs/>
          <w:sz w:val="24"/>
          <w:szCs w:val="24"/>
          <w:lang w:val="es-ES_tradnl"/>
        </w:rPr>
        <w:t>Reunión del Comité Permanente</w:t>
      </w:r>
    </w:p>
    <w:p w:rsidR="001F558F" w:rsidRPr="00FC72ED" w:rsidRDefault="009D6DBD" w:rsidP="001F55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4"/>
          <w:lang w:val="es-ES_tradnl"/>
        </w:rPr>
      </w:pPr>
      <w:r w:rsidRPr="00FC72ED">
        <w:rPr>
          <w:rFonts w:eastAsia="Times New Roman"/>
          <w:bCs/>
          <w:sz w:val="24"/>
          <w:szCs w:val="24"/>
          <w:lang w:val="es-ES_tradnl"/>
        </w:rPr>
        <w:t>Punta del Este</w:t>
      </w:r>
      <w:r w:rsidR="001F558F" w:rsidRPr="00FC72ED">
        <w:rPr>
          <w:rFonts w:eastAsia="Times New Roman"/>
          <w:bCs/>
          <w:sz w:val="24"/>
          <w:szCs w:val="24"/>
          <w:lang w:val="es-ES_tradnl"/>
        </w:rPr>
        <w:t xml:space="preserve">, </w:t>
      </w:r>
      <w:r w:rsidRPr="00FC72ED">
        <w:rPr>
          <w:rFonts w:eastAsia="Times New Roman"/>
          <w:bCs/>
          <w:sz w:val="24"/>
          <w:szCs w:val="24"/>
          <w:lang w:val="es-ES_tradnl"/>
        </w:rPr>
        <w:t>Uruguay</w:t>
      </w:r>
      <w:r w:rsidR="001F558F" w:rsidRPr="00FC72ED">
        <w:rPr>
          <w:rFonts w:eastAsia="Times New Roman"/>
          <w:bCs/>
          <w:sz w:val="24"/>
          <w:szCs w:val="24"/>
          <w:lang w:val="es-ES_tradnl"/>
        </w:rPr>
        <w:t xml:space="preserve">, </w:t>
      </w:r>
      <w:r w:rsidRPr="00FC72ED">
        <w:rPr>
          <w:rFonts w:eastAsia="Times New Roman"/>
          <w:bCs/>
          <w:sz w:val="24"/>
          <w:szCs w:val="24"/>
          <w:lang w:val="es-ES_tradnl"/>
        </w:rPr>
        <w:t>1</w:t>
      </w:r>
      <w:r w:rsidR="001F558F" w:rsidRPr="00FC72ED">
        <w:rPr>
          <w:rFonts w:eastAsia="Times New Roman"/>
          <w:bCs/>
          <w:sz w:val="24"/>
          <w:szCs w:val="24"/>
          <w:lang w:val="es-ES_tradnl"/>
        </w:rPr>
        <w:t xml:space="preserve"> </w:t>
      </w:r>
      <w:r w:rsidR="00AD0125" w:rsidRPr="00FC72ED">
        <w:rPr>
          <w:rFonts w:eastAsia="Times New Roman"/>
          <w:bCs/>
          <w:sz w:val="24"/>
          <w:szCs w:val="24"/>
          <w:lang w:val="es-ES_tradnl"/>
        </w:rPr>
        <w:t>de junio de 2015</w:t>
      </w:r>
    </w:p>
    <w:p w:rsidR="001F558F" w:rsidRPr="00FC72ED" w:rsidRDefault="001F558F" w:rsidP="001F558F">
      <w:pPr>
        <w:rPr>
          <w:rFonts w:eastAsia="Times New Roman"/>
          <w:lang w:val="es-ES_tradnl"/>
        </w:rPr>
      </w:pPr>
    </w:p>
    <w:p w:rsidR="002C494A" w:rsidRPr="00FC72ED" w:rsidRDefault="001F558F" w:rsidP="00AB06ED">
      <w:pPr>
        <w:jc w:val="right"/>
        <w:rPr>
          <w:b/>
          <w:bCs/>
          <w:sz w:val="16"/>
          <w:szCs w:val="16"/>
          <w:lang w:val="es-ES_tradnl"/>
        </w:rPr>
      </w:pPr>
      <w:r w:rsidRPr="00FC72ED">
        <w:rPr>
          <w:rFonts w:cs="Arial"/>
          <w:b/>
          <w:sz w:val="28"/>
          <w:szCs w:val="28"/>
          <w:lang w:val="es-ES_tradnl" w:eastAsia="en-US"/>
        </w:rPr>
        <w:t>SC4</w:t>
      </w:r>
      <w:r w:rsidR="001A7F1F" w:rsidRPr="00FC72ED">
        <w:rPr>
          <w:rFonts w:cs="Arial"/>
          <w:b/>
          <w:sz w:val="28"/>
          <w:szCs w:val="28"/>
          <w:lang w:val="es-ES_tradnl" w:eastAsia="en-US"/>
        </w:rPr>
        <w:t>9</w:t>
      </w:r>
      <w:r w:rsidRPr="00FC72ED">
        <w:rPr>
          <w:rFonts w:cs="Arial"/>
          <w:b/>
          <w:sz w:val="28"/>
          <w:szCs w:val="28"/>
          <w:lang w:val="es-ES_tradnl" w:eastAsia="en-US"/>
        </w:rPr>
        <w:t>-01</w:t>
      </w:r>
      <w:r w:rsidR="00AB06ED" w:rsidRPr="00FC72ED">
        <w:rPr>
          <w:rFonts w:cs="Arial"/>
          <w:b/>
          <w:sz w:val="28"/>
          <w:szCs w:val="28"/>
          <w:lang w:val="es-ES_tradnl" w:eastAsia="en-US"/>
        </w:rPr>
        <w:t xml:space="preserve"> Rev.1</w:t>
      </w:r>
      <w:bookmarkEnd w:id="0"/>
    </w:p>
    <w:p w:rsidR="00C96AD8" w:rsidRPr="00FC72ED" w:rsidRDefault="00C96AD8" w:rsidP="002F0F9D">
      <w:pPr>
        <w:jc w:val="center"/>
        <w:rPr>
          <w:b/>
          <w:bCs/>
          <w:sz w:val="16"/>
          <w:szCs w:val="16"/>
          <w:lang w:val="es-ES_tradnl"/>
        </w:rPr>
      </w:pPr>
    </w:p>
    <w:p w:rsidR="00AD0125" w:rsidRPr="00FC72ED" w:rsidRDefault="002C494A" w:rsidP="00AD0125">
      <w:pPr>
        <w:jc w:val="center"/>
        <w:rPr>
          <w:rFonts w:cs="Arial"/>
          <w:b/>
          <w:sz w:val="28"/>
          <w:szCs w:val="28"/>
          <w:lang w:val="es-ES_tradnl"/>
        </w:rPr>
      </w:pPr>
      <w:r w:rsidRPr="00FC72ED">
        <w:rPr>
          <w:rFonts w:cs="Arial"/>
          <w:b/>
          <w:sz w:val="28"/>
          <w:szCs w:val="28"/>
          <w:lang w:val="es-ES_tradnl"/>
        </w:rPr>
        <w:t>4</w:t>
      </w:r>
      <w:r w:rsidR="0030208B" w:rsidRPr="00FC72ED">
        <w:rPr>
          <w:rFonts w:cs="Arial"/>
          <w:b/>
          <w:sz w:val="28"/>
          <w:szCs w:val="28"/>
          <w:lang w:val="es-ES_tradnl"/>
        </w:rPr>
        <w:t>9</w:t>
      </w:r>
      <w:r w:rsidR="00AD0125" w:rsidRPr="00FC72ED">
        <w:rPr>
          <w:rFonts w:cs="Arial"/>
          <w:b/>
          <w:sz w:val="28"/>
          <w:szCs w:val="28"/>
          <w:lang w:val="es-ES_tradnl"/>
        </w:rPr>
        <w:t>ª</w:t>
      </w:r>
      <w:r w:rsidRPr="00FC72ED">
        <w:rPr>
          <w:rFonts w:cs="Arial"/>
          <w:b/>
          <w:sz w:val="28"/>
          <w:szCs w:val="28"/>
          <w:lang w:val="es-ES_tradnl"/>
        </w:rPr>
        <w:t xml:space="preserve"> </w:t>
      </w:r>
      <w:r w:rsidR="00AD0125" w:rsidRPr="00FC72ED">
        <w:rPr>
          <w:rFonts w:cs="Arial"/>
          <w:b/>
          <w:sz w:val="28"/>
          <w:szCs w:val="28"/>
          <w:lang w:val="es-ES_tradnl"/>
        </w:rPr>
        <w:t>Reunión del Comité Permanente</w:t>
      </w:r>
    </w:p>
    <w:p w:rsidR="002C494A" w:rsidRPr="00FC72ED" w:rsidRDefault="00AD0125" w:rsidP="00AD0125">
      <w:pPr>
        <w:jc w:val="center"/>
        <w:rPr>
          <w:b/>
          <w:bCs/>
          <w:lang w:val="es-ES_tradnl"/>
        </w:rPr>
      </w:pPr>
      <w:r w:rsidRPr="00FC72ED">
        <w:rPr>
          <w:rFonts w:cs="Arial"/>
          <w:b/>
          <w:bCs/>
          <w:sz w:val="28"/>
          <w:szCs w:val="28"/>
          <w:lang w:val="es-ES_tradnl"/>
        </w:rPr>
        <w:t>Proyecto de orden del día y programa</w:t>
      </w:r>
    </w:p>
    <w:p w:rsidR="002C494A" w:rsidRPr="00FC72ED" w:rsidRDefault="002C494A" w:rsidP="002C494A">
      <w:pPr>
        <w:rPr>
          <w:b/>
          <w:bCs/>
          <w:lang w:val="es-ES_tradnl"/>
        </w:rPr>
      </w:pPr>
    </w:p>
    <w:p w:rsidR="002F0F9D" w:rsidRPr="00FC72ED" w:rsidRDefault="00AD0125" w:rsidP="002C494A">
      <w:pPr>
        <w:rPr>
          <w:b/>
          <w:bCs/>
          <w:lang w:val="es-ES_tradnl"/>
        </w:rPr>
      </w:pPr>
      <w:r w:rsidRPr="00FC72ED">
        <w:rPr>
          <w:b/>
          <w:bCs/>
          <w:lang w:val="es-ES_tradnl"/>
        </w:rPr>
        <w:t xml:space="preserve">Lunes 1 de junio de </w:t>
      </w:r>
      <w:r w:rsidR="002808CD" w:rsidRPr="00FC72ED">
        <w:rPr>
          <w:b/>
          <w:bCs/>
          <w:lang w:val="es-ES_tradnl"/>
        </w:rPr>
        <w:t>201</w:t>
      </w:r>
      <w:r w:rsidR="001A7F1F" w:rsidRPr="00FC72ED">
        <w:rPr>
          <w:b/>
          <w:bCs/>
          <w:lang w:val="es-ES_tradnl"/>
        </w:rPr>
        <w:t>5</w:t>
      </w:r>
    </w:p>
    <w:p w:rsidR="002C494A" w:rsidRPr="00FC72ED" w:rsidRDefault="002C494A" w:rsidP="002C494A">
      <w:pPr>
        <w:rPr>
          <w:b/>
          <w:bCs/>
          <w:sz w:val="12"/>
          <w:szCs w:val="12"/>
          <w:lang w:val="es-ES_tradnl"/>
        </w:rPr>
      </w:pPr>
    </w:p>
    <w:p w:rsidR="002F0F9D" w:rsidRPr="00FC72ED" w:rsidRDefault="00276C13" w:rsidP="002C494A">
      <w:pPr>
        <w:rPr>
          <w:b/>
          <w:bCs/>
          <w:lang w:val="es-ES_tradnl"/>
        </w:rPr>
      </w:pPr>
      <w:r w:rsidRPr="00FC72ED">
        <w:rPr>
          <w:b/>
          <w:bCs/>
          <w:lang w:val="es-ES_tradnl"/>
        </w:rPr>
        <w:t>0</w:t>
      </w:r>
      <w:r w:rsidR="008C0725" w:rsidRPr="00FC72ED">
        <w:rPr>
          <w:b/>
          <w:bCs/>
          <w:lang w:val="es-ES_tradnl"/>
        </w:rPr>
        <w:t>9</w:t>
      </w:r>
      <w:r w:rsidR="00AB06ED" w:rsidRPr="00FC72ED">
        <w:rPr>
          <w:b/>
          <w:bCs/>
          <w:lang w:val="es-ES_tradnl"/>
        </w:rPr>
        <w:t>:3</w:t>
      </w:r>
      <w:r w:rsidR="002F0F9D" w:rsidRPr="00FC72ED">
        <w:rPr>
          <w:b/>
          <w:bCs/>
          <w:lang w:val="es-ES_tradnl"/>
        </w:rPr>
        <w:t>0-1</w:t>
      </w:r>
      <w:r w:rsidR="001A7F1F" w:rsidRPr="00FC72ED">
        <w:rPr>
          <w:b/>
          <w:bCs/>
          <w:lang w:val="es-ES_tradnl"/>
        </w:rPr>
        <w:t>3</w:t>
      </w:r>
      <w:r w:rsidR="002F0F9D" w:rsidRPr="00FC72ED">
        <w:rPr>
          <w:b/>
          <w:bCs/>
          <w:lang w:val="es-ES_tradnl"/>
        </w:rPr>
        <w:t xml:space="preserve">:00 </w:t>
      </w:r>
    </w:p>
    <w:p w:rsidR="00C96AD8" w:rsidRPr="00FC72ED" w:rsidRDefault="00C96AD8" w:rsidP="002C494A">
      <w:pPr>
        <w:rPr>
          <w:b/>
          <w:bCs/>
          <w:sz w:val="12"/>
          <w:szCs w:val="12"/>
          <w:lang w:val="es-ES_tradnl"/>
        </w:rPr>
      </w:pPr>
      <w:bookmarkStart w:id="1" w:name="OLE_LINK3"/>
      <w:bookmarkStart w:id="2" w:name="OLE_LINK2"/>
      <w:bookmarkEnd w:id="1"/>
      <w:bookmarkEnd w:id="2"/>
    </w:p>
    <w:p w:rsidR="002F0F9D" w:rsidRPr="00FC72ED" w:rsidRDefault="00AD0125" w:rsidP="002C494A">
      <w:pPr>
        <w:rPr>
          <w:b/>
          <w:lang w:val="es-ES_tradnl"/>
        </w:rPr>
      </w:pPr>
      <w:r w:rsidRPr="00FC72ED">
        <w:rPr>
          <w:b/>
          <w:bCs/>
          <w:lang w:val="es-ES_tradnl"/>
        </w:rPr>
        <w:t>Lugar</w:t>
      </w:r>
      <w:r w:rsidR="002F0F9D" w:rsidRPr="00FC72ED">
        <w:rPr>
          <w:b/>
          <w:bCs/>
          <w:lang w:val="es-ES_tradnl"/>
        </w:rPr>
        <w:t xml:space="preserve">: </w:t>
      </w:r>
      <w:r w:rsidR="00085A67" w:rsidRPr="00FC72ED">
        <w:rPr>
          <w:b/>
          <w:bCs/>
          <w:lang w:val="es-ES_tradnl"/>
        </w:rPr>
        <w:t>R</w:t>
      </w:r>
      <w:r w:rsidR="00495B4F" w:rsidRPr="00FC72ED">
        <w:rPr>
          <w:b/>
          <w:bCs/>
          <w:lang w:val="es-ES_tradnl"/>
        </w:rPr>
        <w:t>í</w:t>
      </w:r>
      <w:r w:rsidR="00085A67" w:rsidRPr="00FC72ED">
        <w:rPr>
          <w:b/>
          <w:bCs/>
          <w:lang w:val="es-ES_tradnl"/>
        </w:rPr>
        <w:t>o de Janeiro C</w:t>
      </w:r>
    </w:p>
    <w:p w:rsidR="002F0F9D" w:rsidRPr="00FC72ED" w:rsidRDefault="002F0F9D" w:rsidP="002F0F9D">
      <w:pPr>
        <w:rPr>
          <w:sz w:val="12"/>
          <w:szCs w:val="12"/>
          <w:lang w:val="es-ES_tradnl"/>
        </w:rPr>
      </w:pPr>
    </w:p>
    <w:p w:rsidR="002F0F9D" w:rsidRPr="00FC72ED" w:rsidRDefault="00AD0125" w:rsidP="002F0F9D">
      <w:pPr>
        <w:rPr>
          <w:lang w:val="es-ES_tradnl"/>
        </w:rPr>
      </w:pPr>
      <w:r w:rsidRPr="00FC72ED">
        <w:rPr>
          <w:b/>
          <w:bCs/>
          <w:lang w:val="es-ES_tradnl"/>
        </w:rPr>
        <w:t xml:space="preserve">Nota importante: Se aconseja a los participantes que lleguen al lugar de la reunión con </w:t>
      </w:r>
      <w:r w:rsidR="00145113" w:rsidRPr="00FC72ED">
        <w:rPr>
          <w:b/>
          <w:bCs/>
          <w:lang w:val="es-ES_tradnl"/>
        </w:rPr>
        <w:t xml:space="preserve">antelación suficiente para inscribirse </w:t>
      </w:r>
      <w:r w:rsidRPr="00FC72ED">
        <w:rPr>
          <w:b/>
          <w:bCs/>
          <w:lang w:val="es-ES_tradnl"/>
        </w:rPr>
        <w:t>antes de la reunión</w:t>
      </w:r>
      <w:r w:rsidR="00145113" w:rsidRPr="00FC72ED">
        <w:rPr>
          <w:b/>
          <w:bCs/>
          <w:lang w:val="es-ES_tradnl"/>
        </w:rPr>
        <w:t>, pues la tarjeta de identificación será necesaria para entrar en el edificio</w:t>
      </w:r>
      <w:r w:rsidRPr="00FC72ED">
        <w:rPr>
          <w:b/>
          <w:bCs/>
          <w:lang w:val="es-ES_tradnl"/>
        </w:rPr>
        <w:t>.</w:t>
      </w:r>
      <w:r w:rsidR="00145113" w:rsidRPr="00FC72ED">
        <w:rPr>
          <w:b/>
          <w:bCs/>
          <w:lang w:val="es-ES_tradnl"/>
        </w:rPr>
        <w:t xml:space="preserve"> Será preciso presentar el pasaporte para inscribirse y también deberá llevarlo consigo siempre que entre en el edificio</w:t>
      </w:r>
      <w:r w:rsidR="002F0F9D" w:rsidRPr="00FC72ED">
        <w:rPr>
          <w:b/>
          <w:bCs/>
          <w:lang w:val="es-ES_tradnl"/>
        </w:rPr>
        <w:t>.</w:t>
      </w:r>
    </w:p>
    <w:p w:rsidR="002F0F9D" w:rsidRPr="00FC72ED" w:rsidRDefault="002F0F9D" w:rsidP="002F0F9D">
      <w:pPr>
        <w:rPr>
          <w:sz w:val="12"/>
          <w:szCs w:val="12"/>
          <w:lang w:val="es-ES_tradnl"/>
        </w:rPr>
      </w:pPr>
    </w:p>
    <w:p w:rsidR="002F0F9D" w:rsidRPr="00FC72ED" w:rsidRDefault="00495B4F" w:rsidP="000F0A84">
      <w:pPr>
        <w:rPr>
          <w:lang w:val="es-ES_tradnl"/>
        </w:rPr>
      </w:pPr>
      <w:r w:rsidRPr="00FC72ED">
        <w:rPr>
          <w:bCs/>
          <w:lang w:val="es-ES_tradnl"/>
        </w:rPr>
        <w:t>La oficina de inscripciones estará abierta</w:t>
      </w:r>
      <w:r w:rsidR="00AD0125" w:rsidRPr="00FC72ED">
        <w:rPr>
          <w:bCs/>
          <w:lang w:val="es-ES_tradnl"/>
        </w:rPr>
        <w:t xml:space="preserve"> </w:t>
      </w:r>
      <w:r w:rsidR="00AB06ED" w:rsidRPr="00FC72ED">
        <w:rPr>
          <w:bCs/>
          <w:lang w:val="es-ES_tradnl"/>
        </w:rPr>
        <w:t xml:space="preserve">de las 16:00 a las 19:00 horas el domingo 31 de mayo y </w:t>
      </w:r>
      <w:r w:rsidR="00AD0125" w:rsidRPr="00FC72ED">
        <w:rPr>
          <w:bCs/>
          <w:lang w:val="es-ES_tradnl"/>
        </w:rPr>
        <w:t xml:space="preserve">a partir de las </w:t>
      </w:r>
      <w:r w:rsidR="002F0F9D" w:rsidRPr="00FC72ED">
        <w:rPr>
          <w:bCs/>
          <w:lang w:val="es-ES_tradnl"/>
        </w:rPr>
        <w:t>08:30</w:t>
      </w:r>
      <w:r w:rsidRPr="00FC72ED">
        <w:rPr>
          <w:bCs/>
          <w:lang w:val="es-ES_tradnl"/>
        </w:rPr>
        <w:t xml:space="preserve"> horas</w:t>
      </w:r>
      <w:r w:rsidR="00C337AB" w:rsidRPr="00FC72ED">
        <w:rPr>
          <w:bCs/>
          <w:lang w:val="es-ES_tradnl"/>
        </w:rPr>
        <w:t xml:space="preserve"> </w:t>
      </w:r>
      <w:r w:rsidR="00AD0125" w:rsidRPr="00FC72ED">
        <w:rPr>
          <w:bCs/>
          <w:lang w:val="es-ES_tradnl"/>
        </w:rPr>
        <w:t>el lunes 1 de junio</w:t>
      </w:r>
      <w:r w:rsidR="000F0A84" w:rsidRPr="00FC72ED">
        <w:rPr>
          <w:bCs/>
          <w:lang w:val="es-ES_tradnl"/>
        </w:rPr>
        <w:t>.</w:t>
      </w:r>
    </w:p>
    <w:p w:rsidR="00C96AD8" w:rsidRPr="00FC72ED" w:rsidRDefault="00C96AD8" w:rsidP="002F0F9D">
      <w:pPr>
        <w:jc w:val="center"/>
        <w:rPr>
          <w:sz w:val="32"/>
          <w:szCs w:val="32"/>
          <w:lang w:val="es-ES_tradnl"/>
        </w:rPr>
      </w:pPr>
    </w:p>
    <w:p w:rsidR="002F0F9D" w:rsidRPr="00FC72ED" w:rsidRDefault="00495B4F" w:rsidP="002C494A">
      <w:pPr>
        <w:numPr>
          <w:ilvl w:val="0"/>
          <w:numId w:val="2"/>
        </w:numPr>
        <w:ind w:left="425" w:hanging="425"/>
        <w:rPr>
          <w:lang w:val="es-ES_tradnl"/>
        </w:rPr>
      </w:pPr>
      <w:bookmarkStart w:id="3" w:name="_GoBack"/>
      <w:bookmarkEnd w:id="3"/>
      <w:r w:rsidRPr="00FC72ED">
        <w:rPr>
          <w:bCs/>
          <w:lang w:val="es-ES_tradnl"/>
        </w:rPr>
        <w:t>Palabras</w:t>
      </w:r>
      <w:r w:rsidR="00AD0125" w:rsidRPr="00FC72ED">
        <w:rPr>
          <w:bCs/>
          <w:lang w:val="es-ES_tradnl"/>
        </w:rPr>
        <w:t xml:space="preserve"> de bienvenida </w:t>
      </w:r>
      <w:r w:rsidRPr="00FC72ED">
        <w:rPr>
          <w:bCs/>
          <w:lang w:val="es-ES_tradnl"/>
        </w:rPr>
        <w:t xml:space="preserve">a cargo </w:t>
      </w:r>
      <w:r w:rsidR="00AD0125" w:rsidRPr="00FC72ED">
        <w:rPr>
          <w:bCs/>
          <w:lang w:val="es-ES_tradnl"/>
        </w:rPr>
        <w:t xml:space="preserve">de la Presidencia del Comité Permanente y </w:t>
      </w:r>
      <w:r w:rsidRPr="00FC72ED">
        <w:rPr>
          <w:bCs/>
          <w:lang w:val="es-ES_tradnl"/>
        </w:rPr>
        <w:t>un representante d</w:t>
      </w:r>
      <w:r w:rsidR="00AD0125" w:rsidRPr="00FC72ED">
        <w:rPr>
          <w:bCs/>
          <w:lang w:val="es-ES_tradnl"/>
        </w:rPr>
        <w:t xml:space="preserve">el país anfitrión </w:t>
      </w:r>
    </w:p>
    <w:p w:rsidR="002C494A" w:rsidRPr="00FC72ED" w:rsidRDefault="002C494A" w:rsidP="002C494A">
      <w:pPr>
        <w:ind w:left="425"/>
        <w:rPr>
          <w:sz w:val="16"/>
          <w:szCs w:val="16"/>
          <w:lang w:val="es-ES_tradnl"/>
        </w:rPr>
      </w:pPr>
    </w:p>
    <w:p w:rsidR="002F0F9D" w:rsidRPr="00FC72ED" w:rsidRDefault="00AD0125" w:rsidP="002C494A">
      <w:pPr>
        <w:numPr>
          <w:ilvl w:val="0"/>
          <w:numId w:val="2"/>
        </w:numPr>
        <w:ind w:left="425" w:hanging="425"/>
        <w:rPr>
          <w:lang w:val="es-ES_tradnl"/>
        </w:rPr>
      </w:pPr>
      <w:r w:rsidRPr="00FC72ED">
        <w:rPr>
          <w:bCs/>
          <w:lang w:val="es-ES_tradnl"/>
        </w:rPr>
        <w:t xml:space="preserve">Informe sobre las disposiciones para la </w:t>
      </w:r>
      <w:r w:rsidR="002F0F9D" w:rsidRPr="00FC72ED">
        <w:rPr>
          <w:bCs/>
          <w:lang w:val="es-ES_tradnl"/>
        </w:rPr>
        <w:t>COP1</w:t>
      </w:r>
      <w:r w:rsidR="001A7F1F" w:rsidRPr="00FC72ED">
        <w:rPr>
          <w:bCs/>
          <w:lang w:val="es-ES_tradnl"/>
        </w:rPr>
        <w:t>2</w:t>
      </w:r>
      <w:r w:rsidR="002F0F9D" w:rsidRPr="00FC72ED">
        <w:rPr>
          <w:lang w:val="es-ES_tradnl"/>
        </w:rPr>
        <w:t xml:space="preserve"> </w:t>
      </w:r>
      <w:r w:rsidRPr="00FC72ED">
        <w:rPr>
          <w:lang w:val="es-ES_tradnl"/>
        </w:rPr>
        <w:t>por</w:t>
      </w:r>
      <w:r w:rsidR="00495B4F" w:rsidRPr="00FC72ED">
        <w:rPr>
          <w:lang w:val="es-ES_tradnl"/>
        </w:rPr>
        <w:t xml:space="preserve"> </w:t>
      </w:r>
      <w:r w:rsidRPr="00FC72ED">
        <w:rPr>
          <w:lang w:val="es-ES_tradnl"/>
        </w:rPr>
        <w:t xml:space="preserve">el Secretario General y </w:t>
      </w:r>
      <w:r w:rsidR="00495B4F" w:rsidRPr="00FC72ED">
        <w:rPr>
          <w:lang w:val="es-ES_tradnl"/>
        </w:rPr>
        <w:t>un representante d</w:t>
      </w:r>
      <w:r w:rsidRPr="00FC72ED">
        <w:rPr>
          <w:lang w:val="es-ES_tradnl"/>
        </w:rPr>
        <w:t>el país anfitrión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EC16E2" w:rsidRPr="00FC72ED" w:rsidRDefault="00AD0125" w:rsidP="002C494A">
      <w:pPr>
        <w:numPr>
          <w:ilvl w:val="0"/>
          <w:numId w:val="2"/>
        </w:numPr>
        <w:ind w:left="425" w:hanging="425"/>
        <w:rPr>
          <w:bCs/>
          <w:lang w:val="es-ES_tradnl"/>
        </w:rPr>
      </w:pPr>
      <w:r w:rsidRPr="00FC72ED">
        <w:rPr>
          <w:bCs/>
          <w:lang w:val="es-ES_tradnl"/>
        </w:rPr>
        <w:t xml:space="preserve">Examen general del </w:t>
      </w:r>
      <w:r w:rsidR="00495B4F" w:rsidRPr="00FC72ED">
        <w:rPr>
          <w:bCs/>
          <w:lang w:val="es-ES_tradnl"/>
        </w:rPr>
        <w:t xml:space="preserve">orden del día provisional </w:t>
      </w:r>
      <w:r w:rsidRPr="00FC72ED">
        <w:rPr>
          <w:bCs/>
          <w:lang w:val="es-ES_tradnl"/>
        </w:rPr>
        <w:t>de la COP12 de Ramsar</w:t>
      </w:r>
    </w:p>
    <w:p w:rsidR="00AB06ED" w:rsidRPr="00FC72ED" w:rsidRDefault="00AB06ED" w:rsidP="00AB06ED">
      <w:pPr>
        <w:rPr>
          <w:bCs/>
          <w:lang w:val="es-ES_tradnl"/>
        </w:rPr>
      </w:pPr>
    </w:p>
    <w:p w:rsidR="00AB06ED" w:rsidRPr="00E31591" w:rsidRDefault="00117BFB" w:rsidP="00AB06ED">
      <w:pPr>
        <w:numPr>
          <w:ilvl w:val="0"/>
          <w:numId w:val="2"/>
        </w:numPr>
        <w:ind w:left="425" w:hanging="425"/>
        <w:rPr>
          <w:lang w:val="es-ES_tradnl"/>
        </w:rPr>
      </w:pPr>
      <w:r w:rsidRPr="00E31591">
        <w:rPr>
          <w:lang w:val="es-ES_tradnl"/>
        </w:rPr>
        <w:t>Cuestiones financieras</w:t>
      </w:r>
      <w:r w:rsidR="00AB06ED" w:rsidRPr="00E31591">
        <w:rPr>
          <w:lang w:val="es-ES_tradnl"/>
        </w:rPr>
        <w:t xml:space="preserve"> </w:t>
      </w:r>
    </w:p>
    <w:p w:rsidR="00AB06ED" w:rsidRPr="00FC72ED" w:rsidRDefault="00AB06ED" w:rsidP="00AB06ED">
      <w:pPr>
        <w:pStyle w:val="ColorfulList-Accent1"/>
      </w:pPr>
    </w:p>
    <w:p w:rsidR="00117BFB" w:rsidRPr="00FC72ED" w:rsidRDefault="00117BFB" w:rsidP="00117BFB">
      <w:pPr>
        <w:numPr>
          <w:ilvl w:val="0"/>
          <w:numId w:val="4"/>
        </w:numPr>
        <w:rPr>
          <w:lang w:val="es-ES_tradnl"/>
        </w:rPr>
      </w:pPr>
      <w:r w:rsidRPr="00FC72ED">
        <w:rPr>
          <w:lang w:val="es-ES_tradnl"/>
        </w:rPr>
        <w:t>Examen del estado de las reasignaciones del excedente del presupuesto básico de 2014 con arreglo a la Decisión SC48-12 incluyendo un estado actualizado del presupuesto básico de 2014.</w:t>
      </w:r>
    </w:p>
    <w:p w:rsidR="00117BFB" w:rsidRPr="00FC72ED" w:rsidRDefault="00117BFB" w:rsidP="00117BFB">
      <w:pPr>
        <w:ind w:left="720"/>
        <w:rPr>
          <w:lang w:val="es-ES_tradnl"/>
        </w:rPr>
      </w:pPr>
    </w:p>
    <w:p w:rsidR="00117BFB" w:rsidRPr="00FC72ED" w:rsidRDefault="00117BFB" w:rsidP="00117BFB">
      <w:pPr>
        <w:numPr>
          <w:ilvl w:val="0"/>
          <w:numId w:val="4"/>
        </w:numPr>
        <w:rPr>
          <w:lang w:val="es-ES_tradnl"/>
        </w:rPr>
      </w:pPr>
      <w:r w:rsidRPr="00FC72ED">
        <w:rPr>
          <w:lang w:val="es-ES_tradnl"/>
        </w:rPr>
        <w:t xml:space="preserve">Informe del Secretario </w:t>
      </w:r>
      <w:r w:rsidR="0020417A" w:rsidRPr="00FC72ED">
        <w:rPr>
          <w:lang w:val="es-ES_tradnl"/>
        </w:rPr>
        <w:t>General sobre la utilización de los f</w:t>
      </w:r>
      <w:r w:rsidRPr="00FC72ED">
        <w:rPr>
          <w:lang w:val="es-ES_tradnl"/>
        </w:rPr>
        <w:t>ondo</w:t>
      </w:r>
      <w:r w:rsidR="0020417A" w:rsidRPr="00FC72ED">
        <w:rPr>
          <w:lang w:val="es-ES_tradnl"/>
        </w:rPr>
        <w:t>s de r</w:t>
      </w:r>
      <w:r w:rsidRPr="00FC72ED">
        <w:rPr>
          <w:lang w:val="es-ES_tradnl"/>
        </w:rPr>
        <w:t xml:space="preserve">eserva para </w:t>
      </w:r>
      <w:r w:rsidR="0020417A" w:rsidRPr="00FC72ED">
        <w:rPr>
          <w:lang w:val="es-ES_tradnl"/>
        </w:rPr>
        <w:t>el patrocinio de</w:t>
      </w:r>
      <w:r w:rsidRPr="00FC72ED">
        <w:rPr>
          <w:lang w:val="es-ES_tradnl"/>
        </w:rPr>
        <w:t xml:space="preserve"> delegados </w:t>
      </w:r>
      <w:r w:rsidR="0020417A" w:rsidRPr="00FC72ED">
        <w:rPr>
          <w:lang w:val="es-ES_tradnl"/>
        </w:rPr>
        <w:t>en</w:t>
      </w:r>
      <w:r w:rsidRPr="00FC72ED">
        <w:rPr>
          <w:lang w:val="es-ES_tradnl"/>
        </w:rPr>
        <w:t xml:space="preserve"> la COP12.</w:t>
      </w:r>
    </w:p>
    <w:p w:rsidR="00117BFB" w:rsidRPr="00FC72ED" w:rsidRDefault="00117BFB" w:rsidP="00117BFB">
      <w:pPr>
        <w:rPr>
          <w:lang w:val="es-ES_tradnl"/>
        </w:rPr>
      </w:pPr>
    </w:p>
    <w:p w:rsidR="00117BFB" w:rsidRPr="00FC72ED" w:rsidRDefault="00117BFB" w:rsidP="00117BFB">
      <w:pPr>
        <w:numPr>
          <w:ilvl w:val="0"/>
          <w:numId w:val="4"/>
        </w:numPr>
        <w:rPr>
          <w:lang w:val="es-ES_tradnl"/>
        </w:rPr>
      </w:pPr>
      <w:r w:rsidRPr="00FC72ED">
        <w:rPr>
          <w:lang w:val="es-ES_tradnl"/>
        </w:rPr>
        <w:t xml:space="preserve">Propuesta de la Secretaría sobre cómo reponer </w:t>
      </w:r>
      <w:r w:rsidR="0020417A" w:rsidRPr="00FC72ED">
        <w:rPr>
          <w:lang w:val="es-ES_tradnl"/>
        </w:rPr>
        <w:t>los fondos de reserva para</w:t>
      </w:r>
      <w:r w:rsidRPr="00FC72ED">
        <w:rPr>
          <w:lang w:val="es-ES_tradnl"/>
        </w:rPr>
        <w:t xml:space="preserve"> 2016-2018 y cómo ajustar los esce</w:t>
      </w:r>
      <w:r w:rsidR="0020417A" w:rsidRPr="00FC72ED">
        <w:rPr>
          <w:lang w:val="es-ES_tradnl"/>
        </w:rPr>
        <w:t>narios presupuestarios propuesto</w:t>
      </w:r>
      <w:r w:rsidRPr="00FC72ED">
        <w:rPr>
          <w:lang w:val="es-ES_tradnl"/>
        </w:rPr>
        <w:t xml:space="preserve">s que </w:t>
      </w:r>
      <w:r w:rsidR="0020417A" w:rsidRPr="00FC72ED">
        <w:rPr>
          <w:lang w:val="es-ES_tradnl"/>
        </w:rPr>
        <w:t>figuran</w:t>
      </w:r>
      <w:r w:rsidRPr="00FC72ED">
        <w:rPr>
          <w:lang w:val="es-ES_tradnl"/>
        </w:rPr>
        <w:t xml:space="preserve"> como anexo al P</w:t>
      </w:r>
      <w:r w:rsidR="0020417A" w:rsidRPr="00FC72ED">
        <w:rPr>
          <w:lang w:val="es-ES_tradnl"/>
        </w:rPr>
        <w:t>royecto de Resolución XII.1</w:t>
      </w:r>
      <w:r w:rsidRPr="00FC72ED">
        <w:rPr>
          <w:lang w:val="es-ES_tradnl"/>
        </w:rPr>
        <w:t>.</w:t>
      </w:r>
    </w:p>
    <w:p w:rsidR="00117BFB" w:rsidRPr="00FC72ED" w:rsidRDefault="00117BFB" w:rsidP="00117BFB">
      <w:pPr>
        <w:rPr>
          <w:lang w:val="es-ES_tradnl"/>
        </w:rPr>
      </w:pPr>
    </w:p>
    <w:p w:rsidR="00117BFB" w:rsidRPr="00FC72ED" w:rsidRDefault="00117BFB" w:rsidP="00117BFB">
      <w:pPr>
        <w:numPr>
          <w:ilvl w:val="0"/>
          <w:numId w:val="4"/>
        </w:numPr>
        <w:rPr>
          <w:lang w:val="es-ES_tradnl"/>
        </w:rPr>
      </w:pPr>
      <w:r w:rsidRPr="00FC72ED">
        <w:rPr>
          <w:lang w:val="es-ES_tradnl"/>
        </w:rPr>
        <w:t>Informe verbal de l</w:t>
      </w:r>
      <w:r w:rsidR="0020417A" w:rsidRPr="00FC72ED">
        <w:rPr>
          <w:lang w:val="es-ES_tradnl"/>
        </w:rPr>
        <w:t xml:space="preserve">a Secretaría sobre el nivel de </w:t>
      </w:r>
      <w:r w:rsidRPr="00FC72ED">
        <w:rPr>
          <w:lang w:val="es-ES_tradnl"/>
        </w:rPr>
        <w:t>apoyo de l</w:t>
      </w:r>
      <w:r w:rsidR="0020417A" w:rsidRPr="00FC72ED">
        <w:rPr>
          <w:lang w:val="es-ES_tradnl"/>
        </w:rPr>
        <w:t>a Secretaría a los delegados pat</w:t>
      </w:r>
      <w:r w:rsidRPr="00FC72ED">
        <w:rPr>
          <w:lang w:val="es-ES_tradnl"/>
        </w:rPr>
        <w:t>rocinados que asisten a reuniones de la COP y del Comité Permanente.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EC16E2" w:rsidRPr="00FC72ED" w:rsidRDefault="00F00C48" w:rsidP="00C96AD8">
      <w:pPr>
        <w:numPr>
          <w:ilvl w:val="0"/>
          <w:numId w:val="2"/>
        </w:numPr>
        <w:ind w:left="425" w:hanging="425"/>
        <w:rPr>
          <w:lang w:val="es-ES_tradnl"/>
        </w:rPr>
      </w:pPr>
      <w:r w:rsidRPr="00FC72ED">
        <w:rPr>
          <w:lang w:val="es-ES_tradnl"/>
        </w:rPr>
        <w:t>Informe sobre las Iniciativas Regionales de</w:t>
      </w:r>
      <w:r w:rsidR="00EC16E2" w:rsidRPr="00FC72ED">
        <w:rPr>
          <w:lang w:val="es-ES_tradnl"/>
        </w:rPr>
        <w:t xml:space="preserve"> Ramsar </w:t>
      </w:r>
      <w:r w:rsidRPr="00FC72ED">
        <w:rPr>
          <w:lang w:val="es-ES_tradnl"/>
        </w:rPr>
        <w:t xml:space="preserve">y la asignación de financiación para </w:t>
      </w:r>
      <w:r w:rsidR="00EC16E2" w:rsidRPr="00FC72ED">
        <w:rPr>
          <w:lang w:val="es-ES_tradnl"/>
        </w:rPr>
        <w:t>2015</w:t>
      </w:r>
      <w:r w:rsidR="00C96AD8" w:rsidRPr="00FC72ED">
        <w:rPr>
          <w:lang w:val="es-ES_tradnl"/>
        </w:rPr>
        <w:t xml:space="preserve"> (DOC.SC49-02</w:t>
      </w:r>
      <w:r w:rsidRPr="00FC72ED">
        <w:rPr>
          <w:lang w:val="es-ES_tradnl"/>
        </w:rPr>
        <w:t>,</w:t>
      </w:r>
      <w:r w:rsidR="00C96AD8" w:rsidRPr="00FC72ED">
        <w:rPr>
          <w:lang w:val="es-ES_tradnl"/>
        </w:rPr>
        <w:t xml:space="preserve"> </w:t>
      </w:r>
      <w:r w:rsidR="00C96AD8" w:rsidRPr="00FC72ED">
        <w:rPr>
          <w:i/>
          <w:lang w:val="es-ES_tradnl"/>
        </w:rPr>
        <w:t>A</w:t>
      </w:r>
      <w:r w:rsidRPr="00FC72ED">
        <w:rPr>
          <w:i/>
          <w:lang w:val="es-ES_tradnl"/>
        </w:rPr>
        <w:t xml:space="preserve">signación de fondos del presupuesto básico de Ramsar a las iniciativas regionales que realizan su actividad en el marco de la Convención de Ramsar en </w:t>
      </w:r>
      <w:r w:rsidR="00C96AD8" w:rsidRPr="00FC72ED">
        <w:rPr>
          <w:i/>
          <w:lang w:val="es-ES_tradnl"/>
        </w:rPr>
        <w:t>2015</w:t>
      </w:r>
      <w:r w:rsidR="00C96AD8" w:rsidRPr="00FC72ED">
        <w:rPr>
          <w:lang w:val="es-ES_tradnl"/>
        </w:rPr>
        <w:t>)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085A67" w:rsidRPr="00FC72ED" w:rsidRDefault="00F00C48" w:rsidP="00EB0031">
      <w:pPr>
        <w:numPr>
          <w:ilvl w:val="0"/>
          <w:numId w:val="2"/>
        </w:numPr>
        <w:ind w:left="425" w:hanging="425"/>
        <w:rPr>
          <w:bCs/>
          <w:lang w:val="es-ES_tradnl"/>
        </w:rPr>
      </w:pPr>
      <w:r w:rsidRPr="00FC72ED">
        <w:rPr>
          <w:bCs/>
          <w:lang w:val="es-ES_tradnl"/>
        </w:rPr>
        <w:t>Informe sobre el Plan de Acción de Comunicaciones</w:t>
      </w:r>
      <w:r w:rsidR="00EB0031" w:rsidRPr="00FC72ED">
        <w:rPr>
          <w:bCs/>
          <w:lang w:val="es-ES_tradnl"/>
        </w:rPr>
        <w:t xml:space="preserve"> </w:t>
      </w:r>
      <w:r w:rsidR="00085A67" w:rsidRPr="00FC72ED">
        <w:rPr>
          <w:bCs/>
          <w:lang w:val="es-ES_tradnl"/>
        </w:rPr>
        <w:t>/</w:t>
      </w:r>
      <w:r w:rsidR="00EB0031" w:rsidRPr="00FC72ED">
        <w:rPr>
          <w:bCs/>
          <w:lang w:val="es-ES_tradnl"/>
        </w:rPr>
        <w:t xml:space="preserve"> </w:t>
      </w:r>
      <w:proofErr w:type="spellStart"/>
      <w:r w:rsidRPr="00FC72ED">
        <w:rPr>
          <w:bCs/>
          <w:lang w:val="es-ES_tradnl"/>
        </w:rPr>
        <w:t>CECoP</w:t>
      </w:r>
      <w:proofErr w:type="spellEnd"/>
      <w:r w:rsidR="00085A67" w:rsidRPr="00FC72ED">
        <w:rPr>
          <w:bCs/>
          <w:lang w:val="es-ES_tradnl"/>
        </w:rPr>
        <w:t xml:space="preserve"> </w:t>
      </w:r>
      <w:r w:rsidR="00EB0031" w:rsidRPr="00FC72ED">
        <w:rPr>
          <w:bCs/>
          <w:lang w:val="es-ES_tradnl"/>
        </w:rPr>
        <w:t>(</w:t>
      </w:r>
      <w:r w:rsidRPr="00FC72ED">
        <w:rPr>
          <w:bCs/>
          <w:i/>
          <w:lang w:val="es-ES_tradnl"/>
        </w:rPr>
        <w:t>COP12 DOC.26</w:t>
      </w:r>
      <w:r w:rsidR="00495B4F" w:rsidRPr="00FC72ED">
        <w:rPr>
          <w:bCs/>
          <w:i/>
          <w:lang w:val="es-ES_tradnl"/>
        </w:rPr>
        <w:t>,</w:t>
      </w:r>
      <w:r w:rsidRPr="00FC72ED">
        <w:rPr>
          <w:bCs/>
          <w:i/>
          <w:lang w:val="es-ES_tradnl"/>
        </w:rPr>
        <w:t xml:space="preserve"> Plan de Acción de Comunicaciones / </w:t>
      </w:r>
      <w:proofErr w:type="spellStart"/>
      <w:r w:rsidRPr="00FC72ED">
        <w:rPr>
          <w:bCs/>
          <w:i/>
          <w:lang w:val="es-ES_tradnl"/>
        </w:rPr>
        <w:t>CECoP</w:t>
      </w:r>
      <w:proofErr w:type="spellEnd"/>
      <w:r w:rsidRPr="00FC72ED">
        <w:rPr>
          <w:bCs/>
          <w:i/>
          <w:lang w:val="es-ES_tradnl"/>
        </w:rPr>
        <w:t xml:space="preserve"> para la Secretaría de Ramsar </w:t>
      </w:r>
      <w:r w:rsidR="00EB0031" w:rsidRPr="00FC72ED">
        <w:rPr>
          <w:bCs/>
          <w:i/>
          <w:lang w:val="es-ES_tradnl"/>
        </w:rPr>
        <w:t>2016-2021)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2F0F9D" w:rsidRPr="00FC72ED" w:rsidRDefault="0081500E" w:rsidP="002C494A">
      <w:pPr>
        <w:numPr>
          <w:ilvl w:val="0"/>
          <w:numId w:val="2"/>
        </w:numPr>
        <w:ind w:left="425" w:hanging="425"/>
        <w:rPr>
          <w:lang w:val="es-ES_tradnl"/>
        </w:rPr>
      </w:pPr>
      <w:r w:rsidRPr="00FC72ED">
        <w:rPr>
          <w:bCs/>
          <w:lang w:val="es-ES_tradnl"/>
        </w:rPr>
        <w:t xml:space="preserve">Reglamento de la </w:t>
      </w:r>
      <w:r w:rsidR="002F0F9D" w:rsidRPr="00FC72ED">
        <w:rPr>
          <w:bCs/>
          <w:lang w:val="es-ES_tradnl"/>
        </w:rPr>
        <w:t>COP1</w:t>
      </w:r>
      <w:r w:rsidR="00535E62" w:rsidRPr="00FC72ED">
        <w:rPr>
          <w:bCs/>
          <w:lang w:val="es-ES_tradnl"/>
        </w:rPr>
        <w:t>2</w:t>
      </w:r>
      <w:r w:rsidR="00DE07C9" w:rsidRPr="00FC72ED">
        <w:rPr>
          <w:bCs/>
          <w:lang w:val="es-ES_tradnl"/>
        </w:rPr>
        <w:t xml:space="preserve"> (Incluye </w:t>
      </w:r>
      <w:r w:rsidR="00FC72ED" w:rsidRPr="00FC72ED">
        <w:rPr>
          <w:bCs/>
          <w:lang w:val="es-ES_tradnl"/>
        </w:rPr>
        <w:t xml:space="preserve">un </w:t>
      </w:r>
      <w:r w:rsidR="00DE07C9" w:rsidRPr="00FC72ED">
        <w:rPr>
          <w:bCs/>
          <w:lang w:val="es-ES_tradnl"/>
        </w:rPr>
        <w:t xml:space="preserve">informe del Secretario General sobre cómo entender o interpretar el reglamento en </w:t>
      </w:r>
      <w:r w:rsidR="00FC72ED" w:rsidRPr="00FC72ED">
        <w:rPr>
          <w:bCs/>
          <w:lang w:val="es-ES_tradnl"/>
        </w:rPr>
        <w:t xml:space="preserve">lo que respecta al </w:t>
      </w:r>
      <w:r w:rsidR="00DE07C9" w:rsidRPr="00FC72ED">
        <w:rPr>
          <w:bCs/>
          <w:lang w:val="es-ES_tradnl"/>
        </w:rPr>
        <w:t xml:space="preserve">poder del Comité Permanente </w:t>
      </w:r>
      <w:r w:rsidR="00FC72ED" w:rsidRPr="00FC72ED">
        <w:rPr>
          <w:bCs/>
          <w:lang w:val="es-ES_tradnl"/>
        </w:rPr>
        <w:t>para</w:t>
      </w:r>
      <w:r w:rsidR="00DE07C9" w:rsidRPr="00FC72ED">
        <w:rPr>
          <w:bCs/>
          <w:lang w:val="es-ES_tradnl"/>
        </w:rPr>
        <w:t xml:space="preserve"> “aprobar” proyectos de Resolución).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2F0F9D" w:rsidRPr="00FC72ED" w:rsidRDefault="0081500E" w:rsidP="002C494A">
      <w:pPr>
        <w:numPr>
          <w:ilvl w:val="0"/>
          <w:numId w:val="2"/>
        </w:numPr>
        <w:ind w:left="425" w:hanging="425"/>
        <w:rPr>
          <w:lang w:val="es-ES_tradnl"/>
        </w:rPr>
      </w:pPr>
      <w:r w:rsidRPr="00FC72ED">
        <w:rPr>
          <w:bCs/>
          <w:lang w:val="es-ES_tradnl"/>
        </w:rPr>
        <w:t>Designación de la Presidencia y las Vicepresidencias de la</w:t>
      </w:r>
      <w:r w:rsidR="002F0F9D" w:rsidRPr="00FC72ED">
        <w:rPr>
          <w:bCs/>
          <w:lang w:val="es-ES_tradnl"/>
        </w:rPr>
        <w:t xml:space="preserve"> COP1</w:t>
      </w:r>
      <w:r w:rsidR="00535E62" w:rsidRPr="00FC72ED">
        <w:rPr>
          <w:bCs/>
          <w:lang w:val="es-ES_tradnl"/>
        </w:rPr>
        <w:t>2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2C494A" w:rsidRPr="00FC72ED" w:rsidRDefault="00495B4F" w:rsidP="002C494A">
      <w:pPr>
        <w:numPr>
          <w:ilvl w:val="0"/>
          <w:numId w:val="2"/>
        </w:numPr>
        <w:ind w:left="425" w:hanging="425"/>
        <w:rPr>
          <w:bCs/>
          <w:lang w:val="es-ES_tradnl"/>
        </w:rPr>
      </w:pPr>
      <w:r w:rsidRPr="00FC72ED">
        <w:rPr>
          <w:bCs/>
          <w:lang w:val="es-ES_tradnl"/>
        </w:rPr>
        <w:t>Designación</w:t>
      </w:r>
      <w:r w:rsidR="0081500E" w:rsidRPr="00FC72ED">
        <w:rPr>
          <w:bCs/>
          <w:lang w:val="es-ES_tradnl"/>
        </w:rPr>
        <w:t xml:space="preserve"> del Comité de Credenciales de la COP12</w:t>
      </w:r>
      <w:r w:rsidR="002F0F9D" w:rsidRPr="00FC72ED">
        <w:rPr>
          <w:bCs/>
          <w:lang w:val="es-ES_tradnl"/>
        </w:rPr>
        <w:t xml:space="preserve"> 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2F0F9D" w:rsidRPr="00FC72ED" w:rsidRDefault="0081500E" w:rsidP="002C494A">
      <w:pPr>
        <w:numPr>
          <w:ilvl w:val="0"/>
          <w:numId w:val="2"/>
        </w:numPr>
        <w:ind w:left="425" w:hanging="425"/>
        <w:rPr>
          <w:bCs/>
          <w:lang w:val="es-ES_tradnl"/>
        </w:rPr>
      </w:pPr>
      <w:r w:rsidRPr="00FC72ED">
        <w:rPr>
          <w:bCs/>
          <w:lang w:val="es-ES_tradnl"/>
        </w:rPr>
        <w:t>Establecimiento de los Comités</w:t>
      </w:r>
      <w:r w:rsidR="00E35ADA" w:rsidRPr="00FC72ED">
        <w:rPr>
          <w:bCs/>
          <w:lang w:val="es-ES_tradnl"/>
        </w:rPr>
        <w:t xml:space="preserve"> y grupos de contacto</w:t>
      </w:r>
      <w:r w:rsidRPr="00FC72ED">
        <w:rPr>
          <w:bCs/>
          <w:lang w:val="es-ES_tradnl"/>
        </w:rPr>
        <w:t xml:space="preserve"> de la COP12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9D6DBD" w:rsidRPr="00FC72ED" w:rsidRDefault="0081500E" w:rsidP="00276C13">
      <w:pPr>
        <w:numPr>
          <w:ilvl w:val="1"/>
          <w:numId w:val="2"/>
        </w:numPr>
        <w:ind w:left="993" w:hanging="567"/>
        <w:rPr>
          <w:bCs/>
          <w:lang w:val="es-ES_tradnl"/>
        </w:rPr>
      </w:pPr>
      <w:r w:rsidRPr="00FC72ED">
        <w:rPr>
          <w:bCs/>
          <w:lang w:val="es-ES_tradnl"/>
        </w:rPr>
        <w:t>Comité de Finanzas y Presupuesto</w:t>
      </w:r>
    </w:p>
    <w:p w:rsidR="00EB5E2F" w:rsidRPr="00FC72ED" w:rsidRDefault="00EB5E2F" w:rsidP="00276C13">
      <w:pPr>
        <w:numPr>
          <w:ilvl w:val="1"/>
          <w:numId w:val="2"/>
        </w:numPr>
        <w:ind w:left="993" w:hanging="567"/>
        <w:rPr>
          <w:bCs/>
          <w:lang w:val="es-ES_tradnl"/>
        </w:rPr>
      </w:pPr>
      <w:r w:rsidRPr="00FC72ED">
        <w:rPr>
          <w:bCs/>
          <w:lang w:val="es-ES_tradnl"/>
        </w:rPr>
        <w:t>Establecimiento de los grupos de contacto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2A6667" w:rsidRPr="00FC72ED" w:rsidRDefault="0081500E" w:rsidP="002A6667">
      <w:pPr>
        <w:numPr>
          <w:ilvl w:val="0"/>
          <w:numId w:val="2"/>
        </w:numPr>
        <w:ind w:left="425" w:hanging="425"/>
        <w:rPr>
          <w:bCs/>
          <w:lang w:val="es-ES_tradnl"/>
        </w:rPr>
      </w:pPr>
      <w:r w:rsidRPr="00FC72ED">
        <w:rPr>
          <w:bCs/>
          <w:lang w:val="es-ES_tradnl"/>
        </w:rPr>
        <w:t xml:space="preserve">Orden del día de la </w:t>
      </w:r>
      <w:r w:rsidR="009D6DBD" w:rsidRPr="00FC72ED">
        <w:rPr>
          <w:bCs/>
          <w:lang w:val="es-ES_tradnl"/>
        </w:rPr>
        <w:t>5</w:t>
      </w:r>
      <w:r w:rsidR="00085A67" w:rsidRPr="00FC72ED">
        <w:rPr>
          <w:bCs/>
          <w:lang w:val="es-ES_tradnl"/>
        </w:rPr>
        <w:t>0</w:t>
      </w:r>
      <w:r w:rsidRPr="00FC72ED">
        <w:rPr>
          <w:bCs/>
          <w:lang w:val="es-ES_tradnl"/>
        </w:rPr>
        <w:t>ª Reunión del Comité Permanente</w:t>
      </w:r>
    </w:p>
    <w:p w:rsidR="00EB0031" w:rsidRPr="00FC72ED" w:rsidRDefault="00EB0031" w:rsidP="00EB0031">
      <w:pPr>
        <w:ind w:left="930"/>
        <w:rPr>
          <w:sz w:val="16"/>
          <w:szCs w:val="16"/>
          <w:lang w:val="es-ES_tradnl"/>
        </w:rPr>
      </w:pPr>
    </w:p>
    <w:p w:rsidR="00980CFE" w:rsidRPr="00FC72ED" w:rsidRDefault="00495B4F" w:rsidP="00C96AD8">
      <w:pPr>
        <w:numPr>
          <w:ilvl w:val="0"/>
          <w:numId w:val="2"/>
        </w:numPr>
        <w:ind w:left="426" w:hanging="426"/>
        <w:rPr>
          <w:lang w:val="es-ES_tradnl"/>
        </w:rPr>
      </w:pPr>
      <w:r w:rsidRPr="00FC72ED">
        <w:rPr>
          <w:bCs/>
          <w:lang w:val="es-ES_tradnl"/>
        </w:rPr>
        <w:t>Agradecimiento</w:t>
      </w:r>
      <w:r w:rsidR="0081500E" w:rsidRPr="00FC72ED">
        <w:rPr>
          <w:bCs/>
          <w:lang w:val="es-ES_tradnl"/>
        </w:rPr>
        <w:t xml:space="preserve"> a los miembros del Comité Permanente del trienio</w:t>
      </w:r>
    </w:p>
    <w:p w:rsidR="009118A3" w:rsidRPr="00FC72ED" w:rsidRDefault="009118A3" w:rsidP="009118A3">
      <w:pPr>
        <w:rPr>
          <w:lang w:val="es-ES_tradnl"/>
        </w:rPr>
      </w:pPr>
    </w:p>
    <w:p w:rsidR="009118A3" w:rsidRPr="00FC72ED" w:rsidRDefault="009118A3" w:rsidP="00C96AD8">
      <w:pPr>
        <w:numPr>
          <w:ilvl w:val="0"/>
          <w:numId w:val="2"/>
        </w:numPr>
        <w:ind w:left="426" w:hanging="426"/>
        <w:rPr>
          <w:lang w:val="es-ES_tradnl"/>
        </w:rPr>
      </w:pPr>
      <w:r w:rsidRPr="00FC72ED">
        <w:rPr>
          <w:bCs/>
          <w:lang w:val="es-ES_tradnl"/>
        </w:rPr>
        <w:t xml:space="preserve">Otros asuntos (información sobre </w:t>
      </w:r>
      <w:r w:rsidR="00282C09" w:rsidRPr="00FC72ED">
        <w:rPr>
          <w:bCs/>
          <w:lang w:val="es-ES_tradnl"/>
        </w:rPr>
        <w:t>los Emiratos Árabes Unidos</w:t>
      </w:r>
      <w:r w:rsidR="00FC72ED" w:rsidRPr="00FC72ED">
        <w:rPr>
          <w:bCs/>
          <w:lang w:val="es-ES_tradnl"/>
        </w:rPr>
        <w:t xml:space="preserve"> como país</w:t>
      </w:r>
      <w:r w:rsidR="00282C09" w:rsidRPr="00FC72ED">
        <w:rPr>
          <w:bCs/>
          <w:lang w:val="es-ES_tradnl"/>
        </w:rPr>
        <w:t xml:space="preserve"> anfitrión de la COP13)</w:t>
      </w:r>
    </w:p>
    <w:sectPr w:rsidR="009118A3" w:rsidRPr="00FC72ED" w:rsidSect="00C74B5F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5F" w:rsidRDefault="00C74B5F" w:rsidP="00C74B5F">
      <w:r>
        <w:separator/>
      </w:r>
    </w:p>
  </w:endnote>
  <w:endnote w:type="continuationSeparator" w:id="0">
    <w:p w:rsidR="00C74B5F" w:rsidRDefault="00C74B5F" w:rsidP="00C7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F" w:rsidRPr="00C74B5F" w:rsidRDefault="00C74B5F">
    <w:pPr>
      <w:pStyle w:val="Footer"/>
      <w:rPr>
        <w:sz w:val="20"/>
        <w:szCs w:val="20"/>
      </w:rPr>
    </w:pPr>
    <w:r w:rsidRPr="00EA5D1A">
      <w:rPr>
        <w:sz w:val="20"/>
        <w:szCs w:val="20"/>
      </w:rPr>
      <w:t>SC49-01 Rev.1</w:t>
    </w:r>
    <w:r w:rsidRPr="00EA5D1A">
      <w:rPr>
        <w:sz w:val="20"/>
        <w:szCs w:val="20"/>
      </w:rPr>
      <w:tab/>
    </w:r>
    <w:r w:rsidRPr="00EA5D1A">
      <w:rPr>
        <w:sz w:val="20"/>
        <w:szCs w:val="20"/>
      </w:rPr>
      <w:tab/>
    </w:r>
    <w:r w:rsidRPr="00EA5D1A">
      <w:rPr>
        <w:sz w:val="20"/>
        <w:szCs w:val="20"/>
      </w:rPr>
      <w:fldChar w:fldCharType="begin"/>
    </w:r>
    <w:r w:rsidRPr="00EA5D1A">
      <w:rPr>
        <w:sz w:val="20"/>
        <w:szCs w:val="20"/>
      </w:rPr>
      <w:instrText xml:space="preserve"> PAGE   \* MERGEFORMAT </w:instrText>
    </w:r>
    <w:r w:rsidRPr="00EA5D1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A5D1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5F" w:rsidRDefault="00C74B5F" w:rsidP="00C74B5F">
      <w:r>
        <w:separator/>
      </w:r>
    </w:p>
  </w:footnote>
  <w:footnote w:type="continuationSeparator" w:id="0">
    <w:p w:rsidR="00C74B5F" w:rsidRDefault="00C74B5F" w:rsidP="00C7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08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>
    <w:nsid w:val="30AB3D92"/>
    <w:multiLevelType w:val="hybridMultilevel"/>
    <w:tmpl w:val="A6D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2325"/>
    <w:multiLevelType w:val="hybridMultilevel"/>
    <w:tmpl w:val="C8424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85A67"/>
    <w:rsid w:val="000E3EA8"/>
    <w:rsid w:val="000F0A84"/>
    <w:rsid w:val="00117BFB"/>
    <w:rsid w:val="0013195E"/>
    <w:rsid w:val="00145113"/>
    <w:rsid w:val="001A2815"/>
    <w:rsid w:val="001A7F1F"/>
    <w:rsid w:val="001C4C0F"/>
    <w:rsid w:val="001F558F"/>
    <w:rsid w:val="0020417A"/>
    <w:rsid w:val="00220929"/>
    <w:rsid w:val="00241F9B"/>
    <w:rsid w:val="00276C13"/>
    <w:rsid w:val="002808CD"/>
    <w:rsid w:val="00282C09"/>
    <w:rsid w:val="002A6667"/>
    <w:rsid w:val="002C494A"/>
    <w:rsid w:val="002F0F9D"/>
    <w:rsid w:val="0030208B"/>
    <w:rsid w:val="00304C47"/>
    <w:rsid w:val="003F7874"/>
    <w:rsid w:val="00495B4F"/>
    <w:rsid w:val="00535E62"/>
    <w:rsid w:val="0057424B"/>
    <w:rsid w:val="005D2715"/>
    <w:rsid w:val="0081500E"/>
    <w:rsid w:val="00821E70"/>
    <w:rsid w:val="008C0725"/>
    <w:rsid w:val="009118A3"/>
    <w:rsid w:val="009239D8"/>
    <w:rsid w:val="00927568"/>
    <w:rsid w:val="00980CFE"/>
    <w:rsid w:val="009B2D3F"/>
    <w:rsid w:val="009C3AEA"/>
    <w:rsid w:val="009D6DBD"/>
    <w:rsid w:val="00A35668"/>
    <w:rsid w:val="00AA6F10"/>
    <w:rsid w:val="00AB06ED"/>
    <w:rsid w:val="00AD0125"/>
    <w:rsid w:val="00B620BB"/>
    <w:rsid w:val="00B82697"/>
    <w:rsid w:val="00C337AB"/>
    <w:rsid w:val="00C71EF0"/>
    <w:rsid w:val="00C74B5F"/>
    <w:rsid w:val="00C8279D"/>
    <w:rsid w:val="00C96AD8"/>
    <w:rsid w:val="00D00060"/>
    <w:rsid w:val="00D75605"/>
    <w:rsid w:val="00DE07C9"/>
    <w:rsid w:val="00E31591"/>
    <w:rsid w:val="00E35ADA"/>
    <w:rsid w:val="00EB0031"/>
    <w:rsid w:val="00EB5E2F"/>
    <w:rsid w:val="00EC16E2"/>
    <w:rsid w:val="00F00C48"/>
    <w:rsid w:val="00FA7656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2C494A"/>
    <w:pPr>
      <w:ind w:left="720"/>
    </w:pPr>
  </w:style>
  <w:style w:type="character" w:styleId="CommentReference">
    <w:name w:val="annotation reference"/>
    <w:uiPriority w:val="99"/>
    <w:semiHidden/>
    <w:unhideWhenUsed/>
    <w:rsid w:val="0030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08B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B"/>
    <w:rPr>
      <w:rFonts w:cs="Calibri"/>
      <w:b/>
      <w:bCs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AB06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4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5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2C494A"/>
    <w:pPr>
      <w:ind w:left="720"/>
    </w:pPr>
  </w:style>
  <w:style w:type="character" w:styleId="CommentReference">
    <w:name w:val="annotation reference"/>
    <w:uiPriority w:val="99"/>
    <w:semiHidden/>
    <w:unhideWhenUsed/>
    <w:rsid w:val="0030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08B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B"/>
    <w:rPr>
      <w:rFonts w:cs="Calibri"/>
      <w:b/>
      <w:bCs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AB06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4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F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5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2015-04-01T11:57:00Z</cp:lastPrinted>
  <dcterms:created xsi:type="dcterms:W3CDTF">2015-05-26T13:55:00Z</dcterms:created>
  <dcterms:modified xsi:type="dcterms:W3CDTF">2015-05-26T13:55:00Z</dcterms:modified>
</cp:coreProperties>
</file>