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0D" w:rsidRPr="00C41BF9" w:rsidRDefault="002E530D" w:rsidP="00F445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1647"/>
        <w:rPr>
          <w:rFonts w:ascii="Calibri" w:hAnsi="Calibri"/>
          <w:bCs/>
          <w:lang w:val="fr-FR"/>
        </w:rPr>
      </w:pPr>
      <w:bookmarkStart w:id="0" w:name="OLE_LINK1"/>
      <w:r w:rsidRPr="00C41BF9">
        <w:rPr>
          <w:rFonts w:ascii="Calibri" w:hAnsi="Calibri"/>
          <w:bCs/>
          <w:lang w:val="fr-FR"/>
        </w:rPr>
        <w:t xml:space="preserve">CONVENTION </w:t>
      </w:r>
      <w:r w:rsidR="007F2E5D" w:rsidRPr="00C41BF9">
        <w:rPr>
          <w:rFonts w:ascii="Calibri" w:hAnsi="Calibri"/>
          <w:bCs/>
          <w:lang w:val="fr-FR"/>
        </w:rPr>
        <w:t>SUR LES ZONES HUMIDES</w:t>
      </w:r>
      <w:r w:rsidRPr="00C41BF9">
        <w:rPr>
          <w:rFonts w:ascii="Calibri" w:hAnsi="Calibri"/>
          <w:bCs/>
          <w:lang w:val="fr-FR"/>
        </w:rPr>
        <w:t xml:space="preserve"> (Ramsar, Iran, 1971)</w:t>
      </w:r>
    </w:p>
    <w:p w:rsidR="002E530D" w:rsidRPr="00C41BF9" w:rsidRDefault="00FD1CF2" w:rsidP="00F445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1647"/>
        <w:rPr>
          <w:rFonts w:ascii="Calibri" w:hAnsi="Calibri"/>
          <w:bCs/>
          <w:lang w:val="fr-FR"/>
        </w:rPr>
      </w:pPr>
      <w:r w:rsidRPr="00C41BF9">
        <w:rPr>
          <w:rFonts w:ascii="Calibri" w:hAnsi="Calibri"/>
          <w:bCs/>
          <w:lang w:val="fr-FR"/>
        </w:rPr>
        <w:t>4</w:t>
      </w:r>
      <w:r w:rsidR="00C8550E" w:rsidRPr="00C41BF9">
        <w:rPr>
          <w:rFonts w:ascii="Calibri" w:hAnsi="Calibri"/>
          <w:bCs/>
          <w:lang w:val="fr-FR"/>
        </w:rPr>
        <w:t>9</w:t>
      </w:r>
      <w:r w:rsidR="007F2E5D" w:rsidRPr="00C41BF9">
        <w:rPr>
          <w:rFonts w:ascii="Calibri" w:hAnsi="Calibri"/>
          <w:bCs/>
          <w:vertAlign w:val="superscript"/>
          <w:lang w:val="fr-FR"/>
        </w:rPr>
        <w:t>e</w:t>
      </w:r>
      <w:r w:rsidR="002E530D" w:rsidRPr="00C41BF9">
        <w:rPr>
          <w:rFonts w:ascii="Calibri" w:hAnsi="Calibri"/>
          <w:bCs/>
          <w:lang w:val="fr-FR"/>
        </w:rPr>
        <w:t xml:space="preserve"> </w:t>
      </w:r>
      <w:r w:rsidR="007F2E5D" w:rsidRPr="00C41BF9">
        <w:rPr>
          <w:rFonts w:ascii="Calibri" w:hAnsi="Calibri"/>
          <w:bCs/>
          <w:lang w:val="fr-FR"/>
        </w:rPr>
        <w:t>Réunion du Comité permanent</w:t>
      </w:r>
    </w:p>
    <w:p w:rsidR="002E530D" w:rsidRPr="00C41BF9" w:rsidRDefault="00C8550E" w:rsidP="00F445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1647"/>
        <w:rPr>
          <w:rFonts w:ascii="Calibri" w:hAnsi="Calibri"/>
          <w:bCs/>
          <w:lang w:val="fr-FR"/>
        </w:rPr>
      </w:pPr>
      <w:r w:rsidRPr="00C41BF9">
        <w:rPr>
          <w:rFonts w:ascii="Calibri" w:hAnsi="Calibri"/>
          <w:bCs/>
          <w:lang w:val="fr-FR"/>
        </w:rPr>
        <w:t>Punta del Este</w:t>
      </w:r>
      <w:r w:rsidR="00F95341" w:rsidRPr="00C41BF9">
        <w:rPr>
          <w:rFonts w:ascii="Calibri" w:hAnsi="Calibri"/>
          <w:bCs/>
          <w:lang w:val="fr-FR"/>
        </w:rPr>
        <w:t xml:space="preserve">, </w:t>
      </w:r>
      <w:r w:rsidRPr="00C41BF9">
        <w:rPr>
          <w:rFonts w:ascii="Calibri" w:hAnsi="Calibri"/>
          <w:bCs/>
          <w:lang w:val="fr-FR"/>
        </w:rPr>
        <w:t>Uruguay</w:t>
      </w:r>
      <w:r w:rsidR="00F95341" w:rsidRPr="00C41BF9">
        <w:rPr>
          <w:rFonts w:ascii="Calibri" w:hAnsi="Calibri"/>
          <w:bCs/>
          <w:lang w:val="fr-FR"/>
        </w:rPr>
        <w:t xml:space="preserve">, </w:t>
      </w:r>
      <w:r w:rsidRPr="00C41BF9">
        <w:rPr>
          <w:rFonts w:ascii="Calibri" w:hAnsi="Calibri"/>
          <w:bCs/>
          <w:lang w:val="fr-FR"/>
        </w:rPr>
        <w:t>1</w:t>
      </w:r>
      <w:r w:rsidRPr="00C41BF9">
        <w:rPr>
          <w:rFonts w:ascii="Calibri" w:hAnsi="Calibri"/>
          <w:bCs/>
          <w:vertAlign w:val="superscript"/>
          <w:lang w:val="fr-FR"/>
        </w:rPr>
        <w:t>er</w:t>
      </w:r>
      <w:r w:rsidRPr="00C41BF9">
        <w:rPr>
          <w:rFonts w:ascii="Calibri" w:hAnsi="Calibri"/>
          <w:bCs/>
          <w:lang w:val="fr-FR"/>
        </w:rPr>
        <w:t xml:space="preserve"> juin 2015</w:t>
      </w:r>
    </w:p>
    <w:p w:rsidR="004D2680" w:rsidRDefault="004D2680" w:rsidP="004D2680">
      <w:pPr>
        <w:jc w:val="right"/>
        <w:rPr>
          <w:rFonts w:ascii="Garamond" w:hAnsi="Garamond"/>
          <w:b/>
          <w:bCs/>
          <w:color w:val="000000"/>
          <w:sz w:val="28"/>
          <w:szCs w:val="28"/>
          <w:lang w:val="fr-FR"/>
        </w:rPr>
      </w:pPr>
    </w:p>
    <w:p w:rsidR="004D2680" w:rsidRPr="00F4452E" w:rsidRDefault="004D2680" w:rsidP="00F4452E">
      <w:pPr>
        <w:jc w:val="right"/>
        <w:rPr>
          <w:rFonts w:ascii="Calibri" w:hAnsi="Calibri"/>
          <w:b/>
          <w:bCs/>
          <w:color w:val="000000"/>
          <w:sz w:val="28"/>
          <w:szCs w:val="28"/>
          <w:lang w:val="fr-FR"/>
        </w:rPr>
      </w:pPr>
      <w:r w:rsidRPr="00F4452E">
        <w:rPr>
          <w:rFonts w:ascii="Calibri" w:hAnsi="Calibri"/>
          <w:b/>
          <w:bCs/>
          <w:color w:val="000000"/>
          <w:sz w:val="28"/>
          <w:szCs w:val="28"/>
          <w:lang w:val="fr-FR"/>
        </w:rPr>
        <w:t>SC4</w:t>
      </w:r>
      <w:r w:rsidR="00C8550E" w:rsidRPr="00F4452E">
        <w:rPr>
          <w:rFonts w:ascii="Calibri" w:hAnsi="Calibri"/>
          <w:b/>
          <w:bCs/>
          <w:color w:val="000000"/>
          <w:sz w:val="28"/>
          <w:szCs w:val="28"/>
          <w:lang w:val="fr-FR"/>
        </w:rPr>
        <w:t>9</w:t>
      </w:r>
      <w:r w:rsidRPr="00F4452E">
        <w:rPr>
          <w:rFonts w:ascii="Calibri" w:hAnsi="Calibri"/>
          <w:b/>
          <w:bCs/>
          <w:color w:val="000000"/>
          <w:sz w:val="28"/>
          <w:szCs w:val="28"/>
          <w:lang w:val="fr-FR"/>
        </w:rPr>
        <w:t>-01</w:t>
      </w:r>
      <w:r w:rsidR="00F02617" w:rsidRPr="00F4452E">
        <w:rPr>
          <w:rFonts w:ascii="Calibri" w:hAnsi="Calibri"/>
          <w:b/>
          <w:bCs/>
          <w:color w:val="000000"/>
          <w:sz w:val="28"/>
          <w:szCs w:val="28"/>
          <w:lang w:val="fr-FR"/>
        </w:rPr>
        <w:t xml:space="preserve"> Rev.1</w:t>
      </w:r>
    </w:p>
    <w:p w:rsidR="004D2680" w:rsidRDefault="004D2680" w:rsidP="000C54D0">
      <w:pPr>
        <w:jc w:val="center"/>
        <w:rPr>
          <w:rFonts w:ascii="Garamond" w:hAnsi="Garamond"/>
          <w:b/>
          <w:bCs/>
          <w:color w:val="000000"/>
          <w:sz w:val="28"/>
          <w:szCs w:val="28"/>
          <w:lang w:val="fr-FR"/>
        </w:rPr>
      </w:pPr>
    </w:p>
    <w:p w:rsidR="000C54D0" w:rsidRPr="00C41BF9" w:rsidRDefault="00C8550E" w:rsidP="000C54D0">
      <w:pPr>
        <w:jc w:val="center"/>
        <w:rPr>
          <w:rFonts w:ascii="Calibri" w:hAnsi="Calibri"/>
          <w:b/>
          <w:bCs/>
          <w:color w:val="000000"/>
          <w:sz w:val="28"/>
          <w:szCs w:val="28"/>
          <w:lang w:val="fr-FR"/>
        </w:rPr>
      </w:pPr>
      <w:r w:rsidRPr="00C41BF9">
        <w:rPr>
          <w:rFonts w:ascii="Calibri" w:hAnsi="Calibri"/>
          <w:b/>
          <w:bCs/>
          <w:color w:val="000000"/>
          <w:sz w:val="28"/>
          <w:szCs w:val="28"/>
          <w:lang w:val="fr-FR"/>
        </w:rPr>
        <w:t>49</w:t>
      </w:r>
      <w:r w:rsidRPr="00C41BF9">
        <w:rPr>
          <w:rFonts w:ascii="Calibri" w:hAnsi="Calibri"/>
          <w:b/>
          <w:bCs/>
          <w:color w:val="000000"/>
          <w:sz w:val="28"/>
          <w:szCs w:val="28"/>
          <w:vertAlign w:val="superscript"/>
          <w:lang w:val="fr-FR"/>
        </w:rPr>
        <w:t>e</w:t>
      </w:r>
      <w:r w:rsidRPr="00C41BF9">
        <w:rPr>
          <w:rFonts w:ascii="Calibri" w:hAnsi="Calibri"/>
          <w:b/>
          <w:bCs/>
          <w:color w:val="000000"/>
          <w:sz w:val="28"/>
          <w:szCs w:val="28"/>
          <w:lang w:val="fr-FR"/>
        </w:rPr>
        <w:t xml:space="preserve"> Réunion du Comité permanent</w:t>
      </w:r>
    </w:p>
    <w:p w:rsidR="000C54D0" w:rsidRDefault="00AF093D" w:rsidP="000C54D0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fr-FR"/>
        </w:rPr>
      </w:pPr>
      <w:r w:rsidRPr="00C41BF9">
        <w:rPr>
          <w:rFonts w:ascii="Calibri" w:hAnsi="Calibri"/>
          <w:b/>
          <w:bCs/>
          <w:color w:val="000000"/>
          <w:sz w:val="28"/>
          <w:szCs w:val="28"/>
          <w:lang w:val="fr-FR"/>
        </w:rPr>
        <w:t>Projet d’ordre du jour</w:t>
      </w:r>
      <w:r w:rsidR="004D2680" w:rsidRPr="00C41BF9">
        <w:rPr>
          <w:rFonts w:ascii="Calibri" w:hAnsi="Calibri"/>
          <w:b/>
          <w:bCs/>
          <w:color w:val="000000"/>
          <w:sz w:val="28"/>
          <w:szCs w:val="28"/>
          <w:lang w:val="fr-FR"/>
        </w:rPr>
        <w:t xml:space="preserve"> et de programme</w:t>
      </w:r>
    </w:p>
    <w:p w:rsidR="00C8550E" w:rsidRDefault="00C8550E" w:rsidP="000C54D0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fr-FR"/>
        </w:rPr>
      </w:pPr>
    </w:p>
    <w:p w:rsidR="00C8550E" w:rsidRPr="00C41BF9" w:rsidRDefault="00C8550E" w:rsidP="00C8550E">
      <w:pPr>
        <w:rPr>
          <w:rFonts w:ascii="Calibri" w:hAnsi="Calibri"/>
          <w:b/>
          <w:bCs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Lundi 1</w:t>
      </w:r>
      <w:r w:rsidRPr="00C41BF9">
        <w:rPr>
          <w:rFonts w:ascii="Calibri" w:hAnsi="Calibri"/>
          <w:b/>
          <w:bCs/>
          <w:color w:val="000000"/>
          <w:sz w:val="22"/>
          <w:szCs w:val="22"/>
          <w:vertAlign w:val="superscript"/>
          <w:lang w:val="fr-FR"/>
        </w:rPr>
        <w:t>er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 juin 2015</w:t>
      </w:r>
    </w:p>
    <w:p w:rsidR="00C8550E" w:rsidRPr="00C41BF9" w:rsidRDefault="00C8550E" w:rsidP="000C54D0">
      <w:pPr>
        <w:rPr>
          <w:rFonts w:ascii="Calibri" w:hAnsi="Calibri"/>
          <w:b/>
          <w:bCs/>
          <w:color w:val="000000"/>
          <w:sz w:val="22"/>
          <w:szCs w:val="22"/>
          <w:lang w:val="fr-FR"/>
        </w:rPr>
      </w:pPr>
      <w:bookmarkStart w:id="1" w:name="OLE_LINK2"/>
      <w:bookmarkStart w:id="2" w:name="OLE_LINK3"/>
    </w:p>
    <w:p w:rsidR="00C8550E" w:rsidRPr="00C41BF9" w:rsidRDefault="00C8550E" w:rsidP="000C54D0">
      <w:pPr>
        <w:rPr>
          <w:rFonts w:ascii="Calibri" w:hAnsi="Calibri"/>
          <w:b/>
          <w:bCs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9</w:t>
      </w:r>
      <w:r w:rsidR="00C737A9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:</w:t>
      </w:r>
      <w:r w:rsidR="00F02617">
        <w:rPr>
          <w:rFonts w:ascii="Calibri" w:hAnsi="Calibri"/>
          <w:b/>
          <w:bCs/>
          <w:color w:val="000000"/>
          <w:sz w:val="22"/>
          <w:szCs w:val="22"/>
          <w:lang w:val="fr-FR"/>
        </w:rPr>
        <w:t>3</w:t>
      </w:r>
      <w:r w:rsidR="00C737A9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0 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-</w:t>
      </w:r>
      <w:r w:rsidR="00C737A9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 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13:00</w:t>
      </w:r>
    </w:p>
    <w:p w:rsidR="00C8550E" w:rsidRPr="00C41BF9" w:rsidRDefault="00C8550E" w:rsidP="000C54D0">
      <w:pPr>
        <w:rPr>
          <w:rFonts w:ascii="Calibri" w:hAnsi="Calibri"/>
          <w:b/>
          <w:bCs/>
          <w:color w:val="000000"/>
          <w:sz w:val="22"/>
          <w:szCs w:val="22"/>
          <w:lang w:val="fr-FR"/>
        </w:rPr>
      </w:pPr>
    </w:p>
    <w:p w:rsidR="000C54D0" w:rsidRPr="00C41BF9" w:rsidRDefault="00AF093D" w:rsidP="000C54D0">
      <w:pPr>
        <w:rPr>
          <w:rFonts w:ascii="Calibri" w:hAnsi="Calibri"/>
          <w:b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Lieu</w:t>
      </w:r>
      <w:r w:rsidR="00753777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: </w:t>
      </w:r>
      <w:r w:rsidR="00C8550E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Rio de Janeiro C</w:t>
      </w:r>
    </w:p>
    <w:p w:rsidR="000C54D0" w:rsidRPr="00C41BF9" w:rsidRDefault="000C54D0" w:rsidP="000C54D0">
      <w:pPr>
        <w:rPr>
          <w:rFonts w:ascii="Calibri" w:hAnsi="Calibri"/>
          <w:color w:val="000000"/>
          <w:sz w:val="22"/>
          <w:szCs w:val="22"/>
          <w:lang w:val="fr-FR"/>
        </w:rPr>
      </w:pPr>
    </w:p>
    <w:p w:rsidR="000C54D0" w:rsidRPr="00C41BF9" w:rsidRDefault="00AF093D" w:rsidP="000C54D0">
      <w:pPr>
        <w:rPr>
          <w:rFonts w:ascii="Calibri" w:hAnsi="Calibri"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Note i</w:t>
      </w:r>
      <w:r w:rsidR="00753777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mportante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 </w:t>
      </w:r>
      <w:r w:rsidR="00753777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: 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Les p</w:t>
      </w:r>
      <w:r w:rsidR="00753777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articipants 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sont priés d’arriver assez longtemps à l’avance pour pouvoir s’inscrire avant la réunion.</w:t>
      </w:r>
      <w:r w:rsidR="00753777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 </w:t>
      </w:r>
      <w:r w:rsidR="004D2680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Le macaron d’identification est requis pour l’accès au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 bâtiment</w:t>
      </w:r>
      <w:r w:rsidR="00753777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. 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Veuillez aussi noter que </w:t>
      </w:r>
      <w:r w:rsidR="003C6E23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vous êtes tenu de présenter votre passeport 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pour vous inscrire</w:t>
      </w:r>
      <w:r w:rsidR="004D2680"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 et pour avoir accès, en tout temps, au lieu de conférence</w:t>
      </w:r>
      <w:r w:rsidRPr="00C41BF9">
        <w:rPr>
          <w:rFonts w:ascii="Calibri" w:hAnsi="Calibri"/>
          <w:b/>
          <w:bCs/>
          <w:color w:val="000000"/>
          <w:sz w:val="22"/>
          <w:szCs w:val="22"/>
          <w:lang w:val="fr-FR"/>
        </w:rPr>
        <w:t>.</w:t>
      </w:r>
    </w:p>
    <w:p w:rsidR="000C54D0" w:rsidRPr="00C41BF9" w:rsidRDefault="000C54D0" w:rsidP="000C54D0">
      <w:pPr>
        <w:rPr>
          <w:rFonts w:ascii="Calibri" w:hAnsi="Calibri"/>
          <w:color w:val="000000"/>
          <w:sz w:val="22"/>
          <w:szCs w:val="22"/>
          <w:lang w:val="fr-FR"/>
        </w:rPr>
      </w:pPr>
    </w:p>
    <w:p w:rsidR="000C54D0" w:rsidRPr="00C41BF9" w:rsidRDefault="00443F2F" w:rsidP="00C737A9">
      <w:pPr>
        <w:rPr>
          <w:rFonts w:ascii="Calibri" w:hAnsi="Calibri"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Le bureau d’inscription sera ouvert </w:t>
      </w:r>
      <w:r w:rsidR="004D2680" w:rsidRPr="00C41BF9">
        <w:rPr>
          <w:rFonts w:ascii="Calibri" w:hAnsi="Calibri"/>
          <w:bCs/>
          <w:color w:val="000000"/>
          <w:sz w:val="22"/>
          <w:szCs w:val="22"/>
          <w:lang w:val="fr-FR"/>
        </w:rPr>
        <w:t>à partir</w:t>
      </w: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 de </w:t>
      </w:r>
      <w:r w:rsidR="00F02617">
        <w:rPr>
          <w:rFonts w:ascii="Calibri" w:hAnsi="Calibri"/>
          <w:bCs/>
          <w:color w:val="000000"/>
          <w:sz w:val="22"/>
          <w:szCs w:val="22"/>
          <w:lang w:val="fr-FR"/>
        </w:rPr>
        <w:t xml:space="preserve">16:00 à 19:00 le dimanche 31 mai et à partir de </w:t>
      </w:r>
      <w:r w:rsidR="000400A2">
        <w:rPr>
          <w:rFonts w:ascii="Calibri" w:hAnsi="Calibri"/>
          <w:bCs/>
          <w:color w:val="000000"/>
          <w:sz w:val="22"/>
          <w:szCs w:val="22"/>
          <w:lang w:val="fr-FR"/>
        </w:rPr>
        <w:t>8</w:t>
      </w:r>
      <w:r w:rsidR="00C737A9" w:rsidRPr="00C41BF9">
        <w:rPr>
          <w:rFonts w:ascii="Calibri" w:hAnsi="Calibri"/>
          <w:bCs/>
          <w:color w:val="000000"/>
          <w:sz w:val="22"/>
          <w:szCs w:val="22"/>
          <w:lang w:val="fr-FR"/>
        </w:rPr>
        <w:t>:</w:t>
      </w:r>
      <w:r w:rsidR="00753777" w:rsidRPr="00C41BF9">
        <w:rPr>
          <w:rFonts w:ascii="Calibri" w:hAnsi="Calibri"/>
          <w:bCs/>
          <w:color w:val="000000"/>
          <w:sz w:val="22"/>
          <w:szCs w:val="22"/>
          <w:lang w:val="fr-FR"/>
        </w:rPr>
        <w:t>30</w:t>
      </w: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, </w:t>
      </w:r>
      <w:r w:rsidR="000F06A7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le </w:t>
      </w:r>
      <w:r w:rsidR="00C737A9" w:rsidRPr="00C41BF9">
        <w:rPr>
          <w:rFonts w:ascii="Calibri" w:hAnsi="Calibri"/>
          <w:bCs/>
          <w:color w:val="000000"/>
          <w:sz w:val="22"/>
          <w:szCs w:val="22"/>
          <w:lang w:val="fr-FR"/>
        </w:rPr>
        <w:t>lundi 1</w:t>
      </w:r>
      <w:r w:rsidR="00C737A9" w:rsidRPr="00C41BF9">
        <w:rPr>
          <w:rFonts w:ascii="Calibri" w:hAnsi="Calibri"/>
          <w:bCs/>
          <w:color w:val="000000"/>
          <w:sz w:val="22"/>
          <w:szCs w:val="22"/>
          <w:vertAlign w:val="superscript"/>
          <w:lang w:val="fr-FR"/>
        </w:rPr>
        <w:t>er</w:t>
      </w:r>
      <w:r w:rsidR="00C737A9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 juin</w:t>
      </w:r>
      <w:r w:rsidR="00753777" w:rsidRPr="00C41BF9">
        <w:rPr>
          <w:rFonts w:ascii="Calibri" w:hAnsi="Calibri"/>
          <w:bCs/>
          <w:color w:val="000000"/>
          <w:sz w:val="22"/>
          <w:szCs w:val="22"/>
          <w:lang w:val="fr-FR"/>
        </w:rPr>
        <w:t>.</w:t>
      </w:r>
    </w:p>
    <w:p w:rsidR="000C54D0" w:rsidRPr="00C41BF9" w:rsidRDefault="000C54D0" w:rsidP="000C54D0">
      <w:pPr>
        <w:jc w:val="center"/>
        <w:rPr>
          <w:rFonts w:ascii="Calibri" w:hAnsi="Calibri"/>
          <w:color w:val="000000"/>
          <w:sz w:val="22"/>
          <w:szCs w:val="22"/>
          <w:lang w:val="fr-FR"/>
        </w:rPr>
      </w:pPr>
    </w:p>
    <w:bookmarkEnd w:id="1"/>
    <w:bookmarkEnd w:id="2"/>
    <w:p w:rsidR="000C54D0" w:rsidRPr="00C41BF9" w:rsidRDefault="00443F2F" w:rsidP="00F4452E">
      <w:pPr>
        <w:numPr>
          <w:ilvl w:val="0"/>
          <w:numId w:val="2"/>
        </w:numPr>
        <w:ind w:left="426" w:hanging="426"/>
        <w:rPr>
          <w:rFonts w:ascii="Calibri" w:hAnsi="Calibri"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>Remarques de bienvenue</w:t>
      </w:r>
      <w:r w:rsidRPr="00C41BF9">
        <w:rPr>
          <w:rFonts w:ascii="Calibri" w:hAnsi="Calibri"/>
          <w:color w:val="000000"/>
          <w:sz w:val="22"/>
          <w:szCs w:val="22"/>
          <w:lang w:val="fr-FR"/>
        </w:rPr>
        <w:t xml:space="preserve"> prononcées par le Président du Comité permanent et le représentant du pays hôte</w:t>
      </w:r>
    </w:p>
    <w:p w:rsidR="000C54D0" w:rsidRPr="00C41BF9" w:rsidRDefault="000C54D0" w:rsidP="000C54D0">
      <w:pPr>
        <w:ind w:left="540" w:hanging="540"/>
        <w:rPr>
          <w:rFonts w:ascii="Calibri" w:hAnsi="Calibri"/>
          <w:color w:val="000000"/>
          <w:sz w:val="22"/>
          <w:szCs w:val="22"/>
          <w:lang w:val="fr-FR"/>
        </w:rPr>
      </w:pPr>
    </w:p>
    <w:p w:rsidR="000C54D0" w:rsidRPr="00F4452E" w:rsidRDefault="00753777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>R</w:t>
      </w:r>
      <w:r w:rsidR="00443F2F" w:rsidRPr="00C41BF9">
        <w:rPr>
          <w:rFonts w:ascii="Calibri" w:hAnsi="Calibri"/>
          <w:bCs/>
          <w:color w:val="000000"/>
          <w:sz w:val="22"/>
          <w:szCs w:val="22"/>
          <w:lang w:val="fr-FR"/>
        </w:rPr>
        <w:t>apport</w:t>
      </w: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 </w:t>
      </w:r>
      <w:r w:rsidR="00443F2F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sur les dispositions </w:t>
      </w:r>
      <w:r w:rsidR="004D2680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prises </w:t>
      </w:r>
      <w:r w:rsidR="00443F2F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pour la </w:t>
      </w: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>COP1</w:t>
      </w:r>
      <w:r w:rsidR="00C737A9" w:rsidRPr="00C41BF9">
        <w:rPr>
          <w:rFonts w:ascii="Calibri" w:hAnsi="Calibri"/>
          <w:bCs/>
          <w:color w:val="000000"/>
          <w:sz w:val="22"/>
          <w:szCs w:val="22"/>
          <w:lang w:val="fr-FR"/>
        </w:rPr>
        <w:t>2</w:t>
      </w:r>
      <w:r w:rsidR="00443F2F" w:rsidRPr="00F4452E">
        <w:rPr>
          <w:rFonts w:ascii="Calibri" w:hAnsi="Calibri"/>
          <w:bCs/>
          <w:color w:val="000000"/>
          <w:sz w:val="22"/>
          <w:szCs w:val="22"/>
          <w:lang w:val="fr-FR"/>
        </w:rPr>
        <w:t xml:space="preserve"> par le Secrétaire général</w:t>
      </w:r>
      <w:r w:rsidRPr="00F4452E">
        <w:rPr>
          <w:rFonts w:ascii="Calibri" w:hAnsi="Calibri"/>
          <w:bCs/>
          <w:color w:val="000000"/>
          <w:sz w:val="22"/>
          <w:szCs w:val="22"/>
          <w:lang w:val="fr-FR"/>
        </w:rPr>
        <w:t xml:space="preserve"> </w:t>
      </w:r>
      <w:r w:rsidR="00443F2F" w:rsidRPr="00F4452E">
        <w:rPr>
          <w:rFonts w:ascii="Calibri" w:hAnsi="Calibri"/>
          <w:bCs/>
          <w:color w:val="000000"/>
          <w:sz w:val="22"/>
          <w:szCs w:val="22"/>
          <w:lang w:val="fr-FR"/>
        </w:rPr>
        <w:t>et le représentant du pays hôte</w:t>
      </w:r>
    </w:p>
    <w:p w:rsidR="000C54D0" w:rsidRPr="00F4452E" w:rsidRDefault="000C54D0" w:rsidP="00F4452E">
      <w:pPr>
        <w:ind w:left="426"/>
        <w:rPr>
          <w:rFonts w:ascii="Calibri" w:hAnsi="Calibri"/>
          <w:bCs/>
          <w:color w:val="000000"/>
          <w:sz w:val="22"/>
          <w:szCs w:val="22"/>
          <w:lang w:val="fr-FR"/>
        </w:rPr>
      </w:pPr>
    </w:p>
    <w:p w:rsidR="00F02617" w:rsidRDefault="00443F2F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>Examen général de l’ordre du jour provisoire de la</w:t>
      </w:r>
      <w:r w:rsidR="00753777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 COP1</w:t>
      </w:r>
      <w:r w:rsidR="00C737A9" w:rsidRPr="00C41BF9">
        <w:rPr>
          <w:rFonts w:ascii="Calibri" w:hAnsi="Calibri"/>
          <w:bCs/>
          <w:color w:val="000000"/>
          <w:sz w:val="22"/>
          <w:szCs w:val="22"/>
          <w:lang w:val="fr-FR"/>
        </w:rPr>
        <w:t>2</w:t>
      </w:r>
      <w:r w:rsidR="00753777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 </w:t>
      </w:r>
      <w:r w:rsidRPr="00C41BF9">
        <w:rPr>
          <w:rFonts w:ascii="Calibri" w:hAnsi="Calibri"/>
          <w:bCs/>
          <w:color w:val="000000"/>
          <w:sz w:val="22"/>
          <w:szCs w:val="22"/>
          <w:lang w:val="fr-FR"/>
        </w:rPr>
        <w:t>de Ramsar</w:t>
      </w:r>
    </w:p>
    <w:p w:rsidR="00F02617" w:rsidRDefault="00F02617" w:rsidP="00F4452E">
      <w:pPr>
        <w:ind w:left="426"/>
        <w:rPr>
          <w:rFonts w:ascii="Calibri" w:hAnsi="Calibri"/>
          <w:bCs/>
          <w:color w:val="000000"/>
          <w:sz w:val="22"/>
          <w:szCs w:val="22"/>
          <w:lang w:val="fr-FR"/>
        </w:rPr>
      </w:pPr>
    </w:p>
    <w:p w:rsidR="000C54D0" w:rsidRPr="00F4452E" w:rsidRDefault="00F02617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>
        <w:rPr>
          <w:rFonts w:ascii="Calibri" w:hAnsi="Calibri"/>
          <w:bCs/>
          <w:color w:val="000000"/>
          <w:sz w:val="22"/>
          <w:szCs w:val="22"/>
          <w:lang w:val="fr-FR"/>
        </w:rPr>
        <w:t>Questions financières</w:t>
      </w:r>
      <w:r w:rsidR="00753777" w:rsidRPr="00C41BF9">
        <w:rPr>
          <w:rFonts w:ascii="Calibri" w:hAnsi="Calibri"/>
          <w:bCs/>
          <w:color w:val="000000"/>
          <w:sz w:val="22"/>
          <w:szCs w:val="22"/>
          <w:lang w:val="fr-FR"/>
        </w:rPr>
        <w:t xml:space="preserve"> </w:t>
      </w:r>
    </w:p>
    <w:p w:rsidR="000C54D0" w:rsidRPr="00C41BF9" w:rsidRDefault="000C54D0" w:rsidP="000C54D0">
      <w:pPr>
        <w:ind w:left="540" w:hanging="540"/>
        <w:rPr>
          <w:rFonts w:ascii="Calibri" w:hAnsi="Calibri"/>
          <w:color w:val="000000"/>
          <w:sz w:val="22"/>
          <w:szCs w:val="22"/>
          <w:lang w:val="fr-FR"/>
        </w:rPr>
      </w:pPr>
    </w:p>
    <w:p w:rsidR="004D2680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a)</w:t>
      </w:r>
      <w:r w:rsidR="00753777" w:rsidRPr="00C41BF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fr-FR"/>
        </w:rPr>
        <w:tab/>
      </w:r>
      <w:r w:rsidR="00C737A9" w:rsidRPr="00C41BF9">
        <w:rPr>
          <w:rFonts w:ascii="Calibri" w:hAnsi="Calibri"/>
          <w:color w:val="000000"/>
          <w:sz w:val="22"/>
          <w:szCs w:val="22"/>
          <w:lang w:val="fr-FR"/>
        </w:rPr>
        <w:t>Examen de l’état des réattributions du surplus du budget administratif de 2014 selon la Décision SC48-12</w:t>
      </w:r>
      <w:r>
        <w:rPr>
          <w:rFonts w:ascii="Calibri" w:hAnsi="Calibri"/>
          <w:color w:val="000000"/>
          <w:sz w:val="22"/>
          <w:szCs w:val="22"/>
          <w:lang w:val="fr-FR"/>
        </w:rPr>
        <w:t>, avec un état actualisé du budget administratif 2014</w:t>
      </w:r>
    </w:p>
    <w:p w:rsidR="00F02617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</w:p>
    <w:p w:rsidR="00F02617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b)</w:t>
      </w:r>
      <w:r>
        <w:rPr>
          <w:rFonts w:ascii="Calibri" w:hAnsi="Calibri"/>
          <w:color w:val="000000"/>
          <w:sz w:val="22"/>
          <w:szCs w:val="22"/>
          <w:lang w:val="fr-FR"/>
        </w:rPr>
        <w:tab/>
        <w:t>Rapport du Secrétaire général sur l’utilisation du Fonds de réserve pour parrainer les délégués à la COP12</w:t>
      </w:r>
    </w:p>
    <w:p w:rsidR="00F02617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</w:p>
    <w:p w:rsidR="00F02617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c)</w:t>
      </w:r>
      <w:r>
        <w:rPr>
          <w:rFonts w:ascii="Calibri" w:hAnsi="Calibri"/>
          <w:color w:val="000000"/>
          <w:sz w:val="22"/>
          <w:szCs w:val="22"/>
          <w:lang w:val="fr-FR"/>
        </w:rPr>
        <w:tab/>
        <w:t>Proposition du Secrétariat sur les moyens de reconstituer le Fonds de réserve 2016-2018 et d’ajuster les projets de scénarios de budget annexés au projet de résolution XII.1.</w:t>
      </w:r>
    </w:p>
    <w:p w:rsidR="00F02617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</w:p>
    <w:p w:rsidR="00F02617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d)</w:t>
      </w:r>
      <w:r>
        <w:rPr>
          <w:rFonts w:ascii="Calibri" w:hAnsi="Calibri"/>
          <w:color w:val="000000"/>
          <w:sz w:val="22"/>
          <w:szCs w:val="22"/>
          <w:lang w:val="fr-FR"/>
        </w:rPr>
        <w:tab/>
        <w:t>Rapport oral du Secrétaire général sur le niveau d’appui du Secrétariat aux délégués parrainés qui assistent aux sessions de la COP et du Comité permanent.</w:t>
      </w:r>
    </w:p>
    <w:p w:rsidR="00F02617" w:rsidRPr="00C41BF9" w:rsidRDefault="00F02617" w:rsidP="00F02617">
      <w:pPr>
        <w:tabs>
          <w:tab w:val="left" w:pos="1134"/>
        </w:tabs>
        <w:ind w:left="1134" w:hanging="594"/>
        <w:rPr>
          <w:rFonts w:ascii="Calibri" w:hAnsi="Calibri"/>
          <w:color w:val="000000"/>
          <w:sz w:val="22"/>
          <w:szCs w:val="22"/>
          <w:lang w:val="fr-FR"/>
        </w:rPr>
      </w:pPr>
    </w:p>
    <w:p w:rsidR="00C737A9" w:rsidRPr="00C41BF9" w:rsidRDefault="00C737A9" w:rsidP="00F4452E">
      <w:pPr>
        <w:numPr>
          <w:ilvl w:val="0"/>
          <w:numId w:val="2"/>
        </w:numPr>
        <w:ind w:left="426" w:hanging="426"/>
        <w:rPr>
          <w:rFonts w:ascii="Calibri" w:hAnsi="Calibri"/>
          <w:color w:val="000000"/>
          <w:sz w:val="22"/>
          <w:szCs w:val="22"/>
          <w:lang w:val="fr-FR"/>
        </w:rPr>
      </w:pPr>
      <w:r w:rsidRPr="00F4452E">
        <w:rPr>
          <w:rFonts w:ascii="Calibri" w:hAnsi="Calibri"/>
          <w:bCs/>
          <w:color w:val="000000"/>
          <w:sz w:val="22"/>
          <w:szCs w:val="22"/>
          <w:lang w:val="fr-FR"/>
        </w:rPr>
        <w:t>Rapport sur les Initiatives régionales Ramsar et attribution du financement pour 2015</w:t>
      </w:r>
      <w:r w:rsidRPr="00C41BF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Pr="000400A2">
        <w:rPr>
          <w:rFonts w:ascii="Calibri" w:hAnsi="Calibri"/>
          <w:color w:val="000000"/>
          <w:sz w:val="22"/>
          <w:szCs w:val="22"/>
          <w:lang w:val="fr-FR"/>
        </w:rPr>
        <w:t xml:space="preserve">(DOC.SC49-02 </w:t>
      </w:r>
      <w:r w:rsidRPr="000400A2">
        <w:rPr>
          <w:rFonts w:ascii="Calibri" w:hAnsi="Calibri"/>
          <w:i/>
          <w:color w:val="000000"/>
          <w:sz w:val="22"/>
          <w:szCs w:val="22"/>
          <w:lang w:val="fr-FR"/>
        </w:rPr>
        <w:t>Attribution de fonds du budget administratif de Ramsar aux Initiatives régionales fonctionnant dans le cadre de la Convention de Ramsar en 2015</w:t>
      </w:r>
      <w:r w:rsidRPr="000400A2">
        <w:rPr>
          <w:rFonts w:ascii="Calibri" w:hAnsi="Calibri"/>
          <w:color w:val="000000"/>
          <w:sz w:val="22"/>
          <w:szCs w:val="22"/>
          <w:lang w:val="fr-FR"/>
        </w:rPr>
        <w:t>)</w:t>
      </w:r>
    </w:p>
    <w:p w:rsidR="00C737A9" w:rsidRPr="00C41BF9" w:rsidRDefault="00C737A9" w:rsidP="000C54D0">
      <w:pPr>
        <w:ind w:left="540" w:hanging="540"/>
        <w:rPr>
          <w:rFonts w:ascii="Calibri" w:hAnsi="Calibri"/>
          <w:color w:val="000000"/>
          <w:sz w:val="22"/>
          <w:szCs w:val="22"/>
          <w:lang w:val="fr-FR"/>
        </w:rPr>
      </w:pPr>
    </w:p>
    <w:p w:rsidR="00C737A9" w:rsidRPr="00C41BF9" w:rsidRDefault="00C737A9" w:rsidP="00F4452E">
      <w:pPr>
        <w:numPr>
          <w:ilvl w:val="0"/>
          <w:numId w:val="2"/>
        </w:numPr>
        <w:ind w:left="426" w:hanging="426"/>
        <w:rPr>
          <w:rFonts w:ascii="Calibri" w:hAnsi="Calibri"/>
          <w:color w:val="000000"/>
          <w:sz w:val="22"/>
          <w:szCs w:val="22"/>
          <w:lang w:val="fr-FR"/>
        </w:rPr>
      </w:pPr>
      <w:r w:rsidRPr="00C41BF9">
        <w:rPr>
          <w:rFonts w:ascii="Calibri" w:hAnsi="Calibri"/>
          <w:color w:val="000000"/>
          <w:sz w:val="22"/>
          <w:szCs w:val="22"/>
          <w:lang w:val="fr-FR"/>
        </w:rPr>
        <w:t xml:space="preserve">Rapport sur le Plan d’action pour la communication/CESP </w:t>
      </w:r>
      <w:r w:rsidRPr="00B2529C">
        <w:rPr>
          <w:rFonts w:ascii="Calibri" w:hAnsi="Calibri"/>
          <w:color w:val="000000"/>
          <w:sz w:val="22"/>
          <w:szCs w:val="22"/>
          <w:lang w:val="fr-FR"/>
        </w:rPr>
        <w:t xml:space="preserve">(COP12 DOC.26 </w:t>
      </w:r>
      <w:r w:rsidRPr="00B2529C">
        <w:rPr>
          <w:rFonts w:ascii="Calibri" w:hAnsi="Calibri"/>
          <w:i/>
          <w:color w:val="000000"/>
          <w:sz w:val="22"/>
          <w:szCs w:val="22"/>
          <w:lang w:val="fr-FR"/>
        </w:rPr>
        <w:t>Plan d’action pour la communication/CESP du Secrétariat Ramsar 2016-2021</w:t>
      </w:r>
      <w:r w:rsidRPr="00B2529C">
        <w:rPr>
          <w:rFonts w:ascii="Calibri" w:hAnsi="Calibri"/>
          <w:color w:val="000000"/>
          <w:sz w:val="22"/>
          <w:szCs w:val="22"/>
          <w:lang w:val="fr-FR"/>
        </w:rPr>
        <w:t>)</w:t>
      </w:r>
    </w:p>
    <w:p w:rsidR="00C737A9" w:rsidRPr="00C41BF9" w:rsidRDefault="00C737A9" w:rsidP="000C54D0">
      <w:pPr>
        <w:ind w:left="540" w:hanging="540"/>
        <w:rPr>
          <w:rFonts w:ascii="Calibri" w:hAnsi="Calibri"/>
          <w:color w:val="000000"/>
          <w:sz w:val="22"/>
          <w:szCs w:val="22"/>
          <w:lang w:val="fr-FR"/>
        </w:rPr>
      </w:pPr>
    </w:p>
    <w:p w:rsidR="00C737A9" w:rsidRPr="00F4452E" w:rsidRDefault="00C737A9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F4452E">
        <w:rPr>
          <w:rFonts w:ascii="Calibri" w:hAnsi="Calibri"/>
          <w:bCs/>
          <w:color w:val="000000"/>
          <w:sz w:val="22"/>
          <w:szCs w:val="22"/>
          <w:lang w:val="fr-FR"/>
        </w:rPr>
        <w:t>Règlement intérieur de la COP12</w:t>
      </w:r>
      <w:r w:rsidR="0005305F" w:rsidRPr="00F4452E">
        <w:rPr>
          <w:rFonts w:ascii="Calibri" w:hAnsi="Calibri"/>
          <w:bCs/>
          <w:color w:val="000000"/>
          <w:sz w:val="22"/>
          <w:szCs w:val="22"/>
          <w:lang w:val="fr-FR"/>
        </w:rPr>
        <w:t xml:space="preserve"> (</w:t>
      </w:r>
      <w:r w:rsidR="00FB794D" w:rsidRPr="00F4452E">
        <w:rPr>
          <w:rFonts w:ascii="Calibri" w:hAnsi="Calibri"/>
          <w:bCs/>
          <w:color w:val="000000"/>
          <w:sz w:val="22"/>
          <w:szCs w:val="22"/>
          <w:lang w:val="fr-FR"/>
        </w:rPr>
        <w:t xml:space="preserve">avec </w:t>
      </w:r>
      <w:r w:rsidR="0005305F" w:rsidRPr="00F4452E">
        <w:rPr>
          <w:rFonts w:ascii="Calibri" w:hAnsi="Calibri"/>
          <w:bCs/>
          <w:color w:val="000000"/>
          <w:sz w:val="22"/>
          <w:szCs w:val="22"/>
          <w:lang w:val="fr-FR"/>
        </w:rPr>
        <w:t xml:space="preserve"> le rapport du Secrétaire général abordant comment comprendre/interpréter le Règlement intérieur  concernant le pouvoir du Comité permanent « d’approuver » les projets de résolutions)</w:t>
      </w:r>
    </w:p>
    <w:p w:rsidR="000B4ACA" w:rsidRPr="00F4452E" w:rsidRDefault="000B4ACA" w:rsidP="00F4452E">
      <w:pPr>
        <w:rPr>
          <w:rFonts w:ascii="Calibri" w:hAnsi="Calibri"/>
          <w:bCs/>
          <w:color w:val="000000"/>
          <w:sz w:val="22"/>
          <w:szCs w:val="22"/>
          <w:lang w:val="fr-FR"/>
        </w:rPr>
      </w:pPr>
    </w:p>
    <w:p w:rsidR="000B4ACA" w:rsidRPr="00F4452E" w:rsidRDefault="000B4ACA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0B4ACA">
        <w:rPr>
          <w:rFonts w:ascii="Calibri" w:hAnsi="Calibri"/>
          <w:bCs/>
          <w:color w:val="000000"/>
          <w:sz w:val="22"/>
          <w:szCs w:val="22"/>
          <w:lang w:val="fr-FR"/>
        </w:rPr>
        <w:t>Nomination du président et des vice-présidents de la COP1</w:t>
      </w:r>
      <w:r>
        <w:rPr>
          <w:rFonts w:ascii="Calibri" w:hAnsi="Calibri"/>
          <w:bCs/>
          <w:color w:val="000000"/>
          <w:sz w:val="22"/>
          <w:szCs w:val="22"/>
          <w:lang w:val="fr-FR"/>
        </w:rPr>
        <w:t>2</w:t>
      </w:r>
    </w:p>
    <w:p w:rsidR="000B4ACA" w:rsidRPr="00F4452E" w:rsidRDefault="000B4ACA" w:rsidP="00F4452E">
      <w:pPr>
        <w:rPr>
          <w:rFonts w:ascii="Calibri" w:hAnsi="Calibri"/>
          <w:bCs/>
          <w:color w:val="000000"/>
          <w:sz w:val="22"/>
          <w:szCs w:val="22"/>
          <w:lang w:val="fr-FR"/>
        </w:rPr>
      </w:pPr>
    </w:p>
    <w:p w:rsidR="000B4ACA" w:rsidRPr="00F4452E" w:rsidRDefault="000B4ACA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0B4ACA">
        <w:rPr>
          <w:rFonts w:ascii="Calibri" w:hAnsi="Calibri"/>
          <w:bCs/>
          <w:color w:val="000000"/>
          <w:sz w:val="22"/>
          <w:szCs w:val="22"/>
          <w:lang w:val="fr-FR"/>
        </w:rPr>
        <w:t xml:space="preserve">Nomination du Comité de vérification des pouvoirs </w:t>
      </w:r>
    </w:p>
    <w:p w:rsidR="000B4ACA" w:rsidRPr="00F4452E" w:rsidRDefault="000B4ACA" w:rsidP="00F4452E">
      <w:pPr>
        <w:rPr>
          <w:rFonts w:ascii="Calibri" w:hAnsi="Calibri"/>
          <w:bCs/>
          <w:color w:val="000000"/>
          <w:sz w:val="22"/>
          <w:szCs w:val="22"/>
          <w:lang w:val="fr-FR"/>
        </w:rPr>
      </w:pPr>
    </w:p>
    <w:p w:rsidR="000C54D0" w:rsidRPr="004A2F7F" w:rsidRDefault="00443F2F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4A2F7F">
        <w:rPr>
          <w:rFonts w:ascii="Calibri" w:hAnsi="Calibri"/>
          <w:bCs/>
          <w:color w:val="000000"/>
          <w:sz w:val="22"/>
          <w:szCs w:val="22"/>
          <w:lang w:val="fr-FR"/>
        </w:rPr>
        <w:t>É</w:t>
      </w:r>
      <w:r w:rsidR="00753777" w:rsidRPr="004A2F7F">
        <w:rPr>
          <w:rFonts w:ascii="Calibri" w:hAnsi="Calibri"/>
          <w:bCs/>
          <w:color w:val="000000"/>
          <w:sz w:val="22"/>
          <w:szCs w:val="22"/>
          <w:lang w:val="fr-FR"/>
        </w:rPr>
        <w:t>tablis</w:t>
      </w:r>
      <w:r w:rsidRPr="004A2F7F">
        <w:rPr>
          <w:rFonts w:ascii="Calibri" w:hAnsi="Calibri"/>
          <w:bCs/>
          <w:color w:val="000000"/>
          <w:sz w:val="22"/>
          <w:szCs w:val="22"/>
          <w:lang w:val="fr-FR"/>
        </w:rPr>
        <w:t>se</w:t>
      </w:r>
      <w:r w:rsidR="00753777" w:rsidRPr="004A2F7F">
        <w:rPr>
          <w:rFonts w:ascii="Calibri" w:hAnsi="Calibri"/>
          <w:bCs/>
          <w:color w:val="000000"/>
          <w:sz w:val="22"/>
          <w:szCs w:val="22"/>
          <w:lang w:val="fr-FR"/>
        </w:rPr>
        <w:t xml:space="preserve">ment </w:t>
      </w:r>
      <w:r w:rsidRPr="004A2F7F">
        <w:rPr>
          <w:rFonts w:ascii="Calibri" w:hAnsi="Calibri"/>
          <w:bCs/>
          <w:color w:val="000000"/>
          <w:sz w:val="22"/>
          <w:szCs w:val="22"/>
          <w:lang w:val="fr-FR"/>
        </w:rPr>
        <w:t xml:space="preserve">des comités </w:t>
      </w:r>
      <w:r w:rsidR="0005305F">
        <w:rPr>
          <w:rFonts w:ascii="Calibri" w:hAnsi="Calibri"/>
          <w:bCs/>
          <w:color w:val="000000"/>
          <w:sz w:val="22"/>
          <w:szCs w:val="22"/>
          <w:lang w:val="fr-FR"/>
        </w:rPr>
        <w:t xml:space="preserve"> et des groupes de contact </w:t>
      </w:r>
      <w:r w:rsidRPr="004A2F7F">
        <w:rPr>
          <w:rFonts w:ascii="Calibri" w:hAnsi="Calibri"/>
          <w:bCs/>
          <w:color w:val="000000"/>
          <w:sz w:val="22"/>
          <w:szCs w:val="22"/>
          <w:lang w:val="fr-FR"/>
        </w:rPr>
        <w:t>de la</w:t>
      </w:r>
      <w:r w:rsidR="00753777" w:rsidRPr="004A2F7F">
        <w:rPr>
          <w:rFonts w:ascii="Calibri" w:hAnsi="Calibri"/>
          <w:bCs/>
          <w:color w:val="000000"/>
          <w:sz w:val="22"/>
          <w:szCs w:val="22"/>
          <w:lang w:val="fr-FR"/>
        </w:rPr>
        <w:t xml:space="preserve"> COP1</w:t>
      </w:r>
      <w:r w:rsidR="000B4ACA" w:rsidRPr="004A2F7F">
        <w:rPr>
          <w:rFonts w:ascii="Calibri" w:hAnsi="Calibri"/>
          <w:bCs/>
          <w:color w:val="000000"/>
          <w:sz w:val="22"/>
          <w:szCs w:val="22"/>
          <w:lang w:val="fr-FR"/>
        </w:rPr>
        <w:t>2</w:t>
      </w:r>
    </w:p>
    <w:p w:rsidR="000C54D0" w:rsidRPr="004A2F7F" w:rsidRDefault="000C54D0" w:rsidP="000C54D0">
      <w:pPr>
        <w:ind w:left="540" w:hanging="540"/>
        <w:rPr>
          <w:rFonts w:ascii="Calibri" w:hAnsi="Calibri"/>
          <w:bCs/>
          <w:color w:val="000000"/>
          <w:sz w:val="22"/>
          <w:szCs w:val="22"/>
          <w:lang w:val="fr-FR"/>
        </w:rPr>
      </w:pPr>
    </w:p>
    <w:p w:rsidR="004D2680" w:rsidRDefault="000B4ACA" w:rsidP="000C54D0">
      <w:pPr>
        <w:ind w:left="1080" w:hanging="540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4A2F7F">
        <w:rPr>
          <w:rFonts w:ascii="Calibri" w:hAnsi="Calibri"/>
          <w:color w:val="000000"/>
          <w:sz w:val="22"/>
          <w:szCs w:val="22"/>
          <w:lang w:val="fr-FR"/>
        </w:rPr>
        <w:t>10</w:t>
      </w:r>
      <w:r w:rsidR="00753777" w:rsidRPr="004A2F7F">
        <w:rPr>
          <w:rFonts w:ascii="Calibri" w:hAnsi="Calibri"/>
          <w:color w:val="000000"/>
          <w:sz w:val="22"/>
          <w:szCs w:val="22"/>
          <w:lang w:val="fr-FR"/>
        </w:rPr>
        <w:t xml:space="preserve">.1 </w:t>
      </w:r>
      <w:r w:rsidR="000C54D0" w:rsidRPr="004A2F7F">
        <w:rPr>
          <w:rFonts w:ascii="Calibri" w:hAnsi="Calibri"/>
          <w:color w:val="000000"/>
          <w:sz w:val="22"/>
          <w:szCs w:val="22"/>
          <w:lang w:val="fr-FR"/>
        </w:rPr>
        <w:tab/>
      </w:r>
      <w:r w:rsidR="000C54D0" w:rsidRPr="004A2F7F">
        <w:rPr>
          <w:rFonts w:ascii="Calibri" w:hAnsi="Calibri"/>
          <w:bCs/>
          <w:color w:val="000000"/>
          <w:sz w:val="22"/>
          <w:szCs w:val="22"/>
          <w:lang w:val="fr-FR"/>
        </w:rPr>
        <w:t>Com</w:t>
      </w:r>
      <w:r w:rsidR="005C0BEF" w:rsidRPr="004A2F7F">
        <w:rPr>
          <w:rFonts w:ascii="Calibri" w:hAnsi="Calibri"/>
          <w:bCs/>
          <w:color w:val="000000"/>
          <w:sz w:val="22"/>
          <w:szCs w:val="22"/>
          <w:lang w:val="fr-FR"/>
        </w:rPr>
        <w:t>ité</w:t>
      </w:r>
      <w:r w:rsidR="000C54D0" w:rsidRPr="004A2F7F">
        <w:rPr>
          <w:rFonts w:ascii="Calibri" w:hAnsi="Calibri"/>
          <w:bCs/>
          <w:color w:val="000000"/>
          <w:sz w:val="22"/>
          <w:szCs w:val="22"/>
          <w:lang w:val="fr-FR"/>
        </w:rPr>
        <w:t xml:space="preserve"> </w:t>
      </w:r>
      <w:r w:rsidR="005C0BEF" w:rsidRPr="004A2F7F">
        <w:rPr>
          <w:rFonts w:ascii="Calibri" w:hAnsi="Calibri"/>
          <w:bCs/>
          <w:color w:val="000000"/>
          <w:sz w:val="22"/>
          <w:szCs w:val="22"/>
          <w:lang w:val="fr-FR"/>
        </w:rPr>
        <w:t>des finances et du budget</w:t>
      </w:r>
    </w:p>
    <w:p w:rsidR="0005305F" w:rsidRPr="004A2F7F" w:rsidRDefault="0005305F" w:rsidP="000C54D0">
      <w:pPr>
        <w:ind w:left="1080" w:hanging="540"/>
        <w:rPr>
          <w:rFonts w:ascii="Calibri" w:hAnsi="Calibri"/>
          <w:bCs/>
          <w:color w:val="000000"/>
          <w:sz w:val="22"/>
          <w:szCs w:val="22"/>
          <w:lang w:val="fr-FR"/>
        </w:rPr>
      </w:pPr>
      <w:r>
        <w:rPr>
          <w:rFonts w:ascii="Calibri" w:hAnsi="Calibri"/>
          <w:bCs/>
          <w:color w:val="000000"/>
          <w:sz w:val="22"/>
          <w:szCs w:val="22"/>
          <w:lang w:val="fr-FR"/>
        </w:rPr>
        <w:t>10.2</w:t>
      </w:r>
      <w:r>
        <w:rPr>
          <w:rFonts w:ascii="Calibri" w:hAnsi="Calibri"/>
          <w:bCs/>
          <w:color w:val="000000"/>
          <w:sz w:val="22"/>
          <w:szCs w:val="22"/>
          <w:lang w:val="fr-FR"/>
        </w:rPr>
        <w:tab/>
        <w:t>Établissement des groupes de contact</w:t>
      </w:r>
    </w:p>
    <w:p w:rsidR="000C54D0" w:rsidRPr="004A2F7F" w:rsidRDefault="000C54D0" w:rsidP="000C54D0">
      <w:pPr>
        <w:ind w:left="540" w:hanging="540"/>
        <w:rPr>
          <w:rFonts w:ascii="Calibri" w:hAnsi="Calibri"/>
          <w:color w:val="000000"/>
          <w:sz w:val="22"/>
          <w:szCs w:val="22"/>
          <w:lang w:val="fr-FR"/>
        </w:rPr>
      </w:pPr>
    </w:p>
    <w:p w:rsidR="000C54D0" w:rsidRPr="00F4452E" w:rsidRDefault="005C0BEF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F4452E">
        <w:rPr>
          <w:rFonts w:ascii="Calibri" w:hAnsi="Calibri"/>
          <w:bCs/>
          <w:color w:val="000000"/>
          <w:sz w:val="22"/>
          <w:szCs w:val="22"/>
          <w:lang w:val="fr-FR"/>
        </w:rPr>
        <w:t xml:space="preserve">Ordre du jour de la </w:t>
      </w:r>
      <w:r w:rsidR="000B4ACA" w:rsidRPr="00F4452E">
        <w:rPr>
          <w:rFonts w:ascii="Calibri" w:hAnsi="Calibri"/>
          <w:bCs/>
          <w:color w:val="000000"/>
          <w:sz w:val="22"/>
          <w:szCs w:val="22"/>
          <w:lang w:val="fr-FR"/>
        </w:rPr>
        <w:t>50</w:t>
      </w:r>
      <w:r w:rsidRPr="00F4452E">
        <w:rPr>
          <w:rFonts w:ascii="Calibri" w:hAnsi="Calibri"/>
          <w:bCs/>
          <w:color w:val="000000"/>
          <w:sz w:val="22"/>
          <w:szCs w:val="22"/>
          <w:lang w:val="fr-FR"/>
        </w:rPr>
        <w:t>e Réunion du Comité permanent</w:t>
      </w:r>
      <w:r w:rsidR="00A4658C" w:rsidRPr="00F4452E">
        <w:rPr>
          <w:rFonts w:ascii="Calibri" w:hAnsi="Calibri"/>
          <w:bCs/>
          <w:color w:val="000000"/>
          <w:sz w:val="22"/>
          <w:szCs w:val="22"/>
          <w:lang w:val="fr-FR"/>
        </w:rPr>
        <w:t xml:space="preserve"> </w:t>
      </w:r>
    </w:p>
    <w:p w:rsidR="000C54D0" w:rsidRPr="00F4452E" w:rsidRDefault="000C54D0" w:rsidP="00F4452E">
      <w:pPr>
        <w:rPr>
          <w:rFonts w:ascii="Calibri" w:hAnsi="Calibri"/>
          <w:bCs/>
          <w:color w:val="000000"/>
          <w:sz w:val="22"/>
          <w:szCs w:val="22"/>
          <w:lang w:val="fr-FR"/>
        </w:rPr>
      </w:pPr>
    </w:p>
    <w:bookmarkEnd w:id="0"/>
    <w:p w:rsidR="000C54D0" w:rsidRDefault="000B4ACA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 w:rsidRPr="004A2F7F">
        <w:rPr>
          <w:rFonts w:ascii="Calibri" w:hAnsi="Calibri"/>
          <w:bCs/>
          <w:color w:val="000000"/>
          <w:sz w:val="22"/>
          <w:szCs w:val="22"/>
          <w:lang w:val="fr-FR"/>
        </w:rPr>
        <w:t>Remerciements aux membres du Comité permanent de la période triennale écoulée</w:t>
      </w:r>
    </w:p>
    <w:p w:rsidR="0005305F" w:rsidRDefault="0005305F" w:rsidP="00F4452E">
      <w:pPr>
        <w:rPr>
          <w:rFonts w:ascii="Calibri" w:hAnsi="Calibri"/>
          <w:bCs/>
          <w:color w:val="000000"/>
          <w:sz w:val="22"/>
          <w:szCs w:val="22"/>
          <w:lang w:val="fr-FR"/>
        </w:rPr>
      </w:pPr>
    </w:p>
    <w:p w:rsidR="0005305F" w:rsidRPr="00F4452E" w:rsidRDefault="0005305F" w:rsidP="00F4452E">
      <w:pPr>
        <w:numPr>
          <w:ilvl w:val="0"/>
          <w:numId w:val="2"/>
        </w:numPr>
        <w:ind w:left="426" w:hanging="426"/>
        <w:rPr>
          <w:rFonts w:ascii="Calibri" w:hAnsi="Calibri"/>
          <w:bCs/>
          <w:color w:val="000000"/>
          <w:sz w:val="22"/>
          <w:szCs w:val="22"/>
          <w:lang w:val="fr-FR"/>
        </w:rPr>
      </w:pPr>
      <w:r>
        <w:rPr>
          <w:rFonts w:ascii="Calibri" w:hAnsi="Calibri"/>
          <w:bCs/>
          <w:color w:val="000000"/>
          <w:sz w:val="22"/>
          <w:szCs w:val="22"/>
          <w:lang w:val="fr-FR"/>
        </w:rPr>
        <w:t>Divers</w:t>
      </w:r>
      <w:bookmarkStart w:id="3" w:name="_GoBack"/>
      <w:bookmarkEnd w:id="3"/>
      <w:r>
        <w:rPr>
          <w:rFonts w:ascii="Calibri" w:hAnsi="Calibri"/>
          <w:bCs/>
          <w:color w:val="000000"/>
          <w:sz w:val="22"/>
          <w:szCs w:val="22"/>
          <w:lang w:val="fr-FR"/>
        </w:rPr>
        <w:t xml:space="preserve"> (information sur l’accueil de la COP13 par les Émirats arabes unis)</w:t>
      </w:r>
    </w:p>
    <w:sectPr w:rsidR="0005305F" w:rsidRPr="00F4452E" w:rsidSect="00F95341">
      <w:headerReference w:type="default" r:id="rId8"/>
      <w:footerReference w:type="default" r:id="rId9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E1" w:rsidRDefault="001729E1">
      <w:r>
        <w:separator/>
      </w:r>
    </w:p>
  </w:endnote>
  <w:endnote w:type="continuationSeparator" w:id="0">
    <w:p w:rsidR="001729E1" w:rsidRDefault="0017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5F" w:rsidRPr="00F4452E" w:rsidRDefault="00F4452E">
    <w:pPr>
      <w:pStyle w:val="Footer"/>
      <w:rPr>
        <w:rFonts w:asciiTheme="minorHAnsi" w:hAnsiTheme="minorHAnsi"/>
        <w:sz w:val="20"/>
        <w:szCs w:val="20"/>
      </w:rPr>
    </w:pPr>
    <w:r w:rsidRPr="00F4452E">
      <w:rPr>
        <w:rFonts w:asciiTheme="minorHAnsi" w:hAnsiTheme="minorHAnsi"/>
        <w:sz w:val="20"/>
        <w:szCs w:val="20"/>
      </w:rPr>
      <w:t>SC49-01 Rev.1</w:t>
    </w:r>
    <w:r w:rsidRPr="00F4452E">
      <w:rPr>
        <w:rFonts w:asciiTheme="minorHAnsi" w:hAnsiTheme="minorHAnsi"/>
        <w:sz w:val="20"/>
        <w:szCs w:val="20"/>
      </w:rPr>
      <w:tab/>
    </w:r>
    <w:r w:rsidRPr="00F4452E">
      <w:rPr>
        <w:rFonts w:asciiTheme="minorHAnsi" w:hAnsiTheme="minorHAnsi"/>
        <w:sz w:val="20"/>
        <w:szCs w:val="20"/>
      </w:rPr>
      <w:tab/>
    </w:r>
    <w:r w:rsidRPr="00F4452E">
      <w:rPr>
        <w:rFonts w:asciiTheme="minorHAnsi" w:hAnsiTheme="minorHAnsi"/>
        <w:sz w:val="20"/>
        <w:szCs w:val="20"/>
      </w:rPr>
      <w:fldChar w:fldCharType="begin"/>
    </w:r>
    <w:r w:rsidRPr="00F4452E">
      <w:rPr>
        <w:rFonts w:asciiTheme="minorHAnsi" w:hAnsiTheme="minorHAnsi"/>
        <w:sz w:val="20"/>
        <w:szCs w:val="20"/>
      </w:rPr>
      <w:instrText xml:space="preserve"> PAGE   \* MERGEFORMAT </w:instrText>
    </w:r>
    <w:r w:rsidRPr="00F4452E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2</w:t>
    </w:r>
    <w:r w:rsidRPr="00F4452E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E1" w:rsidRDefault="001729E1">
      <w:r>
        <w:separator/>
      </w:r>
    </w:p>
  </w:footnote>
  <w:footnote w:type="continuationSeparator" w:id="0">
    <w:p w:rsidR="001729E1" w:rsidRDefault="0017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62" w:rsidRPr="000C54D0" w:rsidRDefault="00ED7362" w:rsidP="000C54D0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429"/>
    <w:multiLevelType w:val="hybridMultilevel"/>
    <w:tmpl w:val="93E2B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104"/>
    <w:multiLevelType w:val="hybridMultilevel"/>
    <w:tmpl w:val="51E88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42E3"/>
    <w:multiLevelType w:val="hybridMultilevel"/>
    <w:tmpl w:val="74E60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7"/>
    <w:rsid w:val="000400A2"/>
    <w:rsid w:val="0005305F"/>
    <w:rsid w:val="000B4ACA"/>
    <w:rsid w:val="000C54D0"/>
    <w:rsid w:val="000F06A7"/>
    <w:rsid w:val="001258C0"/>
    <w:rsid w:val="001729E1"/>
    <w:rsid w:val="001A7B72"/>
    <w:rsid w:val="00201B93"/>
    <w:rsid w:val="002E530D"/>
    <w:rsid w:val="002F046F"/>
    <w:rsid w:val="003C6E23"/>
    <w:rsid w:val="00427AFD"/>
    <w:rsid w:val="00443F2F"/>
    <w:rsid w:val="00464640"/>
    <w:rsid w:val="004A2F7F"/>
    <w:rsid w:val="004D0EE2"/>
    <w:rsid w:val="004D2680"/>
    <w:rsid w:val="00514D21"/>
    <w:rsid w:val="0051573B"/>
    <w:rsid w:val="005C0BEF"/>
    <w:rsid w:val="00691A2B"/>
    <w:rsid w:val="006F4B6B"/>
    <w:rsid w:val="00720ED3"/>
    <w:rsid w:val="00753777"/>
    <w:rsid w:val="00763A8E"/>
    <w:rsid w:val="007E7A3D"/>
    <w:rsid w:val="007F2E5D"/>
    <w:rsid w:val="00996E7B"/>
    <w:rsid w:val="00A419C1"/>
    <w:rsid w:val="00A4658C"/>
    <w:rsid w:val="00AF093D"/>
    <w:rsid w:val="00B2529C"/>
    <w:rsid w:val="00C34EEB"/>
    <w:rsid w:val="00C41BF9"/>
    <w:rsid w:val="00C70824"/>
    <w:rsid w:val="00C737A9"/>
    <w:rsid w:val="00C8550E"/>
    <w:rsid w:val="00D96641"/>
    <w:rsid w:val="00D9760F"/>
    <w:rsid w:val="00E31813"/>
    <w:rsid w:val="00ED7362"/>
    <w:rsid w:val="00EE697B"/>
    <w:rsid w:val="00F02617"/>
    <w:rsid w:val="00F4452E"/>
    <w:rsid w:val="00F95341"/>
    <w:rsid w:val="00FB794D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7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E530D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paragraph" w:styleId="Heading3">
    <w:name w:val="heading 3"/>
    <w:basedOn w:val="Normal"/>
    <w:next w:val="Normal"/>
    <w:qFormat/>
    <w:rsid w:val="002E530D"/>
    <w:pPr>
      <w:keepNext/>
      <w:jc w:val="right"/>
      <w:outlineLvl w:val="2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0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4D0"/>
  </w:style>
  <w:style w:type="character" w:customStyle="1" w:styleId="FooterChar">
    <w:name w:val="Footer Char"/>
    <w:link w:val="Footer"/>
    <w:uiPriority w:val="99"/>
    <w:rsid w:val="000530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7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E530D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paragraph" w:styleId="Heading3">
    <w:name w:val="heading 3"/>
    <w:basedOn w:val="Normal"/>
    <w:next w:val="Normal"/>
    <w:qFormat/>
    <w:rsid w:val="002E530D"/>
    <w:pPr>
      <w:keepNext/>
      <w:jc w:val="right"/>
      <w:outlineLvl w:val="2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0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4D0"/>
  </w:style>
  <w:style w:type="character" w:customStyle="1" w:styleId="FooterChar">
    <w:name w:val="Footer Char"/>
    <w:link w:val="Footer"/>
    <w:uiPriority w:val="99"/>
    <w:rsid w:val="000530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</vt:lpstr>
    </vt:vector>
  </TitlesOfParts>
  <Company>The World Conservation Union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NCD</dc:creator>
  <cp:lastModifiedBy>Ramsar\JenningsE</cp:lastModifiedBy>
  <cp:revision>2</cp:revision>
  <cp:lastPrinted>2008-10-01T12:26:00Z</cp:lastPrinted>
  <dcterms:created xsi:type="dcterms:W3CDTF">2015-05-26T13:50:00Z</dcterms:created>
  <dcterms:modified xsi:type="dcterms:W3CDTF">2015-05-26T13:50:00Z</dcterms:modified>
</cp:coreProperties>
</file>