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A" w:rsidRPr="00E2415F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E2415F">
        <w:rPr>
          <w:rFonts w:ascii="Calibri" w:eastAsia="Calibri" w:hAnsi="Calibri"/>
          <w:bCs/>
          <w:lang w:val="es-ES_tradnl"/>
        </w:rPr>
        <w:t>CONVEN</w:t>
      </w:r>
      <w:r w:rsidR="00E42145" w:rsidRPr="00E2415F">
        <w:rPr>
          <w:rFonts w:ascii="Calibri" w:eastAsia="Calibri" w:hAnsi="Calibri"/>
          <w:bCs/>
          <w:lang w:val="es-ES_tradnl"/>
        </w:rPr>
        <w:t>CIÓN SOBRE LOS HUMEDALES (Ramsar, Irá</w:t>
      </w:r>
      <w:r w:rsidRPr="00E2415F">
        <w:rPr>
          <w:rFonts w:ascii="Calibri" w:eastAsia="Calibri" w:hAnsi="Calibri"/>
          <w:bCs/>
          <w:lang w:val="es-ES_tradnl"/>
        </w:rPr>
        <w:t>n, 1971)</w:t>
      </w:r>
    </w:p>
    <w:p w:rsidR="001E4FCA" w:rsidRPr="00E2415F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E2415F">
        <w:rPr>
          <w:rFonts w:ascii="Calibri" w:eastAsia="Calibri" w:hAnsi="Calibri"/>
          <w:bCs/>
          <w:lang w:val="es-ES_tradnl"/>
        </w:rPr>
        <w:t>48</w:t>
      </w:r>
      <w:r w:rsidR="00E42145" w:rsidRPr="00E2415F">
        <w:rPr>
          <w:rFonts w:ascii="Calibri" w:eastAsia="Calibri" w:hAnsi="Calibri"/>
          <w:bCs/>
          <w:lang w:val="es-ES_tradnl"/>
        </w:rPr>
        <w:t>ª Reunión del Comité Permanente</w:t>
      </w:r>
    </w:p>
    <w:p w:rsidR="001E4FCA" w:rsidRPr="00E2415F" w:rsidRDefault="001E4FCA" w:rsidP="00BA45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lang w:val="es-ES_tradnl"/>
        </w:rPr>
      </w:pPr>
      <w:r w:rsidRPr="00E2415F">
        <w:rPr>
          <w:rFonts w:ascii="Calibri" w:eastAsia="Calibri" w:hAnsi="Calibri"/>
          <w:bCs/>
          <w:lang w:val="es-ES_tradnl"/>
        </w:rPr>
        <w:t>Gland, S</w:t>
      </w:r>
      <w:r w:rsidR="00E42145" w:rsidRPr="00E2415F">
        <w:rPr>
          <w:rFonts w:ascii="Calibri" w:eastAsia="Calibri" w:hAnsi="Calibri"/>
          <w:bCs/>
          <w:lang w:val="es-ES_tradnl"/>
        </w:rPr>
        <w:t>uiza</w:t>
      </w:r>
      <w:r w:rsidR="003D38A7" w:rsidRPr="00E2415F">
        <w:rPr>
          <w:rFonts w:ascii="Calibri" w:eastAsia="Calibri" w:hAnsi="Calibri"/>
          <w:bCs/>
          <w:lang w:val="es-ES_tradnl"/>
        </w:rPr>
        <w:t xml:space="preserve">, </w:t>
      </w:r>
      <w:r w:rsidRPr="00E2415F">
        <w:rPr>
          <w:rFonts w:ascii="Calibri" w:eastAsia="Calibri" w:hAnsi="Calibri"/>
          <w:bCs/>
          <w:lang w:val="es-ES_tradnl"/>
        </w:rPr>
        <w:t xml:space="preserve">28–30 </w:t>
      </w:r>
      <w:r w:rsidR="00E42145" w:rsidRPr="00E2415F">
        <w:rPr>
          <w:rFonts w:ascii="Calibri" w:eastAsia="Calibri" w:hAnsi="Calibri"/>
          <w:bCs/>
          <w:lang w:val="es-ES_tradnl"/>
        </w:rPr>
        <w:t>de enero de 2015</w:t>
      </w:r>
    </w:p>
    <w:p w:rsidR="001E4FCA" w:rsidRPr="00E2415F" w:rsidRDefault="001E4FCA" w:rsidP="00BA452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/>
          <w:b/>
          <w:lang w:val="es-ES_tradnl"/>
        </w:rPr>
      </w:pPr>
    </w:p>
    <w:p w:rsidR="001E4FCA" w:rsidRPr="00E2415F" w:rsidRDefault="001E4FCA" w:rsidP="00BA452D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D540F5" w:rsidRPr="00E2415F" w:rsidRDefault="00D540F5" w:rsidP="00BA452D">
      <w:pPr>
        <w:jc w:val="center"/>
        <w:rPr>
          <w:rFonts w:ascii="Calibri" w:hAnsi="Calibri"/>
          <w:b/>
          <w:sz w:val="32"/>
          <w:szCs w:val="32"/>
          <w:lang w:val="es-ES_tradnl"/>
        </w:rPr>
      </w:pPr>
    </w:p>
    <w:p w:rsidR="001E4FCA" w:rsidRPr="00E2415F" w:rsidRDefault="002277C1" w:rsidP="00BA452D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E2415F">
        <w:rPr>
          <w:rFonts w:ascii="Calibri" w:hAnsi="Calibri"/>
          <w:b/>
          <w:sz w:val="32"/>
          <w:szCs w:val="32"/>
          <w:lang w:val="es-ES_tradnl"/>
        </w:rPr>
        <w:t>Decision</w:t>
      </w:r>
      <w:r w:rsidR="00E42145" w:rsidRPr="00E2415F">
        <w:rPr>
          <w:rFonts w:ascii="Calibri" w:hAnsi="Calibri"/>
          <w:b/>
          <w:sz w:val="32"/>
          <w:szCs w:val="32"/>
          <w:lang w:val="es-ES_tradnl"/>
        </w:rPr>
        <w:t>es de la 48ª reunión del Comité Permanente</w:t>
      </w:r>
      <w:r w:rsidR="001E4FCA" w:rsidRPr="00E2415F">
        <w:rPr>
          <w:rFonts w:ascii="Calibri" w:hAnsi="Calibri"/>
          <w:b/>
          <w:sz w:val="32"/>
          <w:szCs w:val="32"/>
          <w:lang w:val="es-ES_tradnl"/>
        </w:rPr>
        <w:t xml:space="preserve"> </w:t>
      </w:r>
    </w:p>
    <w:p w:rsidR="001E4FCA" w:rsidRPr="00E2415F" w:rsidRDefault="001E4FCA" w:rsidP="00BA452D">
      <w:pPr>
        <w:rPr>
          <w:rFonts w:ascii="Calibri" w:hAnsi="Calibri"/>
          <w:b/>
          <w:sz w:val="22"/>
          <w:szCs w:val="22"/>
          <w:lang w:val="es-ES_tradnl"/>
        </w:rPr>
      </w:pPr>
    </w:p>
    <w:p w:rsidR="00D540F5" w:rsidRPr="00E2415F" w:rsidRDefault="00D540F5" w:rsidP="00BA452D">
      <w:pPr>
        <w:rPr>
          <w:rFonts w:ascii="Calibri" w:hAnsi="Calibri"/>
          <w:b/>
          <w:sz w:val="22"/>
          <w:szCs w:val="22"/>
          <w:lang w:val="es-ES_tradnl"/>
        </w:rPr>
      </w:pPr>
    </w:p>
    <w:p w:rsidR="00AC144F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/>
          <w:sz w:val="22"/>
          <w:szCs w:val="22"/>
          <w:lang w:val="es-ES_tradnl"/>
        </w:rPr>
        <w:t>Punto 2 del orden del día</w:t>
      </w:r>
      <w:r w:rsidR="00AC144F" w:rsidRPr="00E2415F">
        <w:rPr>
          <w:rFonts w:ascii="Calibri" w:hAnsi="Calibri"/>
          <w:sz w:val="22"/>
          <w:szCs w:val="22"/>
          <w:lang w:val="es-ES_tradnl"/>
        </w:rPr>
        <w:t xml:space="preserve">: </w:t>
      </w:r>
      <w:r w:rsidRPr="00E2415F">
        <w:rPr>
          <w:rFonts w:ascii="Calibri" w:hAnsi="Calibri"/>
          <w:sz w:val="22"/>
          <w:szCs w:val="22"/>
          <w:lang w:val="es-ES_tradnl"/>
        </w:rPr>
        <w:t>Examen y adopción del orden del día provisional</w:t>
      </w:r>
    </w:p>
    <w:p w:rsidR="00AC144F" w:rsidRPr="00E2415F" w:rsidRDefault="00AC144F" w:rsidP="00BA452D">
      <w:pPr>
        <w:rPr>
          <w:rFonts w:ascii="Calibri" w:hAnsi="Calibri"/>
          <w:b/>
          <w:sz w:val="22"/>
          <w:szCs w:val="22"/>
          <w:lang w:val="es-ES_tradnl" w:eastAsia="en-US"/>
        </w:rPr>
      </w:pPr>
    </w:p>
    <w:p w:rsidR="00AC144F" w:rsidRPr="00E2415F" w:rsidRDefault="00E42145" w:rsidP="00BA452D">
      <w:pPr>
        <w:rPr>
          <w:rFonts w:ascii="Calibri" w:hAnsi="Calibri" w:cs="Arial"/>
          <w:i/>
          <w:sz w:val="22"/>
          <w:szCs w:val="22"/>
          <w:lang w:val="es-ES_tradnl"/>
        </w:rPr>
      </w:pPr>
      <w:r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Decisión </w:t>
      </w:r>
      <w:r w:rsidR="00AC144F"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SC48-01: </w:t>
      </w:r>
      <w:r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El Comité Permanente </w:t>
      </w:r>
      <w:r w:rsidR="009863D7" w:rsidRPr="00E2415F">
        <w:rPr>
          <w:rFonts w:ascii="Calibri" w:hAnsi="Calibri"/>
          <w:b/>
          <w:sz w:val="22"/>
          <w:szCs w:val="22"/>
          <w:lang w:val="es-ES_tradnl" w:eastAsia="en-US"/>
        </w:rPr>
        <w:t>adoptó</w:t>
      </w:r>
      <w:r w:rsidR="00AC144F"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 </w:t>
      </w:r>
      <w:r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el orden del día </w:t>
      </w:r>
      <w:r w:rsidR="003D38A7" w:rsidRPr="00E2415F">
        <w:rPr>
          <w:rFonts w:ascii="Calibri" w:hAnsi="Calibri"/>
          <w:b/>
          <w:sz w:val="22"/>
          <w:szCs w:val="22"/>
          <w:lang w:val="es-ES_tradnl" w:eastAsia="en-US"/>
        </w:rPr>
        <w:t>de</w:t>
      </w:r>
      <w:r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 su 48ª reunión </w:t>
      </w:r>
      <w:r w:rsidR="00AC144F" w:rsidRPr="00E2415F">
        <w:rPr>
          <w:rFonts w:ascii="Calibri" w:hAnsi="Calibri"/>
          <w:bCs/>
          <w:sz w:val="22"/>
          <w:szCs w:val="22"/>
          <w:lang w:val="es-ES_tradnl"/>
        </w:rPr>
        <w:t>(DOC. SC48-01</w:t>
      </w:r>
      <w:r w:rsidR="0001308E" w:rsidRPr="00E2415F">
        <w:rPr>
          <w:rFonts w:ascii="Calibri" w:hAnsi="Calibri"/>
          <w:bCs/>
          <w:sz w:val="22"/>
          <w:szCs w:val="22"/>
          <w:lang w:val="es-ES_tradnl"/>
        </w:rPr>
        <w:t xml:space="preserve"> </w:t>
      </w:r>
      <w:r w:rsidR="00AC144F" w:rsidRPr="00E2415F">
        <w:rPr>
          <w:rFonts w:ascii="Calibri" w:hAnsi="Calibri"/>
          <w:bCs/>
          <w:sz w:val="22"/>
          <w:szCs w:val="22"/>
          <w:lang w:val="es-ES_tradnl"/>
        </w:rPr>
        <w:t>Rev.2</w:t>
      </w:r>
      <w:r w:rsidR="00972948" w:rsidRPr="00E2415F">
        <w:rPr>
          <w:rFonts w:ascii="Calibri" w:hAnsi="Calibri"/>
          <w:bCs/>
          <w:sz w:val="22"/>
          <w:szCs w:val="22"/>
          <w:lang w:val="es-ES_tradnl"/>
        </w:rPr>
        <w:t xml:space="preserve"> –</w:t>
      </w:r>
      <w:r w:rsidR="00311C98" w:rsidRPr="00E2415F">
        <w:rPr>
          <w:rFonts w:ascii="Calibri" w:hAnsi="Calibri"/>
          <w:bCs/>
          <w:sz w:val="22"/>
          <w:szCs w:val="22"/>
          <w:lang w:val="es-ES_tradnl"/>
        </w:rPr>
        <w:t xml:space="preserve"> </w:t>
      </w:r>
      <w:r w:rsidR="00AC144F" w:rsidRPr="00E2415F">
        <w:rPr>
          <w:rFonts w:ascii="Calibri" w:hAnsi="Calibri" w:cs="Arial"/>
          <w:i/>
          <w:sz w:val="22"/>
          <w:szCs w:val="22"/>
          <w:lang w:val="es-ES_tradnl"/>
        </w:rPr>
        <w:t>48</w:t>
      </w:r>
      <w:r w:rsidRPr="00E2415F">
        <w:rPr>
          <w:rFonts w:ascii="Calibri" w:hAnsi="Calibri" w:cs="Arial"/>
          <w:i/>
          <w:sz w:val="22"/>
          <w:szCs w:val="22"/>
          <w:lang w:val="es-ES_tradnl"/>
        </w:rPr>
        <w:t>ª Reunión del Comité Permanente</w:t>
      </w:r>
      <w:r w:rsidR="00972948" w:rsidRPr="00E2415F">
        <w:rPr>
          <w:rFonts w:ascii="Calibri" w:hAnsi="Calibri" w:cs="Arial"/>
          <w:i/>
          <w:sz w:val="22"/>
          <w:szCs w:val="22"/>
          <w:lang w:val="es-ES_tradnl"/>
        </w:rPr>
        <w:t>, o</w:t>
      </w:r>
      <w:r w:rsidRPr="00E2415F">
        <w:rPr>
          <w:rFonts w:ascii="Calibri" w:hAnsi="Calibri" w:cs="Arial"/>
          <w:i/>
          <w:sz w:val="22"/>
          <w:szCs w:val="22"/>
          <w:lang w:val="es-ES_tradnl"/>
        </w:rPr>
        <w:t>rden del día provisional</w:t>
      </w:r>
      <w:r w:rsidR="00AC144F" w:rsidRPr="00E2415F">
        <w:rPr>
          <w:rFonts w:ascii="Calibri" w:hAnsi="Calibri"/>
          <w:bCs/>
          <w:sz w:val="22"/>
          <w:szCs w:val="22"/>
          <w:lang w:val="es-ES_tradnl"/>
        </w:rPr>
        <w:t>)</w:t>
      </w:r>
      <w:r w:rsidR="00AC144F" w:rsidRPr="00E2415F">
        <w:rPr>
          <w:rFonts w:ascii="Calibri" w:hAnsi="Calibri"/>
          <w:b/>
          <w:sz w:val="22"/>
          <w:szCs w:val="22"/>
          <w:lang w:val="es-ES_tradnl" w:eastAsia="en-US"/>
        </w:rPr>
        <w:t xml:space="preserve"> </w:t>
      </w:r>
      <w:r w:rsidRPr="00E2415F">
        <w:rPr>
          <w:rFonts w:ascii="Calibri" w:hAnsi="Calibri"/>
          <w:b/>
          <w:sz w:val="22"/>
          <w:szCs w:val="22"/>
          <w:lang w:val="es-ES_tradnl" w:eastAsia="en-US"/>
        </w:rPr>
        <w:t>en su forma enmendada</w:t>
      </w:r>
      <w:r w:rsidR="00AC144F" w:rsidRPr="00E2415F">
        <w:rPr>
          <w:rFonts w:ascii="Calibri" w:hAnsi="Calibri"/>
          <w:b/>
          <w:sz w:val="22"/>
          <w:szCs w:val="22"/>
          <w:lang w:val="es-ES_tradnl" w:eastAsia="en-US"/>
        </w:rPr>
        <w:t>.</w:t>
      </w:r>
    </w:p>
    <w:p w:rsidR="00AC144F" w:rsidRPr="00E2415F" w:rsidRDefault="00AC144F" w:rsidP="00BA452D">
      <w:pPr>
        <w:contextualSpacing/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/>
          <w:sz w:val="22"/>
          <w:szCs w:val="22"/>
          <w:lang w:val="es-ES_tradnl"/>
        </w:rPr>
        <w:t>Punto 3 del orden del día</w:t>
      </w:r>
      <w:r w:rsidR="00AC144F" w:rsidRPr="00E2415F">
        <w:rPr>
          <w:rFonts w:ascii="Calibri" w:hAnsi="Calibri"/>
          <w:sz w:val="22"/>
          <w:szCs w:val="22"/>
          <w:lang w:val="es-ES_tradnl"/>
        </w:rPr>
        <w:t>: A</w:t>
      </w:r>
      <w:r w:rsidRPr="00E2415F">
        <w:rPr>
          <w:rFonts w:ascii="Calibri" w:hAnsi="Calibri"/>
          <w:sz w:val="22"/>
          <w:szCs w:val="22"/>
          <w:lang w:val="es-ES_tradnl"/>
        </w:rPr>
        <w:t>dmisión de observadores</w:t>
      </w:r>
    </w:p>
    <w:p w:rsidR="00AC144F" w:rsidRPr="00E2415F" w:rsidRDefault="00AC144F" w:rsidP="00BA452D">
      <w:pPr>
        <w:ind w:left="567" w:hanging="567"/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BA452D">
      <w:pPr>
        <w:rPr>
          <w:rFonts w:ascii="Calibri" w:hAnsi="Calibri"/>
          <w:b/>
          <w:sz w:val="22"/>
          <w:szCs w:val="22"/>
          <w:lang w:val="es-ES_tradnl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AC144F" w:rsidRPr="00E2415F">
        <w:rPr>
          <w:rFonts w:ascii="Calibri" w:hAnsi="Calibri"/>
          <w:b/>
          <w:sz w:val="22"/>
          <w:szCs w:val="22"/>
          <w:lang w:val="es-ES_tradnl"/>
        </w:rPr>
        <w:t>SC48-02</w:t>
      </w:r>
      <w:r w:rsidR="00AC144F" w:rsidRPr="00E2415F">
        <w:rPr>
          <w:rFonts w:ascii="Calibri" w:hAnsi="Calibri"/>
          <w:sz w:val="22"/>
          <w:szCs w:val="22"/>
          <w:lang w:val="es-ES_tradnl"/>
        </w:rPr>
        <w:t xml:space="preserve">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AC144F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863D7" w:rsidRPr="00E2415F">
        <w:rPr>
          <w:rFonts w:ascii="Calibri" w:hAnsi="Calibri"/>
          <w:b/>
          <w:sz w:val="22"/>
          <w:szCs w:val="22"/>
          <w:lang w:val="es-ES_tradnl"/>
        </w:rPr>
        <w:t>admitió</w:t>
      </w:r>
      <w:r w:rsidRPr="00E2415F">
        <w:rPr>
          <w:rFonts w:ascii="Calibri" w:hAnsi="Calibri"/>
          <w:b/>
          <w:sz w:val="22"/>
          <w:szCs w:val="22"/>
          <w:lang w:val="es-ES_tradnl"/>
        </w:rPr>
        <w:t xml:space="preserve"> a los observadores enumerados por el Secretario General.</w:t>
      </w:r>
    </w:p>
    <w:p w:rsidR="00AC144F" w:rsidRPr="00E2415F" w:rsidRDefault="00AC144F" w:rsidP="00BA452D">
      <w:pPr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/>
          <w:sz w:val="22"/>
          <w:szCs w:val="22"/>
          <w:lang w:val="es-ES_tradnl"/>
        </w:rPr>
        <w:t>Punto 4 del orden del día</w:t>
      </w:r>
      <w:r w:rsidR="00AC144F" w:rsidRPr="00E2415F">
        <w:rPr>
          <w:rFonts w:ascii="Calibri" w:hAnsi="Calibri"/>
          <w:sz w:val="22"/>
          <w:szCs w:val="22"/>
          <w:lang w:val="es-ES_tradnl"/>
        </w:rPr>
        <w:t xml:space="preserve">: </w:t>
      </w:r>
      <w:r w:rsidRPr="00E2415F">
        <w:rPr>
          <w:rFonts w:ascii="Calibri" w:hAnsi="Calibri"/>
          <w:sz w:val="22"/>
          <w:szCs w:val="22"/>
          <w:lang w:val="es-ES_tradnl"/>
        </w:rPr>
        <w:t>Informe del Grupo de Trabajo Administrativo</w:t>
      </w:r>
    </w:p>
    <w:p w:rsidR="00AC144F" w:rsidRPr="00E2415F" w:rsidRDefault="00AC144F" w:rsidP="00BA452D">
      <w:pPr>
        <w:rPr>
          <w:rFonts w:ascii="Calibri" w:hAnsi="Calibri"/>
          <w:b/>
          <w:sz w:val="22"/>
          <w:szCs w:val="22"/>
          <w:lang w:val="es-ES_tradnl"/>
        </w:rPr>
      </w:pPr>
    </w:p>
    <w:p w:rsidR="00AC144F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AC144F" w:rsidRPr="00E2415F">
        <w:rPr>
          <w:b/>
          <w:lang w:val="es-ES_tradnl"/>
        </w:rPr>
        <w:t>SC48-03</w:t>
      </w:r>
      <w:r w:rsidR="00AC144F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AC144F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Pr="00E2415F">
        <w:rPr>
          <w:b/>
          <w:lang w:val="es-ES_tradnl"/>
        </w:rPr>
        <w:t xml:space="preserve"> el informe del </w:t>
      </w:r>
      <w:r w:rsidR="005167E3" w:rsidRPr="00E2415F">
        <w:rPr>
          <w:b/>
          <w:lang w:val="es-ES_tradnl"/>
        </w:rPr>
        <w:t xml:space="preserve">Grupo de Trabajo Administrativo </w:t>
      </w:r>
      <w:r w:rsidRPr="00E2415F">
        <w:rPr>
          <w:b/>
          <w:color w:val="FF0000"/>
          <w:lang w:val="es-ES_tradnl"/>
        </w:rPr>
        <w:t xml:space="preserve"> </w:t>
      </w:r>
      <w:r w:rsidR="005167E3" w:rsidRPr="00E2415F">
        <w:rPr>
          <w:b/>
          <w:lang w:val="es-ES_tradnl"/>
        </w:rPr>
        <w:t>(</w:t>
      </w:r>
      <w:r w:rsidRPr="00E2415F">
        <w:rPr>
          <w:b/>
          <w:lang w:val="es-ES_tradnl"/>
        </w:rPr>
        <w:t>tomando nota de que</w:t>
      </w:r>
      <w:r w:rsidR="009863D7" w:rsidRPr="00E2415F">
        <w:rPr>
          <w:b/>
          <w:lang w:val="es-ES_tradnl"/>
        </w:rPr>
        <w:t xml:space="preserve"> se trataría</w:t>
      </w:r>
      <w:r w:rsidRPr="00E2415F">
        <w:rPr>
          <w:b/>
          <w:lang w:val="es-ES_tradnl"/>
        </w:rPr>
        <w:t xml:space="preserve">n productos sustantivos de dicho Grupo </w:t>
      </w:r>
      <w:r w:rsidR="00F20459" w:rsidRPr="00E2415F">
        <w:rPr>
          <w:b/>
          <w:lang w:val="es-ES_tradnl"/>
        </w:rPr>
        <w:t>en un punto posterior d</w:t>
      </w:r>
      <w:r w:rsidRPr="00E2415F">
        <w:rPr>
          <w:b/>
          <w:lang w:val="es-ES_tradnl"/>
        </w:rPr>
        <w:t xml:space="preserve">el orden del día de la reunión </w:t>
      </w:r>
      <w:r w:rsidR="00860CAB" w:rsidRPr="00E2415F">
        <w:rPr>
          <w:b/>
          <w:lang w:val="es-ES_tradnl"/>
        </w:rPr>
        <w:t>SC48)</w:t>
      </w:r>
      <w:r w:rsidR="00DA1995" w:rsidRPr="00E2415F">
        <w:rPr>
          <w:b/>
          <w:lang w:val="es-ES_tradnl"/>
        </w:rPr>
        <w:t>.</w:t>
      </w:r>
    </w:p>
    <w:p w:rsidR="00AC144F" w:rsidRPr="00E2415F" w:rsidRDefault="00AC144F" w:rsidP="00BA452D">
      <w:pPr>
        <w:pStyle w:val="ListParagraph"/>
        <w:spacing w:after="0" w:line="240" w:lineRule="auto"/>
        <w:ind w:left="0"/>
        <w:rPr>
          <w:lang w:val="es-ES_tradnl"/>
        </w:rPr>
      </w:pPr>
    </w:p>
    <w:p w:rsidR="00AC144F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/>
          <w:sz w:val="22"/>
          <w:szCs w:val="22"/>
          <w:lang w:val="es-ES_tradnl"/>
        </w:rPr>
        <w:t>Punto 5</w:t>
      </w:r>
      <w:r w:rsidR="004A1268" w:rsidRPr="00E2415F">
        <w:rPr>
          <w:rFonts w:ascii="Calibri" w:hAnsi="Calibri"/>
          <w:sz w:val="22"/>
          <w:szCs w:val="22"/>
          <w:lang w:val="es-ES_tradnl"/>
        </w:rPr>
        <w:t xml:space="preserve"> d</w:t>
      </w:r>
      <w:r w:rsidRPr="00E2415F">
        <w:rPr>
          <w:rFonts w:ascii="Calibri" w:hAnsi="Calibri"/>
          <w:sz w:val="22"/>
          <w:szCs w:val="22"/>
          <w:lang w:val="es-ES_tradnl"/>
        </w:rPr>
        <w:t>el orden del día</w:t>
      </w:r>
      <w:r w:rsidR="00AC144F" w:rsidRPr="00E2415F">
        <w:rPr>
          <w:rFonts w:ascii="Calibri" w:hAnsi="Calibri"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sz w:val="22"/>
          <w:szCs w:val="22"/>
          <w:lang w:val="es-ES_tradnl"/>
        </w:rPr>
        <w:t>Informe del Grupo de Trabajo sobre el Plan Estratégico</w:t>
      </w:r>
    </w:p>
    <w:p w:rsidR="00AC144F" w:rsidRPr="00E2415F" w:rsidRDefault="00AC144F" w:rsidP="00BA452D">
      <w:pPr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AC144F" w:rsidRPr="00E2415F">
        <w:rPr>
          <w:b/>
          <w:lang w:val="es-ES_tradnl"/>
        </w:rPr>
        <w:t>SC48-0</w:t>
      </w:r>
      <w:r w:rsidR="00C53751" w:rsidRPr="00E2415F">
        <w:rPr>
          <w:b/>
          <w:lang w:val="es-ES_tradnl"/>
        </w:rPr>
        <w:t>4</w:t>
      </w:r>
      <w:r w:rsidR="00AC144F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AC144F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informe del Grupo de Trabajo sobre el Plan Estratégico (</w:t>
      </w:r>
      <w:r w:rsidR="00F20459" w:rsidRPr="00E2415F">
        <w:rPr>
          <w:b/>
          <w:lang w:val="es-ES_tradnl"/>
        </w:rPr>
        <w:t>tomando nota de que se tratar</w:t>
      </w:r>
      <w:r w:rsidR="009863D7" w:rsidRPr="00E2415F">
        <w:rPr>
          <w:b/>
          <w:lang w:val="es-ES_tradnl"/>
        </w:rPr>
        <w:t>ía</w:t>
      </w:r>
      <w:r w:rsidR="00F20459" w:rsidRPr="00E2415F">
        <w:rPr>
          <w:b/>
          <w:lang w:val="es-ES_tradnl"/>
        </w:rPr>
        <w:t>n productos sustantivos de dicho Grupo en un punto posterior del orden del día de la reunión SC48</w:t>
      </w:r>
      <w:r w:rsidR="00860CAB" w:rsidRPr="00E2415F">
        <w:rPr>
          <w:b/>
          <w:lang w:val="es-ES_tradnl"/>
        </w:rPr>
        <w:t>).</w:t>
      </w:r>
    </w:p>
    <w:p w:rsidR="00AC144F" w:rsidRPr="00E2415F" w:rsidRDefault="00AC144F" w:rsidP="00BA452D">
      <w:pPr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97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sz w:val="22"/>
          <w:szCs w:val="22"/>
          <w:lang w:val="es-ES_tradnl"/>
        </w:rPr>
        <w:t xml:space="preserve">6 </w:t>
      </w:r>
      <w:r w:rsidRPr="00E2415F">
        <w:rPr>
          <w:rFonts w:ascii="Calibri" w:hAnsi="Calibri"/>
          <w:sz w:val="22"/>
          <w:szCs w:val="22"/>
          <w:lang w:val="es-ES_tradnl"/>
        </w:rPr>
        <w:t>del orden del día</w:t>
      </w:r>
      <w:r w:rsidR="004A1268" w:rsidRPr="00E2415F">
        <w:rPr>
          <w:rFonts w:ascii="Calibri" w:hAnsi="Calibri"/>
          <w:sz w:val="22"/>
          <w:szCs w:val="22"/>
          <w:lang w:val="es-ES_tradnl"/>
        </w:rPr>
        <w:t xml:space="preserve">: Progresos realizados en los preparativos para la </w:t>
      </w:r>
      <w:r w:rsidR="00AC144F" w:rsidRPr="00E2415F">
        <w:rPr>
          <w:rFonts w:ascii="Calibri" w:hAnsi="Calibri"/>
          <w:sz w:val="22"/>
          <w:szCs w:val="22"/>
          <w:lang w:val="es-ES_tradnl"/>
        </w:rPr>
        <w:t xml:space="preserve">COP12: </w:t>
      </w:r>
      <w:r w:rsidR="004A1268" w:rsidRPr="00E2415F">
        <w:rPr>
          <w:rFonts w:ascii="Calibri" w:hAnsi="Calibri"/>
          <w:sz w:val="22"/>
          <w:szCs w:val="22"/>
          <w:lang w:val="es-ES_tradnl"/>
        </w:rPr>
        <w:t xml:space="preserve">Informe del Subgrupo sobre la </w:t>
      </w:r>
      <w:r w:rsidR="00AC144F" w:rsidRPr="00E2415F">
        <w:rPr>
          <w:rFonts w:ascii="Calibri" w:hAnsi="Calibri"/>
          <w:sz w:val="22"/>
          <w:szCs w:val="22"/>
          <w:lang w:val="es-ES_tradnl"/>
        </w:rPr>
        <w:t>COP12</w:t>
      </w:r>
    </w:p>
    <w:p w:rsidR="00AC144F" w:rsidRPr="00E2415F" w:rsidRDefault="00AC144F" w:rsidP="00BA452D">
      <w:pPr>
        <w:rPr>
          <w:rFonts w:ascii="Calibri" w:hAnsi="Calibri"/>
          <w:sz w:val="22"/>
          <w:szCs w:val="22"/>
          <w:lang w:val="es-ES_tradnl"/>
        </w:rPr>
      </w:pPr>
    </w:p>
    <w:p w:rsidR="00AC144F" w:rsidRPr="00E2415F" w:rsidRDefault="00E42145" w:rsidP="00BA452D">
      <w:pPr>
        <w:pStyle w:val="ListParagraph"/>
        <w:spacing w:after="0" w:line="240" w:lineRule="auto"/>
        <w:ind w:left="0"/>
        <w:rPr>
          <w:b/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AC144F" w:rsidRPr="00E2415F">
        <w:rPr>
          <w:b/>
          <w:lang w:val="es-ES_tradnl"/>
        </w:rPr>
        <w:t>SC48-0</w:t>
      </w:r>
      <w:r w:rsidR="00AE260D" w:rsidRPr="00E2415F">
        <w:rPr>
          <w:b/>
          <w:lang w:val="es-ES_tradnl"/>
        </w:rPr>
        <w:t>5</w:t>
      </w:r>
      <w:r w:rsidR="00AC144F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AC144F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informe del Subgrupo sobre la </w:t>
      </w:r>
      <w:r w:rsidR="00AC144F" w:rsidRPr="00E2415F">
        <w:rPr>
          <w:b/>
          <w:lang w:val="es-ES_tradnl"/>
        </w:rPr>
        <w:t>COP12.</w:t>
      </w:r>
    </w:p>
    <w:p w:rsidR="00892016" w:rsidRPr="00E2415F" w:rsidRDefault="00892016" w:rsidP="00BA452D">
      <w:pPr>
        <w:pStyle w:val="ListParagraph"/>
        <w:spacing w:after="0" w:line="240" w:lineRule="auto"/>
        <w:ind w:left="0"/>
        <w:rPr>
          <w:b/>
          <w:lang w:val="es-ES_tradnl"/>
        </w:rPr>
      </w:pPr>
    </w:p>
    <w:p w:rsidR="00AC144F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AC144F" w:rsidRPr="00E2415F">
        <w:rPr>
          <w:b/>
          <w:lang w:val="es-ES_tradnl"/>
        </w:rPr>
        <w:t>SC48-0</w:t>
      </w:r>
      <w:r w:rsidR="00AE260D" w:rsidRPr="00E2415F">
        <w:rPr>
          <w:b/>
          <w:lang w:val="es-ES_tradnl"/>
        </w:rPr>
        <w:t>6</w:t>
      </w:r>
      <w:r w:rsidR="00AC144F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AC144F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orden del día provisional para la </w:t>
      </w:r>
      <w:r w:rsidR="00AC144F" w:rsidRPr="00E2415F">
        <w:rPr>
          <w:b/>
          <w:lang w:val="es-ES_tradnl"/>
        </w:rPr>
        <w:t>COP12</w:t>
      </w:r>
      <w:r w:rsidR="00933CEA" w:rsidRPr="00E2415F">
        <w:rPr>
          <w:b/>
          <w:lang w:val="es-ES_tradnl"/>
        </w:rPr>
        <w:t xml:space="preserve"> (DOC. SC48</w:t>
      </w:r>
      <w:r w:rsidR="00933CEA" w:rsidRPr="00E2415F">
        <w:rPr>
          <w:b/>
          <w:lang w:val="es-ES_tradnl"/>
        </w:rPr>
        <w:softHyphen/>
        <w:t>-13)</w:t>
      </w:r>
      <w:r w:rsidR="00AC144F" w:rsidRPr="00E2415F">
        <w:rPr>
          <w:b/>
          <w:lang w:val="es-ES_tradnl"/>
        </w:rPr>
        <w:t>.</w:t>
      </w:r>
    </w:p>
    <w:p w:rsidR="00AC144F" w:rsidRPr="00E2415F" w:rsidRDefault="00AC144F" w:rsidP="00BA452D">
      <w:pPr>
        <w:rPr>
          <w:rFonts w:ascii="Calibri" w:hAnsi="Calibri"/>
          <w:sz w:val="22"/>
          <w:szCs w:val="22"/>
          <w:lang w:val="es-ES_tradnl"/>
        </w:rPr>
      </w:pPr>
    </w:p>
    <w:p w:rsidR="001A000B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 xml:space="preserve">9 </w:t>
      </w:r>
      <w:r w:rsidRPr="00E2415F">
        <w:rPr>
          <w:rFonts w:ascii="Calibri" w:hAnsi="Calibri"/>
          <w:bCs/>
          <w:sz w:val="22"/>
          <w:szCs w:val="22"/>
          <w:lang w:val="es-ES_tradnl"/>
        </w:rPr>
        <w:t>del orden del día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 xml:space="preserve">Informe del Secretario General y plan de trabajo de la Secretaría para 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>2015</w:t>
      </w:r>
    </w:p>
    <w:p w:rsidR="001A000B" w:rsidRPr="00E2415F" w:rsidRDefault="001A000B" w:rsidP="00BA452D">
      <w:pPr>
        <w:contextualSpacing/>
        <w:rPr>
          <w:rFonts w:ascii="Calibri" w:hAnsi="Calibri"/>
          <w:bCs/>
          <w:sz w:val="22"/>
          <w:szCs w:val="22"/>
          <w:lang w:val="es-ES_tradnl"/>
        </w:rPr>
      </w:pPr>
    </w:p>
    <w:p w:rsidR="001A000B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1A000B" w:rsidRPr="00E2415F">
        <w:rPr>
          <w:b/>
          <w:lang w:val="es-ES_tradnl"/>
        </w:rPr>
        <w:t>SC48-</w:t>
      </w:r>
      <w:r w:rsidR="00FE625C" w:rsidRPr="00E2415F">
        <w:rPr>
          <w:b/>
          <w:lang w:val="es-ES_tradnl"/>
        </w:rPr>
        <w:t>07</w:t>
      </w:r>
      <w:r w:rsidR="001A000B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A000B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tomó</w:t>
      </w:r>
      <w:r w:rsidR="004A1268" w:rsidRPr="00E2415F">
        <w:rPr>
          <w:b/>
          <w:lang w:val="es-ES_tradnl"/>
        </w:rPr>
        <w:t xml:space="preserve"> nota del informe del Secretario General y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plan de trabajo de la Secretaría para 2015.</w:t>
      </w:r>
    </w:p>
    <w:p w:rsidR="001A000B" w:rsidRPr="00E2415F" w:rsidRDefault="001A000B" w:rsidP="00BA452D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:rsidR="001A000B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10 d</w:t>
      </w:r>
      <w:r w:rsidRPr="00E2415F">
        <w:rPr>
          <w:rFonts w:ascii="Calibri" w:hAnsi="Calibri"/>
          <w:bCs/>
          <w:sz w:val="22"/>
          <w:szCs w:val="22"/>
          <w:lang w:val="es-ES_tradnl"/>
        </w:rPr>
        <w:t>el orden del día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Informe de la Presidencia del GECT</w:t>
      </w:r>
    </w:p>
    <w:p w:rsidR="001A000B" w:rsidRPr="00E2415F" w:rsidRDefault="001A000B" w:rsidP="00BA452D">
      <w:pPr>
        <w:contextualSpacing/>
        <w:rPr>
          <w:rFonts w:ascii="Calibri" w:hAnsi="Calibri"/>
          <w:bCs/>
          <w:sz w:val="22"/>
          <w:szCs w:val="22"/>
          <w:lang w:val="es-ES_tradnl"/>
        </w:rPr>
      </w:pPr>
    </w:p>
    <w:p w:rsidR="001A000B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lastRenderedPageBreak/>
        <w:t xml:space="preserve">Decisión </w:t>
      </w:r>
      <w:r w:rsidR="001A000B" w:rsidRPr="00E2415F">
        <w:rPr>
          <w:b/>
          <w:lang w:val="es-ES_tradnl"/>
        </w:rPr>
        <w:t>SC48-0</w:t>
      </w:r>
      <w:r w:rsidR="004A6C16" w:rsidRPr="00E2415F">
        <w:rPr>
          <w:b/>
          <w:lang w:val="es-ES_tradnl"/>
        </w:rPr>
        <w:t>8</w:t>
      </w:r>
      <w:r w:rsidR="001A000B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A000B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tomó</w:t>
      </w:r>
      <w:r w:rsidR="004A1268" w:rsidRPr="00E2415F">
        <w:rPr>
          <w:b/>
          <w:lang w:val="es-ES_tradnl"/>
        </w:rPr>
        <w:t xml:space="preserve"> nota del informe de la Presidencia del Grupo de Examen Científico y Técnico</w:t>
      </w:r>
      <w:r w:rsidR="001A000B" w:rsidRPr="00E2415F">
        <w:rPr>
          <w:b/>
          <w:lang w:val="es-ES_tradnl"/>
        </w:rPr>
        <w:t>.</w:t>
      </w:r>
    </w:p>
    <w:p w:rsidR="001A000B" w:rsidRPr="00E2415F" w:rsidRDefault="001A000B" w:rsidP="00BA452D">
      <w:pPr>
        <w:contextualSpacing/>
        <w:rPr>
          <w:rFonts w:ascii="Calibri" w:hAnsi="Calibri"/>
          <w:bCs/>
          <w:sz w:val="22"/>
          <w:szCs w:val="22"/>
          <w:lang w:val="es-ES_tradnl"/>
        </w:rPr>
      </w:pPr>
    </w:p>
    <w:p w:rsidR="001A000B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 xml:space="preserve">11 </w:t>
      </w:r>
      <w:r w:rsidRPr="00E2415F">
        <w:rPr>
          <w:rFonts w:ascii="Calibri" w:hAnsi="Calibri"/>
          <w:bCs/>
          <w:sz w:val="22"/>
          <w:szCs w:val="22"/>
          <w:lang w:val="es-ES_tradnl"/>
        </w:rPr>
        <w:t>del orden del día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Informe de la Presidencia del Grupo de supervisión de las actividades de CECoP</w:t>
      </w:r>
    </w:p>
    <w:p w:rsidR="001A000B" w:rsidRPr="00E2415F" w:rsidRDefault="001A000B" w:rsidP="00BA452D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:rsidR="001A000B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1A000B" w:rsidRPr="00E2415F">
        <w:rPr>
          <w:b/>
          <w:lang w:val="es-ES_tradnl"/>
        </w:rPr>
        <w:t>SC48-0</w:t>
      </w:r>
      <w:r w:rsidR="00AB6FE6" w:rsidRPr="00E2415F">
        <w:rPr>
          <w:b/>
          <w:lang w:val="es-ES_tradnl"/>
        </w:rPr>
        <w:t>9</w:t>
      </w:r>
      <w:r w:rsidR="001A000B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A000B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informe de la Presidencia del Grupo de supervisión de las actividades de CECoP (reconociendo que se </w:t>
      </w:r>
      <w:r w:rsidR="009863D7" w:rsidRPr="00E2415F">
        <w:rPr>
          <w:b/>
          <w:lang w:val="es-ES_tradnl"/>
        </w:rPr>
        <w:t>consideraría</w:t>
      </w:r>
      <w:r w:rsidR="00F20459" w:rsidRPr="00E2415F">
        <w:rPr>
          <w:b/>
          <w:lang w:val="es-ES_tradnl"/>
        </w:rPr>
        <w:t>n</w:t>
      </w:r>
      <w:r w:rsidR="004A1268" w:rsidRPr="00E2415F">
        <w:rPr>
          <w:b/>
          <w:lang w:val="es-ES_tradnl"/>
        </w:rPr>
        <w:t xml:space="preserve"> en detalle la propuesta de Resolución y el Programa de Trabajo de CECoP para </w:t>
      </w:r>
      <w:r w:rsidR="00AB6FE6" w:rsidRPr="00E2415F">
        <w:rPr>
          <w:b/>
          <w:bCs/>
          <w:lang w:val="es-ES_tradnl"/>
        </w:rPr>
        <w:t xml:space="preserve">2016–2021 </w:t>
      </w:r>
      <w:r w:rsidR="004A1268" w:rsidRPr="00E2415F">
        <w:rPr>
          <w:b/>
          <w:bCs/>
          <w:lang w:val="es-ES_tradnl"/>
        </w:rPr>
        <w:t>en un punto posterior del orden del d</w:t>
      </w:r>
      <w:r w:rsidR="00F20459" w:rsidRPr="00E2415F">
        <w:rPr>
          <w:b/>
          <w:bCs/>
          <w:lang w:val="es-ES_tradnl"/>
        </w:rPr>
        <w:t>ía de la reunión SC48)</w:t>
      </w:r>
      <w:r w:rsidR="004A1268" w:rsidRPr="00E2415F">
        <w:rPr>
          <w:b/>
          <w:bCs/>
          <w:lang w:val="es-ES_tradnl"/>
        </w:rPr>
        <w:t>.</w:t>
      </w:r>
    </w:p>
    <w:p w:rsidR="001A000B" w:rsidRPr="00E2415F" w:rsidRDefault="001A000B" w:rsidP="00BA452D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:rsidR="001A000B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>Punto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 xml:space="preserve"> 12 de</w:t>
      </w:r>
      <w:r w:rsidRPr="00E2415F">
        <w:rPr>
          <w:rFonts w:ascii="Calibri" w:hAnsi="Calibri"/>
          <w:bCs/>
          <w:sz w:val="22"/>
          <w:szCs w:val="22"/>
          <w:lang w:val="es-ES_tradnl"/>
        </w:rPr>
        <w:t>l orden del día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Informe sobre las comunicaciones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 </w:t>
      </w:r>
    </w:p>
    <w:p w:rsidR="001A000B" w:rsidRPr="00E2415F" w:rsidRDefault="001A000B" w:rsidP="00BA452D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:rsidR="001A000B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1A000B" w:rsidRPr="00E2415F">
        <w:rPr>
          <w:b/>
          <w:lang w:val="es-ES_tradnl"/>
        </w:rPr>
        <w:t>SC48-</w:t>
      </w:r>
      <w:r w:rsidR="00A7462D" w:rsidRPr="00E2415F">
        <w:rPr>
          <w:b/>
          <w:lang w:val="es-ES_tradnl"/>
        </w:rPr>
        <w:t>10</w:t>
      </w:r>
      <w:r w:rsidR="001A000B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A000B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tomó</w:t>
      </w:r>
      <w:r w:rsidR="004A1268" w:rsidRPr="00E2415F">
        <w:rPr>
          <w:b/>
          <w:lang w:val="es-ES_tradnl"/>
        </w:rPr>
        <w:t xml:space="preserve"> nota del informe de la Secretaría sobre las comunicaciones</w:t>
      </w:r>
      <w:r w:rsidR="001A000B" w:rsidRPr="00E2415F">
        <w:rPr>
          <w:b/>
          <w:lang w:val="es-ES_tradnl"/>
        </w:rPr>
        <w:t>.</w:t>
      </w:r>
    </w:p>
    <w:p w:rsidR="001A000B" w:rsidRPr="00E2415F" w:rsidRDefault="001A000B" w:rsidP="00BA452D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:rsidR="001A000B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13 del</w:t>
      </w: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 orden del día</w:t>
      </w:r>
      <w:r w:rsidR="001A000B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Informe sobre las asociaciones de colaboración</w:t>
      </w:r>
    </w:p>
    <w:p w:rsidR="001A000B" w:rsidRPr="00E2415F" w:rsidRDefault="001A000B" w:rsidP="00BA452D">
      <w:pPr>
        <w:rPr>
          <w:rFonts w:ascii="Calibri" w:hAnsi="Calibri"/>
          <w:bCs/>
          <w:sz w:val="22"/>
          <w:szCs w:val="22"/>
          <w:lang w:val="es-ES_tradnl"/>
        </w:rPr>
      </w:pPr>
    </w:p>
    <w:p w:rsidR="001A000B" w:rsidRPr="00E2415F" w:rsidRDefault="00E42145" w:rsidP="00BA452D">
      <w:pPr>
        <w:pStyle w:val="ListParagraph"/>
        <w:spacing w:after="0" w:line="240" w:lineRule="auto"/>
        <w:ind w:left="0"/>
        <w:rPr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1A000B" w:rsidRPr="00E2415F">
        <w:rPr>
          <w:b/>
          <w:lang w:val="es-ES_tradnl"/>
        </w:rPr>
        <w:t>SC48-</w:t>
      </w:r>
      <w:r w:rsidR="00A7462D" w:rsidRPr="00E2415F">
        <w:rPr>
          <w:b/>
          <w:lang w:val="es-ES_tradnl"/>
        </w:rPr>
        <w:t>11</w:t>
      </w:r>
      <w:r w:rsidR="001A000B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A000B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tomó</w:t>
      </w:r>
      <w:r w:rsidR="004A1268" w:rsidRPr="00E2415F">
        <w:rPr>
          <w:b/>
          <w:lang w:val="es-ES_tradnl"/>
        </w:rPr>
        <w:t xml:space="preserve"> nota del informe de la Secretaría sobre las asociaciones de colaboración.</w:t>
      </w:r>
    </w:p>
    <w:p w:rsidR="001A000B" w:rsidRPr="00E2415F" w:rsidRDefault="001A000B" w:rsidP="00BA452D">
      <w:pPr>
        <w:rPr>
          <w:rFonts w:ascii="Calibri" w:hAnsi="Calibri"/>
          <w:bCs/>
          <w:sz w:val="22"/>
          <w:szCs w:val="22"/>
          <w:lang w:val="es-ES_tradnl"/>
        </w:rPr>
      </w:pPr>
    </w:p>
    <w:p w:rsidR="00103372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 xml:space="preserve">8 </w:t>
      </w:r>
      <w:r w:rsidRPr="00E2415F">
        <w:rPr>
          <w:rFonts w:ascii="Calibri" w:hAnsi="Calibri"/>
          <w:bCs/>
          <w:sz w:val="22"/>
          <w:szCs w:val="22"/>
          <w:lang w:val="es-ES_tradnl"/>
        </w:rPr>
        <w:t>del orden del día</w:t>
      </w:r>
      <w:r w:rsidR="00103372" w:rsidRPr="00E2415F">
        <w:rPr>
          <w:rFonts w:ascii="Calibri" w:hAnsi="Calibri"/>
          <w:bCs/>
          <w:sz w:val="22"/>
          <w:szCs w:val="22"/>
          <w:lang w:val="es-ES_tradnl"/>
        </w:rPr>
        <w:t xml:space="preserve">: </w:t>
      </w:r>
      <w:r w:rsidR="004A1268" w:rsidRPr="00E2415F">
        <w:rPr>
          <w:rFonts w:ascii="Calibri" w:hAnsi="Calibri"/>
          <w:bCs/>
          <w:sz w:val="22"/>
          <w:szCs w:val="22"/>
          <w:lang w:val="es-ES_tradnl"/>
        </w:rPr>
        <w:t>Informe del Subgrupo de Finanzas</w:t>
      </w:r>
    </w:p>
    <w:p w:rsidR="00103372" w:rsidRPr="00E2415F" w:rsidRDefault="00103372" w:rsidP="00BA452D">
      <w:pPr>
        <w:contextualSpacing/>
        <w:rPr>
          <w:rFonts w:ascii="Calibri" w:hAnsi="Calibri"/>
          <w:bCs/>
          <w:sz w:val="22"/>
          <w:szCs w:val="22"/>
          <w:lang w:val="es-ES_tradnl"/>
        </w:rPr>
      </w:pPr>
    </w:p>
    <w:p w:rsidR="00103372" w:rsidRPr="00E2415F" w:rsidRDefault="00E42145" w:rsidP="00BA452D">
      <w:pPr>
        <w:pStyle w:val="ListParagraph"/>
        <w:spacing w:after="0" w:line="240" w:lineRule="auto"/>
        <w:ind w:left="0"/>
        <w:rPr>
          <w:b/>
          <w:lang w:val="es-ES_tradnl"/>
        </w:rPr>
      </w:pPr>
      <w:r w:rsidRPr="00E2415F">
        <w:rPr>
          <w:b/>
          <w:lang w:val="es-ES_tradnl"/>
        </w:rPr>
        <w:t xml:space="preserve">Decisión </w:t>
      </w:r>
      <w:r w:rsidR="00103372" w:rsidRPr="00E2415F">
        <w:rPr>
          <w:b/>
          <w:lang w:val="es-ES_tradnl"/>
        </w:rPr>
        <w:t>SC48-12</w:t>
      </w:r>
      <w:r w:rsidR="00103372" w:rsidRPr="00E2415F">
        <w:rPr>
          <w:lang w:val="es-ES_tradnl"/>
        </w:rPr>
        <w:t xml:space="preserve">: </w:t>
      </w:r>
      <w:r w:rsidRPr="00E2415F">
        <w:rPr>
          <w:b/>
          <w:lang w:val="es-ES_tradnl"/>
        </w:rPr>
        <w:t>El Comité Permanente</w:t>
      </w:r>
      <w:r w:rsidR="00103372" w:rsidRPr="00E2415F">
        <w:rPr>
          <w:b/>
          <w:lang w:val="es-ES_tradnl"/>
        </w:rPr>
        <w:t xml:space="preserve">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el informe del Subgrupo de Finanzas, incluyendo todas las recomendaciones del Subgrupo. Concretamente, el C</w:t>
      </w:r>
      <w:r w:rsidRPr="00E2415F">
        <w:rPr>
          <w:b/>
          <w:lang w:val="es-ES_tradnl"/>
        </w:rPr>
        <w:t>omité Permanente</w:t>
      </w:r>
      <w:r w:rsidR="007C52D8" w:rsidRPr="00E2415F">
        <w:rPr>
          <w:b/>
          <w:lang w:val="es-ES_tradnl"/>
        </w:rPr>
        <w:t xml:space="preserve"> hizo lo siguiente</w:t>
      </w:r>
      <w:r w:rsidR="00103372" w:rsidRPr="00E2415F">
        <w:rPr>
          <w:b/>
          <w:lang w:val="es-ES_tradnl"/>
        </w:rPr>
        <w:t>: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lang w:val="es-ES_tradnl"/>
        </w:rPr>
      </w:pPr>
      <w:r w:rsidRPr="00E2415F">
        <w:rPr>
          <w:b/>
          <w:lang w:val="es-ES_tradnl"/>
        </w:rPr>
        <w:t xml:space="preserve">– </w:t>
      </w:r>
      <w:r w:rsidR="009863D7" w:rsidRPr="00E2415F">
        <w:rPr>
          <w:b/>
          <w:lang w:val="es-ES_tradnl"/>
        </w:rPr>
        <w:t>aprobó</w:t>
      </w:r>
      <w:r w:rsidR="004A1268" w:rsidRPr="00E2415F">
        <w:rPr>
          <w:b/>
          <w:lang w:val="es-ES_tradnl"/>
        </w:rPr>
        <w:t xml:space="preserve"> la </w:t>
      </w:r>
      <w:r w:rsidR="00126BE4" w:rsidRPr="00E2415F">
        <w:rPr>
          <w:b/>
          <w:lang w:val="es-ES_tradnl"/>
        </w:rPr>
        <w:t xml:space="preserve">propuesta del Subgrupo de reasignar el </w:t>
      </w:r>
      <w:r w:rsidR="009863D7" w:rsidRPr="00E2415F">
        <w:rPr>
          <w:b/>
          <w:lang w:val="es-ES_tradnl"/>
        </w:rPr>
        <w:t>superávit</w:t>
      </w:r>
      <w:r w:rsidR="00126BE4" w:rsidRPr="00E2415F">
        <w:rPr>
          <w:b/>
          <w:lang w:val="es-ES_tradnl"/>
        </w:rPr>
        <w:t xml:space="preserve"> del presupuesto básico de</w:t>
      </w:r>
      <w:r w:rsidRPr="00E2415F">
        <w:rPr>
          <w:b/>
          <w:lang w:val="es-ES_tradnl"/>
        </w:rPr>
        <w:t xml:space="preserve"> 2014 </w:t>
      </w:r>
      <w:r w:rsidR="009863D7" w:rsidRPr="00E2415F">
        <w:rPr>
          <w:b/>
          <w:lang w:val="es-ES_tradnl"/>
        </w:rPr>
        <w:t>y confirmó</w:t>
      </w:r>
      <w:r w:rsidR="00126BE4" w:rsidRPr="00E2415F">
        <w:rPr>
          <w:b/>
          <w:lang w:val="es-ES_tradnl"/>
        </w:rPr>
        <w:t xml:space="preserve"> que el estado d</w:t>
      </w:r>
      <w:r w:rsidR="007C52D8" w:rsidRPr="00E2415F">
        <w:rPr>
          <w:b/>
          <w:lang w:val="es-ES_tradnl"/>
        </w:rPr>
        <w:t xml:space="preserve">e </w:t>
      </w:r>
      <w:r w:rsidR="009D7A88">
        <w:rPr>
          <w:b/>
          <w:lang w:val="es-ES_tradnl"/>
        </w:rPr>
        <w:t>las reasignaciones se examinará</w:t>
      </w:r>
      <w:r w:rsidR="00126BE4" w:rsidRPr="00E2415F">
        <w:rPr>
          <w:b/>
          <w:lang w:val="es-ES_tradnl"/>
        </w:rPr>
        <w:t xml:space="preserve"> en la </w:t>
      </w:r>
      <w:r w:rsidR="009863D7" w:rsidRPr="00E2415F">
        <w:rPr>
          <w:b/>
          <w:lang w:val="es-ES_tradnl"/>
        </w:rPr>
        <w:t xml:space="preserve">49ª </w:t>
      </w:r>
      <w:r w:rsidR="00126BE4" w:rsidRPr="00E2415F">
        <w:rPr>
          <w:b/>
          <w:lang w:val="es-ES_tradnl"/>
        </w:rPr>
        <w:t xml:space="preserve">reunión </w:t>
      </w:r>
      <w:r w:rsidR="009863D7" w:rsidRPr="00E2415F">
        <w:rPr>
          <w:b/>
          <w:lang w:val="es-ES_tradnl"/>
        </w:rPr>
        <w:t>del Comité Permanente (</w:t>
      </w:r>
      <w:r w:rsidRPr="00E2415F">
        <w:rPr>
          <w:b/>
          <w:lang w:val="es-ES_tradnl"/>
        </w:rPr>
        <w:t>SC49</w:t>
      </w:r>
      <w:r w:rsidR="009863D7" w:rsidRPr="00E2415F">
        <w:rPr>
          <w:b/>
          <w:lang w:val="es-ES_tradnl"/>
        </w:rPr>
        <w:t>)</w:t>
      </w:r>
      <w:r w:rsidRPr="00E2415F">
        <w:rPr>
          <w:b/>
          <w:lang w:val="es-ES_tradnl"/>
        </w:rPr>
        <w:t>;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lang w:val="es-ES_tradnl"/>
        </w:rPr>
      </w:pPr>
      <w:r w:rsidRPr="00E2415F">
        <w:rPr>
          <w:b/>
          <w:lang w:val="es-ES_tradnl"/>
        </w:rPr>
        <w:t xml:space="preserve">– </w:t>
      </w:r>
      <w:r w:rsidR="009863D7" w:rsidRPr="00E2415F">
        <w:rPr>
          <w:b/>
          <w:lang w:val="es-ES_tradnl"/>
        </w:rPr>
        <w:t>hizo</w:t>
      </w:r>
      <w:r w:rsidR="00126BE4" w:rsidRPr="00E2415F">
        <w:rPr>
          <w:b/>
          <w:lang w:val="es-ES_tradnl"/>
        </w:rPr>
        <w:t xml:space="preserve"> constar en acta su agradecimiento a todas las Partes y a los asociados que realizaron contribuciones voluntarias en </w:t>
      </w:r>
      <w:r w:rsidRPr="00E2415F">
        <w:rPr>
          <w:b/>
          <w:lang w:val="es-ES_tradnl"/>
        </w:rPr>
        <w:t>2014;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bCs/>
          <w:lang w:val="es-ES_tradnl"/>
        </w:rPr>
      </w:pPr>
      <w:r w:rsidRPr="00E2415F">
        <w:rPr>
          <w:b/>
          <w:lang w:val="es-ES_tradnl"/>
        </w:rPr>
        <w:t>–</w:t>
      </w:r>
      <w:r w:rsidRPr="00E2415F">
        <w:rPr>
          <w:b/>
          <w:bCs/>
          <w:lang w:val="es-ES_tradnl"/>
        </w:rPr>
        <w:t xml:space="preserve"> </w:t>
      </w:r>
      <w:r w:rsidR="00F00930" w:rsidRPr="00E2415F">
        <w:rPr>
          <w:b/>
          <w:bCs/>
          <w:lang w:val="es-ES_tradnl"/>
        </w:rPr>
        <w:t>aceptó</w:t>
      </w:r>
      <w:r w:rsidR="00126BE4" w:rsidRPr="00E2415F">
        <w:rPr>
          <w:b/>
          <w:bCs/>
          <w:lang w:val="es-ES_tradnl"/>
        </w:rPr>
        <w:t xml:space="preserve"> que se </w:t>
      </w:r>
      <w:r w:rsidR="00F00930" w:rsidRPr="00E2415F">
        <w:rPr>
          <w:b/>
          <w:bCs/>
          <w:lang w:val="es-ES_tradnl"/>
        </w:rPr>
        <w:t>realizaran</w:t>
      </w:r>
      <w:r w:rsidR="00126BE4" w:rsidRPr="00E2415F">
        <w:rPr>
          <w:b/>
          <w:bCs/>
          <w:lang w:val="es-ES_tradnl"/>
        </w:rPr>
        <w:t xml:space="preserve"> pequeñ</w:t>
      </w:r>
      <w:r w:rsidR="00F00930" w:rsidRPr="00E2415F">
        <w:rPr>
          <w:b/>
          <w:bCs/>
          <w:lang w:val="es-ES_tradnl"/>
        </w:rPr>
        <w:t xml:space="preserve">as modificaciones </w:t>
      </w:r>
      <w:r w:rsidR="00126BE4" w:rsidRPr="00E2415F">
        <w:rPr>
          <w:b/>
          <w:bCs/>
          <w:lang w:val="es-ES_tradnl"/>
        </w:rPr>
        <w:t xml:space="preserve">en el presupuesto básico aprobado por la </w:t>
      </w:r>
      <w:r w:rsidRPr="00E2415F">
        <w:rPr>
          <w:b/>
          <w:bCs/>
          <w:lang w:val="es-ES_tradnl"/>
        </w:rPr>
        <w:t xml:space="preserve">COP11 </w:t>
      </w:r>
      <w:r w:rsidR="00126BE4" w:rsidRPr="00E2415F">
        <w:rPr>
          <w:b/>
          <w:bCs/>
          <w:lang w:val="es-ES_tradnl"/>
        </w:rPr>
        <w:t>para distintas partidas</w:t>
      </w:r>
      <w:r w:rsidR="00126BE4" w:rsidRPr="00E2415F">
        <w:rPr>
          <w:b/>
          <w:bCs/>
          <w:color w:val="FF0000"/>
          <w:lang w:val="es-ES_tradnl"/>
        </w:rPr>
        <w:t xml:space="preserve"> </w:t>
      </w:r>
      <w:r w:rsidR="00126BE4" w:rsidRPr="00E2415F">
        <w:rPr>
          <w:b/>
          <w:bCs/>
          <w:lang w:val="es-ES_tradnl"/>
        </w:rPr>
        <w:t>(según se indica en el informe de la Presidencia del Subgrupo</w:t>
      </w:r>
      <w:r w:rsidRPr="00E2415F">
        <w:rPr>
          <w:b/>
          <w:bCs/>
          <w:lang w:val="es-ES_tradnl"/>
        </w:rPr>
        <w:t>);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bCs/>
          <w:lang w:val="es-ES_tradnl"/>
        </w:rPr>
      </w:pPr>
      <w:r w:rsidRPr="00E2415F">
        <w:rPr>
          <w:b/>
          <w:bCs/>
          <w:lang w:val="es-ES_tradnl"/>
        </w:rPr>
        <w:t xml:space="preserve">– </w:t>
      </w:r>
      <w:r w:rsidR="00E10128" w:rsidRPr="00E2415F">
        <w:rPr>
          <w:b/>
          <w:bCs/>
          <w:lang w:val="es-ES_tradnl"/>
        </w:rPr>
        <w:t>expresó su agradecimiento</w:t>
      </w:r>
      <w:r w:rsidR="00126BE4" w:rsidRPr="00E2415F">
        <w:rPr>
          <w:b/>
          <w:bCs/>
          <w:lang w:val="es-ES_tradnl"/>
        </w:rPr>
        <w:t xml:space="preserve"> al Uruguay por su rápida transferencia de fondos para los preparativos de la COP12;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bCs/>
          <w:lang w:val="es-ES_tradnl"/>
        </w:rPr>
      </w:pPr>
      <w:r w:rsidRPr="00E2415F">
        <w:rPr>
          <w:b/>
          <w:bCs/>
          <w:lang w:val="es-ES_tradnl"/>
        </w:rPr>
        <w:t xml:space="preserve">– </w:t>
      </w:r>
      <w:r w:rsidR="00E10128" w:rsidRPr="00E2415F">
        <w:rPr>
          <w:b/>
          <w:bCs/>
          <w:lang w:val="es-ES_tradnl"/>
        </w:rPr>
        <w:t>tomó</w:t>
      </w:r>
      <w:r w:rsidR="00126BE4" w:rsidRPr="00E2415F">
        <w:rPr>
          <w:b/>
          <w:bCs/>
          <w:lang w:val="es-ES_tradnl"/>
        </w:rPr>
        <w:t xml:space="preserve"> nota de la necesidad de </w:t>
      </w:r>
      <w:r w:rsidR="00E10128" w:rsidRPr="00E2415F">
        <w:rPr>
          <w:b/>
          <w:bCs/>
          <w:lang w:val="es-ES_tradnl"/>
        </w:rPr>
        <w:t>obtener</w:t>
      </w:r>
      <w:r w:rsidR="00126BE4" w:rsidRPr="00E2415F">
        <w:rPr>
          <w:b/>
          <w:bCs/>
          <w:lang w:val="es-ES_tradnl"/>
        </w:rPr>
        <w:t xml:space="preserve"> 1,2 millones de </w:t>
      </w:r>
      <w:r w:rsidR="00E10128" w:rsidRPr="00E2415F">
        <w:rPr>
          <w:b/>
          <w:bCs/>
          <w:lang w:val="es-ES_tradnl"/>
        </w:rPr>
        <w:t>f</w:t>
      </w:r>
      <w:r w:rsidR="00126BE4" w:rsidRPr="00E2415F">
        <w:rPr>
          <w:b/>
          <w:bCs/>
          <w:lang w:val="es-ES_tradnl"/>
        </w:rPr>
        <w:t xml:space="preserve">rancos suizos </w:t>
      </w:r>
      <w:r w:rsidR="00E10128" w:rsidRPr="00E2415F">
        <w:rPr>
          <w:b/>
          <w:bCs/>
          <w:lang w:val="es-ES_tradnl"/>
        </w:rPr>
        <w:t>adicionales</w:t>
      </w:r>
      <w:r w:rsidR="00126BE4" w:rsidRPr="00E2415F">
        <w:rPr>
          <w:b/>
          <w:bCs/>
          <w:lang w:val="es-ES_tradnl"/>
        </w:rPr>
        <w:t xml:space="preserve"> para apoyar el </w:t>
      </w:r>
      <w:r w:rsidR="00E10128" w:rsidRPr="00E2415F">
        <w:rPr>
          <w:b/>
          <w:bCs/>
          <w:lang w:val="es-ES_tradnl"/>
        </w:rPr>
        <w:t>desplazamiento de delegados a la COP12;</w:t>
      </w:r>
    </w:p>
    <w:p w:rsidR="00103372" w:rsidRPr="00E2415F" w:rsidRDefault="00103372" w:rsidP="00BA452D">
      <w:pPr>
        <w:pStyle w:val="ListParagraph"/>
        <w:spacing w:after="0" w:line="240" w:lineRule="auto"/>
        <w:ind w:left="426"/>
        <w:rPr>
          <w:b/>
          <w:lang w:val="es-ES_tradnl"/>
        </w:rPr>
      </w:pPr>
      <w:r w:rsidRPr="00E2415F">
        <w:rPr>
          <w:b/>
          <w:lang w:val="es-ES_tradnl"/>
        </w:rPr>
        <w:t xml:space="preserve">– </w:t>
      </w:r>
      <w:r w:rsidR="00883688" w:rsidRPr="00E2415F">
        <w:rPr>
          <w:b/>
          <w:lang w:val="es-ES_tradnl"/>
        </w:rPr>
        <w:t>pidió</w:t>
      </w:r>
      <w:r w:rsidR="00126BE4" w:rsidRPr="00E2415F">
        <w:rPr>
          <w:b/>
          <w:lang w:val="es-ES_tradnl"/>
        </w:rPr>
        <w:t xml:space="preserve"> a la Secretaría que no </w:t>
      </w:r>
      <w:r w:rsidR="00141C35">
        <w:rPr>
          <w:b/>
          <w:lang w:val="es-ES_tradnl"/>
        </w:rPr>
        <w:t>realice</w:t>
      </w:r>
      <w:r w:rsidR="00126BE4" w:rsidRPr="00E2415F">
        <w:rPr>
          <w:b/>
          <w:lang w:val="es-ES_tradnl"/>
        </w:rPr>
        <w:t xml:space="preserve"> una convocatoria </w:t>
      </w:r>
      <w:r w:rsidR="00883688" w:rsidRPr="00E2415F">
        <w:rPr>
          <w:b/>
          <w:lang w:val="es-ES_tradnl"/>
        </w:rPr>
        <w:t>de</w:t>
      </w:r>
      <w:r w:rsidR="00126BE4" w:rsidRPr="00E2415F">
        <w:rPr>
          <w:b/>
          <w:lang w:val="es-ES_tradnl"/>
        </w:rPr>
        <w:t xml:space="preserve"> propuestas para el Fondo de Pequeñas Subvenciones en 2015;</w:t>
      </w:r>
    </w:p>
    <w:p w:rsidR="00103372" w:rsidRPr="00E2415F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– </w:t>
      </w:r>
      <w:r w:rsidR="00883688" w:rsidRPr="00E2415F">
        <w:rPr>
          <w:rFonts w:ascii="Calibri" w:hAnsi="Calibri"/>
          <w:b/>
          <w:bCs/>
          <w:sz w:val="22"/>
          <w:szCs w:val="22"/>
          <w:lang w:val="es-ES_tradnl"/>
        </w:rPr>
        <w:t>tomó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nota del estado actual de las contribuciones anuales</w:t>
      </w:r>
      <w:r w:rsidR="00883688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pendientes de pago 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de las Partes </w:t>
      </w:r>
      <w:r w:rsidR="00883688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y alentó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a la Secretaría, trabajando en colaboración con los miembros del </w:t>
      </w:r>
      <w:r w:rsidR="00883688" w:rsidRPr="00E2415F">
        <w:rPr>
          <w:rFonts w:ascii="Calibri" w:hAnsi="Calibri"/>
          <w:b/>
          <w:bCs/>
          <w:sz w:val="22"/>
          <w:szCs w:val="22"/>
          <w:lang w:val="es-ES_tradnl"/>
        </w:rPr>
        <w:t>Subgrupo de Finanzas, a que siguiera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tomando medidas para resolver est</w:t>
      </w:r>
      <w:r w:rsidR="00883688" w:rsidRPr="00E2415F">
        <w:rPr>
          <w:rFonts w:ascii="Calibri" w:hAnsi="Calibri"/>
          <w:b/>
          <w:bCs/>
          <w:sz w:val="22"/>
          <w:szCs w:val="22"/>
          <w:lang w:val="es-ES_tradnl"/>
        </w:rPr>
        <w:t>e asunto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>;</w:t>
      </w:r>
    </w:p>
    <w:p w:rsidR="00103372" w:rsidRPr="00E2415F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– </w:t>
      </w:r>
      <w:r w:rsidR="00883688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tomó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nota de las medidas tomadas por la Secretaría para reducir las contribuciones </w:t>
      </w:r>
      <w:r w:rsidR="00883688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pendientes de pago;</w:t>
      </w:r>
    </w:p>
    <w:p w:rsidR="00103372" w:rsidRPr="00E2415F" w:rsidRDefault="00270F98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– decidió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no aplicar medidas punitivas a las Partes </w:t>
      </w:r>
      <w:r w:rsidR="00883688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con contribuciones pendientes de pago</w:t>
      </w:r>
      <w:r w:rsidR="00103372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;</w:t>
      </w:r>
    </w:p>
    <w:p w:rsidR="00103372" w:rsidRPr="00E2415F" w:rsidRDefault="00103372" w:rsidP="00BA452D">
      <w:pPr>
        <w:ind w:left="426"/>
        <w:contextualSpacing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– </w:t>
      </w:r>
      <w:r w:rsidR="000D42D5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aprobó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las propuestas de escenarios presupuestarios para el período </w:t>
      </w: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2016–2018 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para su presentación a la </w:t>
      </w: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COP12;</w:t>
      </w:r>
    </w:p>
    <w:p w:rsidR="00103372" w:rsidRPr="00E2415F" w:rsidRDefault="00103372" w:rsidP="00BA452D">
      <w:pPr>
        <w:ind w:left="426"/>
        <w:contextualSpacing/>
        <w:rPr>
          <w:rFonts w:ascii="Calibri" w:hAnsi="Calibri"/>
          <w:b/>
          <w:bCs/>
          <w:sz w:val="22"/>
          <w:szCs w:val="22"/>
          <w:lang w:val="es-ES_tradnl"/>
        </w:rPr>
      </w:pP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– </w:t>
      </w:r>
      <w:r w:rsidR="000D42D5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pidió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a la Secretaría que </w:t>
      </w:r>
      <w:r w:rsidR="00E826FB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añada</w:t>
      </w:r>
      <w:r w:rsidR="000D42D5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una partida sobre CECoP y una partida sobre el Plan Estratégico a</w:t>
      </w:r>
      <w:r w:rsidR="00924DBE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la propuesta </w:t>
      </w:r>
      <w:r w:rsidR="00126BE4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de</w:t>
      </w:r>
      <w:r w:rsidR="00924DBE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partidas del presupuesto no básico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E826FB" w:rsidRPr="00E2415F">
        <w:rPr>
          <w:rFonts w:ascii="Calibri" w:hAnsi="Calibri"/>
          <w:b/>
          <w:bCs/>
          <w:sz w:val="22"/>
          <w:szCs w:val="22"/>
          <w:lang w:val="es-ES_tradnl"/>
        </w:rPr>
        <w:t>incluida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en el Anexo 2 del documento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DOC. SC48-20 Rev.1 </w:t>
      </w:r>
      <w:r w:rsidR="009D7A88">
        <w:rPr>
          <w:rFonts w:ascii="Calibri" w:hAnsi="Calibri"/>
          <w:b/>
          <w:bCs/>
          <w:sz w:val="22"/>
          <w:szCs w:val="22"/>
          <w:lang w:val="es-ES_tradnl"/>
        </w:rPr>
        <w:t>y que proporcione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documentación de referen</w:t>
      </w:r>
      <w:r w:rsidR="00677AF0" w:rsidRPr="00E2415F">
        <w:rPr>
          <w:rFonts w:ascii="Calibri" w:hAnsi="Calibri"/>
          <w:b/>
          <w:bCs/>
          <w:sz w:val="22"/>
          <w:szCs w:val="22"/>
          <w:lang w:val="es-ES_tradnl"/>
        </w:rPr>
        <w:t>c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ia para </w:t>
      </w:r>
      <w:r w:rsidR="00677AF0" w:rsidRPr="00E2415F">
        <w:rPr>
          <w:rFonts w:ascii="Calibri" w:hAnsi="Calibri"/>
          <w:b/>
          <w:bCs/>
          <w:sz w:val="22"/>
          <w:szCs w:val="22"/>
          <w:lang w:val="es-ES_tradnl"/>
        </w:rPr>
        <w:t>justificar todas las partidas enumeradas</w:t>
      </w:r>
      <w:r w:rsidR="00126BE4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en el presupuesto no básico 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antes de la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>COP12;</w:t>
      </w:r>
    </w:p>
    <w:p w:rsidR="00103372" w:rsidRPr="00E2415F" w:rsidRDefault="00103372" w:rsidP="00BA452D">
      <w:pPr>
        <w:ind w:left="426"/>
        <w:contextualSpacing/>
        <w:rPr>
          <w:rFonts w:ascii="Calibri" w:hAnsi="Calibri"/>
          <w:b/>
          <w:bCs/>
          <w:sz w:val="22"/>
          <w:szCs w:val="22"/>
          <w:lang w:val="es-ES_tradnl"/>
        </w:rPr>
      </w:pPr>
      <w:r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– </w:t>
      </w:r>
      <w:r w:rsidR="00677AF0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pidió </w:t>
      </w:r>
      <w:r w:rsidR="00E826FB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a la Secretaría que proporcione</w:t>
      </w:r>
      <w:r w:rsidR="0033451D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a las Partes un documento que </w:t>
      </w:r>
      <w:r w:rsidR="00677AF0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>resuma</w:t>
      </w:r>
      <w:r w:rsidR="0033451D" w:rsidRPr="00E2415F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los costos adicionales para cada Parte con arreglo a los escenarios del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>2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% 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y del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>4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>%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, utilizando las contribuciones de 2016 como referencia, así como un organigrama en el que se muestre el porcentaje de empleo y el </w:t>
      </w:r>
      <w:r w:rsidR="00677AF0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grado correspondiente a cada puesto </w:t>
      </w:r>
      <w:r w:rsidR="0033451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antes de la </w:t>
      </w:r>
      <w:r w:rsidRPr="00E2415F">
        <w:rPr>
          <w:rFonts w:ascii="Calibri" w:hAnsi="Calibri"/>
          <w:b/>
          <w:bCs/>
          <w:sz w:val="22"/>
          <w:szCs w:val="22"/>
          <w:lang w:val="es-ES_tradnl"/>
        </w:rPr>
        <w:t>COP12.</w:t>
      </w:r>
    </w:p>
    <w:p w:rsidR="00103372" w:rsidRPr="00E2415F" w:rsidRDefault="00103372" w:rsidP="00BA452D">
      <w:pPr>
        <w:contextualSpacing/>
        <w:rPr>
          <w:rFonts w:ascii="Calibri" w:hAnsi="Calibri"/>
          <w:bCs/>
          <w:sz w:val="22"/>
          <w:szCs w:val="22"/>
          <w:lang w:val="es-ES_tradnl"/>
        </w:rPr>
      </w:pPr>
    </w:p>
    <w:p w:rsidR="00103372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EastAsia" w:hAnsi="Calibri"/>
          <w:sz w:val="22"/>
          <w:szCs w:val="22"/>
          <w:lang w:val="es-ES_tradnl" w:eastAsia="ja-JP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 xml:space="preserve">Propuesta de Resolución </w:t>
      </w:r>
      <w:r w:rsidR="00103372" w:rsidRPr="00E2415F">
        <w:rPr>
          <w:rFonts w:ascii="Calibri" w:eastAsiaTheme="minorEastAsia" w:hAnsi="Calibri"/>
          <w:sz w:val="22"/>
          <w:szCs w:val="22"/>
          <w:lang w:val="es-ES_tradnl" w:eastAsia="ja-JP"/>
        </w:rPr>
        <w:t xml:space="preserve">SC48–03 Rev.1 </w:t>
      </w:r>
      <w:r w:rsidRPr="00E2415F">
        <w:rPr>
          <w:rFonts w:ascii="Calibri" w:eastAsiaTheme="minorEastAsia" w:hAnsi="Calibri"/>
          <w:sz w:val="22"/>
          <w:szCs w:val="22"/>
          <w:lang w:val="es-ES_tradnl" w:eastAsia="ja-JP"/>
        </w:rPr>
        <w:t xml:space="preserve">– </w:t>
      </w:r>
      <w:r w:rsidR="00103372" w:rsidRPr="00E2415F">
        <w:rPr>
          <w:rFonts w:ascii="Calibri" w:eastAsiaTheme="minorEastAsia" w:hAnsi="Calibri"/>
          <w:i/>
          <w:sz w:val="22"/>
          <w:szCs w:val="22"/>
          <w:lang w:val="es-ES_tradnl" w:eastAsia="ja-JP"/>
        </w:rPr>
        <w:t>R</w:t>
      </w:r>
      <w:r w:rsidRPr="00E2415F">
        <w:rPr>
          <w:rFonts w:ascii="Calibri" w:eastAsiaTheme="minorEastAsia" w:hAnsi="Calibri"/>
          <w:i/>
          <w:sz w:val="22"/>
          <w:szCs w:val="22"/>
          <w:lang w:val="es-ES_tradnl" w:eastAsia="ja-JP"/>
        </w:rPr>
        <w:t>eglamento</w:t>
      </w:r>
    </w:p>
    <w:p w:rsidR="00103372" w:rsidRPr="00E2415F" w:rsidRDefault="00103372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D540F5" w:rsidRPr="00E2415F" w:rsidRDefault="00E42145">
      <w:pPr>
        <w:rPr>
          <w:rFonts w:ascii="Calibri" w:eastAsiaTheme="minorEastAsia" w:hAnsi="Calibri"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SC48-13: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677AF0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 xml:space="preserve">el documento 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SC48-03 Rev.1 </w:t>
      </w:r>
      <w:r w:rsidR="0033451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Reglamento, </w:t>
      </w:r>
      <w:r w:rsidR="00677AF0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las modificaciones 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realizadas</w:t>
      </w:r>
      <w:r w:rsidR="00677AF0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33451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por la reunión 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SC48, </w:t>
      </w:r>
      <w:r w:rsidR="0033451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33451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12.</w:t>
      </w:r>
    </w:p>
    <w:p w:rsidR="00103372" w:rsidRPr="00E2415F" w:rsidRDefault="00103372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103372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103372" w:rsidRPr="00E2415F">
        <w:rPr>
          <w:rFonts w:ascii="Calibri" w:hAnsi="Calibri" w:cs="Calibri"/>
          <w:sz w:val="22"/>
          <w:szCs w:val="22"/>
          <w:lang w:val="es-ES_tradnl"/>
        </w:rPr>
        <w:t xml:space="preserve"> SC48‐18 Rev.1: </w:t>
      </w:r>
      <w:r w:rsidR="00103372" w:rsidRPr="00E2415F">
        <w:rPr>
          <w:rFonts w:ascii="Calibri" w:hAnsi="Calibri"/>
          <w:i/>
          <w:sz w:val="22"/>
          <w:szCs w:val="22"/>
          <w:lang w:val="es-ES_tradnl"/>
        </w:rPr>
        <w:t>P</w:t>
      </w:r>
      <w:r w:rsidR="004D6682" w:rsidRPr="00E2415F">
        <w:rPr>
          <w:rFonts w:ascii="Calibri" w:hAnsi="Calibri"/>
          <w:i/>
          <w:sz w:val="22"/>
          <w:szCs w:val="22"/>
          <w:lang w:val="es-ES_tradnl"/>
        </w:rPr>
        <w:t>ropuesta de nuevo marco para la provisión de asesoramiento y orientaciones de carácter científico y técnico a la Convención</w:t>
      </w:r>
    </w:p>
    <w:p w:rsidR="00103372" w:rsidRPr="00E2415F" w:rsidRDefault="00103372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103372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SC48-14: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el documento DOC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 SC48-18 Rev.1</w:t>
      </w:r>
      <w:r w:rsidR="004D668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– </w:t>
      </w:r>
      <w:r w:rsidR="004D6682" w:rsidRPr="00E2415F">
        <w:rPr>
          <w:rFonts w:ascii="Calibri" w:eastAsiaTheme="minorEastAsia" w:hAnsi="Calibri"/>
          <w:b/>
          <w:i/>
          <w:sz w:val="22"/>
          <w:szCs w:val="22"/>
          <w:lang w:val="es-ES_tradnl" w:eastAsia="ja-JP"/>
        </w:rPr>
        <w:t>Propuesta de nuevo marco para la provisión de asesoramiento y orientaciones de carácter científico y técnico a la Convención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,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103372" w:rsidRPr="00E2415F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</w:p>
    <w:p w:rsidR="00103372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103372" w:rsidRPr="00E2415F">
        <w:rPr>
          <w:rFonts w:ascii="Calibri" w:hAnsi="Calibri" w:cs="Calibri"/>
          <w:sz w:val="22"/>
          <w:szCs w:val="22"/>
          <w:lang w:val="es-ES_tradnl"/>
        </w:rPr>
        <w:t xml:space="preserve"> SC48‐17 Rev.1</w:t>
      </w:r>
      <w:r w:rsidR="00103372" w:rsidRPr="00E2415F">
        <w:rPr>
          <w:rFonts w:ascii="Calibri" w:hAnsi="Calibri" w:cs="Calibri-Italic"/>
          <w:iCs/>
          <w:sz w:val="22"/>
          <w:szCs w:val="22"/>
          <w:lang w:val="es-ES_tradnl"/>
        </w:rPr>
        <w:t xml:space="preserve">: </w:t>
      </w:r>
      <w:r w:rsidRPr="00E2415F">
        <w:rPr>
          <w:rFonts w:ascii="Calibri" w:hAnsi="Calibri"/>
          <w:i/>
          <w:sz w:val="22"/>
          <w:szCs w:val="22"/>
          <w:lang w:val="es-ES_tradnl"/>
        </w:rPr>
        <w:t xml:space="preserve">Seguimiento de la </w:t>
      </w:r>
      <w:r w:rsidR="00E2415F" w:rsidRPr="00E2415F">
        <w:rPr>
          <w:rFonts w:ascii="Calibri" w:hAnsi="Calibri"/>
          <w:i/>
          <w:sz w:val="22"/>
          <w:szCs w:val="22"/>
          <w:lang w:val="es-ES_tradnl"/>
        </w:rPr>
        <w:t>Resolución</w:t>
      </w:r>
      <w:r w:rsidRPr="00E2415F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="00103372" w:rsidRPr="00E2415F">
        <w:rPr>
          <w:rFonts w:ascii="Calibri" w:hAnsi="Calibri"/>
          <w:i/>
          <w:sz w:val="22"/>
          <w:szCs w:val="22"/>
          <w:lang w:val="es-ES_tradnl"/>
        </w:rPr>
        <w:t xml:space="preserve">XI.1: </w:t>
      </w:r>
      <w:r w:rsidRPr="00E2415F">
        <w:rPr>
          <w:rFonts w:ascii="Calibri" w:hAnsi="Calibri"/>
          <w:i/>
          <w:sz w:val="22"/>
          <w:szCs w:val="22"/>
          <w:lang w:val="es-ES_tradnl"/>
        </w:rPr>
        <w:t>Idiomas, visibilidad y envergadura de la Convención, sesiones ministeriales de la Conferencia de las Partes, y sinergias con acuerdos multilaterales sobre el medio ambiente y otras entidades internacionales</w:t>
      </w:r>
    </w:p>
    <w:p w:rsidR="00103372" w:rsidRPr="00E2415F" w:rsidRDefault="00103372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103372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SC48-15: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el documento 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DOC. SC48-17 Rev.1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– </w:t>
      </w:r>
      <w:r w:rsidR="004A024F" w:rsidRPr="00E2415F">
        <w:rPr>
          <w:rFonts w:ascii="Calibri" w:hAnsi="Calibri"/>
          <w:b/>
          <w:i/>
          <w:sz w:val="22"/>
          <w:szCs w:val="22"/>
          <w:lang w:val="es-ES_tradnl"/>
        </w:rPr>
        <w:t>Se</w:t>
      </w:r>
      <w:r w:rsidR="00456837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guimiento </w:t>
      </w:r>
      <w:r w:rsidR="00CA0F30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de la Resolución </w:t>
      </w:r>
      <w:r w:rsidR="0010337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XI.1: </w:t>
      </w:r>
      <w:r w:rsidR="00CA0F30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Idiomas, visibilidad y </w:t>
      </w:r>
      <w:r w:rsidR="00E2415F" w:rsidRPr="00E2415F">
        <w:rPr>
          <w:rFonts w:ascii="Calibri" w:hAnsi="Calibri"/>
          <w:b/>
          <w:i/>
          <w:sz w:val="22"/>
          <w:szCs w:val="22"/>
          <w:lang w:val="es-ES_tradnl"/>
        </w:rPr>
        <w:t>envergadura</w:t>
      </w:r>
      <w:r w:rsidR="00CA0F30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 de la Convención, sesiones ministeriales de la Conferencia de las Partes, y sinergias con acuerdos multilaterales sobre el medio ambiente y otras entidades internacionales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,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05776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103372" w:rsidRPr="00E2415F" w:rsidRDefault="00103372" w:rsidP="00BA452D">
      <w:pPr>
        <w:rPr>
          <w:rFonts w:ascii="Calibri" w:hAnsi="Calibri" w:cs="Calibri"/>
          <w:sz w:val="22"/>
          <w:szCs w:val="22"/>
          <w:lang w:val="es-ES_tradnl"/>
        </w:rPr>
      </w:pPr>
    </w:p>
    <w:p w:rsidR="00103372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103372" w:rsidRPr="00E2415F">
        <w:rPr>
          <w:rFonts w:ascii="Calibri" w:hAnsi="Calibri" w:cs="Calibri"/>
          <w:sz w:val="22"/>
          <w:szCs w:val="22"/>
          <w:lang w:val="es-ES_tradnl"/>
        </w:rPr>
        <w:t xml:space="preserve"> SC48‐19 Rev.1</w:t>
      </w:r>
      <w:r w:rsidR="00103372" w:rsidRPr="00E2415F">
        <w:rPr>
          <w:rFonts w:ascii="Calibri" w:hAnsi="Calibri" w:cs="Calibri-Italic"/>
          <w:iCs/>
          <w:sz w:val="22"/>
          <w:szCs w:val="22"/>
          <w:lang w:val="es-ES_tradnl"/>
        </w:rPr>
        <w:t xml:space="preserve">: 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>El Plan Estratégico de Ramsar para</w:t>
      </w:r>
      <w:r w:rsidR="00103372" w:rsidRPr="00E2415F">
        <w:rPr>
          <w:rFonts w:ascii="Calibri" w:hAnsi="Calibri"/>
          <w:i/>
          <w:sz w:val="22"/>
          <w:szCs w:val="22"/>
          <w:lang w:val="es-ES_tradnl"/>
        </w:rPr>
        <w:t xml:space="preserve"> 2016-2021</w:t>
      </w:r>
    </w:p>
    <w:p w:rsidR="00103372" w:rsidRPr="00E2415F" w:rsidRDefault="00103372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103372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SC48-16: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el documento DOC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 SC48-19 Rev.1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– </w:t>
      </w:r>
      <w:r w:rsidR="004A024F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El Plan Estratégico de Ramsar para </w:t>
      </w:r>
      <w:r w:rsidR="00103372" w:rsidRPr="00E2415F">
        <w:rPr>
          <w:rFonts w:ascii="Calibri" w:hAnsi="Calibri"/>
          <w:b/>
          <w:i/>
          <w:sz w:val="22"/>
          <w:szCs w:val="22"/>
          <w:lang w:val="es-ES_tradnl"/>
        </w:rPr>
        <w:t>2016-2021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,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103372" w:rsidRPr="00E2415F" w:rsidRDefault="00103372" w:rsidP="00BA452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</w:p>
    <w:p w:rsidR="00103372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103372" w:rsidRPr="00E2415F">
        <w:rPr>
          <w:rFonts w:ascii="Calibri" w:hAnsi="Calibri" w:cs="Calibri"/>
          <w:sz w:val="22"/>
          <w:szCs w:val="22"/>
          <w:lang w:val="es-ES_tradnl"/>
        </w:rPr>
        <w:t xml:space="preserve"> SC48‐20 Rev.1: 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 xml:space="preserve">Escenarios presupuestarios para </w:t>
      </w:r>
      <w:r w:rsidR="00103372" w:rsidRPr="00E2415F">
        <w:rPr>
          <w:rFonts w:ascii="Calibri" w:hAnsi="Calibri"/>
          <w:i/>
          <w:sz w:val="22"/>
          <w:szCs w:val="22"/>
          <w:lang w:val="es-ES_tradnl"/>
        </w:rPr>
        <w:t xml:space="preserve">2016-2018 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 xml:space="preserve">y propuesta de Resolución sobre cuestiones financieras y presupuestarias para el trienio </w:t>
      </w:r>
      <w:r w:rsidR="00103372" w:rsidRPr="00E2415F">
        <w:rPr>
          <w:rFonts w:ascii="Calibri" w:hAnsi="Calibri"/>
          <w:i/>
          <w:sz w:val="22"/>
          <w:szCs w:val="22"/>
          <w:lang w:val="es-ES_tradnl"/>
        </w:rPr>
        <w:t>2016-2018</w:t>
      </w:r>
    </w:p>
    <w:p w:rsidR="00103372" w:rsidRPr="00E2415F" w:rsidRDefault="00103372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  <w:lang w:val="es-ES_tradnl"/>
        </w:rPr>
      </w:pPr>
    </w:p>
    <w:p w:rsidR="00103372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SC48-17: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103372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el documento DOC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. SC48-20 Rev.1 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– Escenarios presupuestarios para </w:t>
      </w:r>
      <w:r w:rsidR="0010337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2016-2018 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>y p</w:t>
      </w:r>
      <w:r w:rsidR="0033451D" w:rsidRPr="00E2415F">
        <w:rPr>
          <w:rFonts w:ascii="Calibri" w:hAnsi="Calibri"/>
          <w:b/>
          <w:i/>
          <w:sz w:val="22"/>
          <w:szCs w:val="22"/>
          <w:lang w:val="es-ES_tradnl"/>
        </w:rPr>
        <w:t>ropuesta de Resolución</w:t>
      </w:r>
      <w:r w:rsidR="0010337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 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sobre cuestiones financieras y presupuestarias para el trienio </w:t>
      </w:r>
      <w:r w:rsidR="00103372" w:rsidRPr="00E2415F">
        <w:rPr>
          <w:rFonts w:ascii="Calibri" w:hAnsi="Calibri"/>
          <w:b/>
          <w:i/>
          <w:sz w:val="22"/>
          <w:szCs w:val="22"/>
          <w:lang w:val="es-ES_tradnl"/>
        </w:rPr>
        <w:t>2016-2018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con las modificaciones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adicionales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10337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103372" w:rsidRPr="00E2415F" w:rsidRDefault="00103372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es-ES_tradnl"/>
        </w:rPr>
      </w:pPr>
      <w:r w:rsidRPr="00E2415F">
        <w:rPr>
          <w:rFonts w:ascii="Calibri" w:hAnsi="Calibri" w:cs="Calibri-Bold"/>
          <w:bCs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 SC48</w:t>
      </w:r>
      <w:r w:rsidR="00934F5D" w:rsidRPr="00E2415F">
        <w:rPr>
          <w:rFonts w:ascii="Calibri" w:hAnsi="Calibri" w:cs="Cambria Math"/>
          <w:bCs/>
          <w:sz w:val="22"/>
          <w:szCs w:val="22"/>
          <w:lang w:val="es-ES_tradnl"/>
        </w:rPr>
        <w:t>‐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25: </w:t>
      </w:r>
      <w:r w:rsidR="00057762" w:rsidRPr="00E2415F">
        <w:rPr>
          <w:rFonts w:ascii="Calibri" w:hAnsi="Calibri" w:cs="Calibri-Bold"/>
          <w:bCs/>
          <w:i/>
          <w:sz w:val="22"/>
          <w:szCs w:val="22"/>
          <w:lang w:val="es-ES_tradnl"/>
        </w:rPr>
        <w:t>Evaluación y garantía del manejo y la conservación efectivos de los sitios Ramsar (presentada por Tailandia)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SC48-18: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la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DOC. SC48-25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–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934F5D" w:rsidRPr="00E2415F">
        <w:rPr>
          <w:rFonts w:ascii="Calibri" w:hAnsi="Calibri" w:cs="Calibri-Bold"/>
          <w:b/>
          <w:bCs/>
          <w:i/>
          <w:sz w:val="22"/>
          <w:szCs w:val="22"/>
          <w:lang w:val="es-ES_tradnl"/>
        </w:rPr>
        <w:t>E</w:t>
      </w:r>
      <w:r w:rsidR="00057762" w:rsidRPr="00E2415F">
        <w:rPr>
          <w:rFonts w:ascii="Calibri" w:hAnsi="Calibri" w:cs="Calibri-Bold"/>
          <w:b/>
          <w:bCs/>
          <w:i/>
          <w:sz w:val="22"/>
          <w:szCs w:val="22"/>
          <w:lang w:val="es-ES_tradnl"/>
        </w:rPr>
        <w:t>valuación y garantía del manejo y la conservación efectivos de los sitios Ramsar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SC48-26: </w:t>
      </w:r>
      <w:r w:rsidR="00934F5D" w:rsidRPr="00E2415F">
        <w:rPr>
          <w:rFonts w:ascii="Calibri" w:hAnsi="Calibri"/>
          <w:i/>
          <w:sz w:val="22"/>
          <w:szCs w:val="22"/>
          <w:lang w:val="es-ES_tradnl"/>
        </w:rPr>
        <w:t>Respons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>abilidades, funciones y composición del</w:t>
      </w:r>
      <w:r w:rsidR="00E42145" w:rsidRPr="00E2415F">
        <w:rPr>
          <w:rFonts w:ascii="Calibri" w:hAnsi="Calibri"/>
          <w:i/>
          <w:sz w:val="22"/>
          <w:szCs w:val="22"/>
          <w:lang w:val="es-ES_tradnl"/>
        </w:rPr>
        <w:t xml:space="preserve"> Comité Permanente</w:t>
      </w:r>
      <w:r w:rsidR="00934F5D" w:rsidRPr="00E2415F">
        <w:rPr>
          <w:rFonts w:ascii="Calibri" w:hAnsi="Calibri"/>
          <w:i/>
          <w:sz w:val="22"/>
          <w:szCs w:val="22"/>
          <w:lang w:val="es-ES_tradnl"/>
        </w:rPr>
        <w:t xml:space="preserve"> 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>y clasificación de los países por regiones en el marco de la Convención de Ramsar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SC48-19: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la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SC48-26 </w:t>
      </w:r>
      <w:r w:rsidR="0005776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>Responsabilidades, funciones y composición del Comité Permanente y clasificación de los países por regiones en el marco de la Convención de Ramsar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SC48-23: </w:t>
      </w:r>
      <w:r w:rsidR="00057762" w:rsidRPr="00E2415F">
        <w:rPr>
          <w:rFonts w:ascii="Calibri" w:hAnsi="Calibri"/>
          <w:i/>
          <w:sz w:val="22"/>
          <w:szCs w:val="22"/>
          <w:lang w:val="es-ES_tradnl"/>
        </w:rPr>
        <w:t>Programa de la Convención sobre comunicación, desarrollo de capacidad, educación, participación y concienciación (CECoP) para</w:t>
      </w:r>
      <w:r w:rsidR="00934F5D" w:rsidRPr="00E2415F">
        <w:rPr>
          <w:rFonts w:ascii="Calibri" w:hAnsi="Calibri"/>
          <w:i/>
          <w:sz w:val="22"/>
          <w:szCs w:val="22"/>
          <w:lang w:val="es-ES_tradnl"/>
        </w:rPr>
        <w:t xml:space="preserve"> 2016-2021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SC48-20: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 la</w:t>
      </w:r>
      <w:r w:rsidR="00057762" w:rsidRPr="00E2415F">
        <w:rPr>
          <w:rFonts w:ascii="Calibri" w:hAnsi="Calibri"/>
          <w:b/>
          <w:sz w:val="22"/>
          <w:szCs w:val="22"/>
          <w:lang w:val="es-ES_tradnl"/>
        </w:rPr>
        <w:t xml:space="preserve">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SC48-23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057762" w:rsidRPr="00E2415F">
        <w:rPr>
          <w:rFonts w:ascii="Calibri" w:hAnsi="Calibri"/>
          <w:b/>
          <w:i/>
          <w:sz w:val="22"/>
          <w:szCs w:val="22"/>
          <w:lang w:val="es-ES_tradnl"/>
        </w:rPr>
        <w:t xml:space="preserve">Programa de la Convención sobre comunicación, desarrollo de capacidad, educación, participación y concienciación (CECoP) para 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2016-2021,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hAnsi="Calibri"/>
          <w:bCs/>
          <w:sz w:val="22"/>
          <w:szCs w:val="22"/>
          <w:lang w:val="es-ES_tradnl"/>
        </w:rPr>
        <w:t>SC48-27 Rev.1</w:t>
      </w:r>
      <w:r w:rsidR="00057762" w:rsidRPr="00E2415F">
        <w:rPr>
          <w:rFonts w:ascii="Calibri" w:hAnsi="Calibri"/>
          <w:bCs/>
          <w:sz w:val="22"/>
          <w:szCs w:val="22"/>
          <w:lang w:val="es-ES_tradnl"/>
        </w:rPr>
        <w:t>:</w:t>
      </w:r>
      <w:r w:rsidR="00057762" w:rsidRPr="00E2415F">
        <w:rPr>
          <w:rFonts w:ascii="Calibri" w:hAnsi="Calibri" w:cs="Calibri"/>
          <w:i/>
          <w:sz w:val="22"/>
          <w:szCs w:val="22"/>
          <w:lang w:val="es-ES_tradnl"/>
        </w:rPr>
        <w:t xml:space="preserve"> Conservación de los humedales insulares de la cuenca del Mediterráneo 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>(</w:t>
      </w:r>
      <w:r w:rsidR="00057762" w:rsidRPr="00E2415F">
        <w:rPr>
          <w:rFonts w:ascii="Calibri" w:hAnsi="Calibri" w:cs="Calibri"/>
          <w:sz w:val="22"/>
          <w:szCs w:val="22"/>
          <w:lang w:val="es-ES_tradnl"/>
        </w:rPr>
        <w:t>presentada por Grecia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>)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SC48-21: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4A024F" w:rsidRPr="00E2415F">
        <w:rPr>
          <w:rFonts w:ascii="Calibri" w:hAnsi="Calibri"/>
          <w:b/>
          <w:sz w:val="22"/>
          <w:szCs w:val="22"/>
          <w:lang w:val="es-ES_tradnl"/>
        </w:rPr>
        <w:t>aprobó remitir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 sin más modificaciones </w:t>
      </w:r>
      <w:r w:rsidR="00057762" w:rsidRPr="00E2415F">
        <w:rPr>
          <w:rFonts w:ascii="Calibri" w:hAnsi="Calibri"/>
          <w:b/>
          <w:sz w:val="22"/>
          <w:szCs w:val="22"/>
          <w:lang w:val="es-ES_tradnl"/>
        </w:rPr>
        <w:t>la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SC48-27 Rev.1 </w:t>
      </w:r>
      <w:r w:rsidR="00057762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057762" w:rsidRPr="00E2415F">
        <w:rPr>
          <w:rFonts w:ascii="Calibri" w:eastAsiaTheme="minorEastAsia" w:hAnsi="Calibri"/>
          <w:b/>
          <w:i/>
          <w:sz w:val="22"/>
          <w:szCs w:val="22"/>
          <w:lang w:val="es-ES_tradnl" w:eastAsia="ja-JP"/>
        </w:rPr>
        <w:t>Conservación de los humedales insulares de la cuenca del Mesditerráneo</w:t>
      </w:r>
      <w:r w:rsidR="00556B5F" w:rsidRPr="00E2415F">
        <w:rPr>
          <w:rFonts w:ascii="Calibri" w:eastAsiaTheme="minorEastAsia" w:hAnsi="Calibri"/>
          <w:b/>
          <w:i/>
          <w:sz w:val="22"/>
          <w:szCs w:val="22"/>
          <w:lang w:val="es-ES_tradnl" w:eastAsia="ja-JP"/>
        </w:rPr>
        <w:t xml:space="preserve"> </w:t>
      </w:r>
      <w:r w:rsidR="00556B5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556B5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hAnsi="Calibri" w:cs="Calibri-Bold"/>
          <w:b/>
          <w:b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SC48‐29 Rev.1: </w:t>
      </w:r>
      <w:r w:rsidR="00057762" w:rsidRPr="00E2415F">
        <w:rPr>
          <w:rFonts w:ascii="Calibri" w:hAnsi="Calibri" w:cs="Calibri"/>
          <w:i/>
          <w:sz w:val="22"/>
          <w:szCs w:val="22"/>
          <w:lang w:val="es-ES_tradnl"/>
        </w:rPr>
        <w:t xml:space="preserve">Acreditación de Comunidad Ramsar </w:t>
      </w:r>
      <w:r w:rsidR="00057762" w:rsidRPr="00E2415F">
        <w:rPr>
          <w:rFonts w:ascii="Calibri" w:hAnsi="Calibri" w:cs="Calibri"/>
          <w:sz w:val="22"/>
          <w:szCs w:val="22"/>
          <w:lang w:val="es-ES_tradnl"/>
        </w:rPr>
        <w:t xml:space="preserve">(presentada por Túnez 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/ </w:t>
      </w:r>
      <w:r w:rsidR="00057762" w:rsidRPr="00E2415F">
        <w:rPr>
          <w:rFonts w:ascii="Calibri" w:hAnsi="Calibri" w:cs="Calibri"/>
          <w:sz w:val="22"/>
          <w:szCs w:val="22"/>
          <w:lang w:val="es-ES_tradnl"/>
        </w:rPr>
        <w:t>República de Corea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>)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SC48-22: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aprobó remitir la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 w:cs="Calibri"/>
          <w:b/>
          <w:sz w:val="22"/>
          <w:szCs w:val="22"/>
          <w:lang w:val="es-ES_tradnl"/>
        </w:rPr>
        <w:t>SC48‐29 Rev.1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A36C8A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A36C8A" w:rsidRPr="00E2415F">
        <w:rPr>
          <w:rFonts w:ascii="Calibri" w:hAnsi="Calibri" w:cs="Calibri"/>
          <w:b/>
          <w:i/>
          <w:sz w:val="22"/>
          <w:szCs w:val="22"/>
          <w:lang w:val="es-ES_tradnl"/>
        </w:rPr>
        <w:t>Acreditación de Comunidad Ramsar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</w:t>
      </w:r>
      <w:r w:rsidR="00E826FB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SC48-31 Rev.1: </w:t>
      </w:r>
      <w:r w:rsidR="00AC1ED6" w:rsidRPr="00E2415F">
        <w:rPr>
          <w:rFonts w:ascii="Calibri" w:hAnsi="Calibri"/>
          <w:i/>
          <w:sz w:val="22"/>
          <w:szCs w:val="22"/>
          <w:lang w:val="es-ES_tradnl"/>
        </w:rPr>
        <w:t>Las turberas, el cambio climático y el uso racional: implicaciones para la Convención de Ramsar (presentada por Dinamarca y apoyada por Finlandia</w:t>
      </w:r>
      <w:r w:rsidR="00934F5D" w:rsidRPr="00E2415F">
        <w:rPr>
          <w:rFonts w:ascii="Calibri" w:hAnsi="Calibri" w:cs="Calibri"/>
          <w:i/>
          <w:sz w:val="22"/>
          <w:szCs w:val="22"/>
          <w:lang w:val="es-ES_tradnl"/>
        </w:rPr>
        <w:t>)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SC48-23: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la propuesta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 w:cs="Calibri"/>
          <w:b/>
          <w:sz w:val="22"/>
          <w:szCs w:val="22"/>
          <w:lang w:val="es-ES_tradnl"/>
        </w:rPr>
        <w:t>SC48‐31 Rev.1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AC1ED6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AC1ED6" w:rsidRPr="00E2415F">
        <w:rPr>
          <w:rFonts w:ascii="Calibri" w:hAnsi="Calibri"/>
          <w:b/>
          <w:i/>
          <w:sz w:val="22"/>
          <w:szCs w:val="22"/>
          <w:lang w:val="es-ES_tradnl"/>
        </w:rPr>
        <w:t>Las turberas, el cambio climático y el uso racional: implicaciones para la Convención de Ramsar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, </w:t>
      </w:r>
      <w:r w:rsidR="00AC1ED6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tomando nota de las reservas de Brasil y la República Islámica del Irán.</w:t>
      </w:r>
    </w:p>
    <w:p w:rsidR="00934F5D" w:rsidRPr="00E2415F" w:rsidRDefault="00934F5D" w:rsidP="00BA452D">
      <w:pP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934F5D" w:rsidP="00BA45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SC48‐21 Rev.1: </w:t>
      </w:r>
      <w:r w:rsidR="00DA6417" w:rsidRPr="00E2415F">
        <w:rPr>
          <w:rFonts w:ascii="Calibri" w:hAnsi="Calibri"/>
          <w:bCs/>
          <w:i/>
          <w:sz w:val="22"/>
          <w:szCs w:val="22"/>
          <w:lang w:val="es-ES_tradnl"/>
        </w:rPr>
        <w:t>Actualización sobre el estado de los sitios de la Lista de Humedales de Importancia Internacional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SC48-24: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la propuesta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SC48‐21 Rev.1 </w:t>
      </w:r>
      <w:r w:rsidR="00DA6417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– </w:t>
      </w:r>
      <w:r w:rsidR="00DA6417" w:rsidRPr="00E2415F">
        <w:rPr>
          <w:rFonts w:ascii="Calibri" w:hAnsi="Calibri"/>
          <w:b/>
          <w:bCs/>
          <w:i/>
          <w:sz w:val="22"/>
          <w:szCs w:val="22"/>
          <w:lang w:val="es-ES_tradnl"/>
        </w:rPr>
        <w:t>Actualización sobre el estado de los sitios de la Lista de Humedales de Importancia Internacional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-Bold"/>
          <w:bCs/>
          <w:sz w:val="22"/>
          <w:szCs w:val="22"/>
          <w:lang w:val="es-ES_tradnl"/>
        </w:rPr>
      </w:pPr>
      <w:r w:rsidRPr="00E2415F">
        <w:rPr>
          <w:rFonts w:ascii="Calibri" w:hAnsi="Calibri" w:cs="Calibri-Bold"/>
          <w:bCs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 SC48</w:t>
      </w:r>
      <w:r w:rsidR="00934F5D" w:rsidRPr="00E2415F">
        <w:rPr>
          <w:rFonts w:ascii="Calibri" w:hAnsi="Calibri" w:cs="Cambria Math"/>
          <w:bCs/>
          <w:sz w:val="22"/>
          <w:szCs w:val="22"/>
          <w:lang w:val="es-ES_tradnl"/>
        </w:rPr>
        <w:t>‐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24 Rev.1: </w:t>
      </w:r>
      <w:r w:rsidR="005E73A9" w:rsidRPr="00E2415F">
        <w:rPr>
          <w:rFonts w:ascii="Calibri" w:hAnsi="Calibri" w:cs="Calibri-Bold"/>
          <w:bCs/>
          <w:i/>
          <w:sz w:val="22"/>
          <w:szCs w:val="22"/>
          <w:lang w:val="es-ES_tradnl"/>
        </w:rPr>
        <w:t>Iniciativas regionales que realizan su actividad en el marco de la Convención de Ramsar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SC48-25: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sin más cambios </w:t>
      </w:r>
      <w:r w:rsidR="005E73A9" w:rsidRPr="00E2415F">
        <w:rPr>
          <w:rFonts w:ascii="Calibri" w:hAnsi="Calibri"/>
          <w:b/>
          <w:sz w:val="22"/>
          <w:szCs w:val="22"/>
          <w:lang w:val="es-ES_tradnl"/>
        </w:rPr>
        <w:t>la p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ropuesta 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SC48-24 Rev.1 </w:t>
      </w:r>
      <w:r w:rsidR="005E73A9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– </w:t>
      </w:r>
      <w:r w:rsidR="005E73A9" w:rsidRPr="00E2415F">
        <w:rPr>
          <w:rFonts w:ascii="Calibri" w:hAnsi="Calibri" w:cs="Calibri-Bold"/>
          <w:b/>
          <w:bCs/>
          <w:i/>
          <w:sz w:val="22"/>
          <w:szCs w:val="22"/>
          <w:lang w:val="es-ES_tradnl"/>
        </w:rPr>
        <w:t>Iniciativas regionales que realizan su actividad en el marco de la Convención de Ramsar</w:t>
      </w:r>
      <w:r w:rsidR="00556B5F" w:rsidRPr="00E2415F">
        <w:rPr>
          <w:rFonts w:ascii="Calibri" w:hAnsi="Calibri" w:cs="Calibri-Bold"/>
          <w:b/>
          <w:bCs/>
          <w:sz w:val="22"/>
          <w:szCs w:val="22"/>
          <w:lang w:val="es-ES_tradnl"/>
        </w:rPr>
        <w:t xml:space="preserve"> para su consideración por la COP12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hAnsi="Calibri" w:cs="Calibri-Bold"/>
          <w:b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SC48‐22 Rev.1: </w:t>
      </w:r>
      <w:r w:rsidR="005E73A9" w:rsidRPr="00E2415F">
        <w:rPr>
          <w:rFonts w:ascii="Calibri" w:hAnsi="Calibri" w:cs="Calibri"/>
          <w:i/>
          <w:sz w:val="22"/>
          <w:szCs w:val="22"/>
          <w:lang w:val="es-ES_tradnl"/>
        </w:rPr>
        <w:t>Marco de la Convención de Ramsar para la movilización de recursos y las asociaciones de colaboración y solicitud de la condición de Organización Internacional Asociada (OIA)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SC48-26: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la propuesta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SC48‐22 Rev.1 </w:t>
      </w:r>
      <w:r w:rsidR="005E73A9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– </w:t>
      </w:r>
      <w:r w:rsidR="005E73A9" w:rsidRPr="00E2415F">
        <w:rPr>
          <w:rFonts w:ascii="Calibri" w:hAnsi="Calibri"/>
          <w:b/>
          <w:bCs/>
          <w:i/>
          <w:sz w:val="22"/>
          <w:szCs w:val="22"/>
          <w:lang w:val="es-ES_tradnl"/>
        </w:rPr>
        <w:t>Marco de la Convención de Ramsar para la movilización de recursos y las asociaciones de colaboración y solicitud de la condición de Organización Internacional Asociada (OIA)</w:t>
      </w:r>
      <w:r w:rsidR="00556B5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,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con las modificaciones </w:t>
      </w:r>
      <w:r w:rsidR="00C574C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adicionales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  <w:lang w:val="es-ES_tradnl"/>
        </w:rPr>
      </w:pPr>
    </w:p>
    <w:p w:rsidR="00934F5D" w:rsidRPr="00E2415F" w:rsidRDefault="0033451D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Bold"/>
          <w:bCs/>
          <w:sz w:val="22"/>
          <w:szCs w:val="22"/>
          <w:lang w:val="es-ES_tradnl"/>
        </w:rPr>
      </w:pPr>
      <w:r w:rsidRPr="00E2415F">
        <w:rPr>
          <w:rFonts w:ascii="Calibri" w:hAnsi="Calibri" w:cs="Calibri-Bold"/>
          <w:bCs/>
          <w:sz w:val="22"/>
          <w:szCs w:val="22"/>
          <w:lang w:val="es-ES_tradnl"/>
        </w:rPr>
        <w:t>Pro</w:t>
      </w:r>
      <w:r w:rsidR="005E73A9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yecto </w:t>
      </w:r>
      <w:r w:rsidRPr="00E2415F">
        <w:rPr>
          <w:rFonts w:ascii="Calibri" w:hAnsi="Calibri" w:cs="Calibri-Bold"/>
          <w:bCs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 SC48</w:t>
      </w:r>
      <w:r w:rsidR="00934F5D" w:rsidRPr="00E2415F">
        <w:rPr>
          <w:rFonts w:ascii="Calibri" w:hAnsi="Calibri" w:cs="Cambria Math"/>
          <w:bCs/>
          <w:sz w:val="22"/>
          <w:szCs w:val="22"/>
          <w:lang w:val="es-ES_tradnl"/>
        </w:rPr>
        <w:t>‐</w:t>
      </w:r>
      <w:r w:rsidR="00934F5D" w:rsidRPr="00E2415F">
        <w:rPr>
          <w:rFonts w:ascii="Calibri" w:hAnsi="Calibri" w:cs="Calibri-Bold"/>
          <w:bCs/>
          <w:sz w:val="22"/>
          <w:szCs w:val="22"/>
          <w:lang w:val="es-ES_tradnl"/>
        </w:rPr>
        <w:t xml:space="preserve">30 Rev. 1: </w:t>
      </w:r>
      <w:r w:rsidR="005E73A9" w:rsidRPr="00E2415F">
        <w:rPr>
          <w:rFonts w:ascii="Calibri" w:hAnsi="Calibri"/>
          <w:i/>
          <w:sz w:val="22"/>
          <w:szCs w:val="22"/>
          <w:lang w:val="es-ES_tradnl"/>
        </w:rPr>
        <w:t xml:space="preserve">Llamado a la acción para asegurar y proteger las necesidades hídricas de los humedales para el presente y el futuro </w:t>
      </w:r>
      <w:r w:rsidR="005E73A9" w:rsidRPr="00E2415F">
        <w:rPr>
          <w:rFonts w:ascii="Calibri" w:hAnsi="Calibri" w:cs="Calibri"/>
          <w:i/>
          <w:sz w:val="22"/>
          <w:szCs w:val="22"/>
          <w:lang w:val="es-ES_tradnl"/>
        </w:rPr>
        <w:t>(presentado por México</w:t>
      </w:r>
      <w:r w:rsidR="00934F5D" w:rsidRPr="00E2415F">
        <w:rPr>
          <w:rFonts w:ascii="Calibri" w:hAnsi="Calibri" w:cs="Calibri"/>
          <w:i/>
          <w:sz w:val="22"/>
          <w:szCs w:val="22"/>
          <w:lang w:val="es-ES_tradnl"/>
        </w:rPr>
        <w:t>)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D540F5" w:rsidRPr="00E2415F" w:rsidRDefault="00E42145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SC48-27: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el proyecto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SC48‐30 Rev.1 </w:t>
      </w:r>
      <w:r w:rsidR="003D38A7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– </w:t>
      </w:r>
      <w:r w:rsidR="003D38A7" w:rsidRPr="00E2415F">
        <w:rPr>
          <w:rFonts w:ascii="Calibri" w:hAnsi="Calibri"/>
          <w:b/>
          <w:i/>
          <w:sz w:val="22"/>
          <w:szCs w:val="22"/>
          <w:lang w:val="es-ES_tradnl"/>
        </w:rPr>
        <w:t>Llamado a la acción para asegurar y proteger las necesidades hídricas de los humedales para el presente y el futuro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con las modificaciones</w:t>
      </w:r>
      <w:r w:rsidR="00C574C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adicionales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3D38A7" w:rsidRPr="00E2415F" w:rsidRDefault="003D38A7">
      <w:pPr>
        <w:rPr>
          <w:rFonts w:ascii="Calibri" w:hAnsi="Calibri" w:cs="Calibri"/>
          <w:sz w:val="22"/>
          <w:szCs w:val="22"/>
          <w:lang w:val="es-ES_tradnl"/>
        </w:rPr>
      </w:pPr>
    </w:p>
    <w:p w:rsidR="00934F5D" w:rsidRPr="00E2415F" w:rsidRDefault="0033451D" w:rsidP="003D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  <w:r w:rsidRPr="00E2415F">
        <w:rPr>
          <w:rFonts w:ascii="Calibri" w:hAnsi="Calibri" w:cs="Calibri"/>
          <w:sz w:val="22"/>
          <w:szCs w:val="22"/>
          <w:lang w:val="es-ES_tradnl"/>
        </w:rPr>
        <w:t>Propuesta de Resolución</w:t>
      </w:r>
      <w:r w:rsidR="00934F5D" w:rsidRPr="00E2415F">
        <w:rPr>
          <w:rFonts w:ascii="Calibri" w:hAnsi="Calibri" w:cs="Calibri"/>
          <w:sz w:val="22"/>
          <w:szCs w:val="22"/>
          <w:lang w:val="es-ES_tradnl"/>
        </w:rPr>
        <w:t xml:space="preserve"> SC48-28 Rev.1: </w:t>
      </w:r>
      <w:r w:rsidR="003D38A7" w:rsidRPr="00E2415F">
        <w:rPr>
          <w:rFonts w:ascii="Calibri" w:hAnsi="Calibri" w:cs="Calibri"/>
          <w:i/>
          <w:sz w:val="22"/>
          <w:szCs w:val="22"/>
          <w:lang w:val="es-ES_tradnl"/>
        </w:rPr>
        <w:t>Humedales y reducción del riesgo de desastres (presentada por Filipinas)</w:t>
      </w:r>
    </w:p>
    <w:p w:rsidR="00D540F5" w:rsidRPr="00E2415F" w:rsidRDefault="00D540F5" w:rsidP="00D540F5">
      <w:pPr>
        <w:rPr>
          <w:rFonts w:ascii="Calibri" w:hAnsi="Calibri"/>
          <w:b/>
          <w:sz w:val="22"/>
          <w:szCs w:val="22"/>
          <w:lang w:val="es-ES_tradnl"/>
        </w:rPr>
      </w:pPr>
    </w:p>
    <w:p w:rsidR="00934F5D" w:rsidRPr="00E2415F" w:rsidRDefault="00E42145" w:rsidP="00D540F5">
      <w:pPr>
        <w:rPr>
          <w:rFonts w:ascii="Calibri" w:eastAsiaTheme="minorEastAsia" w:hAnsi="Calibri"/>
          <w:b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SC48-28: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aprobó remitir la propuesta </w:t>
      </w:r>
      <w:r w:rsidR="0033451D" w:rsidRPr="00E2415F">
        <w:rPr>
          <w:rFonts w:ascii="Calibri" w:hAnsi="Calibri"/>
          <w:b/>
          <w:sz w:val="22"/>
          <w:szCs w:val="22"/>
          <w:lang w:val="es-ES_tradnl"/>
        </w:rPr>
        <w:t>de Resolución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DOC. </w:t>
      </w:r>
      <w:r w:rsidR="00934F5D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SC48‐28 Rev.1 </w:t>
      </w:r>
      <w:r w:rsidR="003D38A7" w:rsidRPr="00E2415F">
        <w:rPr>
          <w:rFonts w:ascii="Calibri" w:hAnsi="Calibri"/>
          <w:b/>
          <w:bCs/>
          <w:sz w:val="22"/>
          <w:szCs w:val="22"/>
          <w:lang w:val="es-ES_tradnl"/>
        </w:rPr>
        <w:t xml:space="preserve">– </w:t>
      </w:r>
      <w:r w:rsidR="003D38A7" w:rsidRPr="00E2415F">
        <w:rPr>
          <w:rFonts w:ascii="Calibri" w:hAnsi="Calibri" w:cs="Calibri"/>
          <w:b/>
          <w:i/>
          <w:sz w:val="22"/>
          <w:szCs w:val="22"/>
          <w:lang w:val="es-ES_tradnl"/>
        </w:rPr>
        <w:t>Humedales y reducción del riesgo de desastres</w:t>
      </w:r>
      <w:r w:rsidR="00934F5D" w:rsidRPr="00E2415F">
        <w:rPr>
          <w:rFonts w:ascii="Calibri" w:hAnsi="Calibri"/>
          <w:b/>
          <w:i/>
          <w:sz w:val="22"/>
          <w:szCs w:val="22"/>
          <w:lang w:val="es-ES_tradnl"/>
        </w:rPr>
        <w:t>,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con las modificaciones</w:t>
      </w:r>
      <w:r w:rsidR="00C574C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adicionales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 xml:space="preserve"> realizadas por la reunión SC48, para su </w:t>
      </w:r>
      <w:r w:rsidR="009D7A88">
        <w:rPr>
          <w:rFonts w:ascii="Calibri" w:eastAsiaTheme="minorEastAsia" w:hAnsi="Calibri"/>
          <w:b/>
          <w:sz w:val="22"/>
          <w:szCs w:val="22"/>
          <w:lang w:val="es-ES_tradnl" w:eastAsia="ja-JP"/>
        </w:rPr>
        <w:t>consideración por la COP</w:t>
      </w:r>
      <w:r w:rsidR="004A024F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12</w:t>
      </w:r>
      <w:r w:rsidR="00934F5D" w:rsidRPr="00E2415F">
        <w:rPr>
          <w:rFonts w:ascii="Calibri" w:eastAsiaTheme="minorEastAsia" w:hAnsi="Calibri"/>
          <w:b/>
          <w:sz w:val="22"/>
          <w:szCs w:val="22"/>
          <w:lang w:val="es-ES_tradnl" w:eastAsia="ja-JP"/>
        </w:rPr>
        <w:t>.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/>
          <w:bCs/>
          <w:sz w:val="22"/>
          <w:szCs w:val="22"/>
          <w:lang w:val="es-ES_tradnl"/>
        </w:rPr>
      </w:pPr>
      <w:r w:rsidRPr="00E2415F">
        <w:rPr>
          <w:rFonts w:ascii="Calibri" w:hAnsi="Calibri"/>
          <w:bCs/>
          <w:sz w:val="22"/>
          <w:szCs w:val="22"/>
          <w:lang w:val="es-ES_tradnl"/>
        </w:rPr>
        <w:t xml:space="preserve">Punto </w:t>
      </w:r>
      <w:r w:rsidR="003D38A7" w:rsidRPr="00E2415F">
        <w:rPr>
          <w:rFonts w:ascii="Calibri" w:hAnsi="Calibri"/>
          <w:bCs/>
          <w:sz w:val="22"/>
          <w:szCs w:val="22"/>
          <w:lang w:val="es-ES_tradnl"/>
        </w:rPr>
        <w:t xml:space="preserve">16 </w:t>
      </w:r>
      <w:r w:rsidRPr="00E2415F">
        <w:rPr>
          <w:rFonts w:ascii="Calibri" w:hAnsi="Calibri"/>
          <w:bCs/>
          <w:sz w:val="22"/>
          <w:szCs w:val="22"/>
          <w:lang w:val="es-ES_tradnl"/>
        </w:rPr>
        <w:t>del orden del día</w:t>
      </w:r>
      <w:r w:rsidR="00934F5D" w:rsidRPr="00E2415F">
        <w:rPr>
          <w:rFonts w:ascii="Calibri" w:hAnsi="Calibri"/>
          <w:bCs/>
          <w:sz w:val="22"/>
          <w:szCs w:val="22"/>
          <w:lang w:val="es-ES_tradnl"/>
        </w:rPr>
        <w:t>: Ot</w:t>
      </w:r>
      <w:r w:rsidR="003D38A7" w:rsidRPr="00E2415F">
        <w:rPr>
          <w:rFonts w:ascii="Calibri" w:hAnsi="Calibri"/>
          <w:bCs/>
          <w:sz w:val="22"/>
          <w:szCs w:val="22"/>
          <w:lang w:val="es-ES_tradnl"/>
        </w:rPr>
        <w:t>ras cuestiones</w:t>
      </w:r>
    </w:p>
    <w:p w:rsidR="00934F5D" w:rsidRPr="00E2415F" w:rsidRDefault="00934F5D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p w:rsidR="00934F5D" w:rsidRPr="00E2415F" w:rsidRDefault="00E42145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  <w:r w:rsidRPr="00E2415F">
        <w:rPr>
          <w:rFonts w:ascii="Calibri" w:hAnsi="Calibri"/>
          <w:b/>
          <w:sz w:val="22"/>
          <w:szCs w:val="22"/>
          <w:lang w:val="es-ES_tradnl"/>
        </w:rPr>
        <w:t xml:space="preserve">Decisión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SC48-29: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aprobó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los informes de</w:t>
      </w:r>
      <w:r w:rsidR="009D7A88">
        <w:rPr>
          <w:rFonts w:ascii="Calibri" w:hAnsi="Calibri"/>
          <w:b/>
          <w:sz w:val="22"/>
          <w:szCs w:val="22"/>
          <w:lang w:val="es-ES_tradnl"/>
        </w:rPr>
        <w:t xml:space="preserve">l primer y segundo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día 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de la reunión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>SC48 (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sujetos a la inclusión de una corrección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propuesta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por Dinamarca)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>,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y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pidi</w:t>
      </w:r>
      <w:r w:rsidR="00774BFD">
        <w:rPr>
          <w:rFonts w:ascii="Calibri" w:hAnsi="Calibri"/>
          <w:b/>
          <w:sz w:val="22"/>
          <w:szCs w:val="22"/>
          <w:lang w:val="es-ES_tradnl"/>
        </w:rPr>
        <w:t>ó a la Presidencia que examine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y </w:t>
      </w:r>
      <w:r w:rsidR="00774BFD">
        <w:rPr>
          <w:rFonts w:ascii="Calibri" w:hAnsi="Calibri"/>
          <w:b/>
          <w:sz w:val="22"/>
          <w:szCs w:val="22"/>
          <w:lang w:val="es-ES_tradnl"/>
        </w:rPr>
        <w:t>apruebe</w:t>
      </w:r>
      <w:bookmarkStart w:id="0" w:name="_GoBack"/>
      <w:bookmarkEnd w:id="0"/>
      <w:r w:rsidR="00C574CF" w:rsidRPr="00E2415F">
        <w:rPr>
          <w:rFonts w:ascii="Calibri" w:hAnsi="Calibri"/>
          <w:b/>
          <w:sz w:val="22"/>
          <w:szCs w:val="22"/>
          <w:lang w:val="es-ES_tradnl"/>
        </w:rPr>
        <w:t xml:space="preserve"> la prop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u</w:t>
      </w:r>
      <w:r w:rsidR="00C574CF" w:rsidRPr="00E2415F">
        <w:rPr>
          <w:rFonts w:ascii="Calibri" w:hAnsi="Calibri"/>
          <w:b/>
          <w:sz w:val="22"/>
          <w:szCs w:val="22"/>
          <w:lang w:val="es-ES_tradnl"/>
        </w:rPr>
        <w:t>e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sta de i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nforme del </w:t>
      </w:r>
      <w:r w:rsidR="009D7A88">
        <w:rPr>
          <w:rFonts w:ascii="Calibri" w:hAnsi="Calibri"/>
          <w:b/>
          <w:sz w:val="22"/>
          <w:szCs w:val="22"/>
          <w:lang w:val="es-ES_tradnl"/>
        </w:rPr>
        <w:t>tercer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>día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antes de distribuir el informe completo a las Partes. </w:t>
      </w:r>
      <w:r w:rsidRPr="00E2415F">
        <w:rPr>
          <w:rFonts w:ascii="Calibri" w:hAnsi="Calibri"/>
          <w:b/>
          <w:sz w:val="22"/>
          <w:szCs w:val="22"/>
          <w:lang w:val="es-ES_tradnl"/>
        </w:rPr>
        <w:t>El Comité Permanente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también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tomó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nota del informe de la sesión 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>a puerta cerrada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 del Grupo de Trabajo Administrativo (</w:t>
      </w:r>
      <w:r w:rsidR="00556B5F" w:rsidRPr="00E2415F">
        <w:rPr>
          <w:rFonts w:ascii="Calibri" w:hAnsi="Calibri"/>
          <w:b/>
          <w:sz w:val="22"/>
          <w:szCs w:val="22"/>
          <w:lang w:val="es-ES_tradnl"/>
        </w:rPr>
        <w:t xml:space="preserve">el </w:t>
      </w:r>
      <w:r w:rsidR="003D38A7" w:rsidRPr="00E2415F">
        <w:rPr>
          <w:rFonts w:ascii="Calibri" w:hAnsi="Calibri"/>
          <w:b/>
          <w:sz w:val="22"/>
          <w:szCs w:val="22"/>
          <w:lang w:val="es-ES_tradnl"/>
        </w:rPr>
        <w:t xml:space="preserve">26 de enero de </w:t>
      </w:r>
      <w:r w:rsidR="00934F5D" w:rsidRPr="00E2415F">
        <w:rPr>
          <w:rFonts w:ascii="Calibri" w:hAnsi="Calibri"/>
          <w:b/>
          <w:sz w:val="22"/>
          <w:szCs w:val="22"/>
          <w:lang w:val="es-ES_tradnl"/>
        </w:rPr>
        <w:t>2015).</w:t>
      </w:r>
    </w:p>
    <w:p w:rsidR="00C86EB3" w:rsidRPr="00E2415F" w:rsidRDefault="00C86EB3" w:rsidP="00BA452D">
      <w:pPr>
        <w:rPr>
          <w:rFonts w:ascii="Calibri" w:eastAsiaTheme="minorEastAsia" w:hAnsi="Calibri"/>
          <w:sz w:val="22"/>
          <w:szCs w:val="22"/>
          <w:lang w:val="es-ES_tradnl" w:eastAsia="ja-JP"/>
        </w:rPr>
      </w:pPr>
    </w:p>
    <w:sectPr w:rsidR="00C86EB3" w:rsidRPr="00E2415F" w:rsidSect="000B6227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5F" w:rsidRDefault="00E2415F" w:rsidP="000B6227">
      <w:r>
        <w:separator/>
      </w:r>
    </w:p>
  </w:endnote>
  <w:endnote w:type="continuationSeparator" w:id="0">
    <w:p w:rsidR="00E2415F" w:rsidRDefault="00E2415F" w:rsidP="000B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9843624"/>
      <w:docPartObj>
        <w:docPartGallery w:val="Page Numbers (Bottom of Page)"/>
        <w:docPartUnique/>
      </w:docPartObj>
    </w:sdtPr>
    <w:sdtContent>
      <w:p w:rsidR="00E2415F" w:rsidRPr="000B6227" w:rsidRDefault="00C25DE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0B6227">
          <w:rPr>
            <w:rFonts w:asciiTheme="majorHAnsi" w:hAnsiTheme="majorHAnsi"/>
            <w:sz w:val="20"/>
            <w:szCs w:val="20"/>
          </w:rPr>
          <w:fldChar w:fldCharType="begin"/>
        </w:r>
        <w:r w:rsidR="00E2415F" w:rsidRPr="000B622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B6227">
          <w:rPr>
            <w:rFonts w:asciiTheme="majorHAnsi" w:hAnsiTheme="majorHAnsi"/>
            <w:sz w:val="20"/>
            <w:szCs w:val="20"/>
          </w:rPr>
          <w:fldChar w:fldCharType="separate"/>
        </w:r>
        <w:r w:rsidR="009519DF">
          <w:rPr>
            <w:rFonts w:asciiTheme="majorHAnsi" w:hAnsiTheme="majorHAnsi"/>
            <w:noProof/>
            <w:sz w:val="20"/>
            <w:szCs w:val="20"/>
          </w:rPr>
          <w:t>5</w:t>
        </w:r>
        <w:r w:rsidRPr="000B622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2415F" w:rsidRDefault="00E24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5F" w:rsidRDefault="00E2415F" w:rsidP="000B6227">
      <w:r>
        <w:separator/>
      </w:r>
    </w:p>
  </w:footnote>
  <w:footnote w:type="continuationSeparator" w:id="0">
    <w:p w:rsidR="00E2415F" w:rsidRDefault="00E2415F" w:rsidP="000B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24"/>
    <w:multiLevelType w:val="hybridMultilevel"/>
    <w:tmpl w:val="2D0E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13A"/>
    <w:multiLevelType w:val="hybridMultilevel"/>
    <w:tmpl w:val="61DC9E1E"/>
    <w:lvl w:ilvl="0" w:tplc="70D2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E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C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4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316EE"/>
    <w:multiLevelType w:val="hybridMultilevel"/>
    <w:tmpl w:val="EABCCFFA"/>
    <w:lvl w:ilvl="0" w:tplc="D8AA7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962"/>
    <w:multiLevelType w:val="hybridMultilevel"/>
    <w:tmpl w:val="2F18FC22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B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FF4642"/>
    <w:multiLevelType w:val="hybridMultilevel"/>
    <w:tmpl w:val="29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A50"/>
    <w:multiLevelType w:val="hybridMultilevel"/>
    <w:tmpl w:val="55B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B28"/>
    <w:multiLevelType w:val="hybridMultilevel"/>
    <w:tmpl w:val="70BAFDE6"/>
    <w:lvl w:ilvl="0" w:tplc="0210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8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6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4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E6A46"/>
    <w:multiLevelType w:val="hybridMultilevel"/>
    <w:tmpl w:val="8960A064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06B2"/>
    <w:multiLevelType w:val="hybridMultilevel"/>
    <w:tmpl w:val="1C5C7C16"/>
    <w:lvl w:ilvl="0" w:tplc="68F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F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CB5764"/>
    <w:multiLevelType w:val="hybridMultilevel"/>
    <w:tmpl w:val="9962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4547"/>
    <w:multiLevelType w:val="hybridMultilevel"/>
    <w:tmpl w:val="DC98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7270"/>
    <w:multiLevelType w:val="hybridMultilevel"/>
    <w:tmpl w:val="2A6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32F5"/>
    <w:multiLevelType w:val="hybridMultilevel"/>
    <w:tmpl w:val="280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9C0"/>
    <w:multiLevelType w:val="hybridMultilevel"/>
    <w:tmpl w:val="5DC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2DF"/>
    <w:multiLevelType w:val="hybridMultilevel"/>
    <w:tmpl w:val="ED4C1B7A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92057"/>
    <w:multiLevelType w:val="hybridMultilevel"/>
    <w:tmpl w:val="2648E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0F0005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E22FCE"/>
    <w:multiLevelType w:val="hybridMultilevel"/>
    <w:tmpl w:val="773EF5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0407B7C"/>
    <w:multiLevelType w:val="hybridMultilevel"/>
    <w:tmpl w:val="305EDEB2"/>
    <w:lvl w:ilvl="0" w:tplc="D6D0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0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2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0F4CE2"/>
    <w:multiLevelType w:val="hybridMultilevel"/>
    <w:tmpl w:val="7540B3C6"/>
    <w:lvl w:ilvl="0" w:tplc="2148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B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0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108EA"/>
    <w:multiLevelType w:val="hybridMultilevel"/>
    <w:tmpl w:val="4FE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31517"/>
    <w:multiLevelType w:val="hybridMultilevel"/>
    <w:tmpl w:val="82881DDC"/>
    <w:lvl w:ilvl="0" w:tplc="F39C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E0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A9408A"/>
    <w:multiLevelType w:val="hybridMultilevel"/>
    <w:tmpl w:val="62B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23C43"/>
    <w:multiLevelType w:val="hybridMultilevel"/>
    <w:tmpl w:val="214E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368CF"/>
    <w:multiLevelType w:val="hybridMultilevel"/>
    <w:tmpl w:val="301AD91C"/>
    <w:lvl w:ilvl="0" w:tplc="92A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A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6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0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681C13"/>
    <w:multiLevelType w:val="hybridMultilevel"/>
    <w:tmpl w:val="889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20"/>
  </w:num>
  <w:num w:numId="12">
    <w:abstractNumId w:val="26"/>
  </w:num>
  <w:num w:numId="13">
    <w:abstractNumId w:val="24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1"/>
  </w:num>
  <w:num w:numId="19">
    <w:abstractNumId w:val="22"/>
  </w:num>
  <w:num w:numId="20">
    <w:abstractNumId w:val="25"/>
  </w:num>
  <w:num w:numId="21">
    <w:abstractNumId w:val="3"/>
  </w:num>
  <w:num w:numId="22">
    <w:abstractNumId w:val="18"/>
  </w:num>
  <w:num w:numId="23">
    <w:abstractNumId w:val="23"/>
  </w:num>
  <w:num w:numId="24">
    <w:abstractNumId w:val="16"/>
  </w:num>
  <w:num w:numId="25">
    <w:abstractNumId w:val="17"/>
  </w:num>
  <w:num w:numId="26">
    <w:abstractNumId w:val="8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FCA"/>
    <w:rsid w:val="0001308E"/>
    <w:rsid w:val="000307C1"/>
    <w:rsid w:val="00036A1E"/>
    <w:rsid w:val="00057762"/>
    <w:rsid w:val="0006711B"/>
    <w:rsid w:val="0008039E"/>
    <w:rsid w:val="00080B98"/>
    <w:rsid w:val="000B6227"/>
    <w:rsid w:val="000D42D5"/>
    <w:rsid w:val="000F5AAE"/>
    <w:rsid w:val="000F71C1"/>
    <w:rsid w:val="00103372"/>
    <w:rsid w:val="00126BE4"/>
    <w:rsid w:val="00131A65"/>
    <w:rsid w:val="00141C35"/>
    <w:rsid w:val="001A000B"/>
    <w:rsid w:val="001A7716"/>
    <w:rsid w:val="001B38E9"/>
    <w:rsid w:val="001C6305"/>
    <w:rsid w:val="001E4FCA"/>
    <w:rsid w:val="0020414F"/>
    <w:rsid w:val="002277C1"/>
    <w:rsid w:val="002303F2"/>
    <w:rsid w:val="00245589"/>
    <w:rsid w:val="00251311"/>
    <w:rsid w:val="00270F98"/>
    <w:rsid w:val="00286CB6"/>
    <w:rsid w:val="00290150"/>
    <w:rsid w:val="002A1A5B"/>
    <w:rsid w:val="002C172B"/>
    <w:rsid w:val="002D605D"/>
    <w:rsid w:val="002E20FB"/>
    <w:rsid w:val="002E5D2F"/>
    <w:rsid w:val="00302C9F"/>
    <w:rsid w:val="00311C98"/>
    <w:rsid w:val="00312571"/>
    <w:rsid w:val="0033451D"/>
    <w:rsid w:val="00334939"/>
    <w:rsid w:val="0039292A"/>
    <w:rsid w:val="003B025F"/>
    <w:rsid w:val="003D38A7"/>
    <w:rsid w:val="00456837"/>
    <w:rsid w:val="004709CA"/>
    <w:rsid w:val="00475A18"/>
    <w:rsid w:val="00482826"/>
    <w:rsid w:val="004A024F"/>
    <w:rsid w:val="004A1268"/>
    <w:rsid w:val="004A6948"/>
    <w:rsid w:val="004A6C16"/>
    <w:rsid w:val="004A7D54"/>
    <w:rsid w:val="004D1EF5"/>
    <w:rsid w:val="004D6682"/>
    <w:rsid w:val="004E388D"/>
    <w:rsid w:val="004E52A3"/>
    <w:rsid w:val="004F0158"/>
    <w:rsid w:val="00514950"/>
    <w:rsid w:val="005167E3"/>
    <w:rsid w:val="00533ABB"/>
    <w:rsid w:val="00536968"/>
    <w:rsid w:val="00537264"/>
    <w:rsid w:val="00556B5F"/>
    <w:rsid w:val="005730D3"/>
    <w:rsid w:val="005A4458"/>
    <w:rsid w:val="005E73A9"/>
    <w:rsid w:val="005F2EF8"/>
    <w:rsid w:val="0065131F"/>
    <w:rsid w:val="00660D5F"/>
    <w:rsid w:val="006661EE"/>
    <w:rsid w:val="00677AF0"/>
    <w:rsid w:val="006C369E"/>
    <w:rsid w:val="006E0740"/>
    <w:rsid w:val="006E0D88"/>
    <w:rsid w:val="00744824"/>
    <w:rsid w:val="00766BFD"/>
    <w:rsid w:val="00774BFD"/>
    <w:rsid w:val="00776D32"/>
    <w:rsid w:val="00777488"/>
    <w:rsid w:val="0078515E"/>
    <w:rsid w:val="007C52D8"/>
    <w:rsid w:val="00812434"/>
    <w:rsid w:val="00821198"/>
    <w:rsid w:val="00860CAB"/>
    <w:rsid w:val="00867BCC"/>
    <w:rsid w:val="008743FF"/>
    <w:rsid w:val="00876A48"/>
    <w:rsid w:val="00882C52"/>
    <w:rsid w:val="00883688"/>
    <w:rsid w:val="00892016"/>
    <w:rsid w:val="008E1C68"/>
    <w:rsid w:val="00924DBE"/>
    <w:rsid w:val="00933CEA"/>
    <w:rsid w:val="00934F5D"/>
    <w:rsid w:val="009519DF"/>
    <w:rsid w:val="00972948"/>
    <w:rsid w:val="00972EFD"/>
    <w:rsid w:val="009730D9"/>
    <w:rsid w:val="009863D7"/>
    <w:rsid w:val="0099374C"/>
    <w:rsid w:val="009B5DAF"/>
    <w:rsid w:val="009C66D3"/>
    <w:rsid w:val="009D78BD"/>
    <w:rsid w:val="009D7A88"/>
    <w:rsid w:val="009E32F3"/>
    <w:rsid w:val="009F2B94"/>
    <w:rsid w:val="009F5EAC"/>
    <w:rsid w:val="009F6256"/>
    <w:rsid w:val="00A35A0E"/>
    <w:rsid w:val="00A36C8A"/>
    <w:rsid w:val="00A41051"/>
    <w:rsid w:val="00A67EA0"/>
    <w:rsid w:val="00A7462D"/>
    <w:rsid w:val="00AB0EDE"/>
    <w:rsid w:val="00AB6FE6"/>
    <w:rsid w:val="00AC144F"/>
    <w:rsid w:val="00AC1ED6"/>
    <w:rsid w:val="00AE260D"/>
    <w:rsid w:val="00AE43E8"/>
    <w:rsid w:val="00B709A0"/>
    <w:rsid w:val="00B7298C"/>
    <w:rsid w:val="00B81D96"/>
    <w:rsid w:val="00BA452D"/>
    <w:rsid w:val="00BB48BB"/>
    <w:rsid w:val="00BC544D"/>
    <w:rsid w:val="00BE3A7A"/>
    <w:rsid w:val="00BF44B6"/>
    <w:rsid w:val="00C25DED"/>
    <w:rsid w:val="00C53751"/>
    <w:rsid w:val="00C574CF"/>
    <w:rsid w:val="00C62441"/>
    <w:rsid w:val="00C70EAC"/>
    <w:rsid w:val="00C74ADD"/>
    <w:rsid w:val="00C86EB3"/>
    <w:rsid w:val="00CA0F30"/>
    <w:rsid w:val="00CB4FE8"/>
    <w:rsid w:val="00CC559F"/>
    <w:rsid w:val="00D540F5"/>
    <w:rsid w:val="00DA1995"/>
    <w:rsid w:val="00DA4274"/>
    <w:rsid w:val="00DA6417"/>
    <w:rsid w:val="00DC27AE"/>
    <w:rsid w:val="00DC55C0"/>
    <w:rsid w:val="00E10128"/>
    <w:rsid w:val="00E2205F"/>
    <w:rsid w:val="00E23E96"/>
    <w:rsid w:val="00E2415F"/>
    <w:rsid w:val="00E42145"/>
    <w:rsid w:val="00E73F3D"/>
    <w:rsid w:val="00E826FB"/>
    <w:rsid w:val="00E82C51"/>
    <w:rsid w:val="00E85285"/>
    <w:rsid w:val="00E8724C"/>
    <w:rsid w:val="00ED0D76"/>
    <w:rsid w:val="00F00930"/>
    <w:rsid w:val="00F00993"/>
    <w:rsid w:val="00F20459"/>
    <w:rsid w:val="00F45CD1"/>
    <w:rsid w:val="00F91A1A"/>
    <w:rsid w:val="00FC72EB"/>
    <w:rsid w:val="00FD4525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A"/>
    <w:rPr>
      <w:rFonts w:eastAsia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C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4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27"/>
    <w:rPr>
      <w:rFonts w:eastAsia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B6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27"/>
    <w:rPr>
      <w:rFonts w:eastAsia="Times New Roman"/>
      <w:sz w:val="24"/>
      <w:szCs w:val="24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10337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03372"/>
  </w:style>
  <w:style w:type="character" w:styleId="CommentReference">
    <w:name w:val="annotation reference"/>
    <w:basedOn w:val="DefaultParagraphFont"/>
    <w:uiPriority w:val="99"/>
    <w:semiHidden/>
    <w:unhideWhenUsed/>
    <w:rsid w:val="0010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72"/>
    <w:rPr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72"/>
    <w:rPr>
      <w:rFonts w:eastAsia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72"/>
    <w:rPr>
      <w:rFonts w:eastAsia="Times New Roman"/>
      <w:b/>
      <w:bCs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CA"/>
    <w:rPr>
      <w:rFonts w:eastAsia="Times New Roman"/>
      <w:sz w:val="24"/>
      <w:szCs w:val="24"/>
      <w:lang w:val="en-GB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24C"/>
    <w:rPr>
      <w:rFonts w:ascii="Lucida Grande" w:hAnsi="Lucida Grande" w:cs="Lucida Grande"/>
      <w:sz w:val="18"/>
      <w:szCs w:val="18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E8724C"/>
    <w:rPr>
      <w:rFonts w:ascii="Lucida Grande" w:hAnsi="Lucida Grande" w:cs="Lucida Grande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1E4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the accommodation of Arabic and other UN languages into the Ramsar Convention</vt:lpstr>
    </vt:vector>
  </TitlesOfParts>
  <Company>DJEnvironmental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the accommodation of Arabic and other UN languages into the Ramsar Convention</dc:title>
  <dc:creator>Tim Jones</dc:creator>
  <cp:lastModifiedBy>Ramsar\JenningsE</cp:lastModifiedBy>
  <cp:revision>2</cp:revision>
  <dcterms:created xsi:type="dcterms:W3CDTF">2015-02-11T17:45:00Z</dcterms:created>
  <dcterms:modified xsi:type="dcterms:W3CDTF">2015-02-11T17:45:00Z</dcterms:modified>
</cp:coreProperties>
</file>