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D3" w:rsidRPr="009F2B0C" w:rsidRDefault="000B26D3" w:rsidP="000B26D3">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lang w:val="fr-CA"/>
        </w:rPr>
      </w:pPr>
      <w:bookmarkStart w:id="0" w:name="OLE_LINK1"/>
      <w:r w:rsidRPr="009F2B0C">
        <w:rPr>
          <w:rFonts w:ascii="Calibri" w:hAnsi="Calibri"/>
          <w:bCs/>
          <w:lang w:val="fr-CA"/>
        </w:rPr>
        <w:t xml:space="preserve">CONVENTION </w:t>
      </w:r>
      <w:r w:rsidR="00CF17CC">
        <w:rPr>
          <w:rFonts w:ascii="Calibri" w:hAnsi="Calibri"/>
          <w:bCs/>
          <w:lang w:val="fr-CA"/>
        </w:rPr>
        <w:t>SUR LES ZONES HUMIDES</w:t>
      </w:r>
      <w:r w:rsidRPr="009F2B0C">
        <w:rPr>
          <w:rFonts w:ascii="Calibri" w:hAnsi="Calibri"/>
          <w:bCs/>
          <w:lang w:val="fr-CA"/>
        </w:rPr>
        <w:t xml:space="preserve"> (Ramsar, Iran, 1971)</w:t>
      </w:r>
    </w:p>
    <w:p w:rsidR="000B26D3" w:rsidRPr="009F2B0C" w:rsidRDefault="00866C39" w:rsidP="000B26D3">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lang w:val="fr-CA"/>
        </w:rPr>
      </w:pPr>
      <w:r w:rsidRPr="009F2B0C">
        <w:rPr>
          <w:rFonts w:ascii="Calibri" w:hAnsi="Calibri"/>
          <w:bCs/>
          <w:lang w:val="fr-CA"/>
        </w:rPr>
        <w:t>48</w:t>
      </w:r>
      <w:r w:rsidR="00CF17CC">
        <w:rPr>
          <w:rFonts w:ascii="Calibri" w:hAnsi="Calibri"/>
          <w:bCs/>
          <w:vertAlign w:val="superscript"/>
          <w:lang w:val="fr-CA"/>
        </w:rPr>
        <w:t>e</w:t>
      </w:r>
      <w:r w:rsidR="000B26D3" w:rsidRPr="009F2B0C">
        <w:rPr>
          <w:rFonts w:ascii="Calibri" w:hAnsi="Calibri"/>
          <w:bCs/>
          <w:lang w:val="fr-CA"/>
        </w:rPr>
        <w:t xml:space="preserve"> </w:t>
      </w:r>
      <w:r w:rsidR="00CF17CC">
        <w:rPr>
          <w:rFonts w:ascii="Calibri" w:hAnsi="Calibri"/>
          <w:bCs/>
          <w:lang w:val="fr-CA"/>
        </w:rPr>
        <w:t>Réunion du Comité permanent</w:t>
      </w:r>
    </w:p>
    <w:p w:rsidR="000B26D3" w:rsidRPr="009F2B0C" w:rsidRDefault="000B26D3" w:rsidP="000B26D3">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lang w:val="fr-CA"/>
        </w:rPr>
      </w:pPr>
      <w:r w:rsidRPr="009F2B0C">
        <w:rPr>
          <w:rFonts w:ascii="Calibri" w:hAnsi="Calibri"/>
          <w:bCs/>
          <w:lang w:val="fr-CA"/>
        </w:rPr>
        <w:t xml:space="preserve">Gland, </w:t>
      </w:r>
      <w:r w:rsidR="00CF17CC">
        <w:rPr>
          <w:rFonts w:ascii="Calibri" w:hAnsi="Calibri"/>
          <w:bCs/>
          <w:lang w:val="fr-CA"/>
        </w:rPr>
        <w:t>Suisse</w:t>
      </w:r>
      <w:r w:rsidRPr="009F2B0C">
        <w:rPr>
          <w:rFonts w:ascii="Calibri" w:hAnsi="Calibri"/>
          <w:bCs/>
          <w:lang w:val="fr-CA"/>
        </w:rPr>
        <w:t xml:space="preserve">, </w:t>
      </w:r>
      <w:r w:rsidR="00866C39" w:rsidRPr="009F2B0C">
        <w:rPr>
          <w:rFonts w:ascii="Calibri" w:hAnsi="Calibri"/>
          <w:bCs/>
          <w:lang w:val="fr-CA"/>
        </w:rPr>
        <w:t xml:space="preserve">26-30 </w:t>
      </w:r>
      <w:r w:rsidR="00CF17CC">
        <w:rPr>
          <w:rFonts w:ascii="Calibri" w:hAnsi="Calibri"/>
          <w:bCs/>
          <w:lang w:val="fr-CA"/>
        </w:rPr>
        <w:t>janvier</w:t>
      </w:r>
      <w:r w:rsidR="00C8563F">
        <w:rPr>
          <w:rFonts w:ascii="Calibri" w:hAnsi="Calibri"/>
          <w:bCs/>
          <w:lang w:val="fr-CA"/>
        </w:rPr>
        <w:t xml:space="preserve"> 2015</w:t>
      </w:r>
    </w:p>
    <w:p w:rsidR="000B26D3" w:rsidRPr="009F2B0C" w:rsidRDefault="000B26D3" w:rsidP="000B26D3">
      <w:pPr>
        <w:keepNext/>
        <w:suppressAutoHyphens/>
        <w:outlineLvl w:val="0"/>
        <w:rPr>
          <w:rFonts w:ascii="Calibri" w:hAnsi="Calibri"/>
          <w:b/>
          <w:sz w:val="22"/>
          <w:szCs w:val="22"/>
          <w:lang w:val="fr-CA"/>
        </w:rPr>
      </w:pPr>
    </w:p>
    <w:p w:rsidR="000B26D3" w:rsidRPr="00C8563F" w:rsidRDefault="000B26D3" w:rsidP="000B26D3">
      <w:pPr>
        <w:keepNext/>
        <w:suppressAutoHyphens/>
        <w:jc w:val="right"/>
        <w:outlineLvl w:val="0"/>
        <w:rPr>
          <w:rFonts w:ascii="Calibri" w:hAnsi="Calibri"/>
          <w:b/>
          <w:sz w:val="28"/>
          <w:szCs w:val="28"/>
          <w:lang w:val="fr-CA"/>
        </w:rPr>
      </w:pPr>
      <w:r w:rsidRPr="00C8563F">
        <w:rPr>
          <w:rFonts w:ascii="Calibri" w:hAnsi="Calibri"/>
          <w:b/>
          <w:sz w:val="28"/>
          <w:szCs w:val="28"/>
          <w:lang w:val="fr-CA"/>
        </w:rPr>
        <w:t>SC4</w:t>
      </w:r>
      <w:r w:rsidR="00866C39" w:rsidRPr="00C8563F">
        <w:rPr>
          <w:rFonts w:ascii="Calibri" w:hAnsi="Calibri"/>
          <w:b/>
          <w:sz w:val="28"/>
          <w:szCs w:val="28"/>
          <w:lang w:val="fr-CA"/>
        </w:rPr>
        <w:t>8</w:t>
      </w:r>
      <w:r w:rsidRPr="00C8563F">
        <w:rPr>
          <w:rFonts w:ascii="Calibri" w:hAnsi="Calibri"/>
          <w:b/>
          <w:sz w:val="28"/>
          <w:szCs w:val="28"/>
          <w:lang w:val="fr-CA"/>
        </w:rPr>
        <w:t>-</w:t>
      </w:r>
      <w:r w:rsidR="00684539" w:rsidRPr="00C8563F">
        <w:rPr>
          <w:rFonts w:ascii="Calibri" w:hAnsi="Calibri"/>
          <w:b/>
          <w:sz w:val="28"/>
          <w:szCs w:val="28"/>
          <w:lang w:val="fr-CA"/>
        </w:rPr>
        <w:t>1</w:t>
      </w:r>
      <w:r w:rsidR="00866C39" w:rsidRPr="00C8563F">
        <w:rPr>
          <w:rFonts w:ascii="Calibri" w:hAnsi="Calibri"/>
          <w:b/>
          <w:sz w:val="28"/>
          <w:szCs w:val="28"/>
          <w:lang w:val="fr-CA"/>
        </w:rPr>
        <w:t>0</w:t>
      </w:r>
    </w:p>
    <w:bookmarkEnd w:id="0"/>
    <w:p w:rsidR="008D6FBA" w:rsidRPr="00C8563F" w:rsidRDefault="008D6FBA" w:rsidP="00AE6645">
      <w:pPr>
        <w:rPr>
          <w:rFonts w:ascii="Calibri" w:hAnsi="Calibri" w:cs="Calibri"/>
          <w:sz w:val="28"/>
          <w:szCs w:val="28"/>
          <w:highlight w:val="yellow"/>
          <w:lang w:val="fr-CA"/>
        </w:rPr>
      </w:pPr>
    </w:p>
    <w:p w:rsidR="000B26D3" w:rsidRPr="00C8563F" w:rsidRDefault="00CF17CC" w:rsidP="00684539">
      <w:pPr>
        <w:jc w:val="center"/>
        <w:rPr>
          <w:rFonts w:ascii="Calibri" w:hAnsi="Calibri" w:cs="Calibri"/>
          <w:b/>
          <w:sz w:val="28"/>
          <w:szCs w:val="28"/>
          <w:lang w:val="fr-CA"/>
        </w:rPr>
      </w:pPr>
      <w:r w:rsidRPr="00C8563F">
        <w:rPr>
          <w:rFonts w:ascii="Calibri" w:hAnsi="Calibri" w:cs="Calibri"/>
          <w:b/>
          <w:sz w:val="28"/>
          <w:szCs w:val="28"/>
          <w:lang w:val="fr-CA"/>
        </w:rPr>
        <w:t xml:space="preserve">Parties contractantes ayant des </w:t>
      </w:r>
      <w:r w:rsidR="00491EBE" w:rsidRPr="00C8563F">
        <w:rPr>
          <w:rFonts w:ascii="Calibri" w:hAnsi="Calibri" w:cs="Calibri"/>
          <w:b/>
          <w:sz w:val="28"/>
          <w:szCs w:val="28"/>
          <w:lang w:val="fr-CA"/>
        </w:rPr>
        <w:t xml:space="preserve">arriérés de </w:t>
      </w:r>
      <w:r w:rsidRPr="00C8563F">
        <w:rPr>
          <w:rFonts w:ascii="Calibri" w:hAnsi="Calibri" w:cs="Calibri"/>
          <w:b/>
          <w:sz w:val="28"/>
          <w:szCs w:val="28"/>
          <w:lang w:val="fr-CA"/>
        </w:rPr>
        <w:t xml:space="preserve">contributions annuelles </w:t>
      </w:r>
    </w:p>
    <w:p w:rsidR="000B26D3" w:rsidRPr="009F2B0C" w:rsidRDefault="000B26D3" w:rsidP="000B26D3">
      <w:pPr>
        <w:autoSpaceDE w:val="0"/>
        <w:autoSpaceDN w:val="0"/>
        <w:adjustRightInd w:val="0"/>
        <w:rPr>
          <w:rFonts w:ascii="Calibri" w:hAnsi="Calibri" w:cs="Calibri"/>
          <w:lang w:val="fr-CA"/>
        </w:rPr>
      </w:pPr>
    </w:p>
    <w:p w:rsidR="003B7B1C" w:rsidRPr="009F2B0C" w:rsidRDefault="003B7B1C" w:rsidP="000B26D3">
      <w:pPr>
        <w:autoSpaceDE w:val="0"/>
        <w:autoSpaceDN w:val="0"/>
        <w:adjustRightInd w:val="0"/>
        <w:rPr>
          <w:rFonts w:ascii="Calibri" w:hAnsi="Calibri" w:cs="Calibri"/>
          <w:lang w:val="fr-CA"/>
        </w:rPr>
      </w:pPr>
    </w:p>
    <w:p w:rsidR="000B26D3" w:rsidRPr="009F2B0C" w:rsidRDefault="007D4EA1" w:rsidP="000B26D3">
      <w:pPr>
        <w:autoSpaceDE w:val="0"/>
        <w:autoSpaceDN w:val="0"/>
        <w:adjustRightInd w:val="0"/>
        <w:rPr>
          <w:rFonts w:ascii="Calibri" w:hAnsi="Calibri" w:cs="Calibri"/>
          <w:lang w:val="fr-CA"/>
        </w:rPr>
      </w:pPr>
      <w:r w:rsidRPr="007D4EA1">
        <w:rPr>
          <w:noProof/>
        </w:rPr>
      </w:r>
      <w:r w:rsidRPr="007D4EA1">
        <w:rPr>
          <w:noProof/>
        </w:rPr>
        <w:pict>
          <v:shapetype id="_x0000_t202" coordsize="21600,21600" o:spt="202" path="m,l,21600r21600,l21600,xe">
            <v:stroke joinstyle="miter"/>
            <v:path gradientshapeok="t" o:connecttype="rect"/>
          </v:shapetype>
          <v:shape id="Text Box 5" o:spid="_x0000_s1026" type="#_x0000_t202" style="width:460.05pt;height: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">
            <v:textbox>
              <w:txbxContent>
                <w:p w:rsidR="00A9650E" w:rsidRPr="00CF17CC" w:rsidRDefault="00A9650E" w:rsidP="000B26D3">
                  <w:pPr>
                    <w:rPr>
                      <w:rFonts w:ascii="Calibri" w:hAnsi="Calibri"/>
                      <w:b/>
                      <w:bCs/>
                      <w:sz w:val="22"/>
                      <w:szCs w:val="22"/>
                      <w:lang w:val="fr-CA"/>
                    </w:rPr>
                  </w:pPr>
                  <w:r>
                    <w:rPr>
                      <w:rFonts w:ascii="Calibri" w:hAnsi="Calibri"/>
                      <w:b/>
                      <w:bCs/>
                      <w:sz w:val="22"/>
                      <w:szCs w:val="22"/>
                      <w:lang w:val="fr-CA"/>
                    </w:rPr>
                    <w:t>Action requise </w:t>
                  </w:r>
                  <w:r w:rsidRPr="00CF17CC">
                    <w:rPr>
                      <w:rFonts w:ascii="Calibri" w:hAnsi="Calibri"/>
                      <w:b/>
                      <w:bCs/>
                      <w:sz w:val="22"/>
                      <w:szCs w:val="22"/>
                      <w:lang w:val="fr-CA"/>
                    </w:rPr>
                    <w:t xml:space="preserve">: </w:t>
                  </w:r>
                </w:p>
                <w:p w:rsidR="00A9650E" w:rsidRPr="00CF17CC" w:rsidRDefault="00A9650E" w:rsidP="00AE6645">
                  <w:pPr>
                    <w:pStyle w:val="ColorfulList-Accent11"/>
                    <w:numPr>
                      <w:ilvl w:val="0"/>
                      <w:numId w:val="43"/>
                    </w:numPr>
                    <w:spacing w:after="0" w:line="240" w:lineRule="auto"/>
                    <w:ind w:left="426" w:hanging="426"/>
                    <w:rPr>
                      <w:lang w:val="fr-CA"/>
                    </w:rPr>
                  </w:pPr>
                  <w:r>
                    <w:rPr>
                      <w:lang w:val="fr-CA"/>
                    </w:rPr>
                    <w:t xml:space="preserve">Le Comité permanent est invité à prendre note de l’état actuel des arriérés de contributions annuelles des Parties ainsi que des mesures prises et prévues par le Secrétariat </w:t>
                  </w:r>
                  <w:r>
                    <w:rPr>
                      <w:rFonts w:cs="Calibri"/>
                      <w:lang w:val="fr-CA"/>
                    </w:rPr>
                    <w:t>pour stimuler le paiement des contributions impayées.</w:t>
                  </w:r>
                </w:p>
              </w:txbxContent>
            </v:textbox>
            <w10:wrap type="none"/>
            <w10:anchorlock/>
          </v:shape>
        </w:pict>
      </w:r>
    </w:p>
    <w:p w:rsidR="000B26D3" w:rsidRPr="00C8563F" w:rsidRDefault="000B26D3" w:rsidP="000B26D3">
      <w:pPr>
        <w:autoSpaceDE w:val="0"/>
        <w:autoSpaceDN w:val="0"/>
        <w:adjustRightInd w:val="0"/>
        <w:rPr>
          <w:rFonts w:ascii="Calibri" w:hAnsi="Calibri" w:cs="Calibri"/>
          <w:sz w:val="22"/>
          <w:szCs w:val="22"/>
          <w:lang w:val="fr-CA"/>
        </w:rPr>
      </w:pPr>
    </w:p>
    <w:p w:rsidR="00314C1E" w:rsidRPr="00C8563F" w:rsidRDefault="00314C1E" w:rsidP="000B26D3">
      <w:pPr>
        <w:autoSpaceDE w:val="0"/>
        <w:autoSpaceDN w:val="0"/>
        <w:adjustRightInd w:val="0"/>
        <w:rPr>
          <w:rFonts w:ascii="Calibri" w:hAnsi="Calibri" w:cs="Calibri"/>
          <w:sz w:val="22"/>
          <w:szCs w:val="22"/>
          <w:lang w:val="fr-CA"/>
        </w:rPr>
      </w:pPr>
    </w:p>
    <w:p w:rsidR="000B26D3" w:rsidRPr="00C8563F" w:rsidRDefault="00CF17CC" w:rsidP="000B26D3">
      <w:pPr>
        <w:autoSpaceDE w:val="0"/>
        <w:autoSpaceDN w:val="0"/>
        <w:adjustRightInd w:val="0"/>
        <w:rPr>
          <w:rFonts w:ascii="Calibri" w:hAnsi="Calibri" w:cs="Calibri"/>
          <w:b/>
          <w:sz w:val="22"/>
          <w:szCs w:val="22"/>
          <w:lang w:val="fr-CA"/>
        </w:rPr>
      </w:pPr>
      <w:r w:rsidRPr="00C8563F">
        <w:rPr>
          <w:rFonts w:ascii="Calibri" w:hAnsi="Calibri" w:cs="Calibri"/>
          <w:b/>
          <w:sz w:val="22"/>
          <w:szCs w:val="22"/>
          <w:lang w:val="fr-CA"/>
        </w:rPr>
        <w:t>Contexte</w:t>
      </w:r>
    </w:p>
    <w:p w:rsidR="000B26D3" w:rsidRPr="00C8563F" w:rsidRDefault="000B26D3" w:rsidP="000B26D3">
      <w:pPr>
        <w:autoSpaceDE w:val="0"/>
        <w:autoSpaceDN w:val="0"/>
        <w:adjustRightInd w:val="0"/>
        <w:rPr>
          <w:rFonts w:ascii="Calibri" w:hAnsi="Calibri" w:cs="Calibri"/>
          <w:sz w:val="22"/>
          <w:szCs w:val="22"/>
          <w:lang w:val="fr-CA"/>
        </w:rPr>
      </w:pPr>
    </w:p>
    <w:p w:rsidR="000B26D3" w:rsidRPr="00C8563F" w:rsidRDefault="00CF17CC" w:rsidP="00491EBE">
      <w:pPr>
        <w:numPr>
          <w:ilvl w:val="0"/>
          <w:numId w:val="39"/>
        </w:numPr>
        <w:autoSpaceDE w:val="0"/>
        <w:autoSpaceDN w:val="0"/>
        <w:adjustRightInd w:val="0"/>
        <w:ind w:left="450" w:hanging="450"/>
        <w:rPr>
          <w:rFonts w:ascii="Calibri" w:hAnsi="Calibri" w:cs="Calibri"/>
          <w:sz w:val="22"/>
          <w:szCs w:val="22"/>
          <w:lang w:val="fr-CH"/>
        </w:rPr>
      </w:pPr>
      <w:r w:rsidRPr="00C8563F">
        <w:rPr>
          <w:rFonts w:ascii="Calibri" w:hAnsi="Calibri" w:cs="Calibri"/>
          <w:sz w:val="22"/>
          <w:szCs w:val="22"/>
          <w:lang w:val="fr-CH"/>
        </w:rPr>
        <w:t>L’article </w:t>
      </w:r>
      <w:r w:rsidR="00A5446F" w:rsidRPr="00C8563F">
        <w:rPr>
          <w:rFonts w:ascii="Calibri" w:hAnsi="Calibri" w:cs="Calibri"/>
          <w:sz w:val="22"/>
          <w:szCs w:val="22"/>
          <w:lang w:val="fr-CH"/>
        </w:rPr>
        <w:t>6.6</w:t>
      </w:r>
      <w:r w:rsidRPr="00C8563F">
        <w:rPr>
          <w:rFonts w:ascii="Calibri" w:hAnsi="Calibri" w:cs="Calibri"/>
          <w:sz w:val="22"/>
          <w:szCs w:val="22"/>
          <w:lang w:val="fr-CH"/>
        </w:rPr>
        <w:t xml:space="preserve"> de la </w:t>
      </w:r>
      <w:r w:rsidR="00A5446F" w:rsidRPr="00C8563F">
        <w:rPr>
          <w:rFonts w:ascii="Calibri" w:hAnsi="Calibri" w:cs="Calibri"/>
          <w:sz w:val="22"/>
          <w:szCs w:val="22"/>
          <w:lang w:val="fr-CH"/>
        </w:rPr>
        <w:t xml:space="preserve">Convention </w:t>
      </w:r>
      <w:r w:rsidRPr="00C8563F">
        <w:rPr>
          <w:rFonts w:ascii="Calibri" w:hAnsi="Calibri" w:cs="Calibri"/>
          <w:sz w:val="22"/>
          <w:szCs w:val="22"/>
          <w:lang w:val="fr-CH"/>
        </w:rPr>
        <w:t>stipule : « </w:t>
      </w:r>
      <w:r w:rsidR="00491EBE" w:rsidRPr="00C8563F">
        <w:rPr>
          <w:rFonts w:ascii="Calibri" w:hAnsi="Calibri" w:cs="Calibri"/>
          <w:sz w:val="22"/>
          <w:szCs w:val="22"/>
          <w:lang w:val="fr-CH"/>
        </w:rPr>
        <w:t>Chaque Partie contractante contribue à ce budget selon un barème des contributions adopté à l'unanimité des Parties contractantes présentes et votantes à une session ordinaire de la Conférence des Parties contractantes</w:t>
      </w:r>
      <w:r w:rsidRPr="00C8563F">
        <w:rPr>
          <w:rFonts w:ascii="Calibri" w:hAnsi="Calibri" w:cs="Calibri"/>
          <w:sz w:val="22"/>
          <w:szCs w:val="22"/>
          <w:lang w:val="fr-CH"/>
        </w:rPr>
        <w:t> »</w:t>
      </w:r>
      <w:r w:rsidR="00A5446F" w:rsidRPr="00C8563F">
        <w:rPr>
          <w:rFonts w:ascii="Calibri" w:hAnsi="Calibri" w:cs="Calibri"/>
          <w:sz w:val="22"/>
          <w:szCs w:val="22"/>
          <w:lang w:val="fr-CH"/>
        </w:rPr>
        <w:t xml:space="preserve">. </w:t>
      </w:r>
    </w:p>
    <w:p w:rsidR="000B26D3" w:rsidRPr="00C8563F" w:rsidRDefault="000B26D3" w:rsidP="000B26D3">
      <w:pPr>
        <w:autoSpaceDE w:val="0"/>
        <w:autoSpaceDN w:val="0"/>
        <w:adjustRightInd w:val="0"/>
        <w:rPr>
          <w:rFonts w:ascii="Calibri" w:hAnsi="Calibri" w:cs="Calibri"/>
          <w:sz w:val="22"/>
          <w:szCs w:val="22"/>
          <w:lang w:val="fr-CH"/>
        </w:rPr>
      </w:pPr>
    </w:p>
    <w:p w:rsidR="000B26D3" w:rsidRPr="00C8563F" w:rsidRDefault="00CF17CC" w:rsidP="000B26D3">
      <w:pPr>
        <w:numPr>
          <w:ilvl w:val="0"/>
          <w:numId w:val="39"/>
        </w:numPr>
        <w:autoSpaceDE w:val="0"/>
        <w:autoSpaceDN w:val="0"/>
        <w:adjustRightInd w:val="0"/>
        <w:ind w:left="426" w:hanging="426"/>
        <w:rPr>
          <w:rFonts w:ascii="Calibri" w:hAnsi="Calibri" w:cs="Calibri"/>
          <w:sz w:val="22"/>
          <w:szCs w:val="22"/>
          <w:lang w:val="fr-CA"/>
        </w:rPr>
      </w:pPr>
      <w:r w:rsidRPr="00C8563F">
        <w:rPr>
          <w:rFonts w:ascii="Calibri" w:hAnsi="Calibri" w:cs="Calibri"/>
          <w:sz w:val="22"/>
          <w:szCs w:val="22"/>
          <w:lang w:val="fr-CA"/>
        </w:rPr>
        <w:t xml:space="preserve">Les contributions annuelles (fixées) des Parties servent à financer le budget administratif de la Convention. Chaque année, </w:t>
      </w:r>
      <w:r w:rsidR="00224233" w:rsidRPr="00C8563F">
        <w:rPr>
          <w:rFonts w:ascii="Calibri" w:hAnsi="Calibri" w:cs="Calibri"/>
          <w:sz w:val="22"/>
          <w:szCs w:val="22"/>
          <w:lang w:val="fr-CA"/>
        </w:rPr>
        <w:t>les contributions annuelles sont facturées aux Parties par le</w:t>
      </w:r>
      <w:r w:rsidRPr="00C8563F">
        <w:rPr>
          <w:rFonts w:ascii="Calibri" w:hAnsi="Calibri" w:cs="Calibri"/>
          <w:sz w:val="22"/>
          <w:szCs w:val="22"/>
          <w:lang w:val="fr-CA"/>
        </w:rPr>
        <w:t xml:space="preserve"> Secrétariat. La facture en francs suisses est </w:t>
      </w:r>
      <w:r w:rsidR="00224233" w:rsidRPr="00C8563F">
        <w:rPr>
          <w:rFonts w:ascii="Calibri" w:hAnsi="Calibri" w:cs="Calibri"/>
          <w:sz w:val="22"/>
          <w:szCs w:val="22"/>
          <w:lang w:val="fr-CA"/>
        </w:rPr>
        <w:t>calculée d’après</w:t>
      </w:r>
      <w:r w:rsidRPr="00C8563F">
        <w:rPr>
          <w:rFonts w:ascii="Calibri" w:hAnsi="Calibri" w:cs="Calibri"/>
          <w:sz w:val="22"/>
          <w:szCs w:val="22"/>
          <w:lang w:val="fr-CA"/>
        </w:rPr>
        <w:t xml:space="preserve"> le budget administratif approuvé </w:t>
      </w:r>
      <w:r w:rsidR="0037177E" w:rsidRPr="00C8563F">
        <w:rPr>
          <w:rFonts w:ascii="Calibri" w:hAnsi="Calibri" w:cs="Calibri"/>
          <w:sz w:val="22"/>
          <w:szCs w:val="22"/>
          <w:lang w:val="fr-CA"/>
        </w:rPr>
        <w:t xml:space="preserve">et le barème actuel des </w:t>
      </w:r>
      <w:r w:rsidR="00224233" w:rsidRPr="00C8563F">
        <w:rPr>
          <w:rFonts w:ascii="Calibri" w:hAnsi="Calibri" w:cs="Calibri"/>
          <w:sz w:val="22"/>
          <w:szCs w:val="22"/>
          <w:lang w:val="fr-CA"/>
        </w:rPr>
        <w:t>quotes-parts</w:t>
      </w:r>
      <w:r w:rsidR="0037177E" w:rsidRPr="00C8563F">
        <w:rPr>
          <w:rFonts w:ascii="Calibri" w:hAnsi="Calibri" w:cs="Calibri"/>
          <w:sz w:val="22"/>
          <w:szCs w:val="22"/>
          <w:lang w:val="fr-CA"/>
        </w:rPr>
        <w:t xml:space="preserve"> des Nations Unies. (Le barème des </w:t>
      </w:r>
      <w:r w:rsidR="00224233" w:rsidRPr="00C8563F">
        <w:rPr>
          <w:rFonts w:ascii="Calibri" w:hAnsi="Calibri" w:cs="Calibri"/>
          <w:sz w:val="22"/>
          <w:szCs w:val="22"/>
          <w:lang w:val="fr-CA"/>
        </w:rPr>
        <w:t>quotes-parts</w:t>
      </w:r>
      <w:r w:rsidR="0037177E" w:rsidRPr="00C8563F">
        <w:rPr>
          <w:rFonts w:ascii="Calibri" w:hAnsi="Calibri" w:cs="Calibri"/>
          <w:sz w:val="22"/>
          <w:szCs w:val="22"/>
          <w:lang w:val="fr-CA"/>
        </w:rPr>
        <w:t xml:space="preserve"> des Nations Unies actuel est ajusté au prorata pour refléter </w:t>
      </w:r>
      <w:r w:rsidR="008B1E86" w:rsidRPr="00C8563F">
        <w:rPr>
          <w:rFonts w:ascii="Calibri" w:hAnsi="Calibri" w:cs="Calibri"/>
          <w:sz w:val="22"/>
          <w:szCs w:val="22"/>
          <w:lang w:val="fr-CA"/>
        </w:rPr>
        <w:t>la liste des</w:t>
      </w:r>
      <w:r w:rsidR="00A15498" w:rsidRPr="00C8563F">
        <w:rPr>
          <w:rFonts w:ascii="Calibri" w:hAnsi="Calibri" w:cs="Calibri"/>
          <w:sz w:val="22"/>
          <w:szCs w:val="22"/>
          <w:lang w:val="fr-CA"/>
        </w:rPr>
        <w:t xml:space="preserve"> </w:t>
      </w:r>
      <w:r w:rsidR="008B1E86" w:rsidRPr="00C8563F">
        <w:rPr>
          <w:rFonts w:ascii="Calibri" w:hAnsi="Calibri" w:cs="Calibri"/>
          <w:sz w:val="22"/>
          <w:szCs w:val="22"/>
          <w:lang w:val="fr-CA"/>
        </w:rPr>
        <w:t>membres de</w:t>
      </w:r>
      <w:r w:rsidR="0037177E" w:rsidRPr="00C8563F">
        <w:rPr>
          <w:rFonts w:ascii="Calibri" w:hAnsi="Calibri" w:cs="Calibri"/>
          <w:sz w:val="22"/>
          <w:szCs w:val="22"/>
          <w:lang w:val="fr-CA"/>
        </w:rPr>
        <w:t xml:space="preserve"> la Convention au début de l’année.) Le revenu est indiqué sur la facture et une créance est enregistrée, présumant un recouvrement complet.  </w:t>
      </w:r>
    </w:p>
    <w:p w:rsidR="000B26D3" w:rsidRPr="00C8563F" w:rsidRDefault="000B26D3" w:rsidP="000B26D3">
      <w:pPr>
        <w:autoSpaceDE w:val="0"/>
        <w:autoSpaceDN w:val="0"/>
        <w:adjustRightInd w:val="0"/>
        <w:rPr>
          <w:rFonts w:ascii="Calibri" w:hAnsi="Calibri" w:cs="Calibri"/>
          <w:sz w:val="22"/>
          <w:szCs w:val="22"/>
          <w:lang w:val="fr-CA"/>
        </w:rPr>
      </w:pPr>
    </w:p>
    <w:p w:rsidR="000B26D3" w:rsidRPr="00C8563F" w:rsidRDefault="0037177E" w:rsidP="000B26D3">
      <w:pPr>
        <w:numPr>
          <w:ilvl w:val="0"/>
          <w:numId w:val="39"/>
        </w:numPr>
        <w:autoSpaceDE w:val="0"/>
        <w:autoSpaceDN w:val="0"/>
        <w:adjustRightInd w:val="0"/>
        <w:ind w:left="426" w:hanging="426"/>
        <w:rPr>
          <w:rFonts w:ascii="Calibri" w:hAnsi="Calibri" w:cs="Calibri"/>
          <w:sz w:val="22"/>
          <w:szCs w:val="22"/>
          <w:lang w:val="fr-CA"/>
        </w:rPr>
      </w:pPr>
      <w:r w:rsidRPr="00C8563F">
        <w:rPr>
          <w:rFonts w:ascii="Calibri" w:hAnsi="Calibri" w:cs="Calibri"/>
          <w:sz w:val="22"/>
          <w:szCs w:val="22"/>
          <w:lang w:val="fr-CA"/>
        </w:rPr>
        <w:t xml:space="preserve">La plupart des Parties contractantes versent leurs contributions fixées en temps opportun. Certaines Parties, pour </w:t>
      </w:r>
      <w:r w:rsidR="00224233" w:rsidRPr="00C8563F">
        <w:rPr>
          <w:rFonts w:ascii="Calibri" w:hAnsi="Calibri" w:cs="Calibri"/>
          <w:sz w:val="22"/>
          <w:szCs w:val="22"/>
          <w:lang w:val="fr-CA"/>
        </w:rPr>
        <w:t>différentes</w:t>
      </w:r>
      <w:r w:rsidRPr="00C8563F">
        <w:rPr>
          <w:rFonts w:ascii="Calibri" w:hAnsi="Calibri" w:cs="Calibri"/>
          <w:sz w:val="22"/>
          <w:szCs w:val="22"/>
          <w:lang w:val="fr-CA"/>
        </w:rPr>
        <w:t xml:space="preserve"> raisons (souvent valables), ne versent pas leurs contributions de façon opportune et parfois ne les versent pas dans l’année pour laquelle elles sont dues. Le Secrétariat est en contact avec les Parties et en mesure d’accepter des paiements à des dates ultérieures précisées sans que cela n’affecte gravement le fonctionnement de la Convention ou du Secrétariat.</w:t>
      </w:r>
    </w:p>
    <w:p w:rsidR="000B26D3" w:rsidRPr="00C8563F" w:rsidRDefault="000B26D3" w:rsidP="000B26D3">
      <w:pPr>
        <w:autoSpaceDE w:val="0"/>
        <w:autoSpaceDN w:val="0"/>
        <w:adjustRightInd w:val="0"/>
        <w:rPr>
          <w:rFonts w:ascii="Calibri" w:hAnsi="Calibri" w:cs="Calibri"/>
          <w:sz w:val="22"/>
          <w:szCs w:val="22"/>
          <w:lang w:val="fr-CA"/>
        </w:rPr>
      </w:pPr>
    </w:p>
    <w:p w:rsidR="000B26D3" w:rsidRPr="00C8563F" w:rsidRDefault="008E1ADA" w:rsidP="000B26D3">
      <w:pPr>
        <w:numPr>
          <w:ilvl w:val="0"/>
          <w:numId w:val="39"/>
        </w:numPr>
        <w:autoSpaceDE w:val="0"/>
        <w:autoSpaceDN w:val="0"/>
        <w:adjustRightInd w:val="0"/>
        <w:ind w:left="426" w:hanging="426"/>
        <w:rPr>
          <w:rFonts w:ascii="Calibri" w:hAnsi="Calibri" w:cs="Calibri"/>
          <w:sz w:val="22"/>
          <w:szCs w:val="22"/>
          <w:lang w:val="fr-CA"/>
        </w:rPr>
      </w:pPr>
      <w:r w:rsidRPr="00C8563F">
        <w:rPr>
          <w:rFonts w:ascii="Calibri" w:hAnsi="Calibri" w:cs="Calibri"/>
          <w:sz w:val="22"/>
          <w:szCs w:val="22"/>
          <w:lang w:val="fr-CA"/>
        </w:rPr>
        <w:t xml:space="preserve">Avant la fin de chaque année fiscale, le Secrétariat évalue l’état des contributions </w:t>
      </w:r>
      <w:r w:rsidR="005532CA" w:rsidRPr="00C8563F">
        <w:rPr>
          <w:rFonts w:ascii="Calibri" w:hAnsi="Calibri" w:cs="Calibri"/>
          <w:sz w:val="22"/>
          <w:szCs w:val="22"/>
          <w:lang w:val="fr-CA"/>
        </w:rPr>
        <w:t>impayées</w:t>
      </w:r>
      <w:r w:rsidRPr="00C8563F">
        <w:rPr>
          <w:rFonts w:ascii="Calibri" w:hAnsi="Calibri" w:cs="Calibri"/>
          <w:sz w:val="22"/>
          <w:szCs w:val="22"/>
          <w:lang w:val="fr-CA"/>
        </w:rPr>
        <w:t xml:space="preserve">, d’après les montants et la durée de l’arriéré, et enregistre une provision en conséquence. Chaque augmentation annuelle de la provision réduit les fonds administratifs disponibles pour </w:t>
      </w:r>
      <w:r w:rsidR="00A15498" w:rsidRPr="00C8563F">
        <w:rPr>
          <w:rFonts w:ascii="Calibri" w:hAnsi="Calibri" w:cs="Calibri"/>
          <w:sz w:val="22"/>
          <w:szCs w:val="22"/>
          <w:lang w:val="fr-CA"/>
        </w:rPr>
        <w:t>les</w:t>
      </w:r>
      <w:r w:rsidRPr="00C8563F">
        <w:rPr>
          <w:rFonts w:ascii="Calibri" w:hAnsi="Calibri" w:cs="Calibri"/>
          <w:sz w:val="22"/>
          <w:szCs w:val="22"/>
          <w:lang w:val="fr-CA"/>
        </w:rPr>
        <w:t xml:space="preserve"> dépens</w:t>
      </w:r>
      <w:r w:rsidR="00A15498" w:rsidRPr="00C8563F">
        <w:rPr>
          <w:rFonts w:ascii="Calibri" w:hAnsi="Calibri" w:cs="Calibri"/>
          <w:sz w:val="22"/>
          <w:szCs w:val="22"/>
          <w:lang w:val="fr-CA"/>
        </w:rPr>
        <w:t>e</w:t>
      </w:r>
      <w:r w:rsidRPr="00C8563F">
        <w:rPr>
          <w:rFonts w:ascii="Calibri" w:hAnsi="Calibri" w:cs="Calibri"/>
          <w:sz w:val="22"/>
          <w:szCs w:val="22"/>
          <w:lang w:val="fr-CA"/>
        </w:rPr>
        <w:t>s</w:t>
      </w:r>
      <w:r w:rsidR="000B26D3" w:rsidRPr="00C8563F">
        <w:rPr>
          <w:rFonts w:ascii="Calibri" w:hAnsi="Calibri"/>
          <w:sz w:val="22"/>
          <w:szCs w:val="22"/>
          <w:vertAlign w:val="superscript"/>
          <w:lang w:val="fr-CA"/>
        </w:rPr>
        <w:footnoteReference w:id="1"/>
      </w:r>
      <w:r w:rsidRPr="00C8563F">
        <w:rPr>
          <w:rFonts w:ascii="Calibri" w:hAnsi="Calibri" w:cs="Calibri"/>
          <w:sz w:val="22"/>
          <w:szCs w:val="22"/>
          <w:lang w:val="fr-CA"/>
        </w:rPr>
        <w:t>.</w:t>
      </w:r>
    </w:p>
    <w:p w:rsidR="000B26D3" w:rsidRPr="00C8563F" w:rsidRDefault="000B26D3" w:rsidP="000B26D3">
      <w:pPr>
        <w:autoSpaceDE w:val="0"/>
        <w:autoSpaceDN w:val="0"/>
        <w:adjustRightInd w:val="0"/>
        <w:rPr>
          <w:rFonts w:ascii="Calibri" w:hAnsi="Calibri" w:cs="Calibri"/>
          <w:sz w:val="22"/>
          <w:szCs w:val="22"/>
          <w:lang w:val="fr-CA"/>
        </w:rPr>
      </w:pPr>
    </w:p>
    <w:p w:rsidR="000B26D3" w:rsidRPr="00C8563F" w:rsidRDefault="0099383D" w:rsidP="000B26D3">
      <w:pPr>
        <w:numPr>
          <w:ilvl w:val="0"/>
          <w:numId w:val="39"/>
        </w:numPr>
        <w:autoSpaceDE w:val="0"/>
        <w:autoSpaceDN w:val="0"/>
        <w:adjustRightInd w:val="0"/>
        <w:ind w:left="426" w:hanging="426"/>
        <w:rPr>
          <w:rFonts w:ascii="Calibri" w:hAnsi="Calibri" w:cs="Calibri"/>
          <w:sz w:val="22"/>
          <w:szCs w:val="22"/>
          <w:lang w:val="fr-CA"/>
        </w:rPr>
      </w:pPr>
      <w:r w:rsidRPr="00C8563F">
        <w:rPr>
          <w:rFonts w:ascii="Calibri" w:hAnsi="Calibri" w:cs="Calibri"/>
          <w:sz w:val="22"/>
          <w:szCs w:val="22"/>
          <w:lang w:val="fr-CA"/>
        </w:rPr>
        <w:t xml:space="preserve">Les contributions </w:t>
      </w:r>
      <w:r w:rsidR="008B1E86" w:rsidRPr="00C8563F">
        <w:rPr>
          <w:rFonts w:ascii="Calibri" w:hAnsi="Calibri" w:cs="Calibri"/>
          <w:sz w:val="22"/>
          <w:szCs w:val="22"/>
          <w:lang w:val="fr-CA"/>
        </w:rPr>
        <w:t>au budget administratif</w:t>
      </w:r>
      <w:r w:rsidRPr="00C8563F">
        <w:rPr>
          <w:rFonts w:ascii="Calibri" w:hAnsi="Calibri" w:cs="Calibri"/>
          <w:sz w:val="22"/>
          <w:szCs w:val="22"/>
          <w:lang w:val="fr-CA"/>
        </w:rPr>
        <w:t xml:space="preserve">, les contributions </w:t>
      </w:r>
      <w:r w:rsidR="005532CA" w:rsidRPr="00C8563F">
        <w:rPr>
          <w:rFonts w:ascii="Calibri" w:hAnsi="Calibri" w:cs="Calibri"/>
          <w:sz w:val="22"/>
          <w:szCs w:val="22"/>
          <w:lang w:val="fr-CA"/>
        </w:rPr>
        <w:t>impayées</w:t>
      </w:r>
      <w:r w:rsidRPr="00C8563F">
        <w:rPr>
          <w:rFonts w:ascii="Calibri" w:hAnsi="Calibri" w:cs="Calibri"/>
          <w:sz w:val="22"/>
          <w:szCs w:val="22"/>
          <w:lang w:val="fr-CA"/>
        </w:rPr>
        <w:t xml:space="preserve"> et la provision pour ces contributions ont augmenté progressivement avec le temps et l’on peut voir, dans le tableau 1, l’état de ces contributions depuis 2010. </w:t>
      </w:r>
    </w:p>
    <w:p w:rsidR="00262C9D" w:rsidRPr="00C8563F" w:rsidRDefault="00262C9D" w:rsidP="00E33904">
      <w:pPr>
        <w:autoSpaceDE w:val="0"/>
        <w:autoSpaceDN w:val="0"/>
        <w:adjustRightInd w:val="0"/>
        <w:rPr>
          <w:rFonts w:ascii="Calibri" w:hAnsi="Calibri" w:cs="Calibri"/>
          <w:sz w:val="22"/>
          <w:szCs w:val="22"/>
          <w:lang w:val="fr-CA"/>
        </w:rPr>
      </w:pPr>
    </w:p>
    <w:p w:rsidR="00AE6645" w:rsidRPr="00C8563F" w:rsidRDefault="00AE6645">
      <w:pPr>
        <w:rPr>
          <w:rFonts w:ascii="Calibri" w:hAnsi="Calibri" w:cs="Calibri"/>
          <w:sz w:val="22"/>
          <w:szCs w:val="22"/>
          <w:lang w:val="fr-CA"/>
        </w:rPr>
      </w:pPr>
    </w:p>
    <w:p w:rsidR="000B26D3" w:rsidRPr="00C8563F" w:rsidRDefault="000B26D3" w:rsidP="00E33904">
      <w:pPr>
        <w:autoSpaceDE w:val="0"/>
        <w:autoSpaceDN w:val="0"/>
        <w:adjustRightInd w:val="0"/>
        <w:rPr>
          <w:rFonts w:ascii="Calibri" w:hAnsi="Calibri" w:cs="Calibri"/>
          <w:sz w:val="22"/>
          <w:szCs w:val="22"/>
          <w:lang w:val="fr-CA"/>
        </w:rPr>
      </w:pPr>
      <w:r w:rsidRPr="00C8563F">
        <w:rPr>
          <w:rFonts w:ascii="Calibri" w:hAnsi="Calibri" w:cs="Calibri"/>
          <w:sz w:val="22"/>
          <w:szCs w:val="22"/>
          <w:lang w:val="fr-CA"/>
        </w:rPr>
        <w:t>Table</w:t>
      </w:r>
      <w:r w:rsidR="007C28D1" w:rsidRPr="00C8563F">
        <w:rPr>
          <w:rFonts w:ascii="Calibri" w:hAnsi="Calibri" w:cs="Calibri"/>
          <w:sz w:val="22"/>
          <w:szCs w:val="22"/>
          <w:lang w:val="fr-CA"/>
        </w:rPr>
        <w:t>au</w:t>
      </w:r>
      <w:r w:rsidRPr="00C8563F">
        <w:rPr>
          <w:rFonts w:ascii="Calibri" w:hAnsi="Calibri" w:cs="Calibri"/>
          <w:sz w:val="22"/>
          <w:szCs w:val="22"/>
          <w:lang w:val="fr-CA"/>
        </w:rPr>
        <w:t xml:space="preserve"> 1: </w:t>
      </w:r>
      <w:r w:rsidR="007C28D1" w:rsidRPr="00C8563F">
        <w:rPr>
          <w:rFonts w:ascii="Calibri" w:hAnsi="Calibri" w:cs="Calibri"/>
          <w:sz w:val="22"/>
          <w:szCs w:val="22"/>
          <w:lang w:val="fr-CA"/>
        </w:rPr>
        <w:t xml:space="preserve">Contributions </w:t>
      </w:r>
      <w:r w:rsidR="005532CA" w:rsidRPr="00C8563F">
        <w:rPr>
          <w:rFonts w:ascii="Calibri" w:hAnsi="Calibri" w:cs="Calibri"/>
          <w:sz w:val="22"/>
          <w:szCs w:val="22"/>
          <w:lang w:val="fr-CA"/>
        </w:rPr>
        <w:t>impayées</w:t>
      </w:r>
      <w:r w:rsidR="007C28D1" w:rsidRPr="00C8563F">
        <w:rPr>
          <w:rFonts w:ascii="Calibri" w:hAnsi="Calibri" w:cs="Calibri"/>
          <w:sz w:val="22"/>
          <w:szCs w:val="22"/>
          <w:lang w:val="fr-CA"/>
        </w:rPr>
        <w:t xml:space="preserve"> et provision pour non-recouvrement, </w:t>
      </w:r>
      <w:r w:rsidR="00950216" w:rsidRPr="00C8563F">
        <w:rPr>
          <w:rFonts w:ascii="Calibri" w:hAnsi="Calibri" w:cs="Calibri"/>
          <w:sz w:val="22"/>
          <w:szCs w:val="22"/>
          <w:lang w:val="fr-CA"/>
        </w:rPr>
        <w:t>2010</w:t>
      </w:r>
      <w:r w:rsidRPr="00C8563F">
        <w:rPr>
          <w:rFonts w:ascii="Calibri" w:hAnsi="Calibri" w:cs="Calibri"/>
          <w:sz w:val="22"/>
          <w:szCs w:val="22"/>
          <w:lang w:val="fr-CA"/>
        </w:rPr>
        <w:t>-201</w:t>
      </w:r>
      <w:r w:rsidR="00866C39" w:rsidRPr="00C8563F">
        <w:rPr>
          <w:rFonts w:ascii="Calibri" w:hAnsi="Calibri" w:cs="Calibri"/>
          <w:sz w:val="22"/>
          <w:szCs w:val="22"/>
          <w:lang w:val="fr-CA"/>
        </w:rPr>
        <w:t>4</w:t>
      </w:r>
    </w:p>
    <w:p w:rsidR="00262C9D" w:rsidRPr="00C8563F" w:rsidRDefault="00262C9D" w:rsidP="00E33904">
      <w:pPr>
        <w:autoSpaceDE w:val="0"/>
        <w:autoSpaceDN w:val="0"/>
        <w:adjustRightInd w:val="0"/>
        <w:rPr>
          <w:rFonts w:ascii="Calibri" w:hAnsi="Calibri" w:cs="Calibri"/>
          <w:sz w:val="22"/>
          <w:szCs w:val="22"/>
          <w:lang w:val="fr-CA"/>
        </w:rPr>
      </w:pPr>
    </w:p>
    <w:tbl>
      <w:tblPr>
        <w:tblW w:w="9267" w:type="dxa"/>
        <w:tblInd w:w="5" w:type="dxa"/>
        <w:tblLayout w:type="fixed"/>
        <w:tblCellMar>
          <w:left w:w="0" w:type="dxa"/>
          <w:right w:w="0" w:type="dxa"/>
        </w:tblCellMar>
        <w:tblLook w:val="0000"/>
      </w:tblPr>
      <w:tblGrid>
        <w:gridCol w:w="3598"/>
        <w:gridCol w:w="1130"/>
        <w:gridCol w:w="1045"/>
        <w:gridCol w:w="1176"/>
        <w:gridCol w:w="1059"/>
        <w:gridCol w:w="1259"/>
      </w:tblGrid>
      <w:tr w:rsidR="0019401F" w:rsidRPr="00C8563F" w:rsidTr="00F1081B">
        <w:trPr>
          <w:trHeight w:hRule="exact" w:val="281"/>
        </w:trPr>
        <w:tc>
          <w:tcPr>
            <w:tcW w:w="3598" w:type="dxa"/>
            <w:tcBorders>
              <w:top w:val="single" w:sz="4" w:space="0" w:color="000000"/>
              <w:left w:val="single" w:sz="4" w:space="0" w:color="000000"/>
              <w:bottom w:val="single" w:sz="4" w:space="0" w:color="000000"/>
              <w:right w:val="single" w:sz="4" w:space="0" w:color="000000"/>
            </w:tcBorders>
          </w:tcPr>
          <w:p w:rsidR="0019401F" w:rsidRPr="00C8563F" w:rsidRDefault="0019401F">
            <w:pPr>
              <w:autoSpaceDE w:val="0"/>
              <w:autoSpaceDN w:val="0"/>
              <w:adjustRightInd w:val="0"/>
              <w:rPr>
                <w:rFonts w:ascii="Calibri" w:hAnsi="Calibri" w:cs="Calibri"/>
                <w:sz w:val="22"/>
                <w:szCs w:val="22"/>
                <w:lang w:val="fr-CA"/>
              </w:rPr>
            </w:pPr>
          </w:p>
        </w:tc>
        <w:tc>
          <w:tcPr>
            <w:tcW w:w="1130"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line="269" w:lineRule="exact"/>
              <w:ind w:left="57" w:right="57"/>
              <w:jc w:val="center"/>
              <w:rPr>
                <w:rFonts w:ascii="Calibri" w:hAnsi="Calibri" w:cs="Calibri"/>
                <w:sz w:val="22"/>
                <w:szCs w:val="22"/>
                <w:lang w:val="fr-CA"/>
              </w:rPr>
            </w:pPr>
            <w:r w:rsidRPr="00C8563F">
              <w:rPr>
                <w:rFonts w:ascii="Calibri" w:hAnsi="Calibri" w:cs="Calibri"/>
                <w:b/>
                <w:bCs/>
                <w:position w:val="1"/>
                <w:sz w:val="22"/>
                <w:szCs w:val="22"/>
                <w:lang w:val="fr-CA"/>
              </w:rPr>
              <w:t>2010</w:t>
            </w:r>
          </w:p>
        </w:tc>
        <w:tc>
          <w:tcPr>
            <w:tcW w:w="1045"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line="269" w:lineRule="exact"/>
              <w:ind w:left="57" w:right="57"/>
              <w:jc w:val="center"/>
              <w:rPr>
                <w:rFonts w:ascii="Calibri" w:hAnsi="Calibri" w:cs="Calibri"/>
                <w:sz w:val="22"/>
                <w:szCs w:val="22"/>
                <w:lang w:val="fr-CA"/>
              </w:rPr>
            </w:pPr>
            <w:r w:rsidRPr="00C8563F">
              <w:rPr>
                <w:rFonts w:ascii="Calibri" w:hAnsi="Calibri" w:cs="Calibri"/>
                <w:b/>
                <w:bCs/>
                <w:position w:val="1"/>
                <w:sz w:val="22"/>
                <w:szCs w:val="22"/>
                <w:lang w:val="fr-CA"/>
              </w:rPr>
              <w:t>2011</w:t>
            </w:r>
          </w:p>
        </w:tc>
        <w:tc>
          <w:tcPr>
            <w:tcW w:w="1176"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line="269" w:lineRule="exact"/>
              <w:ind w:left="57" w:right="57"/>
              <w:jc w:val="center"/>
              <w:rPr>
                <w:rFonts w:ascii="Calibri" w:hAnsi="Calibri" w:cs="Calibri"/>
                <w:b/>
                <w:bCs/>
                <w:position w:val="1"/>
                <w:sz w:val="22"/>
                <w:szCs w:val="22"/>
                <w:lang w:val="fr-CA"/>
              </w:rPr>
            </w:pPr>
            <w:r w:rsidRPr="00C8563F">
              <w:rPr>
                <w:rFonts w:ascii="Calibri" w:hAnsi="Calibri" w:cs="Calibri"/>
                <w:b/>
                <w:bCs/>
                <w:position w:val="1"/>
                <w:sz w:val="22"/>
                <w:szCs w:val="22"/>
                <w:lang w:val="fr-CA"/>
              </w:rPr>
              <w:t>2012</w:t>
            </w:r>
          </w:p>
        </w:tc>
        <w:tc>
          <w:tcPr>
            <w:tcW w:w="1059"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line="269" w:lineRule="exact"/>
              <w:ind w:left="57" w:right="57"/>
              <w:jc w:val="center"/>
              <w:rPr>
                <w:rFonts w:ascii="Calibri" w:hAnsi="Calibri" w:cs="Calibri"/>
                <w:b/>
                <w:bCs/>
                <w:position w:val="1"/>
                <w:sz w:val="22"/>
                <w:szCs w:val="22"/>
                <w:lang w:val="fr-CA"/>
              </w:rPr>
            </w:pPr>
            <w:r w:rsidRPr="00C8563F">
              <w:rPr>
                <w:rFonts w:ascii="Calibri" w:hAnsi="Calibri" w:cs="Calibri"/>
                <w:b/>
                <w:bCs/>
                <w:position w:val="1"/>
                <w:sz w:val="22"/>
                <w:szCs w:val="22"/>
                <w:lang w:val="fr-CA"/>
              </w:rPr>
              <w:t>2013</w:t>
            </w:r>
          </w:p>
        </w:tc>
        <w:tc>
          <w:tcPr>
            <w:tcW w:w="1259"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line="269" w:lineRule="exact"/>
              <w:ind w:left="57" w:right="57"/>
              <w:jc w:val="center"/>
              <w:rPr>
                <w:rFonts w:ascii="Calibri" w:hAnsi="Calibri" w:cs="Calibri"/>
                <w:b/>
                <w:bCs/>
                <w:position w:val="1"/>
                <w:sz w:val="22"/>
                <w:szCs w:val="22"/>
                <w:lang w:val="fr-CA"/>
              </w:rPr>
            </w:pPr>
            <w:r w:rsidRPr="00C8563F">
              <w:rPr>
                <w:rFonts w:ascii="Calibri" w:hAnsi="Calibri" w:cs="Calibri"/>
                <w:b/>
                <w:bCs/>
                <w:position w:val="1"/>
                <w:sz w:val="22"/>
                <w:szCs w:val="22"/>
                <w:lang w:val="fr-CA"/>
              </w:rPr>
              <w:t>2014</w:t>
            </w:r>
          </w:p>
        </w:tc>
      </w:tr>
      <w:tr w:rsidR="0019401F" w:rsidRPr="00C8563F" w:rsidTr="00F1081B">
        <w:trPr>
          <w:trHeight w:hRule="exact" w:val="280"/>
        </w:trPr>
        <w:tc>
          <w:tcPr>
            <w:tcW w:w="3598" w:type="dxa"/>
            <w:tcBorders>
              <w:top w:val="single" w:sz="4" w:space="0" w:color="000000"/>
              <w:left w:val="single" w:sz="4" w:space="0" w:color="000000"/>
              <w:bottom w:val="single" w:sz="4" w:space="0" w:color="000000"/>
              <w:right w:val="single" w:sz="4" w:space="0" w:color="000000"/>
            </w:tcBorders>
          </w:tcPr>
          <w:p w:rsidR="0019401F" w:rsidRPr="00C8563F" w:rsidRDefault="0019401F">
            <w:pPr>
              <w:autoSpaceDE w:val="0"/>
              <w:autoSpaceDN w:val="0"/>
              <w:adjustRightInd w:val="0"/>
              <w:rPr>
                <w:rFonts w:ascii="Calibri" w:hAnsi="Calibri" w:cs="Calibri"/>
                <w:sz w:val="22"/>
                <w:szCs w:val="22"/>
                <w:lang w:val="fr-CA"/>
              </w:rPr>
            </w:pPr>
          </w:p>
        </w:tc>
        <w:tc>
          <w:tcPr>
            <w:tcW w:w="1130" w:type="dxa"/>
            <w:tcBorders>
              <w:top w:val="single" w:sz="4" w:space="0" w:color="000000"/>
              <w:left w:val="single" w:sz="4" w:space="0" w:color="000000"/>
              <w:bottom w:val="single" w:sz="4" w:space="0" w:color="000000"/>
              <w:right w:val="single" w:sz="4" w:space="0" w:color="000000"/>
            </w:tcBorders>
          </w:tcPr>
          <w:p w:rsidR="0019401F" w:rsidRPr="00C8563F" w:rsidRDefault="007C28D1" w:rsidP="000B26D3">
            <w:pPr>
              <w:autoSpaceDE w:val="0"/>
              <w:autoSpaceDN w:val="0"/>
              <w:adjustRightInd w:val="0"/>
              <w:spacing w:line="268" w:lineRule="exact"/>
              <w:ind w:left="222" w:right="-20"/>
              <w:rPr>
                <w:rFonts w:ascii="Calibri" w:hAnsi="Calibri" w:cs="Calibri"/>
                <w:sz w:val="22"/>
                <w:szCs w:val="22"/>
                <w:lang w:val="fr-CA"/>
              </w:rPr>
            </w:pPr>
            <w:r w:rsidRPr="00C8563F">
              <w:rPr>
                <w:rFonts w:ascii="Calibri" w:hAnsi="Calibri" w:cs="Calibri"/>
                <w:b/>
                <w:bCs/>
                <w:position w:val="1"/>
                <w:sz w:val="22"/>
                <w:szCs w:val="22"/>
                <w:lang w:val="fr-CA"/>
              </w:rPr>
              <w:t>CHF </w:t>
            </w:r>
            <w:r w:rsidR="0019401F" w:rsidRPr="00C8563F">
              <w:rPr>
                <w:rFonts w:ascii="Calibri" w:hAnsi="Calibri" w:cs="Calibri"/>
                <w:b/>
                <w:bCs/>
                <w:position w:val="1"/>
                <w:sz w:val="22"/>
                <w:szCs w:val="22"/>
                <w:lang w:val="fr-CA"/>
              </w:rPr>
              <w:t>000</w:t>
            </w:r>
          </w:p>
        </w:tc>
        <w:tc>
          <w:tcPr>
            <w:tcW w:w="1045" w:type="dxa"/>
            <w:tcBorders>
              <w:top w:val="single" w:sz="4" w:space="0" w:color="000000"/>
              <w:left w:val="single" w:sz="4" w:space="0" w:color="000000"/>
              <w:bottom w:val="single" w:sz="4" w:space="0" w:color="000000"/>
              <w:right w:val="single" w:sz="4" w:space="0" w:color="000000"/>
            </w:tcBorders>
          </w:tcPr>
          <w:p w:rsidR="0019401F" w:rsidRPr="00C8563F" w:rsidRDefault="007C28D1" w:rsidP="000B26D3">
            <w:pPr>
              <w:autoSpaceDE w:val="0"/>
              <w:autoSpaceDN w:val="0"/>
              <w:adjustRightInd w:val="0"/>
              <w:spacing w:line="268" w:lineRule="exact"/>
              <w:ind w:left="222" w:right="-20"/>
              <w:rPr>
                <w:rFonts w:ascii="Calibri" w:hAnsi="Calibri" w:cs="Calibri"/>
                <w:sz w:val="22"/>
                <w:szCs w:val="22"/>
                <w:lang w:val="fr-CA"/>
              </w:rPr>
            </w:pPr>
            <w:r w:rsidRPr="00C8563F">
              <w:rPr>
                <w:rFonts w:ascii="Calibri" w:hAnsi="Calibri" w:cs="Calibri"/>
                <w:b/>
                <w:bCs/>
                <w:position w:val="1"/>
                <w:sz w:val="22"/>
                <w:szCs w:val="22"/>
                <w:lang w:val="fr-CA"/>
              </w:rPr>
              <w:t>CHF </w:t>
            </w:r>
            <w:r w:rsidR="0019401F" w:rsidRPr="00C8563F">
              <w:rPr>
                <w:rFonts w:ascii="Calibri" w:hAnsi="Calibri" w:cs="Calibri"/>
                <w:b/>
                <w:bCs/>
                <w:position w:val="1"/>
                <w:sz w:val="22"/>
                <w:szCs w:val="22"/>
                <w:lang w:val="fr-CA"/>
              </w:rPr>
              <w:t>000</w:t>
            </w:r>
          </w:p>
        </w:tc>
        <w:tc>
          <w:tcPr>
            <w:tcW w:w="1176" w:type="dxa"/>
            <w:tcBorders>
              <w:top w:val="single" w:sz="4" w:space="0" w:color="000000"/>
              <w:left w:val="single" w:sz="4" w:space="0" w:color="000000"/>
              <w:bottom w:val="single" w:sz="4" w:space="0" w:color="000000"/>
              <w:right w:val="single" w:sz="4" w:space="0" w:color="000000"/>
            </w:tcBorders>
          </w:tcPr>
          <w:p w:rsidR="0019401F" w:rsidRPr="00C8563F" w:rsidRDefault="00F1081B" w:rsidP="007C28D1">
            <w:pPr>
              <w:autoSpaceDE w:val="0"/>
              <w:autoSpaceDN w:val="0"/>
              <w:adjustRightInd w:val="0"/>
              <w:spacing w:line="268" w:lineRule="exact"/>
              <w:ind w:left="268" w:right="-20"/>
              <w:rPr>
                <w:rFonts w:ascii="Calibri" w:hAnsi="Calibri" w:cs="Calibri"/>
                <w:sz w:val="22"/>
                <w:szCs w:val="22"/>
                <w:lang w:val="fr-CA"/>
              </w:rPr>
            </w:pPr>
            <w:r w:rsidRPr="00C8563F">
              <w:rPr>
                <w:rFonts w:ascii="Calibri" w:hAnsi="Calibri" w:cs="Calibri"/>
                <w:b/>
                <w:bCs/>
                <w:position w:val="1"/>
                <w:sz w:val="22"/>
                <w:szCs w:val="22"/>
                <w:lang w:val="fr-CA"/>
              </w:rPr>
              <w:t>CHF 000</w:t>
            </w:r>
          </w:p>
        </w:tc>
        <w:tc>
          <w:tcPr>
            <w:tcW w:w="1059" w:type="dxa"/>
            <w:tcBorders>
              <w:top w:val="single" w:sz="4" w:space="0" w:color="000000"/>
              <w:left w:val="single" w:sz="4" w:space="0" w:color="000000"/>
              <w:bottom w:val="single" w:sz="4" w:space="0" w:color="000000"/>
              <w:right w:val="single" w:sz="4" w:space="0" w:color="000000"/>
            </w:tcBorders>
          </w:tcPr>
          <w:p w:rsidR="0019401F" w:rsidRPr="00C8563F" w:rsidRDefault="007C28D1">
            <w:pPr>
              <w:autoSpaceDE w:val="0"/>
              <w:autoSpaceDN w:val="0"/>
              <w:adjustRightInd w:val="0"/>
              <w:spacing w:line="268" w:lineRule="exact"/>
              <w:ind w:left="223" w:right="-20"/>
              <w:rPr>
                <w:rFonts w:ascii="Calibri" w:hAnsi="Calibri" w:cs="Calibri"/>
                <w:sz w:val="22"/>
                <w:szCs w:val="22"/>
                <w:lang w:val="fr-CA"/>
              </w:rPr>
            </w:pPr>
            <w:r w:rsidRPr="00C8563F">
              <w:rPr>
                <w:rFonts w:ascii="Calibri" w:hAnsi="Calibri" w:cs="Calibri"/>
                <w:b/>
                <w:bCs/>
                <w:position w:val="1"/>
                <w:sz w:val="22"/>
                <w:szCs w:val="22"/>
                <w:lang w:val="fr-CA"/>
              </w:rPr>
              <w:t>CHF </w:t>
            </w:r>
            <w:r w:rsidR="0019401F" w:rsidRPr="00C8563F">
              <w:rPr>
                <w:rFonts w:ascii="Calibri" w:hAnsi="Calibri" w:cs="Calibri"/>
                <w:b/>
                <w:bCs/>
                <w:position w:val="1"/>
                <w:sz w:val="22"/>
                <w:szCs w:val="22"/>
                <w:lang w:val="fr-CA"/>
              </w:rPr>
              <w:t>000</w:t>
            </w:r>
          </w:p>
        </w:tc>
        <w:tc>
          <w:tcPr>
            <w:tcW w:w="1259" w:type="dxa"/>
            <w:tcBorders>
              <w:top w:val="single" w:sz="4" w:space="0" w:color="000000"/>
              <w:left w:val="single" w:sz="4" w:space="0" w:color="000000"/>
              <w:bottom w:val="single" w:sz="4" w:space="0" w:color="000000"/>
              <w:right w:val="single" w:sz="4" w:space="0" w:color="000000"/>
            </w:tcBorders>
          </w:tcPr>
          <w:p w:rsidR="0019401F" w:rsidRPr="00C8563F" w:rsidRDefault="007C28D1">
            <w:pPr>
              <w:autoSpaceDE w:val="0"/>
              <w:autoSpaceDN w:val="0"/>
              <w:adjustRightInd w:val="0"/>
              <w:spacing w:line="268" w:lineRule="exact"/>
              <w:ind w:left="223" w:right="-20"/>
              <w:rPr>
                <w:rFonts w:ascii="Calibri" w:hAnsi="Calibri" w:cs="Calibri"/>
                <w:b/>
                <w:bCs/>
                <w:position w:val="1"/>
                <w:sz w:val="22"/>
                <w:szCs w:val="22"/>
                <w:lang w:val="fr-CA"/>
              </w:rPr>
            </w:pPr>
            <w:r w:rsidRPr="00C8563F">
              <w:rPr>
                <w:rFonts w:ascii="Calibri" w:hAnsi="Calibri" w:cs="Calibri"/>
                <w:b/>
                <w:bCs/>
                <w:position w:val="1"/>
                <w:sz w:val="22"/>
                <w:szCs w:val="22"/>
                <w:lang w:val="fr-CA"/>
              </w:rPr>
              <w:t>CHF </w:t>
            </w:r>
            <w:r w:rsidR="0019401F" w:rsidRPr="00C8563F">
              <w:rPr>
                <w:rFonts w:ascii="Calibri" w:hAnsi="Calibri" w:cs="Calibri"/>
                <w:b/>
                <w:bCs/>
                <w:position w:val="1"/>
                <w:sz w:val="22"/>
                <w:szCs w:val="22"/>
                <w:lang w:val="fr-CA"/>
              </w:rPr>
              <w:t>000</w:t>
            </w:r>
          </w:p>
        </w:tc>
      </w:tr>
      <w:tr w:rsidR="0019401F" w:rsidRPr="00C8563F" w:rsidTr="00F1081B">
        <w:trPr>
          <w:trHeight w:val="57"/>
        </w:trPr>
        <w:tc>
          <w:tcPr>
            <w:tcW w:w="3598" w:type="dxa"/>
            <w:tcBorders>
              <w:top w:val="single" w:sz="4" w:space="0" w:color="000000"/>
              <w:left w:val="single" w:sz="4" w:space="0" w:color="000000"/>
              <w:bottom w:val="single" w:sz="4" w:space="0" w:color="000000"/>
              <w:right w:val="single" w:sz="4" w:space="0" w:color="000000"/>
            </w:tcBorders>
            <w:vAlign w:val="center"/>
          </w:tcPr>
          <w:p w:rsidR="0019401F" w:rsidRPr="00C8563F" w:rsidRDefault="00F1081B" w:rsidP="00F1081B">
            <w:pPr>
              <w:autoSpaceDE w:val="0"/>
              <w:autoSpaceDN w:val="0"/>
              <w:adjustRightInd w:val="0"/>
              <w:spacing w:line="269" w:lineRule="exact"/>
              <w:ind w:left="102" w:right="-20"/>
              <w:rPr>
                <w:rFonts w:ascii="Calibri" w:hAnsi="Calibri" w:cs="Calibri"/>
                <w:sz w:val="22"/>
                <w:szCs w:val="22"/>
                <w:lang w:val="fr-CA"/>
              </w:rPr>
            </w:pPr>
            <w:r w:rsidRPr="00C8563F">
              <w:rPr>
                <w:rFonts w:ascii="Calibri" w:hAnsi="Calibri" w:cs="Calibri"/>
                <w:position w:val="1"/>
                <w:sz w:val="22"/>
                <w:szCs w:val="22"/>
                <w:lang w:val="fr-CA"/>
              </w:rPr>
              <w:t>Contributions fixées des</w:t>
            </w:r>
            <w:r w:rsidR="0019401F" w:rsidRPr="00C8563F">
              <w:rPr>
                <w:rFonts w:ascii="Calibri" w:hAnsi="Calibri" w:cs="Calibri"/>
                <w:position w:val="1"/>
                <w:sz w:val="22"/>
                <w:szCs w:val="22"/>
                <w:lang w:val="fr-CA"/>
              </w:rPr>
              <w:t xml:space="preserve"> Parties</w:t>
            </w:r>
          </w:p>
        </w:tc>
        <w:tc>
          <w:tcPr>
            <w:tcW w:w="1130" w:type="dxa"/>
            <w:tcBorders>
              <w:top w:val="single" w:sz="4" w:space="0" w:color="000000"/>
              <w:left w:val="single" w:sz="4" w:space="0" w:color="000000"/>
              <w:bottom w:val="single" w:sz="4" w:space="0" w:color="000000"/>
              <w:right w:val="single" w:sz="4" w:space="0" w:color="000000"/>
            </w:tcBorders>
          </w:tcPr>
          <w:p w:rsidR="0019401F" w:rsidRPr="00C8563F" w:rsidRDefault="00F1081B" w:rsidP="000B26D3">
            <w:pPr>
              <w:autoSpaceDE w:val="0"/>
              <w:autoSpaceDN w:val="0"/>
              <w:adjustRightInd w:val="0"/>
              <w:spacing w:before="120" w:after="120" w:line="269" w:lineRule="exact"/>
              <w:ind w:left="57" w:right="57"/>
              <w:jc w:val="right"/>
              <w:rPr>
                <w:rFonts w:ascii="Calibri" w:hAnsi="Calibri" w:cs="Calibri"/>
                <w:sz w:val="22"/>
                <w:szCs w:val="22"/>
                <w:lang w:val="fr-CA"/>
              </w:rPr>
            </w:pPr>
            <w:r w:rsidRPr="00C8563F">
              <w:rPr>
                <w:rFonts w:ascii="Calibri" w:hAnsi="Calibri" w:cs="Calibri"/>
                <w:position w:val="1"/>
                <w:sz w:val="22"/>
                <w:szCs w:val="22"/>
                <w:lang w:val="fr-CA"/>
              </w:rPr>
              <w:t>3</w:t>
            </w:r>
            <w:r w:rsidR="005837A9" w:rsidRPr="00C8563F">
              <w:rPr>
                <w:rFonts w:ascii="Calibri" w:hAnsi="Calibri" w:cs="Calibri"/>
                <w:position w:val="1"/>
                <w:sz w:val="22"/>
                <w:szCs w:val="22"/>
                <w:lang w:val="fr-CA"/>
              </w:rPr>
              <w:t xml:space="preserve"> </w:t>
            </w:r>
            <w:r w:rsidR="0019401F" w:rsidRPr="00C8563F">
              <w:rPr>
                <w:rFonts w:ascii="Calibri" w:hAnsi="Calibri" w:cs="Calibri"/>
                <w:position w:val="1"/>
                <w:sz w:val="22"/>
                <w:szCs w:val="22"/>
                <w:lang w:val="fr-CA"/>
              </w:rPr>
              <w:t>482</w:t>
            </w:r>
          </w:p>
        </w:tc>
        <w:tc>
          <w:tcPr>
            <w:tcW w:w="1045" w:type="dxa"/>
            <w:tcBorders>
              <w:top w:val="single" w:sz="4" w:space="0" w:color="000000"/>
              <w:left w:val="single" w:sz="4" w:space="0" w:color="000000"/>
              <w:bottom w:val="single" w:sz="4" w:space="0" w:color="000000"/>
              <w:right w:val="single" w:sz="4" w:space="0" w:color="000000"/>
            </w:tcBorders>
          </w:tcPr>
          <w:p w:rsidR="0019401F" w:rsidRPr="00C8563F" w:rsidRDefault="00F1081B" w:rsidP="000B26D3">
            <w:pPr>
              <w:autoSpaceDE w:val="0"/>
              <w:autoSpaceDN w:val="0"/>
              <w:adjustRightInd w:val="0"/>
              <w:spacing w:before="120" w:after="120" w:line="269" w:lineRule="exact"/>
              <w:ind w:left="57" w:right="57"/>
              <w:jc w:val="right"/>
              <w:rPr>
                <w:rFonts w:ascii="Calibri" w:hAnsi="Calibri" w:cs="Calibri"/>
                <w:sz w:val="22"/>
                <w:szCs w:val="22"/>
                <w:lang w:val="fr-CA"/>
              </w:rPr>
            </w:pPr>
            <w:r w:rsidRPr="00C8563F">
              <w:rPr>
                <w:rFonts w:ascii="Calibri" w:hAnsi="Calibri" w:cs="Calibri"/>
                <w:position w:val="1"/>
                <w:sz w:val="22"/>
                <w:szCs w:val="22"/>
                <w:lang w:val="fr-CA"/>
              </w:rPr>
              <w:t>3</w:t>
            </w:r>
            <w:r w:rsidR="005837A9" w:rsidRPr="00C8563F">
              <w:rPr>
                <w:rFonts w:ascii="Calibri" w:hAnsi="Calibri" w:cs="Calibri"/>
                <w:position w:val="1"/>
                <w:sz w:val="22"/>
                <w:szCs w:val="22"/>
                <w:lang w:val="fr-CA"/>
              </w:rPr>
              <w:t xml:space="preserve"> </w:t>
            </w:r>
            <w:r w:rsidR="0019401F" w:rsidRPr="00C8563F">
              <w:rPr>
                <w:rFonts w:ascii="Calibri" w:hAnsi="Calibri" w:cs="Calibri"/>
                <w:position w:val="1"/>
                <w:sz w:val="22"/>
                <w:szCs w:val="22"/>
                <w:lang w:val="fr-CA"/>
              </w:rPr>
              <w:t>625</w:t>
            </w:r>
          </w:p>
        </w:tc>
        <w:tc>
          <w:tcPr>
            <w:tcW w:w="1176" w:type="dxa"/>
            <w:tcBorders>
              <w:top w:val="single" w:sz="4" w:space="0" w:color="000000"/>
              <w:left w:val="single" w:sz="4" w:space="0" w:color="000000"/>
              <w:bottom w:val="single" w:sz="4" w:space="0" w:color="000000"/>
              <w:right w:val="single" w:sz="4" w:space="0" w:color="000000"/>
            </w:tcBorders>
          </w:tcPr>
          <w:p w:rsidR="0019401F" w:rsidRPr="00C8563F" w:rsidRDefault="00F1081B"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3</w:t>
            </w:r>
            <w:r w:rsidR="005837A9" w:rsidRPr="00C8563F">
              <w:rPr>
                <w:rFonts w:ascii="Calibri" w:hAnsi="Calibri" w:cs="Calibri"/>
                <w:position w:val="1"/>
                <w:sz w:val="22"/>
                <w:szCs w:val="22"/>
                <w:lang w:val="fr-CA"/>
              </w:rPr>
              <w:t xml:space="preserve"> </w:t>
            </w:r>
            <w:r w:rsidR="0019401F" w:rsidRPr="00C8563F">
              <w:rPr>
                <w:rFonts w:ascii="Calibri" w:hAnsi="Calibri" w:cs="Calibri"/>
                <w:position w:val="1"/>
                <w:sz w:val="22"/>
                <w:szCs w:val="22"/>
                <w:lang w:val="fr-CA"/>
              </w:rPr>
              <w:t>780</w:t>
            </w:r>
          </w:p>
        </w:tc>
        <w:tc>
          <w:tcPr>
            <w:tcW w:w="1059" w:type="dxa"/>
            <w:tcBorders>
              <w:top w:val="single" w:sz="4" w:space="0" w:color="000000"/>
              <w:left w:val="single" w:sz="4" w:space="0" w:color="000000"/>
              <w:bottom w:val="single" w:sz="4" w:space="0" w:color="000000"/>
              <w:right w:val="single" w:sz="4" w:space="0" w:color="000000"/>
            </w:tcBorders>
          </w:tcPr>
          <w:p w:rsidR="0019401F" w:rsidRPr="00C8563F" w:rsidRDefault="00F1081B"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3</w:t>
            </w:r>
            <w:r w:rsidR="005837A9" w:rsidRPr="00C8563F">
              <w:rPr>
                <w:rFonts w:ascii="Calibri" w:hAnsi="Calibri" w:cs="Calibri"/>
                <w:position w:val="1"/>
                <w:sz w:val="22"/>
                <w:szCs w:val="22"/>
                <w:lang w:val="fr-CA"/>
              </w:rPr>
              <w:t xml:space="preserve"> </w:t>
            </w:r>
            <w:r w:rsidR="0019401F" w:rsidRPr="00C8563F">
              <w:rPr>
                <w:rFonts w:ascii="Calibri" w:hAnsi="Calibri" w:cs="Calibri"/>
                <w:position w:val="1"/>
                <w:sz w:val="22"/>
                <w:szCs w:val="22"/>
                <w:lang w:val="fr-CA"/>
              </w:rPr>
              <w:t>782</w:t>
            </w:r>
          </w:p>
        </w:tc>
        <w:tc>
          <w:tcPr>
            <w:tcW w:w="1259" w:type="dxa"/>
            <w:tcBorders>
              <w:top w:val="single" w:sz="4" w:space="0" w:color="000000"/>
              <w:left w:val="single" w:sz="4" w:space="0" w:color="000000"/>
              <w:bottom w:val="single" w:sz="4" w:space="0" w:color="000000"/>
              <w:right w:val="single" w:sz="4" w:space="0" w:color="000000"/>
            </w:tcBorders>
          </w:tcPr>
          <w:p w:rsidR="0019401F" w:rsidRPr="00C8563F" w:rsidRDefault="00F1081B"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3</w:t>
            </w:r>
            <w:r w:rsidR="005837A9" w:rsidRPr="00C8563F">
              <w:rPr>
                <w:rFonts w:ascii="Calibri" w:hAnsi="Calibri" w:cs="Calibri"/>
                <w:position w:val="1"/>
                <w:sz w:val="22"/>
                <w:szCs w:val="22"/>
                <w:lang w:val="fr-CA"/>
              </w:rPr>
              <w:t xml:space="preserve"> </w:t>
            </w:r>
            <w:r w:rsidR="0019401F" w:rsidRPr="00C8563F">
              <w:rPr>
                <w:rFonts w:ascii="Calibri" w:hAnsi="Calibri" w:cs="Calibri"/>
                <w:position w:val="1"/>
                <w:sz w:val="22"/>
                <w:szCs w:val="22"/>
                <w:lang w:val="fr-CA"/>
              </w:rPr>
              <w:t>779</w:t>
            </w:r>
          </w:p>
        </w:tc>
      </w:tr>
      <w:tr w:rsidR="0019401F" w:rsidRPr="00C8563F" w:rsidTr="00F1081B">
        <w:trPr>
          <w:trHeight w:val="57"/>
        </w:trPr>
        <w:tc>
          <w:tcPr>
            <w:tcW w:w="3598" w:type="dxa"/>
            <w:tcBorders>
              <w:top w:val="single" w:sz="4" w:space="0" w:color="000000"/>
              <w:left w:val="single" w:sz="4" w:space="0" w:color="000000"/>
              <w:bottom w:val="single" w:sz="4" w:space="0" w:color="000000"/>
              <w:right w:val="single" w:sz="4" w:space="0" w:color="000000"/>
            </w:tcBorders>
            <w:vAlign w:val="center"/>
          </w:tcPr>
          <w:p w:rsidR="0019401F" w:rsidRPr="00C8563F" w:rsidRDefault="00F1081B" w:rsidP="00F1081B">
            <w:pPr>
              <w:autoSpaceDE w:val="0"/>
              <w:autoSpaceDN w:val="0"/>
              <w:adjustRightInd w:val="0"/>
              <w:spacing w:line="269" w:lineRule="exact"/>
              <w:ind w:left="102" w:right="-20"/>
              <w:rPr>
                <w:rFonts w:ascii="Calibri" w:hAnsi="Calibri" w:cs="Calibri"/>
                <w:sz w:val="22"/>
                <w:szCs w:val="22"/>
                <w:lang w:val="fr-CA"/>
              </w:rPr>
            </w:pPr>
            <w:r w:rsidRPr="00C8563F">
              <w:rPr>
                <w:rFonts w:ascii="Calibri" w:hAnsi="Calibri" w:cs="Calibri"/>
                <w:position w:val="1"/>
                <w:sz w:val="22"/>
                <w:szCs w:val="22"/>
                <w:lang w:val="fr-CA"/>
              </w:rPr>
              <w:t>Contribution volontaire des États</w:t>
            </w:r>
            <w:r w:rsidRPr="00C8563F">
              <w:rPr>
                <w:rFonts w:ascii="Calibri" w:hAnsi="Calibri" w:cs="Calibri"/>
                <w:position w:val="1"/>
                <w:sz w:val="22"/>
                <w:szCs w:val="22"/>
                <w:lang w:val="fr-CA"/>
              </w:rPr>
              <w:noBreakHyphen/>
              <w:t xml:space="preserve">Unis d’Amérique </w:t>
            </w:r>
          </w:p>
        </w:tc>
        <w:tc>
          <w:tcPr>
            <w:tcW w:w="1130"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sz w:val="22"/>
                <w:szCs w:val="22"/>
                <w:lang w:val="fr-CA"/>
              </w:rPr>
            </w:pPr>
            <w:r w:rsidRPr="00C8563F">
              <w:rPr>
                <w:rFonts w:ascii="Calibri" w:hAnsi="Calibri" w:cs="Calibri"/>
                <w:position w:val="1"/>
                <w:sz w:val="22"/>
                <w:szCs w:val="22"/>
                <w:lang w:val="fr-CA"/>
              </w:rPr>
              <w:t>942</w:t>
            </w:r>
          </w:p>
        </w:tc>
        <w:tc>
          <w:tcPr>
            <w:tcW w:w="1045"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sz w:val="22"/>
                <w:szCs w:val="22"/>
                <w:lang w:val="fr-CA"/>
              </w:rPr>
            </w:pPr>
            <w:r w:rsidRPr="00C8563F">
              <w:rPr>
                <w:rFonts w:ascii="Calibri" w:hAnsi="Calibri" w:cs="Calibri"/>
                <w:position w:val="1"/>
                <w:sz w:val="22"/>
                <w:szCs w:val="22"/>
                <w:lang w:val="fr-CA"/>
              </w:rPr>
              <w:t>872</w:t>
            </w:r>
          </w:p>
        </w:tc>
        <w:tc>
          <w:tcPr>
            <w:tcW w:w="1176"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930</w:t>
            </w:r>
          </w:p>
        </w:tc>
        <w:tc>
          <w:tcPr>
            <w:tcW w:w="1059" w:type="dxa"/>
            <w:tcBorders>
              <w:top w:val="single" w:sz="4" w:space="0" w:color="000000"/>
              <w:left w:val="single" w:sz="4" w:space="0" w:color="000000"/>
              <w:bottom w:val="single" w:sz="4" w:space="0" w:color="000000"/>
              <w:right w:val="single" w:sz="4" w:space="0" w:color="000000"/>
            </w:tcBorders>
          </w:tcPr>
          <w:p w:rsidR="0019401F" w:rsidRPr="00C8563F" w:rsidRDefault="00F1081B"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1</w:t>
            </w:r>
            <w:r w:rsidR="005837A9" w:rsidRPr="00C8563F">
              <w:rPr>
                <w:rFonts w:ascii="Calibri" w:hAnsi="Calibri" w:cs="Calibri"/>
                <w:position w:val="1"/>
                <w:sz w:val="22"/>
                <w:szCs w:val="22"/>
                <w:lang w:val="fr-CA"/>
              </w:rPr>
              <w:t xml:space="preserve"> </w:t>
            </w:r>
            <w:r w:rsidR="0019401F" w:rsidRPr="00C8563F">
              <w:rPr>
                <w:rFonts w:ascii="Calibri" w:hAnsi="Calibri" w:cs="Calibri"/>
                <w:position w:val="1"/>
                <w:sz w:val="22"/>
                <w:szCs w:val="22"/>
                <w:lang w:val="fr-CA"/>
              </w:rPr>
              <w:t xml:space="preserve">048 </w:t>
            </w:r>
          </w:p>
        </w:tc>
        <w:tc>
          <w:tcPr>
            <w:tcW w:w="1259" w:type="dxa"/>
            <w:tcBorders>
              <w:top w:val="single" w:sz="4" w:space="0" w:color="000000"/>
              <w:left w:val="single" w:sz="4" w:space="0" w:color="000000"/>
              <w:bottom w:val="single" w:sz="4" w:space="0" w:color="000000"/>
              <w:right w:val="single" w:sz="4" w:space="0" w:color="000000"/>
            </w:tcBorders>
          </w:tcPr>
          <w:p w:rsidR="0019401F" w:rsidRPr="00C8563F" w:rsidRDefault="00F1081B"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1</w:t>
            </w:r>
            <w:r w:rsidR="005837A9" w:rsidRPr="00C8563F">
              <w:rPr>
                <w:rFonts w:ascii="Calibri" w:hAnsi="Calibri" w:cs="Calibri"/>
                <w:position w:val="1"/>
                <w:sz w:val="22"/>
                <w:szCs w:val="22"/>
                <w:lang w:val="fr-CA"/>
              </w:rPr>
              <w:t xml:space="preserve"> </w:t>
            </w:r>
            <w:r w:rsidR="0019401F" w:rsidRPr="00C8563F">
              <w:rPr>
                <w:rFonts w:ascii="Calibri" w:hAnsi="Calibri" w:cs="Calibri"/>
                <w:position w:val="1"/>
                <w:sz w:val="22"/>
                <w:szCs w:val="22"/>
                <w:lang w:val="fr-CA"/>
              </w:rPr>
              <w:t>066</w:t>
            </w:r>
          </w:p>
        </w:tc>
      </w:tr>
      <w:tr w:rsidR="0019401F" w:rsidRPr="00C8563F" w:rsidTr="00F1081B">
        <w:trPr>
          <w:trHeight w:val="57"/>
        </w:trPr>
        <w:tc>
          <w:tcPr>
            <w:tcW w:w="3598" w:type="dxa"/>
            <w:tcBorders>
              <w:top w:val="single" w:sz="4" w:space="0" w:color="000000"/>
              <w:left w:val="single" w:sz="4" w:space="0" w:color="000000"/>
              <w:bottom w:val="single" w:sz="4" w:space="0" w:color="000000"/>
              <w:right w:val="single" w:sz="4" w:space="0" w:color="000000"/>
            </w:tcBorders>
            <w:vAlign w:val="center"/>
          </w:tcPr>
          <w:p w:rsidR="0019401F" w:rsidRPr="00C8563F" w:rsidRDefault="00F1081B" w:rsidP="005532CA">
            <w:pPr>
              <w:autoSpaceDE w:val="0"/>
              <w:autoSpaceDN w:val="0"/>
              <w:adjustRightInd w:val="0"/>
              <w:spacing w:line="269" w:lineRule="exact"/>
              <w:ind w:left="102" w:right="-20"/>
              <w:rPr>
                <w:rFonts w:ascii="Calibri" w:hAnsi="Calibri" w:cs="Calibri"/>
                <w:sz w:val="22"/>
                <w:szCs w:val="22"/>
                <w:lang w:val="fr-CA"/>
              </w:rPr>
            </w:pPr>
            <w:r w:rsidRPr="00C8563F">
              <w:rPr>
                <w:rFonts w:ascii="Calibri" w:hAnsi="Calibri" w:cs="Calibri"/>
                <w:position w:val="1"/>
                <w:sz w:val="22"/>
                <w:szCs w:val="22"/>
                <w:lang w:val="fr-CA"/>
              </w:rPr>
              <w:t xml:space="preserve">Contributions cumulatives fixées </w:t>
            </w:r>
            <w:r w:rsidR="005532CA" w:rsidRPr="00C8563F">
              <w:rPr>
                <w:rFonts w:ascii="Calibri" w:hAnsi="Calibri" w:cs="Calibri"/>
                <w:position w:val="1"/>
                <w:sz w:val="22"/>
                <w:szCs w:val="22"/>
                <w:lang w:val="fr-CA"/>
              </w:rPr>
              <w:t>impayées</w:t>
            </w:r>
            <w:r w:rsidRPr="00C8563F">
              <w:rPr>
                <w:rFonts w:ascii="Calibri" w:hAnsi="Calibri" w:cs="Calibri"/>
                <w:position w:val="1"/>
                <w:sz w:val="22"/>
                <w:szCs w:val="22"/>
                <w:lang w:val="fr-CA"/>
              </w:rPr>
              <w:t xml:space="preserve"> à la fin de l’année</w:t>
            </w:r>
            <w:r w:rsidR="0019401F" w:rsidRPr="00C8563F">
              <w:rPr>
                <w:rStyle w:val="FootnoteReference"/>
                <w:rFonts w:ascii="Calibri" w:hAnsi="Calibri" w:cs="Calibri"/>
                <w:sz w:val="22"/>
                <w:szCs w:val="22"/>
                <w:lang w:val="fr-CA"/>
              </w:rPr>
              <w:footnoteReference w:id="2"/>
            </w:r>
          </w:p>
        </w:tc>
        <w:tc>
          <w:tcPr>
            <w:tcW w:w="1130"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sz w:val="22"/>
                <w:szCs w:val="22"/>
                <w:lang w:val="fr-CA"/>
              </w:rPr>
            </w:pPr>
            <w:r w:rsidRPr="00C8563F">
              <w:rPr>
                <w:rFonts w:ascii="Calibri" w:hAnsi="Calibri" w:cs="Calibri"/>
                <w:position w:val="1"/>
                <w:sz w:val="22"/>
                <w:szCs w:val="22"/>
                <w:lang w:val="fr-CA"/>
              </w:rPr>
              <w:t>760</w:t>
            </w:r>
          </w:p>
        </w:tc>
        <w:tc>
          <w:tcPr>
            <w:tcW w:w="1045"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sz w:val="22"/>
                <w:szCs w:val="22"/>
                <w:lang w:val="fr-CA"/>
              </w:rPr>
            </w:pPr>
            <w:r w:rsidRPr="00C8563F">
              <w:rPr>
                <w:rFonts w:ascii="Calibri" w:hAnsi="Calibri" w:cs="Calibri"/>
                <w:position w:val="1"/>
                <w:sz w:val="22"/>
                <w:szCs w:val="22"/>
                <w:lang w:val="fr-CA"/>
              </w:rPr>
              <w:t>736</w:t>
            </w:r>
          </w:p>
        </w:tc>
        <w:tc>
          <w:tcPr>
            <w:tcW w:w="1176"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759</w:t>
            </w:r>
          </w:p>
        </w:tc>
        <w:tc>
          <w:tcPr>
            <w:tcW w:w="1059"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759</w:t>
            </w:r>
          </w:p>
        </w:tc>
        <w:tc>
          <w:tcPr>
            <w:tcW w:w="1259" w:type="dxa"/>
            <w:tcBorders>
              <w:top w:val="single" w:sz="4" w:space="0" w:color="000000"/>
              <w:left w:val="single" w:sz="4" w:space="0" w:color="000000"/>
              <w:bottom w:val="single" w:sz="4" w:space="0" w:color="000000"/>
              <w:right w:val="single" w:sz="4" w:space="0" w:color="000000"/>
            </w:tcBorders>
          </w:tcPr>
          <w:p w:rsidR="0019401F" w:rsidRPr="00C8563F" w:rsidRDefault="00F1081B"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1</w:t>
            </w:r>
            <w:r w:rsidR="005837A9" w:rsidRPr="00C8563F">
              <w:rPr>
                <w:rFonts w:ascii="Calibri" w:hAnsi="Calibri" w:cs="Calibri"/>
                <w:position w:val="1"/>
                <w:sz w:val="22"/>
                <w:szCs w:val="22"/>
                <w:lang w:val="fr-CA"/>
              </w:rPr>
              <w:t xml:space="preserve"> </w:t>
            </w:r>
            <w:r w:rsidR="0019401F" w:rsidRPr="00C8563F">
              <w:rPr>
                <w:rFonts w:ascii="Calibri" w:hAnsi="Calibri" w:cs="Calibri"/>
                <w:position w:val="1"/>
                <w:sz w:val="22"/>
                <w:szCs w:val="22"/>
                <w:lang w:val="fr-CA"/>
              </w:rPr>
              <w:t>067</w:t>
            </w:r>
          </w:p>
        </w:tc>
      </w:tr>
      <w:tr w:rsidR="0019401F" w:rsidRPr="00C8563F" w:rsidTr="00F1081B">
        <w:trPr>
          <w:trHeight w:val="57"/>
        </w:trPr>
        <w:tc>
          <w:tcPr>
            <w:tcW w:w="3598" w:type="dxa"/>
            <w:tcBorders>
              <w:top w:val="single" w:sz="4" w:space="0" w:color="000000"/>
              <w:left w:val="single" w:sz="4" w:space="0" w:color="000000"/>
              <w:bottom w:val="single" w:sz="4" w:space="0" w:color="000000"/>
              <w:right w:val="single" w:sz="4" w:space="0" w:color="000000"/>
            </w:tcBorders>
            <w:vAlign w:val="center"/>
          </w:tcPr>
          <w:p w:rsidR="0019401F" w:rsidRPr="00C8563F" w:rsidRDefault="0019401F" w:rsidP="00F1081B">
            <w:pPr>
              <w:autoSpaceDE w:val="0"/>
              <w:autoSpaceDN w:val="0"/>
              <w:adjustRightInd w:val="0"/>
              <w:spacing w:line="269" w:lineRule="exact"/>
              <w:ind w:left="102" w:right="-20"/>
              <w:rPr>
                <w:rFonts w:ascii="Calibri" w:hAnsi="Calibri" w:cs="Calibri"/>
                <w:b/>
                <w:color w:val="F9FAFD" w:themeColor="accent1" w:themeTint="8"/>
                <w:spacing w:val="10"/>
                <w:sz w:val="22"/>
                <w:szCs w:val="22"/>
                <w:lang w:val="fr-CA"/>
              </w:rPr>
            </w:pPr>
            <w:r w:rsidRPr="00C8563F">
              <w:rPr>
                <w:rFonts w:ascii="Calibri" w:hAnsi="Calibri" w:cs="Calibri"/>
                <w:position w:val="1"/>
                <w:sz w:val="22"/>
                <w:szCs w:val="22"/>
                <w:lang w:val="fr-CA"/>
              </w:rPr>
              <w:t xml:space="preserve">Provision </w:t>
            </w:r>
            <w:r w:rsidR="00F1081B" w:rsidRPr="00C8563F">
              <w:rPr>
                <w:rFonts w:ascii="Calibri" w:hAnsi="Calibri" w:cs="Calibri"/>
                <w:position w:val="1"/>
                <w:sz w:val="22"/>
                <w:szCs w:val="22"/>
                <w:lang w:val="fr-CA"/>
              </w:rPr>
              <w:t>pour non-recouvrement</w:t>
            </w:r>
            <w:r w:rsidRPr="00C8563F">
              <w:rPr>
                <w:rStyle w:val="FootnoteReference"/>
                <w:rFonts w:ascii="Calibri" w:hAnsi="Calibri" w:cs="Calibri"/>
                <w:sz w:val="22"/>
                <w:szCs w:val="22"/>
                <w:lang w:val="fr-CA"/>
              </w:rPr>
              <w:footnoteReference w:id="3"/>
            </w:r>
          </w:p>
        </w:tc>
        <w:tc>
          <w:tcPr>
            <w:tcW w:w="1130"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sz w:val="22"/>
                <w:szCs w:val="22"/>
                <w:lang w:val="fr-CA"/>
              </w:rPr>
            </w:pPr>
            <w:r w:rsidRPr="00C8563F">
              <w:rPr>
                <w:rFonts w:ascii="Calibri" w:hAnsi="Calibri" w:cs="Calibri"/>
                <w:position w:val="1"/>
                <w:sz w:val="22"/>
                <w:szCs w:val="22"/>
                <w:lang w:val="fr-CA"/>
              </w:rPr>
              <w:t>332</w:t>
            </w:r>
          </w:p>
        </w:tc>
        <w:tc>
          <w:tcPr>
            <w:tcW w:w="1045"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sz w:val="22"/>
                <w:szCs w:val="22"/>
                <w:lang w:val="fr-CA"/>
              </w:rPr>
            </w:pPr>
            <w:r w:rsidRPr="00C8563F">
              <w:rPr>
                <w:rFonts w:ascii="Calibri" w:hAnsi="Calibri" w:cs="Calibri"/>
                <w:position w:val="1"/>
                <w:sz w:val="22"/>
                <w:szCs w:val="22"/>
                <w:lang w:val="fr-CA"/>
              </w:rPr>
              <w:t>361</w:t>
            </w:r>
          </w:p>
        </w:tc>
        <w:tc>
          <w:tcPr>
            <w:tcW w:w="1176"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361</w:t>
            </w:r>
          </w:p>
        </w:tc>
        <w:tc>
          <w:tcPr>
            <w:tcW w:w="1059" w:type="dxa"/>
            <w:tcBorders>
              <w:top w:val="single" w:sz="4" w:space="0" w:color="000000"/>
              <w:left w:val="single" w:sz="4" w:space="0" w:color="000000"/>
              <w:bottom w:val="single" w:sz="4" w:space="0" w:color="000000"/>
              <w:right w:val="single" w:sz="4" w:space="0" w:color="000000"/>
            </w:tcBorders>
          </w:tcPr>
          <w:p w:rsidR="0019401F" w:rsidRPr="00C8563F"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385</w:t>
            </w:r>
          </w:p>
        </w:tc>
        <w:tc>
          <w:tcPr>
            <w:tcW w:w="1259" w:type="dxa"/>
            <w:tcBorders>
              <w:top w:val="single" w:sz="4" w:space="0" w:color="000000"/>
              <w:left w:val="single" w:sz="4" w:space="0" w:color="000000"/>
              <w:bottom w:val="single" w:sz="4" w:space="0" w:color="000000"/>
              <w:right w:val="single" w:sz="4" w:space="0" w:color="000000"/>
            </w:tcBorders>
          </w:tcPr>
          <w:p w:rsidR="0019401F" w:rsidRPr="00C8563F" w:rsidRDefault="00F1081B" w:rsidP="001E78AC">
            <w:pPr>
              <w:autoSpaceDE w:val="0"/>
              <w:autoSpaceDN w:val="0"/>
              <w:adjustRightInd w:val="0"/>
              <w:spacing w:before="120" w:after="120" w:line="269" w:lineRule="exact"/>
              <w:ind w:left="57" w:right="57"/>
              <w:jc w:val="right"/>
              <w:rPr>
                <w:rFonts w:ascii="Calibri" w:hAnsi="Calibri" w:cs="Calibri"/>
                <w:position w:val="1"/>
                <w:sz w:val="22"/>
                <w:szCs w:val="22"/>
                <w:lang w:val="fr-CA"/>
              </w:rPr>
            </w:pPr>
            <w:r w:rsidRPr="00C8563F">
              <w:rPr>
                <w:rFonts w:ascii="Calibri" w:hAnsi="Calibri" w:cs="Calibri"/>
                <w:position w:val="1"/>
                <w:sz w:val="22"/>
                <w:szCs w:val="22"/>
                <w:lang w:val="fr-CA"/>
              </w:rPr>
              <w:t>À déterminer</w:t>
            </w:r>
          </w:p>
        </w:tc>
      </w:tr>
    </w:tbl>
    <w:p w:rsidR="000B26D3" w:rsidRPr="00C8563F" w:rsidRDefault="000B26D3" w:rsidP="000B26D3">
      <w:pPr>
        <w:autoSpaceDE w:val="0"/>
        <w:autoSpaceDN w:val="0"/>
        <w:adjustRightInd w:val="0"/>
        <w:rPr>
          <w:rFonts w:ascii="Calibri" w:hAnsi="Calibri" w:cs="Calibri"/>
          <w:sz w:val="22"/>
          <w:szCs w:val="22"/>
          <w:lang w:val="fr-CA"/>
        </w:rPr>
      </w:pPr>
    </w:p>
    <w:p w:rsidR="000B26D3" w:rsidRPr="00C8563F" w:rsidRDefault="00F1081B" w:rsidP="000B26D3">
      <w:pPr>
        <w:ind w:left="539" w:hanging="539"/>
        <w:rPr>
          <w:rFonts w:ascii="Calibri" w:hAnsi="Calibri" w:cs="Calibri"/>
          <w:b/>
          <w:color w:val="000000"/>
          <w:sz w:val="22"/>
          <w:szCs w:val="22"/>
          <w:lang w:val="fr-CA"/>
        </w:rPr>
      </w:pPr>
      <w:r w:rsidRPr="00C8563F">
        <w:rPr>
          <w:rFonts w:ascii="Calibri" w:hAnsi="Calibri" w:cs="Calibri"/>
          <w:b/>
          <w:color w:val="000000"/>
          <w:sz w:val="22"/>
          <w:szCs w:val="22"/>
          <w:lang w:val="fr-CA"/>
        </w:rPr>
        <w:t xml:space="preserve">Mise à jour </w:t>
      </w:r>
      <w:r w:rsidR="000B26D3" w:rsidRPr="00C8563F">
        <w:rPr>
          <w:rFonts w:ascii="Calibri" w:hAnsi="Calibri" w:cs="Calibri"/>
          <w:b/>
          <w:color w:val="000000"/>
          <w:sz w:val="22"/>
          <w:szCs w:val="22"/>
          <w:lang w:val="fr-CA"/>
        </w:rPr>
        <w:t>201</w:t>
      </w:r>
      <w:r w:rsidR="00ED7B50" w:rsidRPr="00C8563F">
        <w:rPr>
          <w:rFonts w:ascii="Calibri" w:hAnsi="Calibri" w:cs="Calibri"/>
          <w:b/>
          <w:color w:val="000000"/>
          <w:sz w:val="22"/>
          <w:szCs w:val="22"/>
          <w:lang w:val="fr-CA"/>
        </w:rPr>
        <w:t>4</w:t>
      </w:r>
      <w:r w:rsidR="000B26D3" w:rsidRPr="00C8563F">
        <w:rPr>
          <w:rFonts w:ascii="Calibri" w:hAnsi="Calibri" w:cs="Calibri"/>
          <w:b/>
          <w:color w:val="000000"/>
          <w:sz w:val="22"/>
          <w:szCs w:val="22"/>
          <w:lang w:val="fr-CA"/>
        </w:rPr>
        <w:t>/</w:t>
      </w:r>
      <w:r w:rsidRPr="00C8563F">
        <w:rPr>
          <w:rFonts w:ascii="Calibri" w:hAnsi="Calibri" w:cs="Calibri"/>
          <w:b/>
          <w:color w:val="000000"/>
          <w:sz w:val="22"/>
          <w:szCs w:val="22"/>
          <w:lang w:val="fr-CA"/>
        </w:rPr>
        <w:t>20</w:t>
      </w:r>
      <w:r w:rsidR="000B26D3" w:rsidRPr="00C8563F">
        <w:rPr>
          <w:rFonts w:ascii="Calibri" w:hAnsi="Calibri" w:cs="Calibri"/>
          <w:b/>
          <w:color w:val="000000"/>
          <w:sz w:val="22"/>
          <w:szCs w:val="22"/>
          <w:lang w:val="fr-CA"/>
        </w:rPr>
        <w:t>1</w:t>
      </w:r>
      <w:r w:rsidR="00ED7B50" w:rsidRPr="00C8563F">
        <w:rPr>
          <w:rFonts w:ascii="Calibri" w:hAnsi="Calibri" w:cs="Calibri"/>
          <w:b/>
          <w:color w:val="000000"/>
          <w:sz w:val="22"/>
          <w:szCs w:val="22"/>
          <w:lang w:val="fr-CA"/>
        </w:rPr>
        <w:t>5</w:t>
      </w:r>
      <w:r w:rsidR="000B26D3" w:rsidRPr="00C8563F">
        <w:rPr>
          <w:rFonts w:ascii="Calibri" w:hAnsi="Calibri" w:cs="Calibri"/>
          <w:b/>
          <w:color w:val="000000"/>
          <w:sz w:val="22"/>
          <w:szCs w:val="22"/>
          <w:lang w:val="fr-CA"/>
        </w:rPr>
        <w:t xml:space="preserve"> </w:t>
      </w:r>
    </w:p>
    <w:p w:rsidR="000B26D3" w:rsidRPr="00C8563F" w:rsidRDefault="000B26D3" w:rsidP="000B26D3">
      <w:pPr>
        <w:ind w:left="539" w:hanging="539"/>
        <w:rPr>
          <w:rFonts w:ascii="Calibri" w:hAnsi="Calibri" w:cs="Calibri"/>
          <w:color w:val="000000"/>
          <w:sz w:val="22"/>
          <w:szCs w:val="22"/>
          <w:lang w:val="fr-CA"/>
        </w:rPr>
      </w:pPr>
    </w:p>
    <w:p w:rsidR="000B26D3" w:rsidRPr="00C8563F" w:rsidRDefault="007E3A65" w:rsidP="005532CA">
      <w:pPr>
        <w:numPr>
          <w:ilvl w:val="0"/>
          <w:numId w:val="39"/>
        </w:numPr>
        <w:autoSpaceDE w:val="0"/>
        <w:autoSpaceDN w:val="0"/>
        <w:adjustRightInd w:val="0"/>
        <w:ind w:left="450" w:hanging="450"/>
        <w:rPr>
          <w:rFonts w:ascii="Calibri" w:hAnsi="Calibri" w:cs="Calibri"/>
          <w:sz w:val="22"/>
          <w:szCs w:val="22"/>
          <w:lang w:val="fr-CH"/>
        </w:rPr>
      </w:pPr>
      <w:r w:rsidRPr="00C8563F">
        <w:rPr>
          <w:rFonts w:ascii="Calibri" w:hAnsi="Calibri" w:cs="Calibri"/>
          <w:sz w:val="22"/>
          <w:szCs w:val="22"/>
          <w:lang w:val="fr-CH"/>
        </w:rPr>
        <w:t>Dans la Ré</w:t>
      </w:r>
      <w:r w:rsidR="000B26D3" w:rsidRPr="00C8563F">
        <w:rPr>
          <w:rFonts w:ascii="Calibri" w:hAnsi="Calibri" w:cs="Calibri"/>
          <w:sz w:val="22"/>
          <w:szCs w:val="22"/>
          <w:lang w:val="fr-CH"/>
        </w:rPr>
        <w:t xml:space="preserve">solution XI.2 (2012), </w:t>
      </w:r>
      <w:r w:rsidRPr="00C8563F">
        <w:rPr>
          <w:rFonts w:ascii="Calibri" w:hAnsi="Calibri" w:cs="Calibri"/>
          <w:sz w:val="22"/>
          <w:szCs w:val="22"/>
          <w:lang w:val="fr-CH"/>
        </w:rPr>
        <w:t>la Conférence des Parties contractantes : « </w:t>
      </w:r>
      <w:r w:rsidR="005532CA" w:rsidRPr="00C8563F">
        <w:rPr>
          <w:rFonts w:ascii="Calibri" w:hAnsi="Calibri" w:cs="Calibri"/>
          <w:sz w:val="22"/>
          <w:szCs w:val="22"/>
          <w:lang w:val="fr-CH"/>
        </w:rPr>
        <w:t>Prie instamment les Parties contractantes ayant des contributions impayées de redoubler d’efforts pour les régler le plus rapidement possible, afin de renforcer la viabilité financière de la Convention de Ramsar grâce aux contributions de toutes les Parties contractantes et demande au Secrétariat de prendre contact avec les Parties contractantes ayant des contributions impayées depuis plus de trois ans afin de les aider à définir les options et mesures appropriées pour remédier à la situation et établir un plan de paiement des contributions, et de faire rapport à chaque réunion du Comité permanent et session de la Conférence des Parties sur les activités entreprises en la matière et les résultats obtenus</w:t>
      </w:r>
      <w:r w:rsidRPr="00C8563F">
        <w:rPr>
          <w:rFonts w:ascii="Calibri" w:hAnsi="Calibri" w:cs="Calibri"/>
          <w:sz w:val="22"/>
          <w:szCs w:val="22"/>
          <w:lang w:val="fr-CH"/>
        </w:rPr>
        <w:t> »</w:t>
      </w:r>
      <w:r w:rsidR="000B26D3" w:rsidRPr="00C8563F">
        <w:rPr>
          <w:rFonts w:ascii="Calibri" w:hAnsi="Calibri" w:cs="Calibri"/>
          <w:sz w:val="22"/>
          <w:szCs w:val="22"/>
          <w:lang w:val="fr-CH"/>
        </w:rPr>
        <w:t xml:space="preserve">. </w:t>
      </w:r>
    </w:p>
    <w:p w:rsidR="000B26D3" w:rsidRPr="00C8563F" w:rsidRDefault="000B26D3" w:rsidP="000B26D3">
      <w:pPr>
        <w:autoSpaceDE w:val="0"/>
        <w:autoSpaceDN w:val="0"/>
        <w:adjustRightInd w:val="0"/>
        <w:ind w:left="426"/>
        <w:rPr>
          <w:rFonts w:ascii="Calibri" w:hAnsi="Calibri" w:cs="Calibri"/>
          <w:sz w:val="22"/>
          <w:szCs w:val="22"/>
          <w:lang w:val="fr-CH"/>
        </w:rPr>
      </w:pPr>
    </w:p>
    <w:p w:rsidR="00E60DC9" w:rsidRPr="00C8563F" w:rsidRDefault="007E3A65" w:rsidP="000B26D3">
      <w:pPr>
        <w:numPr>
          <w:ilvl w:val="0"/>
          <w:numId w:val="39"/>
        </w:numPr>
        <w:autoSpaceDE w:val="0"/>
        <w:autoSpaceDN w:val="0"/>
        <w:adjustRightInd w:val="0"/>
        <w:ind w:left="426" w:hanging="426"/>
        <w:rPr>
          <w:rFonts w:ascii="Calibri" w:hAnsi="Calibri" w:cs="Calibri"/>
          <w:color w:val="000000"/>
          <w:sz w:val="22"/>
          <w:szCs w:val="22"/>
          <w:lang w:val="fr-CA"/>
        </w:rPr>
      </w:pPr>
      <w:r w:rsidRPr="00C8563F">
        <w:rPr>
          <w:rFonts w:ascii="Calibri" w:hAnsi="Calibri" w:cs="Calibri"/>
          <w:sz w:val="22"/>
          <w:szCs w:val="22"/>
          <w:lang w:val="fr-CA"/>
        </w:rPr>
        <w:t>Le Comité permanent, à sa 47</w:t>
      </w:r>
      <w:r w:rsidRPr="00C8563F">
        <w:rPr>
          <w:rFonts w:ascii="Calibri" w:hAnsi="Calibri" w:cs="Calibri"/>
          <w:sz w:val="22"/>
          <w:szCs w:val="22"/>
          <w:vertAlign w:val="superscript"/>
          <w:lang w:val="fr-CA"/>
        </w:rPr>
        <w:t>e</w:t>
      </w:r>
      <w:r w:rsidRPr="00C8563F">
        <w:rPr>
          <w:rFonts w:ascii="Calibri" w:hAnsi="Calibri" w:cs="Calibri"/>
          <w:sz w:val="22"/>
          <w:szCs w:val="22"/>
          <w:lang w:val="fr-CA"/>
        </w:rPr>
        <w:t xml:space="preserve"> Réunion, a pris note de l’état actuel des contributions </w:t>
      </w:r>
      <w:r w:rsidR="005532CA" w:rsidRPr="00C8563F">
        <w:rPr>
          <w:rFonts w:ascii="Calibri" w:hAnsi="Calibri" w:cs="Calibri"/>
          <w:sz w:val="22"/>
          <w:szCs w:val="22"/>
          <w:lang w:val="fr-CA"/>
        </w:rPr>
        <w:t>impayées</w:t>
      </w:r>
      <w:r w:rsidRPr="00C8563F">
        <w:rPr>
          <w:rFonts w:ascii="Calibri" w:hAnsi="Calibri" w:cs="Calibri"/>
          <w:sz w:val="22"/>
          <w:szCs w:val="22"/>
          <w:lang w:val="fr-CA"/>
        </w:rPr>
        <w:t xml:space="preserve"> des Parties et a encouragé le Secrétariat, en collaboration avec les membres du Sous</w:t>
      </w:r>
      <w:r w:rsidRPr="00C8563F">
        <w:rPr>
          <w:rFonts w:ascii="Calibri" w:hAnsi="Calibri" w:cs="Calibri"/>
          <w:sz w:val="22"/>
          <w:szCs w:val="22"/>
          <w:lang w:val="fr-CA"/>
        </w:rPr>
        <w:noBreakHyphen/>
        <w:t>groupe sur les finances, à continuer d’agir en collaboration pour progresser en vue de résoudre cette question. Le Comité permanent a pris note de la demande du Sous</w:t>
      </w:r>
      <w:r w:rsidRPr="00C8563F">
        <w:rPr>
          <w:rFonts w:ascii="Calibri" w:hAnsi="Calibri" w:cs="Calibri"/>
          <w:sz w:val="22"/>
          <w:szCs w:val="22"/>
          <w:lang w:val="fr-CA"/>
        </w:rPr>
        <w:noBreakHyphen/>
        <w:t xml:space="preserve">groupe de donner la priorité aux Parties contractantes qui n’ont jamais payé et a souligné son espoir de voir des progrès accomplis par les Parties qui </w:t>
      </w:r>
      <w:r w:rsidR="005532CA" w:rsidRPr="00C8563F">
        <w:rPr>
          <w:rFonts w:ascii="Calibri" w:hAnsi="Calibri" w:cs="Calibri"/>
          <w:sz w:val="22"/>
          <w:szCs w:val="22"/>
          <w:lang w:val="fr-CA"/>
        </w:rPr>
        <w:t>n’ont pas versé leurs contributions depuis</w:t>
      </w:r>
      <w:r w:rsidRPr="00C8563F">
        <w:rPr>
          <w:rFonts w:ascii="Calibri" w:hAnsi="Calibri" w:cs="Calibri"/>
          <w:sz w:val="22"/>
          <w:szCs w:val="22"/>
          <w:lang w:val="fr-CA"/>
        </w:rPr>
        <w:t xml:space="preserve"> plus de trois ans. En outre, le Comité permanent a pris note des mesures adoptées par la Suisse qui limite l’utilisation de</w:t>
      </w:r>
      <w:r w:rsidR="008B1E86" w:rsidRPr="00C8563F">
        <w:rPr>
          <w:rFonts w:ascii="Calibri" w:hAnsi="Calibri" w:cs="Calibri"/>
          <w:sz w:val="22"/>
          <w:szCs w:val="22"/>
          <w:lang w:val="fr-CA"/>
        </w:rPr>
        <w:t xml:space="preserve"> se</w:t>
      </w:r>
      <w:r w:rsidRPr="00C8563F">
        <w:rPr>
          <w:rFonts w:ascii="Calibri" w:hAnsi="Calibri" w:cs="Calibri"/>
          <w:sz w:val="22"/>
          <w:szCs w:val="22"/>
          <w:lang w:val="fr-CA"/>
        </w:rPr>
        <w:t xml:space="preserve">s contributions additionnelles volontaires aux Parties contractantes africaines qui ont totalement payé leurs contributions. Le Comité permanent a formé l’espoir que cette action </w:t>
      </w:r>
      <w:r w:rsidR="005532CA" w:rsidRPr="00C8563F">
        <w:rPr>
          <w:rFonts w:ascii="Calibri" w:hAnsi="Calibri" w:cs="Calibri"/>
          <w:sz w:val="22"/>
          <w:szCs w:val="22"/>
          <w:lang w:val="fr-CA"/>
        </w:rPr>
        <w:t>puisse</w:t>
      </w:r>
      <w:r w:rsidRPr="00C8563F">
        <w:rPr>
          <w:rFonts w:ascii="Calibri" w:hAnsi="Calibri" w:cs="Calibri"/>
          <w:sz w:val="22"/>
          <w:szCs w:val="22"/>
          <w:lang w:val="fr-CA"/>
        </w:rPr>
        <w:t xml:space="preserve"> soutenir d’autres efforts déployés par le Secrétariat.</w:t>
      </w:r>
      <w:r w:rsidR="00E60DC9" w:rsidRPr="00C8563F">
        <w:rPr>
          <w:rFonts w:ascii="Calibri" w:hAnsi="Calibri" w:cs="Calibri"/>
          <w:sz w:val="22"/>
          <w:szCs w:val="22"/>
          <w:lang w:val="fr-CA"/>
        </w:rPr>
        <w:t xml:space="preserve"> </w:t>
      </w:r>
    </w:p>
    <w:p w:rsidR="00E60DC9" w:rsidRPr="00C8563F" w:rsidRDefault="00E60DC9" w:rsidP="00E60DC9">
      <w:pPr>
        <w:pStyle w:val="ListParagraph"/>
        <w:rPr>
          <w:rFonts w:ascii="Calibri" w:hAnsi="Calibri" w:cs="Calibri"/>
          <w:sz w:val="22"/>
          <w:szCs w:val="22"/>
          <w:lang w:val="fr-CA"/>
        </w:rPr>
      </w:pPr>
    </w:p>
    <w:p w:rsidR="00A91525" w:rsidRPr="00C8563F" w:rsidRDefault="007E3A65" w:rsidP="00A91525">
      <w:pPr>
        <w:numPr>
          <w:ilvl w:val="0"/>
          <w:numId w:val="39"/>
        </w:numPr>
        <w:autoSpaceDE w:val="0"/>
        <w:autoSpaceDN w:val="0"/>
        <w:adjustRightInd w:val="0"/>
        <w:ind w:left="426" w:hanging="426"/>
        <w:rPr>
          <w:rFonts w:ascii="Calibri" w:hAnsi="Calibri" w:cs="Calibri"/>
          <w:color w:val="000000"/>
          <w:sz w:val="22"/>
          <w:szCs w:val="22"/>
          <w:lang w:val="fr-CA"/>
        </w:rPr>
      </w:pPr>
      <w:r w:rsidRPr="00C8563F">
        <w:rPr>
          <w:rFonts w:ascii="Calibri" w:hAnsi="Calibri" w:cs="Calibri"/>
          <w:sz w:val="22"/>
          <w:szCs w:val="22"/>
          <w:lang w:val="fr-CA"/>
        </w:rPr>
        <w:t>Depuis la 47</w:t>
      </w:r>
      <w:r w:rsidRPr="00C8563F">
        <w:rPr>
          <w:rFonts w:ascii="Calibri" w:hAnsi="Calibri" w:cs="Calibri"/>
          <w:sz w:val="22"/>
          <w:szCs w:val="22"/>
          <w:vertAlign w:val="superscript"/>
          <w:lang w:val="fr-CA"/>
        </w:rPr>
        <w:t>e</w:t>
      </w:r>
      <w:r w:rsidRPr="00C8563F">
        <w:rPr>
          <w:rFonts w:ascii="Calibri" w:hAnsi="Calibri" w:cs="Calibri"/>
          <w:sz w:val="22"/>
          <w:szCs w:val="22"/>
          <w:lang w:val="fr-CA"/>
        </w:rPr>
        <w:t> Réunion du Comité permanent, le Secrétariat a pris les mesures suivantes :</w:t>
      </w:r>
    </w:p>
    <w:p w:rsidR="00A91525" w:rsidRPr="00C8563F" w:rsidRDefault="007E3A65" w:rsidP="00A91525">
      <w:pPr>
        <w:numPr>
          <w:ilvl w:val="0"/>
          <w:numId w:val="41"/>
        </w:numPr>
        <w:ind w:left="851" w:hanging="425"/>
        <w:rPr>
          <w:rFonts w:ascii="Calibri" w:hAnsi="Calibri" w:cs="Calibri"/>
          <w:color w:val="000000"/>
          <w:sz w:val="22"/>
          <w:szCs w:val="22"/>
          <w:lang w:val="fr-CA"/>
        </w:rPr>
      </w:pPr>
      <w:r w:rsidRPr="00C8563F">
        <w:rPr>
          <w:rFonts w:ascii="Calibri" w:hAnsi="Calibri" w:cs="Calibri"/>
          <w:color w:val="000000"/>
          <w:sz w:val="22"/>
          <w:szCs w:val="22"/>
          <w:lang w:val="fr-CA"/>
        </w:rPr>
        <w:t>Envoyer des rappels et des déclarations par voie diplomatique et par d’autres canaux gouvernementaux à des Parties spécifiques;</w:t>
      </w:r>
    </w:p>
    <w:p w:rsidR="00A91525" w:rsidRPr="00C8563F" w:rsidRDefault="007E3A65" w:rsidP="00A91525">
      <w:pPr>
        <w:numPr>
          <w:ilvl w:val="0"/>
          <w:numId w:val="41"/>
        </w:numPr>
        <w:ind w:left="851" w:hanging="425"/>
        <w:rPr>
          <w:rFonts w:ascii="Calibri" w:hAnsi="Calibri" w:cs="Calibri"/>
          <w:color w:val="000000"/>
          <w:sz w:val="22"/>
          <w:szCs w:val="22"/>
          <w:lang w:val="fr-CA"/>
        </w:rPr>
      </w:pPr>
      <w:r w:rsidRPr="00C8563F">
        <w:rPr>
          <w:rFonts w:ascii="Calibri" w:hAnsi="Calibri" w:cs="Calibri"/>
          <w:color w:val="000000"/>
          <w:sz w:val="22"/>
          <w:szCs w:val="22"/>
          <w:lang w:val="fr-CA"/>
        </w:rPr>
        <w:t>Rendre visite et assurer un suivi auprès des missions permanentes basées à Genève de Parties ayant des contributions</w:t>
      </w:r>
      <w:r w:rsidR="005532CA" w:rsidRPr="00C8563F">
        <w:rPr>
          <w:rFonts w:ascii="Calibri" w:hAnsi="Calibri" w:cs="Calibri"/>
          <w:color w:val="000000"/>
          <w:sz w:val="22"/>
          <w:szCs w:val="22"/>
          <w:lang w:val="fr-CA"/>
        </w:rPr>
        <w:t xml:space="preserve"> impayées</w:t>
      </w:r>
      <w:r w:rsidRPr="00C8563F">
        <w:rPr>
          <w:rFonts w:ascii="Calibri" w:hAnsi="Calibri" w:cs="Calibri"/>
          <w:color w:val="000000"/>
          <w:sz w:val="22"/>
          <w:szCs w:val="22"/>
          <w:lang w:val="fr-CA"/>
        </w:rPr>
        <w:t>;</w:t>
      </w:r>
    </w:p>
    <w:p w:rsidR="00A91525" w:rsidRPr="00C8563F" w:rsidRDefault="007E3A65" w:rsidP="00A91525">
      <w:pPr>
        <w:numPr>
          <w:ilvl w:val="0"/>
          <w:numId w:val="41"/>
        </w:numPr>
        <w:ind w:left="851" w:hanging="425"/>
        <w:rPr>
          <w:rFonts w:ascii="Calibri" w:hAnsi="Calibri" w:cs="Calibri"/>
          <w:color w:val="000000"/>
          <w:sz w:val="22"/>
          <w:szCs w:val="22"/>
          <w:lang w:val="fr-CA"/>
        </w:rPr>
      </w:pPr>
      <w:r w:rsidRPr="00C8563F">
        <w:rPr>
          <w:rFonts w:ascii="Calibri" w:hAnsi="Calibri" w:cs="Calibri"/>
          <w:color w:val="000000"/>
          <w:sz w:val="22"/>
          <w:szCs w:val="22"/>
          <w:lang w:val="fr-CA"/>
        </w:rPr>
        <w:t>Envoyer des rappels par voie orale et écrite aux Correspondants nationaux et Autorités administratives;</w:t>
      </w:r>
    </w:p>
    <w:p w:rsidR="00A91525" w:rsidRPr="00C8563F" w:rsidRDefault="007E3A65" w:rsidP="00A91525">
      <w:pPr>
        <w:numPr>
          <w:ilvl w:val="0"/>
          <w:numId w:val="41"/>
        </w:numPr>
        <w:ind w:left="851" w:hanging="425"/>
        <w:rPr>
          <w:rFonts w:ascii="Calibri" w:hAnsi="Calibri" w:cs="Calibri"/>
          <w:color w:val="000000"/>
          <w:sz w:val="22"/>
          <w:szCs w:val="22"/>
          <w:lang w:val="fr-CA"/>
        </w:rPr>
      </w:pPr>
      <w:r w:rsidRPr="00C8563F">
        <w:rPr>
          <w:rFonts w:ascii="Calibri" w:hAnsi="Calibri" w:cs="Calibri"/>
          <w:color w:val="000000"/>
          <w:sz w:val="22"/>
          <w:szCs w:val="22"/>
          <w:lang w:val="fr-CA"/>
        </w:rPr>
        <w:t xml:space="preserve">Envoyer des rappels aux Parties contractantes africaines concernant les Engagements de </w:t>
      </w:r>
      <w:r w:rsidR="00A91525" w:rsidRPr="00C8563F">
        <w:rPr>
          <w:rFonts w:ascii="Calibri" w:hAnsi="Calibri" w:cs="Calibri"/>
          <w:color w:val="000000"/>
          <w:sz w:val="22"/>
          <w:szCs w:val="22"/>
          <w:lang w:val="fr-CA"/>
        </w:rPr>
        <w:t xml:space="preserve">Ouagadougou </w:t>
      </w:r>
      <w:r w:rsidRPr="00C8563F">
        <w:rPr>
          <w:rFonts w:ascii="Calibri" w:hAnsi="Calibri" w:cs="Calibri"/>
          <w:color w:val="000000"/>
          <w:sz w:val="22"/>
          <w:szCs w:val="22"/>
          <w:lang w:val="fr-CA"/>
        </w:rPr>
        <w:t xml:space="preserve">et des notifications officielles en janvier 2014, leur indiquant </w:t>
      </w:r>
      <w:r w:rsidR="008B1E86" w:rsidRPr="00C8563F">
        <w:rPr>
          <w:rFonts w:ascii="Calibri" w:hAnsi="Calibri" w:cs="Calibri"/>
          <w:color w:val="000000"/>
          <w:sz w:val="22"/>
          <w:szCs w:val="22"/>
          <w:lang w:val="fr-CA"/>
        </w:rPr>
        <w:t xml:space="preserve">les </w:t>
      </w:r>
      <w:r w:rsidRPr="00C8563F">
        <w:rPr>
          <w:rFonts w:ascii="Calibri" w:hAnsi="Calibri" w:cs="Calibri"/>
          <w:color w:val="000000"/>
          <w:sz w:val="22"/>
          <w:szCs w:val="22"/>
          <w:lang w:val="fr-CA"/>
        </w:rPr>
        <w:t xml:space="preserve">contributions </w:t>
      </w:r>
      <w:r w:rsidR="005532CA" w:rsidRPr="00C8563F">
        <w:rPr>
          <w:rFonts w:ascii="Calibri" w:hAnsi="Calibri" w:cs="Calibri"/>
          <w:color w:val="000000"/>
          <w:sz w:val="22"/>
          <w:szCs w:val="22"/>
          <w:lang w:val="fr-CA"/>
        </w:rPr>
        <w:t xml:space="preserve">impayées </w:t>
      </w:r>
      <w:r w:rsidRPr="00C8563F">
        <w:rPr>
          <w:rFonts w:ascii="Calibri" w:hAnsi="Calibri" w:cs="Calibri"/>
          <w:color w:val="000000"/>
          <w:sz w:val="22"/>
          <w:szCs w:val="22"/>
          <w:lang w:val="fr-CA"/>
        </w:rPr>
        <w:t xml:space="preserve">et les réalités et risques relatifs </w:t>
      </w:r>
      <w:r w:rsidR="008B1E86" w:rsidRPr="00C8563F">
        <w:rPr>
          <w:rFonts w:ascii="Calibri" w:hAnsi="Calibri" w:cs="Calibri"/>
          <w:color w:val="000000"/>
          <w:sz w:val="22"/>
          <w:szCs w:val="22"/>
          <w:lang w:val="fr-CA"/>
        </w:rPr>
        <w:t xml:space="preserve">aux conditions d’attribution future </w:t>
      </w:r>
      <w:r w:rsidRPr="00C8563F">
        <w:rPr>
          <w:rFonts w:ascii="Calibri" w:hAnsi="Calibri" w:cs="Calibri"/>
          <w:color w:val="000000"/>
          <w:sz w:val="22"/>
          <w:szCs w:val="22"/>
          <w:lang w:val="fr-CA"/>
        </w:rPr>
        <w:t xml:space="preserve">de fonds volontaires </w:t>
      </w:r>
      <w:r w:rsidR="008B1E86" w:rsidRPr="00C8563F">
        <w:rPr>
          <w:rFonts w:ascii="Calibri" w:hAnsi="Calibri" w:cs="Calibri"/>
          <w:color w:val="000000"/>
          <w:sz w:val="22"/>
          <w:szCs w:val="22"/>
          <w:lang w:val="fr-CA"/>
        </w:rPr>
        <w:t>versés par</w:t>
      </w:r>
      <w:r w:rsidRPr="00C8563F">
        <w:rPr>
          <w:rFonts w:ascii="Calibri" w:hAnsi="Calibri" w:cs="Calibri"/>
          <w:color w:val="000000"/>
          <w:sz w:val="22"/>
          <w:szCs w:val="22"/>
          <w:lang w:val="fr-CA"/>
        </w:rPr>
        <w:t xml:space="preserve"> certaines Parties contractantes donatrices.</w:t>
      </w:r>
    </w:p>
    <w:p w:rsidR="0072177A" w:rsidRPr="00C8563F" w:rsidRDefault="0072177A" w:rsidP="0072177A">
      <w:pPr>
        <w:autoSpaceDE w:val="0"/>
        <w:autoSpaceDN w:val="0"/>
        <w:adjustRightInd w:val="0"/>
        <w:ind w:left="426"/>
        <w:rPr>
          <w:rFonts w:ascii="Calibri" w:hAnsi="Calibri" w:cs="Calibri"/>
          <w:color w:val="000000"/>
          <w:sz w:val="22"/>
          <w:szCs w:val="22"/>
          <w:lang w:val="fr-CA"/>
        </w:rPr>
      </w:pPr>
    </w:p>
    <w:p w:rsidR="00290A83" w:rsidRPr="00C8563F" w:rsidRDefault="00202D26" w:rsidP="00A91525">
      <w:pPr>
        <w:numPr>
          <w:ilvl w:val="0"/>
          <w:numId w:val="39"/>
        </w:numPr>
        <w:autoSpaceDE w:val="0"/>
        <w:autoSpaceDN w:val="0"/>
        <w:adjustRightInd w:val="0"/>
        <w:ind w:left="426" w:hanging="426"/>
        <w:rPr>
          <w:rFonts w:ascii="Calibri" w:hAnsi="Calibri" w:cs="Calibri"/>
          <w:color w:val="000000"/>
          <w:sz w:val="22"/>
          <w:szCs w:val="22"/>
          <w:lang w:val="fr-CA"/>
        </w:rPr>
      </w:pPr>
      <w:r w:rsidRPr="00C8563F">
        <w:rPr>
          <w:rFonts w:ascii="Calibri" w:hAnsi="Calibri" w:cs="Calibri"/>
          <w:color w:val="000000"/>
          <w:sz w:val="22"/>
          <w:szCs w:val="22"/>
          <w:lang w:val="fr-CA"/>
        </w:rPr>
        <w:t xml:space="preserve">Parties contractantes </w:t>
      </w:r>
      <w:r w:rsidR="005532CA" w:rsidRPr="00C8563F">
        <w:rPr>
          <w:rFonts w:ascii="Calibri" w:hAnsi="Calibri" w:cs="Calibri"/>
          <w:color w:val="000000"/>
          <w:sz w:val="22"/>
          <w:szCs w:val="22"/>
          <w:lang w:val="fr-CA"/>
        </w:rPr>
        <w:t>dont les</w:t>
      </w:r>
      <w:r w:rsidRPr="00C8563F">
        <w:rPr>
          <w:rFonts w:ascii="Calibri" w:hAnsi="Calibri" w:cs="Calibri"/>
          <w:color w:val="000000"/>
          <w:sz w:val="22"/>
          <w:szCs w:val="22"/>
          <w:lang w:val="fr-CA"/>
        </w:rPr>
        <w:t xml:space="preserve"> </w:t>
      </w:r>
      <w:r w:rsidR="005532CA" w:rsidRPr="00C8563F">
        <w:rPr>
          <w:rFonts w:ascii="Calibri" w:hAnsi="Calibri" w:cs="Calibri"/>
          <w:color w:val="000000"/>
          <w:sz w:val="22"/>
          <w:szCs w:val="22"/>
          <w:lang w:val="fr-CA"/>
        </w:rPr>
        <w:t>contributions sont impayées</w:t>
      </w:r>
      <w:r w:rsidRPr="00C8563F">
        <w:rPr>
          <w:rFonts w:ascii="Calibri" w:hAnsi="Calibri" w:cs="Calibri"/>
          <w:color w:val="000000"/>
          <w:sz w:val="22"/>
          <w:szCs w:val="22"/>
          <w:lang w:val="fr-CA"/>
        </w:rPr>
        <w:t xml:space="preserve"> depuis plus de trois ans (année 2011 et précédente</w:t>
      </w:r>
      <w:r w:rsidR="00A008E8" w:rsidRPr="00C8563F">
        <w:rPr>
          <w:rFonts w:ascii="Calibri" w:hAnsi="Calibri" w:cs="Calibri"/>
          <w:color w:val="000000"/>
          <w:sz w:val="22"/>
          <w:szCs w:val="22"/>
          <w:lang w:val="fr-CA"/>
        </w:rPr>
        <w:t>s</w:t>
      </w:r>
      <w:r w:rsidRPr="00C8563F">
        <w:rPr>
          <w:rFonts w:ascii="Calibri" w:hAnsi="Calibri" w:cs="Calibri"/>
          <w:color w:val="000000"/>
          <w:sz w:val="22"/>
          <w:szCs w:val="22"/>
          <w:lang w:val="fr-CA"/>
        </w:rPr>
        <w:t xml:space="preserve">) : </w:t>
      </w:r>
    </w:p>
    <w:p w:rsidR="00A91525" w:rsidRPr="00C8563F" w:rsidRDefault="00A91525" w:rsidP="00A91525">
      <w:pPr>
        <w:pStyle w:val="ListParagraph"/>
        <w:rPr>
          <w:rFonts w:ascii="Calibri" w:hAnsi="Calibri" w:cs="Calibri"/>
          <w:color w:val="000000"/>
          <w:sz w:val="22"/>
          <w:szCs w:val="22"/>
          <w:lang w:val="fr-CA"/>
        </w:rPr>
      </w:pPr>
    </w:p>
    <w:p w:rsidR="00A91525" w:rsidRPr="00C8563F" w:rsidRDefault="00AE6645" w:rsidP="005837A9">
      <w:pPr>
        <w:pStyle w:val="ListParagraph"/>
        <w:ind w:left="504"/>
        <w:rPr>
          <w:rFonts w:ascii="Calibri" w:hAnsi="Calibri" w:cs="Calibri"/>
          <w:color w:val="000000"/>
          <w:sz w:val="22"/>
          <w:szCs w:val="22"/>
          <w:lang w:val="fr-CA"/>
        </w:rPr>
      </w:pPr>
      <w:r w:rsidRPr="00C8563F">
        <w:rPr>
          <w:rFonts w:ascii="Calibri" w:hAnsi="Calibri" w:cs="Calibri"/>
          <w:color w:val="000000"/>
          <w:sz w:val="22"/>
          <w:szCs w:val="22"/>
          <w:lang w:val="fr-CA"/>
        </w:rPr>
        <w:t>Table</w:t>
      </w:r>
      <w:r w:rsidR="00202D26" w:rsidRPr="00C8563F">
        <w:rPr>
          <w:rFonts w:ascii="Calibri" w:hAnsi="Calibri" w:cs="Calibri"/>
          <w:color w:val="000000"/>
          <w:sz w:val="22"/>
          <w:szCs w:val="22"/>
          <w:lang w:val="fr-CA"/>
        </w:rPr>
        <w:t>au</w:t>
      </w:r>
      <w:r w:rsidRPr="00C8563F">
        <w:rPr>
          <w:rFonts w:ascii="Calibri" w:hAnsi="Calibri" w:cs="Calibri"/>
          <w:color w:val="000000"/>
          <w:sz w:val="22"/>
          <w:szCs w:val="22"/>
          <w:lang w:val="fr-CA"/>
        </w:rPr>
        <w:t xml:space="preserve"> 2</w:t>
      </w:r>
    </w:p>
    <w:tbl>
      <w:tblPr>
        <w:tblStyle w:val="TableGrid"/>
        <w:tblW w:w="0" w:type="auto"/>
        <w:tblInd w:w="556" w:type="dxa"/>
        <w:tblLook w:val="04A0"/>
      </w:tblPr>
      <w:tblGrid>
        <w:gridCol w:w="2246"/>
        <w:gridCol w:w="1134"/>
        <w:gridCol w:w="1134"/>
        <w:gridCol w:w="992"/>
        <w:gridCol w:w="1134"/>
      </w:tblGrid>
      <w:tr w:rsidR="00202D26" w:rsidRPr="00C8563F" w:rsidTr="005837A9">
        <w:tc>
          <w:tcPr>
            <w:tcW w:w="2246" w:type="dxa"/>
          </w:tcPr>
          <w:p w:rsidR="00202D26" w:rsidRPr="00C8563F" w:rsidRDefault="00202D26" w:rsidP="00A91525">
            <w:pPr>
              <w:autoSpaceDE w:val="0"/>
              <w:autoSpaceDN w:val="0"/>
              <w:adjustRightInd w:val="0"/>
              <w:rPr>
                <w:rFonts w:ascii="Calibri" w:hAnsi="Calibri" w:cs="Calibri"/>
                <w:color w:val="000000"/>
                <w:sz w:val="22"/>
                <w:szCs w:val="22"/>
                <w:lang w:val="fr-CA"/>
              </w:rPr>
            </w:pPr>
          </w:p>
        </w:tc>
        <w:tc>
          <w:tcPr>
            <w:tcW w:w="2268" w:type="dxa"/>
            <w:gridSpan w:val="2"/>
            <w:vAlign w:val="center"/>
          </w:tcPr>
          <w:p w:rsidR="00202D26" w:rsidRPr="00C8563F" w:rsidRDefault="00202D26" w:rsidP="00202D26">
            <w:pPr>
              <w:autoSpaceDE w:val="0"/>
              <w:autoSpaceDN w:val="0"/>
              <w:adjustRightInd w:val="0"/>
              <w:jc w:val="center"/>
              <w:rPr>
                <w:rFonts w:ascii="Calibri" w:hAnsi="Calibri" w:cs="Calibri"/>
                <w:b/>
                <w:color w:val="000000"/>
                <w:sz w:val="22"/>
                <w:szCs w:val="22"/>
                <w:lang w:val="fr-CA"/>
              </w:rPr>
            </w:pPr>
            <w:r w:rsidRPr="00C8563F">
              <w:rPr>
                <w:rFonts w:ascii="Calibri" w:hAnsi="Calibri" w:cs="Calibri"/>
                <w:b/>
                <w:color w:val="000000"/>
                <w:sz w:val="22"/>
                <w:szCs w:val="22"/>
                <w:lang w:val="fr-CA"/>
              </w:rPr>
              <w:t>2014</w:t>
            </w:r>
          </w:p>
        </w:tc>
        <w:tc>
          <w:tcPr>
            <w:tcW w:w="2126" w:type="dxa"/>
            <w:gridSpan w:val="2"/>
            <w:vAlign w:val="center"/>
          </w:tcPr>
          <w:p w:rsidR="00202D26" w:rsidRPr="00C8563F" w:rsidRDefault="00202D26" w:rsidP="00202D26">
            <w:pPr>
              <w:autoSpaceDE w:val="0"/>
              <w:autoSpaceDN w:val="0"/>
              <w:adjustRightInd w:val="0"/>
              <w:jc w:val="center"/>
              <w:rPr>
                <w:rFonts w:ascii="Calibri" w:hAnsi="Calibri" w:cs="Calibri"/>
                <w:b/>
                <w:color w:val="000000"/>
                <w:sz w:val="22"/>
                <w:szCs w:val="22"/>
                <w:lang w:val="fr-CA"/>
              </w:rPr>
            </w:pPr>
            <w:r w:rsidRPr="00C8563F">
              <w:rPr>
                <w:rFonts w:ascii="Calibri" w:hAnsi="Calibri" w:cs="Calibri"/>
                <w:b/>
                <w:color w:val="000000"/>
                <w:sz w:val="22"/>
                <w:szCs w:val="22"/>
                <w:lang w:val="fr-CA"/>
              </w:rPr>
              <w:t>2013</w:t>
            </w:r>
          </w:p>
        </w:tc>
      </w:tr>
      <w:tr w:rsidR="00202D26" w:rsidRPr="00C8563F" w:rsidTr="005837A9">
        <w:tc>
          <w:tcPr>
            <w:tcW w:w="2246" w:type="dxa"/>
          </w:tcPr>
          <w:p w:rsidR="00202D26" w:rsidRPr="00C8563F" w:rsidRDefault="00202D26" w:rsidP="00A91525">
            <w:pPr>
              <w:autoSpaceDE w:val="0"/>
              <w:autoSpaceDN w:val="0"/>
              <w:adjustRightInd w:val="0"/>
              <w:rPr>
                <w:rFonts w:ascii="Calibri" w:hAnsi="Calibri" w:cs="Calibri"/>
                <w:color w:val="000000"/>
                <w:sz w:val="22"/>
                <w:szCs w:val="22"/>
                <w:lang w:val="fr-CA"/>
              </w:rPr>
            </w:pPr>
          </w:p>
        </w:tc>
        <w:tc>
          <w:tcPr>
            <w:tcW w:w="1134" w:type="dxa"/>
          </w:tcPr>
          <w:p w:rsidR="00202D26" w:rsidRPr="00C8563F" w:rsidRDefault="008B1E86" w:rsidP="00A91525">
            <w:pPr>
              <w:autoSpaceDE w:val="0"/>
              <w:autoSpaceDN w:val="0"/>
              <w:adjustRightInd w:val="0"/>
              <w:rPr>
                <w:rFonts w:ascii="Calibri" w:hAnsi="Calibri" w:cs="Calibri"/>
                <w:b/>
                <w:color w:val="000000"/>
                <w:sz w:val="22"/>
                <w:szCs w:val="22"/>
                <w:lang w:val="fr-CA"/>
              </w:rPr>
            </w:pPr>
            <w:r w:rsidRPr="00C8563F">
              <w:rPr>
                <w:rFonts w:ascii="Calibri" w:hAnsi="Calibri" w:cs="Calibri"/>
                <w:b/>
                <w:color w:val="000000"/>
                <w:sz w:val="22"/>
                <w:szCs w:val="22"/>
                <w:lang w:val="fr-CA"/>
              </w:rPr>
              <w:t>Nombre</w:t>
            </w:r>
          </w:p>
        </w:tc>
        <w:tc>
          <w:tcPr>
            <w:tcW w:w="1134" w:type="dxa"/>
          </w:tcPr>
          <w:p w:rsidR="00202D26" w:rsidRPr="00C8563F" w:rsidRDefault="005532CA" w:rsidP="00A91525">
            <w:pPr>
              <w:autoSpaceDE w:val="0"/>
              <w:autoSpaceDN w:val="0"/>
              <w:adjustRightInd w:val="0"/>
              <w:rPr>
                <w:rFonts w:ascii="Calibri" w:hAnsi="Calibri" w:cs="Calibri"/>
                <w:b/>
                <w:color w:val="000000"/>
                <w:sz w:val="22"/>
                <w:szCs w:val="22"/>
                <w:lang w:val="fr-CA"/>
              </w:rPr>
            </w:pPr>
            <w:r w:rsidRPr="00C8563F">
              <w:rPr>
                <w:rFonts w:ascii="Calibri" w:hAnsi="Calibri" w:cs="Calibri"/>
                <w:b/>
                <w:color w:val="000000"/>
                <w:sz w:val="22"/>
                <w:szCs w:val="22"/>
                <w:lang w:val="fr-CA"/>
              </w:rPr>
              <w:t>Montant</w:t>
            </w:r>
          </w:p>
        </w:tc>
        <w:tc>
          <w:tcPr>
            <w:tcW w:w="992" w:type="dxa"/>
          </w:tcPr>
          <w:p w:rsidR="00202D26" w:rsidRPr="00C8563F" w:rsidRDefault="008B1E86" w:rsidP="00A91525">
            <w:pPr>
              <w:autoSpaceDE w:val="0"/>
              <w:autoSpaceDN w:val="0"/>
              <w:adjustRightInd w:val="0"/>
              <w:rPr>
                <w:rFonts w:ascii="Calibri" w:hAnsi="Calibri" w:cs="Calibri"/>
                <w:b/>
                <w:color w:val="000000"/>
                <w:sz w:val="22"/>
                <w:szCs w:val="22"/>
                <w:lang w:val="fr-CA"/>
              </w:rPr>
            </w:pPr>
            <w:r w:rsidRPr="00C8563F">
              <w:rPr>
                <w:rFonts w:ascii="Calibri" w:hAnsi="Calibri" w:cs="Calibri"/>
                <w:b/>
                <w:color w:val="000000"/>
                <w:sz w:val="22"/>
                <w:szCs w:val="22"/>
                <w:lang w:val="fr-CA"/>
              </w:rPr>
              <w:t>Nombre</w:t>
            </w:r>
          </w:p>
        </w:tc>
        <w:tc>
          <w:tcPr>
            <w:tcW w:w="1134" w:type="dxa"/>
          </w:tcPr>
          <w:p w:rsidR="00202D26" w:rsidRPr="00C8563F" w:rsidRDefault="005532CA" w:rsidP="00A91525">
            <w:pPr>
              <w:autoSpaceDE w:val="0"/>
              <w:autoSpaceDN w:val="0"/>
              <w:adjustRightInd w:val="0"/>
              <w:rPr>
                <w:rFonts w:ascii="Calibri" w:hAnsi="Calibri" w:cs="Calibri"/>
                <w:b/>
                <w:color w:val="000000"/>
                <w:sz w:val="22"/>
                <w:szCs w:val="22"/>
                <w:lang w:val="fr-CA"/>
              </w:rPr>
            </w:pPr>
            <w:r w:rsidRPr="00C8563F">
              <w:rPr>
                <w:rFonts w:ascii="Calibri" w:hAnsi="Calibri" w:cs="Calibri"/>
                <w:b/>
                <w:color w:val="000000"/>
                <w:sz w:val="22"/>
                <w:szCs w:val="22"/>
                <w:lang w:val="fr-CA"/>
              </w:rPr>
              <w:t>Montant</w:t>
            </w:r>
          </w:p>
        </w:tc>
      </w:tr>
      <w:tr w:rsidR="00202D26" w:rsidRPr="00C8563F" w:rsidTr="005837A9">
        <w:tc>
          <w:tcPr>
            <w:tcW w:w="2246" w:type="dxa"/>
            <w:vAlign w:val="center"/>
          </w:tcPr>
          <w:p w:rsidR="00202D26" w:rsidRPr="00C8563F" w:rsidRDefault="00202D26" w:rsidP="0000154A">
            <w:pPr>
              <w:autoSpaceDE w:val="0"/>
              <w:autoSpaceDN w:val="0"/>
              <w:adjustRightInd w:val="0"/>
              <w:rPr>
                <w:rFonts w:ascii="Calibri" w:hAnsi="Calibri" w:cs="Calibri"/>
                <w:b/>
                <w:color w:val="000000"/>
                <w:sz w:val="22"/>
                <w:szCs w:val="22"/>
                <w:lang w:val="fr-CA"/>
              </w:rPr>
            </w:pPr>
            <w:r w:rsidRPr="00C8563F">
              <w:rPr>
                <w:rFonts w:ascii="Calibri" w:hAnsi="Calibri" w:cs="Calibri"/>
                <w:b/>
                <w:color w:val="000000"/>
                <w:sz w:val="22"/>
                <w:szCs w:val="22"/>
                <w:lang w:val="fr-CA"/>
              </w:rPr>
              <w:t>Afrique</w:t>
            </w:r>
          </w:p>
        </w:tc>
        <w:tc>
          <w:tcPr>
            <w:tcW w:w="1134" w:type="dxa"/>
            <w:vAlign w:val="center"/>
          </w:tcPr>
          <w:p w:rsidR="00202D26" w:rsidRPr="00C8563F" w:rsidRDefault="0000154A" w:rsidP="0000154A">
            <w:pPr>
              <w:autoSpaceDE w:val="0"/>
              <w:autoSpaceDN w:val="0"/>
              <w:adjustRightInd w:val="0"/>
              <w:jc w:val="right"/>
              <w:rPr>
                <w:rFonts w:ascii="Calibri" w:hAnsi="Calibri" w:cs="Calibri"/>
                <w:color w:val="000000"/>
                <w:sz w:val="22"/>
                <w:szCs w:val="22"/>
                <w:lang w:val="fr-CA"/>
              </w:rPr>
            </w:pPr>
            <w:r w:rsidRPr="00C8563F">
              <w:rPr>
                <w:rFonts w:ascii="Calibri" w:hAnsi="Calibri" w:cs="Calibri"/>
                <w:color w:val="000000"/>
                <w:sz w:val="22"/>
                <w:szCs w:val="22"/>
                <w:lang w:val="fr-CA"/>
              </w:rPr>
              <w:t>16</w:t>
            </w:r>
          </w:p>
        </w:tc>
        <w:tc>
          <w:tcPr>
            <w:tcW w:w="1134" w:type="dxa"/>
            <w:vAlign w:val="center"/>
          </w:tcPr>
          <w:p w:rsidR="00202D26" w:rsidRPr="00C8563F" w:rsidRDefault="0000154A" w:rsidP="0000154A">
            <w:pPr>
              <w:autoSpaceDE w:val="0"/>
              <w:autoSpaceDN w:val="0"/>
              <w:adjustRightInd w:val="0"/>
              <w:jc w:val="right"/>
              <w:rPr>
                <w:rFonts w:ascii="Calibri" w:hAnsi="Calibri" w:cs="Calibri"/>
                <w:color w:val="000000"/>
                <w:sz w:val="22"/>
                <w:szCs w:val="22"/>
                <w:lang w:val="en-CA"/>
              </w:rPr>
            </w:pPr>
            <w:r w:rsidRPr="00C8563F">
              <w:rPr>
                <w:rFonts w:ascii="Calibri" w:hAnsi="Calibri" w:cs="Calibri"/>
                <w:color w:val="000000"/>
                <w:sz w:val="22"/>
                <w:szCs w:val="22"/>
                <w:lang w:val="fr-CA"/>
              </w:rPr>
              <w:t>134 000</w:t>
            </w:r>
          </w:p>
        </w:tc>
        <w:tc>
          <w:tcPr>
            <w:tcW w:w="992" w:type="dxa"/>
            <w:vAlign w:val="center"/>
          </w:tcPr>
          <w:p w:rsidR="00202D26" w:rsidRPr="00C8563F" w:rsidRDefault="0000154A" w:rsidP="0000154A">
            <w:pPr>
              <w:autoSpaceDE w:val="0"/>
              <w:autoSpaceDN w:val="0"/>
              <w:adjustRightInd w:val="0"/>
              <w:jc w:val="right"/>
              <w:rPr>
                <w:rFonts w:ascii="Calibri" w:hAnsi="Calibri" w:cs="Calibri"/>
                <w:color w:val="000000"/>
                <w:sz w:val="22"/>
                <w:szCs w:val="22"/>
                <w:lang w:val="fr-CA"/>
              </w:rPr>
            </w:pPr>
            <w:r w:rsidRPr="00C8563F">
              <w:rPr>
                <w:rFonts w:ascii="Calibri" w:hAnsi="Calibri" w:cs="Calibri"/>
                <w:color w:val="000000"/>
                <w:sz w:val="22"/>
                <w:szCs w:val="22"/>
                <w:lang w:val="fr-CA"/>
              </w:rPr>
              <w:t>18</w:t>
            </w:r>
          </w:p>
        </w:tc>
        <w:tc>
          <w:tcPr>
            <w:tcW w:w="1134" w:type="dxa"/>
            <w:vAlign w:val="center"/>
          </w:tcPr>
          <w:p w:rsidR="00202D26" w:rsidRPr="00C8563F" w:rsidRDefault="0000154A" w:rsidP="0000154A">
            <w:pPr>
              <w:autoSpaceDE w:val="0"/>
              <w:autoSpaceDN w:val="0"/>
              <w:adjustRightInd w:val="0"/>
              <w:jc w:val="right"/>
              <w:rPr>
                <w:rFonts w:ascii="Calibri" w:hAnsi="Calibri" w:cs="Calibri"/>
                <w:color w:val="000000"/>
                <w:sz w:val="22"/>
                <w:szCs w:val="22"/>
                <w:lang w:val="fr-CA"/>
              </w:rPr>
            </w:pPr>
            <w:r w:rsidRPr="00C8563F">
              <w:rPr>
                <w:rFonts w:ascii="Calibri" w:hAnsi="Calibri" w:cs="Calibri"/>
                <w:color w:val="000000"/>
                <w:sz w:val="22"/>
                <w:szCs w:val="22"/>
                <w:lang w:val="fr-CA"/>
              </w:rPr>
              <w:t>196 000</w:t>
            </w:r>
          </w:p>
        </w:tc>
      </w:tr>
      <w:tr w:rsidR="00202D26" w:rsidRPr="00C8563F" w:rsidTr="005837A9">
        <w:tc>
          <w:tcPr>
            <w:tcW w:w="2246" w:type="dxa"/>
            <w:vAlign w:val="center"/>
          </w:tcPr>
          <w:p w:rsidR="00202D26" w:rsidRPr="00C8563F" w:rsidRDefault="00202D26" w:rsidP="0000154A">
            <w:pPr>
              <w:autoSpaceDE w:val="0"/>
              <w:autoSpaceDN w:val="0"/>
              <w:adjustRightInd w:val="0"/>
              <w:rPr>
                <w:rFonts w:ascii="Calibri" w:hAnsi="Calibri" w:cs="Calibri"/>
                <w:b/>
                <w:color w:val="000000"/>
                <w:sz w:val="22"/>
                <w:szCs w:val="22"/>
                <w:lang w:val="fr-CA"/>
              </w:rPr>
            </w:pPr>
            <w:r w:rsidRPr="00C8563F">
              <w:rPr>
                <w:rFonts w:ascii="Calibri" w:hAnsi="Calibri" w:cs="Calibri"/>
                <w:b/>
                <w:color w:val="000000"/>
                <w:sz w:val="22"/>
                <w:szCs w:val="22"/>
                <w:lang w:val="fr-CA"/>
              </w:rPr>
              <w:t>Asie</w:t>
            </w:r>
          </w:p>
        </w:tc>
        <w:tc>
          <w:tcPr>
            <w:tcW w:w="1134" w:type="dxa"/>
            <w:vAlign w:val="center"/>
          </w:tcPr>
          <w:p w:rsidR="00202D26" w:rsidRPr="00C8563F" w:rsidRDefault="0000154A" w:rsidP="0000154A">
            <w:pPr>
              <w:autoSpaceDE w:val="0"/>
              <w:autoSpaceDN w:val="0"/>
              <w:adjustRightInd w:val="0"/>
              <w:jc w:val="right"/>
              <w:rPr>
                <w:rFonts w:ascii="Calibri" w:hAnsi="Calibri" w:cs="Calibri"/>
                <w:color w:val="000000"/>
                <w:sz w:val="22"/>
                <w:szCs w:val="22"/>
                <w:lang w:val="fr-CA"/>
              </w:rPr>
            </w:pPr>
            <w:r w:rsidRPr="00C8563F">
              <w:rPr>
                <w:rFonts w:ascii="Calibri" w:hAnsi="Calibri" w:cs="Calibri"/>
                <w:color w:val="000000"/>
                <w:sz w:val="22"/>
                <w:szCs w:val="22"/>
                <w:lang w:val="fr-CA"/>
              </w:rPr>
              <w:t>4</w:t>
            </w:r>
          </w:p>
        </w:tc>
        <w:tc>
          <w:tcPr>
            <w:tcW w:w="1134" w:type="dxa"/>
            <w:vAlign w:val="center"/>
          </w:tcPr>
          <w:p w:rsidR="00202D26" w:rsidRPr="00C8563F" w:rsidRDefault="0000154A" w:rsidP="0000154A">
            <w:pPr>
              <w:autoSpaceDE w:val="0"/>
              <w:autoSpaceDN w:val="0"/>
              <w:adjustRightInd w:val="0"/>
              <w:jc w:val="right"/>
              <w:rPr>
                <w:rFonts w:ascii="Calibri" w:hAnsi="Calibri" w:cs="Calibri"/>
                <w:color w:val="000000"/>
                <w:sz w:val="22"/>
                <w:szCs w:val="22"/>
                <w:lang w:val="fr-CA"/>
              </w:rPr>
            </w:pPr>
            <w:r w:rsidRPr="00C8563F">
              <w:rPr>
                <w:rFonts w:ascii="Calibri" w:hAnsi="Calibri" w:cs="Calibri"/>
                <w:color w:val="000000"/>
                <w:sz w:val="22"/>
                <w:szCs w:val="22"/>
                <w:lang w:val="fr-CA"/>
              </w:rPr>
              <w:t>14 000</w:t>
            </w:r>
          </w:p>
        </w:tc>
        <w:tc>
          <w:tcPr>
            <w:tcW w:w="992" w:type="dxa"/>
            <w:vAlign w:val="center"/>
          </w:tcPr>
          <w:p w:rsidR="00202D26" w:rsidRPr="00C8563F" w:rsidRDefault="0000154A" w:rsidP="0000154A">
            <w:pPr>
              <w:autoSpaceDE w:val="0"/>
              <w:autoSpaceDN w:val="0"/>
              <w:adjustRightInd w:val="0"/>
              <w:jc w:val="right"/>
              <w:rPr>
                <w:rFonts w:ascii="Calibri" w:hAnsi="Calibri" w:cs="Calibri"/>
                <w:color w:val="000000"/>
                <w:sz w:val="22"/>
                <w:szCs w:val="22"/>
                <w:lang w:val="fr-CA"/>
              </w:rPr>
            </w:pPr>
            <w:r w:rsidRPr="00C8563F">
              <w:rPr>
                <w:rFonts w:ascii="Calibri" w:hAnsi="Calibri" w:cs="Calibri"/>
                <w:color w:val="000000"/>
                <w:sz w:val="22"/>
                <w:szCs w:val="22"/>
                <w:lang w:val="fr-CA"/>
              </w:rPr>
              <w:t>6</w:t>
            </w:r>
          </w:p>
        </w:tc>
        <w:tc>
          <w:tcPr>
            <w:tcW w:w="1134" w:type="dxa"/>
            <w:vAlign w:val="center"/>
          </w:tcPr>
          <w:p w:rsidR="00202D26" w:rsidRPr="00C8563F" w:rsidRDefault="0000154A" w:rsidP="0000154A">
            <w:pPr>
              <w:autoSpaceDE w:val="0"/>
              <w:autoSpaceDN w:val="0"/>
              <w:adjustRightInd w:val="0"/>
              <w:jc w:val="right"/>
              <w:rPr>
                <w:rFonts w:ascii="Calibri" w:hAnsi="Calibri" w:cs="Calibri"/>
                <w:color w:val="000000"/>
                <w:sz w:val="22"/>
                <w:szCs w:val="22"/>
                <w:lang w:val="fr-CA"/>
              </w:rPr>
            </w:pPr>
            <w:r w:rsidRPr="00C8563F">
              <w:rPr>
                <w:rFonts w:ascii="Calibri" w:hAnsi="Calibri" w:cs="Calibri"/>
                <w:color w:val="000000"/>
                <w:sz w:val="22"/>
                <w:szCs w:val="22"/>
                <w:lang w:val="fr-CA"/>
              </w:rPr>
              <w:t>40 000</w:t>
            </w:r>
          </w:p>
        </w:tc>
      </w:tr>
      <w:tr w:rsidR="00202D26" w:rsidRPr="00C8563F" w:rsidTr="005837A9">
        <w:tc>
          <w:tcPr>
            <w:tcW w:w="2246" w:type="dxa"/>
            <w:vAlign w:val="center"/>
          </w:tcPr>
          <w:p w:rsidR="00202D26" w:rsidRPr="00C8563F" w:rsidRDefault="00202D26" w:rsidP="0000154A">
            <w:pPr>
              <w:autoSpaceDE w:val="0"/>
              <w:autoSpaceDN w:val="0"/>
              <w:adjustRightInd w:val="0"/>
              <w:rPr>
                <w:rFonts w:ascii="Calibri" w:hAnsi="Calibri" w:cs="Calibri"/>
                <w:b/>
                <w:color w:val="000000"/>
                <w:sz w:val="22"/>
                <w:szCs w:val="22"/>
                <w:lang w:val="fr-CA"/>
              </w:rPr>
            </w:pPr>
            <w:r w:rsidRPr="00C8563F">
              <w:rPr>
                <w:rFonts w:ascii="Calibri" w:hAnsi="Calibri" w:cs="Calibri"/>
                <w:b/>
                <w:color w:val="000000"/>
                <w:sz w:val="22"/>
                <w:szCs w:val="22"/>
                <w:lang w:val="fr-CA"/>
              </w:rPr>
              <w:t>Europe</w:t>
            </w:r>
          </w:p>
        </w:tc>
        <w:tc>
          <w:tcPr>
            <w:tcW w:w="1134" w:type="dxa"/>
            <w:vAlign w:val="center"/>
          </w:tcPr>
          <w:p w:rsidR="00202D26" w:rsidRPr="00C8563F" w:rsidRDefault="0000154A" w:rsidP="0000154A">
            <w:pPr>
              <w:autoSpaceDE w:val="0"/>
              <w:autoSpaceDN w:val="0"/>
              <w:adjustRightInd w:val="0"/>
              <w:jc w:val="right"/>
              <w:rPr>
                <w:rFonts w:ascii="Calibri" w:hAnsi="Calibri" w:cs="Calibri"/>
                <w:color w:val="000000"/>
                <w:sz w:val="22"/>
                <w:szCs w:val="22"/>
                <w:lang w:val="fr-CA"/>
              </w:rPr>
            </w:pPr>
            <w:r w:rsidRPr="00C8563F">
              <w:rPr>
                <w:rFonts w:ascii="Calibri" w:hAnsi="Calibri" w:cs="Calibri"/>
                <w:color w:val="000000"/>
                <w:sz w:val="22"/>
                <w:szCs w:val="22"/>
                <w:lang w:val="fr-CA"/>
              </w:rPr>
              <w:t>1</w:t>
            </w:r>
          </w:p>
        </w:tc>
        <w:tc>
          <w:tcPr>
            <w:tcW w:w="1134" w:type="dxa"/>
            <w:vAlign w:val="center"/>
          </w:tcPr>
          <w:p w:rsidR="00202D26" w:rsidRPr="00C8563F" w:rsidRDefault="0000154A" w:rsidP="0000154A">
            <w:pPr>
              <w:autoSpaceDE w:val="0"/>
              <w:autoSpaceDN w:val="0"/>
              <w:adjustRightInd w:val="0"/>
              <w:jc w:val="right"/>
              <w:rPr>
                <w:rFonts w:ascii="Calibri" w:hAnsi="Calibri" w:cs="Calibri"/>
                <w:color w:val="000000"/>
                <w:sz w:val="22"/>
                <w:szCs w:val="22"/>
                <w:lang w:val="fr-CA"/>
              </w:rPr>
            </w:pPr>
            <w:r w:rsidRPr="00C8563F">
              <w:rPr>
                <w:rFonts w:ascii="Calibri" w:hAnsi="Calibri" w:cs="Calibri"/>
                <w:color w:val="000000"/>
                <w:sz w:val="22"/>
                <w:szCs w:val="22"/>
                <w:lang w:val="fr-CA"/>
              </w:rPr>
              <w:t>2 000</w:t>
            </w:r>
          </w:p>
        </w:tc>
        <w:tc>
          <w:tcPr>
            <w:tcW w:w="992" w:type="dxa"/>
            <w:vAlign w:val="center"/>
          </w:tcPr>
          <w:p w:rsidR="00202D26" w:rsidRPr="00C8563F" w:rsidRDefault="0000154A" w:rsidP="0000154A">
            <w:pPr>
              <w:autoSpaceDE w:val="0"/>
              <w:autoSpaceDN w:val="0"/>
              <w:adjustRightInd w:val="0"/>
              <w:jc w:val="right"/>
              <w:rPr>
                <w:rFonts w:ascii="Calibri" w:hAnsi="Calibri" w:cs="Calibri"/>
                <w:color w:val="000000"/>
                <w:sz w:val="22"/>
                <w:szCs w:val="22"/>
                <w:lang w:val="fr-CA"/>
              </w:rPr>
            </w:pPr>
            <w:r w:rsidRPr="00C8563F">
              <w:rPr>
                <w:rFonts w:ascii="Calibri" w:hAnsi="Calibri" w:cs="Calibri"/>
                <w:color w:val="000000"/>
                <w:sz w:val="22"/>
                <w:szCs w:val="22"/>
                <w:lang w:val="fr-CA"/>
              </w:rPr>
              <w:t>1</w:t>
            </w:r>
          </w:p>
        </w:tc>
        <w:tc>
          <w:tcPr>
            <w:tcW w:w="1134" w:type="dxa"/>
            <w:vAlign w:val="center"/>
          </w:tcPr>
          <w:p w:rsidR="00202D26" w:rsidRPr="00C8563F" w:rsidRDefault="0000154A" w:rsidP="0000154A">
            <w:pPr>
              <w:autoSpaceDE w:val="0"/>
              <w:autoSpaceDN w:val="0"/>
              <w:adjustRightInd w:val="0"/>
              <w:jc w:val="right"/>
              <w:rPr>
                <w:rFonts w:ascii="Calibri" w:hAnsi="Calibri" w:cs="Calibri"/>
                <w:color w:val="000000"/>
                <w:sz w:val="22"/>
                <w:szCs w:val="22"/>
                <w:lang w:val="fr-CA"/>
              </w:rPr>
            </w:pPr>
            <w:r w:rsidRPr="00C8563F">
              <w:rPr>
                <w:rFonts w:ascii="Calibri" w:hAnsi="Calibri" w:cs="Calibri"/>
                <w:color w:val="000000"/>
                <w:sz w:val="22"/>
                <w:szCs w:val="22"/>
                <w:lang w:val="fr-CA"/>
              </w:rPr>
              <w:t>4 000</w:t>
            </w:r>
          </w:p>
        </w:tc>
      </w:tr>
      <w:tr w:rsidR="00202D26" w:rsidRPr="00C8563F" w:rsidTr="005837A9">
        <w:tc>
          <w:tcPr>
            <w:tcW w:w="2246" w:type="dxa"/>
            <w:vAlign w:val="center"/>
          </w:tcPr>
          <w:p w:rsidR="00202D26" w:rsidRPr="00C8563F" w:rsidRDefault="00202D26" w:rsidP="0000154A">
            <w:pPr>
              <w:autoSpaceDE w:val="0"/>
              <w:autoSpaceDN w:val="0"/>
              <w:adjustRightInd w:val="0"/>
              <w:rPr>
                <w:rFonts w:ascii="Calibri" w:hAnsi="Calibri" w:cs="Calibri"/>
                <w:b/>
                <w:color w:val="000000"/>
                <w:sz w:val="22"/>
                <w:szCs w:val="22"/>
                <w:lang w:val="fr-CA"/>
              </w:rPr>
            </w:pPr>
            <w:r w:rsidRPr="00C8563F">
              <w:rPr>
                <w:rFonts w:ascii="Calibri" w:hAnsi="Calibri" w:cs="Calibri"/>
                <w:b/>
                <w:color w:val="000000"/>
                <w:sz w:val="22"/>
                <w:szCs w:val="22"/>
                <w:lang w:val="fr-CA"/>
              </w:rPr>
              <w:t>Région néotropicale</w:t>
            </w:r>
          </w:p>
        </w:tc>
        <w:tc>
          <w:tcPr>
            <w:tcW w:w="1134" w:type="dxa"/>
            <w:vAlign w:val="center"/>
          </w:tcPr>
          <w:p w:rsidR="00202D26" w:rsidRPr="00C8563F" w:rsidRDefault="0000154A" w:rsidP="0000154A">
            <w:pPr>
              <w:autoSpaceDE w:val="0"/>
              <w:autoSpaceDN w:val="0"/>
              <w:adjustRightInd w:val="0"/>
              <w:jc w:val="right"/>
              <w:rPr>
                <w:rFonts w:ascii="Calibri" w:hAnsi="Calibri" w:cs="Calibri"/>
                <w:color w:val="000000"/>
                <w:sz w:val="22"/>
                <w:szCs w:val="22"/>
                <w:lang w:val="fr-CA"/>
              </w:rPr>
            </w:pPr>
            <w:r w:rsidRPr="00C8563F">
              <w:rPr>
                <w:rFonts w:ascii="Calibri" w:hAnsi="Calibri" w:cs="Calibri"/>
                <w:color w:val="000000"/>
                <w:sz w:val="22"/>
                <w:szCs w:val="22"/>
                <w:lang w:val="fr-CA"/>
              </w:rPr>
              <w:t>3</w:t>
            </w:r>
          </w:p>
        </w:tc>
        <w:tc>
          <w:tcPr>
            <w:tcW w:w="1134" w:type="dxa"/>
            <w:vAlign w:val="center"/>
          </w:tcPr>
          <w:p w:rsidR="00202D26" w:rsidRPr="00C8563F" w:rsidRDefault="0000154A" w:rsidP="0000154A">
            <w:pPr>
              <w:autoSpaceDE w:val="0"/>
              <w:autoSpaceDN w:val="0"/>
              <w:adjustRightInd w:val="0"/>
              <w:jc w:val="right"/>
              <w:rPr>
                <w:rFonts w:ascii="Calibri" w:hAnsi="Calibri" w:cs="Calibri"/>
                <w:color w:val="000000"/>
                <w:sz w:val="22"/>
                <w:szCs w:val="22"/>
                <w:lang w:val="fr-CA"/>
              </w:rPr>
            </w:pPr>
            <w:r w:rsidRPr="00C8563F">
              <w:rPr>
                <w:rFonts w:ascii="Calibri" w:hAnsi="Calibri" w:cs="Calibri"/>
                <w:color w:val="000000"/>
                <w:sz w:val="22"/>
                <w:szCs w:val="22"/>
                <w:lang w:val="fr-CA"/>
              </w:rPr>
              <w:t>41 000</w:t>
            </w:r>
          </w:p>
        </w:tc>
        <w:tc>
          <w:tcPr>
            <w:tcW w:w="992" w:type="dxa"/>
            <w:vAlign w:val="center"/>
          </w:tcPr>
          <w:p w:rsidR="00202D26" w:rsidRPr="00C8563F" w:rsidRDefault="0000154A" w:rsidP="0000154A">
            <w:pPr>
              <w:autoSpaceDE w:val="0"/>
              <w:autoSpaceDN w:val="0"/>
              <w:adjustRightInd w:val="0"/>
              <w:jc w:val="right"/>
              <w:rPr>
                <w:rFonts w:ascii="Calibri" w:hAnsi="Calibri" w:cs="Calibri"/>
                <w:color w:val="000000"/>
                <w:sz w:val="22"/>
                <w:szCs w:val="22"/>
                <w:lang w:val="fr-CA"/>
              </w:rPr>
            </w:pPr>
            <w:r w:rsidRPr="00C8563F">
              <w:rPr>
                <w:rFonts w:ascii="Calibri" w:hAnsi="Calibri" w:cs="Calibri"/>
                <w:color w:val="000000"/>
                <w:sz w:val="22"/>
                <w:szCs w:val="22"/>
                <w:lang w:val="fr-CA"/>
              </w:rPr>
              <w:t>3</w:t>
            </w:r>
          </w:p>
        </w:tc>
        <w:tc>
          <w:tcPr>
            <w:tcW w:w="1134" w:type="dxa"/>
            <w:vAlign w:val="center"/>
          </w:tcPr>
          <w:p w:rsidR="00202D26" w:rsidRPr="00C8563F" w:rsidRDefault="0000154A" w:rsidP="0000154A">
            <w:pPr>
              <w:autoSpaceDE w:val="0"/>
              <w:autoSpaceDN w:val="0"/>
              <w:adjustRightInd w:val="0"/>
              <w:jc w:val="right"/>
              <w:rPr>
                <w:rFonts w:ascii="Calibri" w:hAnsi="Calibri" w:cs="Calibri"/>
                <w:color w:val="000000"/>
                <w:sz w:val="22"/>
                <w:szCs w:val="22"/>
                <w:lang w:val="fr-CA"/>
              </w:rPr>
            </w:pPr>
            <w:r w:rsidRPr="00C8563F">
              <w:rPr>
                <w:rFonts w:ascii="Calibri" w:hAnsi="Calibri" w:cs="Calibri"/>
                <w:color w:val="000000"/>
                <w:sz w:val="22"/>
                <w:szCs w:val="22"/>
                <w:lang w:val="fr-CA"/>
              </w:rPr>
              <w:t>91 000</w:t>
            </w:r>
          </w:p>
        </w:tc>
      </w:tr>
      <w:tr w:rsidR="00202D26" w:rsidRPr="00C8563F" w:rsidTr="005837A9">
        <w:tc>
          <w:tcPr>
            <w:tcW w:w="2246" w:type="dxa"/>
            <w:vAlign w:val="center"/>
          </w:tcPr>
          <w:p w:rsidR="00202D26" w:rsidRPr="00C8563F" w:rsidRDefault="00202D26" w:rsidP="0000154A">
            <w:pPr>
              <w:autoSpaceDE w:val="0"/>
              <w:autoSpaceDN w:val="0"/>
              <w:adjustRightInd w:val="0"/>
              <w:rPr>
                <w:rFonts w:ascii="Calibri" w:hAnsi="Calibri" w:cs="Calibri"/>
                <w:b/>
                <w:color w:val="000000"/>
                <w:sz w:val="22"/>
                <w:szCs w:val="22"/>
                <w:lang w:val="fr-CA"/>
              </w:rPr>
            </w:pPr>
            <w:r w:rsidRPr="00C8563F">
              <w:rPr>
                <w:rFonts w:ascii="Calibri" w:hAnsi="Calibri" w:cs="Calibri"/>
                <w:b/>
                <w:color w:val="000000"/>
                <w:sz w:val="22"/>
                <w:szCs w:val="22"/>
                <w:lang w:val="fr-CA"/>
              </w:rPr>
              <w:t>Océanie</w:t>
            </w:r>
          </w:p>
        </w:tc>
        <w:tc>
          <w:tcPr>
            <w:tcW w:w="1134" w:type="dxa"/>
            <w:vAlign w:val="center"/>
          </w:tcPr>
          <w:p w:rsidR="00202D26" w:rsidRPr="00C8563F" w:rsidRDefault="0000154A" w:rsidP="0000154A">
            <w:pPr>
              <w:autoSpaceDE w:val="0"/>
              <w:autoSpaceDN w:val="0"/>
              <w:adjustRightInd w:val="0"/>
              <w:jc w:val="right"/>
              <w:rPr>
                <w:rFonts w:ascii="Calibri" w:hAnsi="Calibri" w:cs="Calibri"/>
                <w:color w:val="000000"/>
                <w:sz w:val="22"/>
                <w:szCs w:val="22"/>
                <w:lang w:val="fr-CA"/>
              </w:rPr>
            </w:pPr>
            <w:r w:rsidRPr="00C8563F">
              <w:rPr>
                <w:rFonts w:ascii="Calibri" w:hAnsi="Calibri" w:cs="Calibri"/>
                <w:color w:val="000000"/>
                <w:sz w:val="22"/>
                <w:szCs w:val="22"/>
                <w:lang w:val="fr-CA"/>
              </w:rPr>
              <w:t>4</w:t>
            </w:r>
          </w:p>
        </w:tc>
        <w:tc>
          <w:tcPr>
            <w:tcW w:w="1134" w:type="dxa"/>
            <w:vAlign w:val="center"/>
          </w:tcPr>
          <w:p w:rsidR="00202D26" w:rsidRPr="00C8563F" w:rsidRDefault="0000154A" w:rsidP="0000154A">
            <w:pPr>
              <w:autoSpaceDE w:val="0"/>
              <w:autoSpaceDN w:val="0"/>
              <w:adjustRightInd w:val="0"/>
              <w:jc w:val="right"/>
              <w:rPr>
                <w:rFonts w:ascii="Calibri" w:hAnsi="Calibri" w:cs="Calibri"/>
                <w:color w:val="000000"/>
                <w:sz w:val="22"/>
                <w:szCs w:val="22"/>
                <w:lang w:val="fr-CA"/>
              </w:rPr>
            </w:pPr>
            <w:r w:rsidRPr="00C8563F">
              <w:rPr>
                <w:rFonts w:ascii="Calibri" w:hAnsi="Calibri" w:cs="Calibri"/>
                <w:color w:val="000000"/>
                <w:sz w:val="22"/>
                <w:szCs w:val="22"/>
                <w:lang w:val="fr-CA"/>
              </w:rPr>
              <w:t>27 000</w:t>
            </w:r>
          </w:p>
        </w:tc>
        <w:tc>
          <w:tcPr>
            <w:tcW w:w="992" w:type="dxa"/>
            <w:vAlign w:val="center"/>
          </w:tcPr>
          <w:p w:rsidR="00202D26" w:rsidRPr="00C8563F" w:rsidRDefault="0000154A" w:rsidP="0000154A">
            <w:pPr>
              <w:autoSpaceDE w:val="0"/>
              <w:autoSpaceDN w:val="0"/>
              <w:adjustRightInd w:val="0"/>
              <w:jc w:val="right"/>
              <w:rPr>
                <w:rFonts w:ascii="Calibri" w:hAnsi="Calibri" w:cs="Calibri"/>
                <w:color w:val="000000"/>
                <w:sz w:val="22"/>
                <w:szCs w:val="22"/>
                <w:lang w:val="fr-CA"/>
              </w:rPr>
            </w:pPr>
            <w:r w:rsidRPr="00C8563F">
              <w:rPr>
                <w:rFonts w:ascii="Calibri" w:hAnsi="Calibri" w:cs="Calibri"/>
                <w:color w:val="000000"/>
                <w:sz w:val="22"/>
                <w:szCs w:val="22"/>
                <w:lang w:val="fr-CA"/>
              </w:rPr>
              <w:t>4</w:t>
            </w:r>
          </w:p>
        </w:tc>
        <w:tc>
          <w:tcPr>
            <w:tcW w:w="1134" w:type="dxa"/>
            <w:vAlign w:val="center"/>
          </w:tcPr>
          <w:p w:rsidR="00202D26" w:rsidRPr="00C8563F" w:rsidRDefault="0000154A" w:rsidP="0000154A">
            <w:pPr>
              <w:autoSpaceDE w:val="0"/>
              <w:autoSpaceDN w:val="0"/>
              <w:adjustRightInd w:val="0"/>
              <w:jc w:val="right"/>
              <w:rPr>
                <w:rFonts w:ascii="Calibri" w:hAnsi="Calibri" w:cs="Calibri"/>
                <w:color w:val="000000"/>
                <w:sz w:val="22"/>
                <w:szCs w:val="22"/>
                <w:lang w:val="fr-CA"/>
              </w:rPr>
            </w:pPr>
            <w:r w:rsidRPr="00C8563F">
              <w:rPr>
                <w:rFonts w:ascii="Calibri" w:hAnsi="Calibri" w:cs="Calibri"/>
                <w:color w:val="000000"/>
                <w:sz w:val="22"/>
                <w:szCs w:val="22"/>
                <w:lang w:val="fr-CA"/>
              </w:rPr>
              <w:t>36 700</w:t>
            </w:r>
          </w:p>
        </w:tc>
      </w:tr>
      <w:tr w:rsidR="00202D26" w:rsidRPr="00C8563F" w:rsidTr="005837A9">
        <w:tc>
          <w:tcPr>
            <w:tcW w:w="2246" w:type="dxa"/>
            <w:vAlign w:val="center"/>
          </w:tcPr>
          <w:p w:rsidR="00202D26" w:rsidRPr="00C8563F" w:rsidRDefault="00202D26" w:rsidP="0000154A">
            <w:pPr>
              <w:autoSpaceDE w:val="0"/>
              <w:autoSpaceDN w:val="0"/>
              <w:adjustRightInd w:val="0"/>
              <w:jc w:val="right"/>
              <w:rPr>
                <w:rFonts w:ascii="Calibri" w:hAnsi="Calibri" w:cs="Calibri"/>
                <w:color w:val="000000"/>
                <w:sz w:val="22"/>
                <w:szCs w:val="22"/>
                <w:lang w:val="fr-CA"/>
              </w:rPr>
            </w:pPr>
          </w:p>
        </w:tc>
        <w:tc>
          <w:tcPr>
            <w:tcW w:w="1134" w:type="dxa"/>
            <w:vAlign w:val="center"/>
          </w:tcPr>
          <w:p w:rsidR="00202D26" w:rsidRPr="00C8563F" w:rsidRDefault="0000154A" w:rsidP="0000154A">
            <w:pPr>
              <w:autoSpaceDE w:val="0"/>
              <w:autoSpaceDN w:val="0"/>
              <w:adjustRightInd w:val="0"/>
              <w:jc w:val="right"/>
              <w:rPr>
                <w:rFonts w:ascii="Calibri" w:hAnsi="Calibri" w:cs="Calibri"/>
                <w:b/>
                <w:color w:val="000000"/>
                <w:sz w:val="22"/>
                <w:szCs w:val="22"/>
                <w:lang w:val="fr-CA"/>
              </w:rPr>
            </w:pPr>
            <w:r w:rsidRPr="00C8563F">
              <w:rPr>
                <w:rFonts w:ascii="Calibri" w:hAnsi="Calibri" w:cs="Calibri"/>
                <w:b/>
                <w:color w:val="000000"/>
                <w:sz w:val="22"/>
                <w:szCs w:val="22"/>
                <w:lang w:val="fr-CA"/>
              </w:rPr>
              <w:t>28</w:t>
            </w:r>
          </w:p>
        </w:tc>
        <w:tc>
          <w:tcPr>
            <w:tcW w:w="1134" w:type="dxa"/>
            <w:vAlign w:val="center"/>
          </w:tcPr>
          <w:p w:rsidR="00202D26" w:rsidRPr="00C8563F" w:rsidRDefault="0000154A" w:rsidP="0000154A">
            <w:pPr>
              <w:autoSpaceDE w:val="0"/>
              <w:autoSpaceDN w:val="0"/>
              <w:adjustRightInd w:val="0"/>
              <w:jc w:val="right"/>
              <w:rPr>
                <w:rFonts w:ascii="Calibri" w:hAnsi="Calibri" w:cs="Calibri"/>
                <w:b/>
                <w:color w:val="000000"/>
                <w:sz w:val="22"/>
                <w:szCs w:val="22"/>
                <w:lang w:val="fr-CA"/>
              </w:rPr>
            </w:pPr>
            <w:r w:rsidRPr="00C8563F">
              <w:rPr>
                <w:rFonts w:ascii="Calibri" w:hAnsi="Calibri" w:cs="Calibri"/>
                <w:b/>
                <w:color w:val="000000"/>
                <w:sz w:val="22"/>
                <w:szCs w:val="22"/>
                <w:lang w:val="fr-CA"/>
              </w:rPr>
              <w:t>218 000</w:t>
            </w:r>
          </w:p>
        </w:tc>
        <w:tc>
          <w:tcPr>
            <w:tcW w:w="992" w:type="dxa"/>
            <w:vAlign w:val="center"/>
          </w:tcPr>
          <w:p w:rsidR="00202D26" w:rsidRPr="00C8563F" w:rsidRDefault="0000154A" w:rsidP="0000154A">
            <w:pPr>
              <w:autoSpaceDE w:val="0"/>
              <w:autoSpaceDN w:val="0"/>
              <w:adjustRightInd w:val="0"/>
              <w:jc w:val="right"/>
              <w:rPr>
                <w:rFonts w:ascii="Calibri" w:hAnsi="Calibri" w:cs="Calibri"/>
                <w:b/>
                <w:color w:val="000000"/>
                <w:sz w:val="22"/>
                <w:szCs w:val="22"/>
                <w:lang w:val="fr-CA"/>
              </w:rPr>
            </w:pPr>
            <w:r w:rsidRPr="00C8563F">
              <w:rPr>
                <w:rFonts w:ascii="Calibri" w:hAnsi="Calibri" w:cs="Calibri"/>
                <w:b/>
                <w:color w:val="000000"/>
                <w:sz w:val="22"/>
                <w:szCs w:val="22"/>
                <w:lang w:val="fr-CA"/>
              </w:rPr>
              <w:t>32</w:t>
            </w:r>
          </w:p>
        </w:tc>
        <w:tc>
          <w:tcPr>
            <w:tcW w:w="1134" w:type="dxa"/>
            <w:vAlign w:val="center"/>
          </w:tcPr>
          <w:p w:rsidR="00202D26" w:rsidRPr="00C8563F" w:rsidRDefault="0000154A" w:rsidP="0000154A">
            <w:pPr>
              <w:autoSpaceDE w:val="0"/>
              <w:autoSpaceDN w:val="0"/>
              <w:adjustRightInd w:val="0"/>
              <w:jc w:val="right"/>
              <w:rPr>
                <w:rFonts w:ascii="Calibri" w:hAnsi="Calibri" w:cs="Calibri"/>
                <w:b/>
                <w:color w:val="000000"/>
                <w:sz w:val="22"/>
                <w:szCs w:val="22"/>
                <w:lang w:val="fr-CA"/>
              </w:rPr>
            </w:pPr>
            <w:r w:rsidRPr="00C8563F">
              <w:rPr>
                <w:rFonts w:ascii="Calibri" w:hAnsi="Calibri" w:cs="Calibri"/>
                <w:b/>
                <w:color w:val="000000"/>
                <w:sz w:val="22"/>
                <w:szCs w:val="22"/>
                <w:lang w:val="fr-CA"/>
              </w:rPr>
              <w:t>367 700</w:t>
            </w:r>
          </w:p>
        </w:tc>
      </w:tr>
    </w:tbl>
    <w:p w:rsidR="00A91525" w:rsidRPr="00C8563F" w:rsidRDefault="00A91525" w:rsidP="00A91525">
      <w:pPr>
        <w:autoSpaceDE w:val="0"/>
        <w:autoSpaceDN w:val="0"/>
        <w:adjustRightInd w:val="0"/>
        <w:ind w:left="720"/>
        <w:rPr>
          <w:rFonts w:ascii="Calibri" w:hAnsi="Calibri" w:cs="Calibri"/>
          <w:color w:val="000000"/>
          <w:sz w:val="22"/>
          <w:szCs w:val="22"/>
          <w:lang w:val="fr-CA"/>
        </w:rPr>
      </w:pPr>
    </w:p>
    <w:p w:rsidR="00A91525" w:rsidRPr="00C8563F" w:rsidRDefault="008B1E86" w:rsidP="006A00F3">
      <w:pPr>
        <w:autoSpaceDE w:val="0"/>
        <w:autoSpaceDN w:val="0"/>
        <w:adjustRightInd w:val="0"/>
        <w:ind w:left="426"/>
        <w:rPr>
          <w:rFonts w:ascii="Calibri" w:hAnsi="Calibri" w:cs="Calibri"/>
          <w:color w:val="000000"/>
          <w:sz w:val="22"/>
          <w:szCs w:val="22"/>
          <w:lang w:val="fr-CA"/>
        </w:rPr>
      </w:pPr>
      <w:r w:rsidRPr="00C8563F">
        <w:rPr>
          <w:rFonts w:ascii="Calibri" w:hAnsi="Calibri" w:cs="Calibri"/>
          <w:color w:val="000000"/>
          <w:sz w:val="22"/>
          <w:szCs w:val="22"/>
          <w:lang w:val="fr-CA"/>
        </w:rPr>
        <w:t>On peut voir, dans l</w:t>
      </w:r>
      <w:r w:rsidR="00A008E8" w:rsidRPr="00C8563F">
        <w:rPr>
          <w:rFonts w:ascii="Calibri" w:hAnsi="Calibri" w:cs="Calibri"/>
          <w:color w:val="000000"/>
          <w:sz w:val="22"/>
          <w:szCs w:val="22"/>
          <w:lang w:val="fr-CA"/>
        </w:rPr>
        <w:t>e tableau 2</w:t>
      </w:r>
      <w:r w:rsidRPr="00C8563F">
        <w:rPr>
          <w:rFonts w:ascii="Calibri" w:hAnsi="Calibri" w:cs="Calibri"/>
          <w:color w:val="000000"/>
          <w:sz w:val="22"/>
          <w:szCs w:val="22"/>
          <w:lang w:val="fr-CA"/>
        </w:rPr>
        <w:t>,</w:t>
      </w:r>
      <w:r w:rsidR="00A008E8" w:rsidRPr="00C8563F">
        <w:rPr>
          <w:rFonts w:ascii="Calibri" w:hAnsi="Calibri" w:cs="Calibri"/>
          <w:color w:val="000000"/>
          <w:sz w:val="22"/>
          <w:szCs w:val="22"/>
          <w:lang w:val="fr-CA"/>
        </w:rPr>
        <w:t xml:space="preserve"> une diminution</w:t>
      </w:r>
      <w:r w:rsidR="005837A9" w:rsidRPr="00C8563F">
        <w:rPr>
          <w:rFonts w:ascii="Calibri" w:hAnsi="Calibri" w:cs="Calibri"/>
          <w:color w:val="000000"/>
          <w:sz w:val="22"/>
          <w:szCs w:val="22"/>
          <w:lang w:val="fr-CA"/>
        </w:rPr>
        <w:t xml:space="preserve"> légère du nombre de Parties contractantes </w:t>
      </w:r>
      <w:r w:rsidR="005532CA" w:rsidRPr="00C8563F">
        <w:rPr>
          <w:rFonts w:ascii="Calibri" w:hAnsi="Calibri" w:cs="Calibri"/>
          <w:color w:val="000000"/>
          <w:sz w:val="22"/>
          <w:szCs w:val="22"/>
          <w:lang w:val="fr-CA"/>
        </w:rPr>
        <w:t>dont les contributions sont impayées depuis</w:t>
      </w:r>
      <w:r w:rsidR="005837A9" w:rsidRPr="00C8563F">
        <w:rPr>
          <w:rFonts w:ascii="Calibri" w:hAnsi="Calibri" w:cs="Calibri"/>
          <w:color w:val="000000"/>
          <w:sz w:val="22"/>
          <w:szCs w:val="22"/>
          <w:lang w:val="fr-CA"/>
        </w:rPr>
        <w:t xml:space="preserve"> plus de trois ans et une diminution significative des montants à recevoir. </w:t>
      </w:r>
      <w:r w:rsidR="00A008E8" w:rsidRPr="00C8563F">
        <w:rPr>
          <w:rFonts w:ascii="Calibri" w:hAnsi="Calibri" w:cs="Calibri"/>
          <w:color w:val="000000"/>
          <w:sz w:val="22"/>
          <w:szCs w:val="22"/>
          <w:lang w:val="fr-CA"/>
        </w:rPr>
        <w:t xml:space="preserve"> </w:t>
      </w:r>
    </w:p>
    <w:p w:rsidR="000B26D3" w:rsidRPr="00C8563F" w:rsidRDefault="000B26D3" w:rsidP="000B26D3">
      <w:pPr>
        <w:ind w:left="539" w:hanging="539"/>
        <w:rPr>
          <w:rFonts w:ascii="Calibri" w:hAnsi="Calibri" w:cs="Calibri"/>
          <w:color w:val="000000"/>
          <w:sz w:val="22"/>
          <w:szCs w:val="22"/>
          <w:lang w:val="fr-CA"/>
        </w:rPr>
      </w:pPr>
    </w:p>
    <w:p w:rsidR="000B26D3" w:rsidRPr="00C8563F" w:rsidRDefault="000B26D3" w:rsidP="000B26D3">
      <w:pPr>
        <w:numPr>
          <w:ilvl w:val="0"/>
          <w:numId w:val="39"/>
        </w:numPr>
        <w:autoSpaceDE w:val="0"/>
        <w:autoSpaceDN w:val="0"/>
        <w:adjustRightInd w:val="0"/>
        <w:ind w:left="426" w:hanging="426"/>
        <w:rPr>
          <w:rFonts w:ascii="Calibri" w:hAnsi="Calibri" w:cs="Calibri"/>
          <w:sz w:val="22"/>
          <w:szCs w:val="22"/>
          <w:lang w:val="fr-CA"/>
        </w:rPr>
      </w:pPr>
      <w:r w:rsidRPr="00C8563F">
        <w:rPr>
          <w:rFonts w:ascii="Calibri" w:hAnsi="Calibri" w:cs="Calibri"/>
          <w:sz w:val="22"/>
          <w:szCs w:val="22"/>
          <w:lang w:val="fr-CA"/>
        </w:rPr>
        <w:t>A</w:t>
      </w:r>
      <w:r w:rsidR="005837A9" w:rsidRPr="00C8563F">
        <w:rPr>
          <w:rFonts w:ascii="Calibri" w:hAnsi="Calibri" w:cs="Calibri"/>
          <w:sz w:val="22"/>
          <w:szCs w:val="22"/>
          <w:lang w:val="fr-CA"/>
        </w:rPr>
        <w:t xml:space="preserve">u 30 novembre 2014, </w:t>
      </w:r>
      <w:r w:rsidR="008B1E86" w:rsidRPr="00C8563F">
        <w:rPr>
          <w:rFonts w:ascii="Calibri" w:hAnsi="Calibri" w:cs="Calibri"/>
          <w:sz w:val="22"/>
          <w:szCs w:val="22"/>
          <w:lang w:val="fr-CA"/>
        </w:rPr>
        <w:t xml:space="preserve">le montant des </w:t>
      </w:r>
      <w:r w:rsidR="005837A9" w:rsidRPr="00C8563F">
        <w:rPr>
          <w:rFonts w:ascii="Calibri" w:hAnsi="Calibri" w:cs="Calibri"/>
          <w:sz w:val="22"/>
          <w:szCs w:val="22"/>
          <w:lang w:val="fr-CA"/>
        </w:rPr>
        <w:t xml:space="preserve">contributions annuelles </w:t>
      </w:r>
      <w:r w:rsidR="005532CA" w:rsidRPr="00C8563F">
        <w:rPr>
          <w:rFonts w:ascii="Calibri" w:hAnsi="Calibri" w:cs="Calibri"/>
          <w:sz w:val="22"/>
          <w:szCs w:val="22"/>
          <w:lang w:val="fr-CA"/>
        </w:rPr>
        <w:t>impayées</w:t>
      </w:r>
      <w:r w:rsidR="005837A9" w:rsidRPr="00C8563F">
        <w:rPr>
          <w:rFonts w:ascii="Calibri" w:hAnsi="Calibri" w:cs="Calibri"/>
          <w:sz w:val="22"/>
          <w:szCs w:val="22"/>
          <w:lang w:val="fr-CA"/>
        </w:rPr>
        <w:t>, dues depuis 2014 et avant,</w:t>
      </w:r>
      <w:r w:rsidR="008B1E86" w:rsidRPr="00C8563F">
        <w:rPr>
          <w:rFonts w:ascii="Calibri" w:hAnsi="Calibri" w:cs="Calibri"/>
          <w:sz w:val="22"/>
          <w:szCs w:val="22"/>
          <w:lang w:val="fr-CA"/>
        </w:rPr>
        <w:t xml:space="preserve"> s’élevait à</w:t>
      </w:r>
      <w:r w:rsidR="005837A9" w:rsidRPr="00C8563F">
        <w:rPr>
          <w:rFonts w:ascii="Calibri" w:hAnsi="Calibri" w:cs="Calibri"/>
          <w:sz w:val="22"/>
          <w:szCs w:val="22"/>
          <w:lang w:val="fr-CA"/>
        </w:rPr>
        <w:t xml:space="preserve"> </w:t>
      </w:r>
      <w:r w:rsidR="008B1E86" w:rsidRPr="00C8563F">
        <w:rPr>
          <w:rFonts w:ascii="Calibri" w:hAnsi="Calibri" w:cs="Calibri"/>
          <w:sz w:val="22"/>
          <w:szCs w:val="22"/>
          <w:lang w:val="fr-CA"/>
        </w:rPr>
        <w:t xml:space="preserve">CHF 1 067 400, </w:t>
      </w:r>
      <w:r w:rsidR="005837A9" w:rsidRPr="00C8563F">
        <w:rPr>
          <w:rFonts w:ascii="Calibri" w:hAnsi="Calibri" w:cs="Calibri"/>
          <w:sz w:val="22"/>
          <w:szCs w:val="22"/>
          <w:lang w:val="fr-CA"/>
        </w:rPr>
        <w:t xml:space="preserve">comme on le voit dans l’annexe 1. C’est une augmentation significative par rapport à 2013 (CHF 727 000) mais </w:t>
      </w:r>
      <w:r w:rsidR="008B1E86" w:rsidRPr="00C8563F">
        <w:rPr>
          <w:rFonts w:ascii="Calibri" w:hAnsi="Calibri" w:cs="Calibri"/>
          <w:sz w:val="22"/>
          <w:szCs w:val="22"/>
          <w:lang w:val="fr-CA"/>
        </w:rPr>
        <w:t>elle devrait se réduire</w:t>
      </w:r>
      <w:r w:rsidR="005837A9" w:rsidRPr="00C8563F">
        <w:rPr>
          <w:rFonts w:ascii="Calibri" w:hAnsi="Calibri" w:cs="Calibri"/>
          <w:sz w:val="22"/>
          <w:szCs w:val="22"/>
          <w:lang w:val="fr-CA"/>
        </w:rPr>
        <w:t xml:space="preserve"> durant le mois de décembre 2014 (un rapport à jour sera fourni à la 48</w:t>
      </w:r>
      <w:r w:rsidR="005837A9" w:rsidRPr="00C8563F">
        <w:rPr>
          <w:rFonts w:ascii="Calibri" w:hAnsi="Calibri" w:cs="Calibri"/>
          <w:sz w:val="22"/>
          <w:szCs w:val="22"/>
          <w:vertAlign w:val="superscript"/>
          <w:lang w:val="fr-CA"/>
        </w:rPr>
        <w:t>e</w:t>
      </w:r>
      <w:r w:rsidR="005837A9" w:rsidRPr="00C8563F">
        <w:rPr>
          <w:rFonts w:ascii="Calibri" w:hAnsi="Calibri" w:cs="Calibri"/>
          <w:sz w:val="22"/>
          <w:szCs w:val="22"/>
          <w:lang w:val="fr-CA"/>
        </w:rPr>
        <w:t xml:space="preserve"> Réunion du Comité permanent). Le profil des contributions </w:t>
      </w:r>
      <w:r w:rsidR="005532CA" w:rsidRPr="00C8563F">
        <w:rPr>
          <w:rFonts w:ascii="Calibri" w:hAnsi="Calibri" w:cs="Calibri"/>
          <w:sz w:val="22"/>
          <w:szCs w:val="22"/>
          <w:lang w:val="fr-CA"/>
        </w:rPr>
        <w:t>im</w:t>
      </w:r>
      <w:r w:rsidR="005837A9" w:rsidRPr="00C8563F">
        <w:rPr>
          <w:rFonts w:ascii="Calibri" w:hAnsi="Calibri" w:cs="Calibri"/>
          <w:sz w:val="22"/>
          <w:szCs w:val="22"/>
          <w:lang w:val="fr-CA"/>
        </w:rPr>
        <w:t xml:space="preserve">payées est le suivant : </w:t>
      </w:r>
    </w:p>
    <w:p w:rsidR="0072177A" w:rsidRPr="00C8563F" w:rsidRDefault="0072177A" w:rsidP="0072177A">
      <w:pPr>
        <w:autoSpaceDE w:val="0"/>
        <w:autoSpaceDN w:val="0"/>
        <w:adjustRightInd w:val="0"/>
        <w:rPr>
          <w:rFonts w:ascii="Calibri" w:hAnsi="Calibri" w:cs="Calibri"/>
          <w:sz w:val="22"/>
          <w:szCs w:val="22"/>
          <w:lang w:val="fr-CA"/>
        </w:rPr>
      </w:pPr>
    </w:p>
    <w:tbl>
      <w:tblPr>
        <w:tblStyle w:val="TableGrid"/>
        <w:tblW w:w="0" w:type="auto"/>
        <w:tblInd w:w="534" w:type="dxa"/>
        <w:tblLook w:val="04A0"/>
      </w:tblPr>
      <w:tblGrid>
        <w:gridCol w:w="1134"/>
        <w:gridCol w:w="1516"/>
        <w:gridCol w:w="1701"/>
        <w:gridCol w:w="1418"/>
      </w:tblGrid>
      <w:tr w:rsidR="005837A9" w:rsidRPr="00C8563F" w:rsidTr="009318AD">
        <w:tc>
          <w:tcPr>
            <w:tcW w:w="1134" w:type="dxa"/>
            <w:vAlign w:val="center"/>
          </w:tcPr>
          <w:p w:rsidR="005837A9" w:rsidRPr="00C8563F" w:rsidRDefault="005837A9" w:rsidP="005837A9">
            <w:pPr>
              <w:autoSpaceDE w:val="0"/>
              <w:autoSpaceDN w:val="0"/>
              <w:adjustRightInd w:val="0"/>
              <w:jc w:val="center"/>
              <w:rPr>
                <w:rFonts w:ascii="Calibri" w:hAnsi="Calibri" w:cs="Calibri"/>
                <w:b/>
                <w:sz w:val="22"/>
                <w:szCs w:val="22"/>
                <w:lang w:val="fr-CA"/>
              </w:rPr>
            </w:pPr>
            <w:r w:rsidRPr="00C8563F">
              <w:rPr>
                <w:rFonts w:ascii="Calibri" w:hAnsi="Calibri" w:cs="Calibri"/>
                <w:b/>
                <w:sz w:val="22"/>
                <w:szCs w:val="22"/>
                <w:lang w:val="fr-CA"/>
              </w:rPr>
              <w:t>Année</w:t>
            </w:r>
          </w:p>
        </w:tc>
        <w:tc>
          <w:tcPr>
            <w:tcW w:w="1516" w:type="dxa"/>
            <w:vAlign w:val="center"/>
          </w:tcPr>
          <w:p w:rsidR="005837A9" w:rsidRPr="00C8563F" w:rsidRDefault="005837A9" w:rsidP="005837A9">
            <w:pPr>
              <w:autoSpaceDE w:val="0"/>
              <w:autoSpaceDN w:val="0"/>
              <w:adjustRightInd w:val="0"/>
              <w:jc w:val="center"/>
              <w:rPr>
                <w:rFonts w:ascii="Calibri" w:hAnsi="Calibri" w:cs="Calibri"/>
                <w:b/>
                <w:sz w:val="22"/>
                <w:szCs w:val="22"/>
                <w:lang w:val="fr-CA"/>
              </w:rPr>
            </w:pPr>
            <w:r w:rsidRPr="00C8563F">
              <w:rPr>
                <w:rFonts w:ascii="Calibri" w:hAnsi="Calibri" w:cs="Calibri"/>
                <w:b/>
                <w:sz w:val="22"/>
                <w:szCs w:val="22"/>
                <w:lang w:val="fr-CA"/>
              </w:rPr>
              <w:t>Années d’arriérés</w:t>
            </w:r>
          </w:p>
        </w:tc>
        <w:tc>
          <w:tcPr>
            <w:tcW w:w="1701" w:type="dxa"/>
            <w:vAlign w:val="center"/>
          </w:tcPr>
          <w:p w:rsidR="005837A9" w:rsidRPr="00C8563F" w:rsidRDefault="005532CA" w:rsidP="008B1E86">
            <w:pPr>
              <w:autoSpaceDE w:val="0"/>
              <w:autoSpaceDN w:val="0"/>
              <w:adjustRightInd w:val="0"/>
              <w:jc w:val="center"/>
              <w:rPr>
                <w:rFonts w:ascii="Calibri" w:hAnsi="Calibri" w:cs="Calibri"/>
                <w:b/>
                <w:sz w:val="22"/>
                <w:szCs w:val="22"/>
                <w:lang w:val="fr-CA"/>
              </w:rPr>
            </w:pPr>
            <w:r w:rsidRPr="00C8563F">
              <w:rPr>
                <w:rFonts w:ascii="Calibri" w:hAnsi="Calibri" w:cs="Calibri"/>
                <w:b/>
                <w:sz w:val="22"/>
                <w:szCs w:val="22"/>
                <w:lang w:val="fr-CA"/>
              </w:rPr>
              <w:t>Impayés</w:t>
            </w:r>
            <w:r w:rsidR="005837A9" w:rsidRPr="00C8563F">
              <w:rPr>
                <w:rFonts w:ascii="Calibri" w:hAnsi="Calibri" w:cs="Calibri"/>
                <w:b/>
                <w:sz w:val="22"/>
                <w:szCs w:val="22"/>
                <w:lang w:val="fr-CA"/>
              </w:rPr>
              <w:br/>
              <w:t>(CHF 000)</w:t>
            </w:r>
          </w:p>
        </w:tc>
        <w:tc>
          <w:tcPr>
            <w:tcW w:w="1418" w:type="dxa"/>
            <w:vAlign w:val="center"/>
          </w:tcPr>
          <w:p w:rsidR="005837A9" w:rsidRPr="00C8563F" w:rsidRDefault="005837A9" w:rsidP="005837A9">
            <w:pPr>
              <w:autoSpaceDE w:val="0"/>
              <w:autoSpaceDN w:val="0"/>
              <w:adjustRightInd w:val="0"/>
              <w:jc w:val="center"/>
              <w:rPr>
                <w:rFonts w:ascii="Calibri" w:hAnsi="Calibri" w:cs="Calibri"/>
                <w:b/>
                <w:sz w:val="22"/>
                <w:szCs w:val="22"/>
                <w:lang w:val="fr-CA"/>
              </w:rPr>
            </w:pPr>
            <w:r w:rsidRPr="00C8563F">
              <w:rPr>
                <w:rFonts w:ascii="Calibri" w:hAnsi="Calibri" w:cs="Calibri"/>
                <w:b/>
                <w:sz w:val="22"/>
                <w:szCs w:val="22"/>
                <w:lang w:val="fr-CA"/>
              </w:rPr>
              <w:t>Bilan actuel</w:t>
            </w:r>
          </w:p>
        </w:tc>
      </w:tr>
      <w:tr w:rsidR="005837A9" w:rsidRPr="00C8563F" w:rsidTr="009318AD">
        <w:tc>
          <w:tcPr>
            <w:tcW w:w="1134" w:type="dxa"/>
          </w:tcPr>
          <w:p w:rsidR="005837A9" w:rsidRPr="00C8563F" w:rsidRDefault="005837A9" w:rsidP="005837A9">
            <w:pPr>
              <w:autoSpaceDE w:val="0"/>
              <w:autoSpaceDN w:val="0"/>
              <w:adjustRightInd w:val="0"/>
              <w:jc w:val="right"/>
              <w:rPr>
                <w:rFonts w:ascii="Calibri" w:hAnsi="Calibri" w:cs="Calibri"/>
                <w:b/>
                <w:sz w:val="22"/>
                <w:szCs w:val="22"/>
                <w:lang w:val="fr-CA"/>
              </w:rPr>
            </w:pPr>
            <w:r w:rsidRPr="00C8563F">
              <w:rPr>
                <w:rFonts w:ascii="Calibri" w:hAnsi="Calibri" w:cs="Calibri"/>
                <w:b/>
                <w:sz w:val="22"/>
                <w:szCs w:val="22"/>
                <w:lang w:val="fr-CA"/>
              </w:rPr>
              <w:t>2006</w:t>
            </w:r>
          </w:p>
        </w:tc>
        <w:tc>
          <w:tcPr>
            <w:tcW w:w="1516"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9</w:t>
            </w:r>
          </w:p>
        </w:tc>
        <w:tc>
          <w:tcPr>
            <w:tcW w:w="1701"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66</w:t>
            </w:r>
          </w:p>
        </w:tc>
        <w:tc>
          <w:tcPr>
            <w:tcW w:w="1418" w:type="dxa"/>
          </w:tcPr>
          <w:p w:rsidR="005837A9" w:rsidRPr="00C8563F" w:rsidRDefault="005837A9" w:rsidP="005837A9">
            <w:pPr>
              <w:autoSpaceDE w:val="0"/>
              <w:autoSpaceDN w:val="0"/>
              <w:adjustRightInd w:val="0"/>
              <w:jc w:val="right"/>
              <w:rPr>
                <w:rFonts w:ascii="Calibri" w:hAnsi="Calibri" w:cs="Calibri"/>
                <w:sz w:val="22"/>
                <w:szCs w:val="22"/>
                <w:lang w:val="fr-CA"/>
              </w:rPr>
            </w:pPr>
          </w:p>
        </w:tc>
      </w:tr>
      <w:tr w:rsidR="005837A9" w:rsidRPr="00C8563F" w:rsidTr="009318AD">
        <w:tc>
          <w:tcPr>
            <w:tcW w:w="1134" w:type="dxa"/>
          </w:tcPr>
          <w:p w:rsidR="005837A9" w:rsidRPr="00C8563F" w:rsidRDefault="005837A9" w:rsidP="005837A9">
            <w:pPr>
              <w:autoSpaceDE w:val="0"/>
              <w:autoSpaceDN w:val="0"/>
              <w:adjustRightInd w:val="0"/>
              <w:jc w:val="right"/>
              <w:rPr>
                <w:rFonts w:ascii="Calibri" w:hAnsi="Calibri" w:cs="Calibri"/>
                <w:b/>
                <w:sz w:val="22"/>
                <w:szCs w:val="22"/>
                <w:lang w:val="fr-CA"/>
              </w:rPr>
            </w:pPr>
            <w:r w:rsidRPr="00C8563F">
              <w:rPr>
                <w:rFonts w:ascii="Calibri" w:hAnsi="Calibri" w:cs="Calibri"/>
                <w:b/>
                <w:sz w:val="22"/>
                <w:szCs w:val="22"/>
                <w:lang w:val="fr-CA"/>
              </w:rPr>
              <w:t>2007</w:t>
            </w:r>
          </w:p>
        </w:tc>
        <w:tc>
          <w:tcPr>
            <w:tcW w:w="1516"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8</w:t>
            </w:r>
          </w:p>
        </w:tc>
        <w:tc>
          <w:tcPr>
            <w:tcW w:w="1701"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16</w:t>
            </w:r>
          </w:p>
        </w:tc>
        <w:tc>
          <w:tcPr>
            <w:tcW w:w="1418"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82</w:t>
            </w:r>
          </w:p>
        </w:tc>
      </w:tr>
      <w:tr w:rsidR="005837A9" w:rsidRPr="00C8563F" w:rsidTr="009318AD">
        <w:tc>
          <w:tcPr>
            <w:tcW w:w="1134" w:type="dxa"/>
          </w:tcPr>
          <w:p w:rsidR="005837A9" w:rsidRPr="00C8563F" w:rsidRDefault="005837A9" w:rsidP="005837A9">
            <w:pPr>
              <w:autoSpaceDE w:val="0"/>
              <w:autoSpaceDN w:val="0"/>
              <w:adjustRightInd w:val="0"/>
              <w:jc w:val="right"/>
              <w:rPr>
                <w:rFonts w:ascii="Calibri" w:hAnsi="Calibri" w:cs="Calibri"/>
                <w:b/>
                <w:sz w:val="22"/>
                <w:szCs w:val="22"/>
                <w:lang w:val="fr-CA"/>
              </w:rPr>
            </w:pPr>
            <w:r w:rsidRPr="00C8563F">
              <w:rPr>
                <w:rFonts w:ascii="Calibri" w:hAnsi="Calibri" w:cs="Calibri"/>
                <w:b/>
                <w:sz w:val="22"/>
                <w:szCs w:val="22"/>
                <w:lang w:val="fr-CA"/>
              </w:rPr>
              <w:t>2008</w:t>
            </w:r>
          </w:p>
        </w:tc>
        <w:tc>
          <w:tcPr>
            <w:tcW w:w="1516"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7</w:t>
            </w:r>
          </w:p>
        </w:tc>
        <w:tc>
          <w:tcPr>
            <w:tcW w:w="1701"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20</w:t>
            </w:r>
          </w:p>
        </w:tc>
        <w:tc>
          <w:tcPr>
            <w:tcW w:w="1418"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102</w:t>
            </w:r>
          </w:p>
        </w:tc>
      </w:tr>
      <w:tr w:rsidR="005837A9" w:rsidRPr="00C8563F" w:rsidTr="009318AD">
        <w:tc>
          <w:tcPr>
            <w:tcW w:w="1134" w:type="dxa"/>
          </w:tcPr>
          <w:p w:rsidR="005837A9" w:rsidRPr="00C8563F" w:rsidRDefault="005837A9" w:rsidP="005837A9">
            <w:pPr>
              <w:autoSpaceDE w:val="0"/>
              <w:autoSpaceDN w:val="0"/>
              <w:adjustRightInd w:val="0"/>
              <w:jc w:val="right"/>
              <w:rPr>
                <w:rFonts w:ascii="Calibri" w:hAnsi="Calibri" w:cs="Calibri"/>
                <w:b/>
                <w:sz w:val="22"/>
                <w:szCs w:val="22"/>
                <w:lang w:val="fr-CA"/>
              </w:rPr>
            </w:pPr>
            <w:r w:rsidRPr="00C8563F">
              <w:rPr>
                <w:rFonts w:ascii="Calibri" w:hAnsi="Calibri" w:cs="Calibri"/>
                <w:b/>
                <w:sz w:val="22"/>
                <w:szCs w:val="22"/>
                <w:lang w:val="fr-CA"/>
              </w:rPr>
              <w:t>2009</w:t>
            </w:r>
          </w:p>
        </w:tc>
        <w:tc>
          <w:tcPr>
            <w:tcW w:w="1516"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6</w:t>
            </w:r>
          </w:p>
        </w:tc>
        <w:tc>
          <w:tcPr>
            <w:tcW w:w="1701"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24</w:t>
            </w:r>
          </w:p>
        </w:tc>
        <w:tc>
          <w:tcPr>
            <w:tcW w:w="1418"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126</w:t>
            </w:r>
          </w:p>
        </w:tc>
      </w:tr>
      <w:tr w:rsidR="005837A9" w:rsidRPr="00C8563F" w:rsidTr="009318AD">
        <w:tc>
          <w:tcPr>
            <w:tcW w:w="1134" w:type="dxa"/>
          </w:tcPr>
          <w:p w:rsidR="005837A9" w:rsidRPr="00C8563F" w:rsidRDefault="005837A9" w:rsidP="005837A9">
            <w:pPr>
              <w:autoSpaceDE w:val="0"/>
              <w:autoSpaceDN w:val="0"/>
              <w:adjustRightInd w:val="0"/>
              <w:jc w:val="right"/>
              <w:rPr>
                <w:rFonts w:ascii="Calibri" w:hAnsi="Calibri" w:cs="Calibri"/>
                <w:b/>
                <w:sz w:val="22"/>
                <w:szCs w:val="22"/>
                <w:lang w:val="fr-CA"/>
              </w:rPr>
            </w:pPr>
            <w:r w:rsidRPr="00C8563F">
              <w:rPr>
                <w:rFonts w:ascii="Calibri" w:hAnsi="Calibri" w:cs="Calibri"/>
                <w:b/>
                <w:sz w:val="22"/>
                <w:szCs w:val="22"/>
                <w:lang w:val="fr-CA"/>
              </w:rPr>
              <w:t>2010</w:t>
            </w:r>
          </w:p>
        </w:tc>
        <w:tc>
          <w:tcPr>
            <w:tcW w:w="1516"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5</w:t>
            </w:r>
          </w:p>
        </w:tc>
        <w:tc>
          <w:tcPr>
            <w:tcW w:w="1701"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44</w:t>
            </w:r>
          </w:p>
        </w:tc>
        <w:tc>
          <w:tcPr>
            <w:tcW w:w="1418"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170</w:t>
            </w:r>
          </w:p>
        </w:tc>
      </w:tr>
      <w:tr w:rsidR="005837A9" w:rsidRPr="00C8563F" w:rsidTr="009318AD">
        <w:tc>
          <w:tcPr>
            <w:tcW w:w="1134" w:type="dxa"/>
          </w:tcPr>
          <w:p w:rsidR="005837A9" w:rsidRPr="00C8563F" w:rsidRDefault="005837A9" w:rsidP="005837A9">
            <w:pPr>
              <w:autoSpaceDE w:val="0"/>
              <w:autoSpaceDN w:val="0"/>
              <w:adjustRightInd w:val="0"/>
              <w:jc w:val="right"/>
              <w:rPr>
                <w:rFonts w:ascii="Calibri" w:hAnsi="Calibri" w:cs="Calibri"/>
                <w:b/>
                <w:sz w:val="22"/>
                <w:szCs w:val="22"/>
                <w:lang w:val="fr-CA"/>
              </w:rPr>
            </w:pPr>
            <w:r w:rsidRPr="00C8563F">
              <w:rPr>
                <w:rFonts w:ascii="Calibri" w:hAnsi="Calibri" w:cs="Calibri"/>
                <w:b/>
                <w:sz w:val="22"/>
                <w:szCs w:val="22"/>
                <w:lang w:val="fr-CA"/>
              </w:rPr>
              <w:t>2011</w:t>
            </w:r>
          </w:p>
        </w:tc>
        <w:tc>
          <w:tcPr>
            <w:tcW w:w="1516"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4</w:t>
            </w:r>
          </w:p>
        </w:tc>
        <w:tc>
          <w:tcPr>
            <w:tcW w:w="1701"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50</w:t>
            </w:r>
          </w:p>
        </w:tc>
        <w:tc>
          <w:tcPr>
            <w:tcW w:w="1418"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220</w:t>
            </w:r>
          </w:p>
        </w:tc>
      </w:tr>
      <w:tr w:rsidR="005837A9" w:rsidRPr="00C8563F" w:rsidTr="009318AD">
        <w:tc>
          <w:tcPr>
            <w:tcW w:w="1134" w:type="dxa"/>
          </w:tcPr>
          <w:p w:rsidR="005837A9" w:rsidRPr="00C8563F" w:rsidRDefault="005837A9" w:rsidP="005837A9">
            <w:pPr>
              <w:autoSpaceDE w:val="0"/>
              <w:autoSpaceDN w:val="0"/>
              <w:adjustRightInd w:val="0"/>
              <w:jc w:val="right"/>
              <w:rPr>
                <w:rFonts w:ascii="Calibri" w:hAnsi="Calibri" w:cs="Calibri"/>
                <w:b/>
                <w:sz w:val="22"/>
                <w:szCs w:val="22"/>
                <w:lang w:val="fr-CA"/>
              </w:rPr>
            </w:pPr>
            <w:r w:rsidRPr="00C8563F">
              <w:rPr>
                <w:rFonts w:ascii="Calibri" w:hAnsi="Calibri" w:cs="Calibri"/>
                <w:b/>
                <w:sz w:val="22"/>
                <w:szCs w:val="22"/>
                <w:lang w:val="fr-CA"/>
              </w:rPr>
              <w:t>2012</w:t>
            </w:r>
          </w:p>
        </w:tc>
        <w:tc>
          <w:tcPr>
            <w:tcW w:w="1516"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3</w:t>
            </w:r>
          </w:p>
        </w:tc>
        <w:tc>
          <w:tcPr>
            <w:tcW w:w="1701"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65</w:t>
            </w:r>
          </w:p>
        </w:tc>
        <w:tc>
          <w:tcPr>
            <w:tcW w:w="1418"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285</w:t>
            </w:r>
          </w:p>
        </w:tc>
      </w:tr>
      <w:tr w:rsidR="005837A9" w:rsidRPr="00C8563F" w:rsidTr="009318AD">
        <w:tc>
          <w:tcPr>
            <w:tcW w:w="1134" w:type="dxa"/>
          </w:tcPr>
          <w:p w:rsidR="005837A9" w:rsidRPr="00C8563F" w:rsidRDefault="005837A9" w:rsidP="005837A9">
            <w:pPr>
              <w:autoSpaceDE w:val="0"/>
              <w:autoSpaceDN w:val="0"/>
              <w:adjustRightInd w:val="0"/>
              <w:jc w:val="right"/>
              <w:rPr>
                <w:rFonts w:ascii="Calibri" w:hAnsi="Calibri" w:cs="Calibri"/>
                <w:b/>
                <w:sz w:val="22"/>
                <w:szCs w:val="22"/>
                <w:lang w:val="fr-CA"/>
              </w:rPr>
            </w:pPr>
            <w:r w:rsidRPr="00C8563F">
              <w:rPr>
                <w:rFonts w:ascii="Calibri" w:hAnsi="Calibri" w:cs="Calibri"/>
                <w:b/>
                <w:sz w:val="22"/>
                <w:szCs w:val="22"/>
                <w:lang w:val="fr-CA"/>
              </w:rPr>
              <w:t>2013</w:t>
            </w:r>
          </w:p>
        </w:tc>
        <w:tc>
          <w:tcPr>
            <w:tcW w:w="1516"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2</w:t>
            </w:r>
          </w:p>
        </w:tc>
        <w:tc>
          <w:tcPr>
            <w:tcW w:w="1701"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276</w:t>
            </w:r>
          </w:p>
        </w:tc>
        <w:tc>
          <w:tcPr>
            <w:tcW w:w="1418"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561</w:t>
            </w:r>
          </w:p>
        </w:tc>
      </w:tr>
      <w:tr w:rsidR="005837A9" w:rsidRPr="00C8563F" w:rsidTr="009318AD">
        <w:tc>
          <w:tcPr>
            <w:tcW w:w="1134" w:type="dxa"/>
          </w:tcPr>
          <w:p w:rsidR="005837A9" w:rsidRPr="00C8563F" w:rsidRDefault="005837A9" w:rsidP="005837A9">
            <w:pPr>
              <w:autoSpaceDE w:val="0"/>
              <w:autoSpaceDN w:val="0"/>
              <w:adjustRightInd w:val="0"/>
              <w:jc w:val="right"/>
              <w:rPr>
                <w:rFonts w:ascii="Calibri" w:hAnsi="Calibri" w:cs="Calibri"/>
                <w:b/>
                <w:sz w:val="22"/>
                <w:szCs w:val="22"/>
                <w:lang w:val="fr-CA"/>
              </w:rPr>
            </w:pPr>
            <w:r w:rsidRPr="00C8563F">
              <w:rPr>
                <w:rFonts w:ascii="Calibri" w:hAnsi="Calibri" w:cs="Calibri"/>
                <w:b/>
                <w:sz w:val="22"/>
                <w:szCs w:val="22"/>
                <w:lang w:val="fr-CA"/>
              </w:rPr>
              <w:t>2014</w:t>
            </w:r>
          </w:p>
        </w:tc>
        <w:tc>
          <w:tcPr>
            <w:tcW w:w="1516"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1</w:t>
            </w:r>
          </w:p>
        </w:tc>
        <w:tc>
          <w:tcPr>
            <w:tcW w:w="1701"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507</w:t>
            </w:r>
          </w:p>
        </w:tc>
        <w:tc>
          <w:tcPr>
            <w:tcW w:w="1418" w:type="dxa"/>
          </w:tcPr>
          <w:p w:rsidR="005837A9" w:rsidRPr="00C8563F" w:rsidRDefault="005837A9" w:rsidP="005837A9">
            <w:pPr>
              <w:autoSpaceDE w:val="0"/>
              <w:autoSpaceDN w:val="0"/>
              <w:adjustRightInd w:val="0"/>
              <w:jc w:val="right"/>
              <w:rPr>
                <w:rFonts w:ascii="Calibri" w:hAnsi="Calibri" w:cs="Calibri"/>
                <w:sz w:val="22"/>
                <w:szCs w:val="22"/>
                <w:lang w:val="fr-CA"/>
              </w:rPr>
            </w:pPr>
            <w:r w:rsidRPr="00C8563F">
              <w:rPr>
                <w:rFonts w:ascii="Calibri" w:hAnsi="Calibri" w:cs="Calibri"/>
                <w:sz w:val="22"/>
                <w:szCs w:val="22"/>
                <w:lang w:val="fr-CA"/>
              </w:rPr>
              <w:t>1 067</w:t>
            </w:r>
          </w:p>
        </w:tc>
      </w:tr>
      <w:tr w:rsidR="005837A9" w:rsidRPr="00C8563F" w:rsidTr="009318AD">
        <w:tc>
          <w:tcPr>
            <w:tcW w:w="1134" w:type="dxa"/>
          </w:tcPr>
          <w:p w:rsidR="005837A9" w:rsidRPr="00C8563F" w:rsidRDefault="005837A9" w:rsidP="005837A9">
            <w:pPr>
              <w:autoSpaceDE w:val="0"/>
              <w:autoSpaceDN w:val="0"/>
              <w:adjustRightInd w:val="0"/>
              <w:jc w:val="center"/>
              <w:rPr>
                <w:rFonts w:ascii="Calibri" w:hAnsi="Calibri" w:cs="Calibri"/>
                <w:b/>
                <w:sz w:val="22"/>
                <w:szCs w:val="22"/>
                <w:lang w:val="fr-CA"/>
              </w:rPr>
            </w:pPr>
            <w:r w:rsidRPr="00C8563F">
              <w:rPr>
                <w:rFonts w:ascii="Calibri" w:hAnsi="Calibri" w:cs="Calibri"/>
                <w:b/>
                <w:sz w:val="22"/>
                <w:szCs w:val="22"/>
                <w:lang w:val="fr-CA"/>
              </w:rPr>
              <w:t>Total</w:t>
            </w:r>
          </w:p>
        </w:tc>
        <w:tc>
          <w:tcPr>
            <w:tcW w:w="1516" w:type="dxa"/>
          </w:tcPr>
          <w:p w:rsidR="005837A9" w:rsidRPr="00C8563F" w:rsidRDefault="005837A9" w:rsidP="005837A9">
            <w:pPr>
              <w:autoSpaceDE w:val="0"/>
              <w:autoSpaceDN w:val="0"/>
              <w:adjustRightInd w:val="0"/>
              <w:jc w:val="right"/>
              <w:rPr>
                <w:rFonts w:ascii="Calibri" w:hAnsi="Calibri" w:cs="Calibri"/>
                <w:sz w:val="22"/>
                <w:szCs w:val="22"/>
                <w:lang w:val="fr-CA"/>
              </w:rPr>
            </w:pPr>
          </w:p>
        </w:tc>
        <w:tc>
          <w:tcPr>
            <w:tcW w:w="1701" w:type="dxa"/>
          </w:tcPr>
          <w:p w:rsidR="005837A9" w:rsidRPr="00C8563F" w:rsidRDefault="005837A9" w:rsidP="005837A9">
            <w:pPr>
              <w:autoSpaceDE w:val="0"/>
              <w:autoSpaceDN w:val="0"/>
              <w:adjustRightInd w:val="0"/>
              <w:jc w:val="right"/>
              <w:rPr>
                <w:rFonts w:ascii="Calibri" w:hAnsi="Calibri" w:cs="Calibri"/>
                <w:b/>
                <w:sz w:val="22"/>
                <w:szCs w:val="22"/>
                <w:lang w:val="fr-CA"/>
              </w:rPr>
            </w:pPr>
            <w:r w:rsidRPr="00C8563F">
              <w:rPr>
                <w:rFonts w:ascii="Calibri" w:hAnsi="Calibri" w:cs="Calibri"/>
                <w:b/>
                <w:sz w:val="22"/>
                <w:szCs w:val="22"/>
                <w:lang w:val="fr-CA"/>
              </w:rPr>
              <w:t>1 067</w:t>
            </w:r>
          </w:p>
        </w:tc>
        <w:tc>
          <w:tcPr>
            <w:tcW w:w="1418" w:type="dxa"/>
          </w:tcPr>
          <w:p w:rsidR="005837A9" w:rsidRPr="00C8563F" w:rsidRDefault="005837A9" w:rsidP="005837A9">
            <w:pPr>
              <w:autoSpaceDE w:val="0"/>
              <w:autoSpaceDN w:val="0"/>
              <w:adjustRightInd w:val="0"/>
              <w:jc w:val="right"/>
              <w:rPr>
                <w:rFonts w:ascii="Calibri" w:hAnsi="Calibri" w:cs="Calibri"/>
                <w:sz w:val="22"/>
                <w:szCs w:val="22"/>
                <w:lang w:val="fr-CA"/>
              </w:rPr>
            </w:pPr>
          </w:p>
        </w:tc>
      </w:tr>
    </w:tbl>
    <w:p w:rsidR="0019401F" w:rsidRPr="00C8563F" w:rsidRDefault="0019401F" w:rsidP="0019401F">
      <w:pPr>
        <w:autoSpaceDE w:val="0"/>
        <w:autoSpaceDN w:val="0"/>
        <w:adjustRightInd w:val="0"/>
        <w:rPr>
          <w:rFonts w:ascii="Calibri" w:hAnsi="Calibri" w:cs="Calibri"/>
          <w:sz w:val="22"/>
          <w:szCs w:val="22"/>
          <w:lang w:val="fr-CA"/>
        </w:rPr>
      </w:pPr>
    </w:p>
    <w:p w:rsidR="000B26D3" w:rsidRPr="00C8563F" w:rsidRDefault="008B1E86" w:rsidP="000B26D3">
      <w:pPr>
        <w:numPr>
          <w:ilvl w:val="0"/>
          <w:numId w:val="39"/>
        </w:numPr>
        <w:autoSpaceDE w:val="0"/>
        <w:autoSpaceDN w:val="0"/>
        <w:adjustRightInd w:val="0"/>
        <w:ind w:left="426" w:hanging="426"/>
        <w:rPr>
          <w:rFonts w:ascii="Calibri" w:hAnsi="Calibri" w:cs="Calibri"/>
          <w:sz w:val="22"/>
          <w:szCs w:val="22"/>
          <w:lang w:val="fr-CA"/>
        </w:rPr>
      </w:pPr>
      <w:r w:rsidRPr="00C8563F">
        <w:rPr>
          <w:rFonts w:ascii="Calibri" w:hAnsi="Calibri" w:cs="Calibri"/>
          <w:sz w:val="22"/>
          <w:szCs w:val="22"/>
          <w:lang w:val="fr-CA"/>
        </w:rPr>
        <w:t>I</w:t>
      </w:r>
      <w:r w:rsidR="00377A11" w:rsidRPr="00C8563F">
        <w:rPr>
          <w:rFonts w:ascii="Calibri" w:hAnsi="Calibri" w:cs="Calibri"/>
          <w:sz w:val="22"/>
          <w:szCs w:val="22"/>
          <w:lang w:val="fr-CA"/>
        </w:rPr>
        <w:t>l a été suggéré que le Comité permanent ou la COP demande au Secrétariat de gérer les demandes des Parties contra</w:t>
      </w:r>
      <w:r w:rsidR="00B34ADA" w:rsidRPr="00C8563F">
        <w:rPr>
          <w:rFonts w:ascii="Calibri" w:hAnsi="Calibri" w:cs="Calibri"/>
          <w:sz w:val="22"/>
          <w:szCs w:val="22"/>
          <w:lang w:val="fr-CA"/>
        </w:rPr>
        <w:t xml:space="preserve">ctantes ayant des contributions </w:t>
      </w:r>
      <w:r w:rsidR="005532CA" w:rsidRPr="00C8563F">
        <w:rPr>
          <w:rFonts w:ascii="Calibri" w:hAnsi="Calibri" w:cs="Calibri"/>
          <w:sz w:val="22"/>
          <w:szCs w:val="22"/>
          <w:lang w:val="fr-CA"/>
        </w:rPr>
        <w:t>impayées</w:t>
      </w:r>
      <w:r w:rsidR="00B34ADA" w:rsidRPr="00C8563F">
        <w:rPr>
          <w:rFonts w:ascii="Calibri" w:hAnsi="Calibri" w:cs="Calibri"/>
          <w:sz w:val="22"/>
          <w:szCs w:val="22"/>
          <w:lang w:val="fr-CA"/>
        </w:rPr>
        <w:t xml:space="preserve"> de la manière suivante :</w:t>
      </w:r>
      <w:r w:rsidR="000B26D3" w:rsidRPr="00C8563F">
        <w:rPr>
          <w:rFonts w:ascii="Calibri" w:hAnsi="Calibri" w:cs="Calibri"/>
          <w:sz w:val="22"/>
          <w:szCs w:val="22"/>
          <w:lang w:val="fr-CA"/>
        </w:rPr>
        <w:t xml:space="preserve"> </w:t>
      </w:r>
    </w:p>
    <w:p w:rsidR="000B26D3" w:rsidRPr="00C8563F" w:rsidRDefault="00B34ADA" w:rsidP="000B26D3">
      <w:pPr>
        <w:numPr>
          <w:ilvl w:val="0"/>
          <w:numId w:val="41"/>
        </w:numPr>
        <w:ind w:left="851" w:hanging="425"/>
        <w:rPr>
          <w:rFonts w:ascii="Calibri" w:hAnsi="Calibri" w:cs="Calibri"/>
          <w:color w:val="000000"/>
          <w:sz w:val="22"/>
          <w:szCs w:val="22"/>
          <w:lang w:val="fr-CA"/>
        </w:rPr>
      </w:pPr>
      <w:r w:rsidRPr="00C8563F">
        <w:rPr>
          <w:rFonts w:ascii="Calibri" w:hAnsi="Calibri" w:cs="Calibri"/>
          <w:color w:val="000000"/>
          <w:sz w:val="22"/>
          <w:szCs w:val="22"/>
          <w:lang w:val="fr-CA"/>
        </w:rPr>
        <w:t xml:space="preserve">en n’acceptant pas d’autres proposition </w:t>
      </w:r>
      <w:r w:rsidR="005532CA" w:rsidRPr="00C8563F">
        <w:rPr>
          <w:rFonts w:ascii="Calibri" w:hAnsi="Calibri" w:cs="Calibri"/>
          <w:color w:val="000000"/>
          <w:sz w:val="22"/>
          <w:szCs w:val="22"/>
          <w:lang w:val="fr-CA"/>
        </w:rPr>
        <w:t xml:space="preserve">de ces pays </w:t>
      </w:r>
      <w:r w:rsidRPr="00C8563F">
        <w:rPr>
          <w:rFonts w:ascii="Calibri" w:hAnsi="Calibri" w:cs="Calibri"/>
          <w:color w:val="000000"/>
          <w:sz w:val="22"/>
          <w:szCs w:val="22"/>
          <w:lang w:val="fr-CA"/>
        </w:rPr>
        <w:t xml:space="preserve">pour le Fonds de petites subventions (FPS); </w:t>
      </w:r>
    </w:p>
    <w:p w:rsidR="000B26D3" w:rsidRPr="00C8563F" w:rsidRDefault="00B34ADA" w:rsidP="000B26D3">
      <w:pPr>
        <w:numPr>
          <w:ilvl w:val="0"/>
          <w:numId w:val="41"/>
        </w:numPr>
        <w:ind w:left="851" w:hanging="425"/>
        <w:rPr>
          <w:rFonts w:ascii="Calibri" w:hAnsi="Calibri" w:cs="Calibri"/>
          <w:color w:val="000000"/>
          <w:sz w:val="22"/>
          <w:szCs w:val="22"/>
          <w:lang w:val="fr-CA"/>
        </w:rPr>
      </w:pPr>
      <w:r w:rsidRPr="00C8563F">
        <w:rPr>
          <w:rFonts w:ascii="Calibri" w:hAnsi="Calibri" w:cs="Calibri"/>
          <w:color w:val="000000"/>
          <w:sz w:val="22"/>
          <w:szCs w:val="22"/>
          <w:lang w:val="fr-CA"/>
        </w:rPr>
        <w:t xml:space="preserve">en </w:t>
      </w:r>
      <w:r w:rsidR="005532CA" w:rsidRPr="00C8563F">
        <w:rPr>
          <w:rFonts w:ascii="Calibri" w:hAnsi="Calibri" w:cs="Calibri"/>
          <w:color w:val="000000"/>
          <w:sz w:val="22"/>
          <w:szCs w:val="22"/>
          <w:lang w:val="fr-CA"/>
        </w:rPr>
        <w:t xml:space="preserve">ne </w:t>
      </w:r>
      <w:r w:rsidRPr="00C8563F">
        <w:rPr>
          <w:rFonts w:ascii="Calibri" w:hAnsi="Calibri" w:cs="Calibri"/>
          <w:color w:val="000000"/>
          <w:sz w:val="22"/>
          <w:szCs w:val="22"/>
          <w:lang w:val="fr-CA"/>
        </w:rPr>
        <w:t xml:space="preserve">fournissant l’avis du Secrétariat </w:t>
      </w:r>
      <w:r w:rsidR="005532CA" w:rsidRPr="00C8563F">
        <w:rPr>
          <w:rFonts w:ascii="Calibri" w:hAnsi="Calibri" w:cs="Calibri"/>
          <w:color w:val="000000"/>
          <w:sz w:val="22"/>
          <w:szCs w:val="22"/>
          <w:lang w:val="fr-CA"/>
        </w:rPr>
        <w:t>ou</w:t>
      </w:r>
      <w:r w:rsidRPr="00C8563F">
        <w:rPr>
          <w:rFonts w:ascii="Calibri" w:hAnsi="Calibri" w:cs="Calibri"/>
          <w:color w:val="000000"/>
          <w:sz w:val="22"/>
          <w:szCs w:val="22"/>
          <w:lang w:val="fr-CA"/>
        </w:rPr>
        <w:t xml:space="preserve"> des missions (y compris des Missions consultatives Ramsar) </w:t>
      </w:r>
      <w:r w:rsidR="005532CA" w:rsidRPr="00C8563F">
        <w:rPr>
          <w:rFonts w:ascii="Calibri" w:hAnsi="Calibri" w:cs="Calibri"/>
          <w:color w:val="000000"/>
          <w:sz w:val="22"/>
          <w:szCs w:val="22"/>
          <w:lang w:val="fr-CA"/>
        </w:rPr>
        <w:t>qu’en cas d’</w:t>
      </w:r>
      <w:r w:rsidRPr="00C8563F">
        <w:rPr>
          <w:rFonts w:ascii="Calibri" w:hAnsi="Calibri" w:cs="Calibri"/>
          <w:color w:val="000000"/>
          <w:sz w:val="22"/>
          <w:szCs w:val="22"/>
          <w:lang w:val="fr-CA"/>
        </w:rPr>
        <w:t xml:space="preserve">urgence; et </w:t>
      </w:r>
    </w:p>
    <w:p w:rsidR="000B26D3" w:rsidRPr="00C8563F" w:rsidRDefault="00B34ADA" w:rsidP="000B26D3">
      <w:pPr>
        <w:numPr>
          <w:ilvl w:val="0"/>
          <w:numId w:val="41"/>
        </w:numPr>
        <w:ind w:left="851" w:hanging="425"/>
        <w:rPr>
          <w:rFonts w:ascii="Calibri" w:hAnsi="Calibri" w:cs="Calibri"/>
          <w:color w:val="000000"/>
          <w:sz w:val="22"/>
          <w:szCs w:val="22"/>
          <w:lang w:val="fr-CA"/>
        </w:rPr>
      </w:pPr>
      <w:r w:rsidRPr="00C8563F">
        <w:rPr>
          <w:rFonts w:ascii="Calibri" w:hAnsi="Calibri" w:cs="Calibri"/>
          <w:color w:val="000000"/>
          <w:sz w:val="22"/>
          <w:szCs w:val="22"/>
          <w:lang w:val="fr-CA"/>
        </w:rPr>
        <w:t xml:space="preserve">en </w:t>
      </w:r>
      <w:r w:rsidR="005532CA" w:rsidRPr="00C8563F">
        <w:rPr>
          <w:rFonts w:ascii="Calibri" w:hAnsi="Calibri" w:cs="Calibri"/>
          <w:color w:val="000000"/>
          <w:sz w:val="22"/>
          <w:szCs w:val="22"/>
          <w:lang w:val="fr-CA"/>
        </w:rPr>
        <w:t xml:space="preserve">ne </w:t>
      </w:r>
      <w:r w:rsidRPr="00C8563F">
        <w:rPr>
          <w:rFonts w:ascii="Calibri" w:hAnsi="Calibri" w:cs="Calibri"/>
          <w:color w:val="000000"/>
          <w:sz w:val="22"/>
          <w:szCs w:val="22"/>
          <w:lang w:val="fr-CA"/>
        </w:rPr>
        <w:t xml:space="preserve">fournissant un appui financier pour assurer la présence de délégués aux réunions régionales et aux sessions de la COP que si la Partie contractante n’a pas plus de trois ans </w:t>
      </w:r>
      <w:r w:rsidR="005532CA" w:rsidRPr="00C8563F">
        <w:rPr>
          <w:rFonts w:ascii="Calibri" w:hAnsi="Calibri" w:cs="Calibri"/>
          <w:color w:val="000000"/>
          <w:sz w:val="22"/>
          <w:szCs w:val="22"/>
          <w:lang w:val="fr-CA"/>
        </w:rPr>
        <w:t>de contributions impayées</w:t>
      </w:r>
      <w:r w:rsidRPr="00C8563F">
        <w:rPr>
          <w:rFonts w:ascii="Calibri" w:hAnsi="Calibri" w:cs="Calibri"/>
          <w:color w:val="000000"/>
          <w:sz w:val="22"/>
          <w:szCs w:val="22"/>
          <w:lang w:val="fr-CA"/>
        </w:rPr>
        <w:t xml:space="preserve"> et seulement après que des Parties éligibles aient </w:t>
      </w:r>
      <w:r w:rsidR="008B1E86" w:rsidRPr="00C8563F">
        <w:rPr>
          <w:rFonts w:ascii="Calibri" w:hAnsi="Calibri" w:cs="Calibri"/>
          <w:color w:val="000000"/>
          <w:sz w:val="22"/>
          <w:szCs w:val="22"/>
          <w:lang w:val="fr-CA"/>
        </w:rPr>
        <w:t>reçu une aide</w:t>
      </w:r>
      <w:r w:rsidRPr="00C8563F">
        <w:rPr>
          <w:rFonts w:ascii="Calibri" w:hAnsi="Calibri" w:cs="Calibri"/>
          <w:color w:val="000000"/>
          <w:sz w:val="22"/>
          <w:szCs w:val="22"/>
          <w:lang w:val="fr-CA"/>
        </w:rPr>
        <w:t>.</w:t>
      </w:r>
    </w:p>
    <w:p w:rsidR="000B26D3" w:rsidRPr="00C8563F" w:rsidRDefault="000B26D3" w:rsidP="000B26D3">
      <w:pPr>
        <w:ind w:left="1080"/>
        <w:rPr>
          <w:rFonts w:ascii="Calibri" w:hAnsi="Calibri" w:cs="Calibri"/>
          <w:color w:val="000000"/>
          <w:sz w:val="22"/>
          <w:szCs w:val="22"/>
          <w:lang w:val="fr-CA"/>
        </w:rPr>
      </w:pPr>
    </w:p>
    <w:p w:rsidR="000B26D3" w:rsidRPr="00C8563F" w:rsidRDefault="00503351" w:rsidP="000B26D3">
      <w:pPr>
        <w:numPr>
          <w:ilvl w:val="0"/>
          <w:numId w:val="39"/>
        </w:numPr>
        <w:ind w:left="426" w:hanging="426"/>
        <w:rPr>
          <w:rFonts w:ascii="Calibri" w:hAnsi="Calibri" w:cs="Calibri"/>
          <w:color w:val="000000"/>
          <w:sz w:val="22"/>
          <w:szCs w:val="22"/>
          <w:lang w:val="fr-CA"/>
        </w:rPr>
      </w:pPr>
      <w:r w:rsidRPr="00C8563F">
        <w:rPr>
          <w:rFonts w:ascii="Calibri" w:hAnsi="Calibri" w:cs="Calibri"/>
          <w:color w:val="000000"/>
          <w:sz w:val="22"/>
          <w:szCs w:val="22"/>
          <w:lang w:val="fr-CA"/>
        </w:rPr>
        <w:t>À la 47</w:t>
      </w:r>
      <w:r w:rsidRPr="00C8563F">
        <w:rPr>
          <w:rFonts w:ascii="Calibri" w:hAnsi="Calibri" w:cs="Calibri"/>
          <w:color w:val="000000"/>
          <w:sz w:val="22"/>
          <w:szCs w:val="22"/>
          <w:vertAlign w:val="superscript"/>
          <w:lang w:val="fr-CA"/>
        </w:rPr>
        <w:t>e</w:t>
      </w:r>
      <w:r w:rsidRPr="00C8563F">
        <w:rPr>
          <w:rFonts w:ascii="Calibri" w:hAnsi="Calibri" w:cs="Calibri"/>
          <w:color w:val="000000"/>
          <w:sz w:val="22"/>
          <w:szCs w:val="22"/>
          <w:lang w:val="fr-CA"/>
        </w:rPr>
        <w:t xml:space="preserve"> Réunion du Comité permanent, une comparaison des contributions </w:t>
      </w:r>
      <w:r w:rsidR="005532CA" w:rsidRPr="00C8563F">
        <w:rPr>
          <w:rFonts w:ascii="Calibri" w:hAnsi="Calibri" w:cs="Calibri"/>
          <w:color w:val="000000"/>
          <w:sz w:val="22"/>
          <w:szCs w:val="22"/>
          <w:lang w:val="fr-CA"/>
        </w:rPr>
        <w:t>impayées</w:t>
      </w:r>
      <w:r w:rsidRPr="00C8563F">
        <w:rPr>
          <w:rFonts w:ascii="Calibri" w:hAnsi="Calibri" w:cs="Calibri"/>
          <w:color w:val="000000"/>
          <w:sz w:val="22"/>
          <w:szCs w:val="22"/>
          <w:lang w:val="fr-CA"/>
        </w:rPr>
        <w:t xml:space="preserve"> a été faite entre Ramsar et d’autres conventions (CITES, CDB et CMS et Fonds du patrimoine mondial). Aucune conclusion convaincante n’a été dégagée de cette analyse ou de nos discussions avec la CDB, la CMS et la CITES indiquant que leur approche </w:t>
      </w:r>
      <w:r w:rsidR="008B1E86" w:rsidRPr="00C8563F">
        <w:rPr>
          <w:rFonts w:ascii="Calibri" w:hAnsi="Calibri" w:cs="Calibri"/>
          <w:color w:val="000000"/>
          <w:sz w:val="22"/>
          <w:szCs w:val="22"/>
          <w:lang w:val="fr-CA"/>
        </w:rPr>
        <w:t>ait</w:t>
      </w:r>
      <w:r w:rsidRPr="00C8563F">
        <w:rPr>
          <w:rFonts w:ascii="Calibri" w:hAnsi="Calibri" w:cs="Calibri"/>
          <w:color w:val="000000"/>
          <w:sz w:val="22"/>
          <w:szCs w:val="22"/>
          <w:lang w:val="fr-CA"/>
        </w:rPr>
        <w:t xml:space="preserve"> donné de meilleurs résultats </w:t>
      </w:r>
      <w:r w:rsidR="005532CA" w:rsidRPr="00C8563F">
        <w:rPr>
          <w:rFonts w:ascii="Calibri" w:hAnsi="Calibri" w:cs="Calibri"/>
          <w:color w:val="000000"/>
          <w:sz w:val="22"/>
          <w:szCs w:val="22"/>
          <w:lang w:val="fr-CA"/>
        </w:rPr>
        <w:t>en matière de</w:t>
      </w:r>
      <w:r w:rsidRPr="00C8563F">
        <w:rPr>
          <w:rFonts w:ascii="Calibri" w:hAnsi="Calibri" w:cs="Calibri"/>
          <w:color w:val="000000"/>
          <w:sz w:val="22"/>
          <w:szCs w:val="22"/>
          <w:lang w:val="fr-CA"/>
        </w:rPr>
        <w:t xml:space="preserve"> recouvrement. Pour la CDB et la CITES, le profil actuel des </w:t>
      </w:r>
      <w:r w:rsidR="005532CA" w:rsidRPr="00C8563F">
        <w:rPr>
          <w:rFonts w:ascii="Calibri" w:hAnsi="Calibri" w:cs="Calibri"/>
          <w:color w:val="000000"/>
          <w:sz w:val="22"/>
          <w:szCs w:val="22"/>
          <w:lang w:val="fr-CA"/>
        </w:rPr>
        <w:t>contributions impayées</w:t>
      </w:r>
      <w:r w:rsidRPr="00C8563F">
        <w:rPr>
          <w:rFonts w:ascii="Calibri" w:hAnsi="Calibri" w:cs="Calibri"/>
          <w:color w:val="000000"/>
          <w:sz w:val="22"/>
          <w:szCs w:val="22"/>
          <w:lang w:val="fr-CA"/>
        </w:rPr>
        <w:t xml:space="preserve"> est très semblable à celui de la Convention de Ramsar. Pour la CMS, le nombre de Parties ayant des </w:t>
      </w:r>
      <w:r w:rsidR="005532CA" w:rsidRPr="00C8563F">
        <w:rPr>
          <w:rFonts w:ascii="Calibri" w:hAnsi="Calibri" w:cs="Calibri"/>
          <w:color w:val="000000"/>
          <w:sz w:val="22"/>
          <w:szCs w:val="22"/>
          <w:lang w:val="fr-CA"/>
        </w:rPr>
        <w:t xml:space="preserve">contributions impayées </w:t>
      </w:r>
      <w:r w:rsidRPr="00C8563F">
        <w:rPr>
          <w:rFonts w:ascii="Calibri" w:hAnsi="Calibri" w:cs="Calibri"/>
          <w:color w:val="000000"/>
          <w:sz w:val="22"/>
          <w:szCs w:val="22"/>
          <w:lang w:val="fr-CA"/>
        </w:rPr>
        <w:t xml:space="preserve">est </w:t>
      </w:r>
      <w:r w:rsidR="005532CA" w:rsidRPr="00C8563F">
        <w:rPr>
          <w:rFonts w:ascii="Calibri" w:hAnsi="Calibri" w:cs="Calibri"/>
          <w:color w:val="000000"/>
          <w:sz w:val="22"/>
          <w:szCs w:val="22"/>
          <w:lang w:val="fr-CA"/>
        </w:rPr>
        <w:t>inférieur de</w:t>
      </w:r>
      <w:r w:rsidRPr="00C8563F">
        <w:rPr>
          <w:rFonts w:ascii="Calibri" w:hAnsi="Calibri" w:cs="Calibri"/>
          <w:color w:val="000000"/>
          <w:sz w:val="22"/>
          <w:szCs w:val="22"/>
          <w:lang w:val="fr-CA"/>
        </w:rPr>
        <w:t xml:space="preserve"> moitié </w:t>
      </w:r>
      <w:r w:rsidR="005532CA" w:rsidRPr="00C8563F">
        <w:rPr>
          <w:rFonts w:ascii="Calibri" w:hAnsi="Calibri" w:cs="Calibri"/>
          <w:color w:val="000000"/>
          <w:sz w:val="22"/>
          <w:szCs w:val="22"/>
          <w:lang w:val="fr-CA"/>
        </w:rPr>
        <w:t>à</w:t>
      </w:r>
      <w:r w:rsidRPr="00C8563F">
        <w:rPr>
          <w:rFonts w:ascii="Calibri" w:hAnsi="Calibri" w:cs="Calibri"/>
          <w:color w:val="000000"/>
          <w:sz w:val="22"/>
          <w:szCs w:val="22"/>
          <w:lang w:val="fr-CA"/>
        </w:rPr>
        <w:t xml:space="preserve"> celui de Ramsar, mais cette convention n’a que 70% du nombre de membres de Ramsar actuel</w:t>
      </w:r>
      <w:r w:rsidR="007E33B7" w:rsidRPr="00C8563F">
        <w:rPr>
          <w:rFonts w:ascii="Calibri" w:hAnsi="Calibri" w:cs="Calibri"/>
          <w:color w:val="000000"/>
          <w:sz w:val="22"/>
          <w:szCs w:val="22"/>
          <w:lang w:val="fr-CA"/>
        </w:rPr>
        <w:t>s</w:t>
      </w:r>
      <w:r w:rsidRPr="00C8563F">
        <w:rPr>
          <w:rFonts w:ascii="Calibri" w:hAnsi="Calibri" w:cs="Calibri"/>
          <w:color w:val="000000"/>
          <w:sz w:val="22"/>
          <w:szCs w:val="22"/>
          <w:lang w:val="fr-CA"/>
        </w:rPr>
        <w:t xml:space="preserve">. (Pour d’autres informations, voir document </w:t>
      </w:r>
      <w:r w:rsidR="005C1815" w:rsidRPr="00C8563F">
        <w:rPr>
          <w:rFonts w:ascii="Calibri" w:hAnsi="Calibri" w:cs="Calibri"/>
          <w:color w:val="000000"/>
          <w:sz w:val="22"/>
          <w:szCs w:val="22"/>
          <w:lang w:val="fr-CA"/>
        </w:rPr>
        <w:t>SC47-13</w:t>
      </w:r>
      <w:r w:rsidR="00770B39" w:rsidRPr="00C8563F">
        <w:rPr>
          <w:rFonts w:ascii="Calibri" w:hAnsi="Calibri" w:cs="Calibri"/>
          <w:color w:val="000000"/>
          <w:sz w:val="22"/>
          <w:szCs w:val="22"/>
          <w:lang w:val="fr-CA"/>
        </w:rPr>
        <w:t>.</w:t>
      </w:r>
      <w:r w:rsidR="005C1815" w:rsidRPr="00C8563F">
        <w:rPr>
          <w:rFonts w:ascii="Calibri" w:hAnsi="Calibri" w:cs="Calibri"/>
          <w:color w:val="000000"/>
          <w:sz w:val="22"/>
          <w:szCs w:val="22"/>
          <w:lang w:val="fr-CA"/>
        </w:rPr>
        <w:t>)</w:t>
      </w:r>
    </w:p>
    <w:p w:rsidR="000B26D3" w:rsidRPr="00C8563F" w:rsidRDefault="000B26D3" w:rsidP="000B26D3">
      <w:pPr>
        <w:autoSpaceDE w:val="0"/>
        <w:autoSpaceDN w:val="0"/>
        <w:adjustRightInd w:val="0"/>
        <w:ind w:left="426"/>
        <w:rPr>
          <w:rFonts w:ascii="Calibri" w:hAnsi="Calibri" w:cs="Calibri"/>
          <w:sz w:val="22"/>
          <w:szCs w:val="22"/>
          <w:lang w:val="fr-CA"/>
        </w:rPr>
      </w:pPr>
    </w:p>
    <w:p w:rsidR="000B26D3" w:rsidRPr="00C8563F" w:rsidRDefault="00503351" w:rsidP="000B26D3">
      <w:pPr>
        <w:numPr>
          <w:ilvl w:val="0"/>
          <w:numId w:val="39"/>
        </w:numPr>
        <w:autoSpaceDE w:val="0"/>
        <w:autoSpaceDN w:val="0"/>
        <w:adjustRightInd w:val="0"/>
        <w:ind w:left="426" w:hanging="426"/>
        <w:rPr>
          <w:rFonts w:ascii="Calibri" w:hAnsi="Calibri" w:cs="Calibri"/>
          <w:sz w:val="22"/>
          <w:szCs w:val="22"/>
          <w:lang w:val="fr-CA"/>
        </w:rPr>
      </w:pPr>
      <w:r w:rsidRPr="00C8563F">
        <w:rPr>
          <w:rFonts w:ascii="Calibri" w:hAnsi="Calibri" w:cs="Calibri"/>
          <w:sz w:val="22"/>
          <w:szCs w:val="22"/>
          <w:lang w:val="fr-CA"/>
        </w:rPr>
        <w:t>Le Comité permanent Ramsar a</w:t>
      </w:r>
      <w:r w:rsidR="005532CA" w:rsidRPr="00C8563F">
        <w:rPr>
          <w:rFonts w:ascii="Calibri" w:hAnsi="Calibri" w:cs="Calibri"/>
          <w:sz w:val="22"/>
          <w:szCs w:val="22"/>
          <w:lang w:val="fr-CA"/>
        </w:rPr>
        <w:t>,</w:t>
      </w:r>
      <w:r w:rsidRPr="00C8563F">
        <w:rPr>
          <w:rFonts w:ascii="Calibri" w:hAnsi="Calibri" w:cs="Calibri"/>
          <w:sz w:val="22"/>
          <w:szCs w:val="22"/>
          <w:lang w:val="fr-CA"/>
        </w:rPr>
        <w:t xml:space="preserve"> </w:t>
      </w:r>
      <w:r w:rsidR="007E33B7" w:rsidRPr="00C8563F">
        <w:rPr>
          <w:rFonts w:ascii="Calibri" w:hAnsi="Calibri" w:cs="Calibri"/>
          <w:sz w:val="22"/>
          <w:szCs w:val="22"/>
          <w:lang w:val="fr-CA"/>
        </w:rPr>
        <w:t xml:space="preserve">jusqu’à </w:t>
      </w:r>
      <w:r w:rsidR="008B1E86" w:rsidRPr="00C8563F">
        <w:rPr>
          <w:rFonts w:ascii="Calibri" w:hAnsi="Calibri" w:cs="Calibri"/>
          <w:sz w:val="22"/>
          <w:szCs w:val="22"/>
          <w:lang w:val="fr-CA"/>
        </w:rPr>
        <w:t>présent</w:t>
      </w:r>
      <w:r w:rsidR="005532CA" w:rsidRPr="00C8563F">
        <w:rPr>
          <w:rFonts w:ascii="Calibri" w:hAnsi="Calibri" w:cs="Calibri"/>
          <w:sz w:val="22"/>
          <w:szCs w:val="22"/>
          <w:lang w:val="fr-CA"/>
        </w:rPr>
        <w:t>,</w:t>
      </w:r>
      <w:r w:rsidR="007E33B7" w:rsidRPr="00C8563F">
        <w:rPr>
          <w:rFonts w:ascii="Calibri" w:hAnsi="Calibri" w:cs="Calibri"/>
          <w:sz w:val="22"/>
          <w:szCs w:val="22"/>
          <w:lang w:val="fr-CA"/>
        </w:rPr>
        <w:t xml:space="preserve"> décidé de ne pas soutenir de propositions visant à </w:t>
      </w:r>
      <w:r w:rsidR="008B1E86" w:rsidRPr="00C8563F">
        <w:rPr>
          <w:rFonts w:ascii="Calibri" w:hAnsi="Calibri" w:cs="Calibri"/>
          <w:sz w:val="22"/>
          <w:szCs w:val="22"/>
          <w:lang w:val="fr-CA"/>
        </w:rPr>
        <w:t>supprimer le droit de vote des</w:t>
      </w:r>
      <w:r w:rsidR="007E33B7" w:rsidRPr="00C8563F">
        <w:rPr>
          <w:rFonts w:ascii="Calibri" w:hAnsi="Calibri" w:cs="Calibri"/>
          <w:sz w:val="22"/>
          <w:szCs w:val="22"/>
          <w:lang w:val="fr-CA"/>
        </w:rPr>
        <w:t xml:space="preserve"> Parties contractantes </w:t>
      </w:r>
      <w:r w:rsidR="00444DD4" w:rsidRPr="00C8563F">
        <w:rPr>
          <w:rFonts w:ascii="Calibri" w:hAnsi="Calibri" w:cs="Calibri"/>
          <w:sz w:val="22"/>
          <w:szCs w:val="22"/>
          <w:lang w:val="fr-CA"/>
        </w:rPr>
        <w:t>dont les contributions sont impayées</w:t>
      </w:r>
      <w:r w:rsidR="007E33B7" w:rsidRPr="00C8563F">
        <w:rPr>
          <w:rFonts w:ascii="Calibri" w:hAnsi="Calibri" w:cs="Calibri"/>
          <w:sz w:val="22"/>
          <w:szCs w:val="22"/>
          <w:lang w:val="fr-CA"/>
        </w:rPr>
        <w:t xml:space="preserve"> </w:t>
      </w:r>
      <w:r w:rsidR="00444DD4" w:rsidRPr="00C8563F">
        <w:rPr>
          <w:rFonts w:ascii="Calibri" w:hAnsi="Calibri" w:cs="Calibri"/>
          <w:sz w:val="22"/>
          <w:szCs w:val="22"/>
          <w:lang w:val="fr-CA"/>
        </w:rPr>
        <w:t>lors d</w:t>
      </w:r>
      <w:r w:rsidR="007E33B7" w:rsidRPr="00C8563F">
        <w:rPr>
          <w:rFonts w:ascii="Calibri" w:hAnsi="Calibri" w:cs="Calibri"/>
          <w:sz w:val="22"/>
          <w:szCs w:val="22"/>
          <w:lang w:val="fr-CA"/>
        </w:rPr>
        <w:t>es sessions de la Convention,</w:t>
      </w:r>
      <w:r w:rsidR="00976F71" w:rsidRPr="00C8563F">
        <w:rPr>
          <w:rFonts w:ascii="Calibri" w:hAnsi="Calibri" w:cs="Calibri"/>
          <w:sz w:val="22"/>
          <w:szCs w:val="22"/>
          <w:lang w:val="fr-CA"/>
        </w:rPr>
        <w:t xml:space="preserve"> à les rendre</w:t>
      </w:r>
      <w:r w:rsidR="007E33B7" w:rsidRPr="00C8563F">
        <w:rPr>
          <w:rFonts w:ascii="Calibri" w:hAnsi="Calibri" w:cs="Calibri"/>
          <w:sz w:val="22"/>
          <w:szCs w:val="22"/>
          <w:lang w:val="fr-CA"/>
        </w:rPr>
        <w:t xml:space="preserve"> inéligibles au Comité permanent ou inéligibles au GEST.</w:t>
      </w:r>
    </w:p>
    <w:p w:rsidR="000B26D3" w:rsidRPr="00C8563F" w:rsidRDefault="000B26D3" w:rsidP="000B26D3">
      <w:pPr>
        <w:rPr>
          <w:rFonts w:ascii="Calibri" w:hAnsi="Calibri" w:cs="Calibri"/>
          <w:color w:val="000000"/>
          <w:sz w:val="22"/>
          <w:szCs w:val="22"/>
          <w:lang w:val="fr-CA"/>
        </w:rPr>
      </w:pPr>
    </w:p>
    <w:p w:rsidR="000B26D3" w:rsidRPr="00C8563F" w:rsidRDefault="007E33B7" w:rsidP="000B26D3">
      <w:pPr>
        <w:numPr>
          <w:ilvl w:val="0"/>
          <w:numId w:val="39"/>
        </w:numPr>
        <w:autoSpaceDE w:val="0"/>
        <w:autoSpaceDN w:val="0"/>
        <w:adjustRightInd w:val="0"/>
        <w:ind w:left="426" w:hanging="426"/>
        <w:rPr>
          <w:rFonts w:ascii="Calibri" w:hAnsi="Calibri" w:cs="Calibri"/>
          <w:sz w:val="22"/>
          <w:szCs w:val="22"/>
          <w:lang w:val="fr-CA"/>
        </w:rPr>
      </w:pPr>
      <w:r w:rsidRPr="00C8563F">
        <w:rPr>
          <w:rFonts w:ascii="Calibri" w:hAnsi="Calibri" w:cs="Calibri"/>
          <w:sz w:val="22"/>
          <w:szCs w:val="22"/>
          <w:lang w:val="fr-CA"/>
        </w:rPr>
        <w:t xml:space="preserve">Le Secrétaire général estime que des progrès sur l’élimination des </w:t>
      </w:r>
      <w:r w:rsidR="00444DD4" w:rsidRPr="00C8563F">
        <w:rPr>
          <w:rFonts w:ascii="Calibri" w:hAnsi="Calibri" w:cs="Calibri"/>
          <w:sz w:val="22"/>
          <w:szCs w:val="22"/>
          <w:lang w:val="fr-CA"/>
        </w:rPr>
        <w:t>contributions impayées</w:t>
      </w:r>
      <w:r w:rsidRPr="00C8563F">
        <w:rPr>
          <w:rFonts w:ascii="Calibri" w:hAnsi="Calibri" w:cs="Calibri"/>
          <w:sz w:val="22"/>
          <w:szCs w:val="22"/>
          <w:lang w:val="fr-CA"/>
        </w:rPr>
        <w:t xml:space="preserve"> </w:t>
      </w:r>
      <w:r w:rsidR="00976F71" w:rsidRPr="00C8563F">
        <w:rPr>
          <w:rFonts w:ascii="Calibri" w:hAnsi="Calibri" w:cs="Calibri"/>
          <w:sz w:val="22"/>
          <w:szCs w:val="22"/>
          <w:lang w:val="fr-CA"/>
        </w:rPr>
        <w:t>ainsi qu’</w:t>
      </w:r>
      <w:r w:rsidRPr="00C8563F">
        <w:rPr>
          <w:rFonts w:ascii="Calibri" w:hAnsi="Calibri" w:cs="Calibri"/>
          <w:sz w:val="22"/>
          <w:szCs w:val="22"/>
          <w:lang w:val="fr-CA"/>
        </w:rPr>
        <w:t>une participation et un engagement financier plus étroit</w:t>
      </w:r>
      <w:r w:rsidR="00976F71" w:rsidRPr="00C8563F">
        <w:rPr>
          <w:rFonts w:ascii="Calibri" w:hAnsi="Calibri" w:cs="Calibri"/>
          <w:sz w:val="22"/>
          <w:szCs w:val="22"/>
          <w:lang w:val="fr-CA"/>
        </w:rPr>
        <w:t>s</w:t>
      </w:r>
      <w:r w:rsidRPr="00C8563F">
        <w:rPr>
          <w:rFonts w:ascii="Calibri" w:hAnsi="Calibri" w:cs="Calibri"/>
          <w:sz w:val="22"/>
          <w:szCs w:val="22"/>
          <w:lang w:val="fr-CA"/>
        </w:rPr>
        <w:t xml:space="preserve"> de toutes les Parties à la Convention enverraient des messages positifs sur la gouvernance de la Convention e</w:t>
      </w:r>
      <w:r w:rsidR="0085607E" w:rsidRPr="00C8563F">
        <w:rPr>
          <w:rFonts w:ascii="Calibri" w:hAnsi="Calibri" w:cs="Calibri"/>
          <w:sz w:val="22"/>
          <w:szCs w:val="22"/>
          <w:lang w:val="fr-CA"/>
        </w:rPr>
        <w:t>t</w:t>
      </w:r>
      <w:r w:rsidRPr="00C8563F">
        <w:rPr>
          <w:rFonts w:ascii="Calibri" w:hAnsi="Calibri" w:cs="Calibri"/>
          <w:sz w:val="22"/>
          <w:szCs w:val="22"/>
          <w:lang w:val="fr-CA"/>
        </w:rPr>
        <w:t xml:space="preserve"> permettraient au Secrétariat de réaliser pleinement les tâches fixées par la COP. </w:t>
      </w:r>
    </w:p>
    <w:p w:rsidR="000B26D3" w:rsidRPr="00C8563F" w:rsidRDefault="000B26D3" w:rsidP="000B26D3">
      <w:pPr>
        <w:autoSpaceDE w:val="0"/>
        <w:autoSpaceDN w:val="0"/>
        <w:adjustRightInd w:val="0"/>
        <w:rPr>
          <w:rFonts w:ascii="Calibri" w:hAnsi="Calibri" w:cs="Calibri"/>
          <w:sz w:val="22"/>
          <w:szCs w:val="22"/>
          <w:lang w:val="fr-CA"/>
        </w:rPr>
      </w:pPr>
    </w:p>
    <w:p w:rsidR="00E33904" w:rsidRPr="00C8563F" w:rsidRDefault="007E33B7" w:rsidP="000B26D3">
      <w:pPr>
        <w:numPr>
          <w:ilvl w:val="0"/>
          <w:numId w:val="39"/>
        </w:numPr>
        <w:autoSpaceDE w:val="0"/>
        <w:autoSpaceDN w:val="0"/>
        <w:adjustRightInd w:val="0"/>
        <w:ind w:left="426" w:hanging="426"/>
        <w:rPr>
          <w:rFonts w:ascii="Calibri" w:hAnsi="Calibri" w:cs="Calibri"/>
          <w:sz w:val="22"/>
          <w:szCs w:val="22"/>
          <w:lang w:val="fr-CA"/>
        </w:rPr>
      </w:pPr>
      <w:r w:rsidRPr="00C8563F">
        <w:rPr>
          <w:rFonts w:ascii="Calibri" w:hAnsi="Calibri" w:cs="Calibri"/>
          <w:sz w:val="22"/>
          <w:szCs w:val="22"/>
          <w:lang w:val="fr-CA"/>
        </w:rPr>
        <w:t>Il importe de continuer d’explorer des mesures supplémentaires car l’état des contributions ne semble pas s’améliorer de façon marquée, mais aussi de reconnaître que le succès peut venir de diverses actions soutenues.</w:t>
      </w:r>
    </w:p>
    <w:p w:rsidR="000B26D3" w:rsidRPr="00C8563F" w:rsidRDefault="000B26D3" w:rsidP="000B26D3">
      <w:pPr>
        <w:autoSpaceDE w:val="0"/>
        <w:autoSpaceDN w:val="0"/>
        <w:adjustRightInd w:val="0"/>
        <w:rPr>
          <w:rFonts w:ascii="Calibri" w:hAnsi="Calibri" w:cs="Calibri"/>
          <w:sz w:val="22"/>
          <w:szCs w:val="22"/>
          <w:lang w:val="fr-CA"/>
        </w:rPr>
      </w:pPr>
    </w:p>
    <w:p w:rsidR="000B26D3" w:rsidRPr="00C8563F" w:rsidRDefault="007E33B7" w:rsidP="000B26D3">
      <w:pPr>
        <w:numPr>
          <w:ilvl w:val="0"/>
          <w:numId w:val="39"/>
        </w:numPr>
        <w:autoSpaceDE w:val="0"/>
        <w:autoSpaceDN w:val="0"/>
        <w:adjustRightInd w:val="0"/>
        <w:ind w:left="426" w:hanging="426"/>
        <w:rPr>
          <w:rFonts w:ascii="Calibri" w:hAnsi="Calibri" w:cs="Calibri"/>
          <w:sz w:val="22"/>
          <w:szCs w:val="22"/>
          <w:lang w:val="fr-CA"/>
        </w:rPr>
      </w:pPr>
      <w:r w:rsidRPr="00C8563F">
        <w:rPr>
          <w:rFonts w:ascii="Calibri" w:hAnsi="Calibri" w:cs="Calibri"/>
          <w:sz w:val="22"/>
          <w:szCs w:val="22"/>
          <w:lang w:val="fr-CA"/>
        </w:rPr>
        <w:t xml:space="preserve">L’on pourrait attendre et observer </w:t>
      </w:r>
      <w:r w:rsidR="00976F71" w:rsidRPr="00C8563F">
        <w:rPr>
          <w:rFonts w:ascii="Calibri" w:hAnsi="Calibri" w:cs="Calibri"/>
          <w:sz w:val="22"/>
          <w:szCs w:val="22"/>
          <w:lang w:val="fr-CA"/>
        </w:rPr>
        <w:t>l’effet</w:t>
      </w:r>
      <w:r w:rsidRPr="00C8563F">
        <w:rPr>
          <w:rFonts w:ascii="Calibri" w:hAnsi="Calibri" w:cs="Calibri"/>
          <w:sz w:val="22"/>
          <w:szCs w:val="22"/>
          <w:lang w:val="fr-CA"/>
        </w:rPr>
        <w:t xml:space="preserve"> des nouveaux règlements appliqués par des donateurs volontaires. </w:t>
      </w:r>
      <w:r w:rsidR="00976F71" w:rsidRPr="00C8563F">
        <w:rPr>
          <w:rFonts w:ascii="Calibri" w:hAnsi="Calibri" w:cs="Calibri"/>
          <w:sz w:val="22"/>
          <w:szCs w:val="22"/>
          <w:lang w:val="fr-CA"/>
        </w:rPr>
        <w:t>D</w:t>
      </w:r>
      <w:r w:rsidRPr="00C8563F">
        <w:rPr>
          <w:rFonts w:ascii="Calibri" w:hAnsi="Calibri" w:cs="Calibri"/>
          <w:sz w:val="22"/>
          <w:szCs w:val="22"/>
          <w:lang w:val="fr-CA"/>
        </w:rPr>
        <w:t>éjà</w:t>
      </w:r>
      <w:r w:rsidR="00976F71" w:rsidRPr="00C8563F">
        <w:rPr>
          <w:rFonts w:ascii="Calibri" w:hAnsi="Calibri" w:cs="Calibri"/>
          <w:sz w:val="22"/>
          <w:szCs w:val="22"/>
          <w:lang w:val="fr-CA"/>
        </w:rPr>
        <w:t>,</w:t>
      </w:r>
      <w:r w:rsidRPr="00C8563F">
        <w:rPr>
          <w:rFonts w:ascii="Calibri" w:hAnsi="Calibri" w:cs="Calibri"/>
          <w:sz w:val="22"/>
          <w:szCs w:val="22"/>
          <w:lang w:val="fr-CA"/>
        </w:rPr>
        <w:t xml:space="preserve"> des signaux forts proviennent de donateurs tels que la Suisse (</w:t>
      </w:r>
      <w:r w:rsidR="00976F71" w:rsidRPr="00C8563F">
        <w:rPr>
          <w:rFonts w:ascii="Calibri" w:hAnsi="Calibri" w:cs="Calibri"/>
          <w:sz w:val="22"/>
          <w:szCs w:val="22"/>
          <w:lang w:val="fr-CA"/>
        </w:rPr>
        <w:t>pour la SSA à partir de</w:t>
      </w:r>
      <w:r w:rsidRPr="00C8563F">
        <w:rPr>
          <w:rFonts w:ascii="Calibri" w:hAnsi="Calibri" w:cs="Calibri"/>
          <w:sz w:val="22"/>
          <w:szCs w:val="22"/>
          <w:lang w:val="fr-CA"/>
        </w:rPr>
        <w:t xml:space="preserve"> 2013) à savoir qu’ils ne souhaitent pas que des pays ayant d’importants arriérés </w:t>
      </w:r>
      <w:r w:rsidR="00444DD4" w:rsidRPr="00C8563F">
        <w:rPr>
          <w:rFonts w:ascii="Calibri" w:hAnsi="Calibri" w:cs="Calibri"/>
          <w:sz w:val="22"/>
          <w:szCs w:val="22"/>
          <w:lang w:val="fr-CA"/>
        </w:rPr>
        <w:t xml:space="preserve">de contributions </w:t>
      </w:r>
      <w:r w:rsidRPr="00C8563F">
        <w:rPr>
          <w:rFonts w:ascii="Calibri" w:hAnsi="Calibri" w:cs="Calibri"/>
          <w:sz w:val="22"/>
          <w:szCs w:val="22"/>
          <w:lang w:val="fr-CA"/>
        </w:rPr>
        <w:t xml:space="preserve">bénéficient de leurs </w:t>
      </w:r>
      <w:r w:rsidR="00444DD4" w:rsidRPr="00C8563F">
        <w:rPr>
          <w:rFonts w:ascii="Calibri" w:hAnsi="Calibri" w:cs="Calibri"/>
          <w:sz w:val="22"/>
          <w:szCs w:val="22"/>
          <w:lang w:val="fr-CA"/>
        </w:rPr>
        <w:t>subventions</w:t>
      </w:r>
      <w:r w:rsidRPr="00C8563F">
        <w:rPr>
          <w:rFonts w:ascii="Calibri" w:hAnsi="Calibri" w:cs="Calibri"/>
          <w:sz w:val="22"/>
          <w:szCs w:val="22"/>
          <w:lang w:val="fr-CA"/>
        </w:rPr>
        <w:t>. Il est possible que ces donateurs</w:t>
      </w:r>
      <w:r w:rsidR="00444DD4" w:rsidRPr="00C8563F">
        <w:rPr>
          <w:rFonts w:ascii="Calibri" w:hAnsi="Calibri" w:cs="Calibri"/>
          <w:sz w:val="22"/>
          <w:szCs w:val="22"/>
          <w:lang w:val="fr-CA"/>
        </w:rPr>
        <w:t>,</w:t>
      </w:r>
      <w:r w:rsidRPr="00C8563F">
        <w:rPr>
          <w:rFonts w:ascii="Calibri" w:hAnsi="Calibri" w:cs="Calibri"/>
          <w:sz w:val="22"/>
          <w:szCs w:val="22"/>
          <w:lang w:val="fr-CA"/>
        </w:rPr>
        <w:t xml:space="preserve"> parmi d’autres</w:t>
      </w:r>
      <w:r w:rsidR="00444DD4" w:rsidRPr="00C8563F">
        <w:rPr>
          <w:rFonts w:ascii="Calibri" w:hAnsi="Calibri" w:cs="Calibri"/>
          <w:sz w:val="22"/>
          <w:szCs w:val="22"/>
          <w:lang w:val="fr-CA"/>
        </w:rPr>
        <w:t>,</w:t>
      </w:r>
      <w:r w:rsidRPr="00C8563F">
        <w:rPr>
          <w:rFonts w:ascii="Calibri" w:hAnsi="Calibri" w:cs="Calibri"/>
          <w:sz w:val="22"/>
          <w:szCs w:val="22"/>
          <w:lang w:val="fr-CA"/>
        </w:rPr>
        <w:t xml:space="preserve"> aillent plus loin et choisissent de cesser de financer le Fonds de petites subventions ou de parrainer la présence, aux </w:t>
      </w:r>
      <w:r w:rsidR="00976F71" w:rsidRPr="00C8563F">
        <w:rPr>
          <w:rFonts w:ascii="Calibri" w:hAnsi="Calibri" w:cs="Calibri"/>
          <w:sz w:val="22"/>
          <w:szCs w:val="22"/>
          <w:lang w:val="fr-CA"/>
        </w:rPr>
        <w:t>r</w:t>
      </w:r>
      <w:r w:rsidRPr="00C8563F">
        <w:rPr>
          <w:rFonts w:ascii="Calibri" w:hAnsi="Calibri" w:cs="Calibri"/>
          <w:sz w:val="22"/>
          <w:szCs w:val="22"/>
          <w:lang w:val="fr-CA"/>
        </w:rPr>
        <w:t xml:space="preserve">éunions régionales intersessions ou à la COP, </w:t>
      </w:r>
      <w:r w:rsidR="00444DD4" w:rsidRPr="00C8563F">
        <w:rPr>
          <w:rFonts w:ascii="Calibri" w:hAnsi="Calibri" w:cs="Calibri"/>
          <w:sz w:val="22"/>
          <w:szCs w:val="22"/>
          <w:lang w:val="fr-CA"/>
        </w:rPr>
        <w:t>de</w:t>
      </w:r>
      <w:r w:rsidRPr="00C8563F">
        <w:rPr>
          <w:rFonts w:ascii="Calibri" w:hAnsi="Calibri" w:cs="Calibri"/>
          <w:sz w:val="22"/>
          <w:szCs w:val="22"/>
          <w:lang w:val="fr-CA"/>
        </w:rPr>
        <w:t xml:space="preserve"> délégués de Parties ayant </w:t>
      </w:r>
      <w:r w:rsidR="00444DD4" w:rsidRPr="00C8563F">
        <w:rPr>
          <w:rFonts w:ascii="Calibri" w:hAnsi="Calibri" w:cs="Calibri"/>
          <w:sz w:val="22"/>
          <w:szCs w:val="22"/>
          <w:lang w:val="fr-CA"/>
        </w:rPr>
        <w:t xml:space="preserve">des contributions impayées depuis </w:t>
      </w:r>
      <w:r w:rsidRPr="00C8563F">
        <w:rPr>
          <w:rFonts w:ascii="Calibri" w:hAnsi="Calibri" w:cs="Calibri"/>
          <w:sz w:val="22"/>
          <w:szCs w:val="22"/>
          <w:lang w:val="fr-CA"/>
        </w:rPr>
        <w:t>plus de trois ans.</w:t>
      </w:r>
      <w:r w:rsidR="000B26D3" w:rsidRPr="00C8563F">
        <w:rPr>
          <w:rFonts w:ascii="Calibri" w:hAnsi="Calibri" w:cs="Calibri"/>
          <w:sz w:val="22"/>
          <w:szCs w:val="22"/>
          <w:lang w:val="fr-CA"/>
        </w:rPr>
        <w:t xml:space="preserve"> </w:t>
      </w:r>
    </w:p>
    <w:p w:rsidR="000B26D3" w:rsidRPr="00C8563F" w:rsidRDefault="000B26D3" w:rsidP="000B26D3">
      <w:pPr>
        <w:autoSpaceDE w:val="0"/>
        <w:autoSpaceDN w:val="0"/>
        <w:adjustRightInd w:val="0"/>
        <w:rPr>
          <w:rFonts w:ascii="Calibri" w:hAnsi="Calibri" w:cs="Calibri"/>
          <w:sz w:val="22"/>
          <w:szCs w:val="22"/>
          <w:lang w:val="fr-CA"/>
        </w:rPr>
      </w:pPr>
    </w:p>
    <w:p w:rsidR="000B26D3" w:rsidRPr="00C8563F" w:rsidRDefault="00743FD2" w:rsidP="000B26D3">
      <w:pPr>
        <w:numPr>
          <w:ilvl w:val="0"/>
          <w:numId w:val="39"/>
        </w:numPr>
        <w:autoSpaceDE w:val="0"/>
        <w:autoSpaceDN w:val="0"/>
        <w:adjustRightInd w:val="0"/>
        <w:ind w:left="426" w:hanging="426"/>
        <w:rPr>
          <w:rFonts w:ascii="Calibri" w:hAnsi="Calibri" w:cs="Calibri"/>
          <w:sz w:val="22"/>
          <w:szCs w:val="22"/>
          <w:lang w:val="fr-CA"/>
        </w:rPr>
      </w:pPr>
      <w:r w:rsidRPr="00C8563F">
        <w:rPr>
          <w:rFonts w:ascii="Calibri" w:hAnsi="Calibri" w:cs="Calibri"/>
          <w:sz w:val="22"/>
          <w:szCs w:val="22"/>
          <w:lang w:val="fr-CA"/>
        </w:rPr>
        <w:t>Comme discuté avec le Sous-groupe sur les finances à la 43</w:t>
      </w:r>
      <w:r w:rsidRPr="00C8563F">
        <w:rPr>
          <w:rFonts w:ascii="Calibri" w:hAnsi="Calibri" w:cs="Calibri"/>
          <w:sz w:val="22"/>
          <w:szCs w:val="22"/>
          <w:vertAlign w:val="superscript"/>
          <w:lang w:val="fr-CA"/>
        </w:rPr>
        <w:t>e</w:t>
      </w:r>
      <w:r w:rsidRPr="00C8563F">
        <w:rPr>
          <w:rFonts w:ascii="Calibri" w:hAnsi="Calibri" w:cs="Calibri"/>
          <w:sz w:val="22"/>
          <w:szCs w:val="22"/>
          <w:lang w:val="fr-CA"/>
        </w:rPr>
        <w:t xml:space="preserve"> Réunion du Comité permanent, avant la COP11, le Secrétariat estime que la situation pourrait s’améliorer si la Convention décide que les Parties ayant d’importants arriérés </w:t>
      </w:r>
      <w:r w:rsidR="00444DD4" w:rsidRPr="00C8563F">
        <w:rPr>
          <w:rFonts w:ascii="Calibri" w:hAnsi="Calibri" w:cs="Calibri"/>
          <w:sz w:val="22"/>
          <w:szCs w:val="22"/>
          <w:lang w:val="fr-CA"/>
        </w:rPr>
        <w:t xml:space="preserve">de contributions </w:t>
      </w:r>
      <w:r w:rsidRPr="00C8563F">
        <w:rPr>
          <w:rFonts w:ascii="Calibri" w:hAnsi="Calibri" w:cs="Calibri"/>
          <w:sz w:val="22"/>
          <w:szCs w:val="22"/>
          <w:lang w:val="fr-CA"/>
        </w:rPr>
        <w:t xml:space="preserve">sont inéligibles au Comité permanent, comme c’est le cas pour la Convention du patrimoine mondial, la CDB et la CMS. Après un débat considérable, le Comité permanent a choisi de ne pas retenir cette </w:t>
      </w:r>
      <w:r w:rsidR="00D0568E" w:rsidRPr="00C8563F">
        <w:rPr>
          <w:rFonts w:ascii="Calibri" w:hAnsi="Calibri" w:cs="Calibri"/>
          <w:sz w:val="22"/>
          <w:szCs w:val="22"/>
          <w:lang w:val="fr-CA"/>
        </w:rPr>
        <w:t>suggestion et de ne pas la communiquer à la COP11. À cette occasion, les Parties contractantes de la région Afrique</w:t>
      </w:r>
      <w:r w:rsidR="00976F71" w:rsidRPr="00C8563F">
        <w:rPr>
          <w:rFonts w:ascii="Calibri" w:hAnsi="Calibri" w:cs="Calibri"/>
          <w:sz w:val="22"/>
          <w:szCs w:val="22"/>
          <w:lang w:val="fr-CA"/>
        </w:rPr>
        <w:t>,</w:t>
      </w:r>
      <w:bookmarkStart w:id="1" w:name="_GoBack"/>
      <w:bookmarkEnd w:id="1"/>
      <w:r w:rsidR="00D0568E" w:rsidRPr="00C8563F">
        <w:rPr>
          <w:rFonts w:ascii="Calibri" w:hAnsi="Calibri" w:cs="Calibri"/>
          <w:sz w:val="22"/>
          <w:szCs w:val="22"/>
          <w:lang w:val="fr-CA"/>
        </w:rPr>
        <w:t xml:space="preserve"> où l’on trouve une majorité de contributions </w:t>
      </w:r>
      <w:r w:rsidR="00444DD4" w:rsidRPr="00C8563F">
        <w:rPr>
          <w:rFonts w:ascii="Calibri" w:hAnsi="Calibri" w:cs="Calibri"/>
          <w:sz w:val="22"/>
          <w:szCs w:val="22"/>
          <w:lang w:val="fr-CA"/>
        </w:rPr>
        <w:t>im</w:t>
      </w:r>
      <w:r w:rsidR="00D0568E" w:rsidRPr="00C8563F">
        <w:rPr>
          <w:rFonts w:ascii="Calibri" w:hAnsi="Calibri" w:cs="Calibri"/>
          <w:sz w:val="22"/>
          <w:szCs w:val="22"/>
          <w:lang w:val="fr-CA"/>
        </w:rPr>
        <w:t>payées, on choisit d’appliquer la suggestion en décidant de ne nommer</w:t>
      </w:r>
      <w:r w:rsidR="00444DD4" w:rsidRPr="00C8563F">
        <w:rPr>
          <w:rFonts w:ascii="Calibri" w:hAnsi="Calibri" w:cs="Calibri"/>
          <w:sz w:val="22"/>
          <w:szCs w:val="22"/>
          <w:lang w:val="fr-CA"/>
        </w:rPr>
        <w:t xml:space="preserve">, comme représentants régionaux aux réunions de la Convention, </w:t>
      </w:r>
      <w:r w:rsidR="00D0568E" w:rsidRPr="00C8563F">
        <w:rPr>
          <w:rFonts w:ascii="Calibri" w:hAnsi="Calibri" w:cs="Calibri"/>
          <w:sz w:val="22"/>
          <w:szCs w:val="22"/>
          <w:lang w:val="fr-CA"/>
        </w:rPr>
        <w:t xml:space="preserve">que des Parties </w:t>
      </w:r>
      <w:r w:rsidR="00444DD4" w:rsidRPr="00C8563F">
        <w:rPr>
          <w:rFonts w:ascii="Calibri" w:hAnsi="Calibri" w:cs="Calibri"/>
          <w:sz w:val="22"/>
          <w:szCs w:val="22"/>
          <w:lang w:val="fr-CA"/>
        </w:rPr>
        <w:t xml:space="preserve">dont les contributions étaient à jour </w:t>
      </w:r>
      <w:r w:rsidR="00D0568E" w:rsidRPr="00C8563F">
        <w:rPr>
          <w:rFonts w:ascii="Calibri" w:hAnsi="Calibri" w:cs="Calibri"/>
          <w:sz w:val="22"/>
          <w:szCs w:val="22"/>
          <w:lang w:val="fr-CA"/>
        </w:rPr>
        <w:t>et cette situation se poursuit encore aujourd’hui.</w:t>
      </w:r>
      <w:r w:rsidR="000B26D3" w:rsidRPr="00C8563F">
        <w:rPr>
          <w:rFonts w:ascii="Calibri" w:hAnsi="Calibri" w:cs="Calibri"/>
          <w:sz w:val="22"/>
          <w:szCs w:val="22"/>
          <w:lang w:val="fr-CA"/>
        </w:rPr>
        <w:t xml:space="preserve"> </w:t>
      </w:r>
    </w:p>
    <w:p w:rsidR="000B26D3" w:rsidRPr="00C8563F" w:rsidRDefault="000B26D3" w:rsidP="000B26D3">
      <w:pPr>
        <w:rPr>
          <w:rFonts w:ascii="Calibri" w:hAnsi="Calibri" w:cs="Calibri"/>
          <w:color w:val="000000"/>
          <w:sz w:val="22"/>
          <w:szCs w:val="22"/>
          <w:lang w:val="fr-CA"/>
        </w:rPr>
      </w:pPr>
    </w:p>
    <w:p w:rsidR="00597401" w:rsidRDefault="00597401" w:rsidP="000B26D3">
      <w:pPr>
        <w:rPr>
          <w:rFonts w:ascii="Calibri" w:hAnsi="Calibri" w:cs="Calibri"/>
          <w:b/>
          <w:color w:val="000000"/>
          <w:lang w:val="fr-CA"/>
        </w:rPr>
        <w:sectPr w:rsidR="00597401" w:rsidSect="00BE5946">
          <w:footerReference w:type="default" r:id="rId8"/>
          <w:pgSz w:w="11907" w:h="16840" w:code="9"/>
          <w:pgMar w:top="1440" w:right="1440" w:bottom="1440" w:left="1440" w:header="709" w:footer="720" w:gutter="0"/>
          <w:pgNumType w:fmt="numberInDash"/>
          <w:cols w:space="720"/>
          <w:titlePg/>
          <w:docGrid w:linePitch="360"/>
        </w:sectPr>
      </w:pPr>
    </w:p>
    <w:p w:rsidR="00C94FA8" w:rsidRPr="009F2B0C" w:rsidRDefault="00C94FA8" w:rsidP="000B26D3">
      <w:pPr>
        <w:rPr>
          <w:rFonts w:ascii="Calibri" w:hAnsi="Calibri" w:cs="Calibri"/>
          <w:b/>
          <w:color w:val="000000"/>
          <w:lang w:val="fr-CA"/>
        </w:rPr>
      </w:pPr>
      <w:r w:rsidRPr="009F2B0C">
        <w:rPr>
          <w:rFonts w:ascii="Calibri" w:hAnsi="Calibri" w:cs="Calibri"/>
          <w:b/>
          <w:color w:val="000000"/>
          <w:lang w:val="fr-CA"/>
        </w:rPr>
        <w:t>Annex</w:t>
      </w:r>
      <w:r w:rsidR="00D0568E">
        <w:rPr>
          <w:rFonts w:ascii="Calibri" w:hAnsi="Calibri" w:cs="Calibri"/>
          <w:b/>
          <w:color w:val="000000"/>
          <w:lang w:val="fr-CA"/>
        </w:rPr>
        <w:t>e</w:t>
      </w:r>
      <w:r w:rsidRPr="009F2B0C">
        <w:rPr>
          <w:rFonts w:ascii="Calibri" w:hAnsi="Calibri" w:cs="Calibri"/>
          <w:b/>
          <w:color w:val="000000"/>
          <w:lang w:val="fr-CA"/>
        </w:rPr>
        <w:t xml:space="preserve"> 1</w:t>
      </w:r>
    </w:p>
    <w:p w:rsidR="00C94FA8" w:rsidRPr="00B23030" w:rsidRDefault="00C94FA8" w:rsidP="000B26D3">
      <w:pPr>
        <w:rPr>
          <w:rFonts w:ascii="Calibri" w:hAnsi="Calibri" w:cs="Calibri"/>
          <w:b/>
          <w:color w:val="000000"/>
          <w:sz w:val="12"/>
          <w:szCs w:val="12"/>
          <w:lang w:val="fr-CA"/>
        </w:rPr>
      </w:pPr>
    </w:p>
    <w:p w:rsidR="00C94FA8" w:rsidRPr="00597401" w:rsidRDefault="002B3ED7" w:rsidP="000B26D3">
      <w:pPr>
        <w:rPr>
          <w:rFonts w:ascii="Calibri" w:hAnsi="Calibri" w:cs="Calibri"/>
          <w:b/>
          <w:color w:val="000000"/>
          <w:sz w:val="16"/>
          <w:szCs w:val="16"/>
          <w:lang w:val="fr-CA"/>
        </w:rPr>
      </w:pPr>
      <w:r>
        <w:rPr>
          <w:rFonts w:ascii="Calibri" w:hAnsi="Calibri" w:cs="Calibri"/>
          <w:b/>
          <w:color w:val="000000"/>
          <w:lang w:val="fr-CA"/>
        </w:rPr>
        <w:t xml:space="preserve">Contributions </w:t>
      </w:r>
      <w:r w:rsidR="00444DD4">
        <w:rPr>
          <w:rFonts w:ascii="Calibri" w:hAnsi="Calibri" w:cs="Calibri"/>
          <w:b/>
          <w:color w:val="000000"/>
          <w:lang w:val="fr-CA"/>
        </w:rPr>
        <w:t>impayées</w:t>
      </w:r>
      <w:r>
        <w:rPr>
          <w:rFonts w:ascii="Calibri" w:hAnsi="Calibri" w:cs="Calibri"/>
          <w:b/>
          <w:color w:val="000000"/>
          <w:lang w:val="fr-CA"/>
        </w:rPr>
        <w:t xml:space="preserve">, 2014 et avant, à recevoir au 30 novembre 2014 </w:t>
      </w:r>
      <w:r>
        <w:rPr>
          <w:rFonts w:ascii="Calibri" w:hAnsi="Calibri" w:cs="Calibri"/>
          <w:b/>
          <w:color w:val="000000"/>
          <w:lang w:val="fr-CA"/>
        </w:rPr>
        <w:br/>
      </w:r>
    </w:p>
    <w:p w:rsidR="000B26D3" w:rsidRPr="009F2B0C" w:rsidRDefault="00A9650E" w:rsidP="00554FED">
      <w:pPr>
        <w:rPr>
          <w:b/>
          <w:lang w:val="fr-CA"/>
        </w:rPr>
      </w:pPr>
      <w:r w:rsidRPr="00A9650E">
        <w:rPr>
          <w:noProof/>
        </w:rPr>
        <w:drawing>
          <wp:inline distT="0" distB="0" distL="0" distR="0">
            <wp:extent cx="5732145" cy="7325513"/>
            <wp:effectExtent l="1905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5732145" cy="7325513"/>
                    </a:xfrm>
                    <a:prstGeom prst="rect">
                      <a:avLst/>
                    </a:prstGeom>
                    <a:noFill/>
                    <a:ln w="9525">
                      <a:noFill/>
                      <a:miter lim="800000"/>
                      <a:headEnd/>
                      <a:tailEnd/>
                    </a:ln>
                  </pic:spPr>
                </pic:pic>
              </a:graphicData>
            </a:graphic>
          </wp:inline>
        </w:drawing>
      </w:r>
    </w:p>
    <w:sectPr w:rsidR="000B26D3" w:rsidRPr="009F2B0C" w:rsidSect="00410F5A">
      <w:pgSz w:w="11907" w:h="16840" w:code="9"/>
      <w:pgMar w:top="1021" w:right="1440" w:bottom="1021" w:left="1440" w:header="709"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50E" w:rsidRDefault="00A9650E">
      <w:r>
        <w:separator/>
      </w:r>
    </w:p>
  </w:endnote>
  <w:endnote w:type="continuationSeparator" w:id="0">
    <w:p w:rsidR="00A9650E" w:rsidRDefault="00A96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0E" w:rsidRPr="006A00F3" w:rsidRDefault="00A9650E">
    <w:pPr>
      <w:pStyle w:val="Footer"/>
      <w:rPr>
        <w:rFonts w:asciiTheme="minorHAnsi" w:hAnsiTheme="minorHAnsi"/>
        <w:sz w:val="20"/>
        <w:szCs w:val="20"/>
      </w:rPr>
    </w:pPr>
    <w:r w:rsidRPr="006A00F3">
      <w:rPr>
        <w:rFonts w:asciiTheme="minorHAnsi" w:hAnsiTheme="minorHAnsi"/>
        <w:sz w:val="20"/>
        <w:szCs w:val="20"/>
      </w:rPr>
      <w:t>SC48-10</w:t>
    </w:r>
    <w:r w:rsidRPr="006A00F3">
      <w:rPr>
        <w:rFonts w:asciiTheme="minorHAnsi" w:hAnsiTheme="minorHAnsi"/>
        <w:sz w:val="20"/>
        <w:szCs w:val="20"/>
      </w:rPr>
      <w:tab/>
    </w:r>
    <w:r w:rsidRPr="006A00F3">
      <w:rPr>
        <w:rFonts w:asciiTheme="minorHAnsi" w:hAnsiTheme="minorHAnsi"/>
        <w:sz w:val="20"/>
        <w:szCs w:val="20"/>
      </w:rPr>
      <w:tab/>
    </w:r>
    <w:r w:rsidR="007D4EA1">
      <w:rPr>
        <w:rFonts w:asciiTheme="minorHAnsi" w:hAnsiTheme="minorHAnsi"/>
        <w:sz w:val="20"/>
        <w:szCs w:val="20"/>
      </w:rPr>
      <w:fldChar w:fldCharType="begin"/>
    </w:r>
    <w:r>
      <w:rPr>
        <w:rFonts w:asciiTheme="minorHAnsi" w:hAnsiTheme="minorHAnsi"/>
        <w:sz w:val="20"/>
        <w:szCs w:val="20"/>
      </w:rPr>
      <w:instrText xml:space="preserve"> PAGE  \* Arabic  \* MERGEFORMAT </w:instrText>
    </w:r>
    <w:r w:rsidR="007D4EA1">
      <w:rPr>
        <w:rFonts w:asciiTheme="minorHAnsi" w:hAnsiTheme="minorHAnsi"/>
        <w:sz w:val="20"/>
        <w:szCs w:val="20"/>
      </w:rPr>
      <w:fldChar w:fldCharType="separate"/>
    </w:r>
    <w:r w:rsidR="00BE5946">
      <w:rPr>
        <w:rFonts w:asciiTheme="minorHAnsi" w:hAnsiTheme="minorHAnsi"/>
        <w:noProof/>
        <w:sz w:val="20"/>
        <w:szCs w:val="20"/>
      </w:rPr>
      <w:t>4</w:t>
    </w:r>
    <w:r w:rsidR="007D4EA1">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50E" w:rsidRDefault="00A9650E">
      <w:r>
        <w:separator/>
      </w:r>
    </w:p>
  </w:footnote>
  <w:footnote w:type="continuationSeparator" w:id="0">
    <w:p w:rsidR="00A9650E" w:rsidRDefault="00A9650E">
      <w:r>
        <w:continuationSeparator/>
      </w:r>
    </w:p>
  </w:footnote>
  <w:footnote w:id="1">
    <w:p w:rsidR="00A9650E" w:rsidRPr="00C8563F" w:rsidRDefault="00A9650E" w:rsidP="000B26D3">
      <w:pPr>
        <w:autoSpaceDE w:val="0"/>
        <w:autoSpaceDN w:val="0"/>
        <w:adjustRightInd w:val="0"/>
        <w:rPr>
          <w:rFonts w:asciiTheme="minorHAnsi" w:hAnsiTheme="minorHAnsi" w:cs="Calibri"/>
          <w:color w:val="000000"/>
          <w:sz w:val="20"/>
          <w:szCs w:val="20"/>
          <w:lang w:val="fr-CA"/>
        </w:rPr>
      </w:pPr>
      <w:r w:rsidRPr="00C8563F">
        <w:rPr>
          <w:rStyle w:val="FootnoteReference"/>
          <w:rFonts w:asciiTheme="minorHAnsi" w:hAnsiTheme="minorHAnsi" w:cs="Calibri"/>
          <w:sz w:val="20"/>
          <w:szCs w:val="20"/>
          <w:lang w:val="fr-CA"/>
        </w:rPr>
        <w:footnoteRef/>
      </w:r>
      <w:r w:rsidRPr="00C8563F">
        <w:rPr>
          <w:rFonts w:asciiTheme="minorHAnsi" w:hAnsiTheme="minorHAnsi" w:cs="Calibri"/>
          <w:sz w:val="20"/>
          <w:szCs w:val="20"/>
          <w:lang w:val="fr-CA"/>
        </w:rPr>
        <w:t xml:space="preserve"> Aucune contribution impayée n’est effacée. Lorsqu’une Partie indique expressément qu’elle ne reconnaît pas ses arriérés de contribution et/ou qu’elle n’a pas l’intention de les payer, le Comité permanent est informé.</w:t>
      </w:r>
    </w:p>
    <w:p w:rsidR="00A9650E" w:rsidRPr="008B1E86" w:rsidRDefault="00A9650E">
      <w:pPr>
        <w:pStyle w:val="FootnoteText"/>
        <w:rPr>
          <w:rFonts w:asciiTheme="minorHAnsi" w:hAnsiTheme="minorHAnsi"/>
          <w:lang w:val="fr-CA"/>
        </w:rPr>
      </w:pPr>
    </w:p>
  </w:footnote>
  <w:footnote w:id="2">
    <w:p w:rsidR="00A9650E" w:rsidRPr="00F1081B" w:rsidRDefault="00A9650E">
      <w:pPr>
        <w:pStyle w:val="FootnoteText"/>
        <w:rPr>
          <w:rFonts w:asciiTheme="minorHAnsi" w:hAnsiTheme="minorHAnsi"/>
          <w:lang w:val="fr-CA"/>
        </w:rPr>
      </w:pPr>
      <w:r w:rsidRPr="00F1081B">
        <w:rPr>
          <w:rStyle w:val="FootnoteReference"/>
          <w:rFonts w:asciiTheme="minorHAnsi" w:hAnsiTheme="minorHAnsi"/>
          <w:lang w:val="fr-CA"/>
        </w:rPr>
        <w:footnoteRef/>
      </w:r>
      <w:r w:rsidRPr="00F1081B">
        <w:rPr>
          <w:rFonts w:asciiTheme="minorHAnsi" w:hAnsiTheme="minorHAnsi"/>
          <w:lang w:val="fr-CA"/>
        </w:rPr>
        <w:t xml:space="preserve"> A</w:t>
      </w:r>
      <w:r>
        <w:rPr>
          <w:rFonts w:asciiTheme="minorHAnsi" w:hAnsiTheme="minorHAnsi"/>
          <w:lang w:val="fr-CA"/>
        </w:rPr>
        <w:t>u 30 novembre</w:t>
      </w:r>
      <w:r w:rsidRPr="00F1081B">
        <w:rPr>
          <w:rFonts w:asciiTheme="minorHAnsi" w:hAnsiTheme="minorHAnsi"/>
          <w:lang w:val="fr-CA"/>
        </w:rPr>
        <w:t xml:space="preserve"> 2014.</w:t>
      </w:r>
    </w:p>
  </w:footnote>
  <w:footnote w:id="3">
    <w:p w:rsidR="00A9650E" w:rsidRPr="00F1081B" w:rsidRDefault="00A9650E">
      <w:pPr>
        <w:pStyle w:val="FootnoteText"/>
        <w:rPr>
          <w:rFonts w:asciiTheme="minorHAnsi" w:hAnsiTheme="minorHAnsi"/>
          <w:lang w:val="fr-CA"/>
        </w:rPr>
      </w:pPr>
      <w:r w:rsidRPr="00F1081B">
        <w:rPr>
          <w:rStyle w:val="FootnoteReference"/>
          <w:rFonts w:asciiTheme="minorHAnsi" w:hAnsiTheme="minorHAnsi"/>
          <w:lang w:val="fr-CA"/>
        </w:rPr>
        <w:footnoteRef/>
      </w:r>
      <w:r w:rsidRPr="00F1081B">
        <w:rPr>
          <w:rFonts w:asciiTheme="minorHAnsi" w:hAnsiTheme="minorHAnsi"/>
          <w:lang w:val="fr-CA"/>
        </w:rPr>
        <w:t xml:space="preserve"> </w:t>
      </w:r>
      <w:r>
        <w:rPr>
          <w:rFonts w:asciiTheme="minorHAnsi" w:hAnsiTheme="minorHAnsi"/>
          <w:lang w:val="fr-CA"/>
        </w:rPr>
        <w:t>À déterminer</w:t>
      </w:r>
      <w:r w:rsidRPr="00F1081B">
        <w:rPr>
          <w:rFonts w:asciiTheme="minorHAnsi" w:hAnsiTheme="minorHAnsi"/>
          <w:lang w:val="fr-CA"/>
        </w:rPr>
        <w:t xml:space="preserve"> – Provision </w:t>
      </w:r>
      <w:r>
        <w:rPr>
          <w:rFonts w:asciiTheme="minorHAnsi" w:hAnsiTheme="minorHAnsi"/>
          <w:lang w:val="fr-CA"/>
        </w:rPr>
        <w:t>à déterminer pour 2</w:t>
      </w:r>
      <w:r w:rsidRPr="00F1081B">
        <w:rPr>
          <w:rFonts w:asciiTheme="minorHAnsi" w:hAnsiTheme="minorHAnsi"/>
          <w:lang w:val="fr-CA"/>
        </w:rPr>
        <w:t xml:space="preserve">014 </w:t>
      </w:r>
      <w:r>
        <w:rPr>
          <w:rFonts w:asciiTheme="minorHAnsi" w:hAnsiTheme="minorHAnsi"/>
          <w:lang w:val="fr-CA"/>
        </w:rPr>
        <w:t>à la fin de l’année </w:t>
      </w:r>
      <w:r w:rsidRPr="00F1081B">
        <w:rPr>
          <w:rFonts w:asciiTheme="minorHAnsi" w:hAnsiTheme="minorHAnsi"/>
          <w:lang w:val="fr-CA"/>
        </w:rPr>
        <w:t>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FBE"/>
    <w:multiLevelType w:val="hybridMultilevel"/>
    <w:tmpl w:val="58E2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B761D"/>
    <w:multiLevelType w:val="multilevel"/>
    <w:tmpl w:val="306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17C83"/>
    <w:multiLevelType w:val="hybridMultilevel"/>
    <w:tmpl w:val="76EEF44C"/>
    <w:lvl w:ilvl="0" w:tplc="82E651E0">
      <w:start w:val="23"/>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FD1B35"/>
    <w:multiLevelType w:val="multilevel"/>
    <w:tmpl w:val="06FA16E6"/>
    <w:lvl w:ilvl="0">
      <w:start w:val="14"/>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DA70034"/>
    <w:multiLevelType w:val="multilevel"/>
    <w:tmpl w:val="13E47EEC"/>
    <w:lvl w:ilvl="0">
      <w:start w:val="14"/>
      <w:numFmt w:val="decimal"/>
      <w:lvlText w:val="%1"/>
      <w:lvlJc w:val="left"/>
      <w:pPr>
        <w:tabs>
          <w:tab w:val="num" w:pos="495"/>
        </w:tabs>
        <w:ind w:left="495" w:hanging="495"/>
      </w:pPr>
    </w:lvl>
    <w:lvl w:ilvl="1">
      <w:start w:val="9"/>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12D81EF7"/>
    <w:multiLevelType w:val="hybridMultilevel"/>
    <w:tmpl w:val="511646B2"/>
    <w:lvl w:ilvl="0" w:tplc="504CD46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46F1EBA"/>
    <w:multiLevelType w:val="hybridMultilevel"/>
    <w:tmpl w:val="CAA24B7A"/>
    <w:lvl w:ilvl="0" w:tplc="64D6D068">
      <w:start w:val="1"/>
      <w:numFmt w:val="lowerLetter"/>
      <w:lvlText w:val="%1."/>
      <w:lvlJc w:val="left"/>
      <w:pPr>
        <w:tabs>
          <w:tab w:val="num" w:pos="900"/>
        </w:tabs>
        <w:ind w:left="900" w:hanging="360"/>
      </w:pPr>
      <w:rPr>
        <w:rFonts w:hint="default"/>
        <w:color w:val="008000"/>
      </w:rPr>
    </w:lvl>
    <w:lvl w:ilvl="1" w:tplc="0504CCC4">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61F57F9"/>
    <w:multiLevelType w:val="hybridMultilevel"/>
    <w:tmpl w:val="539E6BDA"/>
    <w:lvl w:ilvl="0" w:tplc="85127A6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8825C01"/>
    <w:multiLevelType w:val="multilevel"/>
    <w:tmpl w:val="B48E5A44"/>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B04305E"/>
    <w:multiLevelType w:val="hybridMultilevel"/>
    <w:tmpl w:val="AA5C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A65BF"/>
    <w:multiLevelType w:val="hybridMultilevel"/>
    <w:tmpl w:val="2C24EDF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Aria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Arial"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Arial"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1ECD656B"/>
    <w:multiLevelType w:val="multilevel"/>
    <w:tmpl w:val="0826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605F69"/>
    <w:multiLevelType w:val="multilevel"/>
    <w:tmpl w:val="0A7EE9E2"/>
    <w:lvl w:ilvl="0">
      <w:start w:val="15"/>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263045C4"/>
    <w:multiLevelType w:val="hybridMultilevel"/>
    <w:tmpl w:val="6F0E0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97936A9"/>
    <w:multiLevelType w:val="hybridMultilevel"/>
    <w:tmpl w:val="CF14BF58"/>
    <w:lvl w:ilvl="0" w:tplc="76FE7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973689"/>
    <w:multiLevelType w:val="hybridMultilevel"/>
    <w:tmpl w:val="DD0A4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A3ADA"/>
    <w:multiLevelType w:val="multilevel"/>
    <w:tmpl w:val="EEEC887E"/>
    <w:lvl w:ilvl="0">
      <w:start w:val="14"/>
      <w:numFmt w:val="decimal"/>
      <w:lvlText w:val="%1"/>
      <w:lvlJc w:val="left"/>
      <w:pPr>
        <w:tabs>
          <w:tab w:val="num" w:pos="384"/>
        </w:tabs>
        <w:ind w:left="384" w:hanging="384"/>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0D764BD"/>
    <w:multiLevelType w:val="hybridMultilevel"/>
    <w:tmpl w:val="9E7A4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7D05"/>
    <w:multiLevelType w:val="hybridMultilevel"/>
    <w:tmpl w:val="D0F4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5161F"/>
    <w:multiLevelType w:val="hybridMultilevel"/>
    <w:tmpl w:val="4006B224"/>
    <w:lvl w:ilvl="0" w:tplc="B44657EA">
      <w:start w:val="2"/>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3A5C1222"/>
    <w:multiLevelType w:val="hybridMultilevel"/>
    <w:tmpl w:val="9FCCD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0C16FF4"/>
    <w:multiLevelType w:val="hybridMultilevel"/>
    <w:tmpl w:val="E3CE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818F4"/>
    <w:multiLevelType w:val="hybridMultilevel"/>
    <w:tmpl w:val="06FC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27D5A"/>
    <w:multiLevelType w:val="hybridMultilevel"/>
    <w:tmpl w:val="8174A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CA4CBC"/>
    <w:multiLevelType w:val="multilevel"/>
    <w:tmpl w:val="12FA60AE"/>
    <w:lvl w:ilvl="0">
      <w:start w:val="26"/>
      <w:numFmt w:val="decimal"/>
      <w:lvlText w:val="%1"/>
      <w:lvlJc w:val="left"/>
      <w:pPr>
        <w:tabs>
          <w:tab w:val="num" w:pos="495"/>
        </w:tabs>
        <w:ind w:left="495" w:hanging="495"/>
      </w:pPr>
    </w:lvl>
    <w:lvl w:ilvl="1">
      <w:start w:val="9"/>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nsid w:val="528A4890"/>
    <w:multiLevelType w:val="multilevel"/>
    <w:tmpl w:val="212E694A"/>
    <w:lvl w:ilvl="0">
      <w:start w:val="26"/>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768043C"/>
    <w:multiLevelType w:val="hybridMultilevel"/>
    <w:tmpl w:val="9B626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6C20E6"/>
    <w:multiLevelType w:val="hybridMultilevel"/>
    <w:tmpl w:val="A008FC14"/>
    <w:lvl w:ilvl="0" w:tplc="F38036C6">
      <w:start w:val="1"/>
      <w:numFmt w:val="bullet"/>
      <w:lvlText w:val=""/>
      <w:lvlJc w:val="left"/>
      <w:pPr>
        <w:ind w:left="1494" w:hanging="360"/>
      </w:pPr>
      <w:rPr>
        <w:rFonts w:ascii="Symbol" w:hAnsi="Symbol" w:hint="default"/>
        <w:sz w:val="20"/>
      </w:rPr>
    </w:lvl>
    <w:lvl w:ilvl="1" w:tplc="04090003" w:tentative="1">
      <w:start w:val="1"/>
      <w:numFmt w:val="bullet"/>
      <w:lvlText w:val="o"/>
      <w:lvlJc w:val="left"/>
      <w:pPr>
        <w:ind w:left="2214" w:hanging="360"/>
      </w:pPr>
      <w:rPr>
        <w:rFonts w:ascii="Courier New" w:hAnsi="Courier New" w:cs="Aria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Arial"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Arial" w:hint="default"/>
      </w:rPr>
    </w:lvl>
    <w:lvl w:ilvl="8" w:tplc="04090005" w:tentative="1">
      <w:start w:val="1"/>
      <w:numFmt w:val="bullet"/>
      <w:lvlText w:val=""/>
      <w:lvlJc w:val="left"/>
      <w:pPr>
        <w:ind w:left="7254" w:hanging="360"/>
      </w:pPr>
      <w:rPr>
        <w:rFonts w:ascii="Wingdings" w:hAnsi="Wingdings" w:hint="default"/>
      </w:rPr>
    </w:lvl>
  </w:abstractNum>
  <w:abstractNum w:abstractNumId="28">
    <w:nsid w:val="59642D21"/>
    <w:multiLevelType w:val="hybridMultilevel"/>
    <w:tmpl w:val="35BA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5B7E6B"/>
    <w:multiLevelType w:val="hybridMultilevel"/>
    <w:tmpl w:val="10D04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2120D"/>
    <w:multiLevelType w:val="multilevel"/>
    <w:tmpl w:val="B256FCD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E842707"/>
    <w:multiLevelType w:val="multilevel"/>
    <w:tmpl w:val="FAB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DA1EDD"/>
    <w:multiLevelType w:val="hybridMultilevel"/>
    <w:tmpl w:val="3C0289CA"/>
    <w:lvl w:ilvl="0" w:tplc="73CE43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64C34945"/>
    <w:multiLevelType w:val="multilevel"/>
    <w:tmpl w:val="59E28AAA"/>
    <w:lvl w:ilvl="0">
      <w:start w:val="16"/>
      <w:numFmt w:val="decimal"/>
      <w:lvlText w:val="%1"/>
      <w:lvlJc w:val="left"/>
      <w:pPr>
        <w:tabs>
          <w:tab w:val="num" w:pos="384"/>
        </w:tabs>
        <w:ind w:left="384" w:hanging="384"/>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7143EAF"/>
    <w:multiLevelType w:val="hybridMultilevel"/>
    <w:tmpl w:val="859AC33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C82AFE"/>
    <w:multiLevelType w:val="hybridMultilevel"/>
    <w:tmpl w:val="3CC0EF2E"/>
    <w:lvl w:ilvl="0" w:tplc="0D5858EE">
      <w:start w:val="12"/>
      <w:numFmt w:val="bullet"/>
      <w:lvlText w:val="-"/>
      <w:lvlJc w:val="left"/>
      <w:pPr>
        <w:tabs>
          <w:tab w:val="num" w:pos="1143"/>
        </w:tabs>
        <w:ind w:left="1143" w:hanging="576"/>
      </w:pPr>
      <w:rPr>
        <w:rFonts w:ascii="Garamond" w:eastAsia="Times New Roman" w:hAnsi="Garamond" w:cs="Times New Roman" w:hint="default"/>
      </w:rPr>
    </w:lvl>
    <w:lvl w:ilvl="1" w:tplc="04090003" w:tentative="1">
      <w:start w:val="1"/>
      <w:numFmt w:val="bullet"/>
      <w:lvlText w:val="o"/>
      <w:lvlJc w:val="left"/>
      <w:pPr>
        <w:tabs>
          <w:tab w:val="num" w:pos="1647"/>
        </w:tabs>
        <w:ind w:left="1647" w:hanging="360"/>
      </w:pPr>
      <w:rPr>
        <w:rFonts w:ascii="Courier New" w:hAnsi="Courier New" w:cs="Symbol"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Symbol"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Symbol"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7">
    <w:nsid w:val="6E935187"/>
    <w:multiLevelType w:val="hybridMultilevel"/>
    <w:tmpl w:val="1BC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8440FA"/>
    <w:multiLevelType w:val="multilevel"/>
    <w:tmpl w:val="082CC884"/>
    <w:lvl w:ilvl="0">
      <w:start w:val="14"/>
      <w:numFmt w:val="decimal"/>
      <w:lvlText w:val="%1"/>
      <w:lvlJc w:val="left"/>
      <w:pPr>
        <w:tabs>
          <w:tab w:val="num" w:pos="495"/>
        </w:tabs>
        <w:ind w:left="495" w:hanging="495"/>
      </w:pPr>
    </w:lvl>
    <w:lvl w:ilvl="1">
      <w:start w:val="5"/>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9">
    <w:nsid w:val="73001EA3"/>
    <w:multiLevelType w:val="hybridMultilevel"/>
    <w:tmpl w:val="5470B1F4"/>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115637"/>
    <w:multiLevelType w:val="hybridMultilevel"/>
    <w:tmpl w:val="12767A9A"/>
    <w:lvl w:ilvl="0" w:tplc="CB481C54">
      <w:start w:val="1"/>
      <w:numFmt w:val="low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7E3B665A"/>
    <w:multiLevelType w:val="multilevel"/>
    <w:tmpl w:val="BF584558"/>
    <w:lvl w:ilvl="0">
      <w:start w:val="14"/>
      <w:numFmt w:val="decimal"/>
      <w:lvlText w:val="%1"/>
      <w:lvlJc w:val="left"/>
      <w:pPr>
        <w:tabs>
          <w:tab w:val="num" w:pos="600"/>
        </w:tabs>
        <w:ind w:left="600" w:hanging="600"/>
      </w:pPr>
    </w:lvl>
    <w:lvl w:ilvl="1">
      <w:start w:val="15"/>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39"/>
  </w:num>
  <w:num w:numId="2">
    <w:abstractNumId w:val="20"/>
  </w:num>
  <w:num w:numId="3">
    <w:abstractNumId w:val="23"/>
  </w:num>
  <w:num w:numId="4">
    <w:abstractNumId w:val="15"/>
  </w:num>
  <w:num w:numId="5">
    <w:abstractNumId w:val="30"/>
  </w:num>
  <w:num w:numId="6">
    <w:abstractNumId w:val="36"/>
  </w:num>
  <w:num w:numId="7">
    <w:abstractNumId w:val="8"/>
  </w:num>
  <w:num w:numId="8">
    <w:abstractNumId w:val="6"/>
  </w:num>
  <w:num w:numId="9">
    <w:abstractNumId w:val="14"/>
  </w:num>
  <w:num w:numId="10">
    <w:abstractNumId w:val="3"/>
  </w:num>
  <w:num w:numId="11">
    <w:abstractNumId w:val="34"/>
  </w:num>
  <w:num w:numId="12">
    <w:abstractNumId w:val="40"/>
  </w:num>
  <w:num w:numId="13">
    <w:abstractNumId w:val="7"/>
  </w:num>
  <w:num w:numId="14">
    <w:abstractNumId w:val="5"/>
  </w:num>
  <w:num w:numId="15">
    <w:abstractNumId w:val="16"/>
  </w:num>
  <w:num w:numId="16">
    <w:abstractNumId w:val="33"/>
  </w:num>
  <w:num w:numId="17">
    <w:abstractNumId w:val="25"/>
  </w:num>
  <w:num w:numId="18">
    <w:abstractNumId w:val="38"/>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
  </w:num>
  <w:num w:numId="27">
    <w:abstractNumId w:val="31"/>
  </w:num>
  <w:num w:numId="28">
    <w:abstractNumId w:val="11"/>
  </w:num>
  <w:num w:numId="29">
    <w:abstractNumId w:val="17"/>
  </w:num>
  <w:num w:numId="30">
    <w:abstractNumId w:val="13"/>
  </w:num>
  <w:num w:numId="31">
    <w:abstractNumId w:val="28"/>
  </w:num>
  <w:num w:numId="32">
    <w:abstractNumId w:val="18"/>
  </w:num>
  <w:num w:numId="33">
    <w:abstractNumId w:val="32"/>
  </w:num>
  <w:num w:numId="34">
    <w:abstractNumId w:val="21"/>
  </w:num>
  <w:num w:numId="35">
    <w:abstractNumId w:val="0"/>
  </w:num>
  <w:num w:numId="36">
    <w:abstractNumId w:val="9"/>
  </w:num>
  <w:num w:numId="37">
    <w:abstractNumId w:val="37"/>
  </w:num>
  <w:num w:numId="38">
    <w:abstractNumId w:val="22"/>
  </w:num>
  <w:num w:numId="39">
    <w:abstractNumId w:val="29"/>
  </w:num>
  <w:num w:numId="40">
    <w:abstractNumId w:val="10"/>
  </w:num>
  <w:num w:numId="41">
    <w:abstractNumId w:val="27"/>
  </w:num>
  <w:num w:numId="42">
    <w:abstractNumId w:val="26"/>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851"/>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C34133"/>
    <w:rsid w:val="0000154A"/>
    <w:rsid w:val="00006AED"/>
    <w:rsid w:val="000164C5"/>
    <w:rsid w:val="000476BA"/>
    <w:rsid w:val="000B26D3"/>
    <w:rsid w:val="000C3E5D"/>
    <w:rsid w:val="001667B3"/>
    <w:rsid w:val="001923A5"/>
    <w:rsid w:val="0019401F"/>
    <w:rsid w:val="001E78AC"/>
    <w:rsid w:val="00202D26"/>
    <w:rsid w:val="00211D5E"/>
    <w:rsid w:val="00224233"/>
    <w:rsid w:val="00262C9D"/>
    <w:rsid w:val="00266DB6"/>
    <w:rsid w:val="00285449"/>
    <w:rsid w:val="00290A83"/>
    <w:rsid w:val="002B3ED7"/>
    <w:rsid w:val="002E73A8"/>
    <w:rsid w:val="00314C1E"/>
    <w:rsid w:val="00370EDC"/>
    <w:rsid w:val="0037177E"/>
    <w:rsid w:val="00377A11"/>
    <w:rsid w:val="003B7B1C"/>
    <w:rsid w:val="003F309D"/>
    <w:rsid w:val="003F7A3B"/>
    <w:rsid w:val="00410F5A"/>
    <w:rsid w:val="00444DD4"/>
    <w:rsid w:val="00491EBE"/>
    <w:rsid w:val="004E0855"/>
    <w:rsid w:val="00503351"/>
    <w:rsid w:val="005532CA"/>
    <w:rsid w:val="00554FED"/>
    <w:rsid w:val="005626F0"/>
    <w:rsid w:val="005837A9"/>
    <w:rsid w:val="00584581"/>
    <w:rsid w:val="00597401"/>
    <w:rsid w:val="005C1815"/>
    <w:rsid w:val="0060511B"/>
    <w:rsid w:val="0062018C"/>
    <w:rsid w:val="00684539"/>
    <w:rsid w:val="006A00F3"/>
    <w:rsid w:val="006B5AD8"/>
    <w:rsid w:val="006C1BBB"/>
    <w:rsid w:val="006F53E8"/>
    <w:rsid w:val="00701508"/>
    <w:rsid w:val="0072177A"/>
    <w:rsid w:val="007242AE"/>
    <w:rsid w:val="00743FD2"/>
    <w:rsid w:val="007528A3"/>
    <w:rsid w:val="00755F2C"/>
    <w:rsid w:val="007654CB"/>
    <w:rsid w:val="00770B39"/>
    <w:rsid w:val="007C28D1"/>
    <w:rsid w:val="007C5B75"/>
    <w:rsid w:val="007D4EA1"/>
    <w:rsid w:val="007E33B7"/>
    <w:rsid w:val="007E3A65"/>
    <w:rsid w:val="007F00A9"/>
    <w:rsid w:val="007F2E09"/>
    <w:rsid w:val="007F3614"/>
    <w:rsid w:val="00811D49"/>
    <w:rsid w:val="00812D10"/>
    <w:rsid w:val="0085607E"/>
    <w:rsid w:val="00866C39"/>
    <w:rsid w:val="008B1E86"/>
    <w:rsid w:val="008D6FBA"/>
    <w:rsid w:val="008E1ADA"/>
    <w:rsid w:val="008E5000"/>
    <w:rsid w:val="00903D03"/>
    <w:rsid w:val="00920234"/>
    <w:rsid w:val="009318AD"/>
    <w:rsid w:val="00950216"/>
    <w:rsid w:val="00976F71"/>
    <w:rsid w:val="009773EC"/>
    <w:rsid w:val="009927F7"/>
    <w:rsid w:val="0099383D"/>
    <w:rsid w:val="00995981"/>
    <w:rsid w:val="009F2B0C"/>
    <w:rsid w:val="00A008E8"/>
    <w:rsid w:val="00A072F1"/>
    <w:rsid w:val="00A15498"/>
    <w:rsid w:val="00A5446F"/>
    <w:rsid w:val="00A61644"/>
    <w:rsid w:val="00A70EE4"/>
    <w:rsid w:val="00A86E76"/>
    <w:rsid w:val="00A91525"/>
    <w:rsid w:val="00A9650E"/>
    <w:rsid w:val="00AA4A7C"/>
    <w:rsid w:val="00AA5278"/>
    <w:rsid w:val="00AB59FF"/>
    <w:rsid w:val="00AC6FAA"/>
    <w:rsid w:val="00AE6645"/>
    <w:rsid w:val="00AF520E"/>
    <w:rsid w:val="00B23030"/>
    <w:rsid w:val="00B32337"/>
    <w:rsid w:val="00B34ADA"/>
    <w:rsid w:val="00B44A64"/>
    <w:rsid w:val="00BE5946"/>
    <w:rsid w:val="00C34133"/>
    <w:rsid w:val="00C468E6"/>
    <w:rsid w:val="00C60110"/>
    <w:rsid w:val="00C8563F"/>
    <w:rsid w:val="00C94FA8"/>
    <w:rsid w:val="00CF17CC"/>
    <w:rsid w:val="00D0568E"/>
    <w:rsid w:val="00D12369"/>
    <w:rsid w:val="00DA678C"/>
    <w:rsid w:val="00DC7529"/>
    <w:rsid w:val="00DF4E55"/>
    <w:rsid w:val="00E33904"/>
    <w:rsid w:val="00E60DC9"/>
    <w:rsid w:val="00E62F99"/>
    <w:rsid w:val="00EA549C"/>
    <w:rsid w:val="00EB63F1"/>
    <w:rsid w:val="00ED3823"/>
    <w:rsid w:val="00ED53F4"/>
    <w:rsid w:val="00ED7B50"/>
    <w:rsid w:val="00EE4AC8"/>
    <w:rsid w:val="00F1081B"/>
    <w:rsid w:val="00F36482"/>
    <w:rsid w:val="00FC3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4A"/>
    <w:rPr>
      <w:sz w:val="24"/>
      <w:szCs w:val="24"/>
      <w:lang w:val="en-US" w:eastAsia="en-US"/>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uiPriority w:val="99"/>
    <w:rsid w:val="002F381C"/>
    <w:pPr>
      <w:tabs>
        <w:tab w:val="center" w:pos="4320"/>
        <w:tab w:val="right" w:pos="8640"/>
      </w:tabs>
    </w:pPr>
  </w:style>
  <w:style w:type="paragraph" w:styleId="EndnoteText">
    <w:name w:val="endnote text"/>
    <w:basedOn w:val="Normal"/>
    <w:link w:val="EndnoteTextChar"/>
    <w:rsid w:val="00E536CA"/>
    <w:rPr>
      <w:sz w:val="20"/>
      <w:szCs w:val="20"/>
    </w:rPr>
  </w:style>
  <w:style w:type="character" w:customStyle="1" w:styleId="EndnoteTextChar">
    <w:name w:val="Endnote Text Char"/>
    <w:basedOn w:val="DefaultParagraphFont"/>
    <w:link w:val="EndnoteText"/>
    <w:rsid w:val="00E536CA"/>
  </w:style>
  <w:style w:type="character" w:styleId="EndnoteReference">
    <w:name w:val="endnote reference"/>
    <w:basedOn w:val="DefaultParagraphFont"/>
    <w:rsid w:val="00E536CA"/>
    <w:rPr>
      <w:vertAlign w:val="superscript"/>
    </w:rPr>
  </w:style>
  <w:style w:type="paragraph" w:customStyle="1" w:styleId="Default">
    <w:name w:val="Default"/>
    <w:rsid w:val="00E536CA"/>
    <w:pPr>
      <w:autoSpaceDE w:val="0"/>
      <w:autoSpaceDN w:val="0"/>
      <w:adjustRightInd w:val="0"/>
    </w:pPr>
    <w:rPr>
      <w:color w:val="000000"/>
      <w:sz w:val="24"/>
      <w:szCs w:val="24"/>
      <w:lang w:val="en-US" w:eastAsia="en-US"/>
    </w:rPr>
  </w:style>
  <w:style w:type="paragraph" w:customStyle="1" w:styleId="MediumGrid1-Accent21">
    <w:name w:val="Medium Grid 1 - Accent 21"/>
    <w:basedOn w:val="Normal"/>
    <w:uiPriority w:val="34"/>
    <w:qFormat/>
    <w:rsid w:val="00FF77D6"/>
    <w:pPr>
      <w:ind w:left="720"/>
    </w:pPr>
  </w:style>
  <w:style w:type="table" w:styleId="TableGrid">
    <w:name w:val="Table Grid"/>
    <w:basedOn w:val="TableNormal"/>
    <w:rsid w:val="00053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26EFC"/>
    <w:rPr>
      <w:b/>
      <w:bCs/>
      <w:i w:val="0"/>
      <w:iCs w:val="0"/>
    </w:rPr>
  </w:style>
  <w:style w:type="character" w:customStyle="1" w:styleId="st1">
    <w:name w:val="st1"/>
    <w:basedOn w:val="DefaultParagraphFont"/>
    <w:rsid w:val="00326EFC"/>
  </w:style>
  <w:style w:type="character" w:styleId="Hyperlink">
    <w:name w:val="Hyperlink"/>
    <w:basedOn w:val="DefaultParagraphFont"/>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sz w:val="24"/>
      <w:szCs w:val="24"/>
      <w:lang w:val="en-US" w:eastAsia="en-US"/>
    </w:rPr>
  </w:style>
  <w:style w:type="paragraph" w:styleId="Revision">
    <w:name w:val="Revision"/>
    <w:hidden/>
    <w:uiPriority w:val="99"/>
    <w:semiHidden/>
    <w:rsid w:val="007242AE"/>
    <w:rPr>
      <w:sz w:val="24"/>
      <w:szCs w:val="24"/>
      <w:lang w:val="en-US" w:eastAsia="en-US"/>
    </w:rPr>
  </w:style>
  <w:style w:type="paragraph" w:styleId="ListParagraph">
    <w:name w:val="List Paragraph"/>
    <w:basedOn w:val="Normal"/>
    <w:uiPriority w:val="34"/>
    <w:qFormat/>
    <w:rsid w:val="00E33904"/>
    <w:pPr>
      <w:ind w:left="720"/>
    </w:pPr>
  </w:style>
  <w:style w:type="character" w:customStyle="1" w:styleId="HeaderChar">
    <w:name w:val="Header Char"/>
    <w:basedOn w:val="DefaultParagraphFont"/>
    <w:link w:val="Header"/>
    <w:uiPriority w:val="99"/>
    <w:rsid w:val="00C94F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4A"/>
    <w:rPr>
      <w:sz w:val="24"/>
      <w:szCs w:val="24"/>
      <w:lang w:val="en-US" w:eastAsia="en-US"/>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uiPriority w:val="99"/>
    <w:rsid w:val="002F381C"/>
    <w:pPr>
      <w:tabs>
        <w:tab w:val="center" w:pos="4320"/>
        <w:tab w:val="right" w:pos="8640"/>
      </w:tabs>
    </w:pPr>
  </w:style>
  <w:style w:type="paragraph" w:styleId="EndnoteText">
    <w:name w:val="endnote text"/>
    <w:basedOn w:val="Normal"/>
    <w:link w:val="EndnoteTextChar"/>
    <w:rsid w:val="00E536CA"/>
    <w:rPr>
      <w:sz w:val="20"/>
      <w:szCs w:val="20"/>
    </w:rPr>
  </w:style>
  <w:style w:type="character" w:customStyle="1" w:styleId="EndnoteTextChar">
    <w:name w:val="Endnote Text Char"/>
    <w:basedOn w:val="DefaultParagraphFont"/>
    <w:link w:val="EndnoteText"/>
    <w:rsid w:val="00E536CA"/>
  </w:style>
  <w:style w:type="character" w:styleId="EndnoteReference">
    <w:name w:val="endnote reference"/>
    <w:basedOn w:val="DefaultParagraphFont"/>
    <w:rsid w:val="00E536CA"/>
    <w:rPr>
      <w:vertAlign w:val="superscript"/>
    </w:rPr>
  </w:style>
  <w:style w:type="paragraph" w:customStyle="1" w:styleId="Default">
    <w:name w:val="Default"/>
    <w:rsid w:val="00E536CA"/>
    <w:pPr>
      <w:autoSpaceDE w:val="0"/>
      <w:autoSpaceDN w:val="0"/>
      <w:adjustRightInd w:val="0"/>
    </w:pPr>
    <w:rPr>
      <w:color w:val="000000"/>
      <w:sz w:val="24"/>
      <w:szCs w:val="24"/>
      <w:lang w:val="en-US" w:eastAsia="en-US"/>
    </w:rPr>
  </w:style>
  <w:style w:type="paragraph" w:customStyle="1" w:styleId="MediumGrid1-Accent21">
    <w:name w:val="Medium Grid 1 - Accent 21"/>
    <w:basedOn w:val="Normal"/>
    <w:uiPriority w:val="34"/>
    <w:qFormat/>
    <w:rsid w:val="00FF77D6"/>
    <w:pPr>
      <w:ind w:left="720"/>
    </w:pPr>
  </w:style>
  <w:style w:type="table" w:styleId="TableGrid">
    <w:name w:val="Table Grid"/>
    <w:basedOn w:val="TableNormal"/>
    <w:rsid w:val="00053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26EFC"/>
    <w:rPr>
      <w:b/>
      <w:bCs/>
      <w:i w:val="0"/>
      <w:iCs w:val="0"/>
    </w:rPr>
  </w:style>
  <w:style w:type="character" w:customStyle="1" w:styleId="st1">
    <w:name w:val="st1"/>
    <w:basedOn w:val="DefaultParagraphFont"/>
    <w:rsid w:val="00326EFC"/>
  </w:style>
  <w:style w:type="character" w:styleId="Hyperlink">
    <w:name w:val="Hyperlink"/>
    <w:basedOn w:val="DefaultParagraphFont"/>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sz w:val="24"/>
      <w:szCs w:val="24"/>
      <w:lang w:val="en-US" w:eastAsia="en-US"/>
    </w:rPr>
  </w:style>
  <w:style w:type="paragraph" w:styleId="Revision">
    <w:name w:val="Revision"/>
    <w:hidden/>
    <w:uiPriority w:val="99"/>
    <w:semiHidden/>
    <w:rsid w:val="007242AE"/>
    <w:rPr>
      <w:sz w:val="24"/>
      <w:szCs w:val="24"/>
      <w:lang w:val="en-US" w:eastAsia="en-US"/>
    </w:rPr>
  </w:style>
  <w:style w:type="paragraph" w:styleId="ListParagraph">
    <w:name w:val="List Paragraph"/>
    <w:basedOn w:val="Normal"/>
    <w:uiPriority w:val="34"/>
    <w:qFormat/>
    <w:rsid w:val="00E33904"/>
    <w:pPr>
      <w:ind w:left="720"/>
    </w:pPr>
  </w:style>
  <w:style w:type="character" w:customStyle="1" w:styleId="HeaderChar">
    <w:name w:val="Header Char"/>
    <w:basedOn w:val="DefaultParagraphFont"/>
    <w:link w:val="Header"/>
    <w:uiPriority w:val="99"/>
    <w:rsid w:val="00C94FA8"/>
    <w:rPr>
      <w:sz w:val="24"/>
      <w:szCs w:val="24"/>
    </w:rPr>
  </w:style>
</w:styles>
</file>

<file path=word/webSettings.xml><?xml version="1.0" encoding="utf-8"?>
<w:webSettings xmlns:r="http://schemas.openxmlformats.org/officeDocument/2006/relationships" xmlns:w="http://schemas.openxmlformats.org/wordprocessingml/2006/main">
  <w:divs>
    <w:div w:id="32584290">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200752381">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17009150">
      <w:bodyDiv w:val="1"/>
      <w:marLeft w:val="0"/>
      <w:marRight w:val="0"/>
      <w:marTop w:val="0"/>
      <w:marBottom w:val="0"/>
      <w:divBdr>
        <w:top w:val="none" w:sz="0" w:space="0" w:color="auto"/>
        <w:left w:val="none" w:sz="0" w:space="0" w:color="auto"/>
        <w:bottom w:val="none" w:sz="0" w:space="0" w:color="auto"/>
        <w:right w:val="none" w:sz="0" w:space="0" w:color="auto"/>
      </w:divBdr>
    </w:div>
    <w:div w:id="281348213">
      <w:bodyDiv w:val="1"/>
      <w:marLeft w:val="0"/>
      <w:marRight w:val="0"/>
      <w:marTop w:val="0"/>
      <w:marBottom w:val="0"/>
      <w:divBdr>
        <w:top w:val="none" w:sz="0" w:space="0" w:color="auto"/>
        <w:left w:val="none" w:sz="0" w:space="0" w:color="auto"/>
        <w:bottom w:val="none" w:sz="0" w:space="0" w:color="auto"/>
        <w:right w:val="none" w:sz="0" w:space="0" w:color="auto"/>
      </w:divBdr>
    </w:div>
    <w:div w:id="282543176">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65181108">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10590676">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522549165">
      <w:bodyDiv w:val="1"/>
      <w:marLeft w:val="0"/>
      <w:marRight w:val="0"/>
      <w:marTop w:val="0"/>
      <w:marBottom w:val="0"/>
      <w:divBdr>
        <w:top w:val="none" w:sz="0" w:space="0" w:color="auto"/>
        <w:left w:val="none" w:sz="0" w:space="0" w:color="auto"/>
        <w:bottom w:val="none" w:sz="0" w:space="0" w:color="auto"/>
        <w:right w:val="none" w:sz="0" w:space="0" w:color="auto"/>
      </w:divBdr>
    </w:div>
    <w:div w:id="557086509">
      <w:bodyDiv w:val="1"/>
      <w:marLeft w:val="0"/>
      <w:marRight w:val="0"/>
      <w:marTop w:val="0"/>
      <w:marBottom w:val="0"/>
      <w:divBdr>
        <w:top w:val="none" w:sz="0" w:space="0" w:color="auto"/>
        <w:left w:val="none" w:sz="0" w:space="0" w:color="auto"/>
        <w:bottom w:val="none" w:sz="0" w:space="0" w:color="auto"/>
        <w:right w:val="none" w:sz="0" w:space="0" w:color="auto"/>
      </w:divBdr>
    </w:div>
    <w:div w:id="573515209">
      <w:bodyDiv w:val="1"/>
      <w:marLeft w:val="0"/>
      <w:marRight w:val="0"/>
      <w:marTop w:val="0"/>
      <w:marBottom w:val="0"/>
      <w:divBdr>
        <w:top w:val="none" w:sz="0" w:space="0" w:color="auto"/>
        <w:left w:val="none" w:sz="0" w:space="0" w:color="auto"/>
        <w:bottom w:val="none" w:sz="0" w:space="0" w:color="auto"/>
        <w:right w:val="none" w:sz="0" w:space="0" w:color="auto"/>
      </w:divBdr>
    </w:div>
    <w:div w:id="581333202">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30794511">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812991381">
      <w:bodyDiv w:val="1"/>
      <w:marLeft w:val="0"/>
      <w:marRight w:val="0"/>
      <w:marTop w:val="0"/>
      <w:marBottom w:val="0"/>
      <w:divBdr>
        <w:top w:val="none" w:sz="0" w:space="0" w:color="auto"/>
        <w:left w:val="none" w:sz="0" w:space="0" w:color="auto"/>
        <w:bottom w:val="none" w:sz="0" w:space="0" w:color="auto"/>
        <w:right w:val="none" w:sz="0" w:space="0" w:color="auto"/>
      </w:divBdr>
    </w:div>
    <w:div w:id="867986603">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47008464">
      <w:bodyDiv w:val="1"/>
      <w:marLeft w:val="0"/>
      <w:marRight w:val="0"/>
      <w:marTop w:val="0"/>
      <w:marBottom w:val="0"/>
      <w:divBdr>
        <w:top w:val="none" w:sz="0" w:space="0" w:color="auto"/>
        <w:left w:val="none" w:sz="0" w:space="0" w:color="auto"/>
        <w:bottom w:val="none" w:sz="0" w:space="0" w:color="auto"/>
        <w:right w:val="none" w:sz="0" w:space="0" w:color="auto"/>
      </w:divBdr>
    </w:div>
    <w:div w:id="958605121">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028141021">
      <w:bodyDiv w:val="1"/>
      <w:marLeft w:val="0"/>
      <w:marRight w:val="0"/>
      <w:marTop w:val="0"/>
      <w:marBottom w:val="0"/>
      <w:divBdr>
        <w:top w:val="none" w:sz="0" w:space="0" w:color="auto"/>
        <w:left w:val="none" w:sz="0" w:space="0" w:color="auto"/>
        <w:bottom w:val="none" w:sz="0" w:space="0" w:color="auto"/>
        <w:right w:val="none" w:sz="0" w:space="0" w:color="auto"/>
      </w:divBdr>
    </w:div>
    <w:div w:id="1053427403">
      <w:bodyDiv w:val="1"/>
      <w:marLeft w:val="0"/>
      <w:marRight w:val="0"/>
      <w:marTop w:val="0"/>
      <w:marBottom w:val="0"/>
      <w:divBdr>
        <w:top w:val="none" w:sz="0" w:space="0" w:color="auto"/>
        <w:left w:val="none" w:sz="0" w:space="0" w:color="auto"/>
        <w:bottom w:val="none" w:sz="0" w:space="0" w:color="auto"/>
        <w:right w:val="none" w:sz="0" w:space="0" w:color="auto"/>
      </w:divBdr>
    </w:div>
    <w:div w:id="1068303164">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173447090">
      <w:bodyDiv w:val="1"/>
      <w:marLeft w:val="0"/>
      <w:marRight w:val="0"/>
      <w:marTop w:val="0"/>
      <w:marBottom w:val="0"/>
      <w:divBdr>
        <w:top w:val="none" w:sz="0" w:space="0" w:color="auto"/>
        <w:left w:val="none" w:sz="0" w:space="0" w:color="auto"/>
        <w:bottom w:val="none" w:sz="0" w:space="0" w:color="auto"/>
        <w:right w:val="none" w:sz="0" w:space="0" w:color="auto"/>
      </w:divBdr>
    </w:div>
    <w:div w:id="1235123282">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7423137">
      <w:bodyDiv w:val="1"/>
      <w:marLeft w:val="0"/>
      <w:marRight w:val="0"/>
      <w:marTop w:val="0"/>
      <w:marBottom w:val="0"/>
      <w:divBdr>
        <w:top w:val="none" w:sz="0" w:space="0" w:color="auto"/>
        <w:left w:val="none" w:sz="0" w:space="0" w:color="auto"/>
        <w:bottom w:val="none" w:sz="0" w:space="0" w:color="auto"/>
        <w:right w:val="none" w:sz="0" w:space="0" w:color="auto"/>
      </w:divBdr>
    </w:div>
    <w:div w:id="1302150161">
      <w:bodyDiv w:val="1"/>
      <w:marLeft w:val="0"/>
      <w:marRight w:val="0"/>
      <w:marTop w:val="0"/>
      <w:marBottom w:val="0"/>
      <w:divBdr>
        <w:top w:val="none" w:sz="0" w:space="0" w:color="auto"/>
        <w:left w:val="none" w:sz="0" w:space="0" w:color="auto"/>
        <w:bottom w:val="none" w:sz="0" w:space="0" w:color="auto"/>
        <w:right w:val="none" w:sz="0" w:space="0" w:color="auto"/>
      </w:divBdr>
    </w:div>
    <w:div w:id="1307588712">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3025853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356228259">
      <w:bodyDiv w:val="1"/>
      <w:marLeft w:val="0"/>
      <w:marRight w:val="0"/>
      <w:marTop w:val="0"/>
      <w:marBottom w:val="0"/>
      <w:divBdr>
        <w:top w:val="none" w:sz="0" w:space="0" w:color="auto"/>
        <w:left w:val="none" w:sz="0" w:space="0" w:color="auto"/>
        <w:bottom w:val="none" w:sz="0" w:space="0" w:color="auto"/>
        <w:right w:val="none" w:sz="0" w:space="0" w:color="auto"/>
      </w:divBdr>
    </w:div>
    <w:div w:id="1430198083">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601717442">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4230679">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718779598">
      <w:bodyDiv w:val="1"/>
      <w:marLeft w:val="0"/>
      <w:marRight w:val="0"/>
      <w:marTop w:val="0"/>
      <w:marBottom w:val="0"/>
      <w:divBdr>
        <w:top w:val="none" w:sz="0" w:space="0" w:color="auto"/>
        <w:left w:val="none" w:sz="0" w:space="0" w:color="auto"/>
        <w:bottom w:val="none" w:sz="0" w:space="0" w:color="auto"/>
        <w:right w:val="none" w:sz="0" w:space="0" w:color="auto"/>
      </w:divBdr>
    </w:div>
    <w:div w:id="1888178797">
      <w:bodyDiv w:val="1"/>
      <w:marLeft w:val="0"/>
      <w:marRight w:val="0"/>
      <w:marTop w:val="0"/>
      <w:marBottom w:val="0"/>
      <w:divBdr>
        <w:top w:val="none" w:sz="0" w:space="0" w:color="auto"/>
        <w:left w:val="none" w:sz="0" w:space="0" w:color="auto"/>
        <w:bottom w:val="none" w:sz="0" w:space="0" w:color="auto"/>
        <w:right w:val="none" w:sz="0" w:space="0" w:color="auto"/>
      </w:divBdr>
    </w:div>
    <w:div w:id="1896157825">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2028865395">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 w:id="21425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4185B-9680-4909-8C92-719CE0B6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1607</Words>
  <Characters>8515</Characters>
  <Application>Microsoft Office Word</Application>
  <DocSecurity>0</DocSecurity>
  <Lines>70</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Memorandum of Understanding</vt:lpstr>
      <vt:lpstr>Memorandum of Understanding</vt:lpstr>
    </vt:vector>
  </TitlesOfParts>
  <Company>IUCN</Company>
  <LinksUpToDate>false</LinksUpToDate>
  <CharactersWithSpaces>10102</CharactersWithSpaces>
  <SharedDoc>false</SharedDoc>
  <HLinks>
    <vt:vector size="6" baseType="variant">
      <vt:variant>
        <vt:i4>2949183</vt:i4>
      </vt:variant>
      <vt:variant>
        <vt:i4>3</vt:i4>
      </vt:variant>
      <vt:variant>
        <vt:i4>0</vt:i4>
      </vt:variant>
      <vt:variant>
        <vt:i4>5</vt:i4>
      </vt:variant>
      <vt:variant>
        <vt:lpwstr>http://apps.who.int/gb/fctc/PDF/cop5/FCTC_COP5_21-en.pdf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Marsel Kuzyakov</dc:creator>
  <cp:lastModifiedBy>Ramsar\JenningsE</cp:lastModifiedBy>
  <cp:revision>4</cp:revision>
  <cp:lastPrinted>2014-12-10T20:55:00Z</cp:lastPrinted>
  <dcterms:created xsi:type="dcterms:W3CDTF">2015-01-05T10:01:00Z</dcterms:created>
  <dcterms:modified xsi:type="dcterms:W3CDTF">2015-01-05T10:05:00Z</dcterms:modified>
</cp:coreProperties>
</file>