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888" w:rsidRPr="003C6890" w:rsidRDefault="00F25888" w:rsidP="00E42F46">
      <w:pPr>
        <w:pBdr>
          <w:top w:val="single" w:sz="12" w:space="0" w:color="auto" w:shadow="1"/>
          <w:left w:val="single" w:sz="12" w:space="4" w:color="auto" w:shadow="1"/>
          <w:bottom w:val="single" w:sz="12" w:space="1" w:color="auto" w:shadow="1"/>
          <w:right w:val="single" w:sz="12" w:space="0" w:color="auto" w:shadow="1"/>
        </w:pBdr>
        <w:spacing w:after="0" w:line="240" w:lineRule="auto"/>
        <w:ind w:right="2792"/>
        <w:jc w:val="left"/>
        <w:rPr>
          <w:rFonts w:cs="Calibri"/>
          <w:bCs/>
          <w:sz w:val="24"/>
          <w:szCs w:val="20"/>
          <w:lang w:val="fr-CA" w:eastAsia="en-GB"/>
        </w:rPr>
      </w:pPr>
      <w:r w:rsidRPr="003C6890">
        <w:rPr>
          <w:rFonts w:cs="Calibri"/>
          <w:bCs/>
          <w:sz w:val="24"/>
          <w:szCs w:val="20"/>
          <w:lang w:val="fr-CA" w:eastAsia="en-GB"/>
        </w:rPr>
        <w:t xml:space="preserve">CONVENTION </w:t>
      </w:r>
      <w:r>
        <w:rPr>
          <w:rFonts w:cs="Calibri"/>
          <w:bCs/>
          <w:sz w:val="24"/>
          <w:szCs w:val="20"/>
          <w:lang w:val="fr-CA" w:eastAsia="en-GB"/>
        </w:rPr>
        <w:t>SUR LES ZONES HUMIDES</w:t>
      </w:r>
      <w:r w:rsidRPr="003C6890">
        <w:rPr>
          <w:rFonts w:cs="Calibri"/>
          <w:bCs/>
          <w:sz w:val="24"/>
          <w:szCs w:val="20"/>
          <w:lang w:val="fr-CA" w:eastAsia="en-GB"/>
        </w:rPr>
        <w:t xml:space="preserve"> (Ramsar, Iran, 1971)</w:t>
      </w:r>
    </w:p>
    <w:p w:rsidR="00F25888" w:rsidRPr="003C6890" w:rsidRDefault="00F25888" w:rsidP="00E42F46">
      <w:pPr>
        <w:pBdr>
          <w:top w:val="single" w:sz="12" w:space="0" w:color="auto" w:shadow="1"/>
          <w:left w:val="single" w:sz="12" w:space="4" w:color="auto" w:shadow="1"/>
          <w:bottom w:val="single" w:sz="12" w:space="1" w:color="auto" w:shadow="1"/>
          <w:right w:val="single" w:sz="12" w:space="0" w:color="auto" w:shadow="1"/>
        </w:pBdr>
        <w:spacing w:after="0" w:line="240" w:lineRule="auto"/>
        <w:ind w:right="2792"/>
        <w:jc w:val="left"/>
        <w:rPr>
          <w:rFonts w:cs="Calibri"/>
          <w:bCs/>
          <w:sz w:val="24"/>
          <w:szCs w:val="20"/>
          <w:lang w:val="fr-CA" w:eastAsia="en-GB"/>
        </w:rPr>
      </w:pPr>
      <w:r w:rsidRPr="003C6890">
        <w:rPr>
          <w:rFonts w:cs="Calibri"/>
          <w:bCs/>
          <w:sz w:val="24"/>
          <w:szCs w:val="20"/>
          <w:lang w:val="fr-CA" w:eastAsia="en-GB"/>
        </w:rPr>
        <w:t>48</w:t>
      </w:r>
      <w:r>
        <w:rPr>
          <w:rFonts w:cs="Calibri"/>
          <w:bCs/>
          <w:sz w:val="24"/>
          <w:szCs w:val="20"/>
          <w:vertAlign w:val="superscript"/>
          <w:lang w:val="fr-CA" w:eastAsia="en-GB"/>
        </w:rPr>
        <w:t>e</w:t>
      </w:r>
      <w:r>
        <w:rPr>
          <w:rFonts w:cs="Calibri"/>
          <w:bCs/>
          <w:sz w:val="24"/>
          <w:szCs w:val="20"/>
          <w:lang w:val="fr-CA" w:eastAsia="en-GB"/>
        </w:rPr>
        <w:t xml:space="preserve"> Réunion du Comité permanent</w:t>
      </w:r>
    </w:p>
    <w:p w:rsidR="00F25888" w:rsidRPr="003C6890" w:rsidRDefault="00F25888" w:rsidP="00E42F46">
      <w:pPr>
        <w:pBdr>
          <w:top w:val="single" w:sz="12" w:space="0" w:color="auto" w:shadow="1"/>
          <w:left w:val="single" w:sz="12" w:space="4" w:color="auto" w:shadow="1"/>
          <w:bottom w:val="single" w:sz="12" w:space="1" w:color="auto" w:shadow="1"/>
          <w:right w:val="single" w:sz="12" w:space="0" w:color="auto" w:shadow="1"/>
        </w:pBdr>
        <w:spacing w:after="0" w:line="240" w:lineRule="auto"/>
        <w:ind w:right="2792"/>
        <w:jc w:val="left"/>
        <w:rPr>
          <w:rFonts w:cs="Calibri"/>
          <w:bCs/>
          <w:sz w:val="24"/>
          <w:szCs w:val="20"/>
          <w:lang w:val="fr-CA" w:eastAsia="en-GB"/>
        </w:rPr>
      </w:pPr>
      <w:r w:rsidRPr="003C6890">
        <w:rPr>
          <w:rFonts w:cs="Calibri"/>
          <w:bCs/>
          <w:sz w:val="24"/>
          <w:szCs w:val="20"/>
          <w:lang w:val="fr-CA" w:eastAsia="en-GB"/>
        </w:rPr>
        <w:t xml:space="preserve">Gland, </w:t>
      </w:r>
      <w:r>
        <w:rPr>
          <w:rFonts w:cs="Calibri"/>
          <w:bCs/>
          <w:sz w:val="24"/>
          <w:szCs w:val="20"/>
          <w:lang w:val="fr-CA" w:eastAsia="en-GB"/>
        </w:rPr>
        <w:t>Suisse</w:t>
      </w:r>
      <w:r w:rsidRPr="003C6890">
        <w:rPr>
          <w:rFonts w:cs="Calibri"/>
          <w:bCs/>
          <w:sz w:val="24"/>
          <w:szCs w:val="20"/>
          <w:lang w:val="fr-CA" w:eastAsia="en-GB"/>
        </w:rPr>
        <w:t>, 2</w:t>
      </w:r>
      <w:r w:rsidR="008C7C94">
        <w:rPr>
          <w:rFonts w:cs="Calibri"/>
          <w:bCs/>
          <w:sz w:val="24"/>
          <w:szCs w:val="20"/>
          <w:lang w:val="fr-CA" w:eastAsia="en-GB"/>
        </w:rPr>
        <w:t>6</w:t>
      </w:r>
      <w:r w:rsidRPr="003C6890">
        <w:rPr>
          <w:rFonts w:cs="Calibri"/>
          <w:bCs/>
          <w:sz w:val="24"/>
          <w:szCs w:val="20"/>
          <w:lang w:val="fr-CA" w:eastAsia="en-GB"/>
        </w:rPr>
        <w:t>–</w:t>
      </w:r>
      <w:r w:rsidR="008C7C94">
        <w:rPr>
          <w:rFonts w:cs="Calibri"/>
          <w:bCs/>
          <w:sz w:val="24"/>
          <w:szCs w:val="20"/>
          <w:lang w:val="fr-CA" w:eastAsia="en-GB"/>
        </w:rPr>
        <w:t>30</w:t>
      </w:r>
      <w:r w:rsidRPr="003C6890">
        <w:rPr>
          <w:rFonts w:cs="Calibri"/>
          <w:bCs/>
          <w:sz w:val="24"/>
          <w:szCs w:val="20"/>
          <w:lang w:val="fr-CA" w:eastAsia="en-GB"/>
        </w:rPr>
        <w:t xml:space="preserve"> </w:t>
      </w:r>
      <w:r>
        <w:rPr>
          <w:rFonts w:cs="Calibri"/>
          <w:bCs/>
          <w:sz w:val="24"/>
          <w:szCs w:val="20"/>
          <w:lang w:val="fr-CA" w:eastAsia="en-GB"/>
        </w:rPr>
        <w:t>janvier</w:t>
      </w:r>
      <w:r w:rsidRPr="003C6890">
        <w:rPr>
          <w:rFonts w:cs="Calibri"/>
          <w:bCs/>
          <w:sz w:val="24"/>
          <w:szCs w:val="20"/>
          <w:lang w:val="fr-CA" w:eastAsia="en-GB"/>
        </w:rPr>
        <w:t xml:space="preserve"> 2015</w:t>
      </w:r>
    </w:p>
    <w:p w:rsidR="00F25888" w:rsidRPr="003C6890" w:rsidRDefault="00F25888" w:rsidP="00E42F46">
      <w:pPr>
        <w:spacing w:after="0" w:line="240" w:lineRule="auto"/>
        <w:jc w:val="right"/>
        <w:rPr>
          <w:rFonts w:cs="Calibri"/>
          <w:b/>
          <w:sz w:val="32"/>
          <w:szCs w:val="32"/>
          <w:lang w:val="fr-CA" w:eastAsia="en-GB"/>
        </w:rPr>
      </w:pPr>
    </w:p>
    <w:p w:rsidR="00F25888" w:rsidRPr="003C6890" w:rsidRDefault="00F25888" w:rsidP="00E42F46">
      <w:pPr>
        <w:spacing w:after="0" w:line="240" w:lineRule="auto"/>
        <w:jc w:val="right"/>
        <w:rPr>
          <w:rFonts w:cs="Calibri"/>
          <w:b/>
          <w:sz w:val="28"/>
          <w:szCs w:val="28"/>
          <w:lang w:val="fr-CA" w:eastAsia="en-GB"/>
        </w:rPr>
      </w:pPr>
      <w:r w:rsidRPr="003C6890">
        <w:rPr>
          <w:rFonts w:cs="Calibri"/>
          <w:b/>
          <w:sz w:val="28"/>
          <w:szCs w:val="28"/>
          <w:lang w:val="fr-CA" w:eastAsia="en-GB"/>
        </w:rPr>
        <w:t>SC48-0</w:t>
      </w:r>
      <w:r w:rsidR="008C7C94">
        <w:rPr>
          <w:rFonts w:cs="Calibri"/>
          <w:b/>
          <w:sz w:val="28"/>
          <w:szCs w:val="28"/>
          <w:lang w:val="fr-CA" w:eastAsia="en-GB"/>
        </w:rPr>
        <w:t>5</w:t>
      </w:r>
    </w:p>
    <w:p w:rsidR="00F25888" w:rsidRPr="003C6890" w:rsidRDefault="00F25888" w:rsidP="00E42F46">
      <w:pPr>
        <w:spacing w:after="0" w:line="240" w:lineRule="auto"/>
        <w:jc w:val="right"/>
        <w:rPr>
          <w:rFonts w:cs="Calibri"/>
          <w:b/>
          <w:sz w:val="28"/>
          <w:szCs w:val="28"/>
          <w:lang w:val="fr-CA" w:eastAsia="en-GB"/>
        </w:rPr>
      </w:pPr>
    </w:p>
    <w:p w:rsidR="00F25888" w:rsidRPr="003C6890" w:rsidRDefault="00F25888" w:rsidP="00E42F46">
      <w:pPr>
        <w:suppressAutoHyphens/>
        <w:spacing w:after="0" w:line="240" w:lineRule="auto"/>
        <w:jc w:val="center"/>
        <w:rPr>
          <w:b/>
          <w:bCs/>
          <w:sz w:val="28"/>
          <w:szCs w:val="28"/>
          <w:lang w:val="fr-CA" w:eastAsia="en-GB"/>
        </w:rPr>
      </w:pPr>
      <w:r>
        <w:rPr>
          <w:b/>
          <w:bCs/>
          <w:sz w:val="28"/>
          <w:szCs w:val="28"/>
          <w:lang w:val="fr-CA" w:eastAsia="en-GB"/>
        </w:rPr>
        <w:t>Mémoire juridique : Opinion sur l’</w:t>
      </w:r>
      <w:r w:rsidR="008C7C94">
        <w:rPr>
          <w:b/>
          <w:bCs/>
          <w:sz w:val="28"/>
          <w:szCs w:val="28"/>
          <w:lang w:val="fr-CA" w:eastAsia="en-GB"/>
        </w:rPr>
        <w:t>utilisation</w:t>
      </w:r>
      <w:r>
        <w:rPr>
          <w:b/>
          <w:bCs/>
          <w:sz w:val="28"/>
          <w:szCs w:val="28"/>
          <w:lang w:val="fr-CA" w:eastAsia="en-GB"/>
        </w:rPr>
        <w:t xml:space="preserve"> de l’arabe et d’autres langues des Nations Unies dans les travaux de la Convention de Ramsar </w:t>
      </w:r>
    </w:p>
    <w:p w:rsidR="00F25888" w:rsidRPr="003C6890" w:rsidRDefault="00F25888" w:rsidP="00E42F46">
      <w:pPr>
        <w:suppressAutoHyphens/>
        <w:spacing w:after="0" w:line="240" w:lineRule="auto"/>
        <w:jc w:val="center"/>
        <w:rPr>
          <w:b/>
          <w:bCs/>
          <w:sz w:val="28"/>
          <w:szCs w:val="28"/>
          <w:lang w:val="fr-CA" w:eastAsia="en-GB"/>
        </w:rPr>
      </w:pPr>
    </w:p>
    <w:p w:rsidR="00F25888" w:rsidRPr="003C6890" w:rsidRDefault="00F25888" w:rsidP="00E42F46">
      <w:pPr>
        <w:spacing w:after="0" w:line="240" w:lineRule="auto"/>
        <w:jc w:val="right"/>
        <w:rPr>
          <w:rFonts w:ascii="Times New Roman" w:hAnsi="Times New Roman"/>
          <w:sz w:val="24"/>
          <w:szCs w:val="24"/>
          <w:lang w:val="fr-CA" w:eastAsia="en-GB"/>
        </w:rPr>
      </w:pPr>
    </w:p>
    <w:p w:rsidR="00F25888" w:rsidRPr="003C6890" w:rsidRDefault="00F25888" w:rsidP="00E42F46">
      <w:pPr>
        <w:spacing w:after="0" w:line="240" w:lineRule="auto"/>
        <w:jc w:val="left"/>
        <w:rPr>
          <w:rFonts w:ascii="Times New Roman" w:hAnsi="Times New Roman"/>
          <w:sz w:val="24"/>
          <w:szCs w:val="24"/>
          <w:lang w:val="fr-CA" w:eastAsia="en-GB"/>
        </w:rPr>
      </w:pPr>
    </w:p>
    <w:p w:rsidR="00F25888" w:rsidRPr="003C6890" w:rsidRDefault="00CF3395" w:rsidP="00E42F46">
      <w:pPr>
        <w:spacing w:after="0" w:line="240" w:lineRule="auto"/>
        <w:jc w:val="left"/>
        <w:rPr>
          <w:rFonts w:ascii="Times New Roman" w:hAnsi="Times New Roman"/>
          <w:sz w:val="24"/>
          <w:szCs w:val="24"/>
          <w:lang w:val="fr-CA" w:eastAsia="en-GB"/>
        </w:rPr>
      </w:pPr>
      <w:r w:rsidRPr="00CF3395">
        <w:rPr>
          <w:b/>
          <w:bCs/>
          <w:noProof/>
          <w:sz w:val="28"/>
          <w:szCs w:val="28"/>
          <w:lang w:val="fr-CH" w:eastAsia="fr-CH"/>
        </w:rPr>
      </w:r>
      <w:r w:rsidRPr="00CF3395">
        <w:rPr>
          <w:b/>
          <w:bCs/>
          <w:noProof/>
          <w:sz w:val="28"/>
          <w:szCs w:val="28"/>
          <w:lang w:val="fr-CH" w:eastAsia="fr-CH"/>
        </w:rPr>
        <w:pict>
          <v:shapetype id="_x0000_t202" coordsize="21600,21600" o:spt="202" path="m,l,21600r21600,l21600,xe">
            <v:stroke joinstyle="miter"/>
            <v:path gradientshapeok="t" o:connecttype="rect"/>
          </v:shapetype>
          <v:shape id="Text Box 33" o:spid="_x0000_s1036" type="#_x0000_t202" style="width:474pt;height:14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">
            <v:textbox>
              <w:txbxContent>
                <w:p w:rsidR="00F25888" w:rsidRPr="000B6D7C" w:rsidRDefault="00F25888" w:rsidP="00E42F46">
                  <w:pPr>
                    <w:rPr>
                      <w:rFonts w:cs="Calibri"/>
                      <w:b/>
                      <w:lang w:val="fr-CA"/>
                    </w:rPr>
                  </w:pPr>
                  <w:r w:rsidRPr="000B6D7C">
                    <w:rPr>
                      <w:rFonts w:cs="Calibri"/>
                      <w:b/>
                      <w:lang w:val="fr-CA"/>
                    </w:rPr>
                    <w:t xml:space="preserve">Action </w:t>
                  </w:r>
                  <w:r>
                    <w:rPr>
                      <w:rFonts w:cs="Calibri"/>
                      <w:b/>
                      <w:lang w:val="fr-CA"/>
                    </w:rPr>
                    <w:t>requise </w:t>
                  </w:r>
                  <w:r w:rsidRPr="000B6D7C">
                    <w:rPr>
                      <w:rFonts w:cs="Calibri"/>
                      <w:b/>
                      <w:lang w:val="fr-CA"/>
                    </w:rPr>
                    <w:t>:</w:t>
                  </w:r>
                </w:p>
                <w:p w:rsidR="00F25888" w:rsidRPr="000B6D7C" w:rsidRDefault="00F25888" w:rsidP="00AD776F">
                  <w:pPr>
                    <w:autoSpaceDE w:val="0"/>
                    <w:autoSpaceDN w:val="0"/>
                    <w:adjustRightInd w:val="0"/>
                    <w:spacing w:after="0" w:line="240" w:lineRule="auto"/>
                    <w:jc w:val="left"/>
                    <w:rPr>
                      <w:rFonts w:cs="Calibri"/>
                      <w:lang w:val="fr-CA"/>
                    </w:rPr>
                  </w:pPr>
                  <w:r>
                    <w:rPr>
                      <w:rFonts w:cs="Calibri"/>
                      <w:lang w:val="fr-CA"/>
                    </w:rPr>
                    <w:t xml:space="preserve">Le Comité permanent est invité à prendre note du mémoire juridique préparé en réponse à la Décision </w:t>
                  </w:r>
                  <w:r w:rsidRPr="000B6D7C">
                    <w:rPr>
                      <w:rFonts w:cs="Calibri"/>
                      <w:lang w:val="fr-CA"/>
                    </w:rPr>
                    <w:t>SC47-07 (f)</w:t>
                  </w:r>
                  <w:r>
                    <w:rPr>
                      <w:rFonts w:cs="Calibri"/>
                      <w:lang w:val="fr-CA"/>
                    </w:rPr>
                    <w:t xml:space="preserve"> du Comité permanent qui demandait au Secrétariat </w:t>
                  </w:r>
                  <w:r w:rsidRPr="000B6D7C">
                    <w:rPr>
                      <w:rFonts w:cs="Calibri"/>
                      <w:lang w:val="fr-CA"/>
                    </w:rPr>
                    <w:t>« de préparer un projet de texte pour une résolution en réponse à la Résolution XI.1 pour examen à la 48</w:t>
                  </w:r>
                  <w:r w:rsidRPr="00203932">
                    <w:rPr>
                      <w:rFonts w:cs="Calibri"/>
                      <w:vertAlign w:val="superscript"/>
                      <w:lang w:val="fr-CA"/>
                    </w:rPr>
                    <w:t>e</w:t>
                  </w:r>
                  <w:r w:rsidRPr="000B6D7C">
                    <w:rPr>
                      <w:rFonts w:cs="Calibri"/>
                      <w:lang w:val="fr-CA"/>
                    </w:rPr>
                    <w:t xml:space="preserve"> Réunion du Comité permanent, traitant de l’intégration de l’arabe dans les travaux de la Convention, avec en appui :</w:t>
                  </w:r>
                </w:p>
                <w:p w:rsidR="00F25888" w:rsidRPr="000B6D7C" w:rsidRDefault="00F25888" w:rsidP="00AD776F">
                  <w:pPr>
                    <w:pStyle w:val="ListParagraph"/>
                    <w:numPr>
                      <w:ilvl w:val="0"/>
                      <w:numId w:val="35"/>
                    </w:numPr>
                    <w:autoSpaceDE w:val="0"/>
                    <w:autoSpaceDN w:val="0"/>
                    <w:adjustRightInd w:val="0"/>
                    <w:spacing w:after="0" w:line="240" w:lineRule="auto"/>
                    <w:jc w:val="left"/>
                    <w:rPr>
                      <w:rFonts w:cs="Calibri"/>
                      <w:lang w:val="fr-CA"/>
                    </w:rPr>
                  </w:pPr>
                  <w:r w:rsidRPr="000B6D7C">
                    <w:rPr>
                      <w:rFonts w:cs="Calibri"/>
                      <w:lang w:val="fr-CA"/>
                    </w:rPr>
                    <w:t xml:space="preserve">une analyse des considérations juridiques relatives au texte de la Convention ainsi que des résolutions de la COP, y compris le Règlement intérieur;  </w:t>
                  </w:r>
                </w:p>
                <w:p w:rsidR="00F25888" w:rsidRPr="000B6D7C" w:rsidRDefault="00F25888" w:rsidP="00AD776F">
                  <w:pPr>
                    <w:pStyle w:val="ListParagraph"/>
                    <w:numPr>
                      <w:ilvl w:val="0"/>
                      <w:numId w:val="35"/>
                    </w:numPr>
                    <w:autoSpaceDE w:val="0"/>
                    <w:autoSpaceDN w:val="0"/>
                    <w:adjustRightInd w:val="0"/>
                    <w:spacing w:after="0" w:line="240" w:lineRule="auto"/>
                    <w:jc w:val="left"/>
                    <w:rPr>
                      <w:rFonts w:cs="Calibri"/>
                      <w:lang w:val="fr-CA"/>
                    </w:rPr>
                  </w:pPr>
                  <w:r w:rsidRPr="000B6D7C">
                    <w:rPr>
                      <w:rFonts w:cs="Calibri"/>
                      <w:lang w:val="fr-CA"/>
                    </w:rPr>
                    <w:t>des options pour une introduction pas à pas de l’arabe dans les travaux de la Convention, sous réserve des ressources disponibles. »</w:t>
                  </w:r>
                </w:p>
              </w:txbxContent>
            </v:textbox>
            <w10:wrap type="none"/>
            <w10:anchorlock/>
          </v:shape>
        </w:pict>
      </w:r>
    </w:p>
    <w:p w:rsidR="00F25888" w:rsidRPr="003C6890" w:rsidRDefault="00F25888">
      <w:pPr>
        <w:spacing w:after="0" w:line="240" w:lineRule="auto"/>
        <w:jc w:val="left"/>
        <w:rPr>
          <w:rFonts w:cs="Calibri"/>
          <w:lang w:val="fr-CA"/>
        </w:rPr>
      </w:pPr>
      <w:r w:rsidRPr="003C6890">
        <w:rPr>
          <w:rFonts w:cs="Calibri"/>
          <w:lang w:val="fr-CA"/>
        </w:rPr>
        <w:br w:type="page"/>
      </w:r>
    </w:p>
    <w:p w:rsidR="00F25888" w:rsidRPr="003C6890" w:rsidRDefault="00CF3395">
      <w:pPr>
        <w:rPr>
          <w:rFonts w:cs="Calibri"/>
          <w:lang w:val="fr-CA"/>
        </w:rPr>
      </w:pPr>
      <w:r w:rsidRPr="00CF3395">
        <w:rPr>
          <w:noProof/>
          <w:lang w:val="fr-CH" w:eastAsia="fr-CH"/>
        </w:rPr>
        <w:lastRenderedPageBreak/>
        <w:pict>
          <v:rect id="Rectangle 29" o:spid="_x0000_s1027" style="position:absolute;left:0;text-align:left;margin-left:0;margin-top:198.75pt;width:548.85pt;height:131.7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" o:allowincell="f" fillcolor="#4f81bd" strokecolor="white" strokeweight="1pt">
            <v:shadow color="#d8d8d8" offset="3pt,3pt"/>
            <v:textbox inset="28.8pt,,14.4pt">
              <w:txbxContent>
                <w:p w:rsidR="00F25888" w:rsidRPr="00203932" w:rsidRDefault="00F25888" w:rsidP="001D545A">
                  <w:pPr>
                    <w:pStyle w:val="NoSpacing"/>
                    <w:jc w:val="left"/>
                    <w:rPr>
                      <w:rFonts w:ascii="Cambria" w:hAnsi="Cambria"/>
                      <w:color w:val="FFFFFF"/>
                      <w:sz w:val="72"/>
                      <w:szCs w:val="72"/>
                      <w:lang w:val="fr-CA"/>
                    </w:rPr>
                  </w:pPr>
                  <w:r w:rsidRPr="00203932">
                    <w:rPr>
                      <w:rFonts w:ascii="Cambria" w:hAnsi="Cambria"/>
                      <w:color w:val="FFFFFF"/>
                      <w:sz w:val="48"/>
                      <w:szCs w:val="72"/>
                      <w:lang w:val="fr-CA"/>
                    </w:rPr>
                    <w:t xml:space="preserve">Opinion </w:t>
                  </w:r>
                  <w:r>
                    <w:rPr>
                      <w:rFonts w:ascii="Cambria" w:hAnsi="Cambria"/>
                      <w:color w:val="FFFFFF"/>
                      <w:sz w:val="48"/>
                      <w:szCs w:val="72"/>
                      <w:lang w:val="fr-CA"/>
                    </w:rPr>
                    <w:t>sur l’</w:t>
                  </w:r>
                  <w:r w:rsidR="008C7C94">
                    <w:rPr>
                      <w:rFonts w:ascii="Cambria" w:hAnsi="Cambria"/>
                      <w:color w:val="FFFFFF"/>
                      <w:sz w:val="48"/>
                      <w:szCs w:val="72"/>
                      <w:lang w:val="fr-CA"/>
                    </w:rPr>
                    <w:t>utilisation</w:t>
                  </w:r>
                  <w:r>
                    <w:rPr>
                      <w:rFonts w:ascii="Cambria" w:hAnsi="Cambria"/>
                      <w:color w:val="FFFFFF"/>
                      <w:sz w:val="48"/>
                      <w:szCs w:val="72"/>
                      <w:lang w:val="fr-CA"/>
                    </w:rPr>
                    <w:t xml:space="preserve"> de l’arabe et d’autres langues des Nations Unies dans les travaux de la Convention de Ramsar</w:t>
                  </w:r>
                </w:p>
                <w:p w:rsidR="00F25888" w:rsidRPr="008C7C94" w:rsidRDefault="00F25888">
                  <w:pPr>
                    <w:rPr>
                      <w:lang w:val="fr-CH"/>
                    </w:rPr>
                  </w:pPr>
                </w:p>
              </w:txbxContent>
            </v:textbox>
            <w10:wrap anchorx="page" anchory="page"/>
          </v:rect>
        </w:pict>
      </w:r>
      <w:r w:rsidRPr="00CF3395">
        <w:rPr>
          <w:noProof/>
          <w:lang w:val="fr-CH" w:eastAsia="fr-CH"/>
        </w:rPr>
        <w:pict>
          <v:group id="Group 23" o:spid="_x0000_s1028" style="position:absolute;left:0;text-align:left;margin-left:.5pt;margin-top:.4pt;width:244.8pt;height:11in;z-index:251656192;mso-position-horizontal-relative:page;mso-position-vertical-relative:page"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" o:allowincell="f">
            <v:group id="Group 24" o:spid="_x0000_s1029"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25" o:spid="_x0000_s1030"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teIsQA&#10;AADaAAAADwAAAGRycy9kb3ducmV2LnhtbESPT4vCMBTE78J+h/AEL6JpBf/QNcoiCIpe1IXF26N5&#10;2xabl5JErX76zYLgcZiZ3zDzZWtqcSPnK8sK0mECgji3uuJCwfdpPZiB8AFZY22ZFDzIw3Lx0Zlj&#10;pu2dD3Q7hkJECPsMFZQhNJmUPi/JoB/ahjh6v9YZDFG6QmqH9wg3tRwlyUQarDgulNjQqqT8crwa&#10;BV6ft49puu+3zWjn1vufcXp6npXqdduvTxCB2vAOv9obrWAC/1fiD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bXiLEAAAA2gAAAA8AAAAAAAAAAAAAAAAAmAIAAGRycy9k&#10;b3ducmV2LnhtbFBLBQYAAAAABAAEAPUAAACJAwAAAAA=&#10;" fillcolor="#1f497d" stroked="f" strokecolor="#d8d8d8"/>
              <v:rect id="Rectangle 26" o:spid="_x0000_s1031"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P8CscA&#10;AADaAAAADwAAAGRycy9kb3ducmV2LnhtbESPT2sCMRTE70K/Q3iFXqRmW6rVrVG0IKh48F8Lvb1u&#10;Xne3bl6WTarptzeC4HGYmd8ww3EwlThS40rLCp46CQjizOqScwX73eyxD8J5ZI2VZVLwTw7Go7vW&#10;EFNtT7yh49bnIkLYpaig8L5OpXRZQQZdx9bE0fuxjUEfZZNL3eApwk0ln5OkJw2WHBcKrOm9oOyw&#10;/TMKpt3ler96CZ+T3++PwSBpL75Cu6vUw32YvIHwFPwtfG3PtYJXuFyJN0COz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Cz/ArHAAAA2gAAAA8AAAAAAAAAAAAAAAAAmAIAAGRy&#10;cy9kb3ducmV2LnhtbFBLBQYAAAAABAAEAPUAAACMAwAAAAA=&#10;" fillcolor="#9bbb59" stroked="f" strokecolor="white" strokeweight="1pt">
                <v:fill r:id="rId7" o:title="" opacity="52428f" o:opacity2="52428f" type="pattern"/>
                <v:shadow color="#d8d8d8" offset="3pt,3pt"/>
              </v:rect>
            </v:group>
            <v:rect id="Rectangle 27" o:spid="_x0000_s1032"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IhacAA&#10;AADaAAAADwAAAGRycy9kb3ducmV2LnhtbERPy2oCMRTdF/yHcIVuiiZaKDoaRUSh3Vh8IC7vTK6T&#10;wcnNMEl1+vdmUejycN7zZedqcac2VJ41jIYKBHHhTcWlhtNxO5iACBHZYO2ZNPxSgOWi9zLHzPgH&#10;7+l+iKVIIRwy1GBjbDIpQ2HJYRj6hjhxV986jAm2pTQtPlK4q+VYqQ/psOLUYLGhtaXidvhxGr7p&#10;bN+/pnm+Ubtbfrmo+GbIaP3a71YzEJG6+C/+c38aDWlrupJu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AIhacAAAADaAAAADwAAAAAAAAAAAAAAAACYAgAAZHJzL2Rvd25y&#10;ZXYueG1sUEsFBgAAAAAEAAQA9QAAAIUDAAAAAA==&#10;" filled="f" stroked="f" strokecolor="white" strokeweight="1pt">
              <v:fill opacity="52428f"/>
              <v:textbox inset="28.8pt,14.4pt,14.4pt,14.4pt">
                <w:txbxContent>
                  <w:p w:rsidR="00F25888" w:rsidRPr="0087258B" w:rsidRDefault="00F25888">
                    <w:pPr>
                      <w:pStyle w:val="NoSpacing"/>
                      <w:rPr>
                        <w:rFonts w:ascii="Cambria" w:hAnsi="Cambria"/>
                        <w:b/>
                        <w:bCs/>
                        <w:color w:val="FFFFFF"/>
                        <w:sz w:val="96"/>
                        <w:szCs w:val="96"/>
                      </w:rPr>
                    </w:pPr>
                    <w:r w:rsidRPr="0087258B">
                      <w:rPr>
                        <w:rFonts w:ascii="Cambria" w:hAnsi="Cambria"/>
                        <w:b/>
                        <w:bCs/>
                        <w:color w:val="FFFFFF"/>
                        <w:sz w:val="72"/>
                        <w:szCs w:val="96"/>
                      </w:rPr>
                      <w:t>2014</w:t>
                    </w:r>
                  </w:p>
                  <w:p w:rsidR="00F25888" w:rsidRDefault="00F25888"/>
                </w:txbxContent>
              </v:textbox>
            </v:rect>
            <v:rect id="Rectangle 28" o:spid="_x0000_s1033"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6E8sMA&#10;AADaAAAADwAAAGRycy9kb3ducmV2LnhtbESPQWsCMRSE70L/Q3hCL1KTVih1NUopLejF4raIx7eb&#10;52Zx87Jsom7/fSMIHoeZ+YaZL3vXiDN1ofas4XmsQBCX3tRcafj9+Xp6AxEissHGM2n4owDLxcNg&#10;jpnxF97SOY+VSBAOGWqwMbaZlKG05DCMfUucvIPvHMYku0qaDi8J7hr5otSrdFhzWrDY0oel8pif&#10;nIZv2tnJeloUn2pzLPZ7FUeGjNaPw/59BiJSH+/hW3tlNEzheiXd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06E8sMAAADaAAAADwAAAAAAAAAAAAAAAACYAgAAZHJzL2Rv&#10;d25yZXYueG1sUEsFBgAAAAAEAAQA9QAAAIgDAAAAAA==&#10;" filled="f" stroked="f" strokecolor="white" strokeweight="1pt">
              <v:fill opacity="52428f"/>
              <v:textbox inset="28.8pt,14.4pt,14.4pt,14.4pt">
                <w:txbxContent>
                  <w:p w:rsidR="00F25888" w:rsidRPr="006F3CDA" w:rsidRDefault="00F25888" w:rsidP="006F3CDA"/>
                </w:txbxContent>
              </v:textbox>
            </v:rect>
            <w10:wrap anchorx="page" anchory="page"/>
          </v:group>
        </w:pict>
      </w:r>
    </w:p>
    <w:p w:rsidR="00F25888" w:rsidRPr="003C6890" w:rsidRDefault="008C7C94" w:rsidP="00F80E94">
      <w:pPr>
        <w:rPr>
          <w:rFonts w:cs="Calibri"/>
          <w:lang w:val="fr-CA"/>
        </w:rPr>
      </w:pPr>
      <w:r>
        <w:rPr>
          <w:noProof/>
        </w:rPr>
        <w:drawing>
          <wp:anchor distT="0" distB="0" distL="114300" distR="114300" simplePos="0" relativeHeight="251655168" behindDoc="0" locked="0" layoutInCell="1" allowOverlap="1">
            <wp:simplePos x="0" y="0"/>
            <wp:positionH relativeFrom="margin">
              <wp:posOffset>3543300</wp:posOffset>
            </wp:positionH>
            <wp:positionV relativeFrom="margin">
              <wp:posOffset>6503670</wp:posOffset>
            </wp:positionV>
            <wp:extent cx="2247900" cy="1476375"/>
            <wp:effectExtent l="0" t="0" r="0" b="9525"/>
            <wp:wrapSquare wrapText="bothSides"/>
            <wp:docPr id="11" name="Picture 2" descr="CISDL Logo (Acrony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SDL Logo (Acronym).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47900" cy="1476375"/>
                    </a:xfrm>
                    <a:prstGeom prst="rect">
                      <a:avLst/>
                    </a:prstGeom>
                    <a:noFill/>
                  </pic:spPr>
                </pic:pic>
              </a:graphicData>
            </a:graphic>
          </wp:anchor>
        </w:drawing>
      </w:r>
      <w:r w:rsidR="00CF3395" w:rsidRPr="00CF3395">
        <w:rPr>
          <w:noProof/>
          <w:lang w:val="fr-CH" w:eastAsia="fr-CH"/>
        </w:rPr>
        <w:pict>
          <v:rect id="Rectangle 32" o:spid="_x0000_s1034" style="position:absolute;left:0;text-align:left;margin-left:176pt;margin-top:23.75pt;width:302.25pt;height:5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" strokecolor="white">
            <v:textbox>
              <w:txbxContent>
                <w:p w:rsidR="00F25888" w:rsidRPr="00203932" w:rsidRDefault="00F25888" w:rsidP="00A633D2">
                  <w:pPr>
                    <w:jc w:val="right"/>
                    <w:rPr>
                      <w:rFonts w:ascii="Cambria" w:hAnsi="Cambria"/>
                      <w:b/>
                      <w:color w:val="1F497D"/>
                      <w:sz w:val="64"/>
                      <w:szCs w:val="64"/>
                      <w:lang w:val="fr-CA"/>
                    </w:rPr>
                  </w:pPr>
                  <w:r w:rsidRPr="00203932">
                    <w:rPr>
                      <w:rFonts w:ascii="Cambria" w:hAnsi="Cambria"/>
                      <w:b/>
                      <w:color w:val="1F497D"/>
                      <w:sz w:val="64"/>
                      <w:szCs w:val="64"/>
                      <w:lang w:val="fr-CA"/>
                    </w:rPr>
                    <w:t xml:space="preserve">Mémoire juridique </w:t>
                  </w:r>
                </w:p>
              </w:txbxContent>
            </v:textbox>
          </v:rect>
        </w:pict>
      </w:r>
      <w:r w:rsidR="00CF3395" w:rsidRPr="00CF3395">
        <w:rPr>
          <w:noProof/>
          <w:lang w:val="fr-CH" w:eastAsia="fr-CH"/>
        </w:rPr>
        <w:pict>
          <v:rect id="Rectangle 30" o:spid="_x0000_s1035" style="position:absolute;left:0;text-align:left;margin-left:-1.5pt;margin-top:296.45pt;width:407.55pt;height:9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">
            <v:textbox>
              <w:txbxContent>
                <w:p w:rsidR="00F25888" w:rsidRPr="0087258B" w:rsidRDefault="00F25888" w:rsidP="00D55CE5">
                  <w:pPr>
                    <w:rPr>
                      <w:b/>
                      <w:bCs/>
                      <w:color w:val="1F497D"/>
                      <w:lang w:val="fr-CA"/>
                    </w:rPr>
                  </w:pPr>
                </w:p>
                <w:p w:rsidR="00F25888" w:rsidRDefault="00F25888" w:rsidP="009A6202">
                  <w:r w:rsidRPr="0087258B">
                    <w:rPr>
                      <w:b/>
                      <w:bCs/>
                      <w:color w:val="1F497D"/>
                      <w:lang w:val="en-CA"/>
                    </w:rPr>
                    <w:t xml:space="preserve">Freedom-Kai Phillips, </w:t>
                  </w:r>
                  <w:r>
                    <w:t xml:space="preserve">MA (Seton Hall), LLB (Dalhousie) </w:t>
                  </w:r>
                </w:p>
                <w:p w:rsidR="00F25888" w:rsidRPr="00497468" w:rsidRDefault="00497468" w:rsidP="009A6202">
                  <w:pPr>
                    <w:rPr>
                      <w:lang w:val="fr-CH"/>
                    </w:rPr>
                  </w:pPr>
                  <w:r w:rsidRPr="00497468">
                    <w:rPr>
                      <w:lang w:val="fr-CH"/>
                    </w:rPr>
                    <w:t>Chargé de recherch</w:t>
                  </w:r>
                  <w:r>
                    <w:rPr>
                      <w:lang w:val="fr-CH"/>
                    </w:rPr>
                    <w:t>e</w:t>
                  </w:r>
                  <w:r w:rsidRPr="00497468">
                    <w:rPr>
                      <w:lang w:val="fr-CH"/>
                    </w:rPr>
                    <w:t xml:space="preserve"> juridique, Programme </w:t>
                  </w:r>
                  <w:r>
                    <w:rPr>
                      <w:lang w:val="fr-CH"/>
                    </w:rPr>
                    <w:t>sur le droit de la biodiversité et biosécurité</w:t>
                  </w:r>
                  <w:r w:rsidR="00F25888" w:rsidRPr="00497468">
                    <w:rPr>
                      <w:lang w:val="fr-CH"/>
                    </w:rPr>
                    <w:t xml:space="preserve"> </w:t>
                  </w:r>
                </w:p>
                <w:p w:rsidR="00F25888" w:rsidRPr="00497468" w:rsidRDefault="00F25888" w:rsidP="009A6202">
                  <w:pPr>
                    <w:rPr>
                      <w:lang w:val="fr-CH"/>
                    </w:rPr>
                  </w:pPr>
                  <w:r w:rsidRPr="00497468">
                    <w:rPr>
                      <w:lang w:val="fr-CH"/>
                    </w:rPr>
                    <w:t xml:space="preserve">Centre </w:t>
                  </w:r>
                  <w:r w:rsidR="00497468" w:rsidRPr="00497468">
                    <w:rPr>
                      <w:lang w:val="fr-CH"/>
                    </w:rPr>
                    <w:t xml:space="preserve">de droit international du développement durable </w:t>
                  </w:r>
                  <w:r w:rsidRPr="00497468">
                    <w:rPr>
                      <w:lang w:val="fr-CH"/>
                    </w:rPr>
                    <w:t>(C</w:t>
                  </w:r>
                  <w:r w:rsidR="00497468" w:rsidRPr="00497468">
                    <w:rPr>
                      <w:lang w:val="fr-CH"/>
                    </w:rPr>
                    <w:t>D</w:t>
                  </w:r>
                  <w:r w:rsidRPr="00497468">
                    <w:rPr>
                      <w:lang w:val="fr-CH"/>
                    </w:rPr>
                    <w:t>I</w:t>
                  </w:r>
                  <w:r w:rsidR="00497468" w:rsidRPr="00497468">
                    <w:rPr>
                      <w:lang w:val="fr-CH"/>
                    </w:rPr>
                    <w:t>D</w:t>
                  </w:r>
                  <w:r w:rsidRPr="00497468">
                    <w:rPr>
                      <w:lang w:val="fr-CH"/>
                    </w:rPr>
                    <w:t>D)</w:t>
                  </w:r>
                </w:p>
                <w:p w:rsidR="00F25888" w:rsidRPr="00497468" w:rsidRDefault="00F25888" w:rsidP="009A6202">
                  <w:pPr>
                    <w:rPr>
                      <w:color w:val="1F497D"/>
                      <w:lang w:val="fr-CH"/>
                    </w:rPr>
                  </w:pPr>
                </w:p>
              </w:txbxContent>
            </v:textbox>
          </v:rect>
        </w:pict>
      </w:r>
      <w:r w:rsidR="00F25888" w:rsidRPr="003C6890">
        <w:rPr>
          <w:rFonts w:cs="Calibri"/>
          <w:lang w:val="fr-CA"/>
        </w:rPr>
        <w:br w:type="page"/>
      </w:r>
    </w:p>
    <w:p w:rsidR="00F25888" w:rsidRPr="003C6890" w:rsidRDefault="00F25888" w:rsidP="006B3A09">
      <w:pPr>
        <w:pBdr>
          <w:bottom w:val="single" w:sz="12" w:space="1" w:color="auto"/>
        </w:pBdr>
        <w:spacing w:after="60"/>
        <w:rPr>
          <w:rFonts w:cs="Calibri"/>
          <w:lang w:val="fr-CA"/>
        </w:rPr>
        <w:sectPr w:rsidR="00F25888" w:rsidRPr="003C6890" w:rsidSect="00E8229B">
          <w:footerReference w:type="default" r:id="rId9"/>
          <w:pgSz w:w="11907" w:h="16839" w:code="9"/>
          <w:pgMar w:top="1440" w:right="1440" w:bottom="1440" w:left="1440" w:header="720" w:footer="720" w:gutter="0"/>
          <w:cols w:space="720"/>
          <w:titlePg/>
          <w:docGrid w:linePitch="360"/>
        </w:sectPr>
      </w:pPr>
    </w:p>
    <w:p w:rsidR="00F25888" w:rsidRPr="003C6890" w:rsidRDefault="00F25888" w:rsidP="006B3A09">
      <w:pPr>
        <w:spacing w:after="60"/>
        <w:rPr>
          <w:rFonts w:cs="Calibri"/>
          <w:lang w:val="fr-CA"/>
        </w:rPr>
      </w:pPr>
    </w:p>
    <w:p w:rsidR="00F25888" w:rsidRPr="003C6890" w:rsidRDefault="00F25888" w:rsidP="00F156FA">
      <w:pPr>
        <w:pBdr>
          <w:bottom w:val="single" w:sz="12" w:space="1" w:color="auto"/>
        </w:pBdr>
        <w:jc w:val="center"/>
        <w:rPr>
          <w:rFonts w:cs="Calibri"/>
          <w:b/>
          <w:bCs/>
          <w:caps/>
          <w:color w:val="1F497D"/>
          <w:lang w:val="fr-CA"/>
        </w:rPr>
      </w:pPr>
      <w:r>
        <w:rPr>
          <w:rFonts w:cs="Calibri"/>
          <w:b/>
          <w:bCs/>
          <w:caps/>
          <w:color w:val="1F497D"/>
          <w:lang w:val="fr-CA"/>
        </w:rPr>
        <w:t>MÉMOIRE JURIDIQUE </w:t>
      </w:r>
      <w:r w:rsidRPr="003C6890">
        <w:rPr>
          <w:rFonts w:cs="Calibri"/>
          <w:b/>
          <w:bCs/>
          <w:caps/>
          <w:color w:val="1F497D"/>
          <w:lang w:val="fr-CA"/>
        </w:rPr>
        <w:t xml:space="preserve">: </w:t>
      </w:r>
      <w:r w:rsidRPr="00203932">
        <w:rPr>
          <w:rFonts w:cs="Calibri"/>
          <w:b/>
          <w:bCs/>
          <w:caps/>
          <w:color w:val="1F497D"/>
          <w:lang w:val="fr-CA"/>
        </w:rPr>
        <w:t>Opinion sur l’</w:t>
      </w:r>
      <w:r w:rsidR="008C7C94">
        <w:rPr>
          <w:rFonts w:cs="Calibri"/>
          <w:b/>
          <w:bCs/>
          <w:caps/>
          <w:color w:val="1F497D"/>
          <w:lang w:val="fr-CA"/>
        </w:rPr>
        <w:t>utilisation</w:t>
      </w:r>
      <w:r w:rsidRPr="00203932">
        <w:rPr>
          <w:rFonts w:cs="Calibri"/>
          <w:b/>
          <w:bCs/>
          <w:caps/>
          <w:color w:val="1F497D"/>
          <w:lang w:val="fr-CA"/>
        </w:rPr>
        <w:t xml:space="preserve"> de l’arabe et d’autres langues des Nations Unies dans les travaux de la Convention de Ramsar</w:t>
      </w:r>
    </w:p>
    <w:p w:rsidR="00F25888" w:rsidRPr="005F0F66" w:rsidRDefault="00F25888" w:rsidP="00F156FA">
      <w:pPr>
        <w:pBdr>
          <w:bottom w:val="single" w:sz="12" w:space="1" w:color="auto"/>
        </w:pBdr>
        <w:jc w:val="center"/>
        <w:rPr>
          <w:rFonts w:cs="Calibri"/>
          <w:color w:val="1F497D"/>
          <w:lang w:val="fr-CH"/>
        </w:rPr>
      </w:pPr>
      <w:r w:rsidRPr="005F0F66">
        <w:rPr>
          <w:rFonts w:cs="Calibri"/>
          <w:color w:val="1F497D"/>
          <w:lang w:val="fr-CH"/>
        </w:rPr>
        <w:t>Freedom-Kai Phillips</w:t>
      </w:r>
      <w:r w:rsidRPr="003C6890">
        <w:rPr>
          <w:rStyle w:val="FootnoteReference"/>
          <w:rFonts w:cs="Calibri"/>
          <w:color w:val="1F497D"/>
          <w:lang w:val="fr-CA"/>
        </w:rPr>
        <w:footnoteReference w:customMarkFollows="1" w:id="1"/>
        <w:sym w:font="Symbol" w:char="F02A"/>
      </w:r>
    </w:p>
    <w:p w:rsidR="00F25888" w:rsidRPr="008C7C94" w:rsidRDefault="00F25888" w:rsidP="00F156FA">
      <w:pPr>
        <w:pBdr>
          <w:bottom w:val="single" w:sz="12" w:space="1" w:color="auto"/>
        </w:pBdr>
        <w:jc w:val="center"/>
        <w:rPr>
          <w:rFonts w:cs="Calibri"/>
          <w:color w:val="1F497D"/>
          <w:lang w:val="fr-CH"/>
        </w:rPr>
      </w:pPr>
      <w:r w:rsidRPr="008C7C94">
        <w:rPr>
          <w:rFonts w:cs="Calibri"/>
          <w:color w:val="1F497D"/>
          <w:lang w:val="fr-CH"/>
        </w:rPr>
        <w:t xml:space="preserve">Centre </w:t>
      </w:r>
      <w:r w:rsidR="008C7C94" w:rsidRPr="008C7C94">
        <w:rPr>
          <w:rFonts w:cs="Calibri"/>
          <w:color w:val="1F497D"/>
          <w:lang w:val="fr-CH"/>
        </w:rPr>
        <w:t>de droit international du développement durable</w:t>
      </w:r>
    </w:p>
    <w:p w:rsidR="00F25888" w:rsidRPr="008C7C94" w:rsidRDefault="00F25888" w:rsidP="001370B7">
      <w:pPr>
        <w:ind w:firstLine="720"/>
        <w:rPr>
          <w:rFonts w:cs="Calibri"/>
          <w:lang w:val="fr-CH"/>
        </w:rPr>
      </w:pPr>
    </w:p>
    <w:p w:rsidR="00F25888" w:rsidRPr="003C6890" w:rsidRDefault="00F25888" w:rsidP="002C3291">
      <w:pPr>
        <w:rPr>
          <w:rFonts w:cs="Calibri"/>
          <w:b/>
          <w:lang w:val="fr-CA"/>
        </w:rPr>
      </w:pPr>
      <w:r w:rsidRPr="003C6890">
        <w:rPr>
          <w:rFonts w:cs="Calibri"/>
          <w:b/>
          <w:lang w:val="fr-CA"/>
        </w:rPr>
        <w:t>I.</w:t>
      </w:r>
      <w:r w:rsidRPr="003C6890">
        <w:rPr>
          <w:rFonts w:cs="Calibri"/>
          <w:b/>
          <w:lang w:val="fr-CA"/>
        </w:rPr>
        <w:tab/>
        <w:t>INTRODUCTION</w:t>
      </w:r>
    </w:p>
    <w:p w:rsidR="00F25888" w:rsidRPr="003C6890" w:rsidRDefault="00F25888" w:rsidP="002C3291">
      <w:pPr>
        <w:pStyle w:val="ListParagraph"/>
        <w:numPr>
          <w:ilvl w:val="0"/>
          <w:numId w:val="25"/>
        </w:numPr>
        <w:spacing w:before="120" w:line="360" w:lineRule="auto"/>
        <w:contextualSpacing w:val="0"/>
        <w:rPr>
          <w:rFonts w:cs="Calibri"/>
          <w:lang w:val="fr-CA"/>
        </w:rPr>
      </w:pPr>
      <w:r>
        <w:rPr>
          <w:rFonts w:cs="Calibri"/>
          <w:lang w:val="fr-CA"/>
        </w:rPr>
        <w:t xml:space="preserve">Le Secrétariat de la Convention de Ramsar a demandé des éclaircissements sur les </w:t>
      </w:r>
      <w:r w:rsidR="008C7C94">
        <w:rPr>
          <w:rFonts w:cs="Calibri"/>
          <w:lang w:val="fr-CA"/>
        </w:rPr>
        <w:t>points de droit</w:t>
      </w:r>
      <w:r>
        <w:rPr>
          <w:rFonts w:cs="Calibri"/>
          <w:lang w:val="fr-CA"/>
        </w:rPr>
        <w:t xml:space="preserve"> </w:t>
      </w:r>
      <w:r w:rsidR="008C7C94">
        <w:rPr>
          <w:rFonts w:cs="Calibri"/>
          <w:lang w:val="fr-CA"/>
        </w:rPr>
        <w:t>relatifs à l’utilisation</w:t>
      </w:r>
      <w:r>
        <w:rPr>
          <w:rFonts w:cs="Calibri"/>
          <w:lang w:val="fr-CA"/>
        </w:rPr>
        <w:t xml:space="preserve"> de la langue arabe dans les travaux de la Convention</w:t>
      </w:r>
      <w:r w:rsidRPr="003C6890">
        <w:rPr>
          <w:rFonts w:cs="Calibri"/>
          <w:lang w:val="fr-CA"/>
        </w:rPr>
        <w:t>'</w:t>
      </w:r>
      <w:r>
        <w:rPr>
          <w:rFonts w:cs="Calibri"/>
          <w:lang w:val="fr-CA"/>
        </w:rPr>
        <w:t>.</w:t>
      </w:r>
      <w:r w:rsidRPr="003C6890">
        <w:rPr>
          <w:rFonts w:cs="Calibri"/>
          <w:lang w:val="fr-CA"/>
        </w:rPr>
        <w:t xml:space="preserve"> </w:t>
      </w:r>
      <w:r>
        <w:rPr>
          <w:rFonts w:cs="Calibri"/>
          <w:lang w:val="fr-CA"/>
        </w:rPr>
        <w:t xml:space="preserve">Intégrer une nouvelle langue – sous quelque forme que ce soit – a des incidences pour la Convention. Du point de vue juridique, ce mémoire </w:t>
      </w:r>
      <w:r w:rsidR="008C7C94">
        <w:rPr>
          <w:rFonts w:cs="Calibri"/>
          <w:lang w:val="fr-CA"/>
        </w:rPr>
        <w:t>offre</w:t>
      </w:r>
      <w:r>
        <w:rPr>
          <w:rFonts w:cs="Calibri"/>
          <w:lang w:val="fr-CA"/>
        </w:rPr>
        <w:t xml:space="preserve"> une vue d’ensemble des principales considérations recueillies </w:t>
      </w:r>
      <w:r w:rsidR="008C7C94">
        <w:rPr>
          <w:rFonts w:cs="Calibri"/>
          <w:lang w:val="fr-CA"/>
        </w:rPr>
        <w:t>dans les</w:t>
      </w:r>
      <w:r>
        <w:rPr>
          <w:rFonts w:cs="Calibri"/>
          <w:lang w:val="fr-CA"/>
        </w:rPr>
        <w:t xml:space="preserve"> résolutions de la Conférence des Parties contractantes à la Convention de Ramsar et </w:t>
      </w:r>
      <w:r w:rsidR="008C7C94">
        <w:rPr>
          <w:rFonts w:cs="Calibri"/>
          <w:lang w:val="fr-CA"/>
        </w:rPr>
        <w:t>dans le</w:t>
      </w:r>
      <w:r>
        <w:rPr>
          <w:rFonts w:cs="Calibri"/>
          <w:lang w:val="fr-CA"/>
        </w:rPr>
        <w:t xml:space="preserve"> Règlement intérieur de la Convention de Ramsar, ainsi qu’une clarification des termes clés qui peuvent être appliqués – </w:t>
      </w:r>
      <w:r w:rsidR="008C7C94">
        <w:rPr>
          <w:rFonts w:cs="Calibri"/>
          <w:lang w:val="fr-CA"/>
        </w:rPr>
        <w:t>notamment</w:t>
      </w:r>
      <w:r>
        <w:rPr>
          <w:rFonts w:cs="Calibri"/>
          <w:lang w:val="fr-CA"/>
        </w:rPr>
        <w:t xml:space="preserve"> « une langue officielle », une « langue de travail » et </w:t>
      </w:r>
      <w:r w:rsidRPr="008C7C94">
        <w:rPr>
          <w:rFonts w:cs="Calibri"/>
          <w:lang w:val="fr-CA"/>
        </w:rPr>
        <w:t>« </w:t>
      </w:r>
      <w:r w:rsidR="008C7C94" w:rsidRPr="008C7C94">
        <w:rPr>
          <w:rFonts w:cs="Calibri"/>
          <w:lang w:val="fr-CA"/>
        </w:rPr>
        <w:t>utilisation</w:t>
      </w:r>
      <w:r w:rsidRPr="008C7C94">
        <w:rPr>
          <w:rFonts w:cs="Calibri"/>
          <w:lang w:val="fr-CA"/>
        </w:rPr>
        <w:t> ».</w:t>
      </w:r>
      <w:r>
        <w:rPr>
          <w:rFonts w:cs="Calibri"/>
          <w:lang w:val="fr-CA"/>
        </w:rPr>
        <w:t xml:space="preserve"> Les possibilités d’approche pas à pas peuvent également être décrites et discutées. </w:t>
      </w:r>
    </w:p>
    <w:p w:rsidR="00F25888" w:rsidRPr="003C6890" w:rsidRDefault="00F25888" w:rsidP="004D134C">
      <w:pPr>
        <w:keepNext/>
        <w:keepLines/>
        <w:rPr>
          <w:rFonts w:cs="Calibri"/>
          <w:b/>
          <w:lang w:val="fr-CA"/>
        </w:rPr>
      </w:pPr>
      <w:r w:rsidRPr="003C6890">
        <w:rPr>
          <w:rFonts w:cs="Calibri"/>
          <w:b/>
          <w:lang w:val="fr-CA"/>
        </w:rPr>
        <w:t>II.</w:t>
      </w:r>
      <w:r w:rsidRPr="003C6890">
        <w:rPr>
          <w:rFonts w:cs="Calibri"/>
          <w:b/>
          <w:lang w:val="fr-CA"/>
        </w:rPr>
        <w:tab/>
      </w:r>
      <w:r>
        <w:rPr>
          <w:rFonts w:cs="Calibri"/>
          <w:b/>
          <w:lang w:val="fr-CA"/>
        </w:rPr>
        <w:t>CONSIDÉRATIONS JURIDIQUES</w:t>
      </w:r>
      <w:r w:rsidRPr="003C6890">
        <w:rPr>
          <w:rFonts w:cs="Calibri"/>
          <w:b/>
          <w:lang w:val="fr-CA"/>
        </w:rPr>
        <w:t xml:space="preserve"> </w:t>
      </w:r>
    </w:p>
    <w:p w:rsidR="00F25888" w:rsidRPr="003C6890" w:rsidRDefault="00497468" w:rsidP="002C3291">
      <w:pPr>
        <w:pStyle w:val="ListParagraph"/>
        <w:numPr>
          <w:ilvl w:val="0"/>
          <w:numId w:val="25"/>
        </w:numPr>
        <w:spacing w:before="120" w:line="360" w:lineRule="auto"/>
        <w:contextualSpacing w:val="0"/>
        <w:rPr>
          <w:rFonts w:cs="Calibri"/>
          <w:lang w:val="fr-CA"/>
        </w:rPr>
      </w:pPr>
      <w:r>
        <w:rPr>
          <w:rFonts w:cs="Calibri"/>
          <w:lang w:val="fr-CA"/>
        </w:rPr>
        <w:t>L</w:t>
      </w:r>
      <w:r w:rsidR="00F25888">
        <w:rPr>
          <w:rFonts w:cs="Calibri"/>
          <w:lang w:val="fr-CA"/>
        </w:rPr>
        <w:t>a Conférence des Parties contractantes</w:t>
      </w:r>
      <w:r>
        <w:rPr>
          <w:rFonts w:cs="Calibri"/>
          <w:lang w:val="fr-CA"/>
        </w:rPr>
        <w:t xml:space="preserve"> à sa 5</w:t>
      </w:r>
      <w:r w:rsidRPr="00497468">
        <w:rPr>
          <w:rFonts w:cs="Calibri"/>
          <w:vertAlign w:val="superscript"/>
          <w:lang w:val="fr-CA"/>
        </w:rPr>
        <w:t>e</w:t>
      </w:r>
      <w:r>
        <w:rPr>
          <w:rFonts w:cs="Calibri"/>
          <w:lang w:val="fr-CA"/>
        </w:rPr>
        <w:t xml:space="preserve"> Session</w:t>
      </w:r>
      <w:r w:rsidR="00F25888">
        <w:rPr>
          <w:rFonts w:cs="Calibri"/>
          <w:lang w:val="fr-CA"/>
        </w:rPr>
        <w:t xml:space="preserve"> </w:t>
      </w:r>
      <w:r w:rsidR="00F25888" w:rsidRPr="003C6890">
        <w:rPr>
          <w:rFonts w:cs="Calibri"/>
          <w:lang w:val="fr-CA"/>
        </w:rPr>
        <w:t>(Kushiro, Japon 1993)</w:t>
      </w:r>
      <w:r w:rsidR="00F25888">
        <w:rPr>
          <w:rFonts w:cs="Calibri"/>
          <w:lang w:val="fr-CA"/>
        </w:rPr>
        <w:t xml:space="preserve">, </w:t>
      </w:r>
      <w:r>
        <w:rPr>
          <w:rFonts w:cs="Calibri"/>
          <w:lang w:val="fr-CA"/>
        </w:rPr>
        <w:t xml:space="preserve">a adopté </w:t>
      </w:r>
      <w:r w:rsidR="00F25888">
        <w:rPr>
          <w:rFonts w:cs="Calibri"/>
          <w:lang w:val="fr-CA"/>
        </w:rPr>
        <w:t>la</w:t>
      </w:r>
      <w:r w:rsidR="00F25888" w:rsidRPr="003C6890">
        <w:rPr>
          <w:rFonts w:cs="Calibri"/>
          <w:lang w:val="fr-CA"/>
        </w:rPr>
        <w:t xml:space="preserve"> </w:t>
      </w:r>
      <w:r w:rsidR="00F25888" w:rsidRPr="00186198">
        <w:rPr>
          <w:rFonts w:cs="Calibri"/>
          <w:b/>
          <w:lang w:val="fr-CA"/>
        </w:rPr>
        <w:t>Recommandation 5.15</w:t>
      </w:r>
      <w:r w:rsidR="00F25888" w:rsidRPr="003C6890">
        <w:rPr>
          <w:rFonts w:cs="Calibri"/>
          <w:b/>
          <w:lang w:val="fr-CA"/>
        </w:rPr>
        <w:t xml:space="preserve"> </w:t>
      </w:r>
      <w:r w:rsidR="00F25888">
        <w:rPr>
          <w:rFonts w:cs="Calibri"/>
          <w:lang w:val="fr-CA"/>
        </w:rPr>
        <w:t xml:space="preserve">qui recommandait de veiller à mettre à disposition l’interprétation dans et depuis la langue vernaculaire locale lors des futures sessions de la Conférence, appelait à l’examen des incidences, notamment financières, et demandait aux Parties arabophones de fournir une assistance </w:t>
      </w:r>
      <w:r w:rsidR="00F25888" w:rsidRPr="003C6890">
        <w:rPr>
          <w:rFonts w:cs="Calibri"/>
          <w:lang w:val="fr-CA"/>
        </w:rPr>
        <w:t xml:space="preserve">pour trouver les fonds nécessaires </w:t>
      </w:r>
      <w:r w:rsidR="00F25888">
        <w:rPr>
          <w:rFonts w:cs="Calibri"/>
          <w:lang w:val="fr-CA"/>
        </w:rPr>
        <w:t>« </w:t>
      </w:r>
      <w:r w:rsidR="00F25888" w:rsidRPr="003C6890">
        <w:rPr>
          <w:rFonts w:cs="Calibri"/>
          <w:lang w:val="fr-CA"/>
        </w:rPr>
        <w:t>à l’adoption de l’arabe comme langue de travail de la Conférence des Parties contractantes</w:t>
      </w:r>
      <w:r w:rsidR="00F25888">
        <w:rPr>
          <w:rFonts w:cs="Calibri"/>
          <w:lang w:val="fr-CA"/>
        </w:rPr>
        <w:t> »</w:t>
      </w:r>
      <w:r w:rsidR="00F25888" w:rsidRPr="003C6890">
        <w:rPr>
          <w:rStyle w:val="FootnoteReference"/>
          <w:rFonts w:cs="Calibri"/>
          <w:lang w:val="fr-CA"/>
        </w:rPr>
        <w:footnoteReference w:id="2"/>
      </w:r>
      <w:r w:rsidR="00F25888">
        <w:rPr>
          <w:rFonts w:cs="Calibri"/>
          <w:lang w:val="fr-CA"/>
        </w:rPr>
        <w:t>.</w:t>
      </w:r>
    </w:p>
    <w:p w:rsidR="00F25888" w:rsidRPr="003C6890" w:rsidRDefault="00F25888" w:rsidP="00CA4CB2">
      <w:pPr>
        <w:pStyle w:val="ListParagraph"/>
        <w:numPr>
          <w:ilvl w:val="0"/>
          <w:numId w:val="25"/>
        </w:numPr>
        <w:spacing w:before="120" w:line="360" w:lineRule="auto"/>
        <w:contextualSpacing w:val="0"/>
        <w:rPr>
          <w:rFonts w:cs="Calibri"/>
          <w:lang w:val="fr-CA"/>
        </w:rPr>
      </w:pPr>
      <w:r>
        <w:rPr>
          <w:rFonts w:cs="Calibri"/>
          <w:lang w:val="fr-CA"/>
        </w:rPr>
        <w:t>À la 11</w:t>
      </w:r>
      <w:r w:rsidRPr="00642649">
        <w:rPr>
          <w:rFonts w:cs="Calibri"/>
          <w:vertAlign w:val="superscript"/>
          <w:lang w:val="fr-CA"/>
        </w:rPr>
        <w:t>e</w:t>
      </w:r>
      <w:r>
        <w:rPr>
          <w:rFonts w:cs="Calibri"/>
          <w:lang w:val="fr-CA"/>
        </w:rPr>
        <w:t xml:space="preserve"> Session de la Conférence des Parties contractantes </w:t>
      </w:r>
      <w:r w:rsidRPr="003C6890">
        <w:rPr>
          <w:rFonts w:cs="Calibri"/>
          <w:lang w:val="fr-CA"/>
        </w:rPr>
        <w:t>(Bucarest, Ro</w:t>
      </w:r>
      <w:r>
        <w:rPr>
          <w:rFonts w:cs="Calibri"/>
          <w:lang w:val="fr-CA"/>
        </w:rPr>
        <w:t>u</w:t>
      </w:r>
      <w:r w:rsidRPr="003C6890">
        <w:rPr>
          <w:rFonts w:cs="Calibri"/>
          <w:lang w:val="fr-CA"/>
        </w:rPr>
        <w:t>mani</w:t>
      </w:r>
      <w:r>
        <w:rPr>
          <w:rFonts w:cs="Calibri"/>
          <w:lang w:val="fr-CA"/>
        </w:rPr>
        <w:t>e</w:t>
      </w:r>
      <w:r w:rsidRPr="003C6890">
        <w:rPr>
          <w:rFonts w:cs="Calibri"/>
          <w:lang w:val="fr-CA"/>
        </w:rPr>
        <w:t xml:space="preserve"> 2012), </w:t>
      </w:r>
      <w:r w:rsidR="008C7C94">
        <w:rPr>
          <w:rFonts w:cs="Calibri"/>
          <w:lang w:val="fr-CA"/>
        </w:rPr>
        <w:t xml:space="preserve">a été adoptée </w:t>
      </w:r>
      <w:r>
        <w:rPr>
          <w:rFonts w:cs="Calibri"/>
          <w:lang w:val="fr-CA"/>
        </w:rPr>
        <w:t xml:space="preserve">la </w:t>
      </w:r>
      <w:r w:rsidRPr="003C6890">
        <w:rPr>
          <w:rFonts w:cs="Calibri"/>
          <w:b/>
          <w:lang w:val="fr-CA"/>
        </w:rPr>
        <w:t>Résolution</w:t>
      </w:r>
      <w:r>
        <w:rPr>
          <w:rFonts w:cs="Calibri"/>
          <w:b/>
          <w:lang w:val="fr-CA"/>
        </w:rPr>
        <w:t> </w:t>
      </w:r>
      <w:r w:rsidRPr="003C6890">
        <w:rPr>
          <w:rFonts w:cs="Calibri"/>
          <w:b/>
          <w:lang w:val="fr-CA"/>
        </w:rPr>
        <w:t>XI.1</w:t>
      </w:r>
      <w:r>
        <w:rPr>
          <w:rFonts w:cs="Calibri"/>
          <w:lang w:val="fr-CA"/>
        </w:rPr>
        <w:t xml:space="preserve"> qui traitait principalement de l’accueil du Secrétariat Ramsar tout en reconnaissant le désir profond des États arabes d’intégrer l’arabe comme « langue officielle » et </w:t>
      </w:r>
      <w:r>
        <w:rPr>
          <w:rFonts w:cs="Calibri"/>
          <w:lang w:val="fr-CA"/>
        </w:rPr>
        <w:lastRenderedPageBreak/>
        <w:t>l’expression d’ouverture manifestée par la COP, et donnait instruction au Comité permanent d’élaborer une stratégie pour explorer « </w:t>
      </w:r>
      <w:r w:rsidR="008C7C94">
        <w:rPr>
          <w:rFonts w:cs="Calibri"/>
          <w:lang w:val="fr-CA"/>
        </w:rPr>
        <w:t>l’utilisation</w:t>
      </w:r>
      <w:r>
        <w:rPr>
          <w:rFonts w:cs="Calibri"/>
          <w:lang w:val="fr-CA"/>
        </w:rPr>
        <w:t xml:space="preserve"> des langues des Nations </w:t>
      </w:r>
      <w:r w:rsidRPr="003C6890">
        <w:rPr>
          <w:rFonts w:cs="Calibri"/>
          <w:lang w:val="fr-CA"/>
        </w:rPr>
        <w:t>Unies dans la Convention</w:t>
      </w:r>
      <w:r>
        <w:rPr>
          <w:rFonts w:cs="Calibri"/>
          <w:lang w:val="fr-CA"/>
        </w:rPr>
        <w:t> »</w:t>
      </w:r>
      <w:r w:rsidRPr="003C6890">
        <w:rPr>
          <w:rStyle w:val="FootnoteReference"/>
          <w:rFonts w:cs="Calibri"/>
          <w:lang w:val="fr-CA"/>
        </w:rPr>
        <w:footnoteReference w:id="3"/>
      </w:r>
      <w:r>
        <w:rPr>
          <w:rFonts w:cs="Calibri"/>
          <w:lang w:val="fr-CA"/>
        </w:rPr>
        <w:t>.</w:t>
      </w:r>
    </w:p>
    <w:p w:rsidR="00F25888" w:rsidRPr="003C6890" w:rsidRDefault="00F25888" w:rsidP="000B5F56">
      <w:pPr>
        <w:pStyle w:val="ListParagraph"/>
        <w:numPr>
          <w:ilvl w:val="0"/>
          <w:numId w:val="25"/>
        </w:numPr>
        <w:spacing w:before="120" w:line="360" w:lineRule="auto"/>
        <w:contextualSpacing w:val="0"/>
        <w:rPr>
          <w:rFonts w:cs="Calibri"/>
          <w:lang w:val="fr-CA"/>
        </w:rPr>
      </w:pPr>
      <w:r>
        <w:rPr>
          <w:rFonts w:cs="Calibri"/>
          <w:lang w:val="fr-CA"/>
        </w:rPr>
        <w:t>Le Règlement intérieur des sessions de la Conférence des Parties (COP) adopté en 2012 soulève d’autres considérations</w:t>
      </w:r>
      <w:r w:rsidRPr="003C6890">
        <w:rPr>
          <w:rStyle w:val="FootnoteReference"/>
          <w:rFonts w:cs="Calibri"/>
          <w:lang w:val="fr-CA"/>
        </w:rPr>
        <w:footnoteReference w:id="4"/>
      </w:r>
      <w:r>
        <w:rPr>
          <w:rFonts w:cs="Calibri"/>
          <w:lang w:val="fr-CA"/>
        </w:rPr>
        <w:t>.</w:t>
      </w:r>
      <w:r w:rsidRPr="003C6890">
        <w:rPr>
          <w:rFonts w:cs="Calibri"/>
          <w:lang w:val="fr-CA"/>
        </w:rPr>
        <w:t xml:space="preserve"> </w:t>
      </w:r>
      <w:r>
        <w:rPr>
          <w:rFonts w:cs="Calibri"/>
          <w:lang w:val="fr-CA"/>
        </w:rPr>
        <w:t xml:space="preserve">L’Article 52 établit </w:t>
      </w:r>
      <w:r w:rsidRPr="003C6890">
        <w:rPr>
          <w:rFonts w:cs="Calibri"/>
          <w:lang w:val="fr-CA"/>
        </w:rPr>
        <w:t>que les langues « officielles et de travail » de la Conférence des Parties sont l'anglais, le français et l'espagnol</w:t>
      </w:r>
      <w:r w:rsidRPr="003C6890">
        <w:rPr>
          <w:rStyle w:val="FootnoteReference"/>
          <w:rFonts w:cs="Calibri"/>
          <w:lang w:val="fr-CA"/>
        </w:rPr>
        <w:footnoteReference w:id="5"/>
      </w:r>
      <w:r>
        <w:rPr>
          <w:rFonts w:cs="Calibri"/>
          <w:lang w:val="fr-CA"/>
        </w:rPr>
        <w:t>.</w:t>
      </w:r>
      <w:r w:rsidRPr="003C6890">
        <w:rPr>
          <w:rFonts w:cs="Calibri"/>
          <w:lang w:val="fr-CA"/>
        </w:rPr>
        <w:t xml:space="preserve"> </w:t>
      </w:r>
      <w:r>
        <w:rPr>
          <w:rFonts w:cs="Calibri"/>
          <w:lang w:val="fr-CA"/>
        </w:rPr>
        <w:t>L’Article </w:t>
      </w:r>
      <w:r w:rsidRPr="003C6890">
        <w:rPr>
          <w:rFonts w:cs="Calibri"/>
          <w:lang w:val="fr-CA"/>
        </w:rPr>
        <w:t xml:space="preserve">53 </w:t>
      </w:r>
      <w:r>
        <w:rPr>
          <w:rFonts w:cs="Calibri"/>
          <w:lang w:val="fr-CA"/>
        </w:rPr>
        <w:t xml:space="preserve">indique </w:t>
      </w:r>
      <w:r w:rsidRPr="003C6890">
        <w:rPr>
          <w:rFonts w:cs="Calibri"/>
          <w:lang w:val="fr-CA"/>
        </w:rPr>
        <w:t xml:space="preserve">que les déclarations faites dans l'une des langues officielles sont interprétées dans les autres langues officielles, </w:t>
      </w:r>
      <w:r>
        <w:rPr>
          <w:rFonts w:cs="Calibri"/>
          <w:lang w:val="fr-CA"/>
        </w:rPr>
        <w:t>avec la traduction des langues non officielles autorisée mais fournie à la discrétion des Parties qui le demandent</w:t>
      </w:r>
      <w:r w:rsidRPr="003C6890">
        <w:rPr>
          <w:rStyle w:val="FootnoteReference"/>
          <w:rFonts w:cs="Calibri"/>
          <w:lang w:val="fr-CA"/>
        </w:rPr>
        <w:footnoteReference w:id="6"/>
      </w:r>
      <w:r>
        <w:rPr>
          <w:rFonts w:cs="Calibri"/>
          <w:lang w:val="fr-CA"/>
        </w:rPr>
        <w:t>.</w:t>
      </w:r>
      <w:r w:rsidRPr="003C6890">
        <w:rPr>
          <w:rFonts w:cs="Calibri"/>
          <w:lang w:val="fr-CA"/>
        </w:rPr>
        <w:t xml:space="preserve"> </w:t>
      </w:r>
      <w:r>
        <w:rPr>
          <w:rFonts w:cs="Calibri"/>
          <w:lang w:val="fr-CA"/>
        </w:rPr>
        <w:t>L’Article </w:t>
      </w:r>
      <w:r w:rsidRPr="003C6890">
        <w:rPr>
          <w:rFonts w:cs="Calibri"/>
          <w:lang w:val="fr-CA"/>
        </w:rPr>
        <w:t xml:space="preserve">54 </w:t>
      </w:r>
      <w:r>
        <w:rPr>
          <w:rFonts w:cs="Calibri"/>
          <w:lang w:val="fr-CA"/>
        </w:rPr>
        <w:t xml:space="preserve">sur les documents indique que : i) les documents de la session seront publiés dans une langue officielle, avec des traductions fournies dans les langues officielles et ii) les documents fournis </w:t>
      </w:r>
      <w:r w:rsidRPr="003C6890">
        <w:rPr>
          <w:rFonts w:cs="Calibri"/>
          <w:lang w:val="fr-CA"/>
        </w:rPr>
        <w:t>dans une langue autre que les langues de travail doivent être accompagnés d'une traduction dans l'une des « langues de travail. »</w:t>
      </w:r>
      <w:r w:rsidRPr="003C6890">
        <w:rPr>
          <w:rStyle w:val="FootnoteReference"/>
          <w:rFonts w:cs="Calibri"/>
          <w:lang w:val="fr-CA"/>
        </w:rPr>
        <w:footnoteReference w:id="7"/>
      </w:r>
    </w:p>
    <w:p w:rsidR="00F25888" w:rsidRPr="003C6890" w:rsidRDefault="00F25888" w:rsidP="00820CEC">
      <w:pPr>
        <w:pStyle w:val="ListParagraph"/>
        <w:numPr>
          <w:ilvl w:val="0"/>
          <w:numId w:val="25"/>
        </w:numPr>
        <w:spacing w:before="120" w:line="360" w:lineRule="auto"/>
        <w:contextualSpacing w:val="0"/>
        <w:rPr>
          <w:rFonts w:cs="Calibri"/>
          <w:lang w:val="fr-CA"/>
        </w:rPr>
      </w:pPr>
      <w:r>
        <w:rPr>
          <w:rFonts w:cs="Calibri"/>
          <w:lang w:val="fr-CA"/>
        </w:rPr>
        <w:t>En outre, l’Article 10 demande que l’ordre du jour provisoire soit distribué dans les « langues officielles » trois mois avant la COP</w:t>
      </w:r>
      <w:r w:rsidRPr="003C6890">
        <w:rPr>
          <w:rStyle w:val="FootnoteReference"/>
          <w:rFonts w:cs="Calibri"/>
          <w:lang w:val="fr-CA"/>
        </w:rPr>
        <w:footnoteReference w:id="8"/>
      </w:r>
      <w:r>
        <w:rPr>
          <w:rFonts w:cs="Calibri"/>
          <w:lang w:val="fr-CA"/>
        </w:rPr>
        <w:t>. L’Article</w:t>
      </w:r>
      <w:r w:rsidRPr="003C6890">
        <w:rPr>
          <w:rFonts w:cs="Calibri"/>
          <w:lang w:val="fr-CA"/>
        </w:rPr>
        <w:t xml:space="preserve"> 18</w:t>
      </w:r>
      <w:r w:rsidR="005F0F66">
        <w:rPr>
          <w:rFonts w:cs="Calibri"/>
          <w:lang w:val="fr-CA"/>
        </w:rPr>
        <w:t xml:space="preserve"> alinéa </w:t>
      </w:r>
      <w:r w:rsidRPr="003C6890">
        <w:rPr>
          <w:rFonts w:cs="Calibri"/>
          <w:lang w:val="fr-CA"/>
        </w:rPr>
        <w:t xml:space="preserve">6 </w:t>
      </w:r>
      <w:r>
        <w:rPr>
          <w:rFonts w:cs="Calibri"/>
          <w:lang w:val="fr-CA"/>
        </w:rPr>
        <w:t xml:space="preserve">indique que si les </w:t>
      </w:r>
      <w:r w:rsidR="005F0F66">
        <w:rPr>
          <w:rFonts w:cs="Calibri"/>
          <w:lang w:val="fr-CA"/>
        </w:rPr>
        <w:t>pouvoirs</w:t>
      </w:r>
      <w:r>
        <w:rPr>
          <w:rFonts w:cs="Calibri"/>
          <w:lang w:val="fr-CA"/>
        </w:rPr>
        <w:t xml:space="preserve"> sont fournis dans une langue non officielle, </w:t>
      </w:r>
      <w:r w:rsidR="005F0F66">
        <w:rPr>
          <w:rFonts w:cs="Calibri"/>
          <w:lang w:val="fr-CA"/>
        </w:rPr>
        <w:t>ils</w:t>
      </w:r>
      <w:r>
        <w:rPr>
          <w:rFonts w:cs="Calibri"/>
          <w:lang w:val="fr-CA"/>
        </w:rPr>
        <w:t xml:space="preserve"> doivent être accompagnés d’une traduction dans une langue officielle</w:t>
      </w:r>
      <w:r w:rsidRPr="003C6890">
        <w:rPr>
          <w:rStyle w:val="FootnoteReference"/>
          <w:rFonts w:cs="Calibri"/>
          <w:lang w:val="fr-CA"/>
        </w:rPr>
        <w:footnoteReference w:id="9"/>
      </w:r>
      <w:r>
        <w:rPr>
          <w:rFonts w:cs="Calibri"/>
          <w:lang w:val="fr-CA"/>
        </w:rPr>
        <w:t>.</w:t>
      </w:r>
      <w:r w:rsidRPr="003C6890">
        <w:rPr>
          <w:rFonts w:cs="Calibri"/>
          <w:lang w:val="fr-CA"/>
        </w:rPr>
        <w:t xml:space="preserve"> </w:t>
      </w:r>
      <w:r>
        <w:rPr>
          <w:rFonts w:cs="Calibri"/>
          <w:lang w:val="fr-CA"/>
        </w:rPr>
        <w:t>L’Article </w:t>
      </w:r>
      <w:r w:rsidRPr="003C6890">
        <w:rPr>
          <w:rFonts w:cs="Calibri"/>
          <w:lang w:val="fr-CA"/>
        </w:rPr>
        <w:t xml:space="preserve">35 </w:t>
      </w:r>
      <w:r>
        <w:rPr>
          <w:rFonts w:cs="Calibri"/>
          <w:lang w:val="fr-CA"/>
        </w:rPr>
        <w:t>souligne que les nouvelles propositions peuvent être remises au Secrétariat « </w:t>
      </w:r>
      <w:r w:rsidRPr="003C6890">
        <w:rPr>
          <w:rFonts w:cs="Calibri"/>
          <w:lang w:val="fr-CA"/>
        </w:rPr>
        <w:t>dans l'une des langues officielles au moins,</w:t>
      </w:r>
      <w:r>
        <w:rPr>
          <w:rFonts w:cs="Calibri"/>
          <w:lang w:val="fr-CA"/>
        </w:rPr>
        <w:t> »</w:t>
      </w:r>
      <w:r w:rsidRPr="003C6890">
        <w:rPr>
          <w:rFonts w:cs="Calibri"/>
          <w:lang w:val="fr-CA"/>
        </w:rPr>
        <w:t xml:space="preserve"> </w:t>
      </w:r>
      <w:r>
        <w:rPr>
          <w:rFonts w:cs="Calibri"/>
          <w:lang w:val="fr-CA"/>
        </w:rPr>
        <w:t xml:space="preserve">mais qu’aucune discussion n’aura lieu tant que la proposition n’aura pas été traduite dans « les langues officielles » et fournie </w:t>
      </w:r>
      <w:r w:rsidR="005F0F66">
        <w:rPr>
          <w:rFonts w:cs="Calibri"/>
          <w:lang w:val="fr-CA"/>
        </w:rPr>
        <w:t>la veille de</w:t>
      </w:r>
      <w:r>
        <w:rPr>
          <w:rFonts w:cs="Calibri"/>
          <w:lang w:val="fr-CA"/>
        </w:rPr>
        <w:t xml:space="preserve"> la session</w:t>
      </w:r>
      <w:r w:rsidRPr="003C6890">
        <w:rPr>
          <w:rStyle w:val="FootnoteReference"/>
          <w:rFonts w:cs="Calibri"/>
          <w:lang w:val="fr-CA"/>
        </w:rPr>
        <w:footnoteReference w:id="10"/>
      </w:r>
      <w:r>
        <w:rPr>
          <w:rFonts w:cs="Calibri"/>
          <w:lang w:val="fr-CA"/>
        </w:rPr>
        <w:t>.</w:t>
      </w:r>
    </w:p>
    <w:p w:rsidR="00F25888" w:rsidRPr="003C6890" w:rsidRDefault="00F25888" w:rsidP="002C3291">
      <w:pPr>
        <w:pStyle w:val="ListParagraph"/>
        <w:numPr>
          <w:ilvl w:val="0"/>
          <w:numId w:val="25"/>
        </w:numPr>
        <w:spacing w:before="120" w:line="360" w:lineRule="auto"/>
        <w:contextualSpacing w:val="0"/>
        <w:rPr>
          <w:rFonts w:cs="Calibri"/>
          <w:lang w:val="fr-CA"/>
        </w:rPr>
      </w:pPr>
      <w:r>
        <w:rPr>
          <w:rFonts w:cs="Calibri"/>
          <w:lang w:val="fr-CA"/>
        </w:rPr>
        <w:t>Le Secrétariat a la responsabilité de : i) fournir une interprétation adéquate pour les sessions et ii) produire, traduire et distribuer la documentation des sessions et la documentation officielle</w:t>
      </w:r>
      <w:r w:rsidRPr="003C6890">
        <w:rPr>
          <w:rStyle w:val="FootnoteReference"/>
          <w:rFonts w:cs="Calibri"/>
          <w:lang w:val="fr-CA"/>
        </w:rPr>
        <w:footnoteReference w:id="11"/>
      </w:r>
      <w:r>
        <w:rPr>
          <w:rFonts w:cs="Calibri"/>
          <w:lang w:val="fr-CA"/>
        </w:rPr>
        <w:t xml:space="preserve">. L’Article 26.7 indique qu’il n’y a pas obligation de fournir l’interprétation </w:t>
      </w:r>
      <w:r w:rsidR="005F0F66">
        <w:rPr>
          <w:rFonts w:cs="Calibri"/>
          <w:lang w:val="fr-CA"/>
        </w:rPr>
        <w:t>pour</w:t>
      </w:r>
      <w:r>
        <w:rPr>
          <w:rFonts w:cs="Calibri"/>
          <w:lang w:val="fr-CA"/>
        </w:rPr>
        <w:t xml:space="preserve"> les sessions des comités ou des groupes de travail</w:t>
      </w:r>
      <w:r w:rsidRPr="003C6890">
        <w:rPr>
          <w:rStyle w:val="FootnoteReference"/>
          <w:rFonts w:cs="Calibri"/>
          <w:lang w:val="fr-CA"/>
        </w:rPr>
        <w:footnoteReference w:id="12"/>
      </w:r>
      <w:r>
        <w:rPr>
          <w:rFonts w:cs="Calibri"/>
          <w:lang w:val="fr-CA"/>
        </w:rPr>
        <w:t xml:space="preserve"> et selon les Parties, depuis 2002, un financement est attribué à l’interprétation des séances plénières du Comité permanent et du Comité de la Conférence</w:t>
      </w:r>
      <w:r w:rsidRPr="003C6890">
        <w:rPr>
          <w:rStyle w:val="FootnoteReference"/>
          <w:rFonts w:cs="Calibri"/>
          <w:lang w:val="fr-CA"/>
        </w:rPr>
        <w:footnoteReference w:id="13"/>
      </w:r>
      <w:r>
        <w:rPr>
          <w:rFonts w:cs="Calibri"/>
          <w:lang w:val="fr-CA"/>
        </w:rPr>
        <w:t xml:space="preserve"> mais ce n’est pas le cas pour les groupes de travail</w:t>
      </w:r>
      <w:r w:rsidRPr="003C6890">
        <w:rPr>
          <w:rStyle w:val="FootnoteReference"/>
          <w:rFonts w:cs="Calibri"/>
          <w:lang w:val="fr-CA"/>
        </w:rPr>
        <w:footnoteReference w:id="14"/>
      </w:r>
      <w:r>
        <w:rPr>
          <w:rFonts w:cs="Calibri"/>
          <w:lang w:val="fr-CA"/>
        </w:rPr>
        <w:t>.</w:t>
      </w:r>
    </w:p>
    <w:p w:rsidR="00F25888" w:rsidRPr="003C6890" w:rsidRDefault="00F25888" w:rsidP="008A6C52">
      <w:pPr>
        <w:keepNext/>
        <w:keepLines/>
        <w:rPr>
          <w:rFonts w:cs="Calibri"/>
          <w:b/>
          <w:lang w:val="fr-CA"/>
        </w:rPr>
      </w:pPr>
      <w:r w:rsidRPr="003C6890">
        <w:rPr>
          <w:rFonts w:cs="Calibri"/>
          <w:b/>
          <w:lang w:val="fr-CA"/>
        </w:rPr>
        <w:t xml:space="preserve">III. </w:t>
      </w:r>
      <w:r w:rsidRPr="003C6890">
        <w:rPr>
          <w:rFonts w:cs="Calibri"/>
          <w:b/>
          <w:lang w:val="fr-CA"/>
        </w:rPr>
        <w:tab/>
        <w:t>COMPAR</w:t>
      </w:r>
      <w:r w:rsidR="000F404C">
        <w:rPr>
          <w:rFonts w:cs="Calibri"/>
          <w:b/>
          <w:lang w:val="fr-CA"/>
        </w:rPr>
        <w:t>A</w:t>
      </w:r>
      <w:r w:rsidRPr="003C6890">
        <w:rPr>
          <w:rFonts w:cs="Calibri"/>
          <w:b/>
          <w:lang w:val="fr-CA"/>
        </w:rPr>
        <w:t xml:space="preserve">ISON </w:t>
      </w:r>
      <w:r>
        <w:rPr>
          <w:rFonts w:cs="Calibri"/>
          <w:b/>
          <w:lang w:val="fr-CA"/>
        </w:rPr>
        <w:t>DES TERMES CLÉS</w:t>
      </w:r>
      <w:r w:rsidRPr="003C6890">
        <w:rPr>
          <w:rFonts w:cs="Calibri"/>
          <w:b/>
          <w:lang w:val="fr-CA"/>
        </w:rPr>
        <w:t xml:space="preserve">  </w:t>
      </w:r>
    </w:p>
    <w:p w:rsidR="00F25888" w:rsidRPr="003C6890" w:rsidRDefault="00F25888" w:rsidP="0078519E">
      <w:pPr>
        <w:pStyle w:val="ListParagraph"/>
        <w:numPr>
          <w:ilvl w:val="0"/>
          <w:numId w:val="25"/>
        </w:numPr>
        <w:spacing w:before="120" w:line="360" w:lineRule="auto"/>
        <w:contextualSpacing w:val="0"/>
        <w:rPr>
          <w:rFonts w:cs="Calibri"/>
          <w:lang w:val="fr-CA"/>
        </w:rPr>
      </w:pPr>
      <w:r>
        <w:rPr>
          <w:rFonts w:cs="Calibri"/>
          <w:lang w:val="fr-CA"/>
        </w:rPr>
        <w:t>Il importe de différenc</w:t>
      </w:r>
      <w:r w:rsidR="000F404C">
        <w:rPr>
          <w:rFonts w:cs="Calibri"/>
          <w:lang w:val="fr-CA"/>
        </w:rPr>
        <w:t>ier</w:t>
      </w:r>
      <w:r>
        <w:rPr>
          <w:rFonts w:cs="Calibri"/>
          <w:lang w:val="fr-CA"/>
        </w:rPr>
        <w:t xml:space="preserve"> les termes clés utilisés pour faire référence à la traduction dans les différentes langues. Le terme « langue originale » fait simplement référence à la langue ou aux langues dans lesquelles le texte du traité en vigueur a été authentifié dans le droit international, chaque version du texte faisant également </w:t>
      </w:r>
      <w:r w:rsidR="000F404C">
        <w:rPr>
          <w:rFonts w:cs="Calibri"/>
          <w:lang w:val="fr-CA"/>
        </w:rPr>
        <w:t>foi</w:t>
      </w:r>
      <w:r w:rsidRPr="003C6890">
        <w:rPr>
          <w:rStyle w:val="FootnoteReference"/>
          <w:rFonts w:cs="Calibri"/>
          <w:lang w:val="fr-CA"/>
        </w:rPr>
        <w:footnoteReference w:id="15"/>
      </w:r>
      <w:r>
        <w:rPr>
          <w:rFonts w:cs="Calibri"/>
          <w:lang w:val="fr-CA"/>
        </w:rPr>
        <w:t>. Ce fait est habituellement considéré comme historique, déterminé par le texte du traité lui</w:t>
      </w:r>
      <w:r>
        <w:rPr>
          <w:rFonts w:cs="Calibri"/>
          <w:lang w:val="fr-CA"/>
        </w:rPr>
        <w:noBreakHyphen/>
        <w:t>même. Dans le cas de la Convention de Ramsar, les « langues originales » ont été établies comme étant l’anglais, le français, l’allemand et le russe, avec des versions officielles du texte du traité en arabe, en chinois et en espagnol</w:t>
      </w:r>
      <w:r w:rsidRPr="003C6890">
        <w:rPr>
          <w:rStyle w:val="FootnoteReference"/>
          <w:rFonts w:cs="Calibri"/>
          <w:lang w:val="fr-CA"/>
        </w:rPr>
        <w:footnoteReference w:id="16"/>
      </w:r>
      <w:r>
        <w:rPr>
          <w:rFonts w:cs="Calibri"/>
          <w:lang w:val="fr-CA"/>
        </w:rPr>
        <w:t>.</w:t>
      </w:r>
      <w:r w:rsidRPr="003C6890">
        <w:rPr>
          <w:rFonts w:cs="Calibri"/>
          <w:lang w:val="fr-CA"/>
        </w:rPr>
        <w:t xml:space="preserve"> </w:t>
      </w:r>
      <w:r>
        <w:rPr>
          <w:rFonts w:cs="Calibri"/>
          <w:lang w:val="fr-CA"/>
        </w:rPr>
        <w:t>Les traductions additionnelles, tout en étant officiellement approuvées, doivent être distinguées comme n’étant pas authentiques et, en conséquence, ne transmettant pas la même présomption d’égalité à des fins d’interprétation et d’autorité que détiennent les textes authentifiés dans les « langues originales »</w:t>
      </w:r>
      <w:r w:rsidRPr="003C6890">
        <w:rPr>
          <w:rStyle w:val="FootnoteReference"/>
          <w:rFonts w:cs="Calibri"/>
          <w:lang w:val="fr-CA"/>
        </w:rPr>
        <w:footnoteReference w:id="17"/>
      </w:r>
      <w:r>
        <w:rPr>
          <w:rFonts w:cs="Calibri"/>
          <w:lang w:val="fr-CA"/>
        </w:rPr>
        <w:t>.</w:t>
      </w:r>
      <w:r w:rsidRPr="003C6890">
        <w:rPr>
          <w:rFonts w:cs="Calibri"/>
          <w:lang w:val="fr-CA"/>
        </w:rPr>
        <w:t xml:space="preserve"> (</w:t>
      </w:r>
      <w:r>
        <w:rPr>
          <w:rFonts w:cs="Calibri"/>
          <w:lang w:val="fr-CA"/>
        </w:rPr>
        <w:t xml:space="preserve">Par exemple, pour une langue originale, en cas de doute, les interprètes du traité peuvent se référer à d’autres documents dans la même langue pour déterminer le sens habituel des termes dans cette langue, aux fins d’aider à l’interprétation). </w:t>
      </w:r>
    </w:p>
    <w:p w:rsidR="00F25888" w:rsidRPr="003C6890" w:rsidRDefault="00F25888" w:rsidP="0078519E">
      <w:pPr>
        <w:pStyle w:val="ListParagraph"/>
        <w:numPr>
          <w:ilvl w:val="0"/>
          <w:numId w:val="25"/>
        </w:numPr>
        <w:spacing w:before="120" w:line="360" w:lineRule="auto"/>
        <w:contextualSpacing w:val="0"/>
        <w:rPr>
          <w:rFonts w:cs="Calibri"/>
          <w:lang w:val="fr-CA"/>
        </w:rPr>
      </w:pPr>
      <w:r>
        <w:rPr>
          <w:rFonts w:cs="Calibri"/>
          <w:lang w:val="fr-CA"/>
        </w:rPr>
        <w:t xml:space="preserve">Les termes « officielles » et « de travail » n’ont pas de définition précise dans le droit international </w:t>
      </w:r>
      <w:r w:rsidR="000F404C">
        <w:rPr>
          <w:rFonts w:cs="Calibri"/>
          <w:lang w:val="fr-CA"/>
        </w:rPr>
        <w:t>mais ils</w:t>
      </w:r>
      <w:r>
        <w:rPr>
          <w:rFonts w:cs="Calibri"/>
          <w:lang w:val="fr-CA"/>
        </w:rPr>
        <w:t xml:space="preserve"> sont souvent définis dans le Règlement intérieur de l’organisation, avec</w:t>
      </w:r>
      <w:r w:rsidR="000F404C">
        <w:rPr>
          <w:rFonts w:cs="Calibri"/>
          <w:lang w:val="fr-CA"/>
        </w:rPr>
        <w:t xml:space="preserve"> </w:t>
      </w:r>
      <w:r>
        <w:rPr>
          <w:rFonts w:cs="Calibri"/>
          <w:lang w:val="fr-CA"/>
        </w:rPr>
        <w:t xml:space="preserve">des distinctions </w:t>
      </w:r>
      <w:r w:rsidR="000F404C">
        <w:rPr>
          <w:rFonts w:cs="Calibri"/>
          <w:lang w:val="fr-CA"/>
        </w:rPr>
        <w:t xml:space="preserve">qui souvent, </w:t>
      </w:r>
      <w:r>
        <w:rPr>
          <w:rFonts w:cs="Calibri"/>
          <w:lang w:val="fr-CA"/>
        </w:rPr>
        <w:t>en pratique</w:t>
      </w:r>
      <w:r w:rsidR="000F404C">
        <w:rPr>
          <w:rFonts w:cs="Calibri"/>
          <w:lang w:val="fr-CA"/>
        </w:rPr>
        <w:t>,</w:t>
      </w:r>
      <w:r>
        <w:rPr>
          <w:rFonts w:cs="Calibri"/>
          <w:lang w:val="fr-CA"/>
        </w:rPr>
        <w:t xml:space="preserve"> se recouvr</w:t>
      </w:r>
      <w:r w:rsidR="000F404C">
        <w:rPr>
          <w:rFonts w:cs="Calibri"/>
          <w:lang w:val="fr-CA"/>
        </w:rPr>
        <w:t>e</w:t>
      </w:r>
      <w:r>
        <w:rPr>
          <w:rFonts w:cs="Calibri"/>
          <w:lang w:val="fr-CA"/>
        </w:rPr>
        <w:t xml:space="preserve">nt ou </w:t>
      </w:r>
      <w:r w:rsidR="000F404C">
        <w:rPr>
          <w:rFonts w:cs="Calibri"/>
          <w:lang w:val="fr-CA"/>
        </w:rPr>
        <w:t>sont in</w:t>
      </w:r>
      <w:r>
        <w:rPr>
          <w:rFonts w:cs="Calibri"/>
          <w:lang w:val="fr-CA"/>
        </w:rPr>
        <w:t>existantes »</w:t>
      </w:r>
      <w:r w:rsidRPr="003C6890">
        <w:rPr>
          <w:rStyle w:val="FootnoteReference"/>
          <w:rFonts w:cs="Calibri"/>
          <w:lang w:val="fr-CA"/>
        </w:rPr>
        <w:footnoteReference w:id="18"/>
      </w:r>
      <w:r>
        <w:rPr>
          <w:rFonts w:cs="Calibri"/>
          <w:lang w:val="fr-CA"/>
        </w:rPr>
        <w:t>.</w:t>
      </w:r>
      <w:r w:rsidRPr="003C6890">
        <w:rPr>
          <w:rFonts w:cs="Calibri"/>
          <w:lang w:val="fr-CA"/>
        </w:rPr>
        <w:t xml:space="preserve"> </w:t>
      </w:r>
      <w:r>
        <w:rPr>
          <w:rFonts w:cs="Calibri"/>
          <w:lang w:val="fr-CA"/>
        </w:rPr>
        <w:t>Les Nations Unies ont à l’origine choisi leurs langues « de travail » pour : i) </w:t>
      </w:r>
      <w:r w:rsidR="000F404C">
        <w:rPr>
          <w:rFonts w:cs="Calibri"/>
          <w:lang w:val="fr-CA"/>
        </w:rPr>
        <w:t>qu’elles correspondent aux</w:t>
      </w:r>
      <w:r>
        <w:rPr>
          <w:rFonts w:cs="Calibri"/>
          <w:lang w:val="fr-CA"/>
        </w:rPr>
        <w:t xml:space="preserve"> langues pri</w:t>
      </w:r>
      <w:r w:rsidR="000F404C">
        <w:rPr>
          <w:rFonts w:cs="Calibri"/>
          <w:lang w:val="fr-CA"/>
        </w:rPr>
        <w:t>ncipales</w:t>
      </w:r>
      <w:r>
        <w:rPr>
          <w:rFonts w:cs="Calibri"/>
          <w:lang w:val="fr-CA"/>
        </w:rPr>
        <w:t xml:space="preserve"> utilisées dans l’institution et ii) économiser sur les frais de personnel, de traduction et d’interprétation</w:t>
      </w:r>
      <w:r w:rsidRPr="003C6890">
        <w:rPr>
          <w:rStyle w:val="FootnoteReference"/>
          <w:rFonts w:cs="Calibri"/>
          <w:lang w:val="fr-CA"/>
        </w:rPr>
        <w:footnoteReference w:id="19"/>
      </w:r>
      <w:r>
        <w:rPr>
          <w:rFonts w:cs="Calibri"/>
          <w:lang w:val="fr-CA"/>
        </w:rPr>
        <w:t>.</w:t>
      </w:r>
    </w:p>
    <w:p w:rsidR="00F25888" w:rsidRPr="003C6890" w:rsidRDefault="00F25888" w:rsidP="0078519E">
      <w:pPr>
        <w:pStyle w:val="ListParagraph"/>
        <w:numPr>
          <w:ilvl w:val="0"/>
          <w:numId w:val="25"/>
        </w:numPr>
        <w:spacing w:before="120" w:line="360" w:lineRule="auto"/>
        <w:contextualSpacing w:val="0"/>
        <w:rPr>
          <w:rFonts w:cs="Calibri"/>
          <w:lang w:val="fr-CA"/>
        </w:rPr>
      </w:pPr>
      <w:r>
        <w:rPr>
          <w:rFonts w:cs="Calibri"/>
          <w:lang w:val="fr-CA"/>
        </w:rPr>
        <w:t>Le Règlement intérieur de l’Assemblée générale des Nations Unies a été adopté à l’origine en 1947 et indique cinq « langues officielles » (anglais, français, espagnol, russe et chinois) et deux « langues de travail (anglais et français) »</w:t>
      </w:r>
      <w:r w:rsidRPr="003C6890">
        <w:rPr>
          <w:rStyle w:val="FootnoteReference"/>
          <w:rFonts w:cs="Calibri"/>
          <w:lang w:val="fr-CA"/>
        </w:rPr>
        <w:footnoteReference w:id="20"/>
      </w:r>
      <w:r>
        <w:rPr>
          <w:rFonts w:cs="Calibri"/>
          <w:lang w:val="fr-CA"/>
        </w:rPr>
        <w:t>.</w:t>
      </w:r>
      <w:r w:rsidRPr="003C6890">
        <w:rPr>
          <w:rFonts w:cs="Calibri"/>
          <w:lang w:val="fr-CA"/>
        </w:rPr>
        <w:t xml:space="preserve"> </w:t>
      </w:r>
      <w:r>
        <w:rPr>
          <w:rFonts w:cs="Calibri"/>
          <w:lang w:val="fr-CA"/>
        </w:rPr>
        <w:t>Toutes les résolutions, les documents importants et les rapports devaient être traduits dans les « langues officielles » tandis que les minutes, les documents opérationnels et le journal devaient être traduits dans les « langues de travail »</w:t>
      </w:r>
      <w:r w:rsidRPr="003C6890">
        <w:rPr>
          <w:rStyle w:val="FootnoteReference"/>
          <w:rFonts w:cs="Calibri"/>
          <w:lang w:val="fr-CA"/>
        </w:rPr>
        <w:footnoteReference w:id="21"/>
      </w:r>
      <w:r>
        <w:rPr>
          <w:rFonts w:cs="Calibri"/>
          <w:lang w:val="fr-CA"/>
        </w:rPr>
        <w:t>.</w:t>
      </w:r>
      <w:r w:rsidRPr="003C6890">
        <w:rPr>
          <w:rFonts w:cs="Calibri"/>
          <w:lang w:val="fr-CA"/>
        </w:rPr>
        <w:t xml:space="preserve"> </w:t>
      </w:r>
      <w:r>
        <w:rPr>
          <w:rFonts w:cs="Calibri"/>
          <w:lang w:val="fr-CA"/>
        </w:rPr>
        <w:t>L’Assemblée générale a adopté l’interprétation simultanée en 1946 pour toutes les déclarations faites dans une des « langues officielles » avec une interprétation consécutive intégrale fournie à la conclusion dans les « langues de travail »</w:t>
      </w:r>
      <w:r w:rsidRPr="003C6890">
        <w:rPr>
          <w:rStyle w:val="FootnoteReference"/>
          <w:rFonts w:cs="Calibri"/>
          <w:lang w:val="fr-CA"/>
        </w:rPr>
        <w:footnoteReference w:id="22"/>
      </w:r>
      <w:r>
        <w:rPr>
          <w:rFonts w:cs="Calibri"/>
          <w:lang w:val="fr-CA"/>
        </w:rPr>
        <w:t>. La liste des « langues de travail » a cependant progressivement changé pour refléter les « langues officielles » avec l’intégration de l’espagnol en 1948</w:t>
      </w:r>
      <w:r w:rsidRPr="003C6890">
        <w:rPr>
          <w:rStyle w:val="FootnoteReference"/>
          <w:rFonts w:cs="Calibri"/>
          <w:lang w:val="fr-CA"/>
        </w:rPr>
        <w:footnoteReference w:id="23"/>
      </w:r>
      <w:r>
        <w:rPr>
          <w:rFonts w:cs="Calibri"/>
          <w:lang w:val="fr-CA"/>
        </w:rPr>
        <w:t>,</w:t>
      </w:r>
      <w:r w:rsidRPr="003C6890">
        <w:rPr>
          <w:rFonts w:cs="Calibri"/>
          <w:lang w:val="fr-CA"/>
        </w:rPr>
        <w:t xml:space="preserve"> </w:t>
      </w:r>
      <w:r>
        <w:rPr>
          <w:rFonts w:cs="Calibri"/>
          <w:lang w:val="fr-CA"/>
        </w:rPr>
        <w:t>du russe en </w:t>
      </w:r>
      <w:r w:rsidRPr="003C6890">
        <w:rPr>
          <w:rFonts w:cs="Calibri"/>
          <w:lang w:val="fr-CA"/>
        </w:rPr>
        <w:t>1968</w:t>
      </w:r>
      <w:r w:rsidRPr="003C6890">
        <w:rPr>
          <w:rStyle w:val="FootnoteReference"/>
          <w:rFonts w:cs="Calibri"/>
          <w:lang w:val="fr-CA"/>
        </w:rPr>
        <w:footnoteReference w:id="24"/>
      </w:r>
      <w:r w:rsidRPr="003C6890">
        <w:rPr>
          <w:rFonts w:cs="Calibri"/>
          <w:lang w:val="fr-CA"/>
        </w:rPr>
        <w:t xml:space="preserve"> </w:t>
      </w:r>
      <w:r>
        <w:rPr>
          <w:rFonts w:cs="Calibri"/>
          <w:lang w:val="fr-CA"/>
        </w:rPr>
        <w:t>et du chinois</w:t>
      </w:r>
      <w:r w:rsidRPr="003C6890">
        <w:rPr>
          <w:rStyle w:val="FootnoteReference"/>
          <w:rFonts w:cs="Calibri"/>
          <w:lang w:val="fr-CA"/>
        </w:rPr>
        <w:footnoteReference w:id="25"/>
      </w:r>
      <w:r w:rsidRPr="003C6890">
        <w:rPr>
          <w:rFonts w:cs="Calibri"/>
          <w:lang w:val="fr-CA"/>
        </w:rPr>
        <w:t xml:space="preserve"> </w:t>
      </w:r>
      <w:r>
        <w:rPr>
          <w:rFonts w:cs="Calibri"/>
          <w:lang w:val="fr-CA"/>
        </w:rPr>
        <w:t>et de l’arabe, tous deux en </w:t>
      </w:r>
      <w:r w:rsidRPr="003C6890">
        <w:rPr>
          <w:rFonts w:cs="Calibri"/>
          <w:lang w:val="fr-CA"/>
        </w:rPr>
        <w:t>1973</w:t>
      </w:r>
      <w:r w:rsidRPr="003C6890">
        <w:rPr>
          <w:rStyle w:val="FootnoteReference"/>
          <w:rFonts w:cs="Calibri"/>
          <w:lang w:val="fr-CA"/>
        </w:rPr>
        <w:footnoteReference w:id="26"/>
      </w:r>
      <w:r>
        <w:rPr>
          <w:rFonts w:cs="Calibri"/>
          <w:lang w:val="fr-CA"/>
        </w:rPr>
        <w:t xml:space="preserve"> et avec la modification officielle du Règlement intérieur de l’Assemblée générale des Nations Unies pour faire de toutes les « langues officielles » des « langues de travail » également</w:t>
      </w:r>
      <w:r w:rsidRPr="003C6890">
        <w:rPr>
          <w:rStyle w:val="FootnoteReference"/>
          <w:rFonts w:cs="Calibri"/>
          <w:lang w:val="fr-CA"/>
        </w:rPr>
        <w:footnoteReference w:id="27"/>
      </w:r>
      <w:r>
        <w:rPr>
          <w:rFonts w:cs="Calibri"/>
          <w:lang w:val="fr-CA"/>
        </w:rPr>
        <w:t>.</w:t>
      </w:r>
      <w:r w:rsidRPr="003C6890">
        <w:rPr>
          <w:rFonts w:cs="Calibri"/>
          <w:lang w:val="fr-CA"/>
        </w:rPr>
        <w:t xml:space="preserve"> </w:t>
      </w:r>
      <w:r>
        <w:rPr>
          <w:rFonts w:cs="Calibri"/>
          <w:lang w:val="fr-CA"/>
        </w:rPr>
        <w:t xml:space="preserve">L’intégration de l’interprétation simultanée a conduit au retrait de </w:t>
      </w:r>
      <w:r w:rsidRPr="00186198">
        <w:rPr>
          <w:rFonts w:cs="Calibri"/>
          <w:lang w:val="fr-CA"/>
        </w:rPr>
        <w:t>nombreux différenciateurs de procédure entre</w:t>
      </w:r>
      <w:r>
        <w:rPr>
          <w:rFonts w:cs="Calibri"/>
          <w:lang w:val="fr-CA"/>
        </w:rPr>
        <w:t xml:space="preserve"> les deux termes</w:t>
      </w:r>
      <w:r w:rsidRPr="003C6890">
        <w:rPr>
          <w:rStyle w:val="FootnoteReference"/>
          <w:rFonts w:cs="Calibri"/>
          <w:lang w:val="fr-CA"/>
        </w:rPr>
        <w:footnoteReference w:id="28"/>
      </w:r>
      <w:r>
        <w:rPr>
          <w:rFonts w:cs="Calibri"/>
          <w:lang w:val="fr-CA"/>
        </w:rPr>
        <w:t>.</w:t>
      </w:r>
    </w:p>
    <w:p w:rsidR="00F25888" w:rsidRPr="003C6890" w:rsidRDefault="00F25888" w:rsidP="00254668">
      <w:pPr>
        <w:pStyle w:val="ListParagraph"/>
        <w:numPr>
          <w:ilvl w:val="0"/>
          <w:numId w:val="25"/>
        </w:numPr>
        <w:spacing w:before="120" w:line="360" w:lineRule="auto"/>
        <w:contextualSpacing w:val="0"/>
        <w:rPr>
          <w:rFonts w:cs="Calibri"/>
          <w:lang w:val="fr-CA"/>
        </w:rPr>
      </w:pPr>
      <w:r>
        <w:rPr>
          <w:rFonts w:cs="Calibri"/>
          <w:lang w:val="fr-CA"/>
        </w:rPr>
        <w:t>Actuellement, le Règlement intérieur de la Convention de Ramsar ne semble pas faire de différenciation de procédure entre les « langues officielles » et les « langues de travail » de la Convention</w:t>
      </w:r>
      <w:r w:rsidRPr="003C6890">
        <w:rPr>
          <w:rStyle w:val="FootnoteReference"/>
          <w:rFonts w:cs="Calibri"/>
          <w:lang w:val="fr-CA"/>
        </w:rPr>
        <w:footnoteReference w:id="29"/>
      </w:r>
      <w:r>
        <w:rPr>
          <w:rFonts w:cs="Calibri"/>
          <w:lang w:val="fr-CA"/>
        </w:rPr>
        <w:t>.</w:t>
      </w:r>
    </w:p>
    <w:p w:rsidR="00F25888" w:rsidRPr="003C6890" w:rsidRDefault="00F25888" w:rsidP="002C3291">
      <w:pPr>
        <w:rPr>
          <w:rFonts w:cs="Calibri"/>
          <w:b/>
          <w:lang w:val="fr-CA"/>
        </w:rPr>
      </w:pPr>
      <w:r w:rsidRPr="003C6890">
        <w:rPr>
          <w:rFonts w:cs="Calibri"/>
          <w:b/>
          <w:lang w:val="fr-CA"/>
        </w:rPr>
        <w:t>IV.</w:t>
      </w:r>
      <w:r w:rsidRPr="003C6890">
        <w:rPr>
          <w:rFonts w:cs="Calibri"/>
          <w:b/>
          <w:lang w:val="fr-CA"/>
        </w:rPr>
        <w:tab/>
        <w:t xml:space="preserve">OPTIONS </w:t>
      </w:r>
      <w:r>
        <w:rPr>
          <w:rFonts w:cs="Calibri"/>
          <w:b/>
          <w:lang w:val="fr-CA"/>
        </w:rPr>
        <w:t xml:space="preserve">POUR </w:t>
      </w:r>
      <w:r w:rsidR="00072DBD">
        <w:rPr>
          <w:rFonts w:cs="Calibri"/>
          <w:b/>
          <w:lang w:val="fr-CA"/>
        </w:rPr>
        <w:t>L’UTILISATION ET L’INTRODUCTION DE</w:t>
      </w:r>
      <w:r>
        <w:rPr>
          <w:rFonts w:cs="Calibri"/>
          <w:b/>
          <w:lang w:val="fr-CA"/>
        </w:rPr>
        <w:t xml:space="preserve"> L’ARABE DANS LES TRAVAUX DE LA CONVENTION </w:t>
      </w:r>
    </w:p>
    <w:p w:rsidR="00F25888" w:rsidRPr="003C6890" w:rsidRDefault="00F25888" w:rsidP="008A6C52">
      <w:pPr>
        <w:pStyle w:val="ListParagraph"/>
        <w:numPr>
          <w:ilvl w:val="0"/>
          <w:numId w:val="25"/>
        </w:numPr>
        <w:spacing w:before="120" w:line="360" w:lineRule="auto"/>
        <w:contextualSpacing w:val="0"/>
        <w:rPr>
          <w:rFonts w:cs="Calibri"/>
          <w:lang w:val="fr-CA"/>
        </w:rPr>
      </w:pPr>
      <w:r>
        <w:rPr>
          <w:rFonts w:cs="Calibri"/>
          <w:lang w:val="fr-CA"/>
        </w:rPr>
        <w:t xml:space="preserve">Différentes options sont à disposition pour </w:t>
      </w:r>
      <w:r w:rsidR="00072DBD">
        <w:rPr>
          <w:rFonts w:cs="Calibri"/>
          <w:lang w:val="fr-CA"/>
        </w:rPr>
        <w:t>utiliser</w:t>
      </w:r>
      <w:r>
        <w:rPr>
          <w:rFonts w:cs="Calibri"/>
          <w:lang w:val="fr-CA"/>
        </w:rPr>
        <w:t xml:space="preserve"> l’arabe dans les travaux de la Convention. Chacune soulève des considérations financières et opérationnelles différentes et toute</w:t>
      </w:r>
      <w:r w:rsidR="00072DBD">
        <w:rPr>
          <w:rFonts w:cs="Calibri"/>
          <w:lang w:val="fr-CA"/>
        </w:rPr>
        <w:t>s</w:t>
      </w:r>
      <w:r>
        <w:rPr>
          <w:rFonts w:cs="Calibri"/>
          <w:lang w:val="fr-CA"/>
        </w:rPr>
        <w:t xml:space="preserve"> peu</w:t>
      </w:r>
      <w:r w:rsidR="00072DBD">
        <w:rPr>
          <w:rFonts w:cs="Calibri"/>
          <w:lang w:val="fr-CA"/>
        </w:rPr>
        <w:t>vent</w:t>
      </w:r>
      <w:r>
        <w:rPr>
          <w:rFonts w:cs="Calibri"/>
          <w:lang w:val="fr-CA"/>
        </w:rPr>
        <w:t xml:space="preserve"> être mise</w:t>
      </w:r>
      <w:r w:rsidR="00072DBD">
        <w:rPr>
          <w:rFonts w:cs="Calibri"/>
          <w:lang w:val="fr-CA"/>
        </w:rPr>
        <w:t>s</w:t>
      </w:r>
      <w:r>
        <w:rPr>
          <w:rFonts w:cs="Calibri"/>
          <w:lang w:val="fr-CA"/>
        </w:rPr>
        <w:t xml:space="preserve"> en œuvre pas à pas. </w:t>
      </w:r>
      <w:r w:rsidR="00072DBD">
        <w:rPr>
          <w:rFonts w:cs="Calibri"/>
          <w:lang w:val="fr-CA"/>
        </w:rPr>
        <w:t>Selon l’avis</w:t>
      </w:r>
      <w:r>
        <w:rPr>
          <w:rFonts w:cs="Calibri"/>
          <w:lang w:val="fr-CA"/>
        </w:rPr>
        <w:t xml:space="preserve"> du Secrétariat, l’expérience institutionnelle sur ce sujet peut </w:t>
      </w:r>
      <w:r w:rsidR="00072DBD">
        <w:rPr>
          <w:rFonts w:cs="Calibri"/>
          <w:lang w:val="fr-CA"/>
        </w:rPr>
        <w:t>soutenir</w:t>
      </w:r>
      <w:r>
        <w:rPr>
          <w:rFonts w:cs="Calibri"/>
          <w:lang w:val="fr-CA"/>
        </w:rPr>
        <w:t xml:space="preserve"> </w:t>
      </w:r>
      <w:r w:rsidR="00186198">
        <w:rPr>
          <w:rFonts w:cs="Calibri"/>
          <w:lang w:val="fr-CA"/>
        </w:rPr>
        <w:t>trois</w:t>
      </w:r>
      <w:r w:rsidRPr="00186198">
        <w:rPr>
          <w:rFonts w:cs="Calibri"/>
          <w:lang w:val="fr-CA"/>
        </w:rPr>
        <w:t xml:space="preserve"> options</w:t>
      </w:r>
      <w:r>
        <w:rPr>
          <w:rFonts w:cs="Calibri"/>
          <w:lang w:val="fr-CA"/>
        </w:rPr>
        <w:t xml:space="preserve"> principales</w:t>
      </w:r>
      <w:r w:rsidR="00072DBD">
        <w:rPr>
          <w:rFonts w:cs="Calibri"/>
          <w:lang w:val="fr-CA"/>
        </w:rPr>
        <w:t xml:space="preserve"> </w:t>
      </w:r>
      <w:r>
        <w:rPr>
          <w:rFonts w:cs="Calibri"/>
          <w:lang w:val="fr-CA"/>
        </w:rPr>
        <w:t>:</w:t>
      </w:r>
      <w:r w:rsidRPr="003C6890">
        <w:rPr>
          <w:rFonts w:cs="Calibri"/>
          <w:lang w:val="fr-CA"/>
        </w:rPr>
        <w:t xml:space="preserve"> </w:t>
      </w:r>
    </w:p>
    <w:p w:rsidR="00F25888" w:rsidRPr="003C6890" w:rsidRDefault="00F25888">
      <w:pPr>
        <w:pStyle w:val="ListParagraph"/>
        <w:numPr>
          <w:ilvl w:val="0"/>
          <w:numId w:val="29"/>
        </w:numPr>
        <w:spacing w:before="120" w:line="360" w:lineRule="auto"/>
        <w:contextualSpacing w:val="0"/>
        <w:rPr>
          <w:rFonts w:cs="Calibri"/>
          <w:lang w:val="fr-CA"/>
        </w:rPr>
      </w:pPr>
      <w:r>
        <w:rPr>
          <w:rFonts w:cs="Calibri"/>
          <w:lang w:val="fr-CA"/>
        </w:rPr>
        <w:t xml:space="preserve">l’arabe peut être introduit à la fois comme « langue officielle » et « langue de travail », </w:t>
      </w:r>
    </w:p>
    <w:p w:rsidR="00F25888" w:rsidRPr="003C6890" w:rsidRDefault="00F25888">
      <w:pPr>
        <w:pStyle w:val="ListParagraph"/>
        <w:numPr>
          <w:ilvl w:val="0"/>
          <w:numId w:val="29"/>
        </w:numPr>
        <w:spacing w:before="120" w:line="360" w:lineRule="auto"/>
        <w:contextualSpacing w:val="0"/>
        <w:rPr>
          <w:rFonts w:cs="Calibri"/>
          <w:lang w:val="fr-CA"/>
        </w:rPr>
      </w:pPr>
      <w:r>
        <w:rPr>
          <w:rFonts w:cs="Calibri"/>
          <w:lang w:val="fr-CA"/>
        </w:rPr>
        <w:t>l’arabe peut être introduit comme « langue officielle » seulement</w:t>
      </w:r>
      <w:r w:rsidR="00072DBD">
        <w:rPr>
          <w:rFonts w:cs="Calibri"/>
          <w:lang w:val="fr-CA"/>
        </w:rPr>
        <w:t>,</w:t>
      </w:r>
      <w:r>
        <w:rPr>
          <w:rFonts w:cs="Calibri"/>
          <w:lang w:val="fr-CA"/>
        </w:rPr>
        <w:t xml:space="preserve"> sans modification des « langues de travail » et en créant une différenciation entre les deux termes, </w:t>
      </w:r>
    </w:p>
    <w:p w:rsidR="00F25888" w:rsidRPr="003C6890" w:rsidRDefault="00F25888">
      <w:pPr>
        <w:pStyle w:val="ListParagraph"/>
        <w:numPr>
          <w:ilvl w:val="0"/>
          <w:numId w:val="29"/>
        </w:numPr>
        <w:spacing w:before="120" w:line="360" w:lineRule="auto"/>
        <w:contextualSpacing w:val="0"/>
        <w:rPr>
          <w:rFonts w:cs="Calibri"/>
          <w:lang w:val="fr-CA"/>
        </w:rPr>
      </w:pPr>
      <w:r>
        <w:rPr>
          <w:rFonts w:cs="Calibri"/>
          <w:lang w:val="fr-CA"/>
        </w:rPr>
        <w:t xml:space="preserve">des articles pourraient être ajoutés au Règlement intérieur pour </w:t>
      </w:r>
      <w:r w:rsidR="00072DBD">
        <w:rPr>
          <w:rFonts w:cs="Calibri"/>
          <w:lang w:val="fr-CA"/>
        </w:rPr>
        <w:t>utiliser</w:t>
      </w:r>
      <w:r>
        <w:rPr>
          <w:rFonts w:cs="Calibri"/>
          <w:lang w:val="fr-CA"/>
        </w:rPr>
        <w:t xml:space="preserve"> l’arabe </w:t>
      </w:r>
      <w:r w:rsidR="00072DBD">
        <w:rPr>
          <w:rFonts w:cs="Calibri"/>
          <w:lang w:val="fr-CA"/>
        </w:rPr>
        <w:t>autrement</w:t>
      </w:r>
      <w:r>
        <w:rPr>
          <w:rFonts w:cs="Calibri"/>
          <w:lang w:val="fr-CA"/>
        </w:rPr>
        <w:t>, dans des conditions particulières.</w:t>
      </w:r>
      <w:r w:rsidRPr="003C6890">
        <w:rPr>
          <w:rFonts w:cs="Calibri"/>
          <w:lang w:val="fr-CA"/>
        </w:rPr>
        <w:t xml:space="preserve"> </w:t>
      </w:r>
    </w:p>
    <w:p w:rsidR="00F25888" w:rsidRPr="003C6890" w:rsidRDefault="00F25888" w:rsidP="00AF0070">
      <w:pPr>
        <w:spacing w:before="120" w:line="360" w:lineRule="auto"/>
        <w:rPr>
          <w:rFonts w:cs="Calibri"/>
          <w:i/>
          <w:lang w:val="fr-CA"/>
        </w:rPr>
      </w:pPr>
      <w:r>
        <w:rPr>
          <w:rFonts w:cs="Calibri"/>
          <w:i/>
          <w:lang w:val="fr-CA"/>
        </w:rPr>
        <w:t>« Langue officielle » et « langue de travail »</w:t>
      </w:r>
      <w:r w:rsidRPr="003C6890">
        <w:rPr>
          <w:rFonts w:cs="Calibri"/>
          <w:i/>
          <w:lang w:val="fr-CA"/>
        </w:rPr>
        <w:t xml:space="preserve"> </w:t>
      </w:r>
    </w:p>
    <w:p w:rsidR="00F25888" w:rsidRPr="003C6890" w:rsidRDefault="00320AAC" w:rsidP="008A6C52">
      <w:pPr>
        <w:pStyle w:val="ListParagraph"/>
        <w:numPr>
          <w:ilvl w:val="0"/>
          <w:numId w:val="25"/>
        </w:numPr>
        <w:spacing w:before="120" w:line="360" w:lineRule="auto"/>
        <w:contextualSpacing w:val="0"/>
        <w:rPr>
          <w:rFonts w:cs="Calibri"/>
          <w:lang w:val="fr-CA"/>
        </w:rPr>
      </w:pPr>
      <w:r>
        <w:rPr>
          <w:rFonts w:cs="Calibri"/>
          <w:lang w:val="fr-CA"/>
        </w:rPr>
        <w:t>Il est facile, tant du point de vue de la procédure que de la pratique d’introduire</w:t>
      </w:r>
      <w:r w:rsidR="00F25888">
        <w:rPr>
          <w:rFonts w:cs="Calibri"/>
          <w:lang w:val="fr-CA"/>
        </w:rPr>
        <w:t xml:space="preserve"> l’arabe </w:t>
      </w:r>
      <w:r>
        <w:rPr>
          <w:rFonts w:cs="Calibri"/>
          <w:lang w:val="fr-CA"/>
        </w:rPr>
        <w:t>aussi bien</w:t>
      </w:r>
      <w:r w:rsidR="00F25888">
        <w:rPr>
          <w:rFonts w:cs="Calibri"/>
          <w:lang w:val="fr-CA"/>
        </w:rPr>
        <w:t xml:space="preserve"> comme langue « officielle » que </w:t>
      </w:r>
      <w:r>
        <w:rPr>
          <w:rFonts w:cs="Calibri"/>
          <w:lang w:val="fr-CA"/>
        </w:rPr>
        <w:t xml:space="preserve">comme langue </w:t>
      </w:r>
      <w:r w:rsidR="00F25888">
        <w:rPr>
          <w:rFonts w:cs="Calibri"/>
          <w:lang w:val="fr-CA"/>
        </w:rPr>
        <w:t>« de travail ». En intégrant l’arabe à l’Assemblée générale, les Nations Unies ont adopté une approche qui accorde un statut concurrent à l’arabe</w:t>
      </w:r>
      <w:r w:rsidR="00F25888" w:rsidRPr="003C6890">
        <w:rPr>
          <w:rStyle w:val="FootnoteReference"/>
          <w:rFonts w:cs="Calibri"/>
          <w:lang w:val="fr-CA"/>
        </w:rPr>
        <w:footnoteReference w:id="30"/>
      </w:r>
      <w:r w:rsidR="00F25888">
        <w:rPr>
          <w:rFonts w:cs="Calibri"/>
          <w:lang w:val="fr-CA"/>
        </w:rPr>
        <w:t xml:space="preserve"> et les États arabes ont promis collectivement de défrayer les coûts financiers pour les trois premières années</w:t>
      </w:r>
      <w:r w:rsidR="00F25888" w:rsidRPr="003C6890">
        <w:rPr>
          <w:rStyle w:val="FootnoteReference"/>
          <w:rFonts w:cs="Calibri"/>
          <w:lang w:val="fr-CA"/>
        </w:rPr>
        <w:footnoteReference w:id="31"/>
      </w:r>
      <w:r w:rsidR="00F25888">
        <w:rPr>
          <w:rFonts w:cs="Calibri"/>
          <w:lang w:val="fr-CA"/>
        </w:rPr>
        <w:t>.</w:t>
      </w:r>
      <w:r w:rsidR="00F25888" w:rsidRPr="003C6890">
        <w:rPr>
          <w:rFonts w:cs="Calibri"/>
          <w:lang w:val="fr-CA"/>
        </w:rPr>
        <w:t xml:space="preserve"> </w:t>
      </w:r>
      <w:r w:rsidR="00F25888">
        <w:rPr>
          <w:rFonts w:cs="Calibri"/>
          <w:lang w:val="fr-CA"/>
        </w:rPr>
        <w:t xml:space="preserve">Toutefois, le statut concurrent était à l’origine </w:t>
      </w:r>
      <w:r>
        <w:rPr>
          <w:rFonts w:cs="Calibri"/>
          <w:lang w:val="fr-CA"/>
        </w:rPr>
        <w:t>de</w:t>
      </w:r>
      <w:r w:rsidR="00F25888">
        <w:rPr>
          <w:rFonts w:cs="Calibri"/>
          <w:lang w:val="fr-CA"/>
        </w:rPr>
        <w:t xml:space="preserve"> forme et non </w:t>
      </w:r>
      <w:r>
        <w:rPr>
          <w:rFonts w:cs="Calibri"/>
          <w:lang w:val="fr-CA"/>
        </w:rPr>
        <w:t>de</w:t>
      </w:r>
      <w:r w:rsidR="00F25888">
        <w:rPr>
          <w:rFonts w:cs="Calibri"/>
          <w:lang w:val="fr-CA"/>
        </w:rPr>
        <w:t xml:space="preserve"> fonction. L’arabe était reconnu tant comme « langue officielle » que « langue de travail » de l’Assemblée générale des Nations Unies et de ses principaux comités, mais des distinctions de procédure étaient appliquées, notamment en </w:t>
      </w:r>
      <w:r>
        <w:rPr>
          <w:rFonts w:cs="Calibri"/>
          <w:lang w:val="fr-CA"/>
        </w:rPr>
        <w:t>réservant</w:t>
      </w:r>
      <w:r w:rsidR="00F25888">
        <w:rPr>
          <w:rFonts w:cs="Calibri"/>
          <w:lang w:val="fr-CA"/>
        </w:rPr>
        <w:t xml:space="preserve"> la traduction de l’arabe </w:t>
      </w:r>
      <w:r>
        <w:rPr>
          <w:rFonts w:cs="Calibri"/>
          <w:lang w:val="fr-CA"/>
        </w:rPr>
        <w:t xml:space="preserve">uniquement </w:t>
      </w:r>
      <w:r w:rsidR="00F25888">
        <w:rPr>
          <w:rFonts w:cs="Calibri"/>
          <w:lang w:val="fr-CA"/>
        </w:rPr>
        <w:t>à l’Assemblée générale et aux comités</w:t>
      </w:r>
      <w:r w:rsidR="00F25888" w:rsidRPr="003C6890">
        <w:rPr>
          <w:rStyle w:val="FootnoteReference"/>
          <w:rFonts w:cs="Calibri"/>
          <w:lang w:val="fr-CA"/>
        </w:rPr>
        <w:footnoteReference w:id="32"/>
      </w:r>
      <w:r w:rsidR="00F25888">
        <w:rPr>
          <w:rFonts w:cs="Calibri"/>
          <w:lang w:val="fr-CA"/>
        </w:rPr>
        <w:t xml:space="preserve">, </w:t>
      </w:r>
      <w:r>
        <w:rPr>
          <w:rFonts w:cs="Calibri"/>
          <w:lang w:val="fr-CA"/>
        </w:rPr>
        <w:t>à l’exclusion des</w:t>
      </w:r>
      <w:r w:rsidR="00F25888">
        <w:rPr>
          <w:rFonts w:cs="Calibri"/>
          <w:lang w:val="fr-CA"/>
        </w:rPr>
        <w:t xml:space="preserve"> sous-comités et </w:t>
      </w:r>
      <w:r>
        <w:rPr>
          <w:rFonts w:cs="Calibri"/>
          <w:lang w:val="fr-CA"/>
        </w:rPr>
        <w:t xml:space="preserve">en </w:t>
      </w:r>
      <w:r w:rsidR="00F25888">
        <w:rPr>
          <w:rFonts w:cs="Calibri"/>
          <w:lang w:val="fr-CA"/>
        </w:rPr>
        <w:t>limitant la traduction des comptes rendus en arabe aux seules séances plénières de chaque organe</w:t>
      </w:r>
      <w:r w:rsidR="00F25888" w:rsidRPr="003C6890">
        <w:rPr>
          <w:rStyle w:val="FootnoteReference"/>
          <w:rFonts w:cs="Calibri"/>
          <w:lang w:val="fr-CA"/>
        </w:rPr>
        <w:footnoteReference w:id="33"/>
      </w:r>
      <w:r w:rsidR="00F25888">
        <w:rPr>
          <w:rFonts w:cs="Calibri"/>
          <w:lang w:val="fr-CA"/>
        </w:rPr>
        <w:t>.</w:t>
      </w:r>
      <w:r w:rsidR="00F25888" w:rsidRPr="003C6890">
        <w:rPr>
          <w:rFonts w:cs="Calibri"/>
          <w:lang w:val="fr-CA"/>
        </w:rPr>
        <w:t xml:space="preserve"> </w:t>
      </w:r>
      <w:r w:rsidR="00F25888">
        <w:rPr>
          <w:rFonts w:cs="Calibri"/>
          <w:lang w:val="fr-CA"/>
        </w:rPr>
        <w:t>Le Règlement intérieur des Nations Unies a, avec le temps, été modifié pour éliminer ces différences</w:t>
      </w:r>
      <w:r w:rsidR="00F25888" w:rsidRPr="003C6890">
        <w:rPr>
          <w:rStyle w:val="FootnoteReference"/>
          <w:rFonts w:cs="Calibri"/>
          <w:lang w:val="fr-CA"/>
        </w:rPr>
        <w:footnoteReference w:id="34"/>
      </w:r>
      <w:r w:rsidR="00F25888">
        <w:rPr>
          <w:rFonts w:cs="Calibri"/>
          <w:lang w:val="fr-CA"/>
        </w:rPr>
        <w:t>.</w:t>
      </w:r>
    </w:p>
    <w:p w:rsidR="00F25888" w:rsidRPr="003C6890" w:rsidRDefault="00F25888" w:rsidP="00D73FFB">
      <w:pPr>
        <w:pStyle w:val="ListParagraph"/>
        <w:numPr>
          <w:ilvl w:val="0"/>
          <w:numId w:val="25"/>
        </w:numPr>
        <w:spacing w:before="120" w:line="360" w:lineRule="auto"/>
        <w:contextualSpacing w:val="0"/>
        <w:rPr>
          <w:rFonts w:cs="Calibri"/>
          <w:lang w:val="fr-CA"/>
        </w:rPr>
      </w:pPr>
      <w:r>
        <w:rPr>
          <w:rFonts w:cs="Calibri"/>
          <w:lang w:val="fr-CA"/>
        </w:rPr>
        <w:t xml:space="preserve">La COP de la Convention de Ramsar a déjà reconnu le souhait d’intégrer l’arabe comme « langue officielle » et </w:t>
      </w:r>
      <w:r w:rsidR="00320AAC">
        <w:rPr>
          <w:rFonts w:cs="Calibri"/>
          <w:lang w:val="fr-CA"/>
        </w:rPr>
        <w:t xml:space="preserve">de prévoir l’utilisation </w:t>
      </w:r>
      <w:r>
        <w:rPr>
          <w:rFonts w:cs="Calibri"/>
          <w:lang w:val="fr-CA"/>
        </w:rPr>
        <w:t>d’autres langues des Nations Unies</w:t>
      </w:r>
      <w:r w:rsidRPr="003C6890">
        <w:rPr>
          <w:rStyle w:val="FootnoteReference"/>
          <w:rFonts w:cs="Calibri"/>
          <w:lang w:val="fr-CA"/>
        </w:rPr>
        <w:footnoteReference w:id="35"/>
      </w:r>
      <w:r>
        <w:rPr>
          <w:rFonts w:cs="Calibri"/>
          <w:lang w:val="fr-CA"/>
        </w:rPr>
        <w:t>.</w:t>
      </w:r>
      <w:r w:rsidRPr="003C6890">
        <w:rPr>
          <w:rFonts w:cs="Calibri"/>
          <w:lang w:val="fr-CA"/>
        </w:rPr>
        <w:t xml:space="preserve"> </w:t>
      </w:r>
      <w:r>
        <w:rPr>
          <w:rFonts w:cs="Calibri"/>
          <w:lang w:val="fr-CA"/>
        </w:rPr>
        <w:t xml:space="preserve">L’une des options serait que l’arabe soit intégré sans aucune limite temporelle et sans distinction de procédure. Les conséquences financières de cette sous-option pourraient être importantes et même avec les ressources nécessaires, le respect immédiat de la lettre et de l’esprit des articles pourrait être difficile. Une autre solution serait que l’arabe soit intégré dans le Règlement intérieur avec des limites et des distinctions de procédure pouvant, </w:t>
      </w:r>
      <w:r w:rsidR="00320AAC">
        <w:rPr>
          <w:rFonts w:cs="Calibri"/>
          <w:lang w:val="fr-CA"/>
        </w:rPr>
        <w:t>ultérieurement</w:t>
      </w:r>
      <w:r>
        <w:rPr>
          <w:rFonts w:cs="Calibri"/>
          <w:lang w:val="fr-CA"/>
        </w:rPr>
        <w:t xml:space="preserve">, être éliminées lorsque les capacités financières et institutionnelles </w:t>
      </w:r>
      <w:r w:rsidR="00AA0812">
        <w:rPr>
          <w:rFonts w:cs="Calibri"/>
          <w:lang w:val="fr-CA"/>
        </w:rPr>
        <w:t xml:space="preserve">auront </w:t>
      </w:r>
      <w:r>
        <w:rPr>
          <w:rFonts w:cs="Calibri"/>
          <w:lang w:val="fr-CA"/>
        </w:rPr>
        <w:t>suffisamment</w:t>
      </w:r>
      <w:r w:rsidR="00AA0812">
        <w:rPr>
          <w:rFonts w:cs="Calibri"/>
          <w:lang w:val="fr-CA"/>
        </w:rPr>
        <w:t xml:space="preserve"> augmenté</w:t>
      </w:r>
      <w:r>
        <w:rPr>
          <w:rFonts w:cs="Calibri"/>
          <w:lang w:val="fr-CA"/>
        </w:rPr>
        <w:t>. Chaque scénario peut impliquer une stratégie financière pour soutenir l’intégration et renforcer la capacité institutionnelle.</w:t>
      </w:r>
      <w:r w:rsidRPr="003C6890">
        <w:rPr>
          <w:rFonts w:cs="Calibri"/>
          <w:lang w:val="fr-CA"/>
        </w:rPr>
        <w:t xml:space="preserve"> </w:t>
      </w:r>
    </w:p>
    <w:p w:rsidR="00F25888" w:rsidRPr="003C6890" w:rsidRDefault="00F25888" w:rsidP="00AF0070">
      <w:pPr>
        <w:spacing w:before="120" w:line="360" w:lineRule="auto"/>
        <w:rPr>
          <w:rFonts w:cs="Calibri"/>
          <w:i/>
          <w:lang w:val="fr-CA"/>
        </w:rPr>
      </w:pPr>
      <w:r>
        <w:rPr>
          <w:rFonts w:cs="Calibri"/>
          <w:i/>
          <w:lang w:val="fr-CA"/>
        </w:rPr>
        <w:t>« Langue officielle » ou « langue de travail »</w:t>
      </w:r>
      <w:r w:rsidRPr="003C6890">
        <w:rPr>
          <w:rFonts w:cs="Calibri"/>
          <w:i/>
          <w:lang w:val="fr-CA"/>
        </w:rPr>
        <w:t xml:space="preserve"> </w:t>
      </w:r>
    </w:p>
    <w:p w:rsidR="00F25888" w:rsidRPr="003C6890" w:rsidRDefault="00F25888" w:rsidP="00D73FFB">
      <w:pPr>
        <w:pStyle w:val="ListParagraph"/>
        <w:numPr>
          <w:ilvl w:val="0"/>
          <w:numId w:val="25"/>
        </w:numPr>
        <w:spacing w:before="120" w:line="360" w:lineRule="auto"/>
        <w:contextualSpacing w:val="0"/>
        <w:rPr>
          <w:rFonts w:cs="Calibri"/>
          <w:lang w:val="fr-CA"/>
        </w:rPr>
      </w:pPr>
      <w:r>
        <w:rPr>
          <w:rFonts w:cs="Calibri"/>
          <w:lang w:val="fr-CA"/>
        </w:rPr>
        <w:t>Introduire l’arabe soit comme une langue « officielle »</w:t>
      </w:r>
      <w:r w:rsidR="00076C74">
        <w:rPr>
          <w:rFonts w:cs="Calibri"/>
          <w:lang w:val="fr-CA"/>
        </w:rPr>
        <w:t>, soit comme</w:t>
      </w:r>
      <w:r>
        <w:rPr>
          <w:rFonts w:cs="Calibri"/>
          <w:lang w:val="fr-CA"/>
        </w:rPr>
        <w:t xml:space="preserve"> une langue « de travail » est plus compliqué du point de vue de la procédure mais </w:t>
      </w:r>
      <w:r w:rsidR="00076C74">
        <w:rPr>
          <w:rFonts w:cs="Calibri"/>
          <w:lang w:val="fr-CA"/>
        </w:rPr>
        <w:t xml:space="preserve">il y </w:t>
      </w:r>
      <w:r>
        <w:rPr>
          <w:rFonts w:cs="Calibri"/>
          <w:lang w:val="fr-CA"/>
        </w:rPr>
        <w:t>a des précédents. Dans le cadre du Statut de Rome de la Cour pénale internationale, les six langues des Nations Unies sont indiquées comme « langues officielles » tandis que seuls l’anglais et le français sont des « langues de travail »</w:t>
      </w:r>
      <w:r w:rsidRPr="003C6890">
        <w:rPr>
          <w:rStyle w:val="FootnoteReference"/>
          <w:rFonts w:cs="Calibri"/>
          <w:lang w:val="fr-CA"/>
        </w:rPr>
        <w:footnoteReference w:id="36"/>
      </w:r>
      <w:r>
        <w:rPr>
          <w:rFonts w:cs="Calibri"/>
          <w:lang w:val="fr-CA"/>
        </w:rPr>
        <w:t xml:space="preserve">. Les interventions autres qu’anglophones et francophones sont autorisées si elles sont </w:t>
      </w:r>
      <w:r w:rsidR="00076C74">
        <w:rPr>
          <w:rFonts w:cs="Calibri"/>
          <w:lang w:val="fr-CA"/>
        </w:rPr>
        <w:t xml:space="preserve">dûment </w:t>
      </w:r>
      <w:r>
        <w:rPr>
          <w:rFonts w:cs="Calibri"/>
          <w:lang w:val="fr-CA"/>
        </w:rPr>
        <w:t>justifiées</w:t>
      </w:r>
      <w:r w:rsidRPr="003C6890">
        <w:rPr>
          <w:rStyle w:val="FootnoteReference"/>
          <w:rFonts w:cs="Calibri"/>
          <w:lang w:val="fr-CA"/>
        </w:rPr>
        <w:footnoteReference w:id="37"/>
      </w:r>
      <w:r>
        <w:rPr>
          <w:rFonts w:cs="Calibri"/>
          <w:lang w:val="fr-CA"/>
        </w:rPr>
        <w:t>. En revanche, l’Organisation des Nations Unies pour l’alimentation et l’agriculture (FAO) stipule que : i) le texte de la Convention dans les six langues des Nations Unies (arabe, chinois, anglais, français, russe et espagnol) est également authentique</w:t>
      </w:r>
      <w:r w:rsidRPr="003C6890">
        <w:rPr>
          <w:rStyle w:val="FootnoteReference"/>
          <w:rFonts w:cs="Calibri"/>
          <w:lang w:val="fr-CA"/>
        </w:rPr>
        <w:footnoteReference w:id="38"/>
      </w:r>
      <w:r>
        <w:rPr>
          <w:rFonts w:cs="Calibri"/>
          <w:lang w:val="fr-CA"/>
        </w:rPr>
        <w:t xml:space="preserve"> et </w:t>
      </w:r>
      <w:r w:rsidRPr="003C6890">
        <w:rPr>
          <w:rFonts w:cs="Calibri"/>
          <w:lang w:val="fr-CA"/>
        </w:rPr>
        <w:t>ii)</w:t>
      </w:r>
      <w:r>
        <w:rPr>
          <w:rFonts w:cs="Calibri"/>
          <w:lang w:val="fr-CA"/>
        </w:rPr>
        <w:t> les six langues de l’ONU sont reconnues comme langues « officielles » de l’organisation</w:t>
      </w:r>
      <w:r w:rsidRPr="003C6890">
        <w:rPr>
          <w:rStyle w:val="FootnoteReference"/>
          <w:rFonts w:cs="Calibri"/>
          <w:lang w:val="fr-CA"/>
        </w:rPr>
        <w:footnoteReference w:id="39"/>
      </w:r>
      <w:r>
        <w:rPr>
          <w:rFonts w:cs="Calibri"/>
          <w:lang w:val="fr-CA"/>
        </w:rPr>
        <w:t>. Toutefois, certaines commissions de la FAO ont établi un Règlement intérieur spécialisé indiquant que les « langues de travail » sont uniquement l’anglais, le français et l’espagnol pour leurs propres commissions</w:t>
      </w:r>
      <w:r w:rsidRPr="003C6890">
        <w:rPr>
          <w:vertAlign w:val="superscript"/>
          <w:lang w:val="fr-CA"/>
        </w:rPr>
        <w:footnoteReference w:id="40"/>
      </w:r>
      <w:r w:rsidRPr="003C6890">
        <w:rPr>
          <w:rFonts w:cs="Calibri"/>
          <w:lang w:val="fr-CA"/>
        </w:rPr>
        <w:t xml:space="preserve"> </w:t>
      </w:r>
      <w:r>
        <w:rPr>
          <w:rFonts w:cs="Calibri"/>
          <w:lang w:val="fr-CA"/>
        </w:rPr>
        <w:t>et l’arabe était à l’origine établi à la FAO comme une langue « officielle » et une langue « de travail » à des fins limitées</w:t>
      </w:r>
      <w:r w:rsidRPr="003C6890">
        <w:rPr>
          <w:rStyle w:val="FootnoteReference"/>
          <w:rFonts w:cs="Calibri"/>
          <w:lang w:val="fr-CA"/>
        </w:rPr>
        <w:footnoteReference w:id="41"/>
      </w:r>
      <w:r>
        <w:rPr>
          <w:rFonts w:cs="Calibri"/>
          <w:lang w:val="fr-CA"/>
        </w:rPr>
        <w:t>.</w:t>
      </w:r>
    </w:p>
    <w:p w:rsidR="00F25888" w:rsidRPr="005A07FA" w:rsidRDefault="00F25888" w:rsidP="000675EB">
      <w:pPr>
        <w:pStyle w:val="ListParagraph"/>
        <w:numPr>
          <w:ilvl w:val="0"/>
          <w:numId w:val="25"/>
        </w:numPr>
        <w:spacing w:before="120" w:line="360" w:lineRule="auto"/>
        <w:contextualSpacing w:val="0"/>
        <w:rPr>
          <w:rFonts w:cs="Calibri"/>
          <w:lang w:val="fr-CA"/>
        </w:rPr>
      </w:pPr>
      <w:r>
        <w:rPr>
          <w:rFonts w:cs="Calibri"/>
          <w:lang w:val="fr-CA"/>
        </w:rPr>
        <w:t xml:space="preserve">L’introduction de l’arabe </w:t>
      </w:r>
      <w:r w:rsidR="00186198">
        <w:rPr>
          <w:rFonts w:cs="Calibri"/>
          <w:lang w:val="fr-CA"/>
        </w:rPr>
        <w:t>de</w:t>
      </w:r>
      <w:r w:rsidR="00076C74">
        <w:rPr>
          <w:rFonts w:cs="Calibri"/>
          <w:lang w:val="fr-CA"/>
        </w:rPr>
        <w:t xml:space="preserve"> manière</w:t>
      </w:r>
      <w:r>
        <w:rPr>
          <w:rFonts w:cs="Calibri"/>
          <w:lang w:val="fr-CA"/>
        </w:rPr>
        <w:t xml:space="preserve"> moins complexe</w:t>
      </w:r>
      <w:r w:rsidR="00186198">
        <w:rPr>
          <w:rFonts w:cs="Calibri"/>
          <w:lang w:val="fr-CA"/>
        </w:rPr>
        <w:t>,</w:t>
      </w:r>
      <w:r w:rsidR="00076C74">
        <w:rPr>
          <w:rFonts w:cs="Calibri"/>
          <w:lang w:val="fr-CA"/>
        </w:rPr>
        <w:t xml:space="preserve"> quelle qu’elle soit</w:t>
      </w:r>
      <w:r>
        <w:rPr>
          <w:rFonts w:cs="Calibri"/>
          <w:lang w:val="fr-CA"/>
        </w:rPr>
        <w:t xml:space="preserve">, </w:t>
      </w:r>
      <w:r w:rsidR="00076C74">
        <w:rPr>
          <w:rFonts w:cs="Calibri"/>
          <w:lang w:val="fr-CA"/>
        </w:rPr>
        <w:t>comme</w:t>
      </w:r>
      <w:r>
        <w:rPr>
          <w:rFonts w:cs="Calibri"/>
          <w:lang w:val="fr-CA"/>
        </w:rPr>
        <w:t xml:space="preserve"> langue « officielle » ou langue « de travail » pourrait atténuer les implications et les fardeaux institutionnels en matière de traduction, interprétation et publication. Toutefois, cela peut aussi créer un système </w:t>
      </w:r>
      <w:r w:rsidR="00076C74">
        <w:rPr>
          <w:rFonts w:cs="Calibri"/>
          <w:lang w:val="fr-CA"/>
        </w:rPr>
        <w:t xml:space="preserve">linguistique </w:t>
      </w:r>
      <w:r>
        <w:rPr>
          <w:rFonts w:cs="Calibri"/>
          <w:lang w:val="fr-CA"/>
        </w:rPr>
        <w:t xml:space="preserve">à deux vitesses,  nécessitant un ajustement </w:t>
      </w:r>
      <w:r w:rsidR="00076C74">
        <w:rPr>
          <w:rFonts w:cs="Calibri"/>
          <w:lang w:val="fr-CA"/>
        </w:rPr>
        <w:t>précis</w:t>
      </w:r>
      <w:r>
        <w:rPr>
          <w:rFonts w:cs="Calibri"/>
          <w:lang w:val="fr-CA"/>
        </w:rPr>
        <w:t xml:space="preserve"> du Règlement intérieur pour en tenir compte. </w:t>
      </w:r>
      <w:r w:rsidR="00076C74">
        <w:rPr>
          <w:rFonts w:cs="Calibri"/>
          <w:lang w:val="fr-CA"/>
        </w:rPr>
        <w:t>Le statut</w:t>
      </w:r>
      <w:r>
        <w:rPr>
          <w:rFonts w:cs="Calibri"/>
          <w:lang w:val="fr-CA"/>
        </w:rPr>
        <w:t xml:space="preserve"> non concurrent peut </w:t>
      </w:r>
      <w:r w:rsidR="00076C74">
        <w:rPr>
          <w:rFonts w:cs="Calibri"/>
          <w:lang w:val="fr-CA"/>
        </w:rPr>
        <w:t>permettre</w:t>
      </w:r>
      <w:r>
        <w:rPr>
          <w:rFonts w:cs="Calibri"/>
          <w:lang w:val="fr-CA"/>
        </w:rPr>
        <w:t xml:space="preserve"> une forme de partage des coûts, </w:t>
      </w:r>
      <w:r w:rsidR="00076C74">
        <w:rPr>
          <w:rFonts w:cs="Calibri"/>
          <w:lang w:val="fr-CA"/>
        </w:rPr>
        <w:t>par exemple</w:t>
      </w:r>
      <w:r>
        <w:rPr>
          <w:rFonts w:cs="Calibri"/>
          <w:lang w:val="fr-CA"/>
        </w:rPr>
        <w:t xml:space="preserve"> si l’arabe n’est </w:t>
      </w:r>
      <w:r w:rsidR="00076C74">
        <w:rPr>
          <w:rFonts w:cs="Calibri"/>
          <w:lang w:val="fr-CA"/>
        </w:rPr>
        <w:t xml:space="preserve">introduit </w:t>
      </w:r>
      <w:r>
        <w:rPr>
          <w:rFonts w:cs="Calibri"/>
          <w:lang w:val="fr-CA"/>
        </w:rPr>
        <w:t>que</w:t>
      </w:r>
      <w:r w:rsidR="00076C74">
        <w:rPr>
          <w:rFonts w:cs="Calibri"/>
          <w:lang w:val="fr-CA"/>
        </w:rPr>
        <w:t xml:space="preserve"> comme </w:t>
      </w:r>
      <w:r>
        <w:rPr>
          <w:rFonts w:cs="Calibri"/>
          <w:lang w:val="fr-CA"/>
        </w:rPr>
        <w:t>« langue de travail »</w:t>
      </w:r>
      <w:r w:rsidRPr="003C6890">
        <w:rPr>
          <w:rFonts w:cs="Calibri"/>
          <w:lang w:val="fr-CA"/>
        </w:rPr>
        <w:t xml:space="preserve">, </w:t>
      </w:r>
      <w:r w:rsidR="00076C74">
        <w:rPr>
          <w:rFonts w:cs="Calibri"/>
          <w:lang w:val="fr-CA"/>
        </w:rPr>
        <w:t>comme ce fut le cas,</w:t>
      </w:r>
      <w:r>
        <w:rPr>
          <w:rFonts w:cs="Calibri"/>
          <w:lang w:val="fr-CA"/>
        </w:rPr>
        <w:t xml:space="preserve"> à l’origine</w:t>
      </w:r>
      <w:r w:rsidR="00076C74">
        <w:rPr>
          <w:rFonts w:cs="Calibri"/>
          <w:lang w:val="fr-CA"/>
        </w:rPr>
        <w:t>,</w:t>
      </w:r>
      <w:r>
        <w:rPr>
          <w:rFonts w:cs="Calibri"/>
          <w:lang w:val="fr-CA"/>
        </w:rPr>
        <w:t xml:space="preserve"> pour l’espagnol</w:t>
      </w:r>
      <w:r w:rsidRPr="003C6890">
        <w:rPr>
          <w:rStyle w:val="FootnoteReference"/>
          <w:rFonts w:cs="Calibri"/>
          <w:lang w:val="fr-CA"/>
        </w:rPr>
        <w:footnoteReference w:id="42"/>
      </w:r>
      <w:r>
        <w:rPr>
          <w:rFonts w:cs="Calibri"/>
          <w:lang w:val="fr-CA"/>
        </w:rPr>
        <w:t>.</w:t>
      </w:r>
      <w:r w:rsidRPr="003C6890">
        <w:rPr>
          <w:rFonts w:cs="Calibri"/>
          <w:lang w:val="fr-CA"/>
        </w:rPr>
        <w:t xml:space="preserve"> </w:t>
      </w:r>
      <w:r>
        <w:rPr>
          <w:rFonts w:cs="Calibri"/>
          <w:lang w:val="fr-CA"/>
        </w:rPr>
        <w:t>Le Secrétariat pourrait être chargé de faciliter la traduction des documents</w:t>
      </w:r>
      <w:r w:rsidRPr="003C6890">
        <w:rPr>
          <w:rStyle w:val="FootnoteReference"/>
          <w:rFonts w:cs="Calibri"/>
          <w:lang w:val="fr-CA"/>
        </w:rPr>
        <w:footnoteReference w:id="43"/>
      </w:r>
      <w:r w:rsidRPr="003C6890">
        <w:rPr>
          <w:rFonts w:cs="Calibri"/>
          <w:lang w:val="fr-CA"/>
        </w:rPr>
        <w:t xml:space="preserve"> </w:t>
      </w:r>
      <w:r>
        <w:rPr>
          <w:rFonts w:cs="Calibri"/>
          <w:lang w:val="fr-CA"/>
        </w:rPr>
        <w:t xml:space="preserve">tandis que les Parties conserveraient le droit d’utiliser une langue non officielle et les Parties concernées seraient priées </w:t>
      </w:r>
      <w:r w:rsidR="00076C74">
        <w:rPr>
          <w:rFonts w:cs="Calibri"/>
          <w:lang w:val="fr-CA"/>
        </w:rPr>
        <w:t>d’assurer</w:t>
      </w:r>
      <w:r>
        <w:rPr>
          <w:rFonts w:cs="Calibri"/>
          <w:lang w:val="fr-CA"/>
        </w:rPr>
        <w:t xml:space="preserve"> l’interprétation</w:t>
      </w:r>
      <w:r w:rsidRPr="003C6890">
        <w:rPr>
          <w:rStyle w:val="FootnoteReference"/>
          <w:rFonts w:cs="Calibri"/>
          <w:lang w:val="fr-CA"/>
        </w:rPr>
        <w:footnoteReference w:id="44"/>
      </w:r>
      <w:r>
        <w:rPr>
          <w:rFonts w:cs="Calibri"/>
          <w:lang w:val="fr-CA"/>
        </w:rPr>
        <w:t>. L</w:t>
      </w:r>
      <w:r w:rsidR="00FA52D4">
        <w:rPr>
          <w:rFonts w:cs="Calibri"/>
          <w:lang w:val="fr-CA"/>
        </w:rPr>
        <w:t>’introduction</w:t>
      </w:r>
      <w:r w:rsidRPr="003C6890">
        <w:rPr>
          <w:rFonts w:cs="Calibri"/>
          <w:lang w:val="fr-CA"/>
        </w:rPr>
        <w:t xml:space="preserve"> </w:t>
      </w:r>
      <w:r>
        <w:rPr>
          <w:rFonts w:cs="Calibri"/>
          <w:lang w:val="fr-CA"/>
        </w:rPr>
        <w:t>en tant que « langue officielle » limite</w:t>
      </w:r>
      <w:r w:rsidR="00FA52D4">
        <w:rPr>
          <w:rFonts w:cs="Calibri"/>
          <w:lang w:val="fr-CA"/>
        </w:rPr>
        <w:t>rait</w:t>
      </w:r>
      <w:r>
        <w:rPr>
          <w:rFonts w:cs="Calibri"/>
          <w:lang w:val="fr-CA"/>
        </w:rPr>
        <w:t xml:space="preserve"> potentiellement le fardeau institutionnel d’interprétation et de traduction des documents clés pour des réunions données, mais internaliserait certains frais au sein du Secrétariat. Des amendements resteraient nécessaires au Règlement intérieur pour éclaircir la relation entre « langue officielle » et « langue de travail ». Si nécessaire, davantage d’information et d’analyse peuvent être fournies sur ce point. </w:t>
      </w:r>
    </w:p>
    <w:p w:rsidR="00F25888" w:rsidRPr="00723E7C" w:rsidRDefault="00FA52D4" w:rsidP="000675EB">
      <w:pPr>
        <w:spacing w:before="120" w:line="360" w:lineRule="auto"/>
        <w:rPr>
          <w:rFonts w:cs="Calibri"/>
          <w:lang w:val="fr-CA"/>
        </w:rPr>
      </w:pPr>
      <w:r w:rsidRPr="00723E7C">
        <w:rPr>
          <w:rFonts w:cs="Calibri"/>
          <w:i/>
          <w:lang w:val="fr-CA"/>
        </w:rPr>
        <w:t>Utilisation de l’</w:t>
      </w:r>
      <w:r w:rsidR="00F25888" w:rsidRPr="00723E7C">
        <w:rPr>
          <w:rFonts w:cs="Calibri"/>
          <w:i/>
          <w:lang w:val="fr-CA"/>
        </w:rPr>
        <w:t xml:space="preserve">arabe </w:t>
      </w:r>
    </w:p>
    <w:p w:rsidR="00F25888" w:rsidRPr="003C6890" w:rsidRDefault="00F25888">
      <w:pPr>
        <w:pStyle w:val="ListParagraph"/>
        <w:numPr>
          <w:ilvl w:val="0"/>
          <w:numId w:val="25"/>
        </w:numPr>
        <w:spacing w:before="120" w:line="360" w:lineRule="auto"/>
        <w:contextualSpacing w:val="0"/>
        <w:rPr>
          <w:rFonts w:cs="Calibri"/>
          <w:b/>
          <w:lang w:val="fr-CA"/>
        </w:rPr>
      </w:pPr>
      <w:r w:rsidRPr="00723E7C">
        <w:rPr>
          <w:rFonts w:cs="Calibri"/>
          <w:lang w:val="fr-CA"/>
        </w:rPr>
        <w:t xml:space="preserve">S’il n’y a pas de changement dans le statut actuel de l’arabe, cette langue pourrait être </w:t>
      </w:r>
      <w:r w:rsidR="00723E7C">
        <w:rPr>
          <w:rFonts w:cs="Calibri"/>
          <w:lang w:val="fr-CA"/>
        </w:rPr>
        <w:t>utilisée dans les travaux de la</w:t>
      </w:r>
      <w:r w:rsidRPr="00723E7C">
        <w:rPr>
          <w:rFonts w:cs="Calibri"/>
          <w:lang w:val="fr-CA"/>
        </w:rPr>
        <w:t xml:space="preserve"> Convention par un</w:t>
      </w:r>
      <w:r w:rsidR="00723E7C">
        <w:rPr>
          <w:rFonts w:cs="Calibri"/>
          <w:lang w:val="fr-CA"/>
        </w:rPr>
        <w:t xml:space="preserve"> ajustement</w:t>
      </w:r>
      <w:r w:rsidRPr="00723E7C">
        <w:rPr>
          <w:rFonts w:cs="Calibri"/>
          <w:lang w:val="fr-CA"/>
        </w:rPr>
        <w:t xml:space="preserve"> du Règlement intérieur. </w:t>
      </w:r>
      <w:r w:rsidR="00723E7C">
        <w:rPr>
          <w:rFonts w:cs="Calibri"/>
          <w:lang w:val="fr-CA"/>
        </w:rPr>
        <w:t>L’on peut procéder à ce</w:t>
      </w:r>
      <w:r w:rsidR="00186198">
        <w:rPr>
          <w:rFonts w:cs="Calibri"/>
          <w:lang w:val="fr-CA"/>
        </w:rPr>
        <w:t>t</w:t>
      </w:r>
      <w:r w:rsidR="00723E7C">
        <w:rPr>
          <w:rFonts w:cs="Calibri"/>
          <w:lang w:val="fr-CA"/>
        </w:rPr>
        <w:t xml:space="preserve"> ajustement de manière</w:t>
      </w:r>
      <w:r>
        <w:rPr>
          <w:rFonts w:cs="Calibri"/>
          <w:lang w:val="fr-CA"/>
        </w:rPr>
        <w:t xml:space="preserve"> créative pour inclure </w:t>
      </w:r>
      <w:r w:rsidR="00186198">
        <w:rPr>
          <w:rFonts w:cs="Calibri"/>
          <w:lang w:val="fr-CA"/>
        </w:rPr>
        <w:t xml:space="preserve">progressivement </w:t>
      </w:r>
      <w:r>
        <w:rPr>
          <w:rFonts w:cs="Calibri"/>
          <w:lang w:val="fr-CA"/>
        </w:rPr>
        <w:t>l’arabe dans les travaux de la Convention. Par exemple, les Parties peuvent décider qu’il est nécessaire d’inclure un article dans le Règlement intérieur autorisant toute Partie à demander qu’une partie ou l’ensemble du compte rendu ou d’un document spécifique soit traduit dans une langue donnée avec l’approbation des Parties et/ou du Président. De même, les Parties peuvent décider que certains outils et documents se trouvant sur le site web de la Convention de Ramsar devraient être traduits et mis à disposition en arabe, sous réserve des ressources financières nécessaires, ou si certaines Parties décident de couvrir les frais de traduction. Une autre solution serait de poursuivre et d’élargir la  pratique d’identifier des éléments spécifiques des travaux de la Convention pour traduction en arabe</w:t>
      </w:r>
      <w:r w:rsidRPr="003C6890">
        <w:rPr>
          <w:rStyle w:val="FootnoteReference"/>
          <w:rFonts w:cs="Calibri"/>
          <w:lang w:val="fr-CA"/>
        </w:rPr>
        <w:footnoteReference w:id="45"/>
      </w:r>
      <w:r w:rsidRPr="003C6890">
        <w:rPr>
          <w:rFonts w:cs="Calibri"/>
          <w:lang w:val="fr-CA"/>
        </w:rPr>
        <w:t xml:space="preserve"> </w:t>
      </w:r>
      <w:r>
        <w:rPr>
          <w:rFonts w:cs="Calibri"/>
          <w:lang w:val="fr-CA"/>
        </w:rPr>
        <w:t>permettant ainsi de donner un statut de « langue quasi officielle » à l’arabe, au chinois et au russe, dans des paramètres précisément</w:t>
      </w:r>
      <w:r w:rsidR="007E715F">
        <w:rPr>
          <w:rFonts w:cs="Calibri"/>
          <w:lang w:val="fr-CA"/>
        </w:rPr>
        <w:t xml:space="preserve"> définis</w:t>
      </w:r>
      <w:r>
        <w:rPr>
          <w:rFonts w:cs="Calibri"/>
          <w:lang w:val="fr-CA"/>
        </w:rPr>
        <w:t>.</w:t>
      </w:r>
    </w:p>
    <w:p w:rsidR="00F25888" w:rsidRPr="003C6890" w:rsidRDefault="00F25888" w:rsidP="004A5B84">
      <w:pPr>
        <w:pStyle w:val="ListParagraph"/>
        <w:numPr>
          <w:ilvl w:val="0"/>
          <w:numId w:val="29"/>
        </w:numPr>
        <w:rPr>
          <w:rFonts w:cs="Calibri"/>
          <w:b/>
          <w:lang w:val="fr-CA"/>
        </w:rPr>
      </w:pPr>
      <w:r w:rsidRPr="003C6890">
        <w:rPr>
          <w:rFonts w:cs="Calibri"/>
          <w:b/>
          <w:lang w:val="fr-CA"/>
        </w:rPr>
        <w:t>CONCLUSIONS</w:t>
      </w:r>
    </w:p>
    <w:p w:rsidR="00F25888" w:rsidRPr="003C6890" w:rsidRDefault="00F25888" w:rsidP="004A5B84">
      <w:pPr>
        <w:pStyle w:val="ListParagraph"/>
        <w:ind w:left="1080"/>
        <w:rPr>
          <w:rFonts w:cs="Calibri"/>
          <w:b/>
          <w:lang w:val="fr-CA"/>
        </w:rPr>
      </w:pPr>
    </w:p>
    <w:p w:rsidR="00F25888" w:rsidRPr="003C6890" w:rsidRDefault="00F25888" w:rsidP="00CF53E9">
      <w:pPr>
        <w:pStyle w:val="ListParagraph"/>
        <w:numPr>
          <w:ilvl w:val="0"/>
          <w:numId w:val="25"/>
        </w:numPr>
        <w:spacing w:before="120" w:line="360" w:lineRule="auto"/>
        <w:contextualSpacing w:val="0"/>
        <w:rPr>
          <w:rFonts w:cs="Calibri"/>
          <w:lang w:val="fr-CA"/>
        </w:rPr>
      </w:pPr>
      <w:r>
        <w:rPr>
          <w:rFonts w:cs="Calibri"/>
          <w:lang w:val="fr-CA"/>
        </w:rPr>
        <w:t>Outre les implications pratique</w:t>
      </w:r>
      <w:r w:rsidR="007E715F">
        <w:rPr>
          <w:rFonts w:cs="Calibri"/>
          <w:lang w:val="fr-CA"/>
        </w:rPr>
        <w:t>s</w:t>
      </w:r>
      <w:r>
        <w:rPr>
          <w:rFonts w:cs="Calibri"/>
          <w:lang w:val="fr-CA"/>
        </w:rPr>
        <w:t xml:space="preserve"> en coûts et en ressources humaines, l’intégration totale de l’arabe à la fois comme « langue officielle » et « langue de travail » de la Convention de Ramsar est légalement possible si les Parties le souhaitent. </w:t>
      </w:r>
      <w:r w:rsidR="007E715F">
        <w:rPr>
          <w:rFonts w:cs="Calibri"/>
          <w:lang w:val="fr-CA"/>
        </w:rPr>
        <w:t>Il y a d’autres options</w:t>
      </w:r>
      <w:r>
        <w:rPr>
          <w:rFonts w:cs="Calibri"/>
          <w:lang w:val="fr-CA"/>
        </w:rPr>
        <w:t xml:space="preserve"> viables comme </w:t>
      </w:r>
      <w:r w:rsidR="00186198">
        <w:rPr>
          <w:rFonts w:cs="Calibri"/>
          <w:lang w:val="fr-CA"/>
        </w:rPr>
        <w:t>l’accroissement du nombre</w:t>
      </w:r>
      <w:r>
        <w:rPr>
          <w:rFonts w:cs="Calibri"/>
          <w:lang w:val="fr-CA"/>
        </w:rPr>
        <w:t xml:space="preserve"> des </w:t>
      </w:r>
      <w:r w:rsidR="007E715F">
        <w:rPr>
          <w:rFonts w:cs="Calibri"/>
          <w:lang w:val="fr-CA"/>
        </w:rPr>
        <w:t xml:space="preserve">seules </w:t>
      </w:r>
      <w:r>
        <w:rPr>
          <w:rFonts w:cs="Calibri"/>
          <w:lang w:val="fr-CA"/>
        </w:rPr>
        <w:t xml:space="preserve">« langues officielles » </w:t>
      </w:r>
      <w:r w:rsidRPr="00F52934">
        <w:rPr>
          <w:rFonts w:cs="Calibri"/>
          <w:lang w:val="fr-CA"/>
        </w:rPr>
        <w:t>par exemple,</w:t>
      </w:r>
      <w:r>
        <w:rPr>
          <w:rFonts w:cs="Calibri"/>
          <w:lang w:val="fr-CA"/>
        </w:rPr>
        <w:t xml:space="preserve"> ou trouver </w:t>
      </w:r>
      <w:r w:rsidR="007E715F">
        <w:rPr>
          <w:rFonts w:cs="Calibri"/>
          <w:lang w:val="fr-CA"/>
        </w:rPr>
        <w:t>d’autres</w:t>
      </w:r>
      <w:r>
        <w:rPr>
          <w:rFonts w:cs="Calibri"/>
          <w:lang w:val="fr-CA"/>
        </w:rPr>
        <w:t xml:space="preserve"> moyens d</w:t>
      </w:r>
      <w:r w:rsidR="007E715F">
        <w:rPr>
          <w:rFonts w:cs="Calibri"/>
          <w:lang w:val="fr-CA"/>
        </w:rPr>
        <w:t>’</w:t>
      </w:r>
      <w:r>
        <w:rPr>
          <w:rFonts w:cs="Calibri"/>
          <w:lang w:val="fr-CA"/>
        </w:rPr>
        <w:t>« </w:t>
      </w:r>
      <w:r w:rsidR="007E715F">
        <w:rPr>
          <w:rFonts w:cs="Calibri"/>
          <w:lang w:val="fr-CA"/>
        </w:rPr>
        <w:t>utiliser</w:t>
      </w:r>
      <w:r>
        <w:rPr>
          <w:rFonts w:cs="Calibri"/>
          <w:lang w:val="fr-CA"/>
        </w:rPr>
        <w:t> » l’arabe dans le programme de travail de la Convention. Chaque option ou sous</w:t>
      </w:r>
      <w:r>
        <w:rPr>
          <w:rFonts w:cs="Calibri"/>
          <w:lang w:val="fr-CA"/>
        </w:rPr>
        <w:noBreakHyphen/>
        <w:t xml:space="preserve">option impliquerait probablement un </w:t>
      </w:r>
      <w:r w:rsidR="007E715F">
        <w:rPr>
          <w:rFonts w:cs="Calibri"/>
          <w:lang w:val="fr-CA"/>
        </w:rPr>
        <w:t>amendement</w:t>
      </w:r>
      <w:r>
        <w:rPr>
          <w:rFonts w:cs="Calibri"/>
          <w:lang w:val="fr-CA"/>
        </w:rPr>
        <w:t xml:space="preserve"> particulier au Règlement intérieur de la Convention de Ramsar. Il y a aussi des incidences potentielles du point de vue des coûts, de la capacité et du profil institutionnels.</w:t>
      </w:r>
      <w:r w:rsidRPr="003C6890">
        <w:rPr>
          <w:rFonts w:cs="Calibri"/>
          <w:lang w:val="fr-CA"/>
        </w:rPr>
        <w:t xml:space="preserve"> </w:t>
      </w:r>
    </w:p>
    <w:p w:rsidR="00F25888" w:rsidRPr="003C6890" w:rsidRDefault="007E715F" w:rsidP="00CF53E9">
      <w:pPr>
        <w:pStyle w:val="ListParagraph"/>
        <w:numPr>
          <w:ilvl w:val="0"/>
          <w:numId w:val="25"/>
        </w:numPr>
        <w:spacing w:before="120" w:line="360" w:lineRule="auto"/>
        <w:contextualSpacing w:val="0"/>
        <w:rPr>
          <w:rFonts w:cs="Calibri"/>
          <w:lang w:val="fr-CA"/>
        </w:rPr>
      </w:pPr>
      <w:r>
        <w:rPr>
          <w:rFonts w:cs="Calibri"/>
          <w:lang w:val="fr-CA"/>
        </w:rPr>
        <w:t>L’utilisation de</w:t>
      </w:r>
      <w:r w:rsidR="00F25888">
        <w:rPr>
          <w:rFonts w:cs="Calibri"/>
          <w:lang w:val="fr-CA"/>
        </w:rPr>
        <w:t xml:space="preserve"> l’arabe pourrait </w:t>
      </w:r>
      <w:r>
        <w:rPr>
          <w:rFonts w:cs="Calibri"/>
          <w:lang w:val="fr-CA"/>
        </w:rPr>
        <w:t xml:space="preserve">utilement </w:t>
      </w:r>
      <w:r w:rsidR="00F25888">
        <w:rPr>
          <w:rFonts w:cs="Calibri"/>
          <w:lang w:val="fr-CA"/>
        </w:rPr>
        <w:t>être réalisé</w:t>
      </w:r>
      <w:r>
        <w:rPr>
          <w:rFonts w:cs="Calibri"/>
          <w:lang w:val="fr-CA"/>
        </w:rPr>
        <w:t>e</w:t>
      </w:r>
      <w:r w:rsidR="00F25888">
        <w:rPr>
          <w:rFonts w:cs="Calibri"/>
          <w:lang w:val="fr-CA"/>
        </w:rPr>
        <w:t xml:space="preserve"> </w:t>
      </w:r>
      <w:r>
        <w:rPr>
          <w:rFonts w:cs="Calibri"/>
          <w:lang w:val="fr-CA"/>
        </w:rPr>
        <w:t>en coordination</w:t>
      </w:r>
      <w:r w:rsidR="00F25888">
        <w:rPr>
          <w:rFonts w:cs="Calibri"/>
          <w:lang w:val="fr-CA"/>
        </w:rPr>
        <w:t xml:space="preserve"> avec le français et l’espagnol. L’élaboration d’une stratégie linguistique peut permettre d’identifier les phases et les étapes pertinentes, par exemple :</w:t>
      </w:r>
      <w:r w:rsidR="00F25888" w:rsidRPr="003C6890">
        <w:rPr>
          <w:rFonts w:cs="Calibri"/>
          <w:lang w:val="fr-CA"/>
        </w:rPr>
        <w:t xml:space="preserve"> </w:t>
      </w:r>
    </w:p>
    <w:p w:rsidR="00F25888" w:rsidRPr="003C6890" w:rsidRDefault="00F25888">
      <w:pPr>
        <w:pStyle w:val="ListParagraph"/>
        <w:numPr>
          <w:ilvl w:val="0"/>
          <w:numId w:val="31"/>
        </w:numPr>
        <w:spacing w:before="120" w:line="360" w:lineRule="auto"/>
        <w:contextualSpacing w:val="0"/>
        <w:rPr>
          <w:rFonts w:cs="Calibri"/>
          <w:lang w:val="fr-CA"/>
        </w:rPr>
      </w:pPr>
      <w:r>
        <w:rPr>
          <w:rFonts w:cs="Calibri"/>
          <w:lang w:val="fr-CA"/>
        </w:rPr>
        <w:t>i</w:t>
      </w:r>
      <w:r w:rsidRPr="003C6890">
        <w:rPr>
          <w:rFonts w:cs="Calibri"/>
          <w:lang w:val="fr-CA"/>
        </w:rPr>
        <w:t xml:space="preserve">dentification </w:t>
      </w:r>
      <w:r>
        <w:rPr>
          <w:rFonts w:cs="Calibri"/>
          <w:lang w:val="fr-CA"/>
        </w:rPr>
        <w:t>des besoins et obstacles institutionnels relatifs à la traduction et à l’interprétation</w:t>
      </w:r>
      <w:r w:rsidRPr="003C6890">
        <w:rPr>
          <w:rFonts w:cs="Calibri"/>
          <w:lang w:val="fr-CA"/>
        </w:rPr>
        <w:t xml:space="preserve">, </w:t>
      </w:r>
    </w:p>
    <w:p w:rsidR="00F25888" w:rsidRPr="003C6890" w:rsidRDefault="00F25888">
      <w:pPr>
        <w:pStyle w:val="ListParagraph"/>
        <w:numPr>
          <w:ilvl w:val="0"/>
          <w:numId w:val="31"/>
        </w:numPr>
        <w:spacing w:before="120" w:line="360" w:lineRule="auto"/>
        <w:contextualSpacing w:val="0"/>
        <w:rPr>
          <w:rFonts w:cs="Calibri"/>
          <w:lang w:val="fr-CA"/>
        </w:rPr>
      </w:pPr>
      <w:r>
        <w:rPr>
          <w:rFonts w:cs="Calibri"/>
          <w:lang w:val="fr-CA"/>
        </w:rPr>
        <w:t>c</w:t>
      </w:r>
      <w:r w:rsidRPr="003C6890">
        <w:rPr>
          <w:rFonts w:cs="Calibri"/>
          <w:lang w:val="fr-CA"/>
        </w:rPr>
        <w:t xml:space="preserve">lassification </w:t>
      </w:r>
      <w:r>
        <w:rPr>
          <w:rFonts w:cs="Calibri"/>
          <w:lang w:val="fr-CA"/>
        </w:rPr>
        <w:t>des besoins d’après l’impact sur les travaux de la Convention</w:t>
      </w:r>
      <w:r w:rsidRPr="003C6890">
        <w:rPr>
          <w:rFonts w:cs="Calibri"/>
          <w:lang w:val="fr-CA"/>
        </w:rPr>
        <w:t xml:space="preserve">, </w:t>
      </w:r>
    </w:p>
    <w:p w:rsidR="00F25888" w:rsidRPr="003C6890" w:rsidRDefault="00F25888">
      <w:pPr>
        <w:pStyle w:val="ListParagraph"/>
        <w:numPr>
          <w:ilvl w:val="0"/>
          <w:numId w:val="31"/>
        </w:numPr>
        <w:spacing w:before="120" w:line="360" w:lineRule="auto"/>
        <w:contextualSpacing w:val="0"/>
        <w:rPr>
          <w:rFonts w:cs="Calibri"/>
          <w:lang w:val="fr-CA"/>
        </w:rPr>
      </w:pPr>
      <w:r>
        <w:rPr>
          <w:rFonts w:cs="Calibri"/>
          <w:lang w:val="fr-CA"/>
        </w:rPr>
        <w:t xml:space="preserve">création d’un calendrier pas à pas pour intégrer les changements de procédure, les indicateurs clés et les étapes pour toutes les langues, </w:t>
      </w:r>
      <w:r w:rsidRPr="003C6890">
        <w:rPr>
          <w:rFonts w:cs="Calibri"/>
          <w:lang w:val="fr-CA"/>
        </w:rPr>
        <w:t xml:space="preserve"> </w:t>
      </w:r>
    </w:p>
    <w:p w:rsidR="00F25888" w:rsidRPr="003C6890" w:rsidRDefault="00F25888">
      <w:pPr>
        <w:pStyle w:val="ListParagraph"/>
        <w:numPr>
          <w:ilvl w:val="0"/>
          <w:numId w:val="31"/>
        </w:numPr>
        <w:spacing w:before="120" w:line="360" w:lineRule="auto"/>
        <w:contextualSpacing w:val="0"/>
        <w:rPr>
          <w:rFonts w:cs="Calibri"/>
          <w:lang w:val="fr-CA"/>
        </w:rPr>
      </w:pPr>
      <w:r>
        <w:rPr>
          <w:rFonts w:cs="Calibri"/>
          <w:lang w:val="fr-CA"/>
        </w:rPr>
        <w:t xml:space="preserve">mise en place d’un mécanisme d’examen, par exemple, rapports intérimaires et finals, </w:t>
      </w:r>
    </w:p>
    <w:p w:rsidR="00F25888" w:rsidRPr="003C6890" w:rsidRDefault="00186198">
      <w:pPr>
        <w:pStyle w:val="ListParagraph"/>
        <w:numPr>
          <w:ilvl w:val="0"/>
          <w:numId w:val="31"/>
        </w:numPr>
        <w:spacing w:before="120" w:line="360" w:lineRule="auto"/>
        <w:contextualSpacing w:val="0"/>
        <w:rPr>
          <w:rFonts w:cs="Calibri"/>
          <w:lang w:val="fr-CA"/>
        </w:rPr>
      </w:pPr>
      <w:r>
        <w:rPr>
          <w:rFonts w:cs="Calibri"/>
          <w:lang w:val="fr-CA"/>
        </w:rPr>
        <w:t>créa</w:t>
      </w:r>
      <w:r w:rsidR="00F25888">
        <w:rPr>
          <w:rFonts w:cs="Calibri"/>
          <w:lang w:val="fr-CA"/>
        </w:rPr>
        <w:t>tion d’un fonds soutenu par les Parties pour faciliter l’intégration des langues.</w:t>
      </w:r>
      <w:r w:rsidR="00F25888" w:rsidRPr="003C6890">
        <w:rPr>
          <w:rFonts w:cs="Calibri"/>
          <w:lang w:val="fr-CA"/>
        </w:rPr>
        <w:t xml:space="preserve"> </w:t>
      </w:r>
    </w:p>
    <w:p w:rsidR="00F25888" w:rsidRPr="003C6890" w:rsidRDefault="00F25888" w:rsidP="004A5B84">
      <w:pPr>
        <w:pStyle w:val="ListParagraph"/>
        <w:numPr>
          <w:ilvl w:val="0"/>
          <w:numId w:val="25"/>
        </w:numPr>
        <w:spacing w:before="120" w:line="360" w:lineRule="auto"/>
        <w:contextualSpacing w:val="0"/>
        <w:rPr>
          <w:rFonts w:cs="Calibri"/>
          <w:lang w:val="fr-CA"/>
        </w:rPr>
      </w:pPr>
      <w:r>
        <w:rPr>
          <w:rFonts w:cs="Calibri"/>
          <w:lang w:val="fr-CA"/>
        </w:rPr>
        <w:t xml:space="preserve">L’examen et l’adoption d’une stratégie coordonnée sur l’intégration </w:t>
      </w:r>
      <w:r w:rsidR="007E715F">
        <w:rPr>
          <w:rFonts w:cs="Calibri"/>
          <w:lang w:val="fr-CA"/>
        </w:rPr>
        <w:t>des langues</w:t>
      </w:r>
      <w:r>
        <w:rPr>
          <w:rFonts w:cs="Calibri"/>
          <w:lang w:val="fr-CA"/>
        </w:rPr>
        <w:t>, avec des changements apportés au Règlement intérieur, pourraient permettre une intégration de transition de l’arabe au sein des « langues officielles »</w:t>
      </w:r>
      <w:r w:rsidR="007E715F">
        <w:rPr>
          <w:rFonts w:cs="Calibri"/>
          <w:lang w:val="fr-CA"/>
        </w:rPr>
        <w:t>,</w:t>
      </w:r>
      <w:r w:rsidR="007E715F" w:rsidRPr="007E715F">
        <w:rPr>
          <w:rFonts w:cs="Calibri"/>
          <w:lang w:val="fr-CA"/>
        </w:rPr>
        <w:t xml:space="preserve"> </w:t>
      </w:r>
      <w:r w:rsidR="007E715F">
        <w:rPr>
          <w:rFonts w:cs="Calibri"/>
          <w:lang w:val="fr-CA"/>
        </w:rPr>
        <w:t xml:space="preserve">axée sur l’avenir et </w:t>
      </w:r>
      <w:r w:rsidR="00186198">
        <w:rPr>
          <w:rFonts w:cs="Calibri"/>
          <w:lang w:val="fr-CA"/>
        </w:rPr>
        <w:t>structurée</w:t>
      </w:r>
      <w:bookmarkStart w:id="0" w:name="_GoBack"/>
      <w:bookmarkEnd w:id="0"/>
      <w:r w:rsidR="007E715F">
        <w:rPr>
          <w:rFonts w:cs="Calibri"/>
          <w:lang w:val="fr-CA"/>
        </w:rPr>
        <w:t>,</w:t>
      </w:r>
      <w:r>
        <w:rPr>
          <w:rFonts w:cs="Calibri"/>
          <w:lang w:val="fr-CA"/>
        </w:rPr>
        <w:t xml:space="preserve"> tout en créant un cadre pour gérer l’expansion linguistique potentielle, comme suggéré dans la Résolution </w:t>
      </w:r>
      <w:r w:rsidRPr="003C6890">
        <w:rPr>
          <w:rFonts w:cs="Calibri"/>
          <w:lang w:val="fr-CA"/>
        </w:rPr>
        <w:t>XI.1.</w:t>
      </w:r>
    </w:p>
    <w:p w:rsidR="00F25888" w:rsidRPr="003C6890" w:rsidRDefault="00F25888" w:rsidP="00B646CF">
      <w:pPr>
        <w:pStyle w:val="ListParagraph"/>
        <w:spacing w:before="120" w:line="360" w:lineRule="auto"/>
        <w:ind w:left="360"/>
        <w:contextualSpacing w:val="0"/>
        <w:rPr>
          <w:rFonts w:cs="Calibri"/>
          <w:lang w:val="fr-CA"/>
        </w:rPr>
      </w:pPr>
    </w:p>
    <w:sectPr w:rsidR="00F25888" w:rsidRPr="003C6890" w:rsidSect="00E8229B">
      <w:headerReference w:type="default" r:id="rId10"/>
      <w:headerReference w:type="first" r:id="rId11"/>
      <w:pgSz w:w="11907" w:h="16839"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455" w:rsidRDefault="00B83455" w:rsidP="00DE735D">
      <w:pPr>
        <w:spacing w:after="0" w:line="240" w:lineRule="auto"/>
      </w:pPr>
      <w:r>
        <w:separator/>
      </w:r>
    </w:p>
  </w:endnote>
  <w:endnote w:type="continuationSeparator" w:id="0">
    <w:p w:rsidR="00B83455" w:rsidRDefault="00B83455" w:rsidP="00DE73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888" w:rsidRPr="006F1E51" w:rsidRDefault="00CF3395">
    <w:pPr>
      <w:pStyle w:val="Footer"/>
      <w:pBdr>
        <w:top w:val="single" w:sz="4" w:space="1" w:color="D9D9D9"/>
      </w:pBdr>
      <w:jc w:val="right"/>
      <w:rPr>
        <w:color w:val="1F497D"/>
      </w:rPr>
    </w:pPr>
    <w:r w:rsidRPr="006F1E51">
      <w:rPr>
        <w:color w:val="1F497D"/>
      </w:rPr>
      <w:fldChar w:fldCharType="begin"/>
    </w:r>
    <w:r w:rsidR="00F25888" w:rsidRPr="006F1E51">
      <w:rPr>
        <w:color w:val="1F497D"/>
      </w:rPr>
      <w:instrText xml:space="preserve"> PAGE   \* MERGEFORMAT </w:instrText>
    </w:r>
    <w:r w:rsidRPr="006F1E51">
      <w:rPr>
        <w:color w:val="1F497D"/>
      </w:rPr>
      <w:fldChar w:fldCharType="separate"/>
    </w:r>
    <w:r w:rsidR="00E8229B">
      <w:rPr>
        <w:noProof/>
        <w:color w:val="1F497D"/>
      </w:rPr>
      <w:t>4</w:t>
    </w:r>
    <w:r w:rsidRPr="006F1E51">
      <w:rPr>
        <w:color w:val="1F497D"/>
      </w:rPr>
      <w:fldChar w:fldCharType="end"/>
    </w:r>
    <w:r w:rsidR="00F25888" w:rsidRPr="006F1E51">
      <w:rPr>
        <w:color w:val="1F497D"/>
      </w:rPr>
      <w:t xml:space="preserve"> | </w:t>
    </w:r>
    <w:r w:rsidR="00F25888" w:rsidRPr="006F1E51">
      <w:rPr>
        <w:color w:val="1F497D"/>
        <w:spacing w:val="60"/>
      </w:rPr>
      <w:t>Page</w:t>
    </w:r>
  </w:p>
  <w:p w:rsidR="00F25888" w:rsidRDefault="00F87614">
    <w:pPr>
      <w:pStyle w:val="Footer"/>
    </w:pPr>
    <w:r>
      <w:rPr>
        <w:noProof/>
        <w:lang w:val="en-US" w:eastAsia="en-US"/>
      </w:rPr>
      <w:drawing>
        <wp:inline distT="0" distB="0" distL="0" distR="0">
          <wp:extent cx="457200" cy="327660"/>
          <wp:effectExtent l="0" t="0" r="0" b="0"/>
          <wp:docPr id="2" name="Picture 6" descr="CISDL Logo (Acrony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SDL Logo (Acronym).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32766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455" w:rsidRDefault="00B83455" w:rsidP="00DE735D">
      <w:pPr>
        <w:spacing w:after="0" w:line="240" w:lineRule="auto"/>
      </w:pPr>
      <w:r>
        <w:separator/>
      </w:r>
    </w:p>
  </w:footnote>
  <w:footnote w:type="continuationSeparator" w:id="0">
    <w:p w:rsidR="00B83455" w:rsidRDefault="00B83455" w:rsidP="00DE735D">
      <w:pPr>
        <w:spacing w:after="0" w:line="240" w:lineRule="auto"/>
      </w:pPr>
      <w:r>
        <w:continuationSeparator/>
      </w:r>
    </w:p>
  </w:footnote>
  <w:footnote w:id="1">
    <w:p w:rsidR="00F25888" w:rsidRPr="00497468" w:rsidRDefault="00F25888" w:rsidP="001370B7">
      <w:pPr>
        <w:pStyle w:val="FootnoteText"/>
        <w:rPr>
          <w:lang w:val="fr-FR"/>
        </w:rPr>
      </w:pPr>
      <w:r w:rsidRPr="00497468">
        <w:rPr>
          <w:rStyle w:val="FootnoteReference"/>
          <w:lang w:val="fr-FR"/>
        </w:rPr>
        <w:sym w:font="Symbol" w:char="F02A"/>
      </w:r>
      <w:r w:rsidRPr="00497468">
        <w:rPr>
          <w:b/>
          <w:lang w:val="fr-FR"/>
        </w:rPr>
        <w:t>Freedom-Kai Phillips</w:t>
      </w:r>
      <w:r w:rsidRPr="00497468">
        <w:rPr>
          <w:lang w:val="fr-FR"/>
        </w:rPr>
        <w:t xml:space="preserve"> est </w:t>
      </w:r>
      <w:r w:rsidR="008C7C94" w:rsidRPr="00497468">
        <w:rPr>
          <w:lang w:val="fr-FR"/>
        </w:rPr>
        <w:t>chargé</w:t>
      </w:r>
      <w:r w:rsidRPr="00497468">
        <w:rPr>
          <w:lang w:val="fr-FR"/>
        </w:rPr>
        <w:t xml:space="preserve"> de recherche juridique auprès du Programme de recherche sur le droit de la biodiversité et de la biosécurité pour le Centre </w:t>
      </w:r>
      <w:r w:rsidR="00497468" w:rsidRPr="00497468">
        <w:rPr>
          <w:lang w:val="fr-FR"/>
        </w:rPr>
        <w:t>de droit</w:t>
      </w:r>
      <w:r w:rsidRPr="00497468">
        <w:rPr>
          <w:lang w:val="fr-FR"/>
        </w:rPr>
        <w:t xml:space="preserve"> </w:t>
      </w:r>
      <w:r w:rsidR="00497468" w:rsidRPr="00497468">
        <w:rPr>
          <w:lang w:val="fr-FR"/>
        </w:rPr>
        <w:t>i</w:t>
      </w:r>
      <w:r w:rsidRPr="00497468">
        <w:rPr>
          <w:lang w:val="fr-FR"/>
        </w:rPr>
        <w:t xml:space="preserve">nternational </w:t>
      </w:r>
      <w:r w:rsidR="00497468" w:rsidRPr="00497468">
        <w:rPr>
          <w:lang w:val="fr-FR"/>
        </w:rPr>
        <w:t>du développement durable</w:t>
      </w:r>
      <w:r w:rsidRPr="00497468">
        <w:rPr>
          <w:lang w:val="fr-FR"/>
        </w:rPr>
        <w:t xml:space="preserve"> et possède une licence de l’École de droit Schulich de l’Université de Dalhousie (Halifax, Nouvelle-Écosse, Canada) et un master en diplomatie et relations internationales de l’École de diplomatie de Whitehead, Université de Seton Hall (South Orange, New Jersey, États</w:t>
      </w:r>
      <w:r w:rsidRPr="00497468">
        <w:rPr>
          <w:lang w:val="fr-FR"/>
        </w:rPr>
        <w:noBreakHyphen/>
        <w:t>Unis) ainsi qu’un B.Sc. (</w:t>
      </w:r>
      <w:r w:rsidRPr="00497468">
        <w:rPr>
          <w:i/>
          <w:iCs/>
          <w:lang w:val="fr-FR"/>
        </w:rPr>
        <w:t>magna cum laude</w:t>
      </w:r>
      <w:r w:rsidRPr="00497468">
        <w:rPr>
          <w:lang w:val="fr-FR"/>
        </w:rPr>
        <w:t>) de l’Université de l’Est du Michigan (Ypsilanti, Minnesota, États</w:t>
      </w:r>
      <w:r w:rsidRPr="00497468">
        <w:rPr>
          <w:lang w:val="fr-FR"/>
        </w:rPr>
        <w:noBreakHyphen/>
        <w:t>Unis).</w:t>
      </w:r>
    </w:p>
  </w:footnote>
  <w:footnote w:id="2">
    <w:p w:rsidR="00F25888" w:rsidRPr="00497468" w:rsidRDefault="00F25888">
      <w:pPr>
        <w:pStyle w:val="FootnoteText"/>
        <w:rPr>
          <w:lang w:val="fr-FR"/>
        </w:rPr>
      </w:pPr>
      <w:r w:rsidRPr="00497468">
        <w:rPr>
          <w:rStyle w:val="FootnoteReference"/>
          <w:lang w:val="fr-FR"/>
        </w:rPr>
        <w:footnoteRef/>
      </w:r>
      <w:r w:rsidRPr="00497468">
        <w:rPr>
          <w:lang w:val="fr-FR"/>
        </w:rPr>
        <w:t xml:space="preserve"> Convention de Ramsar, « Recommandation 5.15 : Langues de travail de la Conférence des Parties contractantes » COP5, Kushiro, Japon, (9 au 16 juin 1993), </w:t>
      </w:r>
      <w:r w:rsidR="00497468" w:rsidRPr="00497468">
        <w:rPr>
          <w:lang w:val="fr-FR"/>
        </w:rPr>
        <w:t>à consulter</w:t>
      </w:r>
      <w:r w:rsidRPr="00497468">
        <w:rPr>
          <w:lang w:val="fr-FR"/>
        </w:rPr>
        <w:t xml:space="preserve"> à l’adresse : </w:t>
      </w:r>
      <w:hyperlink r:id="rId1" w:history="1">
        <w:r w:rsidR="00186198" w:rsidRPr="00416809">
          <w:rPr>
            <w:rStyle w:val="Hyperlink"/>
            <w:lang w:val="fr-FR"/>
          </w:rPr>
          <w:t>http://www.ramsar.org/cda/fr/ramsar-documents-cops-cop5-recommendation-5-15/main/ramsar/1-31-58-130%5F23219_4000_0__</w:t>
        </w:r>
      </w:hyperlink>
      <w:r w:rsidRPr="00186198">
        <w:rPr>
          <w:lang w:val="fr-FR"/>
        </w:rPr>
        <w:t>.</w:t>
      </w:r>
      <w:r w:rsidRPr="00497468">
        <w:rPr>
          <w:lang w:val="fr-FR"/>
        </w:rPr>
        <w:t xml:space="preserve">  </w:t>
      </w:r>
    </w:p>
  </w:footnote>
  <w:footnote w:id="3">
    <w:p w:rsidR="00F25888" w:rsidRPr="00497468" w:rsidRDefault="00F25888">
      <w:pPr>
        <w:pStyle w:val="FootnoteText"/>
        <w:rPr>
          <w:lang w:val="fr-FR"/>
        </w:rPr>
      </w:pPr>
      <w:r w:rsidRPr="00497468">
        <w:rPr>
          <w:rStyle w:val="FootnoteReference"/>
          <w:lang w:val="fr-FR"/>
        </w:rPr>
        <w:footnoteRef/>
      </w:r>
      <w:r w:rsidRPr="00497468">
        <w:rPr>
          <w:lang w:val="fr-FR"/>
        </w:rPr>
        <w:t xml:space="preserve"> Convention de Ramsar, Résolution XI.1 : « Accueil institutionnel du Secrétariat Ramsar » COP11, Bucarest, Roumanie, (6 au 13 juillet 2012), </w:t>
      </w:r>
      <w:r w:rsidR="005F0F66">
        <w:rPr>
          <w:lang w:val="fr-FR"/>
        </w:rPr>
        <w:t>à consulter</w:t>
      </w:r>
      <w:r w:rsidRPr="00497468">
        <w:rPr>
          <w:lang w:val="fr-FR"/>
        </w:rPr>
        <w:t xml:space="preserve"> à l’adresse : </w:t>
      </w:r>
      <w:hyperlink r:id="rId2" w:history="1">
        <w:r w:rsidRPr="00497468">
          <w:rPr>
            <w:rStyle w:val="Hyperlink"/>
            <w:lang w:val="fr-FR"/>
          </w:rPr>
          <w:t>http://www.ramsar.org/pdf/cop11/res/cop11-res01-f.pdf</w:t>
        </w:r>
      </w:hyperlink>
      <w:r w:rsidRPr="00497468">
        <w:rPr>
          <w:lang w:val="fr-FR"/>
        </w:rPr>
        <w:t>.  [Résolution XI.1]</w:t>
      </w:r>
    </w:p>
  </w:footnote>
  <w:footnote w:id="4">
    <w:p w:rsidR="00F25888" w:rsidRPr="00497468" w:rsidRDefault="00F25888">
      <w:pPr>
        <w:pStyle w:val="FootnoteText"/>
        <w:rPr>
          <w:lang w:val="fr-FR"/>
        </w:rPr>
      </w:pPr>
      <w:r w:rsidRPr="00497468">
        <w:rPr>
          <w:rStyle w:val="FootnoteReference"/>
          <w:lang w:val="fr-FR"/>
        </w:rPr>
        <w:footnoteRef/>
      </w:r>
      <w:r w:rsidRPr="00497468">
        <w:rPr>
          <w:lang w:val="fr-FR"/>
        </w:rPr>
        <w:t xml:space="preserve"> Convention de Ramsar, « Règlement intérieur de la Conférence des Parties »  COP11, Bucarest, Roumanie, (7 juillet 2012), </w:t>
      </w:r>
      <w:r w:rsidR="005F0F66">
        <w:rPr>
          <w:lang w:val="fr-FR"/>
        </w:rPr>
        <w:t>à consulter</w:t>
      </w:r>
      <w:r w:rsidR="005F0F66" w:rsidRPr="00497468">
        <w:rPr>
          <w:lang w:val="fr-FR"/>
        </w:rPr>
        <w:t xml:space="preserve"> </w:t>
      </w:r>
      <w:r w:rsidRPr="00497468">
        <w:rPr>
          <w:lang w:val="fr-FR"/>
        </w:rPr>
        <w:t xml:space="preserve">à l’adresse : </w:t>
      </w:r>
      <w:hyperlink r:id="rId3" w:history="1">
        <w:r w:rsidRPr="00497468">
          <w:rPr>
            <w:rStyle w:val="Hyperlink"/>
            <w:lang w:val="fr-FR"/>
          </w:rPr>
          <w:t>http://www.ramsar.org/pdf/rules-cop-2012-f.pdf</w:t>
        </w:r>
      </w:hyperlink>
      <w:r w:rsidRPr="00497468">
        <w:rPr>
          <w:lang w:val="fr-FR"/>
        </w:rPr>
        <w:t xml:space="preserve">. [Règlement intérieur] </w:t>
      </w:r>
    </w:p>
  </w:footnote>
  <w:footnote w:id="5">
    <w:p w:rsidR="00F25888" w:rsidRPr="00497468" w:rsidRDefault="00F25888">
      <w:pPr>
        <w:pStyle w:val="FootnoteText"/>
        <w:rPr>
          <w:lang w:val="fr-FR"/>
        </w:rPr>
      </w:pPr>
      <w:r w:rsidRPr="00497468">
        <w:rPr>
          <w:rStyle w:val="FootnoteReference"/>
          <w:lang w:val="fr-FR"/>
        </w:rPr>
        <w:footnoteRef/>
      </w:r>
      <w:r w:rsidRPr="00497468">
        <w:rPr>
          <w:i/>
          <w:lang w:val="fr-FR"/>
        </w:rPr>
        <w:t xml:space="preserve">Ibid., </w:t>
      </w:r>
      <w:r w:rsidRPr="00497468">
        <w:rPr>
          <w:lang w:val="fr-FR"/>
        </w:rPr>
        <w:t xml:space="preserve">Règlement intérieur, Article 52. </w:t>
      </w:r>
    </w:p>
  </w:footnote>
  <w:footnote w:id="6">
    <w:p w:rsidR="00F25888" w:rsidRPr="00497468" w:rsidRDefault="00F25888">
      <w:pPr>
        <w:pStyle w:val="FootnoteText"/>
        <w:rPr>
          <w:lang w:val="fr-FR"/>
        </w:rPr>
      </w:pPr>
      <w:r w:rsidRPr="00497468">
        <w:rPr>
          <w:rStyle w:val="FootnoteReference"/>
          <w:lang w:val="fr-FR"/>
        </w:rPr>
        <w:footnoteRef/>
      </w:r>
      <w:r w:rsidRPr="00497468">
        <w:rPr>
          <w:i/>
          <w:lang w:val="fr-FR"/>
        </w:rPr>
        <w:t xml:space="preserve">Ibid., </w:t>
      </w:r>
      <w:r w:rsidRPr="00497468">
        <w:rPr>
          <w:lang w:val="fr-FR"/>
        </w:rPr>
        <w:t xml:space="preserve">Règlement intérieur, Article 53. </w:t>
      </w:r>
    </w:p>
  </w:footnote>
  <w:footnote w:id="7">
    <w:p w:rsidR="00F25888" w:rsidRPr="00497468" w:rsidRDefault="00F25888">
      <w:pPr>
        <w:pStyle w:val="FootnoteText"/>
        <w:rPr>
          <w:lang w:val="fr-FR"/>
        </w:rPr>
      </w:pPr>
      <w:r w:rsidRPr="00497468">
        <w:rPr>
          <w:rStyle w:val="FootnoteReference"/>
          <w:lang w:val="fr-FR"/>
        </w:rPr>
        <w:footnoteRef/>
      </w:r>
      <w:r w:rsidRPr="00497468">
        <w:rPr>
          <w:i/>
          <w:lang w:val="fr-FR"/>
        </w:rPr>
        <w:t xml:space="preserve">Ibid., </w:t>
      </w:r>
      <w:r w:rsidRPr="00497468">
        <w:rPr>
          <w:lang w:val="fr-FR"/>
        </w:rPr>
        <w:t>Règlement intérieur, Article 54.</w:t>
      </w:r>
    </w:p>
  </w:footnote>
  <w:footnote w:id="8">
    <w:p w:rsidR="00F25888" w:rsidRPr="00497468" w:rsidRDefault="00F25888">
      <w:pPr>
        <w:pStyle w:val="FootnoteText"/>
        <w:rPr>
          <w:lang w:val="fr-FR"/>
        </w:rPr>
      </w:pPr>
      <w:r w:rsidRPr="00497468">
        <w:rPr>
          <w:rStyle w:val="FootnoteReference"/>
          <w:lang w:val="fr-FR"/>
        </w:rPr>
        <w:footnoteRef/>
      </w:r>
      <w:r w:rsidRPr="00497468">
        <w:rPr>
          <w:i/>
          <w:lang w:val="fr-FR"/>
        </w:rPr>
        <w:t xml:space="preserve">Ibid., </w:t>
      </w:r>
      <w:r w:rsidRPr="00497468">
        <w:rPr>
          <w:lang w:val="fr-FR"/>
        </w:rPr>
        <w:t xml:space="preserve">Règlement intérieur, Article 10. </w:t>
      </w:r>
    </w:p>
  </w:footnote>
  <w:footnote w:id="9">
    <w:p w:rsidR="00F25888" w:rsidRPr="00497468" w:rsidRDefault="00F25888">
      <w:pPr>
        <w:pStyle w:val="FootnoteText"/>
        <w:rPr>
          <w:lang w:val="fr-FR"/>
        </w:rPr>
      </w:pPr>
      <w:r w:rsidRPr="00497468">
        <w:rPr>
          <w:rStyle w:val="FootnoteReference"/>
          <w:lang w:val="fr-FR"/>
        </w:rPr>
        <w:footnoteRef/>
      </w:r>
      <w:r w:rsidRPr="00497468">
        <w:rPr>
          <w:i/>
          <w:lang w:val="fr-FR"/>
        </w:rPr>
        <w:t xml:space="preserve">Ibid., </w:t>
      </w:r>
      <w:r w:rsidRPr="00497468">
        <w:rPr>
          <w:lang w:val="fr-FR"/>
        </w:rPr>
        <w:t>Règlement intérieur, Article 18</w:t>
      </w:r>
      <w:r w:rsidR="005F0F66">
        <w:rPr>
          <w:lang w:val="fr-FR"/>
        </w:rPr>
        <w:t xml:space="preserve"> alinéa </w:t>
      </w:r>
      <w:r w:rsidRPr="00497468">
        <w:rPr>
          <w:lang w:val="fr-FR"/>
        </w:rPr>
        <w:t xml:space="preserve">6. </w:t>
      </w:r>
    </w:p>
  </w:footnote>
  <w:footnote w:id="10">
    <w:p w:rsidR="00F25888" w:rsidRPr="00497468" w:rsidRDefault="00F25888">
      <w:pPr>
        <w:pStyle w:val="FootnoteText"/>
        <w:rPr>
          <w:lang w:val="fr-FR"/>
        </w:rPr>
      </w:pPr>
      <w:r w:rsidRPr="00497468">
        <w:rPr>
          <w:rStyle w:val="FootnoteReference"/>
          <w:lang w:val="fr-FR"/>
        </w:rPr>
        <w:footnoteRef/>
      </w:r>
      <w:r w:rsidRPr="00497468">
        <w:rPr>
          <w:i/>
          <w:lang w:val="fr-FR"/>
        </w:rPr>
        <w:t xml:space="preserve">Ibid., </w:t>
      </w:r>
      <w:r w:rsidRPr="00497468">
        <w:rPr>
          <w:lang w:val="fr-FR"/>
        </w:rPr>
        <w:t xml:space="preserve">Règlement intérieur, </w:t>
      </w:r>
      <w:r w:rsidRPr="005F0F66">
        <w:rPr>
          <w:lang w:val="fr-FR"/>
        </w:rPr>
        <w:t>Article</w:t>
      </w:r>
      <w:r w:rsidRPr="00497468">
        <w:rPr>
          <w:lang w:val="fr-FR"/>
        </w:rPr>
        <w:t xml:space="preserve"> 35</w:t>
      </w:r>
      <w:r w:rsidR="005F0F66">
        <w:rPr>
          <w:lang w:val="fr-FR"/>
        </w:rPr>
        <w:t xml:space="preserve"> alinéas </w:t>
      </w:r>
      <w:r w:rsidRPr="00497468">
        <w:rPr>
          <w:lang w:val="fr-FR"/>
        </w:rPr>
        <w:t>1</w:t>
      </w:r>
      <w:r w:rsidR="005F0F66">
        <w:rPr>
          <w:lang w:val="fr-FR"/>
        </w:rPr>
        <w:t xml:space="preserve"> et </w:t>
      </w:r>
      <w:r w:rsidRPr="00497468">
        <w:rPr>
          <w:lang w:val="fr-FR"/>
        </w:rPr>
        <w:t xml:space="preserve">3. </w:t>
      </w:r>
    </w:p>
  </w:footnote>
  <w:footnote w:id="11">
    <w:p w:rsidR="00F25888" w:rsidRPr="00497468" w:rsidRDefault="00F25888">
      <w:pPr>
        <w:pStyle w:val="FootnoteText"/>
        <w:rPr>
          <w:lang w:val="fr-FR"/>
        </w:rPr>
      </w:pPr>
      <w:r w:rsidRPr="00497468">
        <w:rPr>
          <w:rStyle w:val="FootnoteReference"/>
          <w:lang w:val="fr-FR"/>
        </w:rPr>
        <w:footnoteRef/>
      </w:r>
      <w:r w:rsidRPr="00497468">
        <w:rPr>
          <w:i/>
          <w:lang w:val="fr-FR"/>
        </w:rPr>
        <w:t xml:space="preserve">Ibid., </w:t>
      </w:r>
      <w:r w:rsidRPr="00497468">
        <w:rPr>
          <w:lang w:val="fr-FR"/>
        </w:rPr>
        <w:t xml:space="preserve">Règlement intérieur, Article 28(a-b). </w:t>
      </w:r>
    </w:p>
  </w:footnote>
  <w:footnote w:id="12">
    <w:p w:rsidR="00F25888" w:rsidRPr="00497468" w:rsidRDefault="00F25888">
      <w:pPr>
        <w:pStyle w:val="FootnoteText"/>
        <w:rPr>
          <w:lang w:val="fr-FR"/>
        </w:rPr>
      </w:pPr>
      <w:r w:rsidRPr="00497468">
        <w:rPr>
          <w:rStyle w:val="FootnoteReference"/>
          <w:lang w:val="fr-FR"/>
        </w:rPr>
        <w:footnoteRef/>
      </w:r>
      <w:r w:rsidRPr="00497468">
        <w:rPr>
          <w:i/>
          <w:lang w:val="fr-FR"/>
        </w:rPr>
        <w:t xml:space="preserve">Ibid., </w:t>
      </w:r>
      <w:r w:rsidRPr="00497468">
        <w:rPr>
          <w:lang w:val="fr-FR"/>
        </w:rPr>
        <w:t>Règlement intérieur, Article 26</w:t>
      </w:r>
      <w:r w:rsidR="005F0F66">
        <w:rPr>
          <w:lang w:val="fr-FR"/>
        </w:rPr>
        <w:t xml:space="preserve"> alinéa </w:t>
      </w:r>
      <w:r w:rsidRPr="00497468">
        <w:rPr>
          <w:lang w:val="fr-FR"/>
        </w:rPr>
        <w:t xml:space="preserve">7(c). </w:t>
      </w:r>
    </w:p>
  </w:footnote>
  <w:footnote w:id="13">
    <w:p w:rsidR="00F25888" w:rsidRPr="00497468" w:rsidRDefault="00F25888">
      <w:pPr>
        <w:pStyle w:val="FootnoteText"/>
        <w:rPr>
          <w:lang w:val="fr-FR"/>
        </w:rPr>
      </w:pPr>
      <w:r w:rsidRPr="00497468">
        <w:rPr>
          <w:rStyle w:val="FootnoteReference"/>
          <w:lang w:val="fr-FR"/>
        </w:rPr>
        <w:footnoteRef/>
      </w:r>
      <w:r w:rsidRPr="00497468">
        <w:rPr>
          <w:lang w:val="fr-FR"/>
        </w:rPr>
        <w:t xml:space="preserve"> Convention de Ramsar, Résolution VIII.27 : « Questions financières et budgétaires » COP8, Valence, Espagne, (18-26 novembre 2002), annexe I, </w:t>
      </w:r>
      <w:r w:rsidR="000F404C">
        <w:rPr>
          <w:lang w:val="fr-FR"/>
        </w:rPr>
        <w:t>à consulter</w:t>
      </w:r>
      <w:r w:rsidRPr="00497468">
        <w:rPr>
          <w:lang w:val="fr-FR"/>
        </w:rPr>
        <w:t xml:space="preserve"> à l’adresse : </w:t>
      </w:r>
      <w:hyperlink r:id="rId4" w:history="1">
        <w:r w:rsidRPr="00497468">
          <w:rPr>
            <w:rStyle w:val="Hyperlink"/>
            <w:lang w:val="fr-FR"/>
          </w:rPr>
          <w:t>http://www.ramsar.org/pdf/res/key_res_viii_27_f.pdf</w:t>
        </w:r>
      </w:hyperlink>
      <w:r w:rsidRPr="00497468">
        <w:rPr>
          <w:lang w:val="fr-FR"/>
        </w:rPr>
        <w:t xml:space="preserve">. </w:t>
      </w:r>
    </w:p>
  </w:footnote>
  <w:footnote w:id="14">
    <w:p w:rsidR="00F25888" w:rsidRPr="00497468" w:rsidRDefault="00F25888">
      <w:pPr>
        <w:pStyle w:val="FootnoteText"/>
        <w:rPr>
          <w:lang w:val="fr-FR"/>
        </w:rPr>
      </w:pPr>
      <w:r w:rsidRPr="00497468">
        <w:rPr>
          <w:rStyle w:val="FootnoteReference"/>
          <w:lang w:val="fr-FR"/>
        </w:rPr>
        <w:footnoteRef/>
      </w:r>
      <w:r w:rsidRPr="00497468">
        <w:rPr>
          <w:lang w:val="fr-FR"/>
        </w:rPr>
        <w:t xml:space="preserve"> Convention de Ramsar, « Rapport de situation : Le Sous-groupe traite la Résolution XI.1 », 47</w:t>
      </w:r>
      <w:r w:rsidRPr="00497468">
        <w:rPr>
          <w:vertAlign w:val="superscript"/>
          <w:lang w:val="fr-FR"/>
        </w:rPr>
        <w:t>e</w:t>
      </w:r>
      <w:r w:rsidRPr="00497468">
        <w:rPr>
          <w:lang w:val="fr-FR"/>
        </w:rPr>
        <w:t> Réunion du Comité permanent, Gland, Suisse (23-28 mars 2014) DOC SC47-02, par 43. [DOC SC47-02]</w:t>
      </w:r>
    </w:p>
  </w:footnote>
  <w:footnote w:id="15">
    <w:p w:rsidR="00F25888" w:rsidRPr="00186198" w:rsidRDefault="00F25888">
      <w:pPr>
        <w:pStyle w:val="FootnoteText"/>
        <w:rPr>
          <w:lang w:val="fr-FR"/>
        </w:rPr>
      </w:pPr>
      <w:r w:rsidRPr="00497468">
        <w:rPr>
          <w:rStyle w:val="FootnoteReference"/>
          <w:lang w:val="fr-FR"/>
        </w:rPr>
        <w:footnoteRef/>
      </w:r>
      <w:r w:rsidRPr="00497468">
        <w:rPr>
          <w:lang w:val="fr-FR"/>
        </w:rPr>
        <w:t xml:space="preserve"> Nations Unies, </w:t>
      </w:r>
      <w:r w:rsidRPr="00497468">
        <w:rPr>
          <w:i/>
          <w:lang w:val="fr-FR"/>
        </w:rPr>
        <w:t>Convention de Vienne sur le droit des traités,</w:t>
      </w:r>
      <w:r w:rsidRPr="00497468">
        <w:rPr>
          <w:lang w:val="fr-FR"/>
        </w:rPr>
        <w:t xml:space="preserve"> (23 mai 1969), Art. 33(1), disponible à l’adresse : </w:t>
      </w:r>
      <w:hyperlink r:id="rId5" w:history="1">
        <w:r w:rsidRPr="00186198">
          <w:rPr>
            <w:rStyle w:val="Hyperlink"/>
            <w:lang w:val="fr-FR"/>
          </w:rPr>
          <w:t>https://treaties.un.org/doc/Publication/UNTS/Volume%201155/volume-1155-I-18232-English.pdf</w:t>
        </w:r>
      </w:hyperlink>
      <w:r w:rsidRPr="00186198">
        <w:rPr>
          <w:lang w:val="fr-FR"/>
        </w:rPr>
        <w:t xml:space="preserve">; </w:t>
      </w:r>
    </w:p>
  </w:footnote>
  <w:footnote w:id="16">
    <w:p w:rsidR="00F25888" w:rsidRPr="005F0F66" w:rsidRDefault="00F25888">
      <w:pPr>
        <w:pStyle w:val="FootnoteText"/>
        <w:rPr>
          <w:lang w:val="en-US"/>
        </w:rPr>
      </w:pPr>
      <w:r w:rsidRPr="00186198">
        <w:rPr>
          <w:rStyle w:val="FootnoteReference"/>
          <w:lang w:val="fr-FR"/>
        </w:rPr>
        <w:footnoteRef/>
      </w:r>
      <w:r w:rsidRPr="00186198">
        <w:rPr>
          <w:lang w:val="fr-FR"/>
        </w:rPr>
        <w:t xml:space="preserve"> Conférence internationale sur les zones humides et les oiseaux d’eau, Convention relative aux zones humides d’importance internationale, particulièrement comme habitats des oiseaux d’eau (Ramsar, Iran, 02.02.1971), </w:t>
      </w:r>
      <w:r w:rsidRPr="00186198">
        <w:rPr>
          <w:i/>
          <w:lang w:val="fr-FR"/>
        </w:rPr>
        <w:t xml:space="preserve">telle qu’amendée </w:t>
      </w:r>
      <w:r w:rsidRPr="00186198">
        <w:rPr>
          <w:lang w:val="fr-FR"/>
        </w:rPr>
        <w:t xml:space="preserve">(1994), </w:t>
      </w:r>
      <w:r w:rsidR="00CD48A5" w:rsidRPr="00186198">
        <w:rPr>
          <w:lang w:val="fr-FR"/>
        </w:rPr>
        <w:t>à consulter</w:t>
      </w:r>
      <w:r w:rsidRPr="00186198">
        <w:rPr>
          <w:lang w:val="fr-FR"/>
        </w:rPr>
        <w:t xml:space="preserve"> à l’adresse : </w:t>
      </w:r>
      <w:hyperlink r:id="rId6" w:history="1">
        <w:r w:rsidRPr="00186198">
          <w:rPr>
            <w:rStyle w:val="Hyperlink"/>
            <w:lang w:val="fr-FR"/>
          </w:rPr>
          <w:t>http://www.ramsar.org/cda/fr/ramsar-documents-texts-convention-on/main/ramsar/1-31-38%5F20671_4000_0__</w:t>
        </w:r>
      </w:hyperlink>
      <w:r w:rsidRPr="00186198">
        <w:rPr>
          <w:lang w:val="fr-FR"/>
        </w:rPr>
        <w:t xml:space="preserve">. </w:t>
      </w:r>
      <w:r w:rsidRPr="00186198">
        <w:rPr>
          <w:lang w:val="en-US"/>
        </w:rPr>
        <w:t>[Conve</w:t>
      </w:r>
      <w:r w:rsidRPr="005F0F66">
        <w:rPr>
          <w:lang w:val="en-US"/>
        </w:rPr>
        <w:t xml:space="preserve">ntion de Ramsar] </w:t>
      </w:r>
    </w:p>
  </w:footnote>
  <w:footnote w:id="17">
    <w:p w:rsidR="00F25888" w:rsidRPr="005F0F66" w:rsidRDefault="00F25888">
      <w:pPr>
        <w:pStyle w:val="FootnoteText"/>
        <w:rPr>
          <w:lang w:val="en-US"/>
        </w:rPr>
      </w:pPr>
      <w:r w:rsidRPr="00497468">
        <w:rPr>
          <w:rStyle w:val="FootnoteReference"/>
          <w:lang w:val="fr-FR"/>
        </w:rPr>
        <w:footnoteRef/>
      </w:r>
      <w:r w:rsidRPr="005F0F66">
        <w:rPr>
          <w:lang w:val="en-US"/>
        </w:rPr>
        <w:t xml:space="preserve"> O Dörr &amp; K Schmalenbach, Vienna Convention on the Law of Treaties: A Commentary Rockford MD, Springer: 2011) at 591-594. [Dörr &amp;Schmalenbach] </w:t>
      </w:r>
    </w:p>
  </w:footnote>
  <w:footnote w:id="18">
    <w:p w:rsidR="00F25888" w:rsidRPr="00497468" w:rsidRDefault="00F25888" w:rsidP="001F4099">
      <w:pPr>
        <w:pStyle w:val="FootnoteText"/>
        <w:rPr>
          <w:lang w:val="fr-FR"/>
        </w:rPr>
      </w:pPr>
      <w:r w:rsidRPr="00497468">
        <w:rPr>
          <w:rStyle w:val="FootnoteReference"/>
          <w:lang w:val="fr-FR"/>
        </w:rPr>
        <w:footnoteRef/>
      </w:r>
      <w:r w:rsidRPr="005F0F66">
        <w:rPr>
          <w:lang w:val="en-US"/>
        </w:rPr>
        <w:t xml:space="preserve"> M Tabory, </w:t>
      </w:r>
      <w:r w:rsidRPr="005F0F66">
        <w:rPr>
          <w:bCs/>
          <w:i/>
          <w:lang w:val="en-US"/>
        </w:rPr>
        <w:t xml:space="preserve">Multilingualism in International Law and Institutions </w:t>
      </w:r>
      <w:r w:rsidRPr="005F0F66">
        <w:rPr>
          <w:bCs/>
          <w:lang w:val="en-US"/>
        </w:rPr>
        <w:t xml:space="preserve">(The Netherlands: Sijtholf &amp; Noordhoff, 1980) at 21. </w:t>
      </w:r>
      <w:r w:rsidRPr="00497468">
        <w:rPr>
          <w:bCs/>
          <w:lang w:val="fr-FR"/>
        </w:rPr>
        <w:t>[</w:t>
      </w:r>
      <w:r w:rsidRPr="00497468">
        <w:rPr>
          <w:lang w:val="fr-FR"/>
        </w:rPr>
        <w:t xml:space="preserve">Tabory] </w:t>
      </w:r>
    </w:p>
  </w:footnote>
  <w:footnote w:id="19">
    <w:p w:rsidR="00F25888" w:rsidRPr="00497468" w:rsidRDefault="00F25888">
      <w:pPr>
        <w:pStyle w:val="FootnoteText"/>
        <w:rPr>
          <w:lang w:val="fr-FR"/>
        </w:rPr>
      </w:pPr>
      <w:r w:rsidRPr="00497468">
        <w:rPr>
          <w:rStyle w:val="FootnoteReference"/>
          <w:lang w:val="fr-FR"/>
        </w:rPr>
        <w:footnoteRef/>
      </w:r>
      <w:r w:rsidRPr="00497468">
        <w:rPr>
          <w:i/>
          <w:lang w:val="fr-FR"/>
        </w:rPr>
        <w:t xml:space="preserve">Ibid. </w:t>
      </w:r>
    </w:p>
  </w:footnote>
  <w:footnote w:id="20">
    <w:p w:rsidR="00F25888" w:rsidRPr="00497468" w:rsidRDefault="00F25888" w:rsidP="00C179CD">
      <w:pPr>
        <w:pStyle w:val="FootnoteText"/>
        <w:rPr>
          <w:lang w:val="fr-FR"/>
        </w:rPr>
      </w:pPr>
      <w:r w:rsidRPr="00497468">
        <w:rPr>
          <w:rStyle w:val="FootnoteReference"/>
          <w:lang w:val="fr-FR"/>
        </w:rPr>
        <w:footnoteRef/>
      </w:r>
      <w:r w:rsidRPr="00497468">
        <w:rPr>
          <w:lang w:val="fr-FR"/>
        </w:rPr>
        <w:t xml:space="preserve"> ONU, </w:t>
      </w:r>
      <w:r w:rsidRPr="00497468">
        <w:rPr>
          <w:i/>
          <w:lang w:val="fr-FR"/>
        </w:rPr>
        <w:t xml:space="preserve">Règlement intérieur provisoire de l’Assemblée générale, </w:t>
      </w:r>
      <w:r w:rsidRPr="00497468">
        <w:rPr>
          <w:lang w:val="fr-FR"/>
        </w:rPr>
        <w:t xml:space="preserve">A/71/Rev.1 (New York, avril 1947), Article 52, </w:t>
      </w:r>
      <w:r w:rsidR="00072DBD">
        <w:rPr>
          <w:lang w:val="fr-FR"/>
        </w:rPr>
        <w:t>à consulter</w:t>
      </w:r>
      <w:r w:rsidRPr="00497468">
        <w:rPr>
          <w:lang w:val="fr-FR"/>
        </w:rPr>
        <w:t xml:space="preserve"> à l’adresse : </w:t>
      </w:r>
      <w:hyperlink r:id="rId7" w:history="1">
        <w:r w:rsidRPr="00497468">
          <w:rPr>
            <w:rStyle w:val="Hyperlink"/>
            <w:lang w:val="fr-FR"/>
          </w:rPr>
          <w:t>http://www.un.org/fr/ga/search/view_doc.asp?symbol=A/71/REV.1&amp;Lang=E</w:t>
        </w:r>
      </w:hyperlink>
      <w:r w:rsidRPr="00497468">
        <w:rPr>
          <w:lang w:val="fr-FR"/>
        </w:rPr>
        <w:t>. [</w:t>
      </w:r>
      <w:r w:rsidRPr="00497468">
        <w:rPr>
          <w:i/>
          <w:lang w:val="fr-FR"/>
        </w:rPr>
        <w:t>Règlement intérieur</w:t>
      </w:r>
      <w:r w:rsidRPr="00497468">
        <w:rPr>
          <w:lang w:val="fr-FR"/>
        </w:rPr>
        <w:t xml:space="preserve"> de l’ONU AG </w:t>
      </w:r>
      <w:r w:rsidRPr="00497468">
        <w:rPr>
          <w:i/>
          <w:lang w:val="fr-FR"/>
        </w:rPr>
        <w:t>1947</w:t>
      </w:r>
      <w:r w:rsidRPr="00497468">
        <w:rPr>
          <w:lang w:val="fr-FR"/>
        </w:rPr>
        <w:t xml:space="preserve">] voir Article 52 : les langues officielles de l’Assemblée générale sont le chinois, l’anglais, le français, le russe et l’espagnol et les langues de travail sont l’anglais et le français. </w:t>
      </w:r>
    </w:p>
  </w:footnote>
  <w:footnote w:id="21">
    <w:p w:rsidR="00F25888" w:rsidRPr="00497468" w:rsidRDefault="00F25888">
      <w:pPr>
        <w:pStyle w:val="FootnoteText"/>
        <w:rPr>
          <w:lang w:val="fr-FR"/>
        </w:rPr>
      </w:pPr>
      <w:r w:rsidRPr="00497468">
        <w:rPr>
          <w:rStyle w:val="FootnoteReference"/>
          <w:lang w:val="fr-FR"/>
        </w:rPr>
        <w:footnoteRef/>
      </w:r>
      <w:r w:rsidRPr="00497468">
        <w:rPr>
          <w:i/>
          <w:lang w:val="fr-FR"/>
        </w:rPr>
        <w:t xml:space="preserve">Supra, </w:t>
      </w:r>
      <w:r w:rsidRPr="00497468">
        <w:rPr>
          <w:lang w:val="fr-FR"/>
        </w:rPr>
        <w:t xml:space="preserve">Tabory at 7; voir ONU AG </w:t>
      </w:r>
      <w:r w:rsidRPr="00497468">
        <w:rPr>
          <w:i/>
          <w:lang w:val="fr-FR"/>
        </w:rPr>
        <w:t>Règlement intérieur 1947</w:t>
      </w:r>
      <w:r w:rsidRPr="00497468">
        <w:rPr>
          <w:lang w:val="fr-FR"/>
        </w:rPr>
        <w:t xml:space="preserve">, Articles 53-60; voir généralement, J. Grant &amp; C. Barker </w:t>
      </w:r>
      <w:r w:rsidRPr="00497468">
        <w:rPr>
          <w:i/>
          <w:lang w:val="fr-FR"/>
        </w:rPr>
        <w:t xml:space="preserve">Encyclopedic Dictionary of International Law </w:t>
      </w:r>
      <w:r w:rsidRPr="00497468">
        <w:rPr>
          <w:lang w:val="fr-FR"/>
        </w:rPr>
        <w:t>(Oxford: Oxford University Press, 2009).</w:t>
      </w:r>
    </w:p>
  </w:footnote>
  <w:footnote w:id="22">
    <w:p w:rsidR="00F25888" w:rsidRPr="005F0F66" w:rsidRDefault="00F25888">
      <w:pPr>
        <w:pStyle w:val="FootnoteText"/>
        <w:rPr>
          <w:lang w:val="en-US"/>
        </w:rPr>
      </w:pPr>
      <w:r w:rsidRPr="00497468">
        <w:rPr>
          <w:rStyle w:val="FootnoteReference"/>
          <w:lang w:val="fr-FR"/>
        </w:rPr>
        <w:footnoteRef/>
      </w:r>
      <w:r w:rsidRPr="005F0F66">
        <w:rPr>
          <w:i/>
          <w:lang w:val="en-US"/>
        </w:rPr>
        <w:t xml:space="preserve">Ibid., </w:t>
      </w:r>
      <w:r w:rsidRPr="005F0F66">
        <w:rPr>
          <w:lang w:val="en-US"/>
        </w:rPr>
        <w:t xml:space="preserve">Tabory at 6-9. </w:t>
      </w:r>
    </w:p>
  </w:footnote>
  <w:footnote w:id="23">
    <w:p w:rsidR="00F25888" w:rsidRPr="005F0F66" w:rsidRDefault="00F25888" w:rsidP="00571773">
      <w:pPr>
        <w:pStyle w:val="FootnoteText"/>
        <w:rPr>
          <w:lang w:val="en-US"/>
        </w:rPr>
      </w:pPr>
      <w:r w:rsidRPr="00497468">
        <w:rPr>
          <w:rStyle w:val="FootnoteReference"/>
          <w:lang w:val="fr-FR"/>
        </w:rPr>
        <w:footnoteRef/>
      </w:r>
      <w:r w:rsidRPr="005F0F66">
        <w:rPr>
          <w:lang w:val="en-US"/>
        </w:rPr>
        <w:t xml:space="preserve"> ONU, AG Res 247 (III); ONU, AG Res 262 (III), 11 déc. 1948. </w:t>
      </w:r>
    </w:p>
  </w:footnote>
  <w:footnote w:id="24">
    <w:p w:rsidR="00F25888" w:rsidRPr="00497468" w:rsidRDefault="00F25888">
      <w:pPr>
        <w:pStyle w:val="FootnoteText"/>
        <w:rPr>
          <w:lang w:val="fr-FR"/>
        </w:rPr>
      </w:pPr>
      <w:r w:rsidRPr="00497468">
        <w:rPr>
          <w:rStyle w:val="FootnoteReference"/>
          <w:lang w:val="fr-FR"/>
        </w:rPr>
        <w:footnoteRef/>
      </w:r>
      <w:r w:rsidRPr="00497468">
        <w:rPr>
          <w:lang w:val="fr-FR"/>
        </w:rPr>
        <w:t xml:space="preserve"> ONU, AG Res 2479 (XXIII); ONU, AG Res 2553 (XXIV), 12 déc. 1969. </w:t>
      </w:r>
    </w:p>
  </w:footnote>
  <w:footnote w:id="25">
    <w:p w:rsidR="00F25888" w:rsidRPr="00497468" w:rsidRDefault="00F25888" w:rsidP="00F95800">
      <w:pPr>
        <w:pStyle w:val="FootnoteText"/>
        <w:rPr>
          <w:lang w:val="fr-FR"/>
        </w:rPr>
      </w:pPr>
      <w:r w:rsidRPr="00497468">
        <w:rPr>
          <w:rStyle w:val="FootnoteReference"/>
          <w:lang w:val="fr-FR"/>
        </w:rPr>
        <w:footnoteRef/>
      </w:r>
      <w:r w:rsidRPr="00497468">
        <w:rPr>
          <w:lang w:val="fr-FR"/>
        </w:rPr>
        <w:t xml:space="preserve"> ONU, AG Res 3189 (XXVIII). </w:t>
      </w:r>
    </w:p>
  </w:footnote>
  <w:footnote w:id="26">
    <w:p w:rsidR="00F25888" w:rsidRPr="00497468" w:rsidRDefault="00F25888">
      <w:pPr>
        <w:pStyle w:val="FootnoteText"/>
        <w:rPr>
          <w:lang w:val="fr-FR"/>
        </w:rPr>
      </w:pPr>
      <w:r w:rsidRPr="00497468">
        <w:rPr>
          <w:rStyle w:val="FootnoteReference"/>
          <w:lang w:val="fr-FR"/>
        </w:rPr>
        <w:footnoteRef/>
      </w:r>
      <w:r w:rsidRPr="00497468">
        <w:rPr>
          <w:lang w:val="fr-FR"/>
        </w:rPr>
        <w:t xml:space="preserve"> ONU, AG Res 3191 (XXVIII). [ONU, AG Res 3191]</w:t>
      </w:r>
    </w:p>
  </w:footnote>
  <w:footnote w:id="27">
    <w:p w:rsidR="00F25888" w:rsidRPr="00497468" w:rsidRDefault="00F25888">
      <w:pPr>
        <w:pStyle w:val="FootnoteText"/>
        <w:rPr>
          <w:lang w:val="fr-FR"/>
        </w:rPr>
      </w:pPr>
      <w:r w:rsidRPr="00497468">
        <w:rPr>
          <w:rStyle w:val="FootnoteReference"/>
          <w:lang w:val="fr-FR"/>
        </w:rPr>
        <w:footnoteRef/>
      </w:r>
      <w:r w:rsidRPr="00497468">
        <w:rPr>
          <w:i/>
          <w:lang w:val="fr-FR"/>
        </w:rPr>
        <w:t xml:space="preserve"> Ibid.</w:t>
      </w:r>
      <w:r w:rsidRPr="00497468">
        <w:rPr>
          <w:lang w:val="fr-FR"/>
        </w:rPr>
        <w:t xml:space="preserve">; Voir Modifications à l’Article 51, ONU AG Règlement intérieur (2007), Article 51 : Langues officielles et de travail, disponible à l’adresse : </w:t>
      </w:r>
      <w:hyperlink r:id="rId8" w:history="1">
        <w:r w:rsidRPr="00497468">
          <w:rPr>
            <w:rStyle w:val="Hyperlink"/>
            <w:lang w:val="fr-FR"/>
          </w:rPr>
          <w:t>http://www.unlanguage.org/pdf/RulesofProcedure.pdf</w:t>
        </w:r>
      </w:hyperlink>
      <w:r w:rsidRPr="00497468">
        <w:rPr>
          <w:lang w:val="fr-FR"/>
        </w:rPr>
        <w:t xml:space="preserve">. </w:t>
      </w:r>
    </w:p>
  </w:footnote>
  <w:footnote w:id="28">
    <w:p w:rsidR="00F25888" w:rsidRPr="00497468" w:rsidRDefault="00F25888">
      <w:pPr>
        <w:pStyle w:val="FootnoteText"/>
        <w:rPr>
          <w:lang w:val="fr-FR"/>
        </w:rPr>
      </w:pPr>
      <w:r w:rsidRPr="00497468">
        <w:rPr>
          <w:rStyle w:val="FootnoteReference"/>
          <w:lang w:val="fr-FR"/>
        </w:rPr>
        <w:footnoteRef/>
      </w:r>
      <w:r w:rsidRPr="00497468">
        <w:rPr>
          <w:i/>
          <w:lang w:val="fr-FR"/>
        </w:rPr>
        <w:t xml:space="preserve">Supra, </w:t>
      </w:r>
      <w:r w:rsidRPr="00497468">
        <w:rPr>
          <w:lang w:val="fr-FR"/>
        </w:rPr>
        <w:t xml:space="preserve">Tabory at 9 (voir note de bas de page 39), 40. </w:t>
      </w:r>
    </w:p>
  </w:footnote>
  <w:footnote w:id="29">
    <w:p w:rsidR="00F25888" w:rsidRPr="00497468" w:rsidRDefault="00F25888">
      <w:pPr>
        <w:pStyle w:val="FootnoteText"/>
        <w:rPr>
          <w:lang w:val="fr-FR"/>
        </w:rPr>
      </w:pPr>
      <w:r w:rsidRPr="00497468">
        <w:rPr>
          <w:rStyle w:val="FootnoteReference"/>
          <w:lang w:val="fr-FR"/>
        </w:rPr>
        <w:footnoteRef/>
      </w:r>
      <w:r w:rsidRPr="00497468">
        <w:rPr>
          <w:i/>
          <w:lang w:val="fr-FR"/>
        </w:rPr>
        <w:t xml:space="preserve">Supra 26,  </w:t>
      </w:r>
      <w:r w:rsidRPr="00497468">
        <w:rPr>
          <w:lang w:val="fr-FR"/>
        </w:rPr>
        <w:t xml:space="preserve">Règlement intérieur, Article 52. </w:t>
      </w:r>
    </w:p>
  </w:footnote>
  <w:footnote w:id="30">
    <w:p w:rsidR="00F25888" w:rsidRPr="00497468" w:rsidRDefault="00F25888" w:rsidP="0033541E">
      <w:pPr>
        <w:pStyle w:val="FootnoteText"/>
        <w:rPr>
          <w:lang w:val="fr-FR"/>
        </w:rPr>
      </w:pPr>
      <w:r w:rsidRPr="00497468">
        <w:rPr>
          <w:rStyle w:val="FootnoteReference"/>
          <w:lang w:val="fr-FR"/>
        </w:rPr>
        <w:footnoteRef/>
      </w:r>
      <w:r w:rsidRPr="00497468">
        <w:rPr>
          <w:i/>
          <w:lang w:val="fr-FR"/>
        </w:rPr>
        <w:t xml:space="preserve">Supra, </w:t>
      </w:r>
      <w:r w:rsidRPr="00497468">
        <w:rPr>
          <w:lang w:val="fr-FR"/>
        </w:rPr>
        <w:t xml:space="preserve">ONU, AG Res 3191. </w:t>
      </w:r>
    </w:p>
  </w:footnote>
  <w:footnote w:id="31">
    <w:p w:rsidR="00F25888" w:rsidRPr="005F0F66" w:rsidRDefault="00F25888">
      <w:pPr>
        <w:pStyle w:val="FootnoteText"/>
        <w:rPr>
          <w:lang w:val="en-US"/>
        </w:rPr>
      </w:pPr>
      <w:r w:rsidRPr="00497468">
        <w:rPr>
          <w:rStyle w:val="FootnoteReference"/>
          <w:lang w:val="fr-FR"/>
        </w:rPr>
        <w:footnoteRef/>
      </w:r>
      <w:r w:rsidRPr="005F0F66">
        <w:rPr>
          <w:i/>
          <w:lang w:val="en-US"/>
        </w:rPr>
        <w:t xml:space="preserve">Supra, </w:t>
      </w:r>
      <w:r w:rsidRPr="005F0F66">
        <w:rPr>
          <w:lang w:val="en-US"/>
        </w:rPr>
        <w:t xml:space="preserve">Tabory at 11-13. </w:t>
      </w:r>
    </w:p>
  </w:footnote>
  <w:footnote w:id="32">
    <w:p w:rsidR="00F25888" w:rsidRPr="005F0F66" w:rsidRDefault="00F25888">
      <w:pPr>
        <w:pStyle w:val="FootnoteText"/>
        <w:rPr>
          <w:lang w:val="en-US"/>
        </w:rPr>
      </w:pPr>
      <w:r w:rsidRPr="00497468">
        <w:rPr>
          <w:rStyle w:val="FootnoteReference"/>
          <w:lang w:val="fr-FR"/>
        </w:rPr>
        <w:footnoteRef/>
      </w:r>
      <w:r w:rsidRPr="005F0F66">
        <w:rPr>
          <w:i/>
          <w:lang w:val="en-US"/>
        </w:rPr>
        <w:t xml:space="preserve">Supra, </w:t>
      </w:r>
      <w:r w:rsidRPr="005F0F66">
        <w:rPr>
          <w:lang w:val="en-US"/>
        </w:rPr>
        <w:t xml:space="preserve">ONU, AG Res 3191, Article 52. </w:t>
      </w:r>
    </w:p>
  </w:footnote>
  <w:footnote w:id="33">
    <w:p w:rsidR="00F25888" w:rsidRPr="00497468" w:rsidRDefault="00F25888">
      <w:pPr>
        <w:pStyle w:val="FootnoteText"/>
        <w:rPr>
          <w:lang w:val="fr-FR"/>
        </w:rPr>
      </w:pPr>
      <w:r w:rsidRPr="00497468">
        <w:rPr>
          <w:rStyle w:val="FootnoteReference"/>
          <w:lang w:val="fr-FR"/>
        </w:rPr>
        <w:footnoteRef/>
      </w:r>
      <w:r w:rsidRPr="00497468">
        <w:rPr>
          <w:i/>
          <w:lang w:val="fr-FR"/>
        </w:rPr>
        <w:t xml:space="preserve">Ibid., </w:t>
      </w:r>
      <w:r w:rsidRPr="00497468">
        <w:rPr>
          <w:lang w:val="fr-FR"/>
        </w:rPr>
        <w:t xml:space="preserve">ONU, AG Res 3191, Article 54. </w:t>
      </w:r>
    </w:p>
  </w:footnote>
  <w:footnote w:id="34">
    <w:p w:rsidR="00F25888" w:rsidRPr="00497468" w:rsidRDefault="00F25888">
      <w:pPr>
        <w:pStyle w:val="FootnoteText"/>
        <w:rPr>
          <w:lang w:val="fr-FR"/>
        </w:rPr>
      </w:pPr>
      <w:r w:rsidRPr="00497468">
        <w:rPr>
          <w:rStyle w:val="FootnoteReference"/>
          <w:lang w:val="fr-FR"/>
        </w:rPr>
        <w:footnoteRef/>
      </w:r>
      <w:r w:rsidRPr="00497468">
        <w:rPr>
          <w:i/>
          <w:lang w:val="fr-FR"/>
        </w:rPr>
        <w:t xml:space="preserve">Supra, </w:t>
      </w:r>
      <w:r w:rsidRPr="00497468">
        <w:rPr>
          <w:lang w:val="fr-FR"/>
        </w:rPr>
        <w:t xml:space="preserve">ONU AG Règlement intérieur (2007), voir Articles 52-57. </w:t>
      </w:r>
    </w:p>
  </w:footnote>
  <w:footnote w:id="35">
    <w:p w:rsidR="00F25888" w:rsidRPr="00497468" w:rsidRDefault="00F25888">
      <w:pPr>
        <w:pStyle w:val="FootnoteText"/>
        <w:rPr>
          <w:lang w:val="fr-FR"/>
        </w:rPr>
      </w:pPr>
      <w:r w:rsidRPr="00497468">
        <w:rPr>
          <w:rStyle w:val="FootnoteReference"/>
          <w:lang w:val="fr-FR"/>
        </w:rPr>
        <w:footnoteRef/>
      </w:r>
      <w:r w:rsidRPr="00497468">
        <w:rPr>
          <w:i/>
          <w:lang w:val="fr-FR"/>
        </w:rPr>
        <w:t xml:space="preserve">Supra, </w:t>
      </w:r>
      <w:r w:rsidRPr="00497468">
        <w:rPr>
          <w:lang w:val="fr-FR"/>
        </w:rPr>
        <w:t xml:space="preserve">Résolution XI.1, par. 10, 17(a). </w:t>
      </w:r>
    </w:p>
  </w:footnote>
  <w:footnote w:id="36">
    <w:p w:rsidR="00F25888" w:rsidRPr="00497468" w:rsidRDefault="00F25888">
      <w:pPr>
        <w:pStyle w:val="FootnoteText"/>
        <w:rPr>
          <w:lang w:val="fr-FR"/>
        </w:rPr>
      </w:pPr>
      <w:r w:rsidRPr="00497468">
        <w:rPr>
          <w:rStyle w:val="FootnoteReference"/>
          <w:lang w:val="fr-FR"/>
        </w:rPr>
        <w:footnoteRef/>
      </w:r>
      <w:r w:rsidRPr="00497468">
        <w:rPr>
          <w:lang w:val="fr-FR"/>
        </w:rPr>
        <w:t xml:space="preserve"> CPI, </w:t>
      </w:r>
      <w:r w:rsidRPr="00497468">
        <w:rPr>
          <w:i/>
          <w:lang w:val="fr-FR"/>
        </w:rPr>
        <w:t xml:space="preserve">Statut de Rome de la Cour pénale internationale </w:t>
      </w:r>
      <w:r w:rsidRPr="00497468">
        <w:rPr>
          <w:lang w:val="fr-FR"/>
        </w:rPr>
        <w:t xml:space="preserve">(1998), Article 50(1-2), disponible à l’adresse : </w:t>
      </w:r>
      <w:hyperlink r:id="rId9" w:history="1">
        <w:r w:rsidRPr="00497468">
          <w:rPr>
            <w:rStyle w:val="Hyperlink"/>
            <w:lang w:val="fr-FR"/>
          </w:rPr>
          <w:t>http://www.icc-cpi.int/nr/rdonlyres/ea9aeff7-5752-4f84-be94-0a655eb30e16/0/rome_statute_francais.pdf</w:t>
        </w:r>
      </w:hyperlink>
      <w:r w:rsidRPr="00497468">
        <w:rPr>
          <w:lang w:val="fr-FR"/>
        </w:rPr>
        <w:t xml:space="preserve">.  [Statut de Rome] </w:t>
      </w:r>
    </w:p>
  </w:footnote>
  <w:footnote w:id="37">
    <w:p w:rsidR="00F25888" w:rsidRPr="00497468" w:rsidRDefault="00F25888">
      <w:pPr>
        <w:pStyle w:val="FootnoteText"/>
        <w:rPr>
          <w:lang w:val="fr-FR"/>
        </w:rPr>
      </w:pPr>
      <w:r w:rsidRPr="00497468">
        <w:rPr>
          <w:rStyle w:val="FootnoteReference"/>
          <w:lang w:val="fr-FR"/>
        </w:rPr>
        <w:footnoteRef/>
      </w:r>
      <w:r w:rsidRPr="00497468">
        <w:rPr>
          <w:i/>
          <w:lang w:val="fr-FR"/>
        </w:rPr>
        <w:t xml:space="preserve">Ibid., </w:t>
      </w:r>
      <w:r w:rsidRPr="00497468">
        <w:rPr>
          <w:lang w:val="fr-FR"/>
        </w:rPr>
        <w:t xml:space="preserve">Statut de Rome, Article 50(3). </w:t>
      </w:r>
    </w:p>
  </w:footnote>
  <w:footnote w:id="38">
    <w:p w:rsidR="00F25888" w:rsidRPr="00186198" w:rsidRDefault="00F25888">
      <w:pPr>
        <w:pStyle w:val="FootnoteText"/>
        <w:rPr>
          <w:lang w:val="fr-FR"/>
        </w:rPr>
      </w:pPr>
      <w:r w:rsidRPr="00497468">
        <w:rPr>
          <w:rStyle w:val="FootnoteReference"/>
          <w:lang w:val="fr-FR"/>
        </w:rPr>
        <w:footnoteRef/>
      </w:r>
      <w:r w:rsidRPr="00497468">
        <w:rPr>
          <w:lang w:val="fr-FR"/>
        </w:rPr>
        <w:t xml:space="preserve">FAO, </w:t>
      </w:r>
      <w:r w:rsidRPr="00186198">
        <w:rPr>
          <w:i/>
          <w:lang w:val="fr-FR"/>
        </w:rPr>
        <w:t xml:space="preserve">Textes de base de l’Organisation des Nations Unies pour l’alimentation et l’agriculture, </w:t>
      </w:r>
      <w:r w:rsidRPr="00186198">
        <w:rPr>
          <w:lang w:val="fr-FR"/>
        </w:rPr>
        <w:t xml:space="preserve">vol.  I &amp; II, (2013), Article XXII, disponible à l’adresse : </w:t>
      </w:r>
      <w:hyperlink r:id="rId10" w:history="1">
        <w:r w:rsidRPr="00186198">
          <w:rPr>
            <w:rStyle w:val="Hyperlink"/>
            <w:lang w:val="fr-FR"/>
          </w:rPr>
          <w:t>http://www.fao.org/docrep/meeting/022/k8024f.pdf</w:t>
        </w:r>
      </w:hyperlink>
      <w:r w:rsidRPr="00186198">
        <w:rPr>
          <w:lang w:val="fr-FR"/>
        </w:rPr>
        <w:t xml:space="preserve">. [Règles générales de la FAO]  </w:t>
      </w:r>
    </w:p>
  </w:footnote>
  <w:footnote w:id="39">
    <w:p w:rsidR="00F25888" w:rsidRPr="00186198" w:rsidRDefault="00F25888">
      <w:pPr>
        <w:pStyle w:val="FootnoteText"/>
        <w:rPr>
          <w:lang w:val="fr-FR"/>
        </w:rPr>
      </w:pPr>
      <w:r w:rsidRPr="00186198">
        <w:rPr>
          <w:rStyle w:val="FootnoteReference"/>
          <w:lang w:val="fr-FR"/>
        </w:rPr>
        <w:footnoteRef/>
      </w:r>
      <w:r w:rsidRPr="00186198">
        <w:rPr>
          <w:i/>
          <w:lang w:val="fr-FR"/>
        </w:rPr>
        <w:t xml:space="preserve">Ibid., </w:t>
      </w:r>
      <w:r w:rsidRPr="00186198">
        <w:rPr>
          <w:lang w:val="fr-FR"/>
        </w:rPr>
        <w:t xml:space="preserve">Règles générales de la FAO, Article XLVIII. </w:t>
      </w:r>
    </w:p>
  </w:footnote>
  <w:footnote w:id="40">
    <w:p w:rsidR="00F25888" w:rsidRPr="00186198" w:rsidRDefault="00F25888">
      <w:pPr>
        <w:pStyle w:val="FootnoteText"/>
        <w:rPr>
          <w:lang w:val="fr-FR"/>
        </w:rPr>
      </w:pPr>
      <w:r w:rsidRPr="00186198">
        <w:rPr>
          <w:rStyle w:val="FootnoteReference"/>
          <w:lang w:val="fr-FR"/>
        </w:rPr>
        <w:footnoteRef/>
      </w:r>
      <w:r w:rsidRPr="00186198">
        <w:rPr>
          <w:lang w:val="fr-FR"/>
        </w:rPr>
        <w:t xml:space="preserve">FAO, </w:t>
      </w:r>
      <w:r w:rsidRPr="00186198">
        <w:rPr>
          <w:bCs/>
          <w:i/>
          <w:lang w:val="fr-FR"/>
        </w:rPr>
        <w:t>Constitution et Règlement intérieur de la Commission internationale du riz</w:t>
      </w:r>
      <w:r w:rsidRPr="00186198">
        <w:rPr>
          <w:bCs/>
          <w:lang w:val="fr-FR"/>
        </w:rPr>
        <w:t xml:space="preserve">, Article VI, disponible à l’adresse : </w:t>
      </w:r>
      <w:hyperlink r:id="rId11" w:anchor="c142773" w:history="1">
        <w:r w:rsidRPr="00186198">
          <w:rPr>
            <w:rStyle w:val="Hyperlink"/>
            <w:bCs/>
            <w:lang w:val="fr-FR"/>
          </w:rPr>
          <w:t>http://www.fao.org/agriculture/crops/thematic-sitemap/theme/treaties/irc/constitution-and-rules-of-procedure/fr/#c142773</w:t>
        </w:r>
      </w:hyperlink>
      <w:r w:rsidRPr="00186198">
        <w:rPr>
          <w:bCs/>
          <w:lang w:val="fr-FR"/>
        </w:rPr>
        <w:t xml:space="preserve">. </w:t>
      </w:r>
    </w:p>
  </w:footnote>
  <w:footnote w:id="41">
    <w:p w:rsidR="00F25888" w:rsidRPr="00497468" w:rsidRDefault="00F25888">
      <w:pPr>
        <w:pStyle w:val="FootnoteText"/>
        <w:rPr>
          <w:lang w:val="fr-FR"/>
        </w:rPr>
      </w:pPr>
      <w:r w:rsidRPr="00186198">
        <w:rPr>
          <w:rStyle w:val="FootnoteReference"/>
          <w:lang w:val="fr-FR"/>
        </w:rPr>
        <w:footnoteRef/>
      </w:r>
      <w:r w:rsidRPr="00186198">
        <w:rPr>
          <w:lang w:val="fr-FR"/>
        </w:rPr>
        <w:t xml:space="preserve">FAO, </w:t>
      </w:r>
      <w:r w:rsidRPr="00186198">
        <w:rPr>
          <w:i/>
          <w:lang w:val="fr-FR"/>
        </w:rPr>
        <w:t xml:space="preserve">Amendements aux « Textes de base » de la FAO </w:t>
      </w:r>
      <w:r w:rsidRPr="00186198">
        <w:rPr>
          <w:lang w:val="fr-FR"/>
        </w:rPr>
        <w:t xml:space="preserve">(1971), Res 16/71, disponible à l’adresse : </w:t>
      </w:r>
      <w:hyperlink r:id="rId12" w:history="1">
        <w:r w:rsidRPr="00186198">
          <w:rPr>
            <w:rStyle w:val="Hyperlink"/>
            <w:lang w:val="fr-FR"/>
          </w:rPr>
          <w:t>http://www.fao.org/docrep/c3592e/c3592e0c.htm</w:t>
        </w:r>
      </w:hyperlink>
      <w:r w:rsidRPr="00186198">
        <w:rPr>
          <w:lang w:val="fr-FR"/>
        </w:rPr>
        <w:t>.</w:t>
      </w:r>
      <w:r w:rsidRPr="00497468">
        <w:rPr>
          <w:lang w:val="fr-FR"/>
        </w:rPr>
        <w:t xml:space="preserve"> </w:t>
      </w:r>
    </w:p>
  </w:footnote>
  <w:footnote w:id="42">
    <w:p w:rsidR="00F25888" w:rsidRPr="00497468" w:rsidRDefault="00F25888">
      <w:pPr>
        <w:pStyle w:val="FootnoteText"/>
        <w:rPr>
          <w:lang w:val="fr-FR"/>
        </w:rPr>
      </w:pPr>
      <w:r w:rsidRPr="00497468">
        <w:rPr>
          <w:rStyle w:val="FootnoteReference"/>
          <w:lang w:val="fr-FR"/>
        </w:rPr>
        <w:footnoteRef/>
      </w:r>
      <w:r w:rsidRPr="00497468">
        <w:rPr>
          <w:lang w:val="fr-FR"/>
        </w:rPr>
        <w:t xml:space="preserve"> Ramsar, Résolution 4.2 « Langues de travail de la Conférence des Parties contractantes », COP4, Montreux, Suisse, (27 juin-4 juillet 1990), </w:t>
      </w:r>
      <w:r w:rsidR="007E715F">
        <w:rPr>
          <w:lang w:val="fr-FR"/>
        </w:rPr>
        <w:t>à consulter</w:t>
      </w:r>
      <w:r w:rsidRPr="00497468">
        <w:rPr>
          <w:lang w:val="fr-FR"/>
        </w:rPr>
        <w:t xml:space="preserve"> à l’adresse : </w:t>
      </w:r>
      <w:hyperlink r:id="rId13" w:history="1">
        <w:r w:rsidRPr="00497468">
          <w:rPr>
            <w:rStyle w:val="Hyperlink"/>
            <w:lang w:val="fr-FR"/>
          </w:rPr>
          <w:t>http://www.ramsar.org/cda/en/ramsar-documents-resol-resolution-4-2-working/main/ramsar/1-31-107%5E23368_4000_0__</w:t>
        </w:r>
      </w:hyperlink>
      <w:r w:rsidRPr="00497468">
        <w:rPr>
          <w:lang w:val="fr-FR"/>
        </w:rPr>
        <w:t xml:space="preserve">.  </w:t>
      </w:r>
    </w:p>
  </w:footnote>
  <w:footnote w:id="43">
    <w:p w:rsidR="00F25888" w:rsidRPr="00497468" w:rsidRDefault="00F25888">
      <w:pPr>
        <w:pStyle w:val="FootnoteText"/>
        <w:rPr>
          <w:lang w:val="fr-FR"/>
        </w:rPr>
      </w:pPr>
      <w:r w:rsidRPr="00497468">
        <w:rPr>
          <w:rStyle w:val="FootnoteReference"/>
          <w:lang w:val="fr-FR"/>
        </w:rPr>
        <w:footnoteRef/>
      </w:r>
      <w:r w:rsidRPr="00497468">
        <w:rPr>
          <w:i/>
          <w:lang w:val="fr-FR"/>
        </w:rPr>
        <w:t xml:space="preserve">Supra, </w:t>
      </w:r>
      <w:r w:rsidRPr="00497468">
        <w:rPr>
          <w:lang w:val="fr-FR"/>
        </w:rPr>
        <w:t xml:space="preserve">Règlement intérieur, </w:t>
      </w:r>
      <w:r w:rsidRPr="007E715F">
        <w:rPr>
          <w:lang w:val="fr-FR"/>
        </w:rPr>
        <w:t>Articles</w:t>
      </w:r>
      <w:r w:rsidRPr="00497468">
        <w:rPr>
          <w:lang w:val="fr-FR"/>
        </w:rPr>
        <w:t xml:space="preserve"> 28(a-b), 54(3).</w:t>
      </w:r>
    </w:p>
  </w:footnote>
  <w:footnote w:id="44">
    <w:p w:rsidR="00F25888" w:rsidRPr="00497468" w:rsidRDefault="00F25888">
      <w:pPr>
        <w:pStyle w:val="FootnoteText"/>
        <w:rPr>
          <w:lang w:val="fr-FR"/>
        </w:rPr>
      </w:pPr>
      <w:r w:rsidRPr="00497468">
        <w:rPr>
          <w:rStyle w:val="FootnoteReference"/>
          <w:lang w:val="fr-FR"/>
        </w:rPr>
        <w:footnoteRef/>
      </w:r>
      <w:r w:rsidRPr="00497468">
        <w:rPr>
          <w:i/>
          <w:lang w:val="fr-FR"/>
        </w:rPr>
        <w:t xml:space="preserve">Ibid., </w:t>
      </w:r>
      <w:r w:rsidRPr="00497468">
        <w:rPr>
          <w:lang w:val="fr-FR"/>
        </w:rPr>
        <w:t xml:space="preserve">Règlement intérieur, Article 53(2). </w:t>
      </w:r>
    </w:p>
  </w:footnote>
  <w:footnote w:id="45">
    <w:p w:rsidR="00F25888" w:rsidRPr="00497468" w:rsidRDefault="00F25888">
      <w:pPr>
        <w:pStyle w:val="FootnoteText"/>
        <w:rPr>
          <w:lang w:val="fr-FR"/>
        </w:rPr>
      </w:pPr>
      <w:r w:rsidRPr="00497468">
        <w:rPr>
          <w:rStyle w:val="FootnoteReference"/>
          <w:lang w:val="fr-FR"/>
        </w:rPr>
        <w:footnoteRef/>
      </w:r>
      <w:r w:rsidRPr="00497468">
        <w:rPr>
          <w:i/>
          <w:lang w:val="fr-FR"/>
        </w:rPr>
        <w:t xml:space="preserve">Supra, </w:t>
      </w:r>
      <w:r w:rsidRPr="00497468">
        <w:rPr>
          <w:lang w:val="fr-FR"/>
        </w:rPr>
        <w:t xml:space="preserve">DOC SC47-02, par. 8.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888" w:rsidRPr="00881F19" w:rsidRDefault="00F25888" w:rsidP="00624723">
    <w:pPr>
      <w:spacing w:after="0" w:line="240" w:lineRule="auto"/>
      <w:rPr>
        <w:sz w:val="20"/>
        <w:szCs w:val="20"/>
        <w:lang w:val="fr-CH"/>
      </w:rPr>
    </w:pPr>
    <w:r w:rsidRPr="00881F19">
      <w:rPr>
        <w:sz w:val="20"/>
        <w:szCs w:val="20"/>
        <w:lang w:val="fr-CH"/>
      </w:rPr>
      <w:t>SC48-0</w:t>
    </w:r>
    <w:r w:rsidR="00497468" w:rsidRPr="00881F19">
      <w:rPr>
        <w:sz w:val="20"/>
        <w:szCs w:val="20"/>
        <w:lang w:val="fr-CH"/>
      </w:rPr>
      <w:t>5</w:t>
    </w:r>
    <w:r w:rsidRPr="00881F19">
      <w:rPr>
        <w:rFonts w:cs="Calibri"/>
        <w:b/>
        <w:sz w:val="20"/>
        <w:szCs w:val="20"/>
        <w:lang w:val="fr-CH" w:eastAsia="en-GB"/>
      </w:rPr>
      <w:tab/>
    </w:r>
    <w:r w:rsidRPr="00881F19">
      <w:rPr>
        <w:rFonts w:cs="Calibri"/>
        <w:b/>
        <w:sz w:val="20"/>
        <w:szCs w:val="20"/>
        <w:lang w:val="fr-CH" w:eastAsia="en-GB"/>
      </w:rPr>
      <w:tab/>
    </w:r>
    <w:r w:rsidR="00E8229B">
      <w:rPr>
        <w:rFonts w:cs="Calibri"/>
        <w:b/>
        <w:sz w:val="20"/>
        <w:szCs w:val="20"/>
        <w:lang w:val="fr-CH" w:eastAsia="en-GB"/>
      </w:rPr>
      <w:tab/>
    </w:r>
    <w:r w:rsidRPr="00881F19">
      <w:rPr>
        <w:color w:val="1F497D"/>
        <w:sz w:val="20"/>
        <w:szCs w:val="20"/>
        <w:lang w:val="fr-CH"/>
      </w:rPr>
      <w:t xml:space="preserve">Opinion </w:t>
    </w:r>
    <w:r w:rsidR="00497468" w:rsidRPr="00881F19">
      <w:rPr>
        <w:color w:val="1F497D"/>
        <w:sz w:val="20"/>
        <w:szCs w:val="20"/>
        <w:lang w:val="fr-CH"/>
      </w:rPr>
      <w:t>sur l’utilisation de l’arabe dans les travaux de la Convention de</w:t>
    </w:r>
    <w:r w:rsidRPr="00881F19">
      <w:rPr>
        <w:color w:val="1F497D"/>
        <w:sz w:val="20"/>
        <w:szCs w:val="20"/>
        <w:lang w:val="fr-CH"/>
      </w:rPr>
      <w:t xml:space="preserve"> Ramsar </w:t>
    </w:r>
  </w:p>
  <w:p w:rsidR="00F25888" w:rsidRPr="00497468" w:rsidRDefault="00F25888" w:rsidP="00624723">
    <w:pPr>
      <w:pStyle w:val="Header"/>
      <w:rPr>
        <w:lang w:val="fr-CH"/>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888" w:rsidRPr="00881F19" w:rsidRDefault="00F25888" w:rsidP="00624723">
    <w:pPr>
      <w:spacing w:after="0" w:line="240" w:lineRule="auto"/>
      <w:rPr>
        <w:sz w:val="20"/>
        <w:szCs w:val="20"/>
        <w:lang w:val="fr-CH"/>
      </w:rPr>
    </w:pPr>
    <w:r w:rsidRPr="00881F19">
      <w:rPr>
        <w:sz w:val="20"/>
        <w:szCs w:val="20"/>
        <w:lang w:val="fr-CH"/>
      </w:rPr>
      <w:t>SC48-0</w:t>
    </w:r>
    <w:r w:rsidR="008C7C94" w:rsidRPr="00881F19">
      <w:rPr>
        <w:sz w:val="20"/>
        <w:szCs w:val="20"/>
        <w:lang w:val="fr-CH"/>
      </w:rPr>
      <w:t>5</w:t>
    </w:r>
    <w:r w:rsidRPr="00881F19">
      <w:rPr>
        <w:rFonts w:cs="Calibri"/>
        <w:b/>
        <w:sz w:val="20"/>
        <w:szCs w:val="20"/>
        <w:lang w:val="fr-CH" w:eastAsia="en-GB"/>
      </w:rPr>
      <w:tab/>
    </w:r>
    <w:r w:rsidR="00881F19">
      <w:rPr>
        <w:rFonts w:cs="Calibri"/>
        <w:b/>
        <w:sz w:val="20"/>
        <w:szCs w:val="20"/>
        <w:lang w:val="fr-CH" w:eastAsia="en-GB"/>
      </w:rPr>
      <w:tab/>
    </w:r>
    <w:r w:rsidR="00881F19">
      <w:rPr>
        <w:rFonts w:cs="Calibri"/>
        <w:b/>
        <w:sz w:val="20"/>
        <w:szCs w:val="20"/>
        <w:lang w:val="fr-CH" w:eastAsia="en-GB"/>
      </w:rPr>
      <w:tab/>
    </w:r>
    <w:r w:rsidRPr="00881F19">
      <w:rPr>
        <w:color w:val="1F497D"/>
        <w:sz w:val="20"/>
        <w:szCs w:val="20"/>
        <w:lang w:val="fr-CH"/>
      </w:rPr>
      <w:t xml:space="preserve">Opinion </w:t>
    </w:r>
    <w:r w:rsidR="008C7C94" w:rsidRPr="00881F19">
      <w:rPr>
        <w:color w:val="1F497D"/>
        <w:sz w:val="20"/>
        <w:szCs w:val="20"/>
        <w:lang w:val="fr-CH"/>
      </w:rPr>
      <w:t>sur l’utilisation de l’arabe dans les travaux de la Convention de</w:t>
    </w:r>
    <w:r w:rsidRPr="00881F19">
      <w:rPr>
        <w:color w:val="1F497D"/>
        <w:sz w:val="20"/>
        <w:szCs w:val="20"/>
        <w:lang w:val="fr-CH"/>
      </w:rPr>
      <w:t xml:space="preserve"> Ramsar </w:t>
    </w:r>
  </w:p>
  <w:p w:rsidR="00F25888" w:rsidRPr="008C7C94" w:rsidRDefault="00F25888">
    <w:pPr>
      <w:pStyle w:val="Header"/>
      <w:rPr>
        <w:lang w:val="fr-CH"/>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A7C4636"/>
    <w:lvl w:ilvl="0">
      <w:numFmt w:val="bullet"/>
      <w:lvlText w:val="*"/>
      <w:lvlJc w:val="left"/>
    </w:lvl>
  </w:abstractNum>
  <w:abstractNum w:abstractNumId="1">
    <w:nsid w:val="00C70892"/>
    <w:multiLevelType w:val="hybridMultilevel"/>
    <w:tmpl w:val="DEE6D356"/>
    <w:lvl w:ilvl="0" w:tplc="273A44EE">
      <w:start w:val="4"/>
      <w:numFmt w:val="bullet"/>
      <w:lvlText w:val="•"/>
      <w:lvlJc w:val="left"/>
      <w:pPr>
        <w:ind w:left="720" w:hanging="360"/>
      </w:pPr>
      <w:rPr>
        <w:rFonts w:ascii="Garamond" w:hAnsi="Garamond" w:hint="default"/>
        <w:color w:val="000000"/>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AD5250"/>
    <w:multiLevelType w:val="hybridMultilevel"/>
    <w:tmpl w:val="226E31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852740"/>
    <w:multiLevelType w:val="hybridMultilevel"/>
    <w:tmpl w:val="42C05614"/>
    <w:lvl w:ilvl="0" w:tplc="415E1148">
      <w:start w:val="5"/>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593614"/>
    <w:multiLevelType w:val="hybridMultilevel"/>
    <w:tmpl w:val="A0043334"/>
    <w:lvl w:ilvl="0" w:tplc="B2864276">
      <w:start w:val="1"/>
      <w:numFmt w:val="bullet"/>
      <w:lvlText w:val=""/>
      <w:lvlJc w:val="left"/>
      <w:pPr>
        <w:tabs>
          <w:tab w:val="num" w:pos="720"/>
        </w:tabs>
        <w:ind w:left="720" w:hanging="360"/>
      </w:pPr>
      <w:rPr>
        <w:rFonts w:ascii="Wingdings" w:hAnsi="Wingdings" w:hint="default"/>
      </w:rPr>
    </w:lvl>
    <w:lvl w:ilvl="1" w:tplc="25B04FF6" w:tentative="1">
      <w:start w:val="1"/>
      <w:numFmt w:val="bullet"/>
      <w:lvlText w:val=""/>
      <w:lvlJc w:val="left"/>
      <w:pPr>
        <w:tabs>
          <w:tab w:val="num" w:pos="1440"/>
        </w:tabs>
        <w:ind w:left="1440" w:hanging="360"/>
      </w:pPr>
      <w:rPr>
        <w:rFonts w:ascii="Wingdings" w:hAnsi="Wingdings" w:hint="default"/>
      </w:rPr>
    </w:lvl>
    <w:lvl w:ilvl="2" w:tplc="E436A83A" w:tentative="1">
      <w:start w:val="1"/>
      <w:numFmt w:val="bullet"/>
      <w:lvlText w:val=""/>
      <w:lvlJc w:val="left"/>
      <w:pPr>
        <w:tabs>
          <w:tab w:val="num" w:pos="2160"/>
        </w:tabs>
        <w:ind w:left="2160" w:hanging="360"/>
      </w:pPr>
      <w:rPr>
        <w:rFonts w:ascii="Wingdings" w:hAnsi="Wingdings" w:hint="default"/>
      </w:rPr>
    </w:lvl>
    <w:lvl w:ilvl="3" w:tplc="69BE3F1A" w:tentative="1">
      <w:start w:val="1"/>
      <w:numFmt w:val="bullet"/>
      <w:lvlText w:val=""/>
      <w:lvlJc w:val="left"/>
      <w:pPr>
        <w:tabs>
          <w:tab w:val="num" w:pos="2880"/>
        </w:tabs>
        <w:ind w:left="2880" w:hanging="360"/>
      </w:pPr>
      <w:rPr>
        <w:rFonts w:ascii="Wingdings" w:hAnsi="Wingdings" w:hint="default"/>
      </w:rPr>
    </w:lvl>
    <w:lvl w:ilvl="4" w:tplc="29F4E204" w:tentative="1">
      <w:start w:val="1"/>
      <w:numFmt w:val="bullet"/>
      <w:lvlText w:val=""/>
      <w:lvlJc w:val="left"/>
      <w:pPr>
        <w:tabs>
          <w:tab w:val="num" w:pos="3600"/>
        </w:tabs>
        <w:ind w:left="3600" w:hanging="360"/>
      </w:pPr>
      <w:rPr>
        <w:rFonts w:ascii="Wingdings" w:hAnsi="Wingdings" w:hint="default"/>
      </w:rPr>
    </w:lvl>
    <w:lvl w:ilvl="5" w:tplc="373075DE" w:tentative="1">
      <w:start w:val="1"/>
      <w:numFmt w:val="bullet"/>
      <w:lvlText w:val=""/>
      <w:lvlJc w:val="left"/>
      <w:pPr>
        <w:tabs>
          <w:tab w:val="num" w:pos="4320"/>
        </w:tabs>
        <w:ind w:left="4320" w:hanging="360"/>
      </w:pPr>
      <w:rPr>
        <w:rFonts w:ascii="Wingdings" w:hAnsi="Wingdings" w:hint="default"/>
      </w:rPr>
    </w:lvl>
    <w:lvl w:ilvl="6" w:tplc="459E0E7C" w:tentative="1">
      <w:start w:val="1"/>
      <w:numFmt w:val="bullet"/>
      <w:lvlText w:val=""/>
      <w:lvlJc w:val="left"/>
      <w:pPr>
        <w:tabs>
          <w:tab w:val="num" w:pos="5040"/>
        </w:tabs>
        <w:ind w:left="5040" w:hanging="360"/>
      </w:pPr>
      <w:rPr>
        <w:rFonts w:ascii="Wingdings" w:hAnsi="Wingdings" w:hint="default"/>
      </w:rPr>
    </w:lvl>
    <w:lvl w:ilvl="7" w:tplc="23B41C98" w:tentative="1">
      <w:start w:val="1"/>
      <w:numFmt w:val="bullet"/>
      <w:lvlText w:val=""/>
      <w:lvlJc w:val="left"/>
      <w:pPr>
        <w:tabs>
          <w:tab w:val="num" w:pos="5760"/>
        </w:tabs>
        <w:ind w:left="5760" w:hanging="360"/>
      </w:pPr>
      <w:rPr>
        <w:rFonts w:ascii="Wingdings" w:hAnsi="Wingdings" w:hint="default"/>
      </w:rPr>
    </w:lvl>
    <w:lvl w:ilvl="8" w:tplc="50F43314" w:tentative="1">
      <w:start w:val="1"/>
      <w:numFmt w:val="bullet"/>
      <w:lvlText w:val=""/>
      <w:lvlJc w:val="left"/>
      <w:pPr>
        <w:tabs>
          <w:tab w:val="num" w:pos="6480"/>
        </w:tabs>
        <w:ind w:left="6480" w:hanging="360"/>
      </w:pPr>
      <w:rPr>
        <w:rFonts w:ascii="Wingdings" w:hAnsi="Wingdings" w:hint="default"/>
      </w:rPr>
    </w:lvl>
  </w:abstractNum>
  <w:abstractNum w:abstractNumId="5">
    <w:nsid w:val="1A626A98"/>
    <w:multiLevelType w:val="hybridMultilevel"/>
    <w:tmpl w:val="995E532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80CA6576">
      <w:start w:val="1"/>
      <w:numFmt w:val="upperRoman"/>
      <w:lvlText w:val="(%3)"/>
      <w:lvlJc w:val="left"/>
      <w:pPr>
        <w:ind w:left="2340" w:hanging="720"/>
      </w:pPr>
      <w:rPr>
        <w:rFonts w:cs="Times New Roman"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A9D2C30"/>
    <w:multiLevelType w:val="hybridMultilevel"/>
    <w:tmpl w:val="CC0460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1173397"/>
    <w:multiLevelType w:val="hybridMultilevel"/>
    <w:tmpl w:val="C72EC3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B25B7C"/>
    <w:multiLevelType w:val="hybridMultilevel"/>
    <w:tmpl w:val="DB303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273AAB"/>
    <w:multiLevelType w:val="hybridMultilevel"/>
    <w:tmpl w:val="3A985A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1431D06"/>
    <w:multiLevelType w:val="hybridMultilevel"/>
    <w:tmpl w:val="83442836"/>
    <w:lvl w:ilvl="0" w:tplc="6942809C">
      <w:start w:val="1"/>
      <w:numFmt w:val="bullet"/>
      <w:lvlText w:val="•"/>
      <w:lvlJc w:val="left"/>
      <w:pPr>
        <w:tabs>
          <w:tab w:val="num" w:pos="720"/>
        </w:tabs>
        <w:ind w:left="720" w:hanging="360"/>
      </w:pPr>
      <w:rPr>
        <w:rFonts w:ascii="Arial" w:hAnsi="Arial" w:hint="default"/>
      </w:rPr>
    </w:lvl>
    <w:lvl w:ilvl="1" w:tplc="1EBED000">
      <w:start w:val="1"/>
      <w:numFmt w:val="bullet"/>
      <w:lvlText w:val="•"/>
      <w:lvlJc w:val="left"/>
      <w:pPr>
        <w:tabs>
          <w:tab w:val="num" w:pos="1440"/>
        </w:tabs>
        <w:ind w:left="1440" w:hanging="360"/>
      </w:pPr>
      <w:rPr>
        <w:rFonts w:ascii="Arial" w:hAnsi="Arial" w:hint="default"/>
      </w:rPr>
    </w:lvl>
    <w:lvl w:ilvl="2" w:tplc="F5FEC510" w:tentative="1">
      <w:start w:val="1"/>
      <w:numFmt w:val="bullet"/>
      <w:lvlText w:val="•"/>
      <w:lvlJc w:val="left"/>
      <w:pPr>
        <w:tabs>
          <w:tab w:val="num" w:pos="2160"/>
        </w:tabs>
        <w:ind w:left="2160" w:hanging="360"/>
      </w:pPr>
      <w:rPr>
        <w:rFonts w:ascii="Arial" w:hAnsi="Arial" w:hint="default"/>
      </w:rPr>
    </w:lvl>
    <w:lvl w:ilvl="3" w:tplc="AFA26EAA" w:tentative="1">
      <w:start w:val="1"/>
      <w:numFmt w:val="bullet"/>
      <w:lvlText w:val="•"/>
      <w:lvlJc w:val="left"/>
      <w:pPr>
        <w:tabs>
          <w:tab w:val="num" w:pos="2880"/>
        </w:tabs>
        <w:ind w:left="2880" w:hanging="360"/>
      </w:pPr>
      <w:rPr>
        <w:rFonts w:ascii="Arial" w:hAnsi="Arial" w:hint="default"/>
      </w:rPr>
    </w:lvl>
    <w:lvl w:ilvl="4" w:tplc="D6145FAE" w:tentative="1">
      <w:start w:val="1"/>
      <w:numFmt w:val="bullet"/>
      <w:lvlText w:val="•"/>
      <w:lvlJc w:val="left"/>
      <w:pPr>
        <w:tabs>
          <w:tab w:val="num" w:pos="3600"/>
        </w:tabs>
        <w:ind w:left="3600" w:hanging="360"/>
      </w:pPr>
      <w:rPr>
        <w:rFonts w:ascii="Arial" w:hAnsi="Arial" w:hint="default"/>
      </w:rPr>
    </w:lvl>
    <w:lvl w:ilvl="5" w:tplc="F90CD9D6" w:tentative="1">
      <w:start w:val="1"/>
      <w:numFmt w:val="bullet"/>
      <w:lvlText w:val="•"/>
      <w:lvlJc w:val="left"/>
      <w:pPr>
        <w:tabs>
          <w:tab w:val="num" w:pos="4320"/>
        </w:tabs>
        <w:ind w:left="4320" w:hanging="360"/>
      </w:pPr>
      <w:rPr>
        <w:rFonts w:ascii="Arial" w:hAnsi="Arial" w:hint="default"/>
      </w:rPr>
    </w:lvl>
    <w:lvl w:ilvl="6" w:tplc="8474E65A" w:tentative="1">
      <w:start w:val="1"/>
      <w:numFmt w:val="bullet"/>
      <w:lvlText w:val="•"/>
      <w:lvlJc w:val="left"/>
      <w:pPr>
        <w:tabs>
          <w:tab w:val="num" w:pos="5040"/>
        </w:tabs>
        <w:ind w:left="5040" w:hanging="360"/>
      </w:pPr>
      <w:rPr>
        <w:rFonts w:ascii="Arial" w:hAnsi="Arial" w:hint="default"/>
      </w:rPr>
    </w:lvl>
    <w:lvl w:ilvl="7" w:tplc="889C67AC" w:tentative="1">
      <w:start w:val="1"/>
      <w:numFmt w:val="bullet"/>
      <w:lvlText w:val="•"/>
      <w:lvlJc w:val="left"/>
      <w:pPr>
        <w:tabs>
          <w:tab w:val="num" w:pos="5760"/>
        </w:tabs>
        <w:ind w:left="5760" w:hanging="360"/>
      </w:pPr>
      <w:rPr>
        <w:rFonts w:ascii="Arial" w:hAnsi="Arial" w:hint="default"/>
      </w:rPr>
    </w:lvl>
    <w:lvl w:ilvl="8" w:tplc="90384B14" w:tentative="1">
      <w:start w:val="1"/>
      <w:numFmt w:val="bullet"/>
      <w:lvlText w:val="•"/>
      <w:lvlJc w:val="left"/>
      <w:pPr>
        <w:tabs>
          <w:tab w:val="num" w:pos="6480"/>
        </w:tabs>
        <w:ind w:left="6480" w:hanging="360"/>
      </w:pPr>
      <w:rPr>
        <w:rFonts w:ascii="Arial" w:hAnsi="Arial" w:hint="default"/>
      </w:rPr>
    </w:lvl>
  </w:abstractNum>
  <w:abstractNum w:abstractNumId="11">
    <w:nsid w:val="360E648F"/>
    <w:multiLevelType w:val="hybridMultilevel"/>
    <w:tmpl w:val="7A327560"/>
    <w:lvl w:ilvl="0" w:tplc="B568E25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EE1B83"/>
    <w:multiLevelType w:val="hybridMultilevel"/>
    <w:tmpl w:val="390E4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D777F2"/>
    <w:multiLevelType w:val="hybridMultilevel"/>
    <w:tmpl w:val="AD0AC4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897C4A"/>
    <w:multiLevelType w:val="hybridMultilevel"/>
    <w:tmpl w:val="E8F25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A21E0A"/>
    <w:multiLevelType w:val="hybridMultilevel"/>
    <w:tmpl w:val="F99803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B1E0032"/>
    <w:multiLevelType w:val="hybridMultilevel"/>
    <w:tmpl w:val="127A1C00"/>
    <w:lvl w:ilvl="0" w:tplc="11FE91F0">
      <w:start w:val="3"/>
      <w:numFmt w:val="bullet"/>
      <w:lvlText w:val="-"/>
      <w:lvlJc w:val="left"/>
      <w:pPr>
        <w:ind w:left="720" w:hanging="360"/>
      </w:pPr>
      <w:rPr>
        <w:rFonts w:ascii="Garamond" w:eastAsia="Times New Roman" w:hAnsi="Garamond"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402D3E"/>
    <w:multiLevelType w:val="hybridMultilevel"/>
    <w:tmpl w:val="A7A29BB6"/>
    <w:lvl w:ilvl="0" w:tplc="11E4D6D6">
      <w:start w:val="1"/>
      <w:numFmt w:val="lowerLetter"/>
      <w:lvlText w:val="(%1)"/>
      <w:lvlJc w:val="left"/>
      <w:pPr>
        <w:tabs>
          <w:tab w:val="num" w:pos="720"/>
        </w:tabs>
        <w:ind w:left="720" w:hanging="360"/>
      </w:pPr>
      <w:rPr>
        <w:rFonts w:cs="Times New Roman"/>
      </w:rPr>
    </w:lvl>
    <w:lvl w:ilvl="1" w:tplc="65480F70" w:tentative="1">
      <w:start w:val="1"/>
      <w:numFmt w:val="lowerLetter"/>
      <w:lvlText w:val="(%2)"/>
      <w:lvlJc w:val="left"/>
      <w:pPr>
        <w:tabs>
          <w:tab w:val="num" w:pos="1440"/>
        </w:tabs>
        <w:ind w:left="1440" w:hanging="360"/>
      </w:pPr>
      <w:rPr>
        <w:rFonts w:cs="Times New Roman"/>
      </w:rPr>
    </w:lvl>
    <w:lvl w:ilvl="2" w:tplc="7A42BC88" w:tentative="1">
      <w:start w:val="1"/>
      <w:numFmt w:val="lowerLetter"/>
      <w:lvlText w:val="(%3)"/>
      <w:lvlJc w:val="left"/>
      <w:pPr>
        <w:tabs>
          <w:tab w:val="num" w:pos="2160"/>
        </w:tabs>
        <w:ind w:left="2160" w:hanging="360"/>
      </w:pPr>
      <w:rPr>
        <w:rFonts w:cs="Times New Roman"/>
      </w:rPr>
    </w:lvl>
    <w:lvl w:ilvl="3" w:tplc="2C507624" w:tentative="1">
      <w:start w:val="1"/>
      <w:numFmt w:val="lowerLetter"/>
      <w:lvlText w:val="(%4)"/>
      <w:lvlJc w:val="left"/>
      <w:pPr>
        <w:tabs>
          <w:tab w:val="num" w:pos="2880"/>
        </w:tabs>
        <w:ind w:left="2880" w:hanging="360"/>
      </w:pPr>
      <w:rPr>
        <w:rFonts w:cs="Times New Roman"/>
      </w:rPr>
    </w:lvl>
    <w:lvl w:ilvl="4" w:tplc="E008462E" w:tentative="1">
      <w:start w:val="1"/>
      <w:numFmt w:val="lowerLetter"/>
      <w:lvlText w:val="(%5)"/>
      <w:lvlJc w:val="left"/>
      <w:pPr>
        <w:tabs>
          <w:tab w:val="num" w:pos="3600"/>
        </w:tabs>
        <w:ind w:left="3600" w:hanging="360"/>
      </w:pPr>
      <w:rPr>
        <w:rFonts w:cs="Times New Roman"/>
      </w:rPr>
    </w:lvl>
    <w:lvl w:ilvl="5" w:tplc="BE0683A4" w:tentative="1">
      <w:start w:val="1"/>
      <w:numFmt w:val="lowerLetter"/>
      <w:lvlText w:val="(%6)"/>
      <w:lvlJc w:val="left"/>
      <w:pPr>
        <w:tabs>
          <w:tab w:val="num" w:pos="4320"/>
        </w:tabs>
        <w:ind w:left="4320" w:hanging="360"/>
      </w:pPr>
      <w:rPr>
        <w:rFonts w:cs="Times New Roman"/>
      </w:rPr>
    </w:lvl>
    <w:lvl w:ilvl="6" w:tplc="A724BD04" w:tentative="1">
      <w:start w:val="1"/>
      <w:numFmt w:val="lowerLetter"/>
      <w:lvlText w:val="(%7)"/>
      <w:lvlJc w:val="left"/>
      <w:pPr>
        <w:tabs>
          <w:tab w:val="num" w:pos="5040"/>
        </w:tabs>
        <w:ind w:left="5040" w:hanging="360"/>
      </w:pPr>
      <w:rPr>
        <w:rFonts w:cs="Times New Roman"/>
      </w:rPr>
    </w:lvl>
    <w:lvl w:ilvl="7" w:tplc="D3ACF5EC" w:tentative="1">
      <w:start w:val="1"/>
      <w:numFmt w:val="lowerLetter"/>
      <w:lvlText w:val="(%8)"/>
      <w:lvlJc w:val="left"/>
      <w:pPr>
        <w:tabs>
          <w:tab w:val="num" w:pos="5760"/>
        </w:tabs>
        <w:ind w:left="5760" w:hanging="360"/>
      </w:pPr>
      <w:rPr>
        <w:rFonts w:cs="Times New Roman"/>
      </w:rPr>
    </w:lvl>
    <w:lvl w:ilvl="8" w:tplc="F2FA1216" w:tentative="1">
      <w:start w:val="1"/>
      <w:numFmt w:val="lowerLetter"/>
      <w:lvlText w:val="(%9)"/>
      <w:lvlJc w:val="left"/>
      <w:pPr>
        <w:tabs>
          <w:tab w:val="num" w:pos="6480"/>
        </w:tabs>
        <w:ind w:left="6480" w:hanging="360"/>
      </w:pPr>
      <w:rPr>
        <w:rFonts w:cs="Times New Roman"/>
      </w:rPr>
    </w:lvl>
  </w:abstractNum>
  <w:abstractNum w:abstractNumId="18">
    <w:nsid w:val="4E1F45E5"/>
    <w:multiLevelType w:val="hybridMultilevel"/>
    <w:tmpl w:val="4E5A4280"/>
    <w:lvl w:ilvl="0" w:tplc="BEE036A0">
      <w:start w:val="1"/>
      <w:numFmt w:val="bullet"/>
      <w:lvlText w:val=""/>
      <w:lvlJc w:val="left"/>
      <w:pPr>
        <w:tabs>
          <w:tab w:val="num" w:pos="720"/>
        </w:tabs>
        <w:ind w:left="720" w:hanging="360"/>
      </w:pPr>
      <w:rPr>
        <w:rFonts w:ascii="Wingdings" w:hAnsi="Wingdings" w:hint="default"/>
      </w:rPr>
    </w:lvl>
    <w:lvl w:ilvl="1" w:tplc="1F543564" w:tentative="1">
      <w:start w:val="1"/>
      <w:numFmt w:val="bullet"/>
      <w:lvlText w:val=""/>
      <w:lvlJc w:val="left"/>
      <w:pPr>
        <w:tabs>
          <w:tab w:val="num" w:pos="1440"/>
        </w:tabs>
        <w:ind w:left="1440" w:hanging="360"/>
      </w:pPr>
      <w:rPr>
        <w:rFonts w:ascii="Wingdings" w:hAnsi="Wingdings" w:hint="default"/>
      </w:rPr>
    </w:lvl>
    <w:lvl w:ilvl="2" w:tplc="CFEC113C" w:tentative="1">
      <w:start w:val="1"/>
      <w:numFmt w:val="bullet"/>
      <w:lvlText w:val=""/>
      <w:lvlJc w:val="left"/>
      <w:pPr>
        <w:tabs>
          <w:tab w:val="num" w:pos="2160"/>
        </w:tabs>
        <w:ind w:left="2160" w:hanging="360"/>
      </w:pPr>
      <w:rPr>
        <w:rFonts w:ascii="Wingdings" w:hAnsi="Wingdings" w:hint="default"/>
      </w:rPr>
    </w:lvl>
    <w:lvl w:ilvl="3" w:tplc="9146C020" w:tentative="1">
      <w:start w:val="1"/>
      <w:numFmt w:val="bullet"/>
      <w:lvlText w:val=""/>
      <w:lvlJc w:val="left"/>
      <w:pPr>
        <w:tabs>
          <w:tab w:val="num" w:pos="2880"/>
        </w:tabs>
        <w:ind w:left="2880" w:hanging="360"/>
      </w:pPr>
      <w:rPr>
        <w:rFonts w:ascii="Wingdings" w:hAnsi="Wingdings" w:hint="default"/>
      </w:rPr>
    </w:lvl>
    <w:lvl w:ilvl="4" w:tplc="3C6C66F6" w:tentative="1">
      <w:start w:val="1"/>
      <w:numFmt w:val="bullet"/>
      <w:lvlText w:val=""/>
      <w:lvlJc w:val="left"/>
      <w:pPr>
        <w:tabs>
          <w:tab w:val="num" w:pos="3600"/>
        </w:tabs>
        <w:ind w:left="3600" w:hanging="360"/>
      </w:pPr>
      <w:rPr>
        <w:rFonts w:ascii="Wingdings" w:hAnsi="Wingdings" w:hint="default"/>
      </w:rPr>
    </w:lvl>
    <w:lvl w:ilvl="5" w:tplc="668441F6" w:tentative="1">
      <w:start w:val="1"/>
      <w:numFmt w:val="bullet"/>
      <w:lvlText w:val=""/>
      <w:lvlJc w:val="left"/>
      <w:pPr>
        <w:tabs>
          <w:tab w:val="num" w:pos="4320"/>
        </w:tabs>
        <w:ind w:left="4320" w:hanging="360"/>
      </w:pPr>
      <w:rPr>
        <w:rFonts w:ascii="Wingdings" w:hAnsi="Wingdings" w:hint="default"/>
      </w:rPr>
    </w:lvl>
    <w:lvl w:ilvl="6" w:tplc="014CFAB0" w:tentative="1">
      <w:start w:val="1"/>
      <w:numFmt w:val="bullet"/>
      <w:lvlText w:val=""/>
      <w:lvlJc w:val="left"/>
      <w:pPr>
        <w:tabs>
          <w:tab w:val="num" w:pos="5040"/>
        </w:tabs>
        <w:ind w:left="5040" w:hanging="360"/>
      </w:pPr>
      <w:rPr>
        <w:rFonts w:ascii="Wingdings" w:hAnsi="Wingdings" w:hint="default"/>
      </w:rPr>
    </w:lvl>
    <w:lvl w:ilvl="7" w:tplc="BE66F942" w:tentative="1">
      <w:start w:val="1"/>
      <w:numFmt w:val="bullet"/>
      <w:lvlText w:val=""/>
      <w:lvlJc w:val="left"/>
      <w:pPr>
        <w:tabs>
          <w:tab w:val="num" w:pos="5760"/>
        </w:tabs>
        <w:ind w:left="5760" w:hanging="360"/>
      </w:pPr>
      <w:rPr>
        <w:rFonts w:ascii="Wingdings" w:hAnsi="Wingdings" w:hint="default"/>
      </w:rPr>
    </w:lvl>
    <w:lvl w:ilvl="8" w:tplc="FA068326" w:tentative="1">
      <w:start w:val="1"/>
      <w:numFmt w:val="bullet"/>
      <w:lvlText w:val=""/>
      <w:lvlJc w:val="left"/>
      <w:pPr>
        <w:tabs>
          <w:tab w:val="num" w:pos="6480"/>
        </w:tabs>
        <w:ind w:left="6480" w:hanging="360"/>
      </w:pPr>
      <w:rPr>
        <w:rFonts w:ascii="Wingdings" w:hAnsi="Wingdings" w:hint="default"/>
      </w:rPr>
    </w:lvl>
  </w:abstractNum>
  <w:abstractNum w:abstractNumId="19">
    <w:nsid w:val="4ED930CA"/>
    <w:multiLevelType w:val="hybridMultilevel"/>
    <w:tmpl w:val="027E04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1D609C"/>
    <w:multiLevelType w:val="hybridMultilevel"/>
    <w:tmpl w:val="18F276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38447F"/>
    <w:multiLevelType w:val="hybridMultilevel"/>
    <w:tmpl w:val="E45660B8"/>
    <w:lvl w:ilvl="0" w:tplc="10090013">
      <w:start w:val="1"/>
      <w:numFmt w:val="upperRoman"/>
      <w:lvlText w:val="%1."/>
      <w:lvlJc w:val="right"/>
      <w:pPr>
        <w:ind w:left="1080" w:hanging="360"/>
      </w:pPr>
      <w:rPr>
        <w:rFonts w:cs="Times New Roman"/>
      </w:rPr>
    </w:lvl>
    <w:lvl w:ilvl="1" w:tplc="10090019">
      <w:start w:val="1"/>
      <w:numFmt w:val="lowerLetter"/>
      <w:lvlText w:val="%2."/>
      <w:lvlJc w:val="left"/>
      <w:pPr>
        <w:ind w:left="1800" w:hanging="360"/>
      </w:pPr>
      <w:rPr>
        <w:rFonts w:cs="Times New Roman"/>
      </w:rPr>
    </w:lvl>
    <w:lvl w:ilvl="2" w:tplc="1009001B">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22">
    <w:nsid w:val="5BA51245"/>
    <w:multiLevelType w:val="hybridMultilevel"/>
    <w:tmpl w:val="07AA7640"/>
    <w:lvl w:ilvl="0" w:tplc="F328D07C">
      <w:start w:val="1"/>
      <w:numFmt w:val="bullet"/>
      <w:lvlText w:val=""/>
      <w:lvlJc w:val="left"/>
      <w:pPr>
        <w:tabs>
          <w:tab w:val="num" w:pos="720"/>
        </w:tabs>
        <w:ind w:left="720" w:hanging="360"/>
      </w:pPr>
      <w:rPr>
        <w:rFonts w:ascii="Wingdings" w:hAnsi="Wingdings" w:hint="default"/>
      </w:rPr>
    </w:lvl>
    <w:lvl w:ilvl="1" w:tplc="C1428FBC" w:tentative="1">
      <w:start w:val="1"/>
      <w:numFmt w:val="bullet"/>
      <w:lvlText w:val=""/>
      <w:lvlJc w:val="left"/>
      <w:pPr>
        <w:tabs>
          <w:tab w:val="num" w:pos="1440"/>
        </w:tabs>
        <w:ind w:left="1440" w:hanging="360"/>
      </w:pPr>
      <w:rPr>
        <w:rFonts w:ascii="Wingdings" w:hAnsi="Wingdings" w:hint="default"/>
      </w:rPr>
    </w:lvl>
    <w:lvl w:ilvl="2" w:tplc="97589A04" w:tentative="1">
      <w:start w:val="1"/>
      <w:numFmt w:val="bullet"/>
      <w:lvlText w:val=""/>
      <w:lvlJc w:val="left"/>
      <w:pPr>
        <w:tabs>
          <w:tab w:val="num" w:pos="2160"/>
        </w:tabs>
        <w:ind w:left="2160" w:hanging="360"/>
      </w:pPr>
      <w:rPr>
        <w:rFonts w:ascii="Wingdings" w:hAnsi="Wingdings" w:hint="default"/>
      </w:rPr>
    </w:lvl>
    <w:lvl w:ilvl="3" w:tplc="2056D7F2" w:tentative="1">
      <w:start w:val="1"/>
      <w:numFmt w:val="bullet"/>
      <w:lvlText w:val=""/>
      <w:lvlJc w:val="left"/>
      <w:pPr>
        <w:tabs>
          <w:tab w:val="num" w:pos="2880"/>
        </w:tabs>
        <w:ind w:left="2880" w:hanging="360"/>
      </w:pPr>
      <w:rPr>
        <w:rFonts w:ascii="Wingdings" w:hAnsi="Wingdings" w:hint="default"/>
      </w:rPr>
    </w:lvl>
    <w:lvl w:ilvl="4" w:tplc="138AD81E" w:tentative="1">
      <w:start w:val="1"/>
      <w:numFmt w:val="bullet"/>
      <w:lvlText w:val=""/>
      <w:lvlJc w:val="left"/>
      <w:pPr>
        <w:tabs>
          <w:tab w:val="num" w:pos="3600"/>
        </w:tabs>
        <w:ind w:left="3600" w:hanging="360"/>
      </w:pPr>
      <w:rPr>
        <w:rFonts w:ascii="Wingdings" w:hAnsi="Wingdings" w:hint="default"/>
      </w:rPr>
    </w:lvl>
    <w:lvl w:ilvl="5" w:tplc="7FC8B81E" w:tentative="1">
      <w:start w:val="1"/>
      <w:numFmt w:val="bullet"/>
      <w:lvlText w:val=""/>
      <w:lvlJc w:val="left"/>
      <w:pPr>
        <w:tabs>
          <w:tab w:val="num" w:pos="4320"/>
        </w:tabs>
        <w:ind w:left="4320" w:hanging="360"/>
      </w:pPr>
      <w:rPr>
        <w:rFonts w:ascii="Wingdings" w:hAnsi="Wingdings" w:hint="default"/>
      </w:rPr>
    </w:lvl>
    <w:lvl w:ilvl="6" w:tplc="DCB0E808" w:tentative="1">
      <w:start w:val="1"/>
      <w:numFmt w:val="bullet"/>
      <w:lvlText w:val=""/>
      <w:lvlJc w:val="left"/>
      <w:pPr>
        <w:tabs>
          <w:tab w:val="num" w:pos="5040"/>
        </w:tabs>
        <w:ind w:left="5040" w:hanging="360"/>
      </w:pPr>
      <w:rPr>
        <w:rFonts w:ascii="Wingdings" w:hAnsi="Wingdings" w:hint="default"/>
      </w:rPr>
    </w:lvl>
    <w:lvl w:ilvl="7" w:tplc="14101AAE" w:tentative="1">
      <w:start w:val="1"/>
      <w:numFmt w:val="bullet"/>
      <w:lvlText w:val=""/>
      <w:lvlJc w:val="left"/>
      <w:pPr>
        <w:tabs>
          <w:tab w:val="num" w:pos="5760"/>
        </w:tabs>
        <w:ind w:left="5760" w:hanging="360"/>
      </w:pPr>
      <w:rPr>
        <w:rFonts w:ascii="Wingdings" w:hAnsi="Wingdings" w:hint="default"/>
      </w:rPr>
    </w:lvl>
    <w:lvl w:ilvl="8" w:tplc="C68C9F52" w:tentative="1">
      <w:start w:val="1"/>
      <w:numFmt w:val="bullet"/>
      <w:lvlText w:val=""/>
      <w:lvlJc w:val="left"/>
      <w:pPr>
        <w:tabs>
          <w:tab w:val="num" w:pos="6480"/>
        </w:tabs>
        <w:ind w:left="6480" w:hanging="360"/>
      </w:pPr>
      <w:rPr>
        <w:rFonts w:ascii="Wingdings" w:hAnsi="Wingdings" w:hint="default"/>
      </w:rPr>
    </w:lvl>
  </w:abstractNum>
  <w:abstractNum w:abstractNumId="23">
    <w:nsid w:val="63F32A3D"/>
    <w:multiLevelType w:val="hybridMultilevel"/>
    <w:tmpl w:val="3B7433E2"/>
    <w:lvl w:ilvl="0" w:tplc="10090013">
      <w:start w:val="1"/>
      <w:numFmt w:val="upperRoman"/>
      <w:lvlText w:val="%1."/>
      <w:lvlJc w:val="right"/>
      <w:pPr>
        <w:ind w:left="1080" w:hanging="360"/>
      </w:pPr>
      <w:rPr>
        <w:rFonts w:cs="Times New Roman"/>
      </w:rPr>
    </w:lvl>
    <w:lvl w:ilvl="1" w:tplc="10090019">
      <w:start w:val="1"/>
      <w:numFmt w:val="lowerLetter"/>
      <w:lvlText w:val="%2."/>
      <w:lvlJc w:val="left"/>
      <w:pPr>
        <w:ind w:left="1800" w:hanging="360"/>
      </w:pPr>
      <w:rPr>
        <w:rFonts w:cs="Times New Roman"/>
      </w:rPr>
    </w:lvl>
    <w:lvl w:ilvl="2" w:tplc="1009001B">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24">
    <w:nsid w:val="6D1D426B"/>
    <w:multiLevelType w:val="hybridMultilevel"/>
    <w:tmpl w:val="A34291EC"/>
    <w:lvl w:ilvl="0" w:tplc="10090013">
      <w:start w:val="1"/>
      <w:numFmt w:val="upperRoman"/>
      <w:lvlText w:val="%1."/>
      <w:lvlJc w:val="right"/>
      <w:pPr>
        <w:ind w:left="1080" w:hanging="360"/>
      </w:pPr>
      <w:rPr>
        <w:rFonts w:cs="Times New Roman"/>
      </w:rPr>
    </w:lvl>
    <w:lvl w:ilvl="1" w:tplc="10090019">
      <w:start w:val="1"/>
      <w:numFmt w:val="lowerLetter"/>
      <w:lvlText w:val="%2."/>
      <w:lvlJc w:val="left"/>
      <w:pPr>
        <w:ind w:left="1800" w:hanging="360"/>
      </w:pPr>
      <w:rPr>
        <w:rFonts w:cs="Times New Roman"/>
      </w:rPr>
    </w:lvl>
    <w:lvl w:ilvl="2" w:tplc="1009001B">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25">
    <w:nsid w:val="6D7A2F1D"/>
    <w:multiLevelType w:val="hybridMultilevel"/>
    <w:tmpl w:val="4054358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nsid w:val="6FC814D2"/>
    <w:multiLevelType w:val="hybridMultilevel"/>
    <w:tmpl w:val="E35E1D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2D271E"/>
    <w:multiLevelType w:val="hybridMultilevel"/>
    <w:tmpl w:val="D1149340"/>
    <w:lvl w:ilvl="0" w:tplc="7032C306">
      <w:start w:val="1"/>
      <w:numFmt w:val="bullet"/>
      <w:lvlText w:val=""/>
      <w:lvlJc w:val="left"/>
      <w:pPr>
        <w:tabs>
          <w:tab w:val="num" w:pos="720"/>
        </w:tabs>
        <w:ind w:left="720" w:hanging="360"/>
      </w:pPr>
      <w:rPr>
        <w:rFonts w:ascii="Wingdings" w:hAnsi="Wingdings" w:hint="default"/>
      </w:rPr>
    </w:lvl>
    <w:lvl w:ilvl="1" w:tplc="5B625856" w:tentative="1">
      <w:start w:val="1"/>
      <w:numFmt w:val="bullet"/>
      <w:lvlText w:val=""/>
      <w:lvlJc w:val="left"/>
      <w:pPr>
        <w:tabs>
          <w:tab w:val="num" w:pos="1440"/>
        </w:tabs>
        <w:ind w:left="1440" w:hanging="360"/>
      </w:pPr>
      <w:rPr>
        <w:rFonts w:ascii="Wingdings" w:hAnsi="Wingdings" w:hint="default"/>
      </w:rPr>
    </w:lvl>
    <w:lvl w:ilvl="2" w:tplc="7000453E" w:tentative="1">
      <w:start w:val="1"/>
      <w:numFmt w:val="bullet"/>
      <w:lvlText w:val=""/>
      <w:lvlJc w:val="left"/>
      <w:pPr>
        <w:tabs>
          <w:tab w:val="num" w:pos="2160"/>
        </w:tabs>
        <w:ind w:left="2160" w:hanging="360"/>
      </w:pPr>
      <w:rPr>
        <w:rFonts w:ascii="Wingdings" w:hAnsi="Wingdings" w:hint="default"/>
      </w:rPr>
    </w:lvl>
    <w:lvl w:ilvl="3" w:tplc="D004B8CC" w:tentative="1">
      <w:start w:val="1"/>
      <w:numFmt w:val="bullet"/>
      <w:lvlText w:val=""/>
      <w:lvlJc w:val="left"/>
      <w:pPr>
        <w:tabs>
          <w:tab w:val="num" w:pos="2880"/>
        </w:tabs>
        <w:ind w:left="2880" w:hanging="360"/>
      </w:pPr>
      <w:rPr>
        <w:rFonts w:ascii="Wingdings" w:hAnsi="Wingdings" w:hint="default"/>
      </w:rPr>
    </w:lvl>
    <w:lvl w:ilvl="4" w:tplc="F1447014" w:tentative="1">
      <w:start w:val="1"/>
      <w:numFmt w:val="bullet"/>
      <w:lvlText w:val=""/>
      <w:lvlJc w:val="left"/>
      <w:pPr>
        <w:tabs>
          <w:tab w:val="num" w:pos="3600"/>
        </w:tabs>
        <w:ind w:left="3600" w:hanging="360"/>
      </w:pPr>
      <w:rPr>
        <w:rFonts w:ascii="Wingdings" w:hAnsi="Wingdings" w:hint="default"/>
      </w:rPr>
    </w:lvl>
    <w:lvl w:ilvl="5" w:tplc="149C15B4" w:tentative="1">
      <w:start w:val="1"/>
      <w:numFmt w:val="bullet"/>
      <w:lvlText w:val=""/>
      <w:lvlJc w:val="left"/>
      <w:pPr>
        <w:tabs>
          <w:tab w:val="num" w:pos="4320"/>
        </w:tabs>
        <w:ind w:left="4320" w:hanging="360"/>
      </w:pPr>
      <w:rPr>
        <w:rFonts w:ascii="Wingdings" w:hAnsi="Wingdings" w:hint="default"/>
      </w:rPr>
    </w:lvl>
    <w:lvl w:ilvl="6" w:tplc="05B2CF40" w:tentative="1">
      <w:start w:val="1"/>
      <w:numFmt w:val="bullet"/>
      <w:lvlText w:val=""/>
      <w:lvlJc w:val="left"/>
      <w:pPr>
        <w:tabs>
          <w:tab w:val="num" w:pos="5040"/>
        </w:tabs>
        <w:ind w:left="5040" w:hanging="360"/>
      </w:pPr>
      <w:rPr>
        <w:rFonts w:ascii="Wingdings" w:hAnsi="Wingdings" w:hint="default"/>
      </w:rPr>
    </w:lvl>
    <w:lvl w:ilvl="7" w:tplc="5DAADF70" w:tentative="1">
      <w:start w:val="1"/>
      <w:numFmt w:val="bullet"/>
      <w:lvlText w:val=""/>
      <w:lvlJc w:val="left"/>
      <w:pPr>
        <w:tabs>
          <w:tab w:val="num" w:pos="5760"/>
        </w:tabs>
        <w:ind w:left="5760" w:hanging="360"/>
      </w:pPr>
      <w:rPr>
        <w:rFonts w:ascii="Wingdings" w:hAnsi="Wingdings" w:hint="default"/>
      </w:rPr>
    </w:lvl>
    <w:lvl w:ilvl="8" w:tplc="56B83790" w:tentative="1">
      <w:start w:val="1"/>
      <w:numFmt w:val="bullet"/>
      <w:lvlText w:val=""/>
      <w:lvlJc w:val="left"/>
      <w:pPr>
        <w:tabs>
          <w:tab w:val="num" w:pos="6480"/>
        </w:tabs>
        <w:ind w:left="6480" w:hanging="360"/>
      </w:pPr>
      <w:rPr>
        <w:rFonts w:ascii="Wingdings" w:hAnsi="Wingdings" w:hint="default"/>
      </w:rPr>
    </w:lvl>
  </w:abstractNum>
  <w:abstractNum w:abstractNumId="28">
    <w:nsid w:val="722E2F41"/>
    <w:multiLevelType w:val="hybridMultilevel"/>
    <w:tmpl w:val="14C674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786164AA"/>
    <w:multiLevelType w:val="hybridMultilevel"/>
    <w:tmpl w:val="0FFCABBE"/>
    <w:lvl w:ilvl="0" w:tplc="46CA070A">
      <w:start w:val="1"/>
      <w:numFmt w:val="bullet"/>
      <w:lvlText w:val=""/>
      <w:lvlJc w:val="left"/>
      <w:pPr>
        <w:tabs>
          <w:tab w:val="num" w:pos="720"/>
        </w:tabs>
        <w:ind w:left="720" w:hanging="360"/>
      </w:pPr>
      <w:rPr>
        <w:rFonts w:ascii="Wingdings" w:hAnsi="Wingdings" w:hint="default"/>
      </w:rPr>
    </w:lvl>
    <w:lvl w:ilvl="1" w:tplc="7674DCF6" w:tentative="1">
      <w:start w:val="1"/>
      <w:numFmt w:val="bullet"/>
      <w:lvlText w:val=""/>
      <w:lvlJc w:val="left"/>
      <w:pPr>
        <w:tabs>
          <w:tab w:val="num" w:pos="1440"/>
        </w:tabs>
        <w:ind w:left="1440" w:hanging="360"/>
      </w:pPr>
      <w:rPr>
        <w:rFonts w:ascii="Wingdings" w:hAnsi="Wingdings" w:hint="default"/>
      </w:rPr>
    </w:lvl>
    <w:lvl w:ilvl="2" w:tplc="8E060A16" w:tentative="1">
      <w:start w:val="1"/>
      <w:numFmt w:val="bullet"/>
      <w:lvlText w:val=""/>
      <w:lvlJc w:val="left"/>
      <w:pPr>
        <w:tabs>
          <w:tab w:val="num" w:pos="2160"/>
        </w:tabs>
        <w:ind w:left="2160" w:hanging="360"/>
      </w:pPr>
      <w:rPr>
        <w:rFonts w:ascii="Wingdings" w:hAnsi="Wingdings" w:hint="default"/>
      </w:rPr>
    </w:lvl>
    <w:lvl w:ilvl="3" w:tplc="5610158E" w:tentative="1">
      <w:start w:val="1"/>
      <w:numFmt w:val="bullet"/>
      <w:lvlText w:val=""/>
      <w:lvlJc w:val="left"/>
      <w:pPr>
        <w:tabs>
          <w:tab w:val="num" w:pos="2880"/>
        </w:tabs>
        <w:ind w:left="2880" w:hanging="360"/>
      </w:pPr>
      <w:rPr>
        <w:rFonts w:ascii="Wingdings" w:hAnsi="Wingdings" w:hint="default"/>
      </w:rPr>
    </w:lvl>
    <w:lvl w:ilvl="4" w:tplc="2C82D7CC" w:tentative="1">
      <w:start w:val="1"/>
      <w:numFmt w:val="bullet"/>
      <w:lvlText w:val=""/>
      <w:lvlJc w:val="left"/>
      <w:pPr>
        <w:tabs>
          <w:tab w:val="num" w:pos="3600"/>
        </w:tabs>
        <w:ind w:left="3600" w:hanging="360"/>
      </w:pPr>
      <w:rPr>
        <w:rFonts w:ascii="Wingdings" w:hAnsi="Wingdings" w:hint="default"/>
      </w:rPr>
    </w:lvl>
    <w:lvl w:ilvl="5" w:tplc="5608E206" w:tentative="1">
      <w:start w:val="1"/>
      <w:numFmt w:val="bullet"/>
      <w:lvlText w:val=""/>
      <w:lvlJc w:val="left"/>
      <w:pPr>
        <w:tabs>
          <w:tab w:val="num" w:pos="4320"/>
        </w:tabs>
        <w:ind w:left="4320" w:hanging="360"/>
      </w:pPr>
      <w:rPr>
        <w:rFonts w:ascii="Wingdings" w:hAnsi="Wingdings" w:hint="default"/>
      </w:rPr>
    </w:lvl>
    <w:lvl w:ilvl="6" w:tplc="92E039E8" w:tentative="1">
      <w:start w:val="1"/>
      <w:numFmt w:val="bullet"/>
      <w:lvlText w:val=""/>
      <w:lvlJc w:val="left"/>
      <w:pPr>
        <w:tabs>
          <w:tab w:val="num" w:pos="5040"/>
        </w:tabs>
        <w:ind w:left="5040" w:hanging="360"/>
      </w:pPr>
      <w:rPr>
        <w:rFonts w:ascii="Wingdings" w:hAnsi="Wingdings" w:hint="default"/>
      </w:rPr>
    </w:lvl>
    <w:lvl w:ilvl="7" w:tplc="CD827B50" w:tentative="1">
      <w:start w:val="1"/>
      <w:numFmt w:val="bullet"/>
      <w:lvlText w:val=""/>
      <w:lvlJc w:val="left"/>
      <w:pPr>
        <w:tabs>
          <w:tab w:val="num" w:pos="5760"/>
        </w:tabs>
        <w:ind w:left="5760" w:hanging="360"/>
      </w:pPr>
      <w:rPr>
        <w:rFonts w:ascii="Wingdings" w:hAnsi="Wingdings" w:hint="default"/>
      </w:rPr>
    </w:lvl>
    <w:lvl w:ilvl="8" w:tplc="538ED622" w:tentative="1">
      <w:start w:val="1"/>
      <w:numFmt w:val="bullet"/>
      <w:lvlText w:val=""/>
      <w:lvlJc w:val="left"/>
      <w:pPr>
        <w:tabs>
          <w:tab w:val="num" w:pos="6480"/>
        </w:tabs>
        <w:ind w:left="6480" w:hanging="360"/>
      </w:pPr>
      <w:rPr>
        <w:rFonts w:ascii="Wingdings" w:hAnsi="Wingdings" w:hint="default"/>
      </w:rPr>
    </w:lvl>
  </w:abstractNum>
  <w:abstractNum w:abstractNumId="30">
    <w:nsid w:val="7998170A"/>
    <w:multiLevelType w:val="hybridMultilevel"/>
    <w:tmpl w:val="45E844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Wingdings" w:hAnsi="Wingdings" w:hint="default"/>
          <w:sz w:val="36"/>
        </w:rPr>
      </w:lvl>
    </w:lvlOverride>
  </w:num>
  <w:num w:numId="2">
    <w:abstractNumId w:val="0"/>
    <w:lvlOverride w:ilvl="0">
      <w:lvl w:ilvl="0">
        <w:numFmt w:val="bullet"/>
        <w:lvlText w:val=""/>
        <w:legacy w:legacy="1" w:legacySpace="0" w:legacyIndent="0"/>
        <w:lvlJc w:val="left"/>
        <w:rPr>
          <w:rFonts w:ascii="Wingdings" w:hAnsi="Wingdings" w:hint="default"/>
          <w:sz w:val="40"/>
        </w:rPr>
      </w:lvl>
    </w:lvlOverride>
  </w:num>
  <w:num w:numId="3">
    <w:abstractNumId w:val="0"/>
    <w:lvlOverride w:ilvl="0">
      <w:lvl w:ilvl="0">
        <w:numFmt w:val="bullet"/>
        <w:lvlText w:val=""/>
        <w:legacy w:legacy="1" w:legacySpace="0" w:legacyIndent="0"/>
        <w:lvlJc w:val="left"/>
        <w:rPr>
          <w:rFonts w:ascii="Wingdings" w:hAnsi="Wingdings" w:hint="default"/>
          <w:sz w:val="28"/>
        </w:rPr>
      </w:lvl>
    </w:lvlOverride>
  </w:num>
  <w:num w:numId="4">
    <w:abstractNumId w:val="0"/>
    <w:lvlOverride w:ilvl="0">
      <w:lvl w:ilvl="0">
        <w:numFmt w:val="bullet"/>
        <w:lvlText w:val=""/>
        <w:legacy w:legacy="1" w:legacySpace="0" w:legacyIndent="0"/>
        <w:lvlJc w:val="left"/>
        <w:rPr>
          <w:rFonts w:ascii="Wingdings" w:hAnsi="Wingdings" w:hint="default"/>
          <w:sz w:val="32"/>
        </w:rPr>
      </w:lvl>
    </w:lvlOverride>
  </w:num>
  <w:num w:numId="5">
    <w:abstractNumId w:val="0"/>
    <w:lvlOverride w:ilvl="0">
      <w:lvl w:ilvl="0">
        <w:numFmt w:val="bullet"/>
        <w:lvlText w:val="•"/>
        <w:legacy w:legacy="1" w:legacySpace="0" w:legacyIndent="0"/>
        <w:lvlJc w:val="left"/>
        <w:rPr>
          <w:rFonts w:ascii="Arial" w:hAnsi="Arial" w:hint="default"/>
          <w:sz w:val="32"/>
        </w:rPr>
      </w:lvl>
    </w:lvlOverride>
  </w:num>
  <w:num w:numId="6">
    <w:abstractNumId w:val="22"/>
  </w:num>
  <w:num w:numId="7">
    <w:abstractNumId w:val="29"/>
  </w:num>
  <w:num w:numId="8">
    <w:abstractNumId w:val="27"/>
  </w:num>
  <w:num w:numId="9">
    <w:abstractNumId w:val="4"/>
  </w:num>
  <w:num w:numId="10">
    <w:abstractNumId w:val="17"/>
  </w:num>
  <w:num w:numId="11">
    <w:abstractNumId w:val="18"/>
  </w:num>
  <w:num w:numId="12">
    <w:abstractNumId w:val="19"/>
  </w:num>
  <w:num w:numId="13">
    <w:abstractNumId w:val="20"/>
  </w:num>
  <w:num w:numId="14">
    <w:abstractNumId w:val="13"/>
  </w:num>
  <w:num w:numId="15">
    <w:abstractNumId w:val="7"/>
  </w:num>
  <w:num w:numId="16">
    <w:abstractNumId w:val="10"/>
  </w:num>
  <w:num w:numId="17">
    <w:abstractNumId w:val="2"/>
  </w:num>
  <w:num w:numId="18">
    <w:abstractNumId w:val="14"/>
  </w:num>
  <w:num w:numId="19">
    <w:abstractNumId w:val="26"/>
  </w:num>
  <w:num w:numId="20">
    <w:abstractNumId w:val="9"/>
  </w:num>
  <w:num w:numId="21">
    <w:abstractNumId w:val="6"/>
  </w:num>
  <w:num w:numId="22">
    <w:abstractNumId w:val="15"/>
  </w:num>
  <w:num w:numId="23">
    <w:abstractNumId w:val="28"/>
  </w:num>
  <w:num w:numId="24">
    <w:abstractNumId w:val="30"/>
  </w:num>
  <w:num w:numId="25">
    <w:abstractNumId w:val="5"/>
  </w:num>
  <w:num w:numId="26">
    <w:abstractNumId w:val="3"/>
  </w:num>
  <w:num w:numId="27">
    <w:abstractNumId w:val="16"/>
  </w:num>
  <w:num w:numId="28">
    <w:abstractNumId w:val="1"/>
  </w:num>
  <w:num w:numId="29">
    <w:abstractNumId w:val="24"/>
  </w:num>
  <w:num w:numId="30">
    <w:abstractNumId w:val="23"/>
  </w:num>
  <w:num w:numId="31">
    <w:abstractNumId w:val="21"/>
  </w:num>
  <w:num w:numId="32">
    <w:abstractNumId w:val="8"/>
  </w:num>
  <w:num w:numId="33">
    <w:abstractNumId w:val="12"/>
  </w:num>
  <w:num w:numId="34">
    <w:abstractNumId w:val="11"/>
  </w:num>
  <w:num w:numId="3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DE735D"/>
    <w:rsid w:val="00001B2D"/>
    <w:rsid w:val="00002545"/>
    <w:rsid w:val="000063AC"/>
    <w:rsid w:val="00015CE2"/>
    <w:rsid w:val="00015D4B"/>
    <w:rsid w:val="00022C21"/>
    <w:rsid w:val="00032099"/>
    <w:rsid w:val="000326E7"/>
    <w:rsid w:val="00034A1C"/>
    <w:rsid w:val="0003585E"/>
    <w:rsid w:val="00035F7A"/>
    <w:rsid w:val="00046883"/>
    <w:rsid w:val="0006618A"/>
    <w:rsid w:val="000675EB"/>
    <w:rsid w:val="00070420"/>
    <w:rsid w:val="00072DBD"/>
    <w:rsid w:val="00076C74"/>
    <w:rsid w:val="0007724F"/>
    <w:rsid w:val="00083A20"/>
    <w:rsid w:val="0008470B"/>
    <w:rsid w:val="000850EA"/>
    <w:rsid w:val="000875B6"/>
    <w:rsid w:val="0009080E"/>
    <w:rsid w:val="00095748"/>
    <w:rsid w:val="00096E5C"/>
    <w:rsid w:val="000A0B1F"/>
    <w:rsid w:val="000A21F1"/>
    <w:rsid w:val="000B0E83"/>
    <w:rsid w:val="000B5F56"/>
    <w:rsid w:val="000B68EF"/>
    <w:rsid w:val="000B6D7C"/>
    <w:rsid w:val="000C33B1"/>
    <w:rsid w:val="000C4842"/>
    <w:rsid w:val="000D40BC"/>
    <w:rsid w:val="000F070E"/>
    <w:rsid w:val="000F1878"/>
    <w:rsid w:val="000F404C"/>
    <w:rsid w:val="0010095A"/>
    <w:rsid w:val="00101F55"/>
    <w:rsid w:val="001024A0"/>
    <w:rsid w:val="00104964"/>
    <w:rsid w:val="00114EB0"/>
    <w:rsid w:val="00117055"/>
    <w:rsid w:val="00117246"/>
    <w:rsid w:val="0012350E"/>
    <w:rsid w:val="00124610"/>
    <w:rsid w:val="001341DA"/>
    <w:rsid w:val="0013578A"/>
    <w:rsid w:val="001370B7"/>
    <w:rsid w:val="0015717E"/>
    <w:rsid w:val="00157610"/>
    <w:rsid w:val="00160FFC"/>
    <w:rsid w:val="00177CDE"/>
    <w:rsid w:val="00177FFB"/>
    <w:rsid w:val="00184DC9"/>
    <w:rsid w:val="00186198"/>
    <w:rsid w:val="00196524"/>
    <w:rsid w:val="00196823"/>
    <w:rsid w:val="001A57F7"/>
    <w:rsid w:val="001B6A85"/>
    <w:rsid w:val="001C2EA9"/>
    <w:rsid w:val="001C5516"/>
    <w:rsid w:val="001D4678"/>
    <w:rsid w:val="001D545A"/>
    <w:rsid w:val="001D673B"/>
    <w:rsid w:val="001D6E80"/>
    <w:rsid w:val="001E40AC"/>
    <w:rsid w:val="001E7137"/>
    <w:rsid w:val="001F2874"/>
    <w:rsid w:val="001F4099"/>
    <w:rsid w:val="0020174B"/>
    <w:rsid w:val="00202DB6"/>
    <w:rsid w:val="00203932"/>
    <w:rsid w:val="00216D05"/>
    <w:rsid w:val="002232A8"/>
    <w:rsid w:val="00230DF0"/>
    <w:rsid w:val="00240FBE"/>
    <w:rsid w:val="00241571"/>
    <w:rsid w:val="002441A4"/>
    <w:rsid w:val="00245109"/>
    <w:rsid w:val="00245F90"/>
    <w:rsid w:val="00251892"/>
    <w:rsid w:val="00254668"/>
    <w:rsid w:val="0026186A"/>
    <w:rsid w:val="00266DA9"/>
    <w:rsid w:val="002851DB"/>
    <w:rsid w:val="00286C39"/>
    <w:rsid w:val="00296F2C"/>
    <w:rsid w:val="002A2374"/>
    <w:rsid w:val="002A3F2D"/>
    <w:rsid w:val="002A7A7B"/>
    <w:rsid w:val="002B0E89"/>
    <w:rsid w:val="002C3291"/>
    <w:rsid w:val="002C6F04"/>
    <w:rsid w:val="002D205C"/>
    <w:rsid w:val="002D3EA1"/>
    <w:rsid w:val="002D49D8"/>
    <w:rsid w:val="002E0A61"/>
    <w:rsid w:val="002E6D0B"/>
    <w:rsid w:val="002F5A89"/>
    <w:rsid w:val="002F6D1E"/>
    <w:rsid w:val="002F72BE"/>
    <w:rsid w:val="00301468"/>
    <w:rsid w:val="0030629F"/>
    <w:rsid w:val="00311B9D"/>
    <w:rsid w:val="003123C0"/>
    <w:rsid w:val="00320A5C"/>
    <w:rsid w:val="00320AAC"/>
    <w:rsid w:val="003220D3"/>
    <w:rsid w:val="0032327E"/>
    <w:rsid w:val="00327F92"/>
    <w:rsid w:val="00331E10"/>
    <w:rsid w:val="0033541E"/>
    <w:rsid w:val="00335A97"/>
    <w:rsid w:val="0033617C"/>
    <w:rsid w:val="00341568"/>
    <w:rsid w:val="00345A64"/>
    <w:rsid w:val="00347ADD"/>
    <w:rsid w:val="003602E1"/>
    <w:rsid w:val="003622FD"/>
    <w:rsid w:val="0036395A"/>
    <w:rsid w:val="00364118"/>
    <w:rsid w:val="00364575"/>
    <w:rsid w:val="00366F8E"/>
    <w:rsid w:val="00367B84"/>
    <w:rsid w:val="00367F07"/>
    <w:rsid w:val="00372A06"/>
    <w:rsid w:val="00384461"/>
    <w:rsid w:val="003A4BC1"/>
    <w:rsid w:val="003A530D"/>
    <w:rsid w:val="003C227D"/>
    <w:rsid w:val="003C6890"/>
    <w:rsid w:val="003D003C"/>
    <w:rsid w:val="003F30F9"/>
    <w:rsid w:val="003F66A8"/>
    <w:rsid w:val="003F6EA2"/>
    <w:rsid w:val="003F7A82"/>
    <w:rsid w:val="0040031A"/>
    <w:rsid w:val="00411F06"/>
    <w:rsid w:val="0041336C"/>
    <w:rsid w:val="00414D0B"/>
    <w:rsid w:val="00440376"/>
    <w:rsid w:val="00442605"/>
    <w:rsid w:val="00446F13"/>
    <w:rsid w:val="00450B05"/>
    <w:rsid w:val="004553B1"/>
    <w:rsid w:val="00456557"/>
    <w:rsid w:val="00457827"/>
    <w:rsid w:val="00460887"/>
    <w:rsid w:val="004646E6"/>
    <w:rsid w:val="004666F2"/>
    <w:rsid w:val="00482CF6"/>
    <w:rsid w:val="004831A1"/>
    <w:rsid w:val="00493A38"/>
    <w:rsid w:val="00493CB2"/>
    <w:rsid w:val="0049520D"/>
    <w:rsid w:val="00495E25"/>
    <w:rsid w:val="00497468"/>
    <w:rsid w:val="004A0E84"/>
    <w:rsid w:val="004A4050"/>
    <w:rsid w:val="004A46A4"/>
    <w:rsid w:val="004A5B84"/>
    <w:rsid w:val="004B1DF8"/>
    <w:rsid w:val="004B3298"/>
    <w:rsid w:val="004B6A26"/>
    <w:rsid w:val="004B7E9F"/>
    <w:rsid w:val="004C0B9A"/>
    <w:rsid w:val="004C308F"/>
    <w:rsid w:val="004D134C"/>
    <w:rsid w:val="004D3A59"/>
    <w:rsid w:val="004D3BFD"/>
    <w:rsid w:val="004E00F2"/>
    <w:rsid w:val="004E2B38"/>
    <w:rsid w:val="00503FD6"/>
    <w:rsid w:val="005100AB"/>
    <w:rsid w:val="00510148"/>
    <w:rsid w:val="005102FE"/>
    <w:rsid w:val="00510567"/>
    <w:rsid w:val="005152E7"/>
    <w:rsid w:val="00522421"/>
    <w:rsid w:val="00526623"/>
    <w:rsid w:val="00527F8E"/>
    <w:rsid w:val="00531AB7"/>
    <w:rsid w:val="005367E7"/>
    <w:rsid w:val="00542CB4"/>
    <w:rsid w:val="005554EA"/>
    <w:rsid w:val="0056047D"/>
    <w:rsid w:val="00563402"/>
    <w:rsid w:val="00566A9D"/>
    <w:rsid w:val="005711E0"/>
    <w:rsid w:val="00571773"/>
    <w:rsid w:val="00574F21"/>
    <w:rsid w:val="0057600E"/>
    <w:rsid w:val="00576BD4"/>
    <w:rsid w:val="0058098D"/>
    <w:rsid w:val="00580BBB"/>
    <w:rsid w:val="00584C23"/>
    <w:rsid w:val="0058622A"/>
    <w:rsid w:val="005926BF"/>
    <w:rsid w:val="00595201"/>
    <w:rsid w:val="005959C9"/>
    <w:rsid w:val="0059743A"/>
    <w:rsid w:val="005A07FA"/>
    <w:rsid w:val="005A4504"/>
    <w:rsid w:val="005B5485"/>
    <w:rsid w:val="005C4DC8"/>
    <w:rsid w:val="005D2604"/>
    <w:rsid w:val="005D26A9"/>
    <w:rsid w:val="005E107F"/>
    <w:rsid w:val="005E4B04"/>
    <w:rsid w:val="005E5265"/>
    <w:rsid w:val="005E5E90"/>
    <w:rsid w:val="005E6292"/>
    <w:rsid w:val="005F0F66"/>
    <w:rsid w:val="005F16BD"/>
    <w:rsid w:val="00603099"/>
    <w:rsid w:val="006059F5"/>
    <w:rsid w:val="00611736"/>
    <w:rsid w:val="00621EEF"/>
    <w:rsid w:val="00624569"/>
    <w:rsid w:val="00624723"/>
    <w:rsid w:val="006348D8"/>
    <w:rsid w:val="00642649"/>
    <w:rsid w:val="00646CE8"/>
    <w:rsid w:val="00653BCB"/>
    <w:rsid w:val="006553B8"/>
    <w:rsid w:val="00661117"/>
    <w:rsid w:val="00665D37"/>
    <w:rsid w:val="00666D1C"/>
    <w:rsid w:val="00671791"/>
    <w:rsid w:val="00672C29"/>
    <w:rsid w:val="006751A7"/>
    <w:rsid w:val="006952AD"/>
    <w:rsid w:val="006975EE"/>
    <w:rsid w:val="0069796D"/>
    <w:rsid w:val="006A5A26"/>
    <w:rsid w:val="006B2D44"/>
    <w:rsid w:val="006B3A09"/>
    <w:rsid w:val="006B4CEC"/>
    <w:rsid w:val="006C2067"/>
    <w:rsid w:val="006C321C"/>
    <w:rsid w:val="006D11A4"/>
    <w:rsid w:val="006D387D"/>
    <w:rsid w:val="006D537F"/>
    <w:rsid w:val="006E2E80"/>
    <w:rsid w:val="006F0684"/>
    <w:rsid w:val="006F1E51"/>
    <w:rsid w:val="006F3CDA"/>
    <w:rsid w:val="006F693E"/>
    <w:rsid w:val="00701AD7"/>
    <w:rsid w:val="00702068"/>
    <w:rsid w:val="007032A8"/>
    <w:rsid w:val="00707E3B"/>
    <w:rsid w:val="00711D5C"/>
    <w:rsid w:val="0071340D"/>
    <w:rsid w:val="00716531"/>
    <w:rsid w:val="00723179"/>
    <w:rsid w:val="00723E7C"/>
    <w:rsid w:val="00732D20"/>
    <w:rsid w:val="00734F75"/>
    <w:rsid w:val="00742E33"/>
    <w:rsid w:val="0074336E"/>
    <w:rsid w:val="00744C96"/>
    <w:rsid w:val="00746CA6"/>
    <w:rsid w:val="00750110"/>
    <w:rsid w:val="00753404"/>
    <w:rsid w:val="00761ED3"/>
    <w:rsid w:val="00765987"/>
    <w:rsid w:val="00770AF0"/>
    <w:rsid w:val="00771A6F"/>
    <w:rsid w:val="007776B3"/>
    <w:rsid w:val="007850AF"/>
    <w:rsid w:val="0078519E"/>
    <w:rsid w:val="0079695B"/>
    <w:rsid w:val="007B11F6"/>
    <w:rsid w:val="007B6746"/>
    <w:rsid w:val="007B6921"/>
    <w:rsid w:val="007C2CD2"/>
    <w:rsid w:val="007C5B2C"/>
    <w:rsid w:val="007C5D8C"/>
    <w:rsid w:val="007D5612"/>
    <w:rsid w:val="007E5ED7"/>
    <w:rsid w:val="007E715F"/>
    <w:rsid w:val="007E7398"/>
    <w:rsid w:val="007F2020"/>
    <w:rsid w:val="00805919"/>
    <w:rsid w:val="00810B17"/>
    <w:rsid w:val="00816670"/>
    <w:rsid w:val="00820CEC"/>
    <w:rsid w:val="00823573"/>
    <w:rsid w:val="0082482C"/>
    <w:rsid w:val="008269B9"/>
    <w:rsid w:val="00835511"/>
    <w:rsid w:val="0084492D"/>
    <w:rsid w:val="0084735F"/>
    <w:rsid w:val="008479BB"/>
    <w:rsid w:val="00847E97"/>
    <w:rsid w:val="00852A46"/>
    <w:rsid w:val="00855913"/>
    <w:rsid w:val="00857A82"/>
    <w:rsid w:val="0087258B"/>
    <w:rsid w:val="00875D3C"/>
    <w:rsid w:val="00881F19"/>
    <w:rsid w:val="008A4C9A"/>
    <w:rsid w:val="008A6C52"/>
    <w:rsid w:val="008A7EB7"/>
    <w:rsid w:val="008B0A42"/>
    <w:rsid w:val="008B1E8C"/>
    <w:rsid w:val="008B7CC9"/>
    <w:rsid w:val="008C074D"/>
    <w:rsid w:val="008C21DB"/>
    <w:rsid w:val="008C7C94"/>
    <w:rsid w:val="008D31AC"/>
    <w:rsid w:val="008F25BB"/>
    <w:rsid w:val="00902219"/>
    <w:rsid w:val="009032AB"/>
    <w:rsid w:val="009156B9"/>
    <w:rsid w:val="0091734E"/>
    <w:rsid w:val="009267A0"/>
    <w:rsid w:val="009438B3"/>
    <w:rsid w:val="00957611"/>
    <w:rsid w:val="00965BD5"/>
    <w:rsid w:val="00974FB4"/>
    <w:rsid w:val="00985B6C"/>
    <w:rsid w:val="00990130"/>
    <w:rsid w:val="009A6202"/>
    <w:rsid w:val="009B63EA"/>
    <w:rsid w:val="009B7539"/>
    <w:rsid w:val="009E1C5D"/>
    <w:rsid w:val="009E3EEE"/>
    <w:rsid w:val="009F2ABA"/>
    <w:rsid w:val="00A02939"/>
    <w:rsid w:val="00A12D57"/>
    <w:rsid w:val="00A166FC"/>
    <w:rsid w:val="00A1782E"/>
    <w:rsid w:val="00A43595"/>
    <w:rsid w:val="00A4429A"/>
    <w:rsid w:val="00A60125"/>
    <w:rsid w:val="00A601E3"/>
    <w:rsid w:val="00A633D2"/>
    <w:rsid w:val="00A82848"/>
    <w:rsid w:val="00A8481D"/>
    <w:rsid w:val="00A85F54"/>
    <w:rsid w:val="00A87269"/>
    <w:rsid w:val="00A9268C"/>
    <w:rsid w:val="00A93AFE"/>
    <w:rsid w:val="00A93DCF"/>
    <w:rsid w:val="00A96784"/>
    <w:rsid w:val="00AA0812"/>
    <w:rsid w:val="00AA0A64"/>
    <w:rsid w:val="00AA485D"/>
    <w:rsid w:val="00AA4EB5"/>
    <w:rsid w:val="00AA5556"/>
    <w:rsid w:val="00AB4658"/>
    <w:rsid w:val="00AB77BA"/>
    <w:rsid w:val="00AD776F"/>
    <w:rsid w:val="00AF0070"/>
    <w:rsid w:val="00AF3852"/>
    <w:rsid w:val="00B00EFE"/>
    <w:rsid w:val="00B06D63"/>
    <w:rsid w:val="00B077AF"/>
    <w:rsid w:val="00B10FEB"/>
    <w:rsid w:val="00B13565"/>
    <w:rsid w:val="00B141E2"/>
    <w:rsid w:val="00B32EBB"/>
    <w:rsid w:val="00B369FE"/>
    <w:rsid w:val="00B37869"/>
    <w:rsid w:val="00B44C20"/>
    <w:rsid w:val="00B5047F"/>
    <w:rsid w:val="00B53076"/>
    <w:rsid w:val="00B57C66"/>
    <w:rsid w:val="00B646CF"/>
    <w:rsid w:val="00B660E5"/>
    <w:rsid w:val="00B7161C"/>
    <w:rsid w:val="00B76A10"/>
    <w:rsid w:val="00B809AC"/>
    <w:rsid w:val="00B83455"/>
    <w:rsid w:val="00B85463"/>
    <w:rsid w:val="00B9129B"/>
    <w:rsid w:val="00B919AE"/>
    <w:rsid w:val="00B91AEE"/>
    <w:rsid w:val="00B9364F"/>
    <w:rsid w:val="00BA1D46"/>
    <w:rsid w:val="00BA52ED"/>
    <w:rsid w:val="00BB5675"/>
    <w:rsid w:val="00BB725B"/>
    <w:rsid w:val="00BD1CA0"/>
    <w:rsid w:val="00BD5D66"/>
    <w:rsid w:val="00BD5E4F"/>
    <w:rsid w:val="00BD6BB8"/>
    <w:rsid w:val="00BE169B"/>
    <w:rsid w:val="00BE38EA"/>
    <w:rsid w:val="00BF51F0"/>
    <w:rsid w:val="00C10311"/>
    <w:rsid w:val="00C179CD"/>
    <w:rsid w:val="00C25DF9"/>
    <w:rsid w:val="00C321E6"/>
    <w:rsid w:val="00C352E2"/>
    <w:rsid w:val="00C43D41"/>
    <w:rsid w:val="00C43EAE"/>
    <w:rsid w:val="00C44873"/>
    <w:rsid w:val="00C45085"/>
    <w:rsid w:val="00C4656C"/>
    <w:rsid w:val="00C47B7E"/>
    <w:rsid w:val="00C56A2A"/>
    <w:rsid w:val="00C57A37"/>
    <w:rsid w:val="00C611C1"/>
    <w:rsid w:val="00C63B7F"/>
    <w:rsid w:val="00C66C2C"/>
    <w:rsid w:val="00C70ADC"/>
    <w:rsid w:val="00C72391"/>
    <w:rsid w:val="00C77189"/>
    <w:rsid w:val="00C85976"/>
    <w:rsid w:val="00C85AC1"/>
    <w:rsid w:val="00C90A2B"/>
    <w:rsid w:val="00C921D4"/>
    <w:rsid w:val="00C93A81"/>
    <w:rsid w:val="00CA4CB2"/>
    <w:rsid w:val="00CA6303"/>
    <w:rsid w:val="00CB1AAA"/>
    <w:rsid w:val="00CD48A5"/>
    <w:rsid w:val="00CD5F59"/>
    <w:rsid w:val="00CE01A5"/>
    <w:rsid w:val="00CE7B69"/>
    <w:rsid w:val="00CF0B58"/>
    <w:rsid w:val="00CF3395"/>
    <w:rsid w:val="00CF53E9"/>
    <w:rsid w:val="00CF6DD2"/>
    <w:rsid w:val="00CF6E12"/>
    <w:rsid w:val="00D02423"/>
    <w:rsid w:val="00D02477"/>
    <w:rsid w:val="00D1220D"/>
    <w:rsid w:val="00D13E78"/>
    <w:rsid w:val="00D16BB7"/>
    <w:rsid w:val="00D43DC8"/>
    <w:rsid w:val="00D479BD"/>
    <w:rsid w:val="00D5125E"/>
    <w:rsid w:val="00D55CE5"/>
    <w:rsid w:val="00D568D3"/>
    <w:rsid w:val="00D609DA"/>
    <w:rsid w:val="00D618E5"/>
    <w:rsid w:val="00D6688E"/>
    <w:rsid w:val="00D73FFB"/>
    <w:rsid w:val="00D7471A"/>
    <w:rsid w:val="00D74B67"/>
    <w:rsid w:val="00D75024"/>
    <w:rsid w:val="00D762BE"/>
    <w:rsid w:val="00D87ED0"/>
    <w:rsid w:val="00D93B1C"/>
    <w:rsid w:val="00D97D95"/>
    <w:rsid w:val="00DA37AB"/>
    <w:rsid w:val="00DA4134"/>
    <w:rsid w:val="00DA773E"/>
    <w:rsid w:val="00DB11F8"/>
    <w:rsid w:val="00DB3216"/>
    <w:rsid w:val="00DC2C54"/>
    <w:rsid w:val="00DC2CD1"/>
    <w:rsid w:val="00DC7E51"/>
    <w:rsid w:val="00DD09ED"/>
    <w:rsid w:val="00DD3E83"/>
    <w:rsid w:val="00DD59FF"/>
    <w:rsid w:val="00DE735D"/>
    <w:rsid w:val="00DF6DFF"/>
    <w:rsid w:val="00E05CF4"/>
    <w:rsid w:val="00E06840"/>
    <w:rsid w:val="00E06D2D"/>
    <w:rsid w:val="00E07602"/>
    <w:rsid w:val="00E107E4"/>
    <w:rsid w:val="00E109F8"/>
    <w:rsid w:val="00E1392D"/>
    <w:rsid w:val="00E25360"/>
    <w:rsid w:val="00E26F56"/>
    <w:rsid w:val="00E277C6"/>
    <w:rsid w:val="00E3152B"/>
    <w:rsid w:val="00E35D08"/>
    <w:rsid w:val="00E42F46"/>
    <w:rsid w:val="00E515A9"/>
    <w:rsid w:val="00E522ED"/>
    <w:rsid w:val="00E5253B"/>
    <w:rsid w:val="00E53412"/>
    <w:rsid w:val="00E71DA4"/>
    <w:rsid w:val="00E8229B"/>
    <w:rsid w:val="00E8376C"/>
    <w:rsid w:val="00E83E95"/>
    <w:rsid w:val="00E944CF"/>
    <w:rsid w:val="00E97312"/>
    <w:rsid w:val="00EA2216"/>
    <w:rsid w:val="00EA4292"/>
    <w:rsid w:val="00EA7D4B"/>
    <w:rsid w:val="00EB6B26"/>
    <w:rsid w:val="00ED432A"/>
    <w:rsid w:val="00ED447C"/>
    <w:rsid w:val="00ED46C2"/>
    <w:rsid w:val="00ED49B5"/>
    <w:rsid w:val="00EF1209"/>
    <w:rsid w:val="00F0178D"/>
    <w:rsid w:val="00F14B41"/>
    <w:rsid w:val="00F156FA"/>
    <w:rsid w:val="00F20B66"/>
    <w:rsid w:val="00F21343"/>
    <w:rsid w:val="00F22631"/>
    <w:rsid w:val="00F2321A"/>
    <w:rsid w:val="00F25888"/>
    <w:rsid w:val="00F268B7"/>
    <w:rsid w:val="00F30980"/>
    <w:rsid w:val="00F33557"/>
    <w:rsid w:val="00F4180B"/>
    <w:rsid w:val="00F47317"/>
    <w:rsid w:val="00F52934"/>
    <w:rsid w:val="00F538F5"/>
    <w:rsid w:val="00F5766E"/>
    <w:rsid w:val="00F637AD"/>
    <w:rsid w:val="00F65D1F"/>
    <w:rsid w:val="00F73126"/>
    <w:rsid w:val="00F73B75"/>
    <w:rsid w:val="00F741E2"/>
    <w:rsid w:val="00F80E94"/>
    <w:rsid w:val="00F82982"/>
    <w:rsid w:val="00F87614"/>
    <w:rsid w:val="00F92100"/>
    <w:rsid w:val="00F95800"/>
    <w:rsid w:val="00F95EA1"/>
    <w:rsid w:val="00FA154E"/>
    <w:rsid w:val="00FA52D4"/>
    <w:rsid w:val="00FB0190"/>
    <w:rsid w:val="00FB1554"/>
    <w:rsid w:val="00FB26BD"/>
    <w:rsid w:val="00FC0DC6"/>
    <w:rsid w:val="00FC621D"/>
    <w:rsid w:val="00FD2FD7"/>
    <w:rsid w:val="00FD734C"/>
    <w:rsid w:val="00FE15C6"/>
    <w:rsid w:val="00FE25F0"/>
    <w:rsid w:val="00FE5D59"/>
    <w:rsid w:val="00FF535A"/>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2350E"/>
    <w:pPr>
      <w:spacing w:after="120" w:line="276" w:lineRule="auto"/>
      <w:jc w:val="both"/>
    </w:pPr>
    <w:rPr>
      <w:rFonts w:eastAsia="Times New Roman"/>
      <w:lang w:val="en-US" w:eastAsia="en-US"/>
    </w:rPr>
  </w:style>
  <w:style w:type="paragraph" w:styleId="Heading1">
    <w:name w:val="heading 1"/>
    <w:basedOn w:val="Normal"/>
    <w:next w:val="Normal"/>
    <w:link w:val="Heading1Char"/>
    <w:uiPriority w:val="99"/>
    <w:qFormat/>
    <w:rsid w:val="0010095A"/>
    <w:pPr>
      <w:keepNext/>
      <w:jc w:val="left"/>
      <w:outlineLvl w:val="0"/>
    </w:pPr>
    <w:rPr>
      <w:rFonts w:eastAsia="Calibri"/>
      <w:b/>
      <w:color w:val="1F497D"/>
      <w:sz w:val="28"/>
      <w:szCs w:val="20"/>
      <w:lang w:val="fr-CA" w:eastAsia="fr-CA"/>
    </w:rPr>
  </w:style>
  <w:style w:type="paragraph" w:styleId="Heading2">
    <w:name w:val="heading 2"/>
    <w:basedOn w:val="Normal"/>
    <w:next w:val="Normal"/>
    <w:link w:val="Heading2Char"/>
    <w:uiPriority w:val="99"/>
    <w:qFormat/>
    <w:rsid w:val="0010095A"/>
    <w:pPr>
      <w:widowControl w:val="0"/>
      <w:autoSpaceDE w:val="0"/>
      <w:autoSpaceDN w:val="0"/>
      <w:adjustRightInd w:val="0"/>
      <w:spacing w:line="240" w:lineRule="auto"/>
      <w:ind w:left="448" w:hanging="448"/>
      <w:outlineLvl w:val="1"/>
    </w:pPr>
    <w:rPr>
      <w:rFonts w:ascii="Cambria" w:hAnsi="Cambria"/>
      <w:b/>
      <w:color w:val="548DD4"/>
      <w:kern w:val="24"/>
      <w:sz w:val="24"/>
      <w:szCs w:val="56"/>
      <w:lang w:val="fr-CA" w:eastAsia="fr-CA"/>
    </w:rPr>
  </w:style>
  <w:style w:type="paragraph" w:styleId="Heading3">
    <w:name w:val="heading 3"/>
    <w:basedOn w:val="Normal"/>
    <w:next w:val="Normal"/>
    <w:link w:val="Heading3Char"/>
    <w:uiPriority w:val="99"/>
    <w:qFormat/>
    <w:rsid w:val="0010095A"/>
    <w:pPr>
      <w:widowControl w:val="0"/>
      <w:autoSpaceDE w:val="0"/>
      <w:autoSpaceDN w:val="0"/>
      <w:adjustRightInd w:val="0"/>
      <w:spacing w:before="120" w:line="240" w:lineRule="auto"/>
      <w:ind w:left="357" w:hanging="357"/>
      <w:outlineLvl w:val="2"/>
    </w:pPr>
    <w:rPr>
      <w:rFonts w:ascii="Times New Roman" w:hAnsi="Times New Roman"/>
      <w:b/>
      <w:color w:val="17365D"/>
      <w:kern w:val="24"/>
      <w:sz w:val="20"/>
      <w:szCs w:val="48"/>
      <w:lang w:val="fr-CA" w:eastAsia="fr-CA"/>
    </w:rPr>
  </w:style>
  <w:style w:type="paragraph" w:styleId="Heading4">
    <w:name w:val="heading 4"/>
    <w:basedOn w:val="Normal"/>
    <w:next w:val="Normal"/>
    <w:link w:val="Heading4Char"/>
    <w:uiPriority w:val="99"/>
    <w:qFormat/>
    <w:rsid w:val="0010095A"/>
    <w:pPr>
      <w:keepNext/>
      <w:keepLines/>
      <w:spacing w:before="40" w:after="0"/>
      <w:outlineLvl w:val="3"/>
    </w:pPr>
    <w:rPr>
      <w:rFonts w:ascii="Cambria" w:hAnsi="Cambria"/>
      <w:i/>
      <w:iCs/>
      <w:color w:val="0F243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095A"/>
    <w:rPr>
      <w:rFonts w:ascii="Calibri" w:hAnsi="Calibri" w:cs="Times New Roman"/>
      <w:b/>
      <w:color w:val="1F497D"/>
      <w:sz w:val="28"/>
    </w:rPr>
  </w:style>
  <w:style w:type="character" w:customStyle="1" w:styleId="Heading2Char">
    <w:name w:val="Heading 2 Char"/>
    <w:basedOn w:val="DefaultParagraphFont"/>
    <w:link w:val="Heading2"/>
    <w:uiPriority w:val="99"/>
    <w:locked/>
    <w:rsid w:val="0010095A"/>
    <w:rPr>
      <w:rFonts w:ascii="Cambria" w:hAnsi="Cambria" w:cs="Times New Roman"/>
      <w:b/>
      <w:color w:val="548DD4"/>
      <w:kern w:val="24"/>
      <w:sz w:val="56"/>
    </w:rPr>
  </w:style>
  <w:style w:type="character" w:customStyle="1" w:styleId="Heading3Char">
    <w:name w:val="Heading 3 Char"/>
    <w:basedOn w:val="DefaultParagraphFont"/>
    <w:link w:val="Heading3"/>
    <w:uiPriority w:val="99"/>
    <w:locked/>
    <w:rsid w:val="0010095A"/>
    <w:rPr>
      <w:rFonts w:ascii="Times New Roman" w:hAnsi="Times New Roman" w:cs="Times New Roman"/>
      <w:b/>
      <w:color w:val="17365D"/>
      <w:kern w:val="24"/>
      <w:sz w:val="48"/>
    </w:rPr>
  </w:style>
  <w:style w:type="character" w:customStyle="1" w:styleId="Heading4Char">
    <w:name w:val="Heading 4 Char"/>
    <w:basedOn w:val="DefaultParagraphFont"/>
    <w:link w:val="Heading4"/>
    <w:uiPriority w:val="99"/>
    <w:locked/>
    <w:rsid w:val="0010095A"/>
    <w:rPr>
      <w:rFonts w:ascii="Cambria" w:hAnsi="Cambria" w:cs="Times New Roman"/>
      <w:i/>
      <w:iCs/>
      <w:color w:val="0F243E"/>
      <w:sz w:val="22"/>
      <w:szCs w:val="22"/>
    </w:rPr>
  </w:style>
  <w:style w:type="paragraph" w:styleId="ListParagraph">
    <w:name w:val="List Paragraph"/>
    <w:basedOn w:val="Normal"/>
    <w:uiPriority w:val="99"/>
    <w:qFormat/>
    <w:rsid w:val="000850EA"/>
    <w:pPr>
      <w:ind w:left="720"/>
      <w:contextualSpacing/>
    </w:pPr>
  </w:style>
  <w:style w:type="character" w:styleId="CommentReference">
    <w:name w:val="annotation reference"/>
    <w:basedOn w:val="DefaultParagraphFont"/>
    <w:uiPriority w:val="99"/>
    <w:semiHidden/>
    <w:rsid w:val="00DE735D"/>
    <w:rPr>
      <w:rFonts w:cs="Times New Roman"/>
      <w:sz w:val="16"/>
    </w:rPr>
  </w:style>
  <w:style w:type="paragraph" w:styleId="CommentText">
    <w:name w:val="annotation text"/>
    <w:basedOn w:val="Normal"/>
    <w:link w:val="CommentTextChar"/>
    <w:uiPriority w:val="99"/>
    <w:semiHidden/>
    <w:rsid w:val="00DE735D"/>
    <w:pPr>
      <w:spacing w:line="240" w:lineRule="auto"/>
    </w:pPr>
    <w:rPr>
      <w:sz w:val="20"/>
      <w:szCs w:val="20"/>
      <w:lang w:val="fr-CA" w:eastAsia="fr-CA"/>
    </w:rPr>
  </w:style>
  <w:style w:type="character" w:customStyle="1" w:styleId="CommentTextChar">
    <w:name w:val="Comment Text Char"/>
    <w:basedOn w:val="DefaultParagraphFont"/>
    <w:link w:val="CommentText"/>
    <w:uiPriority w:val="99"/>
    <w:semiHidden/>
    <w:locked/>
    <w:rsid w:val="00DE735D"/>
    <w:rPr>
      <w:rFonts w:eastAsia="Times New Roman" w:cs="Times New Roman"/>
      <w:sz w:val="20"/>
    </w:rPr>
  </w:style>
  <w:style w:type="paragraph" w:styleId="CommentSubject">
    <w:name w:val="annotation subject"/>
    <w:basedOn w:val="CommentText"/>
    <w:next w:val="CommentText"/>
    <w:link w:val="CommentSubjectChar"/>
    <w:uiPriority w:val="99"/>
    <w:semiHidden/>
    <w:rsid w:val="00DE735D"/>
    <w:rPr>
      <w:b/>
      <w:bCs/>
    </w:rPr>
  </w:style>
  <w:style w:type="character" w:customStyle="1" w:styleId="CommentSubjectChar">
    <w:name w:val="Comment Subject Char"/>
    <w:basedOn w:val="CommentTextChar"/>
    <w:link w:val="CommentSubject"/>
    <w:uiPriority w:val="99"/>
    <w:semiHidden/>
    <w:locked/>
    <w:rsid w:val="00DE735D"/>
    <w:rPr>
      <w:rFonts w:eastAsia="Times New Roman" w:cs="Times New Roman"/>
      <w:b/>
      <w:sz w:val="20"/>
    </w:rPr>
  </w:style>
  <w:style w:type="paragraph" w:styleId="BalloonText">
    <w:name w:val="Balloon Text"/>
    <w:basedOn w:val="Normal"/>
    <w:link w:val="BalloonTextChar"/>
    <w:uiPriority w:val="99"/>
    <w:semiHidden/>
    <w:rsid w:val="00DE735D"/>
    <w:pPr>
      <w:spacing w:after="0" w:line="240" w:lineRule="auto"/>
    </w:pPr>
    <w:rPr>
      <w:rFonts w:ascii="Tahoma" w:hAnsi="Tahoma"/>
      <w:sz w:val="16"/>
      <w:szCs w:val="16"/>
      <w:lang w:val="fr-CA" w:eastAsia="fr-CA"/>
    </w:rPr>
  </w:style>
  <w:style w:type="character" w:customStyle="1" w:styleId="BalloonTextChar">
    <w:name w:val="Balloon Text Char"/>
    <w:basedOn w:val="DefaultParagraphFont"/>
    <w:link w:val="BalloonText"/>
    <w:uiPriority w:val="99"/>
    <w:semiHidden/>
    <w:locked/>
    <w:rsid w:val="00DE735D"/>
    <w:rPr>
      <w:rFonts w:ascii="Tahoma" w:hAnsi="Tahoma" w:cs="Times New Roman"/>
      <w:sz w:val="16"/>
    </w:rPr>
  </w:style>
  <w:style w:type="character" w:styleId="Hyperlink">
    <w:name w:val="Hyperlink"/>
    <w:basedOn w:val="DefaultParagraphFont"/>
    <w:uiPriority w:val="99"/>
    <w:rsid w:val="00DE735D"/>
    <w:rPr>
      <w:rFonts w:cs="Times New Roman"/>
      <w:color w:val="0000FF"/>
      <w:u w:val="single"/>
    </w:rPr>
  </w:style>
  <w:style w:type="paragraph" w:styleId="FootnoteText">
    <w:name w:val="footnote text"/>
    <w:aliases w:val="Footnote ak,fn,Footnotes,ft,fn cafc,Footnote Text Char1,fn Char Char,footnote text Char Char,Footnotes Char Char,Footnote ak Char Char,Footnote Text Char2,Footnote Text Char1 Char1,Footnote Text Char Char C,Char"/>
    <w:basedOn w:val="Normal"/>
    <w:link w:val="FootnoteTextChar3"/>
    <w:uiPriority w:val="99"/>
    <w:rsid w:val="00DE735D"/>
    <w:pPr>
      <w:spacing w:after="0" w:line="240" w:lineRule="auto"/>
    </w:pPr>
    <w:rPr>
      <w:sz w:val="20"/>
      <w:szCs w:val="20"/>
      <w:lang w:val="fr-CA" w:eastAsia="fr-CA"/>
    </w:rPr>
  </w:style>
  <w:style w:type="character" w:customStyle="1" w:styleId="FootnoteTextChar">
    <w:name w:val="Footnote Text Char"/>
    <w:aliases w:val="Footnote ak Char,fn Char,Footnotes Char,ft Char,fn cafc Char,Footnote Text Char1 Char,fn Char Char Char,footnote text Char Char Char,Footnotes Char Char Char,Footnote ak Char Char Char,Footnote Text Char2 Char,Char Char"/>
    <w:basedOn w:val="DefaultParagraphFont"/>
    <w:uiPriority w:val="99"/>
    <w:semiHidden/>
    <w:locked/>
    <w:rsid w:val="00493CB2"/>
    <w:rPr>
      <w:rFonts w:eastAsia="Times New Roman" w:cs="Times New Roman"/>
      <w:sz w:val="20"/>
      <w:szCs w:val="20"/>
      <w:lang w:val="en-US" w:eastAsia="en-US"/>
    </w:rPr>
  </w:style>
  <w:style w:type="character" w:customStyle="1" w:styleId="FootnoteTextChar3">
    <w:name w:val="Footnote Text Char3"/>
    <w:aliases w:val="Footnote ak Char1,fn Char1,Footnotes Char1,ft Char1,fn cafc Char1,Footnote Text Char1 Char2,fn Char Char Char1,footnote text Char Char Char1,Footnotes Char Char Char1,Footnote ak Char Char Char1,Footnote Text Char2 Char1,Char Char1"/>
    <w:link w:val="FootnoteText"/>
    <w:uiPriority w:val="99"/>
    <w:locked/>
    <w:rsid w:val="00DE735D"/>
    <w:rPr>
      <w:rFonts w:eastAsia="Times New Roman"/>
      <w:sz w:val="20"/>
    </w:rPr>
  </w:style>
  <w:style w:type="character" w:styleId="FootnoteReference">
    <w:name w:val="footnote reference"/>
    <w:aliases w:val="fr,(Diplomarbeit FZ),-E Fußnotenzeichen,(Diplomarbeit FZ)1,(Dipl...,(Diplomarbeit FZ)2,(Diplomarbeit FZ)3,(Diplomarbeit FZ)4,(Diplomarbeit FZ)5,(Diplomarbeit FZ)6,(Diplomarbeit FZ)7,(Diplomarbeit FZ)8,(Diplomarbeit FZ)9"/>
    <w:basedOn w:val="DefaultParagraphFont"/>
    <w:uiPriority w:val="99"/>
    <w:rsid w:val="00DE735D"/>
    <w:rPr>
      <w:rFonts w:cs="Times New Roman"/>
      <w:vertAlign w:val="superscript"/>
    </w:rPr>
  </w:style>
  <w:style w:type="paragraph" w:styleId="NormalWeb">
    <w:name w:val="Normal (Web)"/>
    <w:basedOn w:val="Normal"/>
    <w:uiPriority w:val="99"/>
    <w:semiHidden/>
    <w:rsid w:val="00DE735D"/>
    <w:rPr>
      <w:rFonts w:ascii="Times New Roman" w:hAnsi="Times New Roman"/>
      <w:sz w:val="24"/>
      <w:szCs w:val="24"/>
    </w:rPr>
  </w:style>
  <w:style w:type="paragraph" w:styleId="Header">
    <w:name w:val="header"/>
    <w:basedOn w:val="Normal"/>
    <w:link w:val="HeaderChar"/>
    <w:uiPriority w:val="99"/>
    <w:rsid w:val="00DE735D"/>
    <w:pPr>
      <w:tabs>
        <w:tab w:val="center" w:pos="4680"/>
        <w:tab w:val="right" w:pos="9360"/>
      </w:tabs>
      <w:spacing w:after="0" w:line="240" w:lineRule="auto"/>
    </w:pPr>
    <w:rPr>
      <w:sz w:val="20"/>
      <w:szCs w:val="20"/>
      <w:lang w:val="fr-CA" w:eastAsia="fr-CA"/>
    </w:rPr>
  </w:style>
  <w:style w:type="character" w:customStyle="1" w:styleId="HeaderChar">
    <w:name w:val="Header Char"/>
    <w:basedOn w:val="DefaultParagraphFont"/>
    <w:link w:val="Header"/>
    <w:uiPriority w:val="99"/>
    <w:locked/>
    <w:rsid w:val="00DE735D"/>
    <w:rPr>
      <w:rFonts w:eastAsia="Times New Roman" w:cs="Times New Roman"/>
    </w:rPr>
  </w:style>
  <w:style w:type="paragraph" w:styleId="Footer">
    <w:name w:val="footer"/>
    <w:basedOn w:val="Normal"/>
    <w:link w:val="FooterChar"/>
    <w:uiPriority w:val="99"/>
    <w:rsid w:val="00DE735D"/>
    <w:pPr>
      <w:tabs>
        <w:tab w:val="center" w:pos="4680"/>
        <w:tab w:val="right" w:pos="9360"/>
      </w:tabs>
      <w:spacing w:after="0" w:line="240" w:lineRule="auto"/>
    </w:pPr>
    <w:rPr>
      <w:sz w:val="20"/>
      <w:szCs w:val="20"/>
      <w:lang w:val="fr-CA" w:eastAsia="fr-CA"/>
    </w:rPr>
  </w:style>
  <w:style w:type="character" w:customStyle="1" w:styleId="FooterChar">
    <w:name w:val="Footer Char"/>
    <w:basedOn w:val="DefaultParagraphFont"/>
    <w:link w:val="Footer"/>
    <w:uiPriority w:val="99"/>
    <w:locked/>
    <w:rsid w:val="00DE735D"/>
    <w:rPr>
      <w:rFonts w:eastAsia="Times New Roman" w:cs="Times New Roman"/>
    </w:rPr>
  </w:style>
  <w:style w:type="paragraph" w:styleId="NoSpacing">
    <w:name w:val="No Spacing"/>
    <w:link w:val="NoSpacingChar"/>
    <w:uiPriority w:val="99"/>
    <w:qFormat/>
    <w:rsid w:val="002E6D0B"/>
    <w:pPr>
      <w:jc w:val="both"/>
    </w:pPr>
    <w:rPr>
      <w:rFonts w:eastAsia="Times New Roman"/>
      <w:lang w:val="en-US" w:eastAsia="en-US"/>
    </w:rPr>
  </w:style>
  <w:style w:type="paragraph" w:styleId="Revision">
    <w:name w:val="Revision"/>
    <w:hidden/>
    <w:uiPriority w:val="99"/>
    <w:semiHidden/>
    <w:rsid w:val="00DD3E83"/>
    <w:rPr>
      <w:rFonts w:eastAsia="Times New Roman"/>
      <w:lang w:val="en-US" w:eastAsia="en-US"/>
    </w:rPr>
  </w:style>
  <w:style w:type="paragraph" w:styleId="TOCHeading">
    <w:name w:val="TOC Heading"/>
    <w:basedOn w:val="Heading1"/>
    <w:next w:val="Normal"/>
    <w:uiPriority w:val="99"/>
    <w:qFormat/>
    <w:rsid w:val="009F2ABA"/>
    <w:pPr>
      <w:keepLines/>
      <w:spacing w:before="240" w:after="0" w:line="259" w:lineRule="auto"/>
      <w:outlineLvl w:val="9"/>
    </w:pPr>
    <w:rPr>
      <w:rFonts w:ascii="Cambria" w:eastAsia="Times New Roman" w:hAnsi="Cambria"/>
      <w:b w:val="0"/>
      <w:color w:val="365F91"/>
      <w:szCs w:val="32"/>
    </w:rPr>
  </w:style>
  <w:style w:type="paragraph" w:styleId="TOC1">
    <w:name w:val="toc 1"/>
    <w:basedOn w:val="Normal"/>
    <w:next w:val="Normal"/>
    <w:autoRedefine/>
    <w:uiPriority w:val="99"/>
    <w:rsid w:val="00B5047F"/>
    <w:pPr>
      <w:tabs>
        <w:tab w:val="right" w:leader="dot" w:pos="9350"/>
      </w:tabs>
      <w:spacing w:after="100"/>
    </w:pPr>
  </w:style>
  <w:style w:type="paragraph" w:styleId="TOC2">
    <w:name w:val="toc 2"/>
    <w:basedOn w:val="Normal"/>
    <w:next w:val="Normal"/>
    <w:autoRedefine/>
    <w:uiPriority w:val="99"/>
    <w:rsid w:val="004831A1"/>
    <w:pPr>
      <w:tabs>
        <w:tab w:val="right" w:leader="dot" w:pos="9350"/>
      </w:tabs>
      <w:spacing w:after="100"/>
      <w:ind w:left="220"/>
    </w:pPr>
  </w:style>
  <w:style w:type="paragraph" w:styleId="TOC3">
    <w:name w:val="toc 3"/>
    <w:basedOn w:val="Normal"/>
    <w:next w:val="Normal"/>
    <w:autoRedefine/>
    <w:uiPriority w:val="99"/>
    <w:rsid w:val="009F2ABA"/>
    <w:pPr>
      <w:spacing w:after="100"/>
      <w:ind w:left="440"/>
    </w:pPr>
  </w:style>
  <w:style w:type="character" w:styleId="FollowedHyperlink">
    <w:name w:val="FollowedHyperlink"/>
    <w:basedOn w:val="DefaultParagraphFont"/>
    <w:uiPriority w:val="99"/>
    <w:semiHidden/>
    <w:rsid w:val="00B5047F"/>
    <w:rPr>
      <w:rFonts w:cs="Times New Roman"/>
      <w:color w:val="800080"/>
      <w:u w:val="single"/>
    </w:rPr>
  </w:style>
  <w:style w:type="character" w:customStyle="1" w:styleId="NoSpacingChar">
    <w:name w:val="No Spacing Char"/>
    <w:basedOn w:val="DefaultParagraphFont"/>
    <w:link w:val="NoSpacing"/>
    <w:uiPriority w:val="99"/>
    <w:locked/>
    <w:rsid w:val="00771A6F"/>
    <w:rPr>
      <w:rFonts w:eastAsia="Times New Roman" w:cs="Times New Roman"/>
      <w:sz w:val="22"/>
      <w:szCs w:val="22"/>
      <w:lang w:val="en-US" w:eastAsia="en-US" w:bidi="ar-SA"/>
    </w:rPr>
  </w:style>
  <w:style w:type="character" w:styleId="Emphasis">
    <w:name w:val="Emphasis"/>
    <w:basedOn w:val="DefaultParagraphFont"/>
    <w:uiPriority w:val="99"/>
    <w:qFormat/>
    <w:rsid w:val="00440376"/>
    <w:rPr>
      <w:rFonts w:cs="Times New Roman"/>
      <w:i/>
    </w:rPr>
  </w:style>
  <w:style w:type="character" w:styleId="Strong">
    <w:name w:val="Strong"/>
    <w:basedOn w:val="DefaultParagraphFont"/>
    <w:uiPriority w:val="99"/>
    <w:qFormat/>
    <w:rsid w:val="00CA6303"/>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2350E"/>
    <w:pPr>
      <w:spacing w:after="120" w:line="276" w:lineRule="auto"/>
      <w:jc w:val="both"/>
    </w:pPr>
    <w:rPr>
      <w:rFonts w:eastAsia="Times New Roman"/>
      <w:lang w:val="en-US" w:eastAsia="en-US"/>
    </w:rPr>
  </w:style>
  <w:style w:type="paragraph" w:styleId="Heading1">
    <w:name w:val="heading 1"/>
    <w:basedOn w:val="Normal"/>
    <w:next w:val="Normal"/>
    <w:link w:val="Heading1Char"/>
    <w:uiPriority w:val="99"/>
    <w:qFormat/>
    <w:rsid w:val="0010095A"/>
    <w:pPr>
      <w:keepNext/>
      <w:jc w:val="left"/>
      <w:outlineLvl w:val="0"/>
    </w:pPr>
    <w:rPr>
      <w:rFonts w:eastAsia="Calibri"/>
      <w:b/>
      <w:color w:val="1F497D"/>
      <w:sz w:val="28"/>
      <w:szCs w:val="20"/>
      <w:lang w:val="fr-CA" w:eastAsia="fr-CA"/>
    </w:rPr>
  </w:style>
  <w:style w:type="paragraph" w:styleId="Heading2">
    <w:name w:val="heading 2"/>
    <w:basedOn w:val="Normal"/>
    <w:next w:val="Normal"/>
    <w:link w:val="Heading2Char"/>
    <w:uiPriority w:val="99"/>
    <w:qFormat/>
    <w:rsid w:val="0010095A"/>
    <w:pPr>
      <w:widowControl w:val="0"/>
      <w:autoSpaceDE w:val="0"/>
      <w:autoSpaceDN w:val="0"/>
      <w:adjustRightInd w:val="0"/>
      <w:spacing w:line="240" w:lineRule="auto"/>
      <w:ind w:left="448" w:hanging="448"/>
      <w:outlineLvl w:val="1"/>
    </w:pPr>
    <w:rPr>
      <w:rFonts w:ascii="Cambria" w:hAnsi="Cambria"/>
      <w:b/>
      <w:color w:val="548DD4"/>
      <w:kern w:val="24"/>
      <w:sz w:val="24"/>
      <w:szCs w:val="56"/>
      <w:lang w:val="fr-CA" w:eastAsia="fr-CA"/>
    </w:rPr>
  </w:style>
  <w:style w:type="paragraph" w:styleId="Heading3">
    <w:name w:val="heading 3"/>
    <w:basedOn w:val="Normal"/>
    <w:next w:val="Normal"/>
    <w:link w:val="Heading3Char"/>
    <w:uiPriority w:val="99"/>
    <w:qFormat/>
    <w:rsid w:val="0010095A"/>
    <w:pPr>
      <w:widowControl w:val="0"/>
      <w:autoSpaceDE w:val="0"/>
      <w:autoSpaceDN w:val="0"/>
      <w:adjustRightInd w:val="0"/>
      <w:spacing w:before="120" w:line="240" w:lineRule="auto"/>
      <w:ind w:left="357" w:hanging="357"/>
      <w:outlineLvl w:val="2"/>
    </w:pPr>
    <w:rPr>
      <w:rFonts w:ascii="Times New Roman" w:hAnsi="Times New Roman"/>
      <w:b/>
      <w:color w:val="17365D"/>
      <w:kern w:val="24"/>
      <w:sz w:val="20"/>
      <w:szCs w:val="48"/>
      <w:lang w:val="fr-CA" w:eastAsia="fr-CA"/>
    </w:rPr>
  </w:style>
  <w:style w:type="paragraph" w:styleId="Heading4">
    <w:name w:val="heading 4"/>
    <w:basedOn w:val="Normal"/>
    <w:next w:val="Normal"/>
    <w:link w:val="Heading4Char"/>
    <w:uiPriority w:val="99"/>
    <w:qFormat/>
    <w:rsid w:val="0010095A"/>
    <w:pPr>
      <w:keepNext/>
      <w:keepLines/>
      <w:spacing w:before="40" w:after="0"/>
      <w:outlineLvl w:val="3"/>
    </w:pPr>
    <w:rPr>
      <w:rFonts w:ascii="Cambria" w:hAnsi="Cambria"/>
      <w:i/>
      <w:iCs/>
      <w:color w:val="0F243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095A"/>
    <w:rPr>
      <w:rFonts w:ascii="Calibri" w:hAnsi="Calibri" w:cs="Times New Roman"/>
      <w:b/>
      <w:color w:val="1F497D"/>
      <w:sz w:val="28"/>
    </w:rPr>
  </w:style>
  <w:style w:type="character" w:customStyle="1" w:styleId="Heading2Char">
    <w:name w:val="Heading 2 Char"/>
    <w:basedOn w:val="DefaultParagraphFont"/>
    <w:link w:val="Heading2"/>
    <w:uiPriority w:val="99"/>
    <w:locked/>
    <w:rsid w:val="0010095A"/>
    <w:rPr>
      <w:rFonts w:ascii="Cambria" w:hAnsi="Cambria" w:cs="Times New Roman"/>
      <w:b/>
      <w:color w:val="548DD4"/>
      <w:kern w:val="24"/>
      <w:sz w:val="56"/>
    </w:rPr>
  </w:style>
  <w:style w:type="character" w:customStyle="1" w:styleId="Heading3Char">
    <w:name w:val="Heading 3 Char"/>
    <w:basedOn w:val="DefaultParagraphFont"/>
    <w:link w:val="Heading3"/>
    <w:uiPriority w:val="99"/>
    <w:locked/>
    <w:rsid w:val="0010095A"/>
    <w:rPr>
      <w:rFonts w:ascii="Times New Roman" w:hAnsi="Times New Roman" w:cs="Times New Roman"/>
      <w:b/>
      <w:color w:val="17365D"/>
      <w:kern w:val="24"/>
      <w:sz w:val="48"/>
    </w:rPr>
  </w:style>
  <w:style w:type="character" w:customStyle="1" w:styleId="Heading4Char">
    <w:name w:val="Heading 4 Char"/>
    <w:basedOn w:val="DefaultParagraphFont"/>
    <w:link w:val="Heading4"/>
    <w:uiPriority w:val="99"/>
    <w:locked/>
    <w:rsid w:val="0010095A"/>
    <w:rPr>
      <w:rFonts w:ascii="Cambria" w:hAnsi="Cambria" w:cs="Times New Roman"/>
      <w:i/>
      <w:iCs/>
      <w:color w:val="0F243E"/>
      <w:sz w:val="22"/>
      <w:szCs w:val="22"/>
    </w:rPr>
  </w:style>
  <w:style w:type="paragraph" w:styleId="ListParagraph">
    <w:name w:val="List Paragraph"/>
    <w:basedOn w:val="Normal"/>
    <w:uiPriority w:val="99"/>
    <w:qFormat/>
    <w:rsid w:val="000850EA"/>
    <w:pPr>
      <w:ind w:left="720"/>
      <w:contextualSpacing/>
    </w:pPr>
  </w:style>
  <w:style w:type="character" w:styleId="CommentReference">
    <w:name w:val="annotation reference"/>
    <w:basedOn w:val="DefaultParagraphFont"/>
    <w:uiPriority w:val="99"/>
    <w:semiHidden/>
    <w:rsid w:val="00DE735D"/>
    <w:rPr>
      <w:rFonts w:cs="Times New Roman"/>
      <w:sz w:val="16"/>
    </w:rPr>
  </w:style>
  <w:style w:type="paragraph" w:styleId="CommentText">
    <w:name w:val="annotation text"/>
    <w:basedOn w:val="Normal"/>
    <w:link w:val="CommentTextChar"/>
    <w:uiPriority w:val="99"/>
    <w:semiHidden/>
    <w:rsid w:val="00DE735D"/>
    <w:pPr>
      <w:spacing w:line="240" w:lineRule="auto"/>
    </w:pPr>
    <w:rPr>
      <w:sz w:val="20"/>
      <w:szCs w:val="20"/>
      <w:lang w:val="fr-CA" w:eastAsia="fr-CA"/>
    </w:rPr>
  </w:style>
  <w:style w:type="character" w:customStyle="1" w:styleId="CommentTextChar">
    <w:name w:val="Comment Text Char"/>
    <w:basedOn w:val="DefaultParagraphFont"/>
    <w:link w:val="CommentText"/>
    <w:uiPriority w:val="99"/>
    <w:semiHidden/>
    <w:locked/>
    <w:rsid w:val="00DE735D"/>
    <w:rPr>
      <w:rFonts w:eastAsia="Times New Roman" w:cs="Times New Roman"/>
      <w:sz w:val="20"/>
    </w:rPr>
  </w:style>
  <w:style w:type="paragraph" w:styleId="CommentSubject">
    <w:name w:val="annotation subject"/>
    <w:basedOn w:val="CommentText"/>
    <w:next w:val="CommentText"/>
    <w:link w:val="CommentSubjectChar"/>
    <w:uiPriority w:val="99"/>
    <w:semiHidden/>
    <w:rsid w:val="00DE735D"/>
    <w:rPr>
      <w:b/>
      <w:bCs/>
    </w:rPr>
  </w:style>
  <w:style w:type="character" w:customStyle="1" w:styleId="CommentSubjectChar">
    <w:name w:val="Comment Subject Char"/>
    <w:basedOn w:val="CommentTextChar"/>
    <w:link w:val="CommentSubject"/>
    <w:uiPriority w:val="99"/>
    <w:semiHidden/>
    <w:locked/>
    <w:rsid w:val="00DE735D"/>
    <w:rPr>
      <w:rFonts w:eastAsia="Times New Roman" w:cs="Times New Roman"/>
      <w:b/>
      <w:sz w:val="20"/>
    </w:rPr>
  </w:style>
  <w:style w:type="paragraph" w:styleId="BalloonText">
    <w:name w:val="Balloon Text"/>
    <w:basedOn w:val="Normal"/>
    <w:link w:val="BalloonTextChar"/>
    <w:uiPriority w:val="99"/>
    <w:semiHidden/>
    <w:rsid w:val="00DE735D"/>
    <w:pPr>
      <w:spacing w:after="0" w:line="240" w:lineRule="auto"/>
    </w:pPr>
    <w:rPr>
      <w:rFonts w:ascii="Tahoma" w:hAnsi="Tahoma"/>
      <w:sz w:val="16"/>
      <w:szCs w:val="16"/>
      <w:lang w:val="fr-CA" w:eastAsia="fr-CA"/>
    </w:rPr>
  </w:style>
  <w:style w:type="character" w:customStyle="1" w:styleId="BalloonTextChar">
    <w:name w:val="Balloon Text Char"/>
    <w:basedOn w:val="DefaultParagraphFont"/>
    <w:link w:val="BalloonText"/>
    <w:uiPriority w:val="99"/>
    <w:semiHidden/>
    <w:locked/>
    <w:rsid w:val="00DE735D"/>
    <w:rPr>
      <w:rFonts w:ascii="Tahoma" w:hAnsi="Tahoma" w:cs="Times New Roman"/>
      <w:sz w:val="16"/>
    </w:rPr>
  </w:style>
  <w:style w:type="character" w:styleId="Hyperlink">
    <w:name w:val="Hyperlink"/>
    <w:basedOn w:val="DefaultParagraphFont"/>
    <w:uiPriority w:val="99"/>
    <w:rsid w:val="00DE735D"/>
    <w:rPr>
      <w:rFonts w:cs="Times New Roman"/>
      <w:color w:val="0000FF"/>
      <w:u w:val="single"/>
    </w:rPr>
  </w:style>
  <w:style w:type="paragraph" w:styleId="FootnoteText">
    <w:name w:val="footnote text"/>
    <w:aliases w:val="Footnote ak,fn,Footnotes,ft,fn cafc,Footnote Text Char1,fn Char Char,footnote text Char Char,Footnotes Char Char,Footnote ak Char Char,Footnote Text Char2,Footnote Text Char1 Char1,Footnote Text Char Char C,Char"/>
    <w:basedOn w:val="Normal"/>
    <w:link w:val="FootnoteTextChar3"/>
    <w:uiPriority w:val="99"/>
    <w:rsid w:val="00DE735D"/>
    <w:pPr>
      <w:spacing w:after="0" w:line="240" w:lineRule="auto"/>
    </w:pPr>
    <w:rPr>
      <w:sz w:val="20"/>
      <w:szCs w:val="20"/>
      <w:lang w:val="fr-CA" w:eastAsia="fr-CA"/>
    </w:rPr>
  </w:style>
  <w:style w:type="character" w:customStyle="1" w:styleId="FootnoteTextChar">
    <w:name w:val="Footnote Text Char"/>
    <w:aliases w:val="Footnote ak Char,fn Char,Footnotes Char,ft Char,fn cafc Char,Footnote Text Char1 Char,fn Char Char Char,footnote text Char Char Char,Footnotes Char Char Char,Footnote ak Char Char Char,Footnote Text Char2 Char,Char Char"/>
    <w:basedOn w:val="DefaultParagraphFont"/>
    <w:uiPriority w:val="99"/>
    <w:semiHidden/>
    <w:locked/>
    <w:rsid w:val="00493CB2"/>
    <w:rPr>
      <w:rFonts w:eastAsia="Times New Roman" w:cs="Times New Roman"/>
      <w:sz w:val="20"/>
      <w:szCs w:val="20"/>
      <w:lang w:val="en-US" w:eastAsia="en-US"/>
    </w:rPr>
  </w:style>
  <w:style w:type="character" w:customStyle="1" w:styleId="FootnoteTextChar3">
    <w:name w:val="Footnote Text Char3"/>
    <w:aliases w:val="Footnote ak Char1,fn Char1,Footnotes Char1,ft Char1,fn cafc Char1,Footnote Text Char1 Char2,fn Char Char Char1,footnote text Char Char Char1,Footnotes Char Char Char1,Footnote ak Char Char Char1,Footnote Text Char2 Char1,Char Char1"/>
    <w:link w:val="FootnoteText"/>
    <w:uiPriority w:val="99"/>
    <w:locked/>
    <w:rsid w:val="00DE735D"/>
    <w:rPr>
      <w:rFonts w:eastAsia="Times New Roman"/>
      <w:sz w:val="20"/>
    </w:rPr>
  </w:style>
  <w:style w:type="character" w:styleId="FootnoteReference">
    <w:name w:val="footnote reference"/>
    <w:aliases w:val="fr,(Diplomarbeit FZ),-E Fußnotenzeichen,(Diplomarbeit FZ)1,(Dipl...,(Diplomarbeit FZ)2,(Diplomarbeit FZ)3,(Diplomarbeit FZ)4,(Diplomarbeit FZ)5,(Diplomarbeit FZ)6,(Diplomarbeit FZ)7,(Diplomarbeit FZ)8,(Diplomarbeit FZ)9"/>
    <w:basedOn w:val="DefaultParagraphFont"/>
    <w:uiPriority w:val="99"/>
    <w:rsid w:val="00DE735D"/>
    <w:rPr>
      <w:rFonts w:cs="Times New Roman"/>
      <w:vertAlign w:val="superscript"/>
    </w:rPr>
  </w:style>
  <w:style w:type="paragraph" w:styleId="NormalWeb">
    <w:name w:val="Normal (Web)"/>
    <w:basedOn w:val="Normal"/>
    <w:uiPriority w:val="99"/>
    <w:semiHidden/>
    <w:rsid w:val="00DE735D"/>
    <w:rPr>
      <w:rFonts w:ascii="Times New Roman" w:hAnsi="Times New Roman"/>
      <w:sz w:val="24"/>
      <w:szCs w:val="24"/>
    </w:rPr>
  </w:style>
  <w:style w:type="paragraph" w:styleId="Header">
    <w:name w:val="header"/>
    <w:basedOn w:val="Normal"/>
    <w:link w:val="HeaderChar"/>
    <w:uiPriority w:val="99"/>
    <w:rsid w:val="00DE735D"/>
    <w:pPr>
      <w:tabs>
        <w:tab w:val="center" w:pos="4680"/>
        <w:tab w:val="right" w:pos="9360"/>
      </w:tabs>
      <w:spacing w:after="0" w:line="240" w:lineRule="auto"/>
    </w:pPr>
    <w:rPr>
      <w:sz w:val="20"/>
      <w:szCs w:val="20"/>
      <w:lang w:val="fr-CA" w:eastAsia="fr-CA"/>
    </w:rPr>
  </w:style>
  <w:style w:type="character" w:customStyle="1" w:styleId="HeaderChar">
    <w:name w:val="Header Char"/>
    <w:basedOn w:val="DefaultParagraphFont"/>
    <w:link w:val="Header"/>
    <w:uiPriority w:val="99"/>
    <w:locked/>
    <w:rsid w:val="00DE735D"/>
    <w:rPr>
      <w:rFonts w:eastAsia="Times New Roman" w:cs="Times New Roman"/>
    </w:rPr>
  </w:style>
  <w:style w:type="paragraph" w:styleId="Footer">
    <w:name w:val="footer"/>
    <w:basedOn w:val="Normal"/>
    <w:link w:val="FooterChar"/>
    <w:uiPriority w:val="99"/>
    <w:rsid w:val="00DE735D"/>
    <w:pPr>
      <w:tabs>
        <w:tab w:val="center" w:pos="4680"/>
        <w:tab w:val="right" w:pos="9360"/>
      </w:tabs>
      <w:spacing w:after="0" w:line="240" w:lineRule="auto"/>
    </w:pPr>
    <w:rPr>
      <w:sz w:val="20"/>
      <w:szCs w:val="20"/>
      <w:lang w:val="fr-CA" w:eastAsia="fr-CA"/>
    </w:rPr>
  </w:style>
  <w:style w:type="character" w:customStyle="1" w:styleId="FooterChar">
    <w:name w:val="Footer Char"/>
    <w:basedOn w:val="DefaultParagraphFont"/>
    <w:link w:val="Footer"/>
    <w:uiPriority w:val="99"/>
    <w:locked/>
    <w:rsid w:val="00DE735D"/>
    <w:rPr>
      <w:rFonts w:eastAsia="Times New Roman" w:cs="Times New Roman"/>
    </w:rPr>
  </w:style>
  <w:style w:type="paragraph" w:styleId="NoSpacing">
    <w:name w:val="No Spacing"/>
    <w:link w:val="NoSpacingChar"/>
    <w:uiPriority w:val="99"/>
    <w:qFormat/>
    <w:rsid w:val="002E6D0B"/>
    <w:pPr>
      <w:jc w:val="both"/>
    </w:pPr>
    <w:rPr>
      <w:rFonts w:eastAsia="Times New Roman"/>
      <w:lang w:val="en-US" w:eastAsia="en-US"/>
    </w:rPr>
  </w:style>
  <w:style w:type="paragraph" w:styleId="Revision">
    <w:name w:val="Revision"/>
    <w:hidden/>
    <w:uiPriority w:val="99"/>
    <w:semiHidden/>
    <w:rsid w:val="00DD3E83"/>
    <w:rPr>
      <w:rFonts w:eastAsia="Times New Roman"/>
      <w:lang w:val="en-US" w:eastAsia="en-US"/>
    </w:rPr>
  </w:style>
  <w:style w:type="paragraph" w:styleId="TOCHeading">
    <w:name w:val="TOC Heading"/>
    <w:basedOn w:val="Heading1"/>
    <w:next w:val="Normal"/>
    <w:uiPriority w:val="99"/>
    <w:qFormat/>
    <w:rsid w:val="009F2ABA"/>
    <w:pPr>
      <w:keepLines/>
      <w:spacing w:before="240" w:after="0" w:line="259" w:lineRule="auto"/>
      <w:outlineLvl w:val="9"/>
    </w:pPr>
    <w:rPr>
      <w:rFonts w:ascii="Cambria" w:eastAsia="Times New Roman" w:hAnsi="Cambria"/>
      <w:b w:val="0"/>
      <w:color w:val="365F91"/>
      <w:szCs w:val="32"/>
    </w:rPr>
  </w:style>
  <w:style w:type="paragraph" w:styleId="TOC1">
    <w:name w:val="toc 1"/>
    <w:basedOn w:val="Normal"/>
    <w:next w:val="Normal"/>
    <w:autoRedefine/>
    <w:uiPriority w:val="99"/>
    <w:rsid w:val="00B5047F"/>
    <w:pPr>
      <w:tabs>
        <w:tab w:val="right" w:leader="dot" w:pos="9350"/>
      </w:tabs>
      <w:spacing w:after="100"/>
    </w:pPr>
  </w:style>
  <w:style w:type="paragraph" w:styleId="TOC2">
    <w:name w:val="toc 2"/>
    <w:basedOn w:val="Normal"/>
    <w:next w:val="Normal"/>
    <w:autoRedefine/>
    <w:uiPriority w:val="99"/>
    <w:rsid w:val="004831A1"/>
    <w:pPr>
      <w:tabs>
        <w:tab w:val="right" w:leader="dot" w:pos="9350"/>
      </w:tabs>
      <w:spacing w:after="100"/>
      <w:ind w:left="220"/>
    </w:pPr>
  </w:style>
  <w:style w:type="paragraph" w:styleId="TOC3">
    <w:name w:val="toc 3"/>
    <w:basedOn w:val="Normal"/>
    <w:next w:val="Normal"/>
    <w:autoRedefine/>
    <w:uiPriority w:val="99"/>
    <w:rsid w:val="009F2ABA"/>
    <w:pPr>
      <w:spacing w:after="100"/>
      <w:ind w:left="440"/>
    </w:pPr>
  </w:style>
  <w:style w:type="character" w:styleId="FollowedHyperlink">
    <w:name w:val="FollowedHyperlink"/>
    <w:basedOn w:val="DefaultParagraphFont"/>
    <w:uiPriority w:val="99"/>
    <w:semiHidden/>
    <w:rsid w:val="00B5047F"/>
    <w:rPr>
      <w:rFonts w:cs="Times New Roman"/>
      <w:color w:val="800080"/>
      <w:u w:val="single"/>
    </w:rPr>
  </w:style>
  <w:style w:type="character" w:customStyle="1" w:styleId="NoSpacingChar">
    <w:name w:val="No Spacing Char"/>
    <w:basedOn w:val="DefaultParagraphFont"/>
    <w:link w:val="NoSpacing"/>
    <w:uiPriority w:val="99"/>
    <w:locked/>
    <w:rsid w:val="00771A6F"/>
    <w:rPr>
      <w:rFonts w:eastAsia="Times New Roman" w:cs="Times New Roman"/>
      <w:sz w:val="22"/>
      <w:szCs w:val="22"/>
      <w:lang w:val="en-US" w:eastAsia="en-US" w:bidi="ar-SA"/>
    </w:rPr>
  </w:style>
  <w:style w:type="character" w:styleId="Emphasis">
    <w:name w:val="Emphasis"/>
    <w:basedOn w:val="DefaultParagraphFont"/>
    <w:uiPriority w:val="99"/>
    <w:qFormat/>
    <w:rsid w:val="00440376"/>
    <w:rPr>
      <w:rFonts w:cs="Times New Roman"/>
      <w:i/>
    </w:rPr>
  </w:style>
  <w:style w:type="character" w:styleId="Strong">
    <w:name w:val="Strong"/>
    <w:basedOn w:val="DefaultParagraphFont"/>
    <w:uiPriority w:val="99"/>
    <w:qFormat/>
    <w:rsid w:val="00CA6303"/>
    <w:rPr>
      <w:rFonts w:cs="Times New Roman"/>
      <w:b/>
      <w:bCs/>
    </w:rPr>
  </w:style>
</w:styles>
</file>

<file path=word/webSettings.xml><?xml version="1.0" encoding="utf-8"?>
<w:webSettings xmlns:r="http://schemas.openxmlformats.org/officeDocument/2006/relationships" xmlns:w="http://schemas.openxmlformats.org/wordprocessingml/2006/main">
  <w:divs>
    <w:div w:id="1775439048">
      <w:marLeft w:val="0"/>
      <w:marRight w:val="0"/>
      <w:marTop w:val="0"/>
      <w:marBottom w:val="0"/>
      <w:divBdr>
        <w:top w:val="none" w:sz="0" w:space="0" w:color="auto"/>
        <w:left w:val="none" w:sz="0" w:space="0" w:color="auto"/>
        <w:bottom w:val="none" w:sz="0" w:space="0" w:color="auto"/>
        <w:right w:val="none" w:sz="0" w:space="0" w:color="auto"/>
      </w:divBdr>
    </w:div>
    <w:div w:id="1775439049">
      <w:marLeft w:val="0"/>
      <w:marRight w:val="0"/>
      <w:marTop w:val="0"/>
      <w:marBottom w:val="0"/>
      <w:divBdr>
        <w:top w:val="none" w:sz="0" w:space="0" w:color="auto"/>
        <w:left w:val="none" w:sz="0" w:space="0" w:color="auto"/>
        <w:bottom w:val="none" w:sz="0" w:space="0" w:color="auto"/>
        <w:right w:val="none" w:sz="0" w:space="0" w:color="auto"/>
      </w:divBdr>
    </w:div>
    <w:div w:id="1775439050">
      <w:marLeft w:val="0"/>
      <w:marRight w:val="0"/>
      <w:marTop w:val="0"/>
      <w:marBottom w:val="0"/>
      <w:divBdr>
        <w:top w:val="none" w:sz="0" w:space="0" w:color="auto"/>
        <w:left w:val="none" w:sz="0" w:space="0" w:color="auto"/>
        <w:bottom w:val="none" w:sz="0" w:space="0" w:color="auto"/>
        <w:right w:val="none" w:sz="0" w:space="0" w:color="auto"/>
      </w:divBdr>
    </w:div>
    <w:div w:id="1775439051">
      <w:marLeft w:val="0"/>
      <w:marRight w:val="0"/>
      <w:marTop w:val="0"/>
      <w:marBottom w:val="0"/>
      <w:divBdr>
        <w:top w:val="none" w:sz="0" w:space="0" w:color="auto"/>
        <w:left w:val="none" w:sz="0" w:space="0" w:color="auto"/>
        <w:bottom w:val="none" w:sz="0" w:space="0" w:color="auto"/>
        <w:right w:val="none" w:sz="0" w:space="0" w:color="auto"/>
      </w:divBdr>
      <w:divsChild>
        <w:div w:id="1775439053">
          <w:marLeft w:val="0"/>
          <w:marRight w:val="0"/>
          <w:marTop w:val="0"/>
          <w:marBottom w:val="0"/>
          <w:divBdr>
            <w:top w:val="none" w:sz="0" w:space="0" w:color="auto"/>
            <w:left w:val="none" w:sz="0" w:space="0" w:color="auto"/>
            <w:bottom w:val="none" w:sz="0" w:space="0" w:color="auto"/>
            <w:right w:val="none" w:sz="0" w:space="0" w:color="auto"/>
          </w:divBdr>
        </w:div>
      </w:divsChild>
    </w:div>
    <w:div w:id="1775439052">
      <w:marLeft w:val="0"/>
      <w:marRight w:val="0"/>
      <w:marTop w:val="0"/>
      <w:marBottom w:val="0"/>
      <w:divBdr>
        <w:top w:val="none" w:sz="0" w:space="0" w:color="auto"/>
        <w:left w:val="none" w:sz="0" w:space="0" w:color="auto"/>
        <w:bottom w:val="none" w:sz="0" w:space="0" w:color="auto"/>
        <w:right w:val="none" w:sz="0" w:space="0" w:color="auto"/>
      </w:divBdr>
    </w:div>
    <w:div w:id="1775439054">
      <w:marLeft w:val="0"/>
      <w:marRight w:val="0"/>
      <w:marTop w:val="0"/>
      <w:marBottom w:val="0"/>
      <w:divBdr>
        <w:top w:val="none" w:sz="0" w:space="0" w:color="auto"/>
        <w:left w:val="none" w:sz="0" w:space="0" w:color="auto"/>
        <w:bottom w:val="none" w:sz="0" w:space="0" w:color="auto"/>
        <w:right w:val="none" w:sz="0" w:space="0" w:color="auto"/>
      </w:divBdr>
    </w:div>
    <w:div w:id="1775439055">
      <w:marLeft w:val="0"/>
      <w:marRight w:val="0"/>
      <w:marTop w:val="0"/>
      <w:marBottom w:val="0"/>
      <w:divBdr>
        <w:top w:val="none" w:sz="0" w:space="0" w:color="auto"/>
        <w:left w:val="none" w:sz="0" w:space="0" w:color="auto"/>
        <w:bottom w:val="none" w:sz="0" w:space="0" w:color="auto"/>
        <w:right w:val="none" w:sz="0" w:space="0" w:color="auto"/>
      </w:divBdr>
    </w:div>
    <w:div w:id="1775439056">
      <w:marLeft w:val="0"/>
      <w:marRight w:val="0"/>
      <w:marTop w:val="0"/>
      <w:marBottom w:val="0"/>
      <w:divBdr>
        <w:top w:val="none" w:sz="0" w:space="0" w:color="auto"/>
        <w:left w:val="none" w:sz="0" w:space="0" w:color="auto"/>
        <w:bottom w:val="none" w:sz="0" w:space="0" w:color="auto"/>
        <w:right w:val="none" w:sz="0" w:space="0" w:color="auto"/>
      </w:divBdr>
    </w:div>
    <w:div w:id="1775439057">
      <w:marLeft w:val="0"/>
      <w:marRight w:val="0"/>
      <w:marTop w:val="0"/>
      <w:marBottom w:val="0"/>
      <w:divBdr>
        <w:top w:val="none" w:sz="0" w:space="0" w:color="auto"/>
        <w:left w:val="none" w:sz="0" w:space="0" w:color="auto"/>
        <w:bottom w:val="none" w:sz="0" w:space="0" w:color="auto"/>
        <w:right w:val="none" w:sz="0" w:space="0" w:color="auto"/>
      </w:divBdr>
    </w:div>
    <w:div w:id="17754390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unlanguage.org/pdf/RulesofProcedure.pdf" TargetMode="External"/><Relationship Id="rId13" Type="http://schemas.openxmlformats.org/officeDocument/2006/relationships/hyperlink" Target="http://www.ramsar.org/cda/en/ramsar-documents-resol-resolution-4-2-working/main/ramsar/1-31-107%5E23368_4000_0__" TargetMode="External"/><Relationship Id="rId3" Type="http://schemas.openxmlformats.org/officeDocument/2006/relationships/hyperlink" Target="http://www.ramsar.org/pdf/rules-cop-2012-f.pdf" TargetMode="External"/><Relationship Id="rId7" Type="http://schemas.openxmlformats.org/officeDocument/2006/relationships/hyperlink" Target="http://www.un.org/fr/ga/search/view_doc.asp?symbol=A/71/REV.1&amp;Lang=E" TargetMode="External"/><Relationship Id="rId12" Type="http://schemas.openxmlformats.org/officeDocument/2006/relationships/hyperlink" Target="http://www.fao.org/docrep/c3592e/c3592e0c.htm" TargetMode="External"/><Relationship Id="rId2" Type="http://schemas.openxmlformats.org/officeDocument/2006/relationships/hyperlink" Target="http://www.ramsar.org/pdf/cop11/res/cop11-res01-f.pdf" TargetMode="External"/><Relationship Id="rId1" Type="http://schemas.openxmlformats.org/officeDocument/2006/relationships/hyperlink" Target="http://www.ramsar.org/cda/fr/ramsar-documents-cops-cop5-recommendation-5-15/main/ramsar/1-31-58-130%5F23219_4000_0__" TargetMode="External"/><Relationship Id="rId6" Type="http://schemas.openxmlformats.org/officeDocument/2006/relationships/hyperlink" Target="http://www.ramsar.org/cda/fr/ramsar-documents-texts-convention-on/main/ramsar/1-31-38%5F20671_4000_0__" TargetMode="External"/><Relationship Id="rId11" Type="http://schemas.openxmlformats.org/officeDocument/2006/relationships/hyperlink" Target="http://www.fao.org/agriculture/crops/thematic-sitemap/theme/treaties/irc/constitution-and-rules-of-procedure/fr/" TargetMode="External"/><Relationship Id="rId5" Type="http://schemas.openxmlformats.org/officeDocument/2006/relationships/hyperlink" Target="https://treaties.un.org/doc/Publication/UNTS/Volume%201155/volume-1155-I-18232-English.pdf" TargetMode="External"/><Relationship Id="rId10" Type="http://schemas.openxmlformats.org/officeDocument/2006/relationships/hyperlink" Target="http://www.fao.org/docrep/meeting/022/k8024f.pdf" TargetMode="External"/><Relationship Id="rId4" Type="http://schemas.openxmlformats.org/officeDocument/2006/relationships/hyperlink" Target="http://www.ramsar.org/pdf/res/key_res_viii_27_f.pdf" TargetMode="External"/><Relationship Id="rId9" Type="http://schemas.openxmlformats.org/officeDocument/2006/relationships/hyperlink" Target="http://www.icc-cpi.int/nr/rdonlyres/ea9aeff7-5752-4f84-be94-0a655eb30e16/0/rome_statute_francai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2501</Words>
  <Characters>13488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Opinion on the accommodation of Arabic and other UN languages into the Ramsar Convention</vt:lpstr>
    </vt:vector>
  </TitlesOfParts>
  <Company>Toshiba</Company>
  <LinksUpToDate>false</LinksUpToDate>
  <CharactersWithSpaces>15958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 on the accommodation of Arabic and other UN languages into the Ramsar Convention</dc:title>
  <dc:creator>Freedom-Kai Phillips</dc:creator>
  <cp:lastModifiedBy>Ramsar\JenningsE</cp:lastModifiedBy>
  <cp:revision>2</cp:revision>
  <cp:lastPrinted>2014-10-07T11:09:00Z</cp:lastPrinted>
  <dcterms:created xsi:type="dcterms:W3CDTF">2014-12-17T18:02:00Z</dcterms:created>
  <dcterms:modified xsi:type="dcterms:W3CDTF">2014-12-17T18:02:00Z</dcterms:modified>
</cp:coreProperties>
</file>