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0D8" w:rsidRPr="001000D8" w:rsidRDefault="001000D8" w:rsidP="001000D8">
      <w:pPr>
        <w:spacing w:after="0" w:line="240" w:lineRule="auto"/>
        <w:rPr>
          <w:rFonts w:ascii="Georgia" w:eastAsia="Times New Roman" w:hAnsi="Georgia" w:cs="Times New Roman"/>
          <w:b/>
          <w:color w:val="000000" w:themeColor="text1"/>
          <w:sz w:val="26"/>
          <w:szCs w:val="26"/>
          <w:lang w:val="en-US"/>
        </w:rPr>
      </w:pPr>
      <w:r w:rsidRPr="001000D8">
        <w:rPr>
          <w:rFonts w:ascii="Georgia" w:eastAsia="Times New Roman" w:hAnsi="Georgia" w:cs="Times New Roman"/>
          <w:b/>
          <w:color w:val="000000" w:themeColor="text1"/>
          <w:sz w:val="26"/>
          <w:szCs w:val="26"/>
          <w:lang w:val="en-US"/>
        </w:rPr>
        <w:t>The Convention on Wetlands text, as originally adopted in 1971</w:t>
      </w:r>
    </w:p>
    <w:p w:rsidR="001000D8" w:rsidRPr="001000D8" w:rsidRDefault="001000D8" w:rsidP="00155FC2">
      <w:pPr>
        <w:spacing w:after="0" w:line="240" w:lineRule="auto"/>
        <w:rPr>
          <w:rFonts w:ascii="Georgia" w:eastAsia="Times New Roman" w:hAnsi="Georgia" w:cs="Times New Roman"/>
          <w:color w:val="FF0000"/>
          <w:sz w:val="24"/>
          <w:szCs w:val="24"/>
        </w:rPr>
      </w:pPr>
    </w:p>
    <w:p w:rsidR="001000D8" w:rsidRDefault="001000D8" w:rsidP="00155FC2">
      <w:pPr>
        <w:spacing w:after="0" w:line="240" w:lineRule="auto"/>
        <w:rPr>
          <w:rFonts w:ascii="Georgia" w:eastAsia="Times New Roman" w:hAnsi="Georgia" w:cs="Times New Roman"/>
          <w:color w:val="FF0000"/>
          <w:sz w:val="24"/>
          <w:szCs w:val="24"/>
          <w:lang w:val="en-US"/>
        </w:rPr>
      </w:pPr>
    </w:p>
    <w:p w:rsidR="00155FC2" w:rsidRPr="00155FC2" w:rsidRDefault="00155FC2" w:rsidP="00155FC2">
      <w:pPr>
        <w:spacing w:after="0" w:line="240" w:lineRule="auto"/>
        <w:rPr>
          <w:rFonts w:ascii="Georgia" w:eastAsia="Times New Roman" w:hAnsi="Georgia" w:cs="Times New Roman"/>
          <w:color w:val="FF0000"/>
          <w:sz w:val="24"/>
          <w:szCs w:val="24"/>
          <w:lang w:val="en-US"/>
        </w:rPr>
      </w:pPr>
      <w:r w:rsidRPr="00155FC2">
        <w:rPr>
          <w:rFonts w:ascii="Georgia" w:eastAsia="Times New Roman" w:hAnsi="Georgia" w:cs="Times New Roman"/>
          <w:color w:val="FF0000"/>
          <w:sz w:val="24"/>
          <w:szCs w:val="24"/>
          <w:lang w:val="en-US"/>
        </w:rPr>
        <w:t xml:space="preserve">[Important note: This is NOT the present version of the </w:t>
      </w:r>
      <w:proofErr w:type="spellStart"/>
      <w:r w:rsidRPr="00155FC2">
        <w:rPr>
          <w:rFonts w:ascii="Georgia" w:eastAsia="Times New Roman" w:hAnsi="Georgia" w:cs="Times New Roman"/>
          <w:color w:val="FF0000"/>
          <w:sz w:val="24"/>
          <w:szCs w:val="24"/>
          <w:lang w:val="en-US"/>
        </w:rPr>
        <w:t>Ramsar</w:t>
      </w:r>
      <w:proofErr w:type="spellEnd"/>
      <w:r w:rsidRPr="00155FC2">
        <w:rPr>
          <w:rFonts w:ascii="Georgia" w:eastAsia="Times New Roman" w:hAnsi="Georgia" w:cs="Times New Roman"/>
          <w:color w:val="FF0000"/>
          <w:sz w:val="24"/>
          <w:szCs w:val="24"/>
          <w:lang w:val="en-US"/>
        </w:rPr>
        <w:t xml:space="preserve"> treaty. It is </w:t>
      </w:r>
      <w:r w:rsidR="009953CD">
        <w:rPr>
          <w:rFonts w:ascii="Georgia" w:eastAsia="Times New Roman" w:hAnsi="Georgia" w:cs="Times New Roman"/>
          <w:color w:val="FF0000"/>
          <w:sz w:val="24"/>
          <w:szCs w:val="24"/>
          <w:lang w:val="en-US"/>
        </w:rPr>
        <w:t xml:space="preserve">the original version adopted as Annex I of </w:t>
      </w:r>
      <w:bookmarkStart w:id="0" w:name="_GoBack"/>
      <w:bookmarkEnd w:id="0"/>
      <w:r w:rsidRPr="00155FC2">
        <w:rPr>
          <w:rFonts w:ascii="Georgia" w:eastAsia="Times New Roman" w:hAnsi="Georgia" w:cs="Times New Roman"/>
          <w:color w:val="FF0000"/>
          <w:sz w:val="24"/>
          <w:szCs w:val="24"/>
          <w:lang w:val="en-US"/>
        </w:rPr>
        <w:t xml:space="preserve">the Final Act of the </w:t>
      </w:r>
      <w:proofErr w:type="spellStart"/>
      <w:r w:rsidRPr="00155FC2">
        <w:rPr>
          <w:rFonts w:ascii="Georgia" w:eastAsia="Times New Roman" w:hAnsi="Georgia" w:cs="Times New Roman"/>
          <w:color w:val="FF0000"/>
          <w:sz w:val="24"/>
          <w:szCs w:val="24"/>
          <w:lang w:val="en-US"/>
        </w:rPr>
        <w:t>Ramsar</w:t>
      </w:r>
      <w:proofErr w:type="spellEnd"/>
      <w:r w:rsidRPr="00155FC2">
        <w:rPr>
          <w:rFonts w:ascii="Georgia" w:eastAsia="Times New Roman" w:hAnsi="Georgia" w:cs="Times New Roman"/>
          <w:color w:val="FF0000"/>
          <w:sz w:val="24"/>
          <w:szCs w:val="24"/>
          <w:lang w:val="en-US"/>
        </w:rPr>
        <w:t xml:space="preserve"> conference in 1971, published in the Proceedings, and registered with UNESCO, the Depositary. The present version, which was amended in 1982 and 1987, is available </w:t>
      </w:r>
      <w:hyperlink r:id="rId6" w:history="1">
        <w:r w:rsidRPr="00D60592">
          <w:rPr>
            <w:rFonts w:ascii="Georgia" w:eastAsia="Times New Roman" w:hAnsi="Georgia" w:cs="Times New Roman"/>
            <w:color w:val="0833E8"/>
            <w:sz w:val="24"/>
            <w:szCs w:val="24"/>
            <w:lang w:val="en-US"/>
          </w:rPr>
          <w:t>here</w:t>
        </w:r>
      </w:hyperlink>
      <w:r w:rsidRPr="00155FC2">
        <w:rPr>
          <w:rFonts w:ascii="Georgia" w:eastAsia="Times New Roman" w:hAnsi="Georgia" w:cs="Times New Roman"/>
          <w:color w:val="FF0000"/>
          <w:sz w:val="24"/>
          <w:szCs w:val="24"/>
          <w:lang w:val="en-US"/>
        </w:rPr>
        <w:t>.]</w:t>
      </w:r>
    </w:p>
    <w:p w:rsidR="00155FC2" w:rsidRDefault="00155FC2" w:rsidP="00155FC2">
      <w:pPr>
        <w:spacing w:after="0" w:line="240" w:lineRule="auto"/>
        <w:rPr>
          <w:rFonts w:ascii="Georgia" w:eastAsia="Times New Roman" w:hAnsi="Georgia" w:cs="Times New Roman"/>
          <w:color w:val="3B5258"/>
          <w:sz w:val="24"/>
          <w:szCs w:val="24"/>
          <w:lang w:val="en-US"/>
        </w:rPr>
      </w:pPr>
    </w:p>
    <w:p w:rsidR="00155FC2" w:rsidRPr="00155FC2" w:rsidRDefault="00155FC2" w:rsidP="00155FC2">
      <w:pPr>
        <w:spacing w:after="0" w:line="240" w:lineRule="auto"/>
        <w:rPr>
          <w:rFonts w:ascii="Georgia" w:eastAsia="Times New Roman" w:hAnsi="Georgia" w:cs="Times New Roman"/>
          <w:color w:val="000000" w:themeColor="text1"/>
          <w:sz w:val="24"/>
          <w:szCs w:val="24"/>
          <w:lang w:val="en-US"/>
        </w:rPr>
      </w:pPr>
    </w:p>
    <w:p w:rsidR="00155FC2" w:rsidRPr="00155FC2" w:rsidRDefault="00155FC2" w:rsidP="00155FC2">
      <w:pPr>
        <w:spacing w:after="0" w:line="240" w:lineRule="auto"/>
        <w:rPr>
          <w:rFonts w:ascii="Georgia" w:eastAsia="Times New Roman" w:hAnsi="Georgia" w:cs="Times New Roman"/>
          <w:b/>
          <w:color w:val="000000" w:themeColor="text1"/>
          <w:sz w:val="26"/>
          <w:szCs w:val="26"/>
          <w:lang w:val="en-US"/>
        </w:rPr>
      </w:pPr>
      <w:r w:rsidRPr="00155FC2">
        <w:rPr>
          <w:rFonts w:ascii="Georgia" w:eastAsia="Times New Roman" w:hAnsi="Georgia" w:cs="Times New Roman"/>
          <w:b/>
          <w:color w:val="000000" w:themeColor="text1"/>
          <w:sz w:val="26"/>
          <w:szCs w:val="26"/>
          <w:lang w:val="en-US"/>
        </w:rPr>
        <w:t>Final Act </w:t>
      </w:r>
      <w:r w:rsidRPr="00155FC2">
        <w:rPr>
          <w:rFonts w:ascii="Georgia" w:eastAsia="Times New Roman" w:hAnsi="Georgia" w:cs="Times New Roman"/>
          <w:b/>
          <w:color w:val="000000" w:themeColor="text1"/>
          <w:sz w:val="26"/>
          <w:szCs w:val="26"/>
          <w:lang w:val="en-US"/>
        </w:rPr>
        <w:br/>
        <w:t>Annex I</w:t>
      </w:r>
    </w:p>
    <w:p w:rsidR="00155FC2" w:rsidRPr="00155FC2" w:rsidRDefault="00155FC2" w:rsidP="00155FC2">
      <w:pPr>
        <w:spacing w:after="0" w:line="240" w:lineRule="auto"/>
        <w:rPr>
          <w:rFonts w:ascii="Georgia" w:eastAsia="Times New Roman" w:hAnsi="Georgia" w:cs="Times New Roman"/>
          <w:color w:val="000000" w:themeColor="text1"/>
          <w:sz w:val="26"/>
          <w:szCs w:val="26"/>
          <w:lang w:val="en-US"/>
        </w:rPr>
      </w:pPr>
    </w:p>
    <w:p w:rsidR="00155FC2" w:rsidRPr="00155FC2" w:rsidRDefault="00155FC2" w:rsidP="00155FC2">
      <w:pPr>
        <w:spacing w:after="0" w:line="240" w:lineRule="auto"/>
        <w:jc w:val="center"/>
        <w:rPr>
          <w:rFonts w:ascii="Georgia" w:eastAsia="Times New Roman" w:hAnsi="Georgia" w:cs="Times New Roman"/>
          <w:b/>
          <w:color w:val="000000" w:themeColor="text1"/>
          <w:sz w:val="26"/>
          <w:szCs w:val="26"/>
          <w:lang w:val="en-US"/>
        </w:rPr>
      </w:pPr>
      <w:r w:rsidRPr="00155FC2">
        <w:rPr>
          <w:rFonts w:ascii="Georgia" w:eastAsia="Times New Roman" w:hAnsi="Georgia" w:cs="Times New Roman"/>
          <w:b/>
          <w:color w:val="000000" w:themeColor="text1"/>
          <w:sz w:val="26"/>
          <w:szCs w:val="26"/>
          <w:lang w:val="en-US"/>
        </w:rPr>
        <w:t>Convention on Wetlands of International Importance Especially as Waterfowl Habitat</w:t>
      </w:r>
    </w:p>
    <w:p w:rsidR="00155FC2" w:rsidRPr="00155FC2" w:rsidRDefault="00155FC2" w:rsidP="00155FC2">
      <w:pPr>
        <w:spacing w:after="0" w:line="240" w:lineRule="auto"/>
        <w:rPr>
          <w:rFonts w:ascii="Georgia" w:eastAsia="Times New Roman" w:hAnsi="Georgia" w:cs="Times New Roman"/>
          <w:color w:val="000000" w:themeColor="text1"/>
          <w:sz w:val="24"/>
          <w:szCs w:val="24"/>
          <w:lang w:val="en-US"/>
        </w:rPr>
      </w:pPr>
    </w:p>
    <w:p w:rsidR="00155FC2" w:rsidRPr="00155FC2" w:rsidRDefault="00155FC2" w:rsidP="00155FC2">
      <w:pPr>
        <w:spacing w:after="0" w:line="240" w:lineRule="auto"/>
        <w:rPr>
          <w:rFonts w:ascii="Georgia" w:eastAsia="Times New Roman" w:hAnsi="Georgia" w:cs="Times New Roman"/>
          <w:color w:val="000000" w:themeColor="text1"/>
          <w:sz w:val="24"/>
          <w:szCs w:val="24"/>
          <w:lang w:val="en-US"/>
        </w:rPr>
      </w:pPr>
    </w:p>
    <w:p w:rsidR="00155FC2" w:rsidRPr="00155FC2" w:rsidRDefault="00155FC2" w:rsidP="00155FC2">
      <w:pPr>
        <w:spacing w:after="0" w:line="240" w:lineRule="auto"/>
        <w:jc w:val="center"/>
        <w:rPr>
          <w:rFonts w:ascii="Georgia" w:eastAsia="Times New Roman" w:hAnsi="Georgia" w:cs="Times New Roman"/>
          <w:b/>
          <w:sz w:val="24"/>
          <w:szCs w:val="24"/>
          <w:lang w:val="en-US"/>
        </w:rPr>
      </w:pPr>
      <w:r w:rsidRPr="00155FC2">
        <w:rPr>
          <w:rFonts w:ascii="Georgia" w:eastAsia="Times New Roman" w:hAnsi="Georgia" w:cs="Times New Roman"/>
          <w:b/>
          <w:color w:val="000000" w:themeColor="text1"/>
          <w:sz w:val="24"/>
          <w:szCs w:val="24"/>
          <w:lang w:val="en-US"/>
        </w:rPr>
        <w:t>Final Text adopted by the International Conference on the Wetlands and Waterfowl</w:t>
      </w:r>
      <w:r w:rsidRPr="00155FC2">
        <w:rPr>
          <w:rFonts w:ascii="Georgia" w:eastAsia="Times New Roman" w:hAnsi="Georgia" w:cs="Times New Roman"/>
          <w:b/>
          <w:sz w:val="24"/>
          <w:szCs w:val="24"/>
          <w:lang w:val="en-US"/>
        </w:rPr>
        <w:br/>
        <w:t xml:space="preserve">at </w:t>
      </w:r>
      <w:proofErr w:type="spellStart"/>
      <w:r w:rsidRPr="00155FC2">
        <w:rPr>
          <w:rFonts w:ascii="Georgia" w:eastAsia="Times New Roman" w:hAnsi="Georgia" w:cs="Times New Roman"/>
          <w:b/>
          <w:sz w:val="24"/>
          <w:szCs w:val="24"/>
          <w:lang w:val="en-US"/>
        </w:rPr>
        <w:t>Ramsar</w:t>
      </w:r>
      <w:proofErr w:type="spellEnd"/>
      <w:r w:rsidRPr="00155FC2">
        <w:rPr>
          <w:rFonts w:ascii="Georgia" w:eastAsia="Times New Roman" w:hAnsi="Georgia" w:cs="Times New Roman"/>
          <w:b/>
          <w:sz w:val="24"/>
          <w:szCs w:val="24"/>
          <w:lang w:val="en-US"/>
        </w:rPr>
        <w:t>, Iran, 2 February 1971</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rPr>
          <w:rFonts w:ascii="Georgia" w:eastAsia="Times New Roman" w:hAnsi="Georgia" w:cs="Times New Roman"/>
          <w:sz w:val="24"/>
          <w:szCs w:val="24"/>
          <w:lang w:val="en-US"/>
        </w:rPr>
      </w:pPr>
      <w:r w:rsidRPr="00155FC2">
        <w:rPr>
          <w:rFonts w:ascii="Georgia" w:eastAsia="Times New Roman" w:hAnsi="Georgia" w:cs="Times New Roman"/>
          <w:sz w:val="24"/>
          <w:szCs w:val="24"/>
          <w:lang w:val="en-US"/>
        </w:rPr>
        <w:t>The Contracting Parties,</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rPr>
          <w:rFonts w:ascii="Georgia" w:eastAsia="Times New Roman" w:hAnsi="Georgia" w:cs="Times New Roman"/>
          <w:sz w:val="24"/>
          <w:szCs w:val="24"/>
          <w:lang w:val="en-US"/>
        </w:rPr>
      </w:pPr>
      <w:proofErr w:type="spellStart"/>
      <w:r w:rsidRPr="00155FC2">
        <w:rPr>
          <w:rFonts w:ascii="Georgia" w:eastAsia="Times New Roman" w:hAnsi="Georgia" w:cs="Times New Roman"/>
          <w:sz w:val="24"/>
          <w:szCs w:val="24"/>
          <w:lang w:val="en-US"/>
        </w:rPr>
        <w:t>Recognising</w:t>
      </w:r>
      <w:proofErr w:type="spellEnd"/>
      <w:r w:rsidRPr="00155FC2">
        <w:rPr>
          <w:rFonts w:ascii="Georgia" w:eastAsia="Times New Roman" w:hAnsi="Georgia" w:cs="Times New Roman"/>
          <w:sz w:val="24"/>
          <w:szCs w:val="24"/>
          <w:lang w:val="en-US"/>
        </w:rPr>
        <w:t xml:space="preserve"> the interdependence of man and his environment;</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rPr>
          <w:rFonts w:ascii="Georgia" w:eastAsia="Times New Roman" w:hAnsi="Georgia" w:cs="Times New Roman"/>
          <w:sz w:val="24"/>
          <w:szCs w:val="24"/>
          <w:lang w:val="en-US"/>
        </w:rPr>
      </w:pPr>
      <w:r w:rsidRPr="00155FC2">
        <w:rPr>
          <w:rFonts w:ascii="Georgia" w:eastAsia="Times New Roman" w:hAnsi="Georgia" w:cs="Times New Roman"/>
          <w:sz w:val="24"/>
          <w:szCs w:val="24"/>
          <w:lang w:val="en-US"/>
        </w:rPr>
        <w:t>Considering the fundamental ecological functions of wetlands as regulators of water regimes and as habitats supporting a characteristic flora and fauna, especially waterfowl;</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rPr>
          <w:rFonts w:ascii="Georgia" w:eastAsia="Times New Roman" w:hAnsi="Georgia" w:cs="Times New Roman"/>
          <w:sz w:val="24"/>
          <w:szCs w:val="24"/>
          <w:lang w:val="en-US"/>
        </w:rPr>
      </w:pPr>
      <w:r w:rsidRPr="00155FC2">
        <w:rPr>
          <w:rFonts w:ascii="Georgia" w:eastAsia="Times New Roman" w:hAnsi="Georgia" w:cs="Times New Roman"/>
          <w:sz w:val="24"/>
          <w:szCs w:val="24"/>
          <w:lang w:val="en-US"/>
        </w:rPr>
        <w:t>Being convinced that wetlands constitute a resource of great economic, cultural, scientific and recreational value, the loss of which would be irreparable;</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rPr>
          <w:rFonts w:ascii="Georgia" w:eastAsia="Times New Roman" w:hAnsi="Georgia" w:cs="Times New Roman"/>
          <w:sz w:val="24"/>
          <w:szCs w:val="24"/>
          <w:lang w:val="en-US"/>
        </w:rPr>
      </w:pPr>
      <w:r w:rsidRPr="00155FC2">
        <w:rPr>
          <w:rFonts w:ascii="Georgia" w:eastAsia="Times New Roman" w:hAnsi="Georgia" w:cs="Times New Roman"/>
          <w:sz w:val="24"/>
          <w:szCs w:val="24"/>
          <w:lang w:val="en-US"/>
        </w:rPr>
        <w:t>Desiring to stem the progressive encroachment on and loss of wetlands now and in the future;</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rPr>
          <w:rFonts w:ascii="Georgia" w:eastAsia="Times New Roman" w:hAnsi="Georgia" w:cs="Times New Roman"/>
          <w:sz w:val="24"/>
          <w:szCs w:val="24"/>
          <w:lang w:val="en-US"/>
        </w:rPr>
      </w:pPr>
      <w:proofErr w:type="spellStart"/>
      <w:r w:rsidRPr="00155FC2">
        <w:rPr>
          <w:rFonts w:ascii="Georgia" w:eastAsia="Times New Roman" w:hAnsi="Georgia" w:cs="Times New Roman"/>
          <w:sz w:val="24"/>
          <w:szCs w:val="24"/>
          <w:lang w:val="en-US"/>
        </w:rPr>
        <w:t>Recognising</w:t>
      </w:r>
      <w:proofErr w:type="spellEnd"/>
      <w:r w:rsidRPr="00155FC2">
        <w:rPr>
          <w:rFonts w:ascii="Georgia" w:eastAsia="Times New Roman" w:hAnsi="Georgia" w:cs="Times New Roman"/>
          <w:sz w:val="24"/>
          <w:szCs w:val="24"/>
          <w:lang w:val="en-US"/>
        </w:rPr>
        <w:t xml:space="preserve"> that waterfowl in their seasonal migrations may transcend frontiers and so should be regarded as an international resource;</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rPr>
          <w:rFonts w:ascii="Georgia" w:eastAsia="Times New Roman" w:hAnsi="Georgia" w:cs="Times New Roman"/>
          <w:sz w:val="24"/>
          <w:szCs w:val="24"/>
          <w:lang w:val="en-US"/>
        </w:rPr>
      </w:pPr>
      <w:r w:rsidRPr="00155FC2">
        <w:rPr>
          <w:rFonts w:ascii="Georgia" w:eastAsia="Times New Roman" w:hAnsi="Georgia" w:cs="Times New Roman"/>
          <w:sz w:val="24"/>
          <w:szCs w:val="24"/>
          <w:lang w:val="en-US"/>
        </w:rPr>
        <w:t xml:space="preserve">Being confident that the conservation of wetlands and their flora and fauna can be ensured by combining far-sighted national policies with </w:t>
      </w:r>
      <w:proofErr w:type="spellStart"/>
      <w:r w:rsidRPr="00155FC2">
        <w:rPr>
          <w:rFonts w:ascii="Georgia" w:eastAsia="Times New Roman" w:hAnsi="Georgia" w:cs="Times New Roman"/>
          <w:sz w:val="24"/>
          <w:szCs w:val="24"/>
          <w:lang w:val="en-US"/>
        </w:rPr>
        <w:t>co-ordinated</w:t>
      </w:r>
      <w:proofErr w:type="spellEnd"/>
      <w:r w:rsidRPr="00155FC2">
        <w:rPr>
          <w:rFonts w:ascii="Georgia" w:eastAsia="Times New Roman" w:hAnsi="Georgia" w:cs="Times New Roman"/>
          <w:sz w:val="24"/>
          <w:szCs w:val="24"/>
          <w:lang w:val="en-US"/>
        </w:rPr>
        <w:t xml:space="preserve"> international action;</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rPr>
          <w:rFonts w:ascii="Georgia" w:eastAsia="Times New Roman" w:hAnsi="Georgia" w:cs="Times New Roman"/>
          <w:sz w:val="24"/>
          <w:szCs w:val="24"/>
          <w:lang w:val="en-US"/>
        </w:rPr>
      </w:pPr>
      <w:r w:rsidRPr="00155FC2">
        <w:rPr>
          <w:rFonts w:ascii="Georgia" w:eastAsia="Times New Roman" w:hAnsi="Georgia" w:cs="Times New Roman"/>
          <w:sz w:val="24"/>
          <w:szCs w:val="24"/>
          <w:lang w:val="en-US"/>
        </w:rPr>
        <w:t>Have agreed as follows:</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ind w:left="120"/>
        <w:outlineLvl w:val="2"/>
        <w:rPr>
          <w:rFonts w:ascii="Georgia" w:eastAsia="Times New Roman" w:hAnsi="Georgia" w:cs="Times New Roman"/>
          <w:b/>
          <w:bCs/>
          <w:sz w:val="24"/>
          <w:szCs w:val="24"/>
          <w:lang w:val="en-US"/>
        </w:rPr>
      </w:pPr>
      <w:r w:rsidRPr="00155FC2">
        <w:rPr>
          <w:rFonts w:ascii="Georgia" w:eastAsia="Times New Roman" w:hAnsi="Georgia" w:cs="Times New Roman"/>
          <w:b/>
          <w:bCs/>
          <w:sz w:val="24"/>
          <w:szCs w:val="24"/>
          <w:lang w:val="en-US"/>
        </w:rPr>
        <w:t>Article 1</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rPr>
          <w:rFonts w:ascii="Georgia" w:eastAsia="Times New Roman" w:hAnsi="Georgia" w:cs="Times New Roman"/>
          <w:sz w:val="24"/>
          <w:szCs w:val="24"/>
          <w:lang w:val="en-US"/>
        </w:rPr>
      </w:pPr>
      <w:r w:rsidRPr="00155FC2">
        <w:rPr>
          <w:rFonts w:ascii="Georgia" w:eastAsia="Times New Roman" w:hAnsi="Georgia" w:cs="Times New Roman"/>
          <w:sz w:val="24"/>
          <w:szCs w:val="24"/>
          <w:lang w:val="en-US"/>
        </w:rPr>
        <w:t xml:space="preserve">1. For the purpose of this Convention wetlands are areas of marsh, fen, </w:t>
      </w:r>
      <w:proofErr w:type="spellStart"/>
      <w:r w:rsidRPr="00155FC2">
        <w:rPr>
          <w:rFonts w:ascii="Georgia" w:eastAsia="Times New Roman" w:hAnsi="Georgia" w:cs="Times New Roman"/>
          <w:sz w:val="24"/>
          <w:szCs w:val="24"/>
          <w:lang w:val="en-US"/>
        </w:rPr>
        <w:t>peatland</w:t>
      </w:r>
      <w:proofErr w:type="spellEnd"/>
      <w:r w:rsidRPr="00155FC2">
        <w:rPr>
          <w:rFonts w:ascii="Georgia" w:eastAsia="Times New Roman" w:hAnsi="Georgia" w:cs="Times New Roman"/>
          <w:sz w:val="24"/>
          <w:szCs w:val="24"/>
          <w:lang w:val="en-US"/>
        </w:rPr>
        <w:t xml:space="preserve"> or water, whether natural or artificial, permanent or temporary, with water that is static or flowing, fresh, brackish or salt, including areas of marine water the depth of which at low tide does not exceed six </w:t>
      </w:r>
      <w:proofErr w:type="spellStart"/>
      <w:r w:rsidRPr="00155FC2">
        <w:rPr>
          <w:rFonts w:ascii="Georgia" w:eastAsia="Times New Roman" w:hAnsi="Georgia" w:cs="Times New Roman"/>
          <w:sz w:val="24"/>
          <w:szCs w:val="24"/>
          <w:lang w:val="en-US"/>
        </w:rPr>
        <w:t>metres</w:t>
      </w:r>
      <w:proofErr w:type="spellEnd"/>
      <w:r w:rsidRPr="00155FC2">
        <w:rPr>
          <w:rFonts w:ascii="Georgia" w:eastAsia="Times New Roman" w:hAnsi="Georgia" w:cs="Times New Roman"/>
          <w:sz w:val="24"/>
          <w:szCs w:val="24"/>
          <w:lang w:val="en-US"/>
        </w:rPr>
        <w:t>.</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rPr>
          <w:rFonts w:ascii="Georgia" w:eastAsia="Times New Roman" w:hAnsi="Georgia" w:cs="Times New Roman"/>
          <w:sz w:val="24"/>
          <w:szCs w:val="24"/>
          <w:lang w:val="en-US"/>
        </w:rPr>
      </w:pPr>
      <w:r w:rsidRPr="00155FC2">
        <w:rPr>
          <w:rFonts w:ascii="Georgia" w:eastAsia="Times New Roman" w:hAnsi="Georgia" w:cs="Times New Roman"/>
          <w:sz w:val="24"/>
          <w:szCs w:val="24"/>
          <w:lang w:val="en-US"/>
        </w:rPr>
        <w:lastRenderedPageBreak/>
        <w:t>2. For the purpose of this Convention waterfowl are birds ecologically dependent on wetlands.</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ind w:left="120"/>
        <w:outlineLvl w:val="2"/>
        <w:rPr>
          <w:rFonts w:ascii="Georgia" w:eastAsia="Times New Roman" w:hAnsi="Georgia" w:cs="Times New Roman"/>
          <w:b/>
          <w:bCs/>
          <w:sz w:val="24"/>
          <w:szCs w:val="24"/>
          <w:lang w:val="en-US"/>
        </w:rPr>
      </w:pPr>
      <w:r w:rsidRPr="00155FC2">
        <w:rPr>
          <w:rFonts w:ascii="Georgia" w:eastAsia="Times New Roman" w:hAnsi="Georgia" w:cs="Times New Roman"/>
          <w:b/>
          <w:bCs/>
          <w:sz w:val="24"/>
          <w:szCs w:val="24"/>
          <w:lang w:val="en-US"/>
        </w:rPr>
        <w:t>Article 2</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rPr>
          <w:rFonts w:ascii="Georgia" w:eastAsia="Times New Roman" w:hAnsi="Georgia" w:cs="Times New Roman"/>
          <w:sz w:val="24"/>
          <w:szCs w:val="24"/>
          <w:lang w:val="en-US"/>
        </w:rPr>
      </w:pPr>
      <w:r w:rsidRPr="00155FC2">
        <w:rPr>
          <w:rFonts w:ascii="Georgia" w:eastAsia="Times New Roman" w:hAnsi="Georgia" w:cs="Times New Roman"/>
          <w:sz w:val="24"/>
          <w:szCs w:val="24"/>
          <w:lang w:val="en-US"/>
        </w:rPr>
        <w:t xml:space="preserve">1. Each Contracting Party shall designate suitable wetlands within its territory for inclusion in a List of Wetlands of International Importance, hereinafter referred to as "the List" which is maintained by the bureau established under Article 8. The boundaries of each wetland shall be precisely described and also delimited on a map and they may incorporate riparian and coastal zones adjacent to the wetlands, and islands or bodies of marine water deeper than six </w:t>
      </w:r>
      <w:proofErr w:type="spellStart"/>
      <w:r w:rsidRPr="00155FC2">
        <w:rPr>
          <w:rFonts w:ascii="Georgia" w:eastAsia="Times New Roman" w:hAnsi="Georgia" w:cs="Times New Roman"/>
          <w:sz w:val="24"/>
          <w:szCs w:val="24"/>
          <w:lang w:val="en-US"/>
        </w:rPr>
        <w:t>metres</w:t>
      </w:r>
      <w:proofErr w:type="spellEnd"/>
      <w:r w:rsidRPr="00155FC2">
        <w:rPr>
          <w:rFonts w:ascii="Georgia" w:eastAsia="Times New Roman" w:hAnsi="Georgia" w:cs="Times New Roman"/>
          <w:sz w:val="24"/>
          <w:szCs w:val="24"/>
          <w:lang w:val="en-US"/>
        </w:rPr>
        <w:t xml:space="preserve"> at low tide lying within the wetlands, especially where these have importance as waterfowl habitat.</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rPr>
          <w:rFonts w:ascii="Georgia" w:eastAsia="Times New Roman" w:hAnsi="Georgia" w:cs="Times New Roman"/>
          <w:sz w:val="24"/>
          <w:szCs w:val="24"/>
          <w:lang w:val="en-US"/>
        </w:rPr>
      </w:pPr>
      <w:r w:rsidRPr="00155FC2">
        <w:rPr>
          <w:rFonts w:ascii="Georgia" w:eastAsia="Times New Roman" w:hAnsi="Georgia" w:cs="Times New Roman"/>
          <w:sz w:val="24"/>
          <w:szCs w:val="24"/>
          <w:lang w:val="en-US"/>
        </w:rPr>
        <w:t>2. Wetlands should be selected for the List on account of their international significance in terms of ecology, botany, zoology, limnology or hydrology. In the first instance wetlands of international importance to waterfowl at any season should be included.</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rPr>
          <w:rFonts w:ascii="Georgia" w:eastAsia="Times New Roman" w:hAnsi="Georgia" w:cs="Times New Roman"/>
          <w:sz w:val="24"/>
          <w:szCs w:val="24"/>
          <w:lang w:val="en-US"/>
        </w:rPr>
      </w:pPr>
      <w:r w:rsidRPr="00155FC2">
        <w:rPr>
          <w:rFonts w:ascii="Georgia" w:eastAsia="Times New Roman" w:hAnsi="Georgia" w:cs="Times New Roman"/>
          <w:sz w:val="24"/>
          <w:szCs w:val="24"/>
          <w:lang w:val="en-US"/>
        </w:rPr>
        <w:t>3. The inclusion of a wetland in the List does not prejudice the exclusive sovereign rights of the Contracting Party in whose territory the wetland is situated.</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rPr>
          <w:rFonts w:ascii="Georgia" w:eastAsia="Times New Roman" w:hAnsi="Georgia" w:cs="Times New Roman"/>
          <w:sz w:val="24"/>
          <w:szCs w:val="24"/>
          <w:lang w:val="en-US"/>
        </w:rPr>
      </w:pPr>
      <w:r w:rsidRPr="00155FC2">
        <w:rPr>
          <w:rFonts w:ascii="Georgia" w:eastAsia="Times New Roman" w:hAnsi="Georgia" w:cs="Times New Roman"/>
          <w:sz w:val="24"/>
          <w:szCs w:val="24"/>
          <w:lang w:val="en-US"/>
        </w:rPr>
        <w:t>4. Each Contracting Party shall designate at least one wetland to be included in the List when signing this Convention or when depositing its instrument of ratification or accession, as provided in Article 9.</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rPr>
          <w:rFonts w:ascii="Georgia" w:eastAsia="Times New Roman" w:hAnsi="Georgia" w:cs="Times New Roman"/>
          <w:sz w:val="24"/>
          <w:szCs w:val="24"/>
          <w:lang w:val="en-US"/>
        </w:rPr>
      </w:pPr>
      <w:r w:rsidRPr="00155FC2">
        <w:rPr>
          <w:rFonts w:ascii="Georgia" w:eastAsia="Times New Roman" w:hAnsi="Georgia" w:cs="Times New Roman"/>
          <w:sz w:val="24"/>
          <w:szCs w:val="24"/>
          <w:lang w:val="en-US"/>
        </w:rPr>
        <w:t>5. Any Contracting Party shall have the right to add to the List further wetlands situated within its territory, to extend the boundaries of those wetlands already included by it in the List, or, because of its urgent national interests, to delete or restrict the boundaries of wetlands already included by it in the List and shall, at the earliest possible time, inform the organization or government responsible for the continuing bureau duties specified in Article 8 of any such changes.</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rPr>
          <w:rFonts w:ascii="Georgia" w:eastAsia="Times New Roman" w:hAnsi="Georgia" w:cs="Times New Roman"/>
          <w:sz w:val="24"/>
          <w:szCs w:val="24"/>
          <w:lang w:val="en-US"/>
        </w:rPr>
      </w:pPr>
      <w:r w:rsidRPr="00155FC2">
        <w:rPr>
          <w:rFonts w:ascii="Georgia" w:eastAsia="Times New Roman" w:hAnsi="Georgia" w:cs="Times New Roman"/>
          <w:sz w:val="24"/>
          <w:szCs w:val="24"/>
          <w:lang w:val="en-US"/>
        </w:rPr>
        <w:t>6. Each Contracting Party shall consider its international responsibilities for the conservation, management and wise use of migratory stocks of waterfowl, both when designating entries for the List and when exercising its right to change entries in the List relating to wetlands within its territory.</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ind w:left="120"/>
        <w:outlineLvl w:val="2"/>
        <w:rPr>
          <w:rFonts w:ascii="Georgia" w:eastAsia="Times New Roman" w:hAnsi="Georgia" w:cs="Times New Roman"/>
          <w:b/>
          <w:bCs/>
          <w:sz w:val="24"/>
          <w:szCs w:val="24"/>
          <w:lang w:val="en-US"/>
        </w:rPr>
      </w:pPr>
      <w:r w:rsidRPr="00155FC2">
        <w:rPr>
          <w:rFonts w:ascii="Georgia" w:eastAsia="Times New Roman" w:hAnsi="Georgia" w:cs="Times New Roman"/>
          <w:b/>
          <w:bCs/>
          <w:sz w:val="24"/>
          <w:szCs w:val="24"/>
          <w:lang w:val="en-US"/>
        </w:rPr>
        <w:t>Article 3</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rPr>
          <w:rFonts w:ascii="Georgia" w:eastAsia="Times New Roman" w:hAnsi="Georgia" w:cs="Times New Roman"/>
          <w:sz w:val="24"/>
          <w:szCs w:val="24"/>
          <w:lang w:val="en-US"/>
        </w:rPr>
      </w:pPr>
      <w:r w:rsidRPr="00155FC2">
        <w:rPr>
          <w:rFonts w:ascii="Georgia" w:eastAsia="Times New Roman" w:hAnsi="Georgia" w:cs="Times New Roman"/>
          <w:sz w:val="24"/>
          <w:szCs w:val="24"/>
          <w:lang w:val="en-US"/>
        </w:rPr>
        <w:t>1. The Contracting Parties shall formulate and implement their planning so as to promote the conservation of the wetlands included in the List, and as far as possible the wise use of wetlands in their territory.</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rPr>
          <w:rFonts w:ascii="Georgia" w:eastAsia="Times New Roman" w:hAnsi="Georgia" w:cs="Times New Roman"/>
          <w:sz w:val="24"/>
          <w:szCs w:val="24"/>
          <w:lang w:val="en-US"/>
        </w:rPr>
      </w:pPr>
      <w:r w:rsidRPr="00155FC2">
        <w:rPr>
          <w:rFonts w:ascii="Georgia" w:eastAsia="Times New Roman" w:hAnsi="Georgia" w:cs="Times New Roman"/>
          <w:sz w:val="24"/>
          <w:szCs w:val="24"/>
          <w:lang w:val="en-US"/>
        </w:rPr>
        <w:t>2. Each Contracting Party shall arrange to be informed at the earliest possible time if the ecological character of any wetland in its territory and included in the List has changed, is changing or is likely to change as the result of technological developments, pollution or other human interference. Information on such changes shall be passed without delay to the organization or government responsible for the continuing bureau duties specified in Article 8.</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ind w:left="120"/>
        <w:outlineLvl w:val="2"/>
        <w:rPr>
          <w:rFonts w:ascii="Georgia" w:eastAsia="Times New Roman" w:hAnsi="Georgia" w:cs="Times New Roman"/>
          <w:b/>
          <w:bCs/>
          <w:sz w:val="24"/>
          <w:szCs w:val="24"/>
          <w:lang w:val="en-US"/>
        </w:rPr>
      </w:pPr>
      <w:r w:rsidRPr="00155FC2">
        <w:rPr>
          <w:rFonts w:ascii="Georgia" w:eastAsia="Times New Roman" w:hAnsi="Georgia" w:cs="Times New Roman"/>
          <w:b/>
          <w:bCs/>
          <w:sz w:val="24"/>
          <w:szCs w:val="24"/>
          <w:lang w:val="en-US"/>
        </w:rPr>
        <w:t>Article 4</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rPr>
          <w:rFonts w:ascii="Georgia" w:eastAsia="Times New Roman" w:hAnsi="Georgia" w:cs="Times New Roman"/>
          <w:sz w:val="24"/>
          <w:szCs w:val="24"/>
          <w:lang w:val="en-US"/>
        </w:rPr>
      </w:pPr>
      <w:r w:rsidRPr="00155FC2">
        <w:rPr>
          <w:rFonts w:ascii="Georgia" w:eastAsia="Times New Roman" w:hAnsi="Georgia" w:cs="Times New Roman"/>
          <w:sz w:val="24"/>
          <w:szCs w:val="24"/>
          <w:lang w:val="en-US"/>
        </w:rPr>
        <w:t xml:space="preserve">1. Each Contracting Party shall promote the conservation of wetlands and waterfowl by establishing nature reserves on wetlands, whether they are included in the List or not, and provide adequately for their </w:t>
      </w:r>
      <w:proofErr w:type="spellStart"/>
      <w:r w:rsidRPr="00155FC2">
        <w:rPr>
          <w:rFonts w:ascii="Georgia" w:eastAsia="Times New Roman" w:hAnsi="Georgia" w:cs="Times New Roman"/>
          <w:sz w:val="24"/>
          <w:szCs w:val="24"/>
          <w:lang w:val="en-US"/>
        </w:rPr>
        <w:t>wardening</w:t>
      </w:r>
      <w:proofErr w:type="spellEnd"/>
      <w:r w:rsidRPr="00155FC2">
        <w:rPr>
          <w:rFonts w:ascii="Georgia" w:eastAsia="Times New Roman" w:hAnsi="Georgia" w:cs="Times New Roman"/>
          <w:sz w:val="24"/>
          <w:szCs w:val="24"/>
          <w:lang w:val="en-US"/>
        </w:rPr>
        <w:t>.</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rPr>
          <w:rFonts w:ascii="Georgia" w:eastAsia="Times New Roman" w:hAnsi="Georgia" w:cs="Times New Roman"/>
          <w:sz w:val="24"/>
          <w:szCs w:val="24"/>
          <w:lang w:val="en-US"/>
        </w:rPr>
      </w:pPr>
      <w:r w:rsidRPr="00155FC2">
        <w:rPr>
          <w:rFonts w:ascii="Georgia" w:eastAsia="Times New Roman" w:hAnsi="Georgia" w:cs="Times New Roman"/>
          <w:sz w:val="24"/>
          <w:szCs w:val="24"/>
          <w:lang w:val="en-US"/>
        </w:rPr>
        <w:t>2. Where a Contracting Party in its urgent national interest, deletes or restricts the boundaries of a wetland included in the List, it should as far as possible compensate for any loss of wetland resources, and in particular it should create additional nature reserves for waterfowl and for the protection, either in the same area or elsewhere, of an adequate portion of the original habitat.</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rPr>
          <w:rFonts w:ascii="Georgia" w:eastAsia="Times New Roman" w:hAnsi="Georgia" w:cs="Times New Roman"/>
          <w:sz w:val="24"/>
          <w:szCs w:val="24"/>
          <w:lang w:val="en-US"/>
        </w:rPr>
      </w:pPr>
      <w:r w:rsidRPr="00155FC2">
        <w:rPr>
          <w:rFonts w:ascii="Georgia" w:eastAsia="Times New Roman" w:hAnsi="Georgia" w:cs="Times New Roman"/>
          <w:sz w:val="24"/>
          <w:szCs w:val="24"/>
          <w:lang w:val="en-US"/>
        </w:rPr>
        <w:t>3. The Contracting Parties shall encourage research and the exchange of data and publications regarding wetlands and their flora and fauna.</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rPr>
          <w:rFonts w:ascii="Georgia" w:eastAsia="Times New Roman" w:hAnsi="Georgia" w:cs="Times New Roman"/>
          <w:sz w:val="24"/>
          <w:szCs w:val="24"/>
          <w:lang w:val="en-US"/>
        </w:rPr>
      </w:pPr>
      <w:r w:rsidRPr="00155FC2">
        <w:rPr>
          <w:rFonts w:ascii="Georgia" w:eastAsia="Times New Roman" w:hAnsi="Georgia" w:cs="Times New Roman"/>
          <w:sz w:val="24"/>
          <w:szCs w:val="24"/>
          <w:lang w:val="en-US"/>
        </w:rPr>
        <w:t xml:space="preserve">4. The Contracting Parties shall </w:t>
      </w:r>
      <w:proofErr w:type="spellStart"/>
      <w:r w:rsidRPr="00155FC2">
        <w:rPr>
          <w:rFonts w:ascii="Georgia" w:eastAsia="Times New Roman" w:hAnsi="Georgia" w:cs="Times New Roman"/>
          <w:sz w:val="24"/>
          <w:szCs w:val="24"/>
          <w:lang w:val="en-US"/>
        </w:rPr>
        <w:t>endeavour</w:t>
      </w:r>
      <w:proofErr w:type="spellEnd"/>
      <w:r w:rsidRPr="00155FC2">
        <w:rPr>
          <w:rFonts w:ascii="Georgia" w:eastAsia="Times New Roman" w:hAnsi="Georgia" w:cs="Times New Roman"/>
          <w:sz w:val="24"/>
          <w:szCs w:val="24"/>
          <w:lang w:val="en-US"/>
        </w:rPr>
        <w:t xml:space="preserve"> through management to increase waterfowl populations on appropriate wetlands.</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rPr>
          <w:rFonts w:ascii="Georgia" w:eastAsia="Times New Roman" w:hAnsi="Georgia" w:cs="Times New Roman"/>
          <w:sz w:val="24"/>
          <w:szCs w:val="24"/>
          <w:lang w:val="en-US"/>
        </w:rPr>
      </w:pPr>
      <w:r w:rsidRPr="00155FC2">
        <w:rPr>
          <w:rFonts w:ascii="Georgia" w:eastAsia="Times New Roman" w:hAnsi="Georgia" w:cs="Times New Roman"/>
          <w:sz w:val="24"/>
          <w:szCs w:val="24"/>
          <w:lang w:val="en-US"/>
        </w:rPr>
        <w:t xml:space="preserve">5. The Contracting Parties shall promote the training of personnel competent in the fields of wetland research, management and </w:t>
      </w:r>
      <w:proofErr w:type="spellStart"/>
      <w:r w:rsidRPr="00155FC2">
        <w:rPr>
          <w:rFonts w:ascii="Georgia" w:eastAsia="Times New Roman" w:hAnsi="Georgia" w:cs="Times New Roman"/>
          <w:sz w:val="24"/>
          <w:szCs w:val="24"/>
          <w:lang w:val="en-US"/>
        </w:rPr>
        <w:t>wardening</w:t>
      </w:r>
      <w:proofErr w:type="spellEnd"/>
      <w:r w:rsidRPr="00155FC2">
        <w:rPr>
          <w:rFonts w:ascii="Georgia" w:eastAsia="Times New Roman" w:hAnsi="Georgia" w:cs="Times New Roman"/>
          <w:sz w:val="24"/>
          <w:szCs w:val="24"/>
          <w:lang w:val="en-US"/>
        </w:rPr>
        <w:t>.</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ind w:left="120"/>
        <w:outlineLvl w:val="2"/>
        <w:rPr>
          <w:rFonts w:ascii="Georgia" w:eastAsia="Times New Roman" w:hAnsi="Georgia" w:cs="Times New Roman"/>
          <w:b/>
          <w:bCs/>
          <w:sz w:val="24"/>
          <w:szCs w:val="24"/>
          <w:lang w:val="en-US"/>
        </w:rPr>
      </w:pPr>
      <w:r w:rsidRPr="00155FC2">
        <w:rPr>
          <w:rFonts w:ascii="Georgia" w:eastAsia="Times New Roman" w:hAnsi="Georgia" w:cs="Times New Roman"/>
          <w:b/>
          <w:bCs/>
          <w:sz w:val="24"/>
          <w:szCs w:val="24"/>
          <w:lang w:val="en-US"/>
        </w:rPr>
        <w:t>Article 5</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rPr>
          <w:rFonts w:ascii="Georgia" w:eastAsia="Times New Roman" w:hAnsi="Georgia" w:cs="Times New Roman"/>
          <w:sz w:val="24"/>
          <w:szCs w:val="24"/>
          <w:lang w:val="en-US"/>
        </w:rPr>
      </w:pPr>
      <w:r w:rsidRPr="00155FC2">
        <w:rPr>
          <w:rFonts w:ascii="Georgia" w:eastAsia="Times New Roman" w:hAnsi="Georgia" w:cs="Times New Roman"/>
          <w:sz w:val="24"/>
          <w:szCs w:val="24"/>
          <w:lang w:val="en-US"/>
        </w:rPr>
        <w:t>1. The Contracting Parties shall consult with each other about implementing obligations arising from this Convention especially in the case of a wetland extending over the territories of more than one Contracting Party or where a water system is shared by Contracting Parties.</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rPr>
          <w:rFonts w:ascii="Georgia" w:eastAsia="Times New Roman" w:hAnsi="Georgia" w:cs="Times New Roman"/>
          <w:sz w:val="24"/>
          <w:szCs w:val="24"/>
          <w:lang w:val="en-US"/>
        </w:rPr>
      </w:pPr>
      <w:r w:rsidRPr="00155FC2">
        <w:rPr>
          <w:rFonts w:ascii="Georgia" w:eastAsia="Times New Roman" w:hAnsi="Georgia" w:cs="Times New Roman"/>
          <w:sz w:val="24"/>
          <w:szCs w:val="24"/>
          <w:lang w:val="en-US"/>
        </w:rPr>
        <w:t xml:space="preserve">2. They shall at the same time </w:t>
      </w:r>
      <w:proofErr w:type="spellStart"/>
      <w:r w:rsidRPr="00155FC2">
        <w:rPr>
          <w:rFonts w:ascii="Georgia" w:eastAsia="Times New Roman" w:hAnsi="Georgia" w:cs="Times New Roman"/>
          <w:sz w:val="24"/>
          <w:szCs w:val="24"/>
          <w:lang w:val="en-US"/>
        </w:rPr>
        <w:t>endeavour</w:t>
      </w:r>
      <w:proofErr w:type="spellEnd"/>
      <w:r w:rsidRPr="00155FC2">
        <w:rPr>
          <w:rFonts w:ascii="Georgia" w:eastAsia="Times New Roman" w:hAnsi="Georgia" w:cs="Times New Roman"/>
          <w:sz w:val="24"/>
          <w:szCs w:val="24"/>
          <w:lang w:val="en-US"/>
        </w:rPr>
        <w:t xml:space="preserve"> to co-ordinate and support present and future policies and regulations concerning the conservation of wetlands and their flora and fauna.</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ind w:left="120"/>
        <w:outlineLvl w:val="2"/>
        <w:rPr>
          <w:rFonts w:ascii="Georgia" w:eastAsia="Times New Roman" w:hAnsi="Georgia" w:cs="Times New Roman"/>
          <w:b/>
          <w:bCs/>
          <w:sz w:val="24"/>
          <w:szCs w:val="24"/>
          <w:lang w:val="en-US"/>
        </w:rPr>
      </w:pPr>
      <w:r w:rsidRPr="00155FC2">
        <w:rPr>
          <w:rFonts w:ascii="Georgia" w:eastAsia="Times New Roman" w:hAnsi="Georgia" w:cs="Times New Roman"/>
          <w:b/>
          <w:bCs/>
          <w:sz w:val="24"/>
          <w:szCs w:val="24"/>
          <w:lang w:val="en-US"/>
        </w:rPr>
        <w:t>Article 6</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rPr>
          <w:rFonts w:ascii="Georgia" w:eastAsia="Times New Roman" w:hAnsi="Georgia" w:cs="Times New Roman"/>
          <w:sz w:val="24"/>
          <w:szCs w:val="24"/>
          <w:lang w:val="en-US"/>
        </w:rPr>
      </w:pPr>
      <w:r w:rsidRPr="00155FC2">
        <w:rPr>
          <w:rFonts w:ascii="Georgia" w:eastAsia="Times New Roman" w:hAnsi="Georgia" w:cs="Times New Roman"/>
          <w:sz w:val="24"/>
          <w:szCs w:val="24"/>
          <w:lang w:val="en-US"/>
        </w:rPr>
        <w:t>1. The Contracting Parties shall, as the necessity arises, convene Conferences on the Conservation of Wetlands and Waterfowl.</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Default="00155FC2" w:rsidP="00155FC2">
      <w:pPr>
        <w:spacing w:after="0" w:line="240" w:lineRule="auto"/>
        <w:rPr>
          <w:rFonts w:ascii="Georgia" w:eastAsia="Times New Roman" w:hAnsi="Georgia" w:cs="Times New Roman"/>
          <w:sz w:val="24"/>
          <w:szCs w:val="24"/>
          <w:lang w:val="en-US"/>
        </w:rPr>
      </w:pPr>
      <w:r w:rsidRPr="00155FC2">
        <w:rPr>
          <w:rFonts w:ascii="Georgia" w:eastAsia="Times New Roman" w:hAnsi="Georgia" w:cs="Times New Roman"/>
          <w:sz w:val="24"/>
          <w:szCs w:val="24"/>
          <w:lang w:val="en-US"/>
        </w:rPr>
        <w:t>2. These Conferences shall have an advisory character and shall be competent inter alia:</w:t>
      </w:r>
    </w:p>
    <w:p w:rsidR="00894A94" w:rsidRPr="00155FC2" w:rsidRDefault="00894A94"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ind w:left="426"/>
        <w:rPr>
          <w:rFonts w:ascii="Georgia" w:eastAsia="Times New Roman" w:hAnsi="Georgia" w:cs="Times New Roman"/>
          <w:sz w:val="24"/>
          <w:szCs w:val="24"/>
          <w:lang w:val="en-US"/>
        </w:rPr>
      </w:pPr>
      <w:r w:rsidRPr="00155FC2">
        <w:rPr>
          <w:rFonts w:ascii="Georgia" w:eastAsia="Times New Roman" w:hAnsi="Georgia" w:cs="Times New Roman"/>
          <w:sz w:val="24"/>
          <w:szCs w:val="24"/>
          <w:lang w:val="en-US"/>
        </w:rPr>
        <w:t>a) to discuss the implementation of this Convention;</w:t>
      </w:r>
      <w:r w:rsidRPr="00155FC2">
        <w:rPr>
          <w:rFonts w:ascii="Georgia" w:eastAsia="Times New Roman" w:hAnsi="Georgia" w:cs="Times New Roman"/>
          <w:sz w:val="24"/>
          <w:szCs w:val="24"/>
          <w:lang w:val="en-US"/>
        </w:rPr>
        <w:br/>
        <w:t>b) to discuss additions to and changes in the List;</w:t>
      </w:r>
      <w:r w:rsidRPr="00155FC2">
        <w:rPr>
          <w:rFonts w:ascii="Georgia" w:eastAsia="Times New Roman" w:hAnsi="Georgia" w:cs="Times New Roman"/>
          <w:sz w:val="24"/>
          <w:szCs w:val="24"/>
          <w:lang w:val="en-US"/>
        </w:rPr>
        <w:br/>
        <w:t>c) to consider information regarding changes in the ecological character of wetlands included in the List provided in accordance with Paragraph 2 of Article 3;</w:t>
      </w:r>
      <w:r w:rsidRPr="00155FC2">
        <w:rPr>
          <w:rFonts w:ascii="Georgia" w:eastAsia="Times New Roman" w:hAnsi="Georgia" w:cs="Times New Roman"/>
          <w:sz w:val="24"/>
          <w:szCs w:val="24"/>
          <w:lang w:val="en-US"/>
        </w:rPr>
        <w:br/>
        <w:t>d) to make general or specific recommendations to the Contracting Parties regarding the conservation, management and wise use of wetlands and their flora and fauna;</w:t>
      </w:r>
      <w:r w:rsidRPr="00155FC2">
        <w:rPr>
          <w:rFonts w:ascii="Georgia" w:eastAsia="Times New Roman" w:hAnsi="Georgia" w:cs="Times New Roman"/>
          <w:sz w:val="24"/>
          <w:szCs w:val="24"/>
          <w:lang w:val="en-US"/>
        </w:rPr>
        <w:br/>
        <w:t>e) to request relevant international bodies to prepare reports and statistics on matters which are essentially international in character affecting wetlands.</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rPr>
          <w:rFonts w:ascii="Georgia" w:eastAsia="Times New Roman" w:hAnsi="Georgia" w:cs="Times New Roman"/>
          <w:sz w:val="24"/>
          <w:szCs w:val="24"/>
          <w:lang w:val="en-US"/>
        </w:rPr>
      </w:pPr>
      <w:r w:rsidRPr="00155FC2">
        <w:rPr>
          <w:rFonts w:ascii="Georgia" w:eastAsia="Times New Roman" w:hAnsi="Georgia" w:cs="Times New Roman"/>
          <w:sz w:val="24"/>
          <w:szCs w:val="24"/>
          <w:lang w:val="en-US"/>
        </w:rPr>
        <w:lastRenderedPageBreak/>
        <w:t>3. The Contracting Parties shall ensure that those responsible at all levels for wetlands management shall be informed of, and take into consideration, recommendations of such Conferences concerning the conservation, management and wise use of wetlands and their flora and fauna.</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ind w:left="120"/>
        <w:outlineLvl w:val="2"/>
        <w:rPr>
          <w:rFonts w:ascii="Georgia" w:eastAsia="Times New Roman" w:hAnsi="Georgia" w:cs="Times New Roman"/>
          <w:b/>
          <w:bCs/>
          <w:sz w:val="24"/>
          <w:szCs w:val="24"/>
          <w:lang w:val="en-US"/>
        </w:rPr>
      </w:pPr>
      <w:r w:rsidRPr="00155FC2">
        <w:rPr>
          <w:rFonts w:ascii="Georgia" w:eastAsia="Times New Roman" w:hAnsi="Georgia" w:cs="Times New Roman"/>
          <w:b/>
          <w:bCs/>
          <w:sz w:val="24"/>
          <w:szCs w:val="24"/>
          <w:lang w:val="en-US"/>
        </w:rPr>
        <w:t>Article 7</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rPr>
          <w:rFonts w:ascii="Georgia" w:eastAsia="Times New Roman" w:hAnsi="Georgia" w:cs="Times New Roman"/>
          <w:sz w:val="24"/>
          <w:szCs w:val="24"/>
          <w:lang w:val="en-US"/>
        </w:rPr>
      </w:pPr>
      <w:r w:rsidRPr="00155FC2">
        <w:rPr>
          <w:rFonts w:ascii="Georgia" w:eastAsia="Times New Roman" w:hAnsi="Georgia" w:cs="Times New Roman"/>
          <w:sz w:val="24"/>
          <w:szCs w:val="24"/>
          <w:lang w:val="en-US"/>
        </w:rPr>
        <w:t>1. The representatives of the Contracting Parties at such Conferences should include persons who are experts on wetlands or waterfowl by reason of knowledge and experience gained in scientific, administrative or other appropriate capacities.</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rPr>
          <w:rFonts w:ascii="Georgia" w:eastAsia="Times New Roman" w:hAnsi="Georgia" w:cs="Times New Roman"/>
          <w:sz w:val="24"/>
          <w:szCs w:val="24"/>
          <w:lang w:val="en-US"/>
        </w:rPr>
      </w:pPr>
      <w:r w:rsidRPr="00155FC2">
        <w:rPr>
          <w:rFonts w:ascii="Georgia" w:eastAsia="Times New Roman" w:hAnsi="Georgia" w:cs="Times New Roman"/>
          <w:sz w:val="24"/>
          <w:szCs w:val="24"/>
          <w:lang w:val="en-US"/>
        </w:rPr>
        <w:t>2. Each of the Contracting Parties represented at a Conference shall have one vote, recommendations being adopted by a simple majority of the votes cast, provided that not less than half the Contracting Parties cast votes.</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ind w:left="120"/>
        <w:outlineLvl w:val="2"/>
        <w:rPr>
          <w:rFonts w:ascii="Georgia" w:eastAsia="Times New Roman" w:hAnsi="Georgia" w:cs="Times New Roman"/>
          <w:b/>
          <w:bCs/>
          <w:sz w:val="24"/>
          <w:szCs w:val="24"/>
          <w:lang w:val="en-US"/>
        </w:rPr>
      </w:pPr>
      <w:r w:rsidRPr="00155FC2">
        <w:rPr>
          <w:rFonts w:ascii="Georgia" w:eastAsia="Times New Roman" w:hAnsi="Georgia" w:cs="Times New Roman"/>
          <w:b/>
          <w:bCs/>
          <w:sz w:val="24"/>
          <w:szCs w:val="24"/>
          <w:lang w:val="en-US"/>
        </w:rPr>
        <w:t>Article 8</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rPr>
          <w:rFonts w:ascii="Georgia" w:eastAsia="Times New Roman" w:hAnsi="Georgia" w:cs="Times New Roman"/>
          <w:sz w:val="24"/>
          <w:szCs w:val="24"/>
          <w:lang w:val="en-US"/>
        </w:rPr>
      </w:pPr>
      <w:r w:rsidRPr="00155FC2">
        <w:rPr>
          <w:rFonts w:ascii="Georgia" w:eastAsia="Times New Roman" w:hAnsi="Georgia" w:cs="Times New Roman"/>
          <w:sz w:val="24"/>
          <w:szCs w:val="24"/>
          <w:lang w:val="en-US"/>
        </w:rPr>
        <w:t xml:space="preserve">1. The International Union for the Conservation of Nature and Natural Resources shall perform the continuing bureau duties under this Convention until such time as another </w:t>
      </w:r>
      <w:proofErr w:type="spellStart"/>
      <w:r w:rsidRPr="00155FC2">
        <w:rPr>
          <w:rFonts w:ascii="Georgia" w:eastAsia="Times New Roman" w:hAnsi="Georgia" w:cs="Times New Roman"/>
          <w:sz w:val="24"/>
          <w:szCs w:val="24"/>
          <w:lang w:val="en-US"/>
        </w:rPr>
        <w:t>organisation</w:t>
      </w:r>
      <w:proofErr w:type="spellEnd"/>
      <w:r w:rsidRPr="00155FC2">
        <w:rPr>
          <w:rFonts w:ascii="Georgia" w:eastAsia="Times New Roman" w:hAnsi="Georgia" w:cs="Times New Roman"/>
          <w:sz w:val="24"/>
          <w:szCs w:val="24"/>
          <w:lang w:val="en-US"/>
        </w:rPr>
        <w:t xml:space="preserve"> or government is appointed by a majority of two-thirds of all Contracting Parties.</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Default="00155FC2" w:rsidP="00155FC2">
      <w:pPr>
        <w:spacing w:after="0" w:line="240" w:lineRule="auto"/>
        <w:rPr>
          <w:rFonts w:ascii="Georgia" w:eastAsia="Times New Roman" w:hAnsi="Georgia" w:cs="Times New Roman"/>
          <w:sz w:val="24"/>
          <w:szCs w:val="24"/>
          <w:lang w:val="en-US"/>
        </w:rPr>
      </w:pPr>
      <w:r w:rsidRPr="00155FC2">
        <w:rPr>
          <w:rFonts w:ascii="Georgia" w:eastAsia="Times New Roman" w:hAnsi="Georgia" w:cs="Times New Roman"/>
          <w:sz w:val="24"/>
          <w:szCs w:val="24"/>
          <w:lang w:val="en-US"/>
        </w:rPr>
        <w:t>2. The continuing bureau duties shall be, inter alia:</w:t>
      </w:r>
    </w:p>
    <w:p w:rsidR="00894A94" w:rsidRPr="00155FC2" w:rsidRDefault="00894A94" w:rsidP="00155FC2">
      <w:pPr>
        <w:spacing w:after="0" w:line="240" w:lineRule="auto"/>
        <w:rPr>
          <w:rFonts w:ascii="Georgia" w:eastAsia="Times New Roman" w:hAnsi="Georgia" w:cs="Times New Roman"/>
          <w:sz w:val="24"/>
          <w:szCs w:val="24"/>
          <w:lang w:val="en-US"/>
        </w:rPr>
      </w:pPr>
    </w:p>
    <w:p w:rsidR="00155FC2" w:rsidRPr="00155FC2" w:rsidRDefault="00155FC2" w:rsidP="00894A94">
      <w:pPr>
        <w:spacing w:after="0" w:line="240" w:lineRule="auto"/>
        <w:ind w:left="426"/>
        <w:rPr>
          <w:rFonts w:ascii="Georgia" w:eastAsia="Times New Roman" w:hAnsi="Georgia" w:cs="Times New Roman"/>
          <w:sz w:val="24"/>
          <w:szCs w:val="24"/>
          <w:lang w:val="en-US"/>
        </w:rPr>
      </w:pPr>
      <w:r w:rsidRPr="00155FC2">
        <w:rPr>
          <w:rFonts w:ascii="Georgia" w:eastAsia="Times New Roman" w:hAnsi="Georgia" w:cs="Times New Roman"/>
          <w:sz w:val="24"/>
          <w:szCs w:val="24"/>
          <w:lang w:val="en-US"/>
        </w:rPr>
        <w:t>a) to assist in the convening and organizing of Conferences specified in Article 6;</w:t>
      </w:r>
      <w:r w:rsidRPr="00155FC2">
        <w:rPr>
          <w:rFonts w:ascii="Georgia" w:eastAsia="Times New Roman" w:hAnsi="Georgia" w:cs="Times New Roman"/>
          <w:sz w:val="24"/>
          <w:szCs w:val="24"/>
          <w:lang w:val="en-US"/>
        </w:rPr>
        <w:br/>
        <w:t>b) to maintain the List of Wetlands of International Importance and to be informed by the Contracting Parties of any additions, extensions, deletions or restrictions concerning wetlands included in the List provided in accordance with Paragraph 5 of Article 2;</w:t>
      </w:r>
      <w:r w:rsidRPr="00155FC2">
        <w:rPr>
          <w:rFonts w:ascii="Georgia" w:eastAsia="Times New Roman" w:hAnsi="Georgia" w:cs="Times New Roman"/>
          <w:sz w:val="24"/>
          <w:szCs w:val="24"/>
          <w:lang w:val="en-US"/>
        </w:rPr>
        <w:br/>
        <w:t>c) to be informed by the Contracting Parties of any changes in the ecological character of wetlands included in the List provided in accordance with Paragraph 2 of Article 3;</w:t>
      </w:r>
      <w:r w:rsidRPr="00155FC2">
        <w:rPr>
          <w:rFonts w:ascii="Georgia" w:eastAsia="Times New Roman" w:hAnsi="Georgia" w:cs="Times New Roman"/>
          <w:sz w:val="24"/>
          <w:szCs w:val="24"/>
          <w:lang w:val="en-US"/>
        </w:rPr>
        <w:br/>
        <w:t>d) to forward notification of any alterations to the List, or changes in character of wetlands included therein, to all Contracting Parties and to arrange for these matters to be discussed at the next Conference;</w:t>
      </w:r>
      <w:r w:rsidRPr="00155FC2">
        <w:rPr>
          <w:rFonts w:ascii="Georgia" w:eastAsia="Times New Roman" w:hAnsi="Georgia" w:cs="Times New Roman"/>
          <w:sz w:val="24"/>
          <w:szCs w:val="24"/>
          <w:lang w:val="en-US"/>
        </w:rPr>
        <w:br/>
        <w:t>e) to make known to the Contracting Party concerned, the recommendations of the Conferences in respect of such alterations to the List or of changes in the character of wetlands included therein.</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ind w:left="120"/>
        <w:outlineLvl w:val="2"/>
        <w:rPr>
          <w:rFonts w:ascii="Georgia" w:eastAsia="Times New Roman" w:hAnsi="Georgia" w:cs="Times New Roman"/>
          <w:b/>
          <w:bCs/>
          <w:sz w:val="24"/>
          <w:szCs w:val="24"/>
          <w:lang w:val="en-US"/>
        </w:rPr>
      </w:pPr>
      <w:r w:rsidRPr="00155FC2">
        <w:rPr>
          <w:rFonts w:ascii="Georgia" w:eastAsia="Times New Roman" w:hAnsi="Georgia" w:cs="Times New Roman"/>
          <w:b/>
          <w:bCs/>
          <w:sz w:val="24"/>
          <w:szCs w:val="24"/>
          <w:lang w:val="en-US"/>
        </w:rPr>
        <w:t>Article 9</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rPr>
          <w:rFonts w:ascii="Georgia" w:eastAsia="Times New Roman" w:hAnsi="Georgia" w:cs="Times New Roman"/>
          <w:sz w:val="24"/>
          <w:szCs w:val="24"/>
          <w:lang w:val="en-US"/>
        </w:rPr>
      </w:pPr>
      <w:r w:rsidRPr="00155FC2">
        <w:rPr>
          <w:rFonts w:ascii="Georgia" w:eastAsia="Times New Roman" w:hAnsi="Georgia" w:cs="Times New Roman"/>
          <w:sz w:val="24"/>
          <w:szCs w:val="24"/>
          <w:lang w:val="en-US"/>
        </w:rPr>
        <w:t>1. This Convention shall remain open for signature indefinitely.</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Default="00155FC2" w:rsidP="00155FC2">
      <w:pPr>
        <w:spacing w:after="0" w:line="240" w:lineRule="auto"/>
        <w:rPr>
          <w:rFonts w:ascii="Georgia" w:eastAsia="Times New Roman" w:hAnsi="Georgia" w:cs="Times New Roman"/>
          <w:sz w:val="24"/>
          <w:szCs w:val="24"/>
          <w:lang w:val="en-US"/>
        </w:rPr>
      </w:pPr>
      <w:r w:rsidRPr="00155FC2">
        <w:rPr>
          <w:rFonts w:ascii="Georgia" w:eastAsia="Times New Roman" w:hAnsi="Georgia" w:cs="Times New Roman"/>
          <w:sz w:val="24"/>
          <w:szCs w:val="24"/>
          <w:lang w:val="en-US"/>
        </w:rPr>
        <w:t>2. Any member of the United Nations or of one of the Specialized Agencies or of the International Atomic Energy Agency or Party to the Statute of the International Court of Justice may become a party to this Convention by:</w:t>
      </w:r>
    </w:p>
    <w:p w:rsidR="00894A94" w:rsidRPr="00155FC2" w:rsidRDefault="00894A94"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rPr>
          <w:rFonts w:ascii="Georgia" w:eastAsia="Times New Roman" w:hAnsi="Georgia" w:cs="Times New Roman"/>
          <w:sz w:val="24"/>
          <w:szCs w:val="24"/>
          <w:lang w:val="en-US"/>
        </w:rPr>
      </w:pPr>
      <w:proofErr w:type="gramStart"/>
      <w:r w:rsidRPr="00155FC2">
        <w:rPr>
          <w:rFonts w:ascii="Georgia" w:eastAsia="Times New Roman" w:hAnsi="Georgia" w:cs="Times New Roman"/>
          <w:sz w:val="24"/>
          <w:szCs w:val="24"/>
          <w:lang w:val="en-US"/>
        </w:rPr>
        <w:t>a</w:t>
      </w:r>
      <w:proofErr w:type="gramEnd"/>
      <w:r w:rsidRPr="00155FC2">
        <w:rPr>
          <w:rFonts w:ascii="Georgia" w:eastAsia="Times New Roman" w:hAnsi="Georgia" w:cs="Times New Roman"/>
          <w:sz w:val="24"/>
          <w:szCs w:val="24"/>
          <w:lang w:val="en-US"/>
        </w:rPr>
        <w:t>) signature without reservation as to ratification;</w:t>
      </w:r>
      <w:r w:rsidRPr="00155FC2">
        <w:rPr>
          <w:rFonts w:ascii="Georgia" w:eastAsia="Times New Roman" w:hAnsi="Georgia" w:cs="Times New Roman"/>
          <w:sz w:val="24"/>
          <w:szCs w:val="24"/>
          <w:lang w:val="en-US"/>
        </w:rPr>
        <w:br/>
        <w:t>b) signature subject to ratification followed by ratification;</w:t>
      </w:r>
      <w:r w:rsidRPr="00155FC2">
        <w:rPr>
          <w:rFonts w:ascii="Georgia" w:eastAsia="Times New Roman" w:hAnsi="Georgia" w:cs="Times New Roman"/>
          <w:sz w:val="24"/>
          <w:szCs w:val="24"/>
          <w:lang w:val="en-US"/>
        </w:rPr>
        <w:br/>
        <w:t>c) accession</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rPr>
          <w:rFonts w:ascii="Georgia" w:eastAsia="Times New Roman" w:hAnsi="Georgia" w:cs="Times New Roman"/>
          <w:sz w:val="24"/>
          <w:szCs w:val="24"/>
          <w:lang w:val="en-US"/>
        </w:rPr>
      </w:pPr>
      <w:r w:rsidRPr="00155FC2">
        <w:rPr>
          <w:rFonts w:ascii="Georgia" w:eastAsia="Times New Roman" w:hAnsi="Georgia" w:cs="Times New Roman"/>
          <w:sz w:val="24"/>
          <w:szCs w:val="24"/>
          <w:lang w:val="en-US"/>
        </w:rPr>
        <w:lastRenderedPageBreak/>
        <w:t>3. Ratification or accession shall be effected by the deposit of an instrument of ratification or accession with the Director General of the United Nations Educational, Scientific and Cultural Organization, (hereinafter referred to as "the Depository").</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ind w:left="120"/>
        <w:outlineLvl w:val="2"/>
        <w:rPr>
          <w:rFonts w:ascii="Georgia" w:eastAsia="Times New Roman" w:hAnsi="Georgia" w:cs="Times New Roman"/>
          <w:b/>
          <w:bCs/>
          <w:sz w:val="24"/>
          <w:szCs w:val="24"/>
          <w:lang w:val="en-US"/>
        </w:rPr>
      </w:pPr>
      <w:r w:rsidRPr="00155FC2">
        <w:rPr>
          <w:rFonts w:ascii="Georgia" w:eastAsia="Times New Roman" w:hAnsi="Georgia" w:cs="Times New Roman"/>
          <w:b/>
          <w:bCs/>
          <w:sz w:val="24"/>
          <w:szCs w:val="24"/>
          <w:lang w:val="en-US"/>
        </w:rPr>
        <w:t>Article 10</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rPr>
          <w:rFonts w:ascii="Georgia" w:eastAsia="Times New Roman" w:hAnsi="Georgia" w:cs="Times New Roman"/>
          <w:sz w:val="24"/>
          <w:szCs w:val="24"/>
          <w:lang w:val="en-US"/>
        </w:rPr>
      </w:pPr>
      <w:r w:rsidRPr="00155FC2">
        <w:rPr>
          <w:rFonts w:ascii="Georgia" w:eastAsia="Times New Roman" w:hAnsi="Georgia" w:cs="Times New Roman"/>
          <w:sz w:val="24"/>
          <w:szCs w:val="24"/>
          <w:lang w:val="en-US"/>
        </w:rPr>
        <w:t>1. This Convention shall enter into force four months after seven States have become Parties to this Convention in accordance with Paragraph 2 of Article 9.</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rPr>
          <w:rFonts w:ascii="Georgia" w:eastAsia="Times New Roman" w:hAnsi="Georgia" w:cs="Times New Roman"/>
          <w:sz w:val="24"/>
          <w:szCs w:val="24"/>
          <w:lang w:val="en-US"/>
        </w:rPr>
      </w:pPr>
      <w:r w:rsidRPr="00155FC2">
        <w:rPr>
          <w:rFonts w:ascii="Georgia" w:eastAsia="Times New Roman" w:hAnsi="Georgia" w:cs="Times New Roman"/>
          <w:sz w:val="24"/>
          <w:szCs w:val="24"/>
          <w:lang w:val="en-US"/>
        </w:rPr>
        <w:t>2. Thereafter this Convention shall enter into force for each Contracting Party four months after the day of its signature without reservation as to ratification, or its deposit of an instrument of ratification or accession.</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ind w:left="120"/>
        <w:outlineLvl w:val="2"/>
        <w:rPr>
          <w:rFonts w:ascii="Georgia" w:eastAsia="Times New Roman" w:hAnsi="Georgia" w:cs="Times New Roman"/>
          <w:b/>
          <w:bCs/>
          <w:sz w:val="24"/>
          <w:szCs w:val="24"/>
          <w:lang w:val="en-US"/>
        </w:rPr>
      </w:pPr>
      <w:r w:rsidRPr="00155FC2">
        <w:rPr>
          <w:rFonts w:ascii="Georgia" w:eastAsia="Times New Roman" w:hAnsi="Georgia" w:cs="Times New Roman"/>
          <w:b/>
          <w:bCs/>
          <w:sz w:val="24"/>
          <w:szCs w:val="24"/>
          <w:lang w:val="en-US"/>
        </w:rPr>
        <w:t>Article 11</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rPr>
          <w:rFonts w:ascii="Georgia" w:eastAsia="Times New Roman" w:hAnsi="Georgia" w:cs="Times New Roman"/>
          <w:sz w:val="24"/>
          <w:szCs w:val="24"/>
          <w:lang w:val="en-US"/>
        </w:rPr>
      </w:pPr>
      <w:r w:rsidRPr="00155FC2">
        <w:rPr>
          <w:rFonts w:ascii="Georgia" w:eastAsia="Times New Roman" w:hAnsi="Georgia" w:cs="Times New Roman"/>
          <w:sz w:val="24"/>
          <w:szCs w:val="24"/>
          <w:lang w:val="en-US"/>
        </w:rPr>
        <w:t>1. This Convention shall continue in force for an indefinite period.</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rPr>
          <w:rFonts w:ascii="Georgia" w:eastAsia="Times New Roman" w:hAnsi="Georgia" w:cs="Times New Roman"/>
          <w:sz w:val="24"/>
          <w:szCs w:val="24"/>
          <w:lang w:val="en-US"/>
        </w:rPr>
      </w:pPr>
      <w:r w:rsidRPr="00155FC2">
        <w:rPr>
          <w:rFonts w:ascii="Georgia" w:eastAsia="Times New Roman" w:hAnsi="Georgia" w:cs="Times New Roman"/>
          <w:sz w:val="24"/>
          <w:szCs w:val="24"/>
          <w:lang w:val="en-US"/>
        </w:rPr>
        <w:t>2. Any Contracting Party may denounce this Convention after a period of five years from the date on which it entered into force for that Party by giving written notice thereof to the Depository. Denunciation shall take effect four months after the day on which notice thereof is received by the Depository.</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ind w:left="120"/>
        <w:outlineLvl w:val="2"/>
        <w:rPr>
          <w:rFonts w:ascii="Georgia" w:eastAsia="Times New Roman" w:hAnsi="Georgia" w:cs="Times New Roman"/>
          <w:b/>
          <w:bCs/>
          <w:sz w:val="24"/>
          <w:szCs w:val="24"/>
          <w:lang w:val="en-US"/>
        </w:rPr>
      </w:pPr>
      <w:r w:rsidRPr="00155FC2">
        <w:rPr>
          <w:rFonts w:ascii="Georgia" w:eastAsia="Times New Roman" w:hAnsi="Georgia" w:cs="Times New Roman"/>
          <w:b/>
          <w:bCs/>
          <w:sz w:val="24"/>
          <w:szCs w:val="24"/>
          <w:lang w:val="en-US"/>
        </w:rPr>
        <w:t>Article 12</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Default="00155FC2" w:rsidP="00155FC2">
      <w:pPr>
        <w:spacing w:after="0" w:line="240" w:lineRule="auto"/>
        <w:rPr>
          <w:rFonts w:ascii="Georgia" w:eastAsia="Times New Roman" w:hAnsi="Georgia" w:cs="Times New Roman"/>
          <w:sz w:val="24"/>
          <w:szCs w:val="24"/>
          <w:lang w:val="en-US"/>
        </w:rPr>
      </w:pPr>
      <w:r w:rsidRPr="00155FC2">
        <w:rPr>
          <w:rFonts w:ascii="Georgia" w:eastAsia="Times New Roman" w:hAnsi="Georgia" w:cs="Times New Roman"/>
          <w:sz w:val="24"/>
          <w:szCs w:val="24"/>
          <w:lang w:val="en-US"/>
        </w:rPr>
        <w:t>1. The Depository shall inform all States that have signed and acceded to this Convention as soon as possible of:</w:t>
      </w:r>
    </w:p>
    <w:p w:rsidR="00894A94" w:rsidRPr="00155FC2" w:rsidRDefault="00894A94" w:rsidP="00155FC2">
      <w:pPr>
        <w:spacing w:after="0" w:line="240" w:lineRule="auto"/>
        <w:rPr>
          <w:rFonts w:ascii="Georgia" w:eastAsia="Times New Roman" w:hAnsi="Georgia" w:cs="Times New Roman"/>
          <w:sz w:val="24"/>
          <w:szCs w:val="24"/>
          <w:lang w:val="en-US"/>
        </w:rPr>
      </w:pPr>
    </w:p>
    <w:p w:rsidR="00155FC2" w:rsidRPr="00155FC2" w:rsidRDefault="00155FC2" w:rsidP="00894A94">
      <w:pPr>
        <w:spacing w:after="0" w:line="240" w:lineRule="auto"/>
        <w:ind w:left="426"/>
        <w:rPr>
          <w:rFonts w:ascii="Georgia" w:eastAsia="Times New Roman" w:hAnsi="Georgia" w:cs="Times New Roman"/>
          <w:sz w:val="24"/>
          <w:szCs w:val="24"/>
          <w:lang w:val="en-US"/>
        </w:rPr>
      </w:pPr>
      <w:r w:rsidRPr="00155FC2">
        <w:rPr>
          <w:rFonts w:ascii="Georgia" w:eastAsia="Times New Roman" w:hAnsi="Georgia" w:cs="Times New Roman"/>
          <w:sz w:val="24"/>
          <w:szCs w:val="24"/>
          <w:lang w:val="en-US"/>
        </w:rPr>
        <w:t>a) signatures to this Convention;</w:t>
      </w:r>
      <w:r w:rsidRPr="00155FC2">
        <w:rPr>
          <w:rFonts w:ascii="Georgia" w:eastAsia="Times New Roman" w:hAnsi="Georgia" w:cs="Times New Roman"/>
          <w:sz w:val="24"/>
          <w:szCs w:val="24"/>
          <w:lang w:val="en-US"/>
        </w:rPr>
        <w:br/>
        <w:t>b) deposits of instruments of ratification of this Convention;</w:t>
      </w:r>
      <w:r w:rsidRPr="00155FC2">
        <w:rPr>
          <w:rFonts w:ascii="Georgia" w:eastAsia="Times New Roman" w:hAnsi="Georgia" w:cs="Times New Roman"/>
          <w:sz w:val="24"/>
          <w:szCs w:val="24"/>
          <w:lang w:val="en-US"/>
        </w:rPr>
        <w:br/>
        <w:t>c) deposits of instruments of accession to this Convention;</w:t>
      </w:r>
      <w:r w:rsidRPr="00155FC2">
        <w:rPr>
          <w:rFonts w:ascii="Georgia" w:eastAsia="Times New Roman" w:hAnsi="Georgia" w:cs="Times New Roman"/>
          <w:sz w:val="24"/>
          <w:szCs w:val="24"/>
          <w:lang w:val="en-US"/>
        </w:rPr>
        <w:br/>
        <w:t>d) the date of entry into force of this Convention;</w:t>
      </w:r>
      <w:r w:rsidRPr="00155FC2">
        <w:rPr>
          <w:rFonts w:ascii="Georgia" w:eastAsia="Times New Roman" w:hAnsi="Georgia" w:cs="Times New Roman"/>
          <w:sz w:val="24"/>
          <w:szCs w:val="24"/>
          <w:lang w:val="en-US"/>
        </w:rPr>
        <w:br/>
        <w:t>e) notifications of denunciation of this Convention.</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rPr>
          <w:rFonts w:ascii="Georgia" w:eastAsia="Times New Roman" w:hAnsi="Georgia" w:cs="Times New Roman"/>
          <w:sz w:val="24"/>
          <w:szCs w:val="24"/>
          <w:lang w:val="en-US"/>
        </w:rPr>
      </w:pPr>
      <w:r w:rsidRPr="00155FC2">
        <w:rPr>
          <w:rFonts w:ascii="Georgia" w:eastAsia="Times New Roman" w:hAnsi="Georgia" w:cs="Times New Roman"/>
          <w:sz w:val="24"/>
          <w:szCs w:val="24"/>
          <w:lang w:val="en-US"/>
        </w:rPr>
        <w:t>2. When this Convention has entered into force, the Depository shall have it registered with the Secretariat of the United Nations in accordance with Article 102 of the Charter.</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rPr>
          <w:rFonts w:ascii="Georgia" w:eastAsia="Times New Roman" w:hAnsi="Georgia" w:cs="Times New Roman"/>
          <w:sz w:val="24"/>
          <w:szCs w:val="24"/>
          <w:lang w:val="en-US"/>
        </w:rPr>
      </w:pPr>
      <w:r w:rsidRPr="00155FC2">
        <w:rPr>
          <w:rFonts w:ascii="Georgia" w:eastAsia="Times New Roman" w:hAnsi="Georgia" w:cs="Times New Roman"/>
          <w:sz w:val="24"/>
          <w:szCs w:val="24"/>
          <w:lang w:val="en-US"/>
        </w:rPr>
        <w:t>IN WITNESS WHEREOF, the undersigned, being duly authorized to that effect, have signed this Convention.</w:t>
      </w:r>
    </w:p>
    <w:p w:rsidR="00155FC2" w:rsidRPr="00155FC2" w:rsidRDefault="00155FC2" w:rsidP="00155FC2">
      <w:pPr>
        <w:spacing w:after="0" w:line="240" w:lineRule="auto"/>
        <w:rPr>
          <w:rFonts w:ascii="Georgia" w:eastAsia="Times New Roman" w:hAnsi="Georgia" w:cs="Times New Roman"/>
          <w:sz w:val="24"/>
          <w:szCs w:val="24"/>
          <w:lang w:val="en-US"/>
        </w:rPr>
      </w:pPr>
    </w:p>
    <w:p w:rsidR="00155FC2" w:rsidRPr="00155FC2" w:rsidRDefault="00155FC2" w:rsidP="00155FC2">
      <w:pPr>
        <w:spacing w:after="0" w:line="240" w:lineRule="auto"/>
        <w:rPr>
          <w:rFonts w:ascii="Georgia" w:eastAsia="Times New Roman" w:hAnsi="Georgia" w:cs="Times New Roman"/>
          <w:sz w:val="24"/>
          <w:szCs w:val="24"/>
          <w:lang w:val="en-US"/>
        </w:rPr>
      </w:pPr>
      <w:r w:rsidRPr="00155FC2">
        <w:rPr>
          <w:rFonts w:ascii="Georgia" w:eastAsia="Times New Roman" w:hAnsi="Georgia" w:cs="Times New Roman"/>
          <w:sz w:val="24"/>
          <w:szCs w:val="24"/>
          <w:lang w:val="en-US"/>
        </w:rPr>
        <w:t xml:space="preserve">DONE at ………. this ………. day of ………. 19…. in a single original in the English, French, German and Russian languages, in any case of </w:t>
      </w:r>
      <w:proofErr w:type="spellStart"/>
      <w:r w:rsidRPr="00155FC2">
        <w:rPr>
          <w:rFonts w:ascii="Georgia" w:eastAsia="Times New Roman" w:hAnsi="Georgia" w:cs="Times New Roman"/>
          <w:sz w:val="24"/>
          <w:szCs w:val="24"/>
          <w:lang w:val="en-US"/>
        </w:rPr>
        <w:t>divergency</w:t>
      </w:r>
      <w:proofErr w:type="spellEnd"/>
      <w:r w:rsidRPr="00155FC2">
        <w:rPr>
          <w:rFonts w:ascii="Georgia" w:eastAsia="Times New Roman" w:hAnsi="Georgia" w:cs="Times New Roman"/>
          <w:sz w:val="24"/>
          <w:szCs w:val="24"/>
          <w:lang w:val="en-US"/>
        </w:rPr>
        <w:t xml:space="preserve"> the English text prevailing, which shall be deposited with the Depository which shall send true copies thereof to all Contracting Parties.</w:t>
      </w:r>
    </w:p>
    <w:p w:rsidR="000525F8" w:rsidRPr="00155FC2" w:rsidRDefault="000525F8" w:rsidP="000525F8">
      <w:pPr>
        <w:spacing w:after="0" w:line="240" w:lineRule="auto"/>
        <w:rPr>
          <w:rFonts w:ascii="Georgia" w:eastAsia="Times New Roman" w:hAnsi="Georgia" w:cs="Times New Roman"/>
          <w:sz w:val="24"/>
          <w:szCs w:val="24"/>
          <w:lang w:val="en-US"/>
        </w:rPr>
      </w:pPr>
    </w:p>
    <w:sectPr w:rsidR="000525F8" w:rsidRPr="00155FC2" w:rsidSect="00155FC2">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B04D2"/>
    <w:multiLevelType w:val="multilevel"/>
    <w:tmpl w:val="CE9CE1DC"/>
    <w:numStyleLink w:val="RAMhead1"/>
  </w:abstractNum>
  <w:abstractNum w:abstractNumId="1">
    <w:nsid w:val="3F2D56EA"/>
    <w:multiLevelType w:val="multilevel"/>
    <w:tmpl w:val="CE9CE1DC"/>
    <w:styleLink w:val="RAMhead1"/>
    <w:lvl w:ilvl="0">
      <w:start w:val="1"/>
      <w:numFmt w:val="decimal"/>
      <w:pStyle w:val="RAMheading1"/>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1621" w:allStyles="1" w:customStyles="0" w:latentStyles="0" w:stylesInUse="0" w:headingStyles="1" w:numberingStyles="0" w:tableStyles="0" w:directFormattingOnRuns="0" w:directFormattingOnParagraphs="1" w:directFormattingOnNumbering="1" w:directFormattingOnTables="0" w:clearFormatting="1" w:top3HeadingStyles="0" w:visibleStyles="0" w:alternateStyleNames="0"/>
  <w:defaultTabStop w:val="720"/>
  <w:drawingGridHorizontalSpacing w:val="110"/>
  <w:displayHorizontalDrawingGridEvery w:val="2"/>
  <w:characterSpacingControl w:val="doNotCompress"/>
  <w:compat>
    <w:compatSetting w:name="compatibilityMode" w:uri="http://schemas.microsoft.com/office/word" w:val="12"/>
  </w:compat>
  <w:rsids>
    <w:rsidRoot w:val="00155FC2"/>
    <w:rsid w:val="000525F8"/>
    <w:rsid w:val="001000D8"/>
    <w:rsid w:val="00155FC2"/>
    <w:rsid w:val="001C3AE0"/>
    <w:rsid w:val="00214DD4"/>
    <w:rsid w:val="0023008D"/>
    <w:rsid w:val="00321D24"/>
    <w:rsid w:val="006D564A"/>
    <w:rsid w:val="00751868"/>
    <w:rsid w:val="00894A94"/>
    <w:rsid w:val="008B6D4F"/>
    <w:rsid w:val="008F229E"/>
    <w:rsid w:val="009953CD"/>
    <w:rsid w:val="00AE7601"/>
    <w:rsid w:val="00CC1A3B"/>
    <w:rsid w:val="00CD162D"/>
    <w:rsid w:val="00D60592"/>
    <w:rsid w:val="00E30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601"/>
    <w:rPr>
      <w:lang w:val="en-GB"/>
    </w:rPr>
  </w:style>
  <w:style w:type="paragraph" w:styleId="Heading1">
    <w:name w:val="heading 1"/>
    <w:basedOn w:val="Normal"/>
    <w:next w:val="Normal"/>
    <w:link w:val="Heading1Char"/>
    <w:uiPriority w:val="9"/>
    <w:qFormat/>
    <w:rsid w:val="001000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55FC2"/>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RAMhead1">
    <w:name w:val="RAM head 1"/>
    <w:uiPriority w:val="99"/>
    <w:rsid w:val="0023008D"/>
    <w:pPr>
      <w:numPr>
        <w:numId w:val="1"/>
      </w:numPr>
    </w:pPr>
  </w:style>
  <w:style w:type="paragraph" w:customStyle="1" w:styleId="RAMheading1">
    <w:name w:val="RAM heading 1"/>
    <w:basedOn w:val="ListParagraph"/>
    <w:autoRedefine/>
    <w:qFormat/>
    <w:rsid w:val="0023008D"/>
    <w:pPr>
      <w:numPr>
        <w:numId w:val="3"/>
      </w:numPr>
      <w:spacing w:before="240" w:after="240" w:line="240" w:lineRule="auto"/>
    </w:pPr>
    <w:rPr>
      <w:b/>
      <w:lang w:val="is-IS"/>
    </w:rPr>
  </w:style>
  <w:style w:type="paragraph" w:styleId="ListParagraph">
    <w:name w:val="List Paragraph"/>
    <w:basedOn w:val="Normal"/>
    <w:uiPriority w:val="34"/>
    <w:qFormat/>
    <w:rsid w:val="0023008D"/>
    <w:pPr>
      <w:ind w:left="720"/>
      <w:contextualSpacing/>
    </w:pPr>
  </w:style>
  <w:style w:type="paragraph" w:customStyle="1" w:styleId="RAMitalicsubhead">
    <w:name w:val="RAM italic sub head"/>
    <w:basedOn w:val="Normal"/>
    <w:autoRedefine/>
    <w:qFormat/>
    <w:rsid w:val="0023008D"/>
    <w:pPr>
      <w:spacing w:after="240" w:line="240" w:lineRule="auto"/>
    </w:pPr>
    <w:rPr>
      <w:i/>
    </w:rPr>
  </w:style>
  <w:style w:type="character" w:customStyle="1" w:styleId="Heading2Char">
    <w:name w:val="Heading 2 Char"/>
    <w:basedOn w:val="DefaultParagraphFont"/>
    <w:link w:val="Heading2"/>
    <w:uiPriority w:val="9"/>
    <w:rsid w:val="00155FC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55FC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155FC2"/>
  </w:style>
  <w:style w:type="character" w:styleId="Hyperlink">
    <w:name w:val="Hyperlink"/>
    <w:basedOn w:val="DefaultParagraphFont"/>
    <w:uiPriority w:val="99"/>
    <w:semiHidden/>
    <w:unhideWhenUsed/>
    <w:rsid w:val="00155FC2"/>
    <w:rPr>
      <w:color w:val="0000FF"/>
      <w:u w:val="single"/>
    </w:rPr>
  </w:style>
  <w:style w:type="character" w:customStyle="1" w:styleId="Heading1Char">
    <w:name w:val="Heading 1 Char"/>
    <w:basedOn w:val="DefaultParagraphFont"/>
    <w:link w:val="Heading1"/>
    <w:uiPriority w:val="9"/>
    <w:rsid w:val="001000D8"/>
    <w:rPr>
      <w:rFonts w:asciiTheme="majorHAnsi" w:eastAsiaTheme="majorEastAsia" w:hAnsiTheme="majorHAnsi" w:cstheme="majorBidi"/>
      <w:b/>
      <w:bCs/>
      <w:color w:val="365F91" w:themeColor="accent1" w:themeShade="BF"/>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9">
      <w:bodyDiv w:val="1"/>
      <w:marLeft w:val="0"/>
      <w:marRight w:val="0"/>
      <w:marTop w:val="0"/>
      <w:marBottom w:val="0"/>
      <w:divBdr>
        <w:top w:val="none" w:sz="0" w:space="0" w:color="auto"/>
        <w:left w:val="none" w:sz="0" w:space="0" w:color="auto"/>
        <w:bottom w:val="none" w:sz="0" w:space="0" w:color="auto"/>
        <w:right w:val="none" w:sz="0" w:space="0" w:color="auto"/>
      </w:divBdr>
      <w:divsChild>
        <w:div w:id="20959341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855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36971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459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70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msar.org/document/the-convention-on-wetlands-text-as-amended-in-1982-and-198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1706</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Ramsar\JenningsE</dc:creator>
  <cp:lastModifiedBy>Ramsar\PowellR</cp:lastModifiedBy>
  <cp:revision>6</cp:revision>
  <dcterms:created xsi:type="dcterms:W3CDTF">2014-11-21T16:53:00Z</dcterms:created>
  <dcterms:modified xsi:type="dcterms:W3CDTF">2015-10-16T11:21:00Z</dcterms:modified>
</cp:coreProperties>
</file>