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1B448" w14:textId="7CA4C79D" w:rsidR="004D599C" w:rsidRPr="00233985" w:rsidRDefault="004D599C" w:rsidP="0023398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pacing w:after="0" w:line="240" w:lineRule="auto"/>
        <w:ind w:right="2362"/>
        <w:rPr>
          <w:rFonts w:asciiTheme="majorHAnsi" w:hAnsiTheme="majorHAnsi" w:cstheme="minorHAnsi"/>
          <w:bCs/>
          <w:sz w:val="24"/>
          <w:szCs w:val="24"/>
          <w:lang w:val="fr-CH"/>
        </w:rPr>
      </w:pPr>
      <w:bookmarkStart w:id="0" w:name="_GoBack"/>
      <w:bookmarkEnd w:id="0"/>
      <w:r w:rsidRPr="00233985">
        <w:rPr>
          <w:rFonts w:asciiTheme="majorHAnsi" w:hAnsiTheme="majorHAnsi" w:cstheme="minorHAnsi"/>
          <w:bCs/>
          <w:sz w:val="24"/>
          <w:szCs w:val="24"/>
          <w:lang w:val="fr-CH"/>
        </w:rPr>
        <w:t xml:space="preserve">CONVENTION SUR LES ZONES HUMIDES (Ramsar, Iran, </w:t>
      </w:r>
      <w:r w:rsidR="00233985" w:rsidRPr="00233985">
        <w:rPr>
          <w:rFonts w:asciiTheme="majorHAnsi" w:hAnsiTheme="majorHAnsi" w:cstheme="minorHAnsi"/>
          <w:bCs/>
          <w:sz w:val="24"/>
          <w:szCs w:val="24"/>
          <w:lang w:val="fr-CH"/>
        </w:rPr>
        <w:t>1971</w:t>
      </w:r>
      <w:r w:rsidRPr="00233985">
        <w:rPr>
          <w:rFonts w:asciiTheme="majorHAnsi" w:hAnsiTheme="majorHAnsi" w:cstheme="minorHAnsi"/>
          <w:bCs/>
          <w:sz w:val="24"/>
          <w:szCs w:val="24"/>
          <w:lang w:val="fr-CH"/>
        </w:rPr>
        <w:t>)</w:t>
      </w:r>
    </w:p>
    <w:p w14:paraId="7E86B9BC" w14:textId="11906327" w:rsidR="00233985" w:rsidRPr="00233985" w:rsidRDefault="00233985" w:rsidP="0023398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pacing w:after="0" w:line="240" w:lineRule="auto"/>
        <w:ind w:right="2362"/>
        <w:rPr>
          <w:rFonts w:asciiTheme="majorHAnsi" w:hAnsiTheme="majorHAnsi" w:cstheme="minorHAnsi"/>
          <w:bCs/>
          <w:sz w:val="24"/>
          <w:szCs w:val="24"/>
          <w:lang w:val="fr-CH"/>
        </w:rPr>
      </w:pPr>
      <w:r w:rsidRPr="00233985">
        <w:rPr>
          <w:rFonts w:asciiTheme="majorHAnsi" w:hAnsiTheme="majorHAnsi" w:cstheme="minorHAnsi"/>
          <w:bCs/>
          <w:sz w:val="24"/>
          <w:szCs w:val="24"/>
          <w:lang w:val="fr-CH"/>
        </w:rPr>
        <w:t>53</w:t>
      </w:r>
      <w:r w:rsidRPr="00233985">
        <w:rPr>
          <w:rFonts w:asciiTheme="majorHAnsi" w:hAnsiTheme="majorHAnsi" w:cstheme="minorHAnsi"/>
          <w:bCs/>
          <w:sz w:val="24"/>
          <w:szCs w:val="24"/>
          <w:vertAlign w:val="superscript"/>
          <w:lang w:val="fr-CH"/>
        </w:rPr>
        <w:t>e</w:t>
      </w:r>
      <w:r w:rsidRPr="00233985">
        <w:rPr>
          <w:rFonts w:asciiTheme="majorHAnsi" w:hAnsiTheme="majorHAnsi" w:cstheme="minorHAnsi"/>
          <w:bCs/>
          <w:sz w:val="24"/>
          <w:szCs w:val="24"/>
          <w:lang w:val="fr-CH"/>
        </w:rPr>
        <w:t xml:space="preserve"> Réunion du Comité permanent</w:t>
      </w:r>
    </w:p>
    <w:p w14:paraId="33D9BF35" w14:textId="1F9FF035" w:rsidR="00233985" w:rsidRPr="00233985" w:rsidRDefault="00233985" w:rsidP="0023398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pacing w:after="0" w:line="240" w:lineRule="auto"/>
        <w:ind w:right="2362"/>
        <w:rPr>
          <w:rFonts w:asciiTheme="majorHAnsi" w:hAnsiTheme="majorHAnsi" w:cstheme="minorHAnsi"/>
          <w:bCs/>
          <w:sz w:val="24"/>
          <w:szCs w:val="24"/>
          <w:lang w:val="fr-CH"/>
        </w:rPr>
      </w:pPr>
      <w:r w:rsidRPr="00233985">
        <w:rPr>
          <w:rFonts w:asciiTheme="majorHAnsi" w:hAnsiTheme="majorHAnsi" w:cstheme="minorHAnsi"/>
          <w:bCs/>
          <w:sz w:val="24"/>
          <w:szCs w:val="24"/>
          <w:lang w:val="fr-CH"/>
        </w:rPr>
        <w:t xml:space="preserve">Gland, Suisse, 29 mai </w:t>
      </w:r>
      <w:r>
        <w:rPr>
          <w:rFonts w:asciiTheme="majorHAnsi" w:hAnsiTheme="majorHAnsi" w:cstheme="minorHAnsi"/>
          <w:bCs/>
          <w:sz w:val="24"/>
          <w:szCs w:val="24"/>
          <w:lang w:val="fr-CH"/>
        </w:rPr>
        <w:t>au</w:t>
      </w:r>
      <w:r w:rsidRPr="00233985">
        <w:rPr>
          <w:rFonts w:asciiTheme="majorHAnsi" w:hAnsiTheme="majorHAnsi" w:cstheme="minorHAnsi"/>
          <w:bCs/>
          <w:sz w:val="24"/>
          <w:szCs w:val="24"/>
          <w:lang w:val="fr-CH"/>
        </w:rPr>
        <w:t xml:space="preserve"> 2 juin 2017</w:t>
      </w:r>
    </w:p>
    <w:p w14:paraId="1BE22624" w14:textId="77777777" w:rsidR="006B7B77" w:rsidRPr="004D599C" w:rsidRDefault="006B7B77" w:rsidP="006B7B77">
      <w:pPr>
        <w:spacing w:after="0" w:line="240" w:lineRule="auto"/>
        <w:contextualSpacing/>
        <w:rPr>
          <w:rFonts w:asciiTheme="majorHAnsi" w:hAnsiTheme="majorHAnsi"/>
          <w:b/>
          <w:lang w:val="fr-CH"/>
        </w:rPr>
      </w:pPr>
    </w:p>
    <w:p w14:paraId="110D05C4" w14:textId="77777777" w:rsidR="006D757A" w:rsidRDefault="006D757A" w:rsidP="006B7B77">
      <w:pPr>
        <w:spacing w:after="0" w:line="240" w:lineRule="auto"/>
        <w:contextualSpacing/>
        <w:rPr>
          <w:rFonts w:asciiTheme="majorHAnsi" w:hAnsiTheme="majorHAnsi"/>
          <w:b/>
          <w:lang w:val="fr-CH"/>
        </w:rPr>
      </w:pPr>
    </w:p>
    <w:p w14:paraId="4DDDF7DD" w14:textId="50B6C0EF" w:rsidR="006B7B77" w:rsidRPr="00642028" w:rsidRDefault="004D599C" w:rsidP="006B7B77">
      <w:pPr>
        <w:spacing w:after="0" w:line="240" w:lineRule="auto"/>
        <w:contextualSpacing/>
        <w:rPr>
          <w:rFonts w:asciiTheme="majorHAnsi" w:hAnsiTheme="majorHAnsi"/>
          <w:b/>
          <w:lang w:val="fr-CH"/>
        </w:rPr>
      </w:pPr>
      <w:r w:rsidRPr="00642028">
        <w:rPr>
          <w:rFonts w:asciiTheme="majorHAnsi" w:hAnsiTheme="majorHAnsi"/>
          <w:b/>
          <w:lang w:val="fr-CH"/>
        </w:rPr>
        <w:t>Lundi</w:t>
      </w:r>
      <w:r w:rsidR="006B7B77" w:rsidRPr="00642028">
        <w:rPr>
          <w:rFonts w:asciiTheme="majorHAnsi" w:hAnsiTheme="majorHAnsi"/>
          <w:b/>
          <w:lang w:val="fr-CH"/>
        </w:rPr>
        <w:t xml:space="preserve"> 29 </w:t>
      </w:r>
      <w:r w:rsidR="00642028" w:rsidRPr="00642028">
        <w:rPr>
          <w:rFonts w:asciiTheme="majorHAnsi" w:hAnsiTheme="majorHAnsi"/>
          <w:b/>
          <w:lang w:val="fr-CH"/>
        </w:rPr>
        <w:t>mai</w:t>
      </w:r>
      <w:r w:rsidR="006B7B77" w:rsidRPr="00642028">
        <w:rPr>
          <w:rFonts w:asciiTheme="majorHAnsi" w:hAnsiTheme="majorHAnsi"/>
          <w:b/>
          <w:lang w:val="fr-CH"/>
        </w:rPr>
        <w:t xml:space="preserve"> 2017</w:t>
      </w:r>
    </w:p>
    <w:p w14:paraId="577AA962" w14:textId="77777777" w:rsidR="006B7B77" w:rsidRPr="00642028" w:rsidRDefault="006B7B77" w:rsidP="006B7B77">
      <w:pPr>
        <w:spacing w:after="0" w:line="240" w:lineRule="auto"/>
        <w:contextualSpacing/>
        <w:rPr>
          <w:rFonts w:asciiTheme="majorHAnsi" w:hAnsiTheme="majorHAnsi"/>
          <w:b/>
          <w:lang w:val="fr-CH"/>
        </w:rPr>
      </w:pPr>
    </w:p>
    <w:p w14:paraId="17C0F51D" w14:textId="2A21C5CB" w:rsidR="006B7B77" w:rsidRPr="00642028" w:rsidRDefault="00D677FF" w:rsidP="006B7B77">
      <w:pPr>
        <w:spacing w:after="0" w:line="240" w:lineRule="auto"/>
        <w:contextualSpacing/>
        <w:rPr>
          <w:rFonts w:asciiTheme="majorHAnsi" w:hAnsiTheme="majorHAnsi"/>
          <w:b/>
          <w:lang w:val="fr-CH"/>
        </w:rPr>
      </w:pPr>
      <w:r w:rsidRPr="00642028">
        <w:rPr>
          <w:rFonts w:asciiTheme="majorHAnsi" w:hAnsiTheme="majorHAnsi"/>
          <w:b/>
          <w:lang w:val="fr-CH"/>
        </w:rPr>
        <w:t>10:00 – 1</w:t>
      </w:r>
      <w:r w:rsidR="004B7599" w:rsidRPr="00642028">
        <w:rPr>
          <w:rFonts w:asciiTheme="majorHAnsi" w:hAnsiTheme="majorHAnsi"/>
          <w:b/>
          <w:lang w:val="fr-CH"/>
        </w:rPr>
        <w:t>6:00</w:t>
      </w:r>
      <w:r w:rsidRPr="00642028">
        <w:rPr>
          <w:rFonts w:asciiTheme="majorHAnsi" w:hAnsiTheme="majorHAnsi"/>
          <w:b/>
          <w:lang w:val="fr-CH"/>
        </w:rPr>
        <w:t xml:space="preserve"> </w:t>
      </w:r>
      <w:r w:rsidR="00642028" w:rsidRPr="00642028">
        <w:rPr>
          <w:rFonts w:asciiTheme="majorHAnsi" w:hAnsiTheme="majorHAnsi"/>
          <w:b/>
          <w:lang w:val="fr-CH"/>
        </w:rPr>
        <w:t>Réunion du Groupe de travail sur la gestion</w:t>
      </w:r>
      <w:r w:rsidRPr="00642028">
        <w:rPr>
          <w:rFonts w:asciiTheme="majorHAnsi" w:hAnsiTheme="majorHAnsi"/>
          <w:b/>
          <w:lang w:val="fr-CH"/>
        </w:rPr>
        <w:t xml:space="preserve"> (</w:t>
      </w:r>
      <w:r w:rsidR="00642028">
        <w:rPr>
          <w:rFonts w:asciiTheme="majorHAnsi" w:hAnsiTheme="majorHAnsi"/>
          <w:b/>
          <w:lang w:val="fr-CH"/>
        </w:rPr>
        <w:t>GT</w:t>
      </w:r>
      <w:r w:rsidRPr="00642028">
        <w:rPr>
          <w:rFonts w:asciiTheme="majorHAnsi" w:hAnsiTheme="majorHAnsi"/>
          <w:b/>
          <w:lang w:val="fr-CH"/>
        </w:rPr>
        <w:t>G)</w:t>
      </w:r>
    </w:p>
    <w:p w14:paraId="18D36D4E" w14:textId="77777777" w:rsidR="009E31F1" w:rsidRPr="00642028" w:rsidRDefault="009E31F1" w:rsidP="006B7B77">
      <w:pPr>
        <w:spacing w:after="0" w:line="240" w:lineRule="auto"/>
        <w:contextualSpacing/>
        <w:rPr>
          <w:rFonts w:asciiTheme="majorHAnsi" w:hAnsiTheme="majorHAnsi"/>
          <w:b/>
          <w:lang w:val="fr-CH"/>
        </w:rPr>
      </w:pPr>
    </w:p>
    <w:p w14:paraId="021516F7" w14:textId="4A9FFEBB" w:rsidR="009E31F1" w:rsidRPr="00642028" w:rsidRDefault="00642028" w:rsidP="006B7B77">
      <w:pPr>
        <w:spacing w:after="0" w:line="240" w:lineRule="auto"/>
        <w:contextualSpacing/>
        <w:rPr>
          <w:rFonts w:asciiTheme="majorHAnsi" w:hAnsiTheme="majorHAnsi"/>
          <w:b/>
          <w:bCs/>
          <w:lang w:val="fr-CH"/>
        </w:rPr>
      </w:pPr>
      <w:r>
        <w:rPr>
          <w:rFonts w:asciiTheme="majorHAnsi" w:hAnsiTheme="majorHAnsi"/>
          <w:b/>
          <w:lang w:val="fr-CH"/>
        </w:rPr>
        <w:t>Conclusions et points d’action provisoires</w:t>
      </w:r>
    </w:p>
    <w:p w14:paraId="60880B36" w14:textId="77777777" w:rsidR="006B7B77" w:rsidRPr="00642028" w:rsidRDefault="006B7B77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761F46C8" w14:textId="69002960" w:rsidR="006B7B77" w:rsidRPr="005A299A" w:rsidRDefault="00432D43" w:rsidP="0011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  <w:lang w:val="fr-CH"/>
        </w:rPr>
      </w:pPr>
      <w:r w:rsidRPr="00642028">
        <w:rPr>
          <w:rFonts w:asciiTheme="majorHAnsi" w:hAnsiTheme="majorHAnsi"/>
          <w:b/>
          <w:bCs/>
          <w:lang w:val="fr-CH"/>
        </w:rPr>
        <w:t xml:space="preserve">a. </w:t>
      </w:r>
      <w:r w:rsidR="00642028" w:rsidRPr="00642028">
        <w:rPr>
          <w:rFonts w:asciiTheme="majorHAnsi" w:hAnsiTheme="majorHAnsi"/>
          <w:b/>
          <w:bCs/>
          <w:lang w:val="fr-CH"/>
        </w:rPr>
        <w:t>Groupe de travail sur l’application de la CESP</w:t>
      </w:r>
      <w:r w:rsidR="004B7599" w:rsidRPr="00642028">
        <w:rPr>
          <w:rFonts w:asciiTheme="majorHAnsi" w:hAnsiTheme="majorHAnsi"/>
          <w:b/>
          <w:bCs/>
          <w:lang w:val="fr-CH"/>
        </w:rPr>
        <w:t xml:space="preserve"> </w:t>
      </w:r>
      <w:r w:rsidR="004B7599" w:rsidRPr="00642028">
        <w:rPr>
          <w:rFonts w:asciiTheme="majorHAnsi" w:hAnsiTheme="majorHAnsi"/>
          <w:bCs/>
          <w:lang w:val="fr-CH"/>
        </w:rPr>
        <w:t xml:space="preserve">Doc. </w:t>
      </w:r>
      <w:r w:rsidR="004B7599" w:rsidRPr="005A299A">
        <w:rPr>
          <w:rFonts w:asciiTheme="majorHAnsi" w:hAnsiTheme="majorHAnsi"/>
          <w:bCs/>
          <w:lang w:val="fr-CH"/>
        </w:rPr>
        <w:t xml:space="preserve">SC53-03 </w:t>
      </w:r>
      <w:r w:rsidR="005A299A" w:rsidRPr="005A299A">
        <w:rPr>
          <w:i/>
          <w:lang w:val="fr-CH"/>
        </w:rPr>
        <w:t>a.</w:t>
      </w:r>
      <w:r w:rsidR="005A299A">
        <w:rPr>
          <w:i/>
          <w:lang w:val="fr-CH"/>
        </w:rPr>
        <w:t xml:space="preserve"> </w:t>
      </w:r>
      <w:r w:rsidR="005A299A" w:rsidRPr="005A299A">
        <w:rPr>
          <w:i/>
          <w:lang w:val="fr-CH"/>
        </w:rPr>
        <w:t>Progrès d’application du Plan d’action de CESP</w:t>
      </w:r>
      <w:r w:rsidR="004B7599" w:rsidRPr="005A299A">
        <w:rPr>
          <w:i/>
          <w:lang w:val="fr-CH"/>
        </w:rPr>
        <w:t xml:space="preserve"> 2016 – 2018</w:t>
      </w:r>
    </w:p>
    <w:p w14:paraId="28EB4FA2" w14:textId="77777777" w:rsidR="006B7B77" w:rsidRPr="005A299A" w:rsidRDefault="006B7B77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35891753" w14:textId="1C606597" w:rsidR="00A82916" w:rsidRPr="005A299A" w:rsidRDefault="005A299A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5A299A">
        <w:rPr>
          <w:rFonts w:asciiTheme="majorHAnsi" w:hAnsiTheme="majorHAnsi"/>
          <w:bCs/>
          <w:lang w:val="fr-CH"/>
        </w:rPr>
        <w:t xml:space="preserve">Après </w:t>
      </w:r>
      <w:r w:rsidR="00397B2E" w:rsidRPr="005A299A">
        <w:rPr>
          <w:rFonts w:asciiTheme="majorHAnsi" w:hAnsiTheme="majorHAnsi"/>
          <w:bCs/>
          <w:lang w:val="fr-CH"/>
        </w:rPr>
        <w:t xml:space="preserve">introduction </w:t>
      </w:r>
      <w:r w:rsidR="00233985">
        <w:rPr>
          <w:rFonts w:asciiTheme="majorHAnsi" w:hAnsiTheme="majorHAnsi"/>
          <w:bCs/>
          <w:lang w:val="fr-CH"/>
        </w:rPr>
        <w:t>d</w:t>
      </w:r>
      <w:r w:rsidRPr="005A299A">
        <w:rPr>
          <w:rFonts w:asciiTheme="majorHAnsi" w:hAnsiTheme="majorHAnsi"/>
          <w:bCs/>
          <w:lang w:val="fr-CH"/>
        </w:rPr>
        <w:t>u</w:t>
      </w:r>
      <w:r w:rsidR="00397B2E" w:rsidRPr="005A299A">
        <w:rPr>
          <w:rFonts w:asciiTheme="majorHAnsi" w:hAnsiTheme="majorHAnsi"/>
          <w:bCs/>
          <w:lang w:val="fr-CH"/>
        </w:rPr>
        <w:t xml:space="preserve"> document </w:t>
      </w:r>
      <w:r w:rsidRPr="005A299A">
        <w:rPr>
          <w:rFonts w:asciiTheme="majorHAnsi" w:hAnsiTheme="majorHAnsi"/>
          <w:bCs/>
          <w:lang w:val="fr-CH"/>
        </w:rPr>
        <w:t>par le</w:t>
      </w:r>
      <w:r w:rsidR="00397B2E" w:rsidRPr="005A299A">
        <w:rPr>
          <w:rFonts w:asciiTheme="majorHAnsi" w:hAnsiTheme="majorHAnsi"/>
          <w:bCs/>
          <w:lang w:val="fr-CH"/>
        </w:rPr>
        <w:t xml:space="preserve"> </w:t>
      </w:r>
      <w:r w:rsidRPr="005A299A">
        <w:rPr>
          <w:rFonts w:asciiTheme="majorHAnsi" w:hAnsiTheme="majorHAnsi"/>
          <w:b/>
          <w:bCs/>
          <w:lang w:val="fr-CH"/>
        </w:rPr>
        <w:t>Président du Groupe de travail sur la CESP</w:t>
      </w:r>
      <w:r w:rsidR="00397B2E" w:rsidRPr="005A299A">
        <w:rPr>
          <w:rFonts w:asciiTheme="majorHAnsi" w:hAnsiTheme="majorHAnsi"/>
          <w:bCs/>
          <w:lang w:val="fr-CH"/>
        </w:rPr>
        <w:t xml:space="preserve"> (</w:t>
      </w:r>
      <w:r w:rsidRPr="005A299A">
        <w:rPr>
          <w:rFonts w:asciiTheme="majorHAnsi" w:hAnsiTheme="majorHAnsi"/>
          <w:bCs/>
          <w:lang w:val="fr-CH"/>
        </w:rPr>
        <w:t>Afrique du Sud</w:t>
      </w:r>
      <w:r w:rsidR="00397B2E" w:rsidRPr="005A299A">
        <w:rPr>
          <w:rFonts w:asciiTheme="majorHAnsi" w:hAnsiTheme="majorHAnsi"/>
          <w:bCs/>
          <w:lang w:val="fr-CH"/>
        </w:rPr>
        <w:t xml:space="preserve">) </w:t>
      </w:r>
      <w:r w:rsidRPr="005A299A">
        <w:rPr>
          <w:rFonts w:asciiTheme="majorHAnsi" w:hAnsiTheme="majorHAnsi"/>
          <w:bCs/>
          <w:lang w:val="fr-CH"/>
        </w:rPr>
        <w:t>et le</w:t>
      </w:r>
      <w:r w:rsidR="00397B2E" w:rsidRPr="005A299A">
        <w:rPr>
          <w:rFonts w:asciiTheme="majorHAnsi" w:hAnsiTheme="majorHAnsi"/>
          <w:bCs/>
          <w:lang w:val="fr-CH"/>
        </w:rPr>
        <w:t xml:space="preserve"> </w:t>
      </w:r>
      <w:r w:rsidR="00397B2E" w:rsidRPr="005A299A">
        <w:rPr>
          <w:rFonts w:asciiTheme="majorHAnsi" w:hAnsiTheme="majorHAnsi"/>
          <w:b/>
          <w:bCs/>
          <w:lang w:val="fr-CH"/>
        </w:rPr>
        <w:t>Secr</w:t>
      </w:r>
      <w:r>
        <w:rPr>
          <w:rFonts w:asciiTheme="majorHAnsi" w:hAnsiTheme="majorHAnsi"/>
          <w:b/>
          <w:bCs/>
          <w:lang w:val="fr-CH"/>
        </w:rPr>
        <w:t>é</w:t>
      </w:r>
      <w:r w:rsidR="00397B2E" w:rsidRPr="005A299A">
        <w:rPr>
          <w:rFonts w:asciiTheme="majorHAnsi" w:hAnsiTheme="majorHAnsi"/>
          <w:b/>
          <w:bCs/>
          <w:lang w:val="fr-CH"/>
        </w:rPr>
        <w:t>tariat</w:t>
      </w:r>
      <w:r w:rsidR="00397B2E" w:rsidRPr="005A299A">
        <w:rPr>
          <w:rFonts w:asciiTheme="majorHAnsi" w:hAnsiTheme="majorHAnsi"/>
          <w:bCs/>
          <w:lang w:val="fr-CH"/>
        </w:rPr>
        <w:t xml:space="preserve">, </w:t>
      </w:r>
      <w:r>
        <w:rPr>
          <w:rFonts w:asciiTheme="majorHAnsi" w:hAnsiTheme="majorHAnsi"/>
          <w:bCs/>
          <w:lang w:val="fr-CH"/>
        </w:rPr>
        <w:t xml:space="preserve">des </w:t>
      </w:r>
      <w:r w:rsidR="00397B2E" w:rsidRPr="005A299A">
        <w:rPr>
          <w:rFonts w:asciiTheme="majorHAnsi" w:hAnsiTheme="majorHAnsi"/>
          <w:bCs/>
          <w:lang w:val="fr-CH"/>
        </w:rPr>
        <w:t>i</w:t>
      </w:r>
      <w:r w:rsidR="004B7599" w:rsidRPr="005A299A">
        <w:rPr>
          <w:rFonts w:asciiTheme="majorHAnsi" w:hAnsiTheme="majorHAnsi"/>
          <w:bCs/>
          <w:lang w:val="fr-CH"/>
        </w:rPr>
        <w:t xml:space="preserve">nterventions </w:t>
      </w:r>
      <w:r>
        <w:rPr>
          <w:rFonts w:asciiTheme="majorHAnsi" w:hAnsiTheme="majorHAnsi"/>
          <w:bCs/>
          <w:lang w:val="fr-CH"/>
        </w:rPr>
        <w:t xml:space="preserve">sont faites par les membres suivants du Groupe de travail sur la gestion (GTG) </w:t>
      </w:r>
      <w:r w:rsidR="00397B2E" w:rsidRPr="005A299A">
        <w:rPr>
          <w:rFonts w:asciiTheme="majorHAnsi" w:hAnsiTheme="majorHAnsi"/>
          <w:bCs/>
          <w:lang w:val="fr-CH"/>
        </w:rPr>
        <w:t>:</w:t>
      </w:r>
      <w:r w:rsidR="004B7599" w:rsidRPr="005A299A">
        <w:rPr>
          <w:rFonts w:asciiTheme="majorHAnsi" w:hAnsiTheme="majorHAnsi"/>
          <w:bCs/>
          <w:lang w:val="fr-CH"/>
        </w:rPr>
        <w:t xml:space="preserve"> </w:t>
      </w:r>
      <w:r w:rsidR="004B7599" w:rsidRPr="005A299A">
        <w:rPr>
          <w:rFonts w:asciiTheme="majorHAnsi" w:hAnsiTheme="majorHAnsi"/>
          <w:b/>
          <w:bCs/>
          <w:lang w:val="fr-CH"/>
        </w:rPr>
        <w:t>Australi</w:t>
      </w:r>
      <w:r>
        <w:rPr>
          <w:rFonts w:asciiTheme="majorHAnsi" w:hAnsiTheme="majorHAnsi"/>
          <w:b/>
          <w:bCs/>
          <w:lang w:val="fr-CH"/>
        </w:rPr>
        <w:t>e</w:t>
      </w:r>
      <w:r w:rsidR="004B7599" w:rsidRPr="005A299A">
        <w:rPr>
          <w:rFonts w:asciiTheme="majorHAnsi" w:hAnsiTheme="majorHAnsi"/>
          <w:bCs/>
          <w:lang w:val="fr-CH"/>
        </w:rPr>
        <w:t>,</w:t>
      </w:r>
      <w:r w:rsidR="004B7599" w:rsidRPr="005A299A">
        <w:rPr>
          <w:rFonts w:asciiTheme="majorHAnsi" w:hAnsiTheme="majorHAnsi"/>
          <w:b/>
          <w:bCs/>
          <w:lang w:val="fr-CH"/>
        </w:rPr>
        <w:t xml:space="preserve"> </w:t>
      </w:r>
      <w:r w:rsidRPr="005A299A">
        <w:rPr>
          <w:rFonts w:asciiTheme="majorHAnsi" w:hAnsiTheme="majorHAnsi"/>
          <w:b/>
          <w:bCs/>
          <w:lang w:val="fr-CH"/>
        </w:rPr>
        <w:t>Sénégal</w:t>
      </w:r>
      <w:r w:rsidR="001B2C3B">
        <w:rPr>
          <w:rFonts w:asciiTheme="majorHAnsi" w:hAnsiTheme="majorHAnsi"/>
          <w:b/>
          <w:bCs/>
          <w:lang w:val="fr-CH"/>
        </w:rPr>
        <w:t>,</w:t>
      </w:r>
      <w:r w:rsidR="004B7599" w:rsidRPr="005A299A">
        <w:rPr>
          <w:rFonts w:asciiTheme="majorHAnsi" w:hAnsiTheme="majorHAnsi"/>
          <w:b/>
          <w:bCs/>
          <w:lang w:val="fr-CH"/>
        </w:rPr>
        <w:t xml:space="preserve"> Uruguay</w:t>
      </w:r>
      <w:r w:rsidR="00397B2E" w:rsidRPr="005A299A">
        <w:rPr>
          <w:rFonts w:asciiTheme="majorHAnsi" w:hAnsiTheme="majorHAnsi"/>
          <w:bCs/>
          <w:lang w:val="fr-CH"/>
        </w:rPr>
        <w:t>,</w:t>
      </w:r>
      <w:r w:rsidR="004B7599" w:rsidRPr="005A299A">
        <w:rPr>
          <w:rFonts w:asciiTheme="majorHAnsi" w:hAnsiTheme="majorHAnsi"/>
          <w:b/>
          <w:bCs/>
          <w:lang w:val="fr-CH"/>
        </w:rPr>
        <w:t xml:space="preserve"> </w:t>
      </w:r>
      <w:r w:rsidR="001B2C3B">
        <w:rPr>
          <w:rFonts w:asciiTheme="majorHAnsi" w:hAnsiTheme="majorHAnsi"/>
          <w:bCs/>
          <w:lang w:val="fr-CH"/>
        </w:rPr>
        <w:t>et</w:t>
      </w:r>
      <w:r>
        <w:rPr>
          <w:rFonts w:asciiTheme="majorHAnsi" w:hAnsiTheme="majorHAnsi"/>
          <w:b/>
          <w:bCs/>
          <w:lang w:val="fr-CH"/>
        </w:rPr>
        <w:t xml:space="preserve"> États-Unis d’Amérique</w:t>
      </w:r>
      <w:r w:rsidR="004B7599" w:rsidRPr="005A299A">
        <w:rPr>
          <w:rFonts w:asciiTheme="majorHAnsi" w:hAnsiTheme="majorHAnsi"/>
          <w:bCs/>
          <w:lang w:val="fr-CH"/>
        </w:rPr>
        <w:t>.</w:t>
      </w:r>
    </w:p>
    <w:p w14:paraId="7B5EE731" w14:textId="77777777" w:rsidR="00DF5E3C" w:rsidRPr="005A299A" w:rsidRDefault="00DF5E3C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4D24363A" w14:textId="4F2D9025" w:rsidR="004B7599" w:rsidRPr="005A299A" w:rsidRDefault="005A299A" w:rsidP="00397B2E">
      <w:pPr>
        <w:spacing w:after="0" w:line="240" w:lineRule="auto"/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Répondant aux questions et commentaires, la</w:t>
      </w:r>
      <w:r w:rsidR="004B7599" w:rsidRPr="005A299A">
        <w:rPr>
          <w:rFonts w:asciiTheme="majorHAnsi" w:hAnsiTheme="majorHAnsi"/>
          <w:bCs/>
          <w:lang w:val="fr-CH"/>
        </w:rPr>
        <w:t xml:space="preserve"> </w:t>
      </w:r>
      <w:r w:rsidR="004B7599" w:rsidRPr="005A299A">
        <w:rPr>
          <w:rFonts w:asciiTheme="majorHAnsi" w:hAnsiTheme="majorHAnsi"/>
          <w:b/>
          <w:bCs/>
          <w:lang w:val="fr-CH"/>
        </w:rPr>
        <w:t>Secr</w:t>
      </w:r>
      <w:r>
        <w:rPr>
          <w:rFonts w:asciiTheme="majorHAnsi" w:hAnsiTheme="majorHAnsi"/>
          <w:b/>
          <w:bCs/>
          <w:lang w:val="fr-CH"/>
        </w:rPr>
        <w:t>é</w:t>
      </w:r>
      <w:r w:rsidR="004B7599" w:rsidRPr="005A299A">
        <w:rPr>
          <w:rFonts w:asciiTheme="majorHAnsi" w:hAnsiTheme="majorHAnsi"/>
          <w:b/>
          <w:bCs/>
          <w:lang w:val="fr-CH"/>
        </w:rPr>
        <w:t>ta</w:t>
      </w:r>
      <w:r>
        <w:rPr>
          <w:rFonts w:asciiTheme="majorHAnsi" w:hAnsiTheme="majorHAnsi"/>
          <w:b/>
          <w:bCs/>
          <w:lang w:val="fr-CH"/>
        </w:rPr>
        <w:t>i</w:t>
      </w:r>
      <w:r w:rsidR="004B7599" w:rsidRPr="005A299A">
        <w:rPr>
          <w:rFonts w:asciiTheme="majorHAnsi" w:hAnsiTheme="majorHAnsi"/>
          <w:b/>
          <w:bCs/>
          <w:lang w:val="fr-CH"/>
        </w:rPr>
        <w:t>r</w:t>
      </w:r>
      <w:r>
        <w:rPr>
          <w:rFonts w:asciiTheme="majorHAnsi" w:hAnsiTheme="majorHAnsi"/>
          <w:b/>
          <w:bCs/>
          <w:lang w:val="fr-CH"/>
        </w:rPr>
        <w:t>e</w:t>
      </w:r>
      <w:r w:rsidR="004B7599" w:rsidRPr="005A299A">
        <w:rPr>
          <w:rFonts w:asciiTheme="majorHAnsi" w:hAnsiTheme="majorHAnsi"/>
          <w:b/>
          <w:bCs/>
          <w:lang w:val="fr-CH"/>
        </w:rPr>
        <w:t xml:space="preserve"> </w:t>
      </w:r>
      <w:r>
        <w:rPr>
          <w:rFonts w:asciiTheme="majorHAnsi" w:hAnsiTheme="majorHAnsi"/>
          <w:b/>
          <w:bCs/>
          <w:lang w:val="fr-CH"/>
        </w:rPr>
        <w:t>gé</w:t>
      </w:r>
      <w:r w:rsidR="004B7599" w:rsidRPr="005A299A">
        <w:rPr>
          <w:rFonts w:asciiTheme="majorHAnsi" w:hAnsiTheme="majorHAnsi"/>
          <w:b/>
          <w:bCs/>
          <w:lang w:val="fr-CH"/>
        </w:rPr>
        <w:t>n</w:t>
      </w:r>
      <w:r>
        <w:rPr>
          <w:rFonts w:asciiTheme="majorHAnsi" w:hAnsiTheme="majorHAnsi"/>
          <w:b/>
          <w:bCs/>
          <w:lang w:val="fr-CH"/>
        </w:rPr>
        <w:t>é</w:t>
      </w:r>
      <w:r w:rsidR="004B7599" w:rsidRPr="005A299A">
        <w:rPr>
          <w:rFonts w:asciiTheme="majorHAnsi" w:hAnsiTheme="majorHAnsi"/>
          <w:b/>
          <w:bCs/>
          <w:lang w:val="fr-CH"/>
        </w:rPr>
        <w:t>ral</w:t>
      </w:r>
      <w:r>
        <w:rPr>
          <w:rFonts w:asciiTheme="majorHAnsi" w:hAnsiTheme="majorHAnsi"/>
          <w:b/>
          <w:bCs/>
          <w:lang w:val="fr-CH"/>
        </w:rPr>
        <w:t>e</w:t>
      </w:r>
      <w:r w:rsidR="004B7599" w:rsidRPr="005A299A">
        <w:rPr>
          <w:rFonts w:asciiTheme="majorHAnsi" w:hAnsiTheme="majorHAnsi"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 xml:space="preserve">fait observer que </w:t>
      </w:r>
      <w:r w:rsidR="004B7599" w:rsidRPr="005A299A">
        <w:rPr>
          <w:rFonts w:asciiTheme="majorHAnsi" w:hAnsiTheme="majorHAnsi"/>
          <w:bCs/>
          <w:lang w:val="fr-CH"/>
        </w:rPr>
        <w:t>:</w:t>
      </w:r>
    </w:p>
    <w:p w14:paraId="3C2A200D" w14:textId="77777777" w:rsidR="004B7599" w:rsidRPr="005A299A" w:rsidRDefault="004B7599" w:rsidP="00397B2E">
      <w:pPr>
        <w:spacing w:after="0" w:line="240" w:lineRule="auto"/>
        <w:rPr>
          <w:rFonts w:asciiTheme="majorHAnsi" w:hAnsiTheme="majorHAnsi"/>
          <w:bCs/>
          <w:lang w:val="fr-CH"/>
        </w:rPr>
      </w:pPr>
    </w:p>
    <w:p w14:paraId="545BFF07" w14:textId="5CF1CEDA" w:rsidR="004B7599" w:rsidRPr="005A299A" w:rsidRDefault="00397B2E" w:rsidP="00397B2E">
      <w:pPr>
        <w:spacing w:after="0"/>
        <w:rPr>
          <w:rFonts w:asciiTheme="majorHAnsi" w:hAnsiTheme="majorHAnsi"/>
          <w:bCs/>
          <w:lang w:val="fr-CH"/>
        </w:rPr>
      </w:pPr>
      <w:r w:rsidRPr="005A299A">
        <w:rPr>
          <w:rFonts w:asciiTheme="majorHAnsi" w:hAnsiTheme="majorHAnsi"/>
          <w:bCs/>
          <w:lang w:val="fr-CH"/>
        </w:rPr>
        <w:t xml:space="preserve">- </w:t>
      </w:r>
      <w:r w:rsidR="005A299A" w:rsidRPr="005A299A">
        <w:rPr>
          <w:rFonts w:asciiTheme="majorHAnsi" w:hAnsiTheme="majorHAnsi"/>
          <w:bCs/>
          <w:lang w:val="fr-CH"/>
        </w:rPr>
        <w:t>Le Réseau culturel</w:t>
      </w:r>
      <w:r w:rsidR="004B7599" w:rsidRPr="005A299A">
        <w:rPr>
          <w:rFonts w:asciiTheme="majorHAnsi" w:hAnsiTheme="majorHAnsi"/>
          <w:bCs/>
          <w:lang w:val="fr-CH"/>
        </w:rPr>
        <w:t xml:space="preserve"> Ramsar, </w:t>
      </w:r>
      <w:r w:rsidR="005A299A" w:rsidRPr="005A299A">
        <w:rPr>
          <w:rFonts w:asciiTheme="majorHAnsi" w:hAnsiTheme="majorHAnsi"/>
          <w:bCs/>
          <w:lang w:val="fr-CH"/>
        </w:rPr>
        <w:t>soutenu par la fondation</w:t>
      </w:r>
      <w:r w:rsidR="004B7599" w:rsidRPr="005A299A">
        <w:rPr>
          <w:rFonts w:asciiTheme="majorHAnsi" w:hAnsiTheme="majorHAnsi"/>
          <w:bCs/>
          <w:lang w:val="fr-CH"/>
        </w:rPr>
        <w:t xml:space="preserve"> MAVA </w:t>
      </w:r>
      <w:r w:rsidR="005A299A" w:rsidRPr="005A299A">
        <w:rPr>
          <w:rFonts w:asciiTheme="majorHAnsi" w:hAnsiTheme="majorHAnsi"/>
          <w:bCs/>
          <w:lang w:val="fr-CH"/>
        </w:rPr>
        <w:t xml:space="preserve">et mentionné </w:t>
      </w:r>
      <w:r w:rsidR="005A299A">
        <w:rPr>
          <w:rFonts w:asciiTheme="majorHAnsi" w:hAnsiTheme="majorHAnsi"/>
          <w:bCs/>
          <w:lang w:val="fr-CH"/>
        </w:rPr>
        <w:t>sous</w:t>
      </w:r>
      <w:r w:rsidR="005A299A" w:rsidRPr="005A299A">
        <w:rPr>
          <w:rFonts w:asciiTheme="majorHAnsi" w:hAnsiTheme="majorHAnsi"/>
          <w:bCs/>
          <w:lang w:val="fr-CH"/>
        </w:rPr>
        <w:t xml:space="preserve"> l’objectif</w:t>
      </w:r>
      <w:r w:rsidR="004B7599" w:rsidRPr="005A299A">
        <w:rPr>
          <w:rFonts w:asciiTheme="majorHAnsi" w:hAnsiTheme="majorHAnsi"/>
          <w:bCs/>
          <w:lang w:val="fr-CH"/>
        </w:rPr>
        <w:t xml:space="preserve"> </w:t>
      </w:r>
      <w:r w:rsidRPr="005A299A">
        <w:rPr>
          <w:rFonts w:asciiTheme="majorHAnsi" w:hAnsiTheme="majorHAnsi"/>
          <w:bCs/>
          <w:lang w:val="fr-CH"/>
        </w:rPr>
        <w:t xml:space="preserve">1.5 </w:t>
      </w:r>
      <w:r w:rsidR="005A299A">
        <w:rPr>
          <w:rFonts w:asciiTheme="majorHAnsi" w:hAnsiTheme="majorHAnsi"/>
          <w:bCs/>
          <w:lang w:val="fr-CH"/>
        </w:rPr>
        <w:t xml:space="preserve">du Plan d’action de CESP pour le </w:t>
      </w:r>
      <w:r w:rsidR="005A299A" w:rsidRPr="005A299A">
        <w:rPr>
          <w:rFonts w:asciiTheme="majorHAnsi" w:hAnsiTheme="majorHAnsi"/>
          <w:bCs/>
          <w:lang w:val="fr-CH"/>
        </w:rPr>
        <w:t>Secrétariat</w:t>
      </w:r>
      <w:r w:rsidRPr="005A299A">
        <w:rPr>
          <w:rFonts w:asciiTheme="majorHAnsi" w:hAnsiTheme="majorHAnsi"/>
          <w:bCs/>
          <w:lang w:val="fr-CH"/>
        </w:rPr>
        <w:t xml:space="preserve"> 2016-2018</w:t>
      </w:r>
      <w:r w:rsidR="004B7599" w:rsidRPr="005A299A">
        <w:rPr>
          <w:rFonts w:asciiTheme="majorHAnsi" w:hAnsiTheme="majorHAnsi"/>
          <w:bCs/>
          <w:lang w:val="fr-CH"/>
        </w:rPr>
        <w:t xml:space="preserve">, </w:t>
      </w:r>
      <w:r w:rsidR="005A299A">
        <w:rPr>
          <w:rFonts w:asciiTheme="majorHAnsi" w:hAnsiTheme="majorHAnsi"/>
          <w:bCs/>
          <w:lang w:val="fr-CH"/>
        </w:rPr>
        <w:t>sera couvert sous le point 13 e) de l’ordre du jour de la 53</w:t>
      </w:r>
      <w:r w:rsidR="005A299A" w:rsidRPr="005A299A">
        <w:rPr>
          <w:rFonts w:asciiTheme="majorHAnsi" w:hAnsiTheme="majorHAnsi"/>
          <w:bCs/>
          <w:vertAlign w:val="superscript"/>
          <w:lang w:val="fr-CH"/>
        </w:rPr>
        <w:t>e</w:t>
      </w:r>
      <w:r w:rsidR="005A299A">
        <w:rPr>
          <w:rFonts w:asciiTheme="majorHAnsi" w:hAnsiTheme="majorHAnsi"/>
          <w:bCs/>
          <w:lang w:val="fr-CH"/>
        </w:rPr>
        <w:t xml:space="preserve"> Réunion du Comité permanent</w:t>
      </w:r>
      <w:r w:rsidR="004B7599" w:rsidRPr="005A299A">
        <w:rPr>
          <w:rFonts w:asciiTheme="majorHAnsi" w:hAnsiTheme="majorHAnsi"/>
          <w:bCs/>
          <w:lang w:val="fr-CH"/>
        </w:rPr>
        <w:t>.</w:t>
      </w:r>
    </w:p>
    <w:p w14:paraId="34DB9593" w14:textId="77777777" w:rsidR="004B7599" w:rsidRPr="005A299A" w:rsidRDefault="004B7599" w:rsidP="00397B2E">
      <w:pPr>
        <w:spacing w:after="0" w:line="240" w:lineRule="auto"/>
        <w:rPr>
          <w:rFonts w:asciiTheme="majorHAnsi" w:hAnsiTheme="majorHAnsi"/>
          <w:bCs/>
          <w:lang w:val="fr-CH"/>
        </w:rPr>
      </w:pPr>
    </w:p>
    <w:p w14:paraId="6705E65E" w14:textId="59CC5658" w:rsidR="004B7599" w:rsidRPr="005A299A" w:rsidRDefault="00397B2E" w:rsidP="00397B2E">
      <w:pPr>
        <w:spacing w:after="0"/>
        <w:rPr>
          <w:rFonts w:asciiTheme="majorHAnsi" w:hAnsiTheme="majorHAnsi"/>
          <w:bCs/>
          <w:lang w:val="fr-CH"/>
        </w:rPr>
      </w:pPr>
      <w:r w:rsidRPr="005A299A">
        <w:rPr>
          <w:rFonts w:asciiTheme="majorHAnsi" w:hAnsiTheme="majorHAnsi"/>
          <w:bCs/>
          <w:lang w:val="fr-CH"/>
        </w:rPr>
        <w:t xml:space="preserve">- </w:t>
      </w:r>
      <w:r w:rsidR="005A299A" w:rsidRPr="005A299A">
        <w:rPr>
          <w:rFonts w:asciiTheme="majorHAnsi" w:hAnsiTheme="majorHAnsi"/>
          <w:bCs/>
          <w:lang w:val="fr-CH"/>
        </w:rPr>
        <w:t xml:space="preserve">Le Groupe de surveillance des activités de CESP et le </w:t>
      </w:r>
      <w:r w:rsidR="005A299A">
        <w:rPr>
          <w:rFonts w:asciiTheme="majorHAnsi" w:hAnsiTheme="majorHAnsi"/>
          <w:bCs/>
          <w:lang w:val="fr-CH"/>
        </w:rPr>
        <w:t>G</w:t>
      </w:r>
      <w:r w:rsidR="005A299A" w:rsidRPr="005A299A">
        <w:rPr>
          <w:rFonts w:asciiTheme="majorHAnsi" w:hAnsiTheme="majorHAnsi"/>
          <w:bCs/>
          <w:lang w:val="fr-CH"/>
        </w:rPr>
        <w:t>roupe de travail sur la CESP</w:t>
      </w:r>
      <w:r w:rsidR="004B7599" w:rsidRPr="005A299A">
        <w:rPr>
          <w:rFonts w:asciiTheme="majorHAnsi" w:hAnsiTheme="majorHAnsi"/>
          <w:bCs/>
          <w:lang w:val="fr-CH"/>
        </w:rPr>
        <w:t xml:space="preserve"> </w:t>
      </w:r>
      <w:r w:rsidR="005A299A">
        <w:rPr>
          <w:rFonts w:asciiTheme="majorHAnsi" w:hAnsiTheme="majorHAnsi"/>
          <w:bCs/>
          <w:lang w:val="fr-CH"/>
        </w:rPr>
        <w:t>tiendront des réunions parallèles le 30 mai</w:t>
      </w:r>
      <w:r w:rsidR="004B7599" w:rsidRPr="005A299A">
        <w:rPr>
          <w:rFonts w:asciiTheme="majorHAnsi" w:hAnsiTheme="majorHAnsi"/>
          <w:bCs/>
          <w:lang w:val="fr-CH"/>
        </w:rPr>
        <w:t xml:space="preserve"> 2017, </w:t>
      </w:r>
      <w:r w:rsidR="005A299A">
        <w:rPr>
          <w:rFonts w:asciiTheme="majorHAnsi" w:hAnsiTheme="majorHAnsi"/>
          <w:bCs/>
          <w:lang w:val="fr-CH"/>
        </w:rPr>
        <w:t>qui seront suivies par une réunion conjointe des deux présidents</w:t>
      </w:r>
      <w:r w:rsidR="004B7599" w:rsidRPr="005A299A">
        <w:rPr>
          <w:rFonts w:asciiTheme="majorHAnsi" w:hAnsiTheme="majorHAnsi"/>
          <w:bCs/>
          <w:lang w:val="fr-CH"/>
        </w:rPr>
        <w:t>.</w:t>
      </w:r>
    </w:p>
    <w:p w14:paraId="60688D2F" w14:textId="77777777" w:rsidR="00AA06B1" w:rsidRPr="005A299A" w:rsidRDefault="00AA06B1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665ABFC2" w14:textId="59745E79" w:rsidR="006B7B77" w:rsidRPr="00C609F1" w:rsidRDefault="005A299A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C609F1">
        <w:rPr>
          <w:rFonts w:asciiTheme="majorHAnsi" w:hAnsiTheme="majorHAnsi"/>
          <w:bCs/>
          <w:lang w:val="fr-CH"/>
        </w:rPr>
        <w:t>Le</w:t>
      </w:r>
      <w:r w:rsidR="00397B2E" w:rsidRPr="00C609F1">
        <w:rPr>
          <w:rFonts w:asciiTheme="majorHAnsi" w:hAnsiTheme="majorHAnsi"/>
          <w:b/>
          <w:bCs/>
          <w:lang w:val="fr-CH"/>
        </w:rPr>
        <w:t xml:space="preserve"> </w:t>
      </w:r>
      <w:r w:rsidRPr="00C609F1">
        <w:rPr>
          <w:rFonts w:asciiTheme="majorHAnsi" w:hAnsiTheme="majorHAnsi"/>
          <w:b/>
          <w:bCs/>
          <w:lang w:val="fr-CH"/>
        </w:rPr>
        <w:t>Président</w:t>
      </w:r>
      <w:r w:rsidR="00397B2E" w:rsidRPr="00C609F1">
        <w:rPr>
          <w:rFonts w:asciiTheme="majorHAnsi" w:hAnsiTheme="majorHAnsi"/>
          <w:b/>
          <w:bCs/>
          <w:lang w:val="fr-CH"/>
        </w:rPr>
        <w:t xml:space="preserve"> </w:t>
      </w:r>
      <w:r w:rsidR="009E31F1" w:rsidRPr="00C609F1">
        <w:rPr>
          <w:rFonts w:asciiTheme="majorHAnsi" w:hAnsiTheme="majorHAnsi"/>
          <w:bCs/>
          <w:lang w:val="fr-CH"/>
        </w:rPr>
        <w:t>(Uruguay)</w:t>
      </w:r>
      <w:r w:rsidR="009E31F1" w:rsidRPr="00C609F1">
        <w:rPr>
          <w:rFonts w:asciiTheme="majorHAnsi" w:hAnsiTheme="majorHAnsi"/>
          <w:b/>
          <w:bCs/>
          <w:lang w:val="fr-CH"/>
        </w:rPr>
        <w:t xml:space="preserve"> </w:t>
      </w:r>
      <w:r w:rsidR="00397B2E" w:rsidRPr="00C609F1">
        <w:rPr>
          <w:rFonts w:asciiTheme="majorHAnsi" w:hAnsiTheme="majorHAnsi"/>
          <w:bCs/>
          <w:lang w:val="fr-CH"/>
        </w:rPr>
        <w:t>conclu</w:t>
      </w:r>
      <w:r w:rsidR="00C609F1" w:rsidRPr="00C609F1">
        <w:rPr>
          <w:rFonts w:asciiTheme="majorHAnsi" w:hAnsiTheme="majorHAnsi"/>
          <w:bCs/>
          <w:lang w:val="fr-CH"/>
        </w:rPr>
        <w:t xml:space="preserve">t que </w:t>
      </w:r>
      <w:r w:rsidR="001B2C3B">
        <w:rPr>
          <w:rFonts w:asciiTheme="majorHAnsi" w:hAnsiTheme="majorHAnsi"/>
          <w:bCs/>
          <w:lang w:val="fr-CH"/>
        </w:rPr>
        <w:t xml:space="preserve">les commentaires </w:t>
      </w:r>
      <w:r w:rsidR="005D1737">
        <w:rPr>
          <w:rFonts w:asciiTheme="majorHAnsi" w:hAnsiTheme="majorHAnsi"/>
          <w:bCs/>
          <w:lang w:val="fr-CH"/>
        </w:rPr>
        <w:t>faits pendant les discussions sur ce point doivent être communiqués au Secrétariat, pour être pris en compte lors des réunions parallèles de la CESP le 30 mai</w:t>
      </w:r>
      <w:r w:rsidR="00397B2E" w:rsidRPr="00C609F1">
        <w:rPr>
          <w:rFonts w:asciiTheme="majorHAnsi" w:hAnsiTheme="majorHAnsi"/>
          <w:bCs/>
          <w:lang w:val="fr-CH"/>
        </w:rPr>
        <w:t>.</w:t>
      </w:r>
    </w:p>
    <w:p w14:paraId="125368EF" w14:textId="77777777" w:rsidR="00117128" w:rsidRPr="00C609F1" w:rsidRDefault="00117128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24ED5020" w14:textId="3F101B4F" w:rsidR="006B7B77" w:rsidRPr="00C609F1" w:rsidRDefault="00432D43" w:rsidP="0011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  <w:lang w:val="fr-CH"/>
        </w:rPr>
      </w:pPr>
      <w:r w:rsidRPr="00C609F1">
        <w:rPr>
          <w:rFonts w:asciiTheme="majorHAnsi" w:hAnsiTheme="majorHAnsi"/>
          <w:b/>
          <w:bCs/>
          <w:lang w:val="fr-CH"/>
        </w:rPr>
        <w:t xml:space="preserve">b. </w:t>
      </w:r>
      <w:r w:rsidR="006B7B77" w:rsidRPr="00C609F1">
        <w:rPr>
          <w:rFonts w:asciiTheme="majorHAnsi" w:hAnsiTheme="majorHAnsi"/>
          <w:b/>
          <w:bCs/>
          <w:lang w:val="fr-CH"/>
        </w:rPr>
        <w:t>Propos</w:t>
      </w:r>
      <w:r w:rsidR="00C609F1" w:rsidRPr="00C609F1">
        <w:rPr>
          <w:rFonts w:asciiTheme="majorHAnsi" w:hAnsiTheme="majorHAnsi"/>
          <w:b/>
          <w:bCs/>
          <w:lang w:val="fr-CH"/>
        </w:rPr>
        <w:t xml:space="preserve">ition de nouveaux mémorandums d’accord </w:t>
      </w:r>
      <w:r w:rsidR="00397B2E" w:rsidRPr="00C609F1">
        <w:rPr>
          <w:rFonts w:asciiTheme="majorHAnsi" w:hAnsiTheme="majorHAnsi"/>
          <w:bCs/>
          <w:lang w:val="fr-CH"/>
        </w:rPr>
        <w:t xml:space="preserve">Doc. SC53-04 </w:t>
      </w:r>
      <w:r w:rsidR="00C609F1" w:rsidRPr="00C609F1">
        <w:rPr>
          <w:i/>
          <w:lang w:val="fr-CH"/>
        </w:rPr>
        <w:t>Proposition de nouveau mémorandum d’accord et mise à jour sur d’autres accords</w:t>
      </w:r>
    </w:p>
    <w:p w14:paraId="3F27910D" w14:textId="77777777" w:rsidR="006B7B77" w:rsidRPr="00C609F1" w:rsidRDefault="006B7B77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709758E8" w14:textId="6F56665C" w:rsidR="00397B2E" w:rsidRPr="00C609F1" w:rsidRDefault="00C609F1" w:rsidP="00397B2E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C609F1">
        <w:rPr>
          <w:rFonts w:asciiTheme="majorHAnsi" w:hAnsiTheme="majorHAnsi"/>
          <w:bCs/>
          <w:lang w:val="fr-CH"/>
        </w:rPr>
        <w:t xml:space="preserve">Après </w:t>
      </w:r>
      <w:r w:rsidR="00397B2E" w:rsidRPr="00C609F1">
        <w:rPr>
          <w:rFonts w:asciiTheme="majorHAnsi" w:hAnsiTheme="majorHAnsi"/>
          <w:bCs/>
          <w:lang w:val="fr-CH"/>
        </w:rPr>
        <w:t xml:space="preserve">introduction </w:t>
      </w:r>
      <w:r w:rsidR="00233985">
        <w:rPr>
          <w:rFonts w:asciiTheme="majorHAnsi" w:hAnsiTheme="majorHAnsi"/>
          <w:bCs/>
          <w:lang w:val="fr-CH"/>
        </w:rPr>
        <w:t>d</w:t>
      </w:r>
      <w:r w:rsidRPr="00C609F1">
        <w:rPr>
          <w:rFonts w:asciiTheme="majorHAnsi" w:hAnsiTheme="majorHAnsi"/>
          <w:bCs/>
          <w:lang w:val="fr-CH"/>
        </w:rPr>
        <w:t>u</w:t>
      </w:r>
      <w:r w:rsidR="00397B2E" w:rsidRPr="00C609F1">
        <w:rPr>
          <w:rFonts w:asciiTheme="majorHAnsi" w:hAnsiTheme="majorHAnsi"/>
          <w:bCs/>
          <w:lang w:val="fr-CH"/>
        </w:rPr>
        <w:t xml:space="preserve"> document </w:t>
      </w:r>
      <w:r w:rsidRPr="00C609F1">
        <w:rPr>
          <w:rFonts w:asciiTheme="majorHAnsi" w:hAnsiTheme="majorHAnsi"/>
          <w:bCs/>
          <w:lang w:val="fr-CH"/>
        </w:rPr>
        <w:t>par le</w:t>
      </w:r>
      <w:r w:rsidR="00397B2E" w:rsidRPr="00C609F1">
        <w:rPr>
          <w:rFonts w:asciiTheme="majorHAnsi" w:hAnsiTheme="majorHAnsi"/>
          <w:bCs/>
          <w:lang w:val="fr-CH"/>
        </w:rPr>
        <w:t xml:space="preserve"> </w:t>
      </w:r>
      <w:r w:rsidR="00397B2E" w:rsidRPr="00C609F1">
        <w:rPr>
          <w:rFonts w:asciiTheme="majorHAnsi" w:hAnsiTheme="majorHAnsi"/>
          <w:b/>
          <w:bCs/>
          <w:lang w:val="fr-CH"/>
        </w:rPr>
        <w:t>Secr</w:t>
      </w:r>
      <w:r w:rsidRPr="00C609F1">
        <w:rPr>
          <w:rFonts w:asciiTheme="majorHAnsi" w:hAnsiTheme="majorHAnsi"/>
          <w:b/>
          <w:bCs/>
          <w:lang w:val="fr-CH"/>
        </w:rPr>
        <w:t>é</w:t>
      </w:r>
      <w:r w:rsidR="00397B2E" w:rsidRPr="00C609F1">
        <w:rPr>
          <w:rFonts w:asciiTheme="majorHAnsi" w:hAnsiTheme="majorHAnsi"/>
          <w:b/>
          <w:bCs/>
          <w:lang w:val="fr-CH"/>
        </w:rPr>
        <w:t>tariat</w:t>
      </w:r>
      <w:r w:rsidR="00397B2E" w:rsidRPr="00C609F1">
        <w:rPr>
          <w:rFonts w:asciiTheme="majorHAnsi" w:hAnsiTheme="majorHAnsi"/>
          <w:bCs/>
          <w:lang w:val="fr-CH"/>
        </w:rPr>
        <w:t xml:space="preserve">, </w:t>
      </w:r>
      <w:r w:rsidRPr="00C609F1">
        <w:rPr>
          <w:rFonts w:asciiTheme="majorHAnsi" w:hAnsiTheme="majorHAnsi"/>
          <w:bCs/>
          <w:lang w:val="fr-CH"/>
        </w:rPr>
        <w:t xml:space="preserve">des </w:t>
      </w:r>
      <w:r w:rsidR="00397B2E" w:rsidRPr="00C609F1">
        <w:rPr>
          <w:rFonts w:asciiTheme="majorHAnsi" w:hAnsiTheme="majorHAnsi"/>
          <w:bCs/>
          <w:lang w:val="fr-CH"/>
        </w:rPr>
        <w:t xml:space="preserve">interventions </w:t>
      </w:r>
      <w:r w:rsidRPr="00C609F1">
        <w:rPr>
          <w:rFonts w:asciiTheme="majorHAnsi" w:hAnsiTheme="majorHAnsi"/>
          <w:bCs/>
          <w:lang w:val="fr-CH"/>
        </w:rPr>
        <w:t xml:space="preserve">sont faites par les </w:t>
      </w:r>
      <w:r w:rsidR="00397B2E" w:rsidRPr="00C609F1">
        <w:rPr>
          <w:rFonts w:asciiTheme="majorHAnsi" w:hAnsiTheme="majorHAnsi"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 xml:space="preserve">membres suivants du Groupe de travail sur la gestion (GTG) </w:t>
      </w:r>
      <w:r w:rsidR="00397B2E" w:rsidRPr="00C609F1">
        <w:rPr>
          <w:rFonts w:asciiTheme="majorHAnsi" w:hAnsiTheme="majorHAnsi"/>
          <w:bCs/>
          <w:lang w:val="fr-CH"/>
        </w:rPr>
        <w:t>:</w:t>
      </w:r>
      <w:r w:rsidR="00C64B16" w:rsidRPr="00C609F1">
        <w:rPr>
          <w:rFonts w:asciiTheme="majorHAnsi" w:hAnsiTheme="majorHAnsi"/>
          <w:bCs/>
          <w:lang w:val="fr-CH"/>
        </w:rPr>
        <w:t xml:space="preserve"> </w:t>
      </w:r>
      <w:r w:rsidRPr="00C609F1">
        <w:rPr>
          <w:rFonts w:asciiTheme="majorHAnsi" w:hAnsiTheme="majorHAnsi"/>
          <w:b/>
          <w:bCs/>
          <w:lang w:val="fr-CH"/>
        </w:rPr>
        <w:t>Afrique du Sud,</w:t>
      </w:r>
      <w:r>
        <w:rPr>
          <w:rFonts w:asciiTheme="majorHAnsi" w:hAnsiTheme="majorHAnsi"/>
          <w:bCs/>
          <w:lang w:val="fr-CH"/>
        </w:rPr>
        <w:t xml:space="preserve"> </w:t>
      </w:r>
      <w:r w:rsidR="00C64B16" w:rsidRPr="00C609F1">
        <w:rPr>
          <w:rFonts w:asciiTheme="majorHAnsi" w:hAnsiTheme="majorHAnsi"/>
          <w:b/>
          <w:bCs/>
          <w:lang w:val="fr-CH"/>
        </w:rPr>
        <w:t>Australi</w:t>
      </w:r>
      <w:r>
        <w:rPr>
          <w:rFonts w:asciiTheme="majorHAnsi" w:hAnsiTheme="majorHAnsi"/>
          <w:b/>
          <w:bCs/>
          <w:lang w:val="fr-CH"/>
        </w:rPr>
        <w:t>e</w:t>
      </w:r>
      <w:r w:rsidR="00C64B16" w:rsidRPr="00C609F1">
        <w:rPr>
          <w:rFonts w:asciiTheme="majorHAnsi" w:hAnsiTheme="majorHAnsi"/>
          <w:bCs/>
          <w:lang w:val="fr-CH"/>
        </w:rPr>
        <w:t xml:space="preserve">, </w:t>
      </w:r>
      <w:r w:rsidR="00C64B16" w:rsidRPr="00C609F1">
        <w:rPr>
          <w:rFonts w:asciiTheme="majorHAnsi" w:hAnsiTheme="majorHAnsi"/>
          <w:b/>
          <w:bCs/>
          <w:lang w:val="fr-CH"/>
        </w:rPr>
        <w:t>Canada</w:t>
      </w:r>
      <w:r w:rsidR="00C64B16" w:rsidRPr="00C609F1">
        <w:rPr>
          <w:rFonts w:asciiTheme="majorHAnsi" w:hAnsiTheme="majorHAnsi"/>
          <w:bCs/>
          <w:lang w:val="fr-CH"/>
        </w:rPr>
        <w:t xml:space="preserve">, </w:t>
      </w:r>
      <w:r w:rsidR="005D1737">
        <w:rPr>
          <w:rFonts w:asciiTheme="majorHAnsi" w:hAnsiTheme="majorHAnsi"/>
          <w:b/>
          <w:bCs/>
          <w:lang w:val="fr-CH"/>
        </w:rPr>
        <w:t xml:space="preserve">Émirats arabes unis, États-Unis d’Amérique, </w:t>
      </w:r>
      <w:r w:rsidRPr="00C609F1">
        <w:rPr>
          <w:rFonts w:asciiTheme="majorHAnsi" w:hAnsiTheme="majorHAnsi"/>
          <w:b/>
          <w:bCs/>
          <w:lang w:val="fr-CH"/>
        </w:rPr>
        <w:t>Sénégal</w:t>
      </w:r>
      <w:r w:rsidR="005D1737">
        <w:rPr>
          <w:rFonts w:asciiTheme="majorHAnsi" w:hAnsiTheme="majorHAnsi"/>
          <w:b/>
          <w:bCs/>
          <w:lang w:val="fr-CH"/>
        </w:rPr>
        <w:t>, Suisse</w:t>
      </w:r>
      <w:r w:rsidR="00C64B16" w:rsidRPr="00C609F1">
        <w:rPr>
          <w:rFonts w:asciiTheme="majorHAnsi" w:hAnsiTheme="majorHAnsi"/>
          <w:b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>et</w:t>
      </w:r>
      <w:r w:rsidR="00397B2E" w:rsidRPr="00C609F1">
        <w:rPr>
          <w:rFonts w:asciiTheme="majorHAnsi" w:hAnsiTheme="majorHAnsi"/>
          <w:b/>
          <w:bCs/>
          <w:lang w:val="fr-CH"/>
        </w:rPr>
        <w:t xml:space="preserve"> Uruguay</w:t>
      </w:r>
      <w:r w:rsidR="00397B2E" w:rsidRPr="00C609F1">
        <w:rPr>
          <w:rFonts w:asciiTheme="majorHAnsi" w:hAnsiTheme="majorHAnsi"/>
          <w:bCs/>
          <w:lang w:val="fr-CH"/>
        </w:rPr>
        <w:t>,</w:t>
      </w:r>
      <w:r w:rsidR="00397B2E" w:rsidRPr="00C609F1">
        <w:rPr>
          <w:rFonts w:asciiTheme="majorHAnsi" w:hAnsiTheme="majorHAnsi"/>
          <w:b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 xml:space="preserve">ainsi que par les observateurs suivants </w:t>
      </w:r>
      <w:r w:rsidR="00C64B16" w:rsidRPr="00C609F1">
        <w:rPr>
          <w:rFonts w:asciiTheme="majorHAnsi" w:hAnsiTheme="majorHAnsi"/>
          <w:bCs/>
          <w:lang w:val="fr-CH"/>
        </w:rPr>
        <w:t xml:space="preserve">: </w:t>
      </w:r>
      <w:r w:rsidR="00C64B16" w:rsidRPr="00C609F1">
        <w:rPr>
          <w:rFonts w:asciiTheme="majorHAnsi" w:hAnsiTheme="majorHAnsi"/>
          <w:b/>
          <w:bCs/>
          <w:lang w:val="fr-CH"/>
        </w:rPr>
        <w:t>Argentin</w:t>
      </w:r>
      <w:r>
        <w:rPr>
          <w:rFonts w:asciiTheme="majorHAnsi" w:hAnsiTheme="majorHAnsi"/>
          <w:b/>
          <w:bCs/>
          <w:lang w:val="fr-CH"/>
        </w:rPr>
        <w:t>e</w:t>
      </w:r>
      <w:r w:rsidR="00C64B16" w:rsidRPr="00C609F1">
        <w:rPr>
          <w:rFonts w:asciiTheme="majorHAnsi" w:hAnsiTheme="majorHAnsi"/>
          <w:bCs/>
          <w:lang w:val="fr-CH"/>
        </w:rPr>
        <w:t xml:space="preserve">, </w:t>
      </w:r>
      <w:r w:rsidRPr="00C609F1">
        <w:rPr>
          <w:rFonts w:asciiTheme="majorHAnsi" w:hAnsiTheme="majorHAnsi"/>
          <w:b/>
          <w:bCs/>
          <w:lang w:val="fr-CH"/>
        </w:rPr>
        <w:t>Colombie</w:t>
      </w:r>
      <w:r w:rsidR="00C64B16" w:rsidRPr="00C609F1">
        <w:rPr>
          <w:rFonts w:asciiTheme="majorHAnsi" w:hAnsiTheme="majorHAnsi"/>
          <w:bCs/>
          <w:lang w:val="fr-CH"/>
        </w:rPr>
        <w:t>,</w:t>
      </w:r>
      <w:r>
        <w:rPr>
          <w:rFonts w:asciiTheme="majorHAnsi" w:hAnsiTheme="majorHAnsi"/>
          <w:bCs/>
          <w:lang w:val="fr-CH"/>
        </w:rPr>
        <w:t xml:space="preserve"> </w:t>
      </w:r>
      <w:r w:rsidRPr="00C609F1">
        <w:rPr>
          <w:rFonts w:asciiTheme="majorHAnsi" w:hAnsiTheme="majorHAnsi"/>
          <w:b/>
          <w:bCs/>
          <w:lang w:val="fr-CH"/>
        </w:rPr>
        <w:t>Japon</w:t>
      </w:r>
      <w:r w:rsidR="00C64B16" w:rsidRPr="00C609F1">
        <w:rPr>
          <w:rFonts w:asciiTheme="majorHAnsi" w:hAnsiTheme="majorHAnsi"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>et</w:t>
      </w:r>
      <w:r w:rsidR="00C64B16" w:rsidRPr="00C609F1">
        <w:rPr>
          <w:rFonts w:asciiTheme="majorHAnsi" w:hAnsiTheme="majorHAnsi"/>
          <w:bCs/>
          <w:lang w:val="fr-CH"/>
        </w:rPr>
        <w:t xml:space="preserve"> </w:t>
      </w:r>
      <w:r w:rsidR="00C64B16" w:rsidRPr="00C609F1">
        <w:rPr>
          <w:rFonts w:asciiTheme="majorHAnsi" w:hAnsiTheme="majorHAnsi"/>
          <w:b/>
          <w:bCs/>
          <w:lang w:val="fr-CH"/>
        </w:rPr>
        <w:t>WWT</w:t>
      </w:r>
      <w:r w:rsidR="00C64B16" w:rsidRPr="00C609F1">
        <w:rPr>
          <w:rFonts w:asciiTheme="majorHAnsi" w:hAnsiTheme="majorHAnsi"/>
          <w:bCs/>
          <w:lang w:val="fr-CH"/>
        </w:rPr>
        <w:t>.</w:t>
      </w:r>
      <w:r w:rsidR="0015054E">
        <w:rPr>
          <w:rFonts w:asciiTheme="majorHAnsi" w:hAnsiTheme="majorHAnsi"/>
          <w:bCs/>
          <w:lang w:val="fr-CH"/>
        </w:rPr>
        <w:t xml:space="preserve"> Le WWT informe le GTG du renouvellement du mémorandum d’accord entre les Organisations internationales partenaires (OIP) et le Secrétariat à l’issue d’une réunion utile des chefs d’OIP et de la Secrétaire générale.  </w:t>
      </w:r>
    </w:p>
    <w:p w14:paraId="562A2240" w14:textId="77777777" w:rsidR="006D6D51" w:rsidRPr="00C609F1" w:rsidRDefault="006D6D51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61524A35" w14:textId="12FF83BB" w:rsidR="00C64B16" w:rsidRPr="00C609F1" w:rsidRDefault="00C609F1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C609F1">
        <w:rPr>
          <w:rFonts w:asciiTheme="majorHAnsi" w:hAnsiTheme="majorHAnsi"/>
          <w:bCs/>
          <w:lang w:val="fr-CH"/>
        </w:rPr>
        <w:t xml:space="preserve">Il est décidé que le GTG recommandera à la </w:t>
      </w:r>
      <w:r>
        <w:rPr>
          <w:rFonts w:asciiTheme="majorHAnsi" w:hAnsiTheme="majorHAnsi"/>
          <w:bCs/>
          <w:lang w:val="fr-CH"/>
        </w:rPr>
        <w:t>53</w:t>
      </w:r>
      <w:r>
        <w:rPr>
          <w:rFonts w:asciiTheme="majorHAnsi" w:hAnsiTheme="majorHAnsi"/>
          <w:bCs/>
          <w:vertAlign w:val="superscript"/>
          <w:lang w:val="fr-CH"/>
        </w:rPr>
        <w:t>e</w:t>
      </w:r>
      <w:r>
        <w:rPr>
          <w:rFonts w:asciiTheme="majorHAnsi" w:hAnsiTheme="majorHAnsi"/>
          <w:bCs/>
          <w:lang w:val="fr-CH"/>
        </w:rPr>
        <w:t xml:space="preserve"> Réunion du Comité permanent :</w:t>
      </w:r>
    </w:p>
    <w:p w14:paraId="6837C0CD" w14:textId="77777777" w:rsidR="00C64B16" w:rsidRPr="00C609F1" w:rsidRDefault="00C64B16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406332DD" w14:textId="181761F5" w:rsidR="001F3290" w:rsidRPr="00C609F1" w:rsidRDefault="00C64B16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C609F1">
        <w:rPr>
          <w:rFonts w:asciiTheme="majorHAnsi" w:hAnsiTheme="majorHAnsi"/>
          <w:bCs/>
          <w:lang w:val="fr-CH"/>
        </w:rPr>
        <w:t xml:space="preserve">- </w:t>
      </w:r>
      <w:r w:rsidR="00DE5545">
        <w:rPr>
          <w:rFonts w:asciiTheme="majorHAnsi" w:hAnsiTheme="majorHAnsi"/>
          <w:bCs/>
          <w:lang w:val="fr-CH"/>
        </w:rPr>
        <w:t xml:space="preserve">de </w:t>
      </w:r>
      <w:r w:rsidR="00C609F1" w:rsidRPr="00C609F1">
        <w:rPr>
          <w:rFonts w:asciiTheme="majorHAnsi" w:hAnsiTheme="majorHAnsi"/>
          <w:bCs/>
          <w:lang w:val="fr-CH"/>
        </w:rPr>
        <w:t>condui</w:t>
      </w:r>
      <w:r w:rsidR="00EE2E12">
        <w:rPr>
          <w:rFonts w:asciiTheme="majorHAnsi" w:hAnsiTheme="majorHAnsi"/>
          <w:bCs/>
          <w:lang w:val="fr-CH"/>
        </w:rPr>
        <w:t xml:space="preserve">re </w:t>
      </w:r>
      <w:r w:rsidR="00C609F1" w:rsidRPr="00C609F1">
        <w:rPr>
          <w:rFonts w:asciiTheme="majorHAnsi" w:hAnsiTheme="majorHAnsi"/>
          <w:bCs/>
          <w:lang w:val="fr-CH"/>
        </w:rPr>
        <w:t>un examen de tous les accords de coopération actuels et proposés</w:t>
      </w:r>
      <w:r w:rsidRPr="00C609F1">
        <w:rPr>
          <w:rFonts w:asciiTheme="majorHAnsi" w:hAnsiTheme="majorHAnsi"/>
          <w:bCs/>
          <w:lang w:val="fr-CH"/>
        </w:rPr>
        <w:t xml:space="preserve"> (</w:t>
      </w:r>
      <w:r w:rsidR="00C609F1" w:rsidRPr="00C609F1">
        <w:rPr>
          <w:rFonts w:asciiTheme="majorHAnsi" w:hAnsiTheme="majorHAnsi"/>
          <w:bCs/>
          <w:lang w:val="fr-CH"/>
        </w:rPr>
        <w:t>qu’il s’agi</w:t>
      </w:r>
      <w:r w:rsidR="00EE2E12">
        <w:rPr>
          <w:rFonts w:asciiTheme="majorHAnsi" w:hAnsiTheme="majorHAnsi"/>
          <w:bCs/>
          <w:lang w:val="fr-CH"/>
        </w:rPr>
        <w:t>sse</w:t>
      </w:r>
      <w:r w:rsidR="00C609F1" w:rsidRPr="00C609F1">
        <w:rPr>
          <w:rFonts w:asciiTheme="majorHAnsi" w:hAnsiTheme="majorHAnsi"/>
          <w:bCs/>
          <w:lang w:val="fr-CH"/>
        </w:rPr>
        <w:t xml:space="preserve"> de mémorandums d’accord, de mémorandums de coopération ou leurs équivalent</w:t>
      </w:r>
      <w:r w:rsidR="00C609F1">
        <w:rPr>
          <w:rFonts w:asciiTheme="majorHAnsi" w:hAnsiTheme="majorHAnsi"/>
          <w:bCs/>
          <w:lang w:val="fr-CH"/>
        </w:rPr>
        <w:t>s) en tenant compte du présent document ainsi que</w:t>
      </w:r>
      <w:r w:rsidR="00EE2E12">
        <w:rPr>
          <w:rFonts w:asciiTheme="majorHAnsi" w:hAnsiTheme="majorHAnsi"/>
          <w:bCs/>
          <w:lang w:val="fr-CH"/>
        </w:rPr>
        <w:t xml:space="preserve"> des travaux menés précédemment par la 52</w:t>
      </w:r>
      <w:r w:rsidR="00EE2E12">
        <w:rPr>
          <w:rFonts w:asciiTheme="majorHAnsi" w:hAnsiTheme="majorHAnsi"/>
          <w:bCs/>
          <w:vertAlign w:val="superscript"/>
          <w:lang w:val="fr-CH"/>
        </w:rPr>
        <w:t>e</w:t>
      </w:r>
      <w:r w:rsidR="00EE2E12">
        <w:rPr>
          <w:rFonts w:asciiTheme="majorHAnsi" w:hAnsiTheme="majorHAnsi"/>
          <w:bCs/>
          <w:lang w:val="fr-CH"/>
        </w:rPr>
        <w:t xml:space="preserve"> Réunion du Comité permanent, et de faire rapport à la 54</w:t>
      </w:r>
      <w:r w:rsidR="00EE2E12">
        <w:rPr>
          <w:rFonts w:asciiTheme="majorHAnsi" w:hAnsiTheme="majorHAnsi"/>
          <w:bCs/>
          <w:vertAlign w:val="superscript"/>
          <w:lang w:val="fr-CH"/>
        </w:rPr>
        <w:t>e</w:t>
      </w:r>
      <w:r w:rsidR="00EE2E12">
        <w:rPr>
          <w:rFonts w:asciiTheme="majorHAnsi" w:hAnsiTheme="majorHAnsi"/>
          <w:bCs/>
          <w:lang w:val="fr-CH"/>
        </w:rPr>
        <w:t xml:space="preserve"> Réunion du Comité permanent</w:t>
      </w:r>
      <w:r w:rsidRPr="00C609F1">
        <w:rPr>
          <w:rFonts w:asciiTheme="majorHAnsi" w:hAnsiTheme="majorHAnsi"/>
          <w:bCs/>
          <w:lang w:val="fr-CH"/>
        </w:rPr>
        <w:t>;</w:t>
      </w:r>
    </w:p>
    <w:p w14:paraId="211C1AAC" w14:textId="2F7AAECB" w:rsidR="00C64B16" w:rsidRPr="00EE2E12" w:rsidRDefault="00C64B16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EE2E12">
        <w:rPr>
          <w:rFonts w:asciiTheme="majorHAnsi" w:hAnsiTheme="majorHAnsi"/>
          <w:bCs/>
          <w:lang w:val="fr-CH"/>
        </w:rPr>
        <w:t xml:space="preserve">- </w:t>
      </w:r>
      <w:r w:rsidR="00DE5545">
        <w:rPr>
          <w:rFonts w:asciiTheme="majorHAnsi" w:hAnsiTheme="majorHAnsi"/>
          <w:bCs/>
          <w:lang w:val="fr-CH"/>
        </w:rPr>
        <w:t xml:space="preserve">de conduire </w:t>
      </w:r>
      <w:r w:rsidR="00EE2E12" w:rsidRPr="00EE2E12">
        <w:rPr>
          <w:rFonts w:asciiTheme="majorHAnsi" w:hAnsiTheme="majorHAnsi"/>
          <w:bCs/>
          <w:lang w:val="fr-CH"/>
        </w:rPr>
        <w:t>cet examen sur la base de</w:t>
      </w:r>
      <w:r w:rsidR="0015054E">
        <w:rPr>
          <w:rFonts w:asciiTheme="majorHAnsi" w:hAnsiTheme="majorHAnsi"/>
          <w:bCs/>
          <w:lang w:val="fr-CH"/>
        </w:rPr>
        <w:t>s</w:t>
      </w:r>
      <w:r w:rsidR="00EE2E12" w:rsidRPr="00EE2E12">
        <w:rPr>
          <w:rFonts w:asciiTheme="majorHAnsi" w:hAnsiTheme="majorHAnsi"/>
          <w:bCs/>
          <w:lang w:val="fr-CH"/>
        </w:rPr>
        <w:t xml:space="preserve"> critères </w:t>
      </w:r>
      <w:r w:rsidR="0015054E">
        <w:rPr>
          <w:rFonts w:asciiTheme="majorHAnsi" w:hAnsiTheme="majorHAnsi"/>
          <w:bCs/>
          <w:lang w:val="fr-CH"/>
        </w:rPr>
        <w:t xml:space="preserve">mentionnés </w:t>
      </w:r>
      <w:r w:rsidR="00EE2E12" w:rsidRPr="00EE2E12">
        <w:rPr>
          <w:rFonts w:asciiTheme="majorHAnsi" w:hAnsiTheme="majorHAnsi"/>
          <w:bCs/>
          <w:lang w:val="fr-CH"/>
        </w:rPr>
        <w:t>par le</w:t>
      </w:r>
      <w:r w:rsidR="0015054E">
        <w:rPr>
          <w:rFonts w:asciiTheme="majorHAnsi" w:hAnsiTheme="majorHAnsi"/>
          <w:bCs/>
          <w:lang w:val="fr-CH"/>
        </w:rPr>
        <w:t>s membres du GTG</w:t>
      </w:r>
      <w:r w:rsidR="00EE2E12" w:rsidRPr="00EE2E12">
        <w:rPr>
          <w:rFonts w:asciiTheme="majorHAnsi" w:hAnsiTheme="majorHAnsi"/>
          <w:bCs/>
          <w:lang w:val="fr-CH"/>
        </w:rPr>
        <w:t xml:space="preserve"> et qui pourraient comprendre une </w:t>
      </w:r>
      <w:r w:rsidR="00EE2E12">
        <w:rPr>
          <w:rFonts w:asciiTheme="majorHAnsi" w:hAnsiTheme="majorHAnsi"/>
          <w:bCs/>
          <w:lang w:val="fr-CH"/>
        </w:rPr>
        <w:t>é</w:t>
      </w:r>
      <w:r w:rsidR="00EE2E12" w:rsidRPr="00EE2E12">
        <w:rPr>
          <w:rFonts w:asciiTheme="majorHAnsi" w:hAnsiTheme="majorHAnsi"/>
          <w:bCs/>
          <w:lang w:val="fr-CH"/>
        </w:rPr>
        <w:t>valuation des coûts et avantages des accords en vigueur et propos</w:t>
      </w:r>
      <w:r w:rsidR="00233985">
        <w:rPr>
          <w:rFonts w:asciiTheme="majorHAnsi" w:hAnsiTheme="majorHAnsi"/>
          <w:bCs/>
          <w:lang w:val="fr-CH"/>
        </w:rPr>
        <w:t>é</w:t>
      </w:r>
      <w:r w:rsidR="00EE2E12" w:rsidRPr="00EE2E12">
        <w:rPr>
          <w:rFonts w:asciiTheme="majorHAnsi" w:hAnsiTheme="majorHAnsi"/>
          <w:bCs/>
          <w:lang w:val="fr-CH"/>
        </w:rPr>
        <w:t xml:space="preserve">s, </w:t>
      </w:r>
      <w:r w:rsidR="00120F0E" w:rsidRPr="00EE2E12">
        <w:rPr>
          <w:rFonts w:asciiTheme="majorHAnsi" w:hAnsiTheme="majorHAnsi"/>
          <w:bCs/>
          <w:lang w:val="fr-CH"/>
        </w:rPr>
        <w:t xml:space="preserve"> </w:t>
      </w:r>
      <w:r w:rsidR="00EE2E12">
        <w:rPr>
          <w:rFonts w:asciiTheme="majorHAnsi" w:hAnsiTheme="majorHAnsi"/>
          <w:bCs/>
          <w:lang w:val="fr-CH"/>
        </w:rPr>
        <w:lastRenderedPageBreak/>
        <w:t>de la valeur ajoutée</w:t>
      </w:r>
      <w:r w:rsidR="00244127" w:rsidRPr="00EE2E12">
        <w:rPr>
          <w:rFonts w:asciiTheme="majorHAnsi" w:hAnsiTheme="majorHAnsi"/>
          <w:bCs/>
          <w:lang w:val="fr-CH"/>
        </w:rPr>
        <w:t xml:space="preserve">, </w:t>
      </w:r>
      <w:r w:rsidR="00EE2E12">
        <w:rPr>
          <w:rFonts w:asciiTheme="majorHAnsi" w:hAnsiTheme="majorHAnsi"/>
          <w:bCs/>
          <w:lang w:val="fr-CH"/>
        </w:rPr>
        <w:t xml:space="preserve">des </w:t>
      </w:r>
      <w:r w:rsidR="00EE2E12" w:rsidRPr="00EE2E12">
        <w:rPr>
          <w:rFonts w:asciiTheme="majorHAnsi" w:hAnsiTheme="majorHAnsi"/>
          <w:bCs/>
          <w:lang w:val="fr-CH"/>
        </w:rPr>
        <w:t>mécanismes</w:t>
      </w:r>
      <w:r w:rsidR="00120F0E" w:rsidRPr="00EE2E12">
        <w:rPr>
          <w:rFonts w:asciiTheme="majorHAnsi" w:hAnsiTheme="majorHAnsi"/>
          <w:bCs/>
          <w:lang w:val="fr-CH"/>
        </w:rPr>
        <w:t xml:space="preserve"> </w:t>
      </w:r>
      <w:r w:rsidR="00EE2E12">
        <w:rPr>
          <w:rFonts w:asciiTheme="majorHAnsi" w:hAnsiTheme="majorHAnsi"/>
          <w:bCs/>
          <w:lang w:val="fr-CH"/>
        </w:rPr>
        <w:t xml:space="preserve">de suivi des </w:t>
      </w:r>
      <w:r w:rsidR="00EE2E12" w:rsidRPr="00EE2E12">
        <w:rPr>
          <w:rFonts w:asciiTheme="majorHAnsi" w:hAnsiTheme="majorHAnsi"/>
          <w:bCs/>
          <w:lang w:val="fr-CH"/>
        </w:rPr>
        <w:t>résulta</w:t>
      </w:r>
      <w:r w:rsidR="00EE2E12">
        <w:rPr>
          <w:rFonts w:asciiTheme="majorHAnsi" w:hAnsiTheme="majorHAnsi"/>
          <w:bCs/>
          <w:lang w:val="fr-CH"/>
        </w:rPr>
        <w:t>ts</w:t>
      </w:r>
      <w:r w:rsidR="00120F0E" w:rsidRPr="00EE2E12">
        <w:rPr>
          <w:rFonts w:asciiTheme="majorHAnsi" w:hAnsiTheme="majorHAnsi"/>
          <w:bCs/>
          <w:lang w:val="fr-CH"/>
        </w:rPr>
        <w:t xml:space="preserve">, </w:t>
      </w:r>
      <w:r w:rsidR="00EE2E12">
        <w:rPr>
          <w:rFonts w:asciiTheme="majorHAnsi" w:hAnsiTheme="majorHAnsi"/>
          <w:bCs/>
          <w:lang w:val="fr-CH"/>
        </w:rPr>
        <w:t>l’élaboration éventuelle d’un accord ‘modèle’ et la question de savoir si certains partenariats pourraient progresser efficacement sans qu’il soit nécessaire de disposer d’accords écrits officiels</w:t>
      </w:r>
      <w:r w:rsidR="00120F0E" w:rsidRPr="00EE2E12">
        <w:rPr>
          <w:rFonts w:asciiTheme="majorHAnsi" w:hAnsiTheme="majorHAnsi"/>
          <w:bCs/>
          <w:lang w:val="fr-CH"/>
        </w:rPr>
        <w:t>;</w:t>
      </w:r>
    </w:p>
    <w:p w14:paraId="58C575BE" w14:textId="3590E720" w:rsidR="00120F0E" w:rsidRPr="00EE2E12" w:rsidRDefault="00120F0E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EE2E12">
        <w:rPr>
          <w:rFonts w:asciiTheme="majorHAnsi" w:hAnsiTheme="majorHAnsi"/>
          <w:bCs/>
          <w:lang w:val="fr-CH"/>
        </w:rPr>
        <w:t xml:space="preserve">- </w:t>
      </w:r>
      <w:r w:rsidR="00DE5545">
        <w:rPr>
          <w:rFonts w:asciiTheme="majorHAnsi" w:hAnsiTheme="majorHAnsi"/>
          <w:bCs/>
          <w:lang w:val="fr-CH"/>
        </w:rPr>
        <w:t xml:space="preserve">d’examiner </w:t>
      </w:r>
      <w:r w:rsidR="00EE2E12" w:rsidRPr="00EE2E12">
        <w:rPr>
          <w:rFonts w:asciiTheme="majorHAnsi" w:hAnsiTheme="majorHAnsi"/>
          <w:bCs/>
          <w:lang w:val="fr-CH"/>
        </w:rPr>
        <w:t xml:space="preserve">le projet de mémorandum d’accord avec </w:t>
      </w:r>
      <w:r w:rsidR="00EE2E12">
        <w:rPr>
          <w:rFonts w:asciiTheme="majorHAnsi" w:hAnsiTheme="majorHAnsi"/>
          <w:bCs/>
          <w:lang w:val="fr-CH"/>
        </w:rPr>
        <w:t>le</w:t>
      </w:r>
      <w:r w:rsidRPr="00EE2E12">
        <w:rPr>
          <w:rFonts w:asciiTheme="majorHAnsi" w:hAnsiTheme="majorHAnsi"/>
          <w:bCs/>
          <w:lang w:val="fr-CH"/>
        </w:rPr>
        <w:t xml:space="preserve"> SACEP (Annex</w:t>
      </w:r>
      <w:r w:rsidR="00EE2E12">
        <w:rPr>
          <w:rFonts w:asciiTheme="majorHAnsi" w:hAnsiTheme="majorHAnsi"/>
          <w:bCs/>
          <w:lang w:val="fr-CH"/>
        </w:rPr>
        <w:t>e</w:t>
      </w:r>
      <w:r w:rsidRPr="00EE2E12">
        <w:rPr>
          <w:rFonts w:asciiTheme="majorHAnsi" w:hAnsiTheme="majorHAnsi"/>
          <w:bCs/>
          <w:lang w:val="fr-CH"/>
        </w:rPr>
        <w:t xml:space="preserve"> 1 </w:t>
      </w:r>
      <w:r w:rsidR="00EE2E12">
        <w:rPr>
          <w:rFonts w:asciiTheme="majorHAnsi" w:hAnsiTheme="majorHAnsi"/>
          <w:bCs/>
          <w:lang w:val="fr-CH"/>
        </w:rPr>
        <w:t>du document</w:t>
      </w:r>
      <w:r w:rsidRPr="00EE2E12">
        <w:rPr>
          <w:rFonts w:asciiTheme="majorHAnsi" w:hAnsiTheme="majorHAnsi"/>
          <w:bCs/>
          <w:lang w:val="fr-CH"/>
        </w:rPr>
        <w:t xml:space="preserve"> SC53-04) </w:t>
      </w:r>
      <w:r w:rsidR="00EE2E12">
        <w:rPr>
          <w:rFonts w:asciiTheme="majorHAnsi" w:hAnsiTheme="majorHAnsi"/>
          <w:bCs/>
          <w:lang w:val="fr-CH"/>
        </w:rPr>
        <w:t>dans le cadre de cet examen général des accords de coopération</w:t>
      </w:r>
      <w:r w:rsidRPr="00EE2E12">
        <w:rPr>
          <w:rFonts w:asciiTheme="majorHAnsi" w:hAnsiTheme="majorHAnsi"/>
          <w:bCs/>
          <w:lang w:val="fr-CH"/>
        </w:rPr>
        <w:t>;</w:t>
      </w:r>
    </w:p>
    <w:p w14:paraId="7B32D479" w14:textId="724F2AAD" w:rsidR="00C64B16" w:rsidRPr="00DE5545" w:rsidRDefault="00120F0E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DE5545">
        <w:rPr>
          <w:rFonts w:asciiTheme="majorHAnsi" w:hAnsiTheme="majorHAnsi"/>
          <w:bCs/>
          <w:lang w:val="fr-CH"/>
        </w:rPr>
        <w:t xml:space="preserve">- </w:t>
      </w:r>
      <w:r w:rsidR="00DE5545" w:rsidRPr="00DE5545">
        <w:rPr>
          <w:rFonts w:asciiTheme="majorHAnsi" w:hAnsiTheme="majorHAnsi"/>
          <w:bCs/>
          <w:lang w:val="fr-CH"/>
        </w:rPr>
        <w:t xml:space="preserve">de prendre </w:t>
      </w:r>
      <w:r w:rsidR="00AE544E">
        <w:rPr>
          <w:rFonts w:asciiTheme="majorHAnsi" w:hAnsiTheme="majorHAnsi"/>
          <w:bCs/>
          <w:lang w:val="fr-CH"/>
        </w:rPr>
        <w:t xml:space="preserve">éventuellement </w:t>
      </w:r>
      <w:r w:rsidR="00DE5545" w:rsidRPr="00DE5545">
        <w:rPr>
          <w:rFonts w:asciiTheme="majorHAnsi" w:hAnsiTheme="majorHAnsi"/>
          <w:bCs/>
          <w:lang w:val="fr-CH"/>
        </w:rPr>
        <w:t>une</w:t>
      </w:r>
      <w:r w:rsidR="00C64B16" w:rsidRPr="00DE5545">
        <w:rPr>
          <w:rFonts w:asciiTheme="majorHAnsi" w:hAnsiTheme="majorHAnsi"/>
          <w:bCs/>
          <w:lang w:val="fr-CH"/>
        </w:rPr>
        <w:t xml:space="preserve"> d</w:t>
      </w:r>
      <w:r w:rsidR="00DE5545" w:rsidRPr="00DE5545">
        <w:rPr>
          <w:rFonts w:asciiTheme="majorHAnsi" w:hAnsiTheme="majorHAnsi"/>
          <w:bCs/>
          <w:lang w:val="fr-CH"/>
        </w:rPr>
        <w:t>é</w:t>
      </w:r>
      <w:r w:rsidR="00C64B16" w:rsidRPr="00DE5545">
        <w:rPr>
          <w:rFonts w:asciiTheme="majorHAnsi" w:hAnsiTheme="majorHAnsi"/>
          <w:bCs/>
          <w:lang w:val="fr-CH"/>
        </w:rPr>
        <w:t xml:space="preserve">cision </w:t>
      </w:r>
      <w:r w:rsidR="00DE5545" w:rsidRPr="00DE5545">
        <w:rPr>
          <w:rFonts w:asciiTheme="majorHAnsi" w:hAnsiTheme="majorHAnsi"/>
          <w:bCs/>
          <w:lang w:val="fr-CH"/>
        </w:rPr>
        <w:t>sur la signature</w:t>
      </w:r>
      <w:r w:rsidR="00233985">
        <w:rPr>
          <w:rFonts w:asciiTheme="majorHAnsi" w:hAnsiTheme="majorHAnsi"/>
          <w:bCs/>
          <w:lang w:val="fr-CH"/>
        </w:rPr>
        <w:t>,</w:t>
      </w:r>
      <w:r w:rsidR="00DE5545" w:rsidRPr="00DE5545">
        <w:rPr>
          <w:rFonts w:asciiTheme="majorHAnsi" w:hAnsiTheme="majorHAnsi"/>
          <w:bCs/>
          <w:lang w:val="fr-CH"/>
        </w:rPr>
        <w:t xml:space="preserve"> par la Secrétaire générale</w:t>
      </w:r>
      <w:r w:rsidR="00233985">
        <w:rPr>
          <w:rFonts w:asciiTheme="majorHAnsi" w:hAnsiTheme="majorHAnsi"/>
          <w:bCs/>
          <w:lang w:val="fr-CH"/>
        </w:rPr>
        <w:t>,</w:t>
      </w:r>
      <w:r w:rsidR="00C64B16" w:rsidRPr="00DE5545">
        <w:rPr>
          <w:rFonts w:asciiTheme="majorHAnsi" w:hAnsiTheme="majorHAnsi"/>
          <w:bCs/>
          <w:lang w:val="fr-CH"/>
        </w:rPr>
        <w:t xml:space="preserve"> </w:t>
      </w:r>
      <w:r w:rsidR="00DE5545" w:rsidRPr="00DE5545">
        <w:rPr>
          <w:rFonts w:asciiTheme="majorHAnsi" w:hAnsiTheme="majorHAnsi"/>
          <w:bCs/>
          <w:lang w:val="fr-CH"/>
        </w:rPr>
        <w:t>du projet de lettre d’accord avec le Partenariat international pour le carbone bleu</w:t>
      </w:r>
      <w:r w:rsidR="00DE5545">
        <w:rPr>
          <w:rFonts w:asciiTheme="majorHAnsi" w:hAnsiTheme="majorHAnsi"/>
          <w:bCs/>
          <w:lang w:val="fr-CH"/>
        </w:rPr>
        <w:t xml:space="preserve"> une fois que la lettre d’invitation reçue du Gouvernement de l’Australie aura été communiquée au GTG</w:t>
      </w:r>
      <w:r w:rsidR="00C64B16" w:rsidRPr="00DE5545">
        <w:rPr>
          <w:rFonts w:asciiTheme="majorHAnsi" w:hAnsiTheme="majorHAnsi"/>
          <w:bCs/>
          <w:lang w:val="fr-CH"/>
        </w:rPr>
        <w:t>.</w:t>
      </w:r>
    </w:p>
    <w:p w14:paraId="4E1E3CA9" w14:textId="77777777" w:rsidR="00EF2094" w:rsidRPr="00DE5545" w:rsidRDefault="00EF2094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4DE014A6" w14:textId="1417E6CB" w:rsidR="00244127" w:rsidRPr="00DD5734" w:rsidRDefault="00DD5734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DD5734">
        <w:rPr>
          <w:rFonts w:asciiTheme="majorHAnsi" w:hAnsiTheme="majorHAnsi"/>
          <w:bCs/>
          <w:lang w:val="fr-CH"/>
        </w:rPr>
        <w:t>Il est également not</w:t>
      </w:r>
      <w:r w:rsidR="00233985">
        <w:rPr>
          <w:rFonts w:asciiTheme="majorHAnsi" w:hAnsiTheme="majorHAnsi"/>
          <w:bCs/>
          <w:lang w:val="fr-CH"/>
        </w:rPr>
        <w:t>é</w:t>
      </w:r>
      <w:r w:rsidRPr="00DD5734">
        <w:rPr>
          <w:rFonts w:asciiTheme="majorHAnsi" w:hAnsiTheme="majorHAnsi"/>
          <w:bCs/>
          <w:lang w:val="fr-CH"/>
        </w:rPr>
        <w:t xml:space="preserve"> que le Plan de travail conjoint</w:t>
      </w:r>
      <w:r w:rsidR="00244127" w:rsidRPr="00DD5734">
        <w:rPr>
          <w:rFonts w:asciiTheme="majorHAnsi" w:hAnsiTheme="majorHAnsi"/>
          <w:bCs/>
          <w:lang w:val="fr-CH"/>
        </w:rPr>
        <w:t xml:space="preserve"> 2015-2017 </w:t>
      </w:r>
      <w:r>
        <w:rPr>
          <w:rFonts w:asciiTheme="majorHAnsi" w:hAnsiTheme="majorHAnsi"/>
          <w:bCs/>
          <w:lang w:val="fr-CH"/>
        </w:rPr>
        <w:t>entre le Secrétariat Ramsar et le Secrétariat de la CMS</w:t>
      </w:r>
      <w:r w:rsidR="00244127" w:rsidRPr="00DD5734">
        <w:rPr>
          <w:rFonts w:asciiTheme="majorHAnsi" w:hAnsiTheme="majorHAnsi"/>
          <w:bCs/>
          <w:lang w:val="fr-CH"/>
        </w:rPr>
        <w:t xml:space="preserve"> (Annex</w:t>
      </w:r>
      <w:r>
        <w:rPr>
          <w:rFonts w:asciiTheme="majorHAnsi" w:hAnsiTheme="majorHAnsi"/>
          <w:bCs/>
          <w:lang w:val="fr-CH"/>
        </w:rPr>
        <w:t>e</w:t>
      </w:r>
      <w:r w:rsidR="00244127" w:rsidRPr="00DD5734">
        <w:rPr>
          <w:rFonts w:asciiTheme="majorHAnsi" w:hAnsiTheme="majorHAnsi"/>
          <w:bCs/>
          <w:lang w:val="fr-CH"/>
        </w:rPr>
        <w:t xml:space="preserve"> 2 </w:t>
      </w:r>
      <w:r>
        <w:rPr>
          <w:rFonts w:asciiTheme="majorHAnsi" w:hAnsiTheme="majorHAnsi"/>
          <w:bCs/>
          <w:lang w:val="fr-CH"/>
        </w:rPr>
        <w:t>du document</w:t>
      </w:r>
      <w:r w:rsidR="00244127" w:rsidRPr="00DD5734">
        <w:rPr>
          <w:rFonts w:asciiTheme="majorHAnsi" w:hAnsiTheme="majorHAnsi"/>
          <w:bCs/>
          <w:lang w:val="fr-CH"/>
        </w:rPr>
        <w:t xml:space="preserve"> SC53-04) </w:t>
      </w:r>
      <w:r>
        <w:rPr>
          <w:rFonts w:asciiTheme="majorHAnsi" w:hAnsiTheme="majorHAnsi"/>
          <w:bCs/>
          <w:lang w:val="fr-CH"/>
        </w:rPr>
        <w:t>devra peut-être être révisé pour tenir compte du nouveau Plan stratégique de la CMS qui sera présenté pour adoption à la COP de la CMS en octobre 2017</w:t>
      </w:r>
      <w:r w:rsidR="00244127" w:rsidRPr="00DD5734">
        <w:rPr>
          <w:rFonts w:asciiTheme="majorHAnsi" w:hAnsiTheme="majorHAnsi"/>
          <w:bCs/>
          <w:lang w:val="fr-CH"/>
        </w:rPr>
        <w:t>.</w:t>
      </w:r>
    </w:p>
    <w:p w14:paraId="6FE261DA" w14:textId="77777777" w:rsidR="00AE0426" w:rsidRPr="00DD5734" w:rsidRDefault="00AE0426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26CC5864" w14:textId="77E2C882" w:rsidR="006B7B77" w:rsidRPr="000E2C9C" w:rsidRDefault="00432D43" w:rsidP="0011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  <w:lang w:val="fr-CH"/>
        </w:rPr>
      </w:pPr>
      <w:r w:rsidRPr="00DD5734">
        <w:rPr>
          <w:rFonts w:asciiTheme="majorHAnsi" w:hAnsiTheme="majorHAnsi"/>
          <w:b/>
          <w:bCs/>
          <w:lang w:val="fr-CH"/>
        </w:rPr>
        <w:t xml:space="preserve">c. </w:t>
      </w:r>
      <w:r w:rsidR="00DD5734" w:rsidRPr="00DD5734">
        <w:rPr>
          <w:rFonts w:asciiTheme="majorHAnsi" w:hAnsiTheme="majorHAnsi"/>
          <w:b/>
          <w:bCs/>
          <w:lang w:val="fr-CH"/>
        </w:rPr>
        <w:t xml:space="preserve">Examen des groupes de travail existants </w:t>
      </w:r>
      <w:r w:rsidR="00244127" w:rsidRPr="00DD5734">
        <w:rPr>
          <w:rFonts w:asciiTheme="majorHAnsi" w:hAnsiTheme="majorHAnsi"/>
          <w:bCs/>
          <w:lang w:val="fr-CH"/>
        </w:rPr>
        <w:t xml:space="preserve">Doc. </w:t>
      </w:r>
      <w:r w:rsidR="00244127" w:rsidRPr="000E2C9C">
        <w:rPr>
          <w:rFonts w:asciiTheme="majorHAnsi" w:hAnsiTheme="majorHAnsi"/>
          <w:bCs/>
          <w:lang w:val="fr-CH"/>
        </w:rPr>
        <w:t xml:space="preserve">SC53-05 </w:t>
      </w:r>
      <w:r w:rsidR="000E2C9C" w:rsidRPr="000E2C9C">
        <w:rPr>
          <w:i/>
          <w:lang w:val="fr-CH"/>
        </w:rPr>
        <w:t>État des groupes de travail du Comité permanent</w:t>
      </w:r>
      <w:r w:rsidR="00244127" w:rsidRPr="000E2C9C">
        <w:rPr>
          <w:i/>
          <w:lang w:val="fr-CH"/>
        </w:rPr>
        <w:t xml:space="preserve"> 2016-2018</w:t>
      </w:r>
    </w:p>
    <w:p w14:paraId="76157CF1" w14:textId="77777777" w:rsidR="008F5615" w:rsidRPr="000E2C9C" w:rsidRDefault="008F5615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558055B2" w14:textId="647485B5" w:rsidR="0089174B" w:rsidRPr="000E2C9C" w:rsidRDefault="000E2C9C" w:rsidP="0089174B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0E2C9C">
        <w:rPr>
          <w:rFonts w:asciiTheme="majorHAnsi" w:hAnsiTheme="majorHAnsi"/>
          <w:bCs/>
          <w:lang w:val="fr-CH"/>
        </w:rPr>
        <w:t xml:space="preserve">Après introduction </w:t>
      </w:r>
      <w:r w:rsidR="00233985">
        <w:rPr>
          <w:rFonts w:asciiTheme="majorHAnsi" w:hAnsiTheme="majorHAnsi"/>
          <w:bCs/>
          <w:lang w:val="fr-CH"/>
        </w:rPr>
        <w:t>d</w:t>
      </w:r>
      <w:r w:rsidRPr="000E2C9C">
        <w:rPr>
          <w:rFonts w:asciiTheme="majorHAnsi" w:hAnsiTheme="majorHAnsi"/>
          <w:bCs/>
          <w:lang w:val="fr-CH"/>
        </w:rPr>
        <w:t>u document par le</w:t>
      </w:r>
      <w:r w:rsidRPr="000E2C9C">
        <w:rPr>
          <w:rFonts w:asciiTheme="majorHAnsi" w:hAnsiTheme="majorHAnsi"/>
          <w:b/>
          <w:bCs/>
          <w:lang w:val="fr-CH"/>
        </w:rPr>
        <w:t xml:space="preserve"> </w:t>
      </w:r>
      <w:r w:rsidR="0089174B" w:rsidRPr="000E2C9C">
        <w:rPr>
          <w:rFonts w:asciiTheme="majorHAnsi" w:hAnsiTheme="majorHAnsi"/>
          <w:b/>
          <w:bCs/>
          <w:lang w:val="fr-CH"/>
        </w:rPr>
        <w:t>Secr</w:t>
      </w:r>
      <w:r w:rsidRPr="000E2C9C">
        <w:rPr>
          <w:rFonts w:asciiTheme="majorHAnsi" w:hAnsiTheme="majorHAnsi"/>
          <w:b/>
          <w:bCs/>
          <w:lang w:val="fr-CH"/>
        </w:rPr>
        <w:t>é</w:t>
      </w:r>
      <w:r w:rsidR="0089174B" w:rsidRPr="000E2C9C">
        <w:rPr>
          <w:rFonts w:asciiTheme="majorHAnsi" w:hAnsiTheme="majorHAnsi"/>
          <w:b/>
          <w:bCs/>
          <w:lang w:val="fr-CH"/>
        </w:rPr>
        <w:t>tariat</w:t>
      </w:r>
      <w:r w:rsidR="0089174B" w:rsidRPr="000E2C9C">
        <w:rPr>
          <w:rFonts w:asciiTheme="majorHAnsi" w:hAnsiTheme="majorHAnsi"/>
          <w:bCs/>
          <w:lang w:val="fr-CH"/>
        </w:rPr>
        <w:t xml:space="preserve">, </w:t>
      </w:r>
      <w:r w:rsidRPr="00C609F1">
        <w:rPr>
          <w:rFonts w:asciiTheme="majorHAnsi" w:hAnsiTheme="majorHAnsi"/>
          <w:bCs/>
          <w:lang w:val="fr-CH"/>
        </w:rPr>
        <w:t xml:space="preserve">des interventions sont faites par les  </w:t>
      </w:r>
      <w:r>
        <w:rPr>
          <w:rFonts w:asciiTheme="majorHAnsi" w:hAnsiTheme="majorHAnsi"/>
          <w:bCs/>
          <w:lang w:val="fr-CH"/>
        </w:rPr>
        <w:t xml:space="preserve">membres suivants du Groupe de travail sur la gestion (GTG) </w:t>
      </w:r>
      <w:r w:rsidR="0089174B" w:rsidRPr="000E2C9C">
        <w:rPr>
          <w:rFonts w:asciiTheme="majorHAnsi" w:hAnsiTheme="majorHAnsi"/>
          <w:bCs/>
          <w:lang w:val="fr-CH"/>
        </w:rPr>
        <w:t xml:space="preserve">: </w:t>
      </w:r>
      <w:r w:rsidRPr="000E2C9C">
        <w:rPr>
          <w:rFonts w:asciiTheme="majorHAnsi" w:hAnsiTheme="majorHAnsi"/>
          <w:b/>
          <w:bCs/>
          <w:lang w:val="fr-CH"/>
        </w:rPr>
        <w:t>A</w:t>
      </w:r>
      <w:r>
        <w:rPr>
          <w:rFonts w:asciiTheme="majorHAnsi" w:hAnsiTheme="majorHAnsi"/>
          <w:b/>
          <w:bCs/>
          <w:lang w:val="fr-CH"/>
        </w:rPr>
        <w:t>frique du Sud, A</w:t>
      </w:r>
      <w:r w:rsidRPr="000E2C9C">
        <w:rPr>
          <w:rFonts w:asciiTheme="majorHAnsi" w:hAnsiTheme="majorHAnsi"/>
          <w:b/>
          <w:bCs/>
          <w:lang w:val="fr-CH"/>
        </w:rPr>
        <w:t>ustralie</w:t>
      </w:r>
      <w:r w:rsidR="0089174B" w:rsidRPr="000E2C9C">
        <w:rPr>
          <w:rFonts w:asciiTheme="majorHAnsi" w:hAnsiTheme="majorHAnsi"/>
          <w:bCs/>
          <w:lang w:val="fr-CH"/>
        </w:rPr>
        <w:t xml:space="preserve">, </w:t>
      </w:r>
      <w:r w:rsidR="004B18AE">
        <w:rPr>
          <w:rFonts w:asciiTheme="majorHAnsi" w:hAnsiTheme="majorHAnsi"/>
          <w:b/>
          <w:bCs/>
          <w:lang w:val="fr-CH"/>
        </w:rPr>
        <w:t xml:space="preserve">États-Unis d’Amérique, </w:t>
      </w:r>
      <w:r w:rsidRPr="000E2C9C">
        <w:rPr>
          <w:rFonts w:asciiTheme="majorHAnsi" w:hAnsiTheme="majorHAnsi"/>
          <w:b/>
          <w:bCs/>
          <w:lang w:val="fr-CH"/>
        </w:rPr>
        <w:t>Ro</w:t>
      </w:r>
      <w:r>
        <w:rPr>
          <w:rFonts w:asciiTheme="majorHAnsi" w:hAnsiTheme="majorHAnsi"/>
          <w:b/>
          <w:bCs/>
          <w:lang w:val="fr-CH"/>
        </w:rPr>
        <w:t>u</w:t>
      </w:r>
      <w:r w:rsidRPr="000E2C9C">
        <w:rPr>
          <w:rFonts w:asciiTheme="majorHAnsi" w:hAnsiTheme="majorHAnsi"/>
          <w:b/>
          <w:bCs/>
          <w:lang w:val="fr-CH"/>
        </w:rPr>
        <w:t>manie</w:t>
      </w:r>
      <w:r w:rsidR="004B18AE">
        <w:rPr>
          <w:rFonts w:asciiTheme="majorHAnsi" w:hAnsiTheme="majorHAnsi"/>
          <w:b/>
          <w:bCs/>
          <w:lang w:val="fr-CH"/>
        </w:rPr>
        <w:t>,</w:t>
      </w:r>
      <w:r w:rsidR="0089174B" w:rsidRPr="000E2C9C">
        <w:rPr>
          <w:rFonts w:asciiTheme="majorHAnsi" w:hAnsiTheme="majorHAnsi"/>
          <w:bCs/>
          <w:lang w:val="fr-CH"/>
        </w:rPr>
        <w:t xml:space="preserve"> </w:t>
      </w:r>
      <w:r w:rsidRPr="000E2C9C">
        <w:rPr>
          <w:rFonts w:asciiTheme="majorHAnsi" w:hAnsiTheme="majorHAnsi"/>
          <w:b/>
          <w:bCs/>
          <w:lang w:val="fr-CH"/>
        </w:rPr>
        <w:t>Sénégal</w:t>
      </w:r>
      <w:r w:rsidR="00607C13">
        <w:rPr>
          <w:rFonts w:asciiTheme="majorHAnsi" w:hAnsiTheme="majorHAnsi"/>
          <w:bCs/>
          <w:lang w:val="fr-CH"/>
        </w:rPr>
        <w:t xml:space="preserve"> et</w:t>
      </w:r>
      <w:r w:rsidR="004B18AE">
        <w:rPr>
          <w:rFonts w:asciiTheme="majorHAnsi" w:hAnsiTheme="majorHAnsi"/>
          <w:bCs/>
          <w:lang w:val="fr-CH"/>
        </w:rPr>
        <w:t xml:space="preserve"> </w:t>
      </w:r>
      <w:r w:rsidR="004B18AE">
        <w:rPr>
          <w:rFonts w:asciiTheme="majorHAnsi" w:hAnsiTheme="majorHAnsi"/>
          <w:b/>
          <w:bCs/>
          <w:lang w:val="fr-CH"/>
        </w:rPr>
        <w:t>Suisse</w:t>
      </w:r>
      <w:r w:rsidR="00607C13">
        <w:rPr>
          <w:rFonts w:asciiTheme="majorHAnsi" w:hAnsiTheme="majorHAnsi"/>
          <w:b/>
          <w:bCs/>
          <w:lang w:val="fr-CH"/>
        </w:rPr>
        <w:t>,</w:t>
      </w:r>
      <w:r w:rsidR="0089174B" w:rsidRPr="000E2C9C">
        <w:rPr>
          <w:rFonts w:asciiTheme="majorHAnsi" w:hAnsiTheme="majorHAnsi"/>
          <w:b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>ainsi que par l</w:t>
      </w:r>
      <w:r w:rsidR="00607C13">
        <w:rPr>
          <w:rFonts w:asciiTheme="majorHAnsi" w:hAnsiTheme="majorHAnsi"/>
          <w:bCs/>
          <w:lang w:val="fr-CH"/>
        </w:rPr>
        <w:t xml:space="preserve">a </w:t>
      </w:r>
      <w:r w:rsidR="0089174B" w:rsidRPr="000E2C9C">
        <w:rPr>
          <w:rFonts w:asciiTheme="majorHAnsi" w:hAnsiTheme="majorHAnsi"/>
          <w:b/>
          <w:bCs/>
          <w:lang w:val="fr-CH"/>
        </w:rPr>
        <w:t>S</w:t>
      </w:r>
      <w:r>
        <w:rPr>
          <w:rFonts w:asciiTheme="majorHAnsi" w:hAnsiTheme="majorHAnsi"/>
          <w:b/>
          <w:bCs/>
          <w:lang w:val="fr-CH"/>
        </w:rPr>
        <w:t>uède</w:t>
      </w:r>
      <w:r w:rsidR="0089174B" w:rsidRPr="000E2C9C">
        <w:rPr>
          <w:rFonts w:asciiTheme="majorHAnsi" w:hAnsiTheme="majorHAnsi"/>
          <w:bCs/>
          <w:lang w:val="fr-CH"/>
        </w:rPr>
        <w:t>.</w:t>
      </w:r>
    </w:p>
    <w:p w14:paraId="7E212213" w14:textId="77777777" w:rsidR="009C68DA" w:rsidRPr="000E2C9C" w:rsidRDefault="009C68DA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457E035C" w14:textId="73FDBC34" w:rsidR="0089174B" w:rsidRPr="000E2C9C" w:rsidRDefault="000E2C9C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0E2C9C">
        <w:rPr>
          <w:rFonts w:asciiTheme="majorHAnsi" w:hAnsiTheme="majorHAnsi"/>
          <w:bCs/>
          <w:lang w:val="fr-CH"/>
        </w:rPr>
        <w:t>Le</w:t>
      </w:r>
      <w:r w:rsidR="0089174B" w:rsidRPr="000E2C9C">
        <w:rPr>
          <w:rFonts w:asciiTheme="majorHAnsi" w:hAnsiTheme="majorHAnsi"/>
          <w:bCs/>
          <w:lang w:val="fr-CH"/>
        </w:rPr>
        <w:t xml:space="preserve"> </w:t>
      </w:r>
      <w:r w:rsidRPr="000E2C9C">
        <w:rPr>
          <w:rFonts w:asciiTheme="majorHAnsi" w:hAnsiTheme="majorHAnsi"/>
          <w:b/>
          <w:bCs/>
          <w:lang w:val="fr-CH"/>
        </w:rPr>
        <w:t>Président</w:t>
      </w:r>
      <w:r w:rsidR="0089174B" w:rsidRPr="000E2C9C">
        <w:rPr>
          <w:rFonts w:asciiTheme="majorHAnsi" w:hAnsiTheme="majorHAnsi"/>
          <w:bCs/>
          <w:lang w:val="fr-CH"/>
        </w:rPr>
        <w:t xml:space="preserve"> </w:t>
      </w:r>
      <w:r w:rsidR="009E31F1" w:rsidRPr="000E2C9C">
        <w:rPr>
          <w:rFonts w:asciiTheme="majorHAnsi" w:hAnsiTheme="majorHAnsi"/>
          <w:bCs/>
          <w:lang w:val="fr-CH"/>
        </w:rPr>
        <w:t xml:space="preserve">(Uruguay) </w:t>
      </w:r>
      <w:r w:rsidR="0089174B" w:rsidRPr="000E2C9C">
        <w:rPr>
          <w:rFonts w:asciiTheme="majorHAnsi" w:hAnsiTheme="majorHAnsi"/>
          <w:bCs/>
          <w:lang w:val="fr-CH"/>
        </w:rPr>
        <w:t>conclu</w:t>
      </w:r>
      <w:r w:rsidRPr="000E2C9C">
        <w:rPr>
          <w:rFonts w:asciiTheme="majorHAnsi" w:hAnsiTheme="majorHAnsi"/>
          <w:bCs/>
          <w:lang w:val="fr-CH"/>
        </w:rPr>
        <w:t>t qu’il semble y avoir un accord au sein du GTG sur la nécessité de revoir les mandats, cahiers des charges et calendriers des group</w:t>
      </w:r>
      <w:r>
        <w:rPr>
          <w:rFonts w:asciiTheme="majorHAnsi" w:hAnsiTheme="majorHAnsi"/>
          <w:bCs/>
          <w:lang w:val="fr-CH"/>
        </w:rPr>
        <w:t>e</w:t>
      </w:r>
      <w:r w:rsidRPr="000E2C9C">
        <w:rPr>
          <w:rFonts w:asciiTheme="majorHAnsi" w:hAnsiTheme="majorHAnsi"/>
          <w:bCs/>
          <w:lang w:val="fr-CH"/>
        </w:rPr>
        <w:t>s de travail existants, de dis</w:t>
      </w:r>
      <w:r>
        <w:rPr>
          <w:rFonts w:asciiTheme="majorHAnsi" w:hAnsiTheme="majorHAnsi"/>
          <w:bCs/>
          <w:lang w:val="fr-CH"/>
        </w:rPr>
        <w:t>s</w:t>
      </w:r>
      <w:r w:rsidRPr="000E2C9C">
        <w:rPr>
          <w:rFonts w:asciiTheme="majorHAnsi" w:hAnsiTheme="majorHAnsi"/>
          <w:bCs/>
          <w:lang w:val="fr-CH"/>
        </w:rPr>
        <w:t>oudre les group</w:t>
      </w:r>
      <w:r>
        <w:rPr>
          <w:rFonts w:asciiTheme="majorHAnsi" w:hAnsiTheme="majorHAnsi"/>
          <w:bCs/>
          <w:lang w:val="fr-CH"/>
        </w:rPr>
        <w:t>e</w:t>
      </w:r>
      <w:r w:rsidRPr="000E2C9C">
        <w:rPr>
          <w:rFonts w:asciiTheme="majorHAnsi" w:hAnsiTheme="majorHAnsi"/>
          <w:bCs/>
          <w:lang w:val="fr-CH"/>
        </w:rPr>
        <w:t xml:space="preserve">s de travail qui ont rempli leur mandat et de mettre à jour, en conséquence, le document </w:t>
      </w:r>
      <w:r w:rsidR="0089174B" w:rsidRPr="000E2C9C">
        <w:rPr>
          <w:rFonts w:asciiTheme="majorHAnsi" w:hAnsiTheme="majorHAnsi"/>
          <w:bCs/>
          <w:lang w:val="fr-CH"/>
        </w:rPr>
        <w:t>SC53-05.</w:t>
      </w:r>
    </w:p>
    <w:p w14:paraId="72E461A4" w14:textId="77777777" w:rsidR="0089174B" w:rsidRPr="000E2C9C" w:rsidRDefault="0089174B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0E53ACB4" w14:textId="7405C915" w:rsidR="0089174B" w:rsidRPr="00871E22" w:rsidRDefault="000E2C9C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0E2C9C">
        <w:rPr>
          <w:rFonts w:asciiTheme="majorHAnsi" w:hAnsiTheme="majorHAnsi"/>
          <w:bCs/>
          <w:lang w:val="fr-CH"/>
        </w:rPr>
        <w:t xml:space="preserve">Le </w:t>
      </w:r>
      <w:r w:rsidRPr="000E2C9C">
        <w:rPr>
          <w:rFonts w:asciiTheme="majorHAnsi" w:hAnsiTheme="majorHAnsi"/>
          <w:b/>
          <w:bCs/>
          <w:lang w:val="fr-CH"/>
        </w:rPr>
        <w:t>Président</w:t>
      </w:r>
      <w:r w:rsidRPr="000E2C9C">
        <w:rPr>
          <w:rFonts w:asciiTheme="majorHAnsi" w:hAnsiTheme="majorHAnsi"/>
          <w:bCs/>
          <w:lang w:val="fr-CH"/>
        </w:rPr>
        <w:t xml:space="preserve"> </w:t>
      </w:r>
      <w:r w:rsidR="009E31F1" w:rsidRPr="000E2C9C">
        <w:rPr>
          <w:rFonts w:asciiTheme="majorHAnsi" w:hAnsiTheme="majorHAnsi"/>
          <w:bCs/>
          <w:lang w:val="fr-CH"/>
        </w:rPr>
        <w:t xml:space="preserve">(Uruguay) </w:t>
      </w:r>
      <w:r w:rsidRPr="000E2C9C">
        <w:rPr>
          <w:rFonts w:asciiTheme="majorHAnsi" w:hAnsiTheme="majorHAnsi"/>
          <w:bCs/>
          <w:lang w:val="fr-CH"/>
        </w:rPr>
        <w:t>conclut en outre que la question plus vaste</w:t>
      </w:r>
      <w:r w:rsidR="0089174B" w:rsidRPr="000E2C9C">
        <w:rPr>
          <w:rFonts w:asciiTheme="majorHAnsi" w:hAnsiTheme="majorHAnsi"/>
          <w:bCs/>
          <w:lang w:val="fr-CH"/>
        </w:rPr>
        <w:t xml:space="preserve"> </w:t>
      </w:r>
      <w:r w:rsidRPr="000E2C9C">
        <w:rPr>
          <w:rFonts w:asciiTheme="majorHAnsi" w:hAnsiTheme="majorHAnsi"/>
          <w:bCs/>
          <w:lang w:val="fr-CH"/>
        </w:rPr>
        <w:t>de la nécessité éventuelle de modifier les structures pour renforcer l’efficacité de la Convention est une question à part</w:t>
      </w:r>
      <w:r w:rsidR="00871E22">
        <w:rPr>
          <w:rFonts w:asciiTheme="majorHAnsi" w:hAnsiTheme="majorHAnsi"/>
          <w:bCs/>
          <w:lang w:val="fr-CH"/>
        </w:rPr>
        <w:t xml:space="preserve"> qui devra être traitée comme telle</w:t>
      </w:r>
      <w:r w:rsidR="0089174B" w:rsidRPr="000E2C9C">
        <w:rPr>
          <w:rFonts w:asciiTheme="majorHAnsi" w:hAnsiTheme="majorHAnsi"/>
          <w:bCs/>
          <w:lang w:val="fr-CH"/>
        </w:rPr>
        <w:t xml:space="preserve">, </w:t>
      </w:r>
      <w:r w:rsidR="00871E22">
        <w:rPr>
          <w:rFonts w:asciiTheme="majorHAnsi" w:hAnsiTheme="majorHAnsi"/>
          <w:bCs/>
          <w:lang w:val="fr-CH"/>
        </w:rPr>
        <w:t>peut-être sur la base d’une autre proposition en ce sens au Comité permanent</w:t>
      </w:r>
      <w:r w:rsidR="0089174B" w:rsidRPr="000E2C9C">
        <w:rPr>
          <w:rFonts w:asciiTheme="majorHAnsi" w:hAnsiTheme="majorHAnsi"/>
          <w:bCs/>
          <w:lang w:val="fr-CH"/>
        </w:rPr>
        <w:t>.</w:t>
      </w:r>
      <w:r w:rsidR="00221329" w:rsidRPr="000E2C9C">
        <w:rPr>
          <w:rFonts w:asciiTheme="majorHAnsi" w:hAnsiTheme="majorHAnsi"/>
          <w:bCs/>
          <w:lang w:val="fr-CH"/>
        </w:rPr>
        <w:t xml:space="preserve"> </w:t>
      </w:r>
      <w:r w:rsidR="00871E22" w:rsidRPr="00871E22">
        <w:rPr>
          <w:rFonts w:asciiTheme="majorHAnsi" w:hAnsiTheme="majorHAnsi"/>
          <w:bCs/>
          <w:lang w:val="fr-CH"/>
        </w:rPr>
        <w:t xml:space="preserve">Les </w:t>
      </w:r>
      <w:r w:rsidR="00221329" w:rsidRPr="00871E22">
        <w:rPr>
          <w:rFonts w:asciiTheme="majorHAnsi" w:hAnsiTheme="majorHAnsi"/>
          <w:bCs/>
          <w:lang w:val="fr-CH"/>
        </w:rPr>
        <w:t xml:space="preserve">Parties </w:t>
      </w:r>
      <w:r w:rsidR="00871E22" w:rsidRPr="00871E22">
        <w:rPr>
          <w:rFonts w:asciiTheme="majorHAnsi" w:hAnsiTheme="majorHAnsi"/>
          <w:bCs/>
          <w:lang w:val="fr-CH"/>
        </w:rPr>
        <w:t>ayant exprimé leur intérêt pour cette question seront consultées par le</w:t>
      </w:r>
      <w:r w:rsidR="00221329" w:rsidRPr="00871E22">
        <w:rPr>
          <w:rFonts w:asciiTheme="majorHAnsi" w:hAnsiTheme="majorHAnsi"/>
          <w:bCs/>
          <w:lang w:val="fr-CH"/>
        </w:rPr>
        <w:t xml:space="preserve"> </w:t>
      </w:r>
      <w:r w:rsidR="00607C13">
        <w:rPr>
          <w:rFonts w:asciiTheme="majorHAnsi" w:hAnsiTheme="majorHAnsi"/>
          <w:bCs/>
          <w:lang w:val="fr-CH"/>
        </w:rPr>
        <w:t>Président, et une proposition sera soumise lors du rapport sur les recommandations du GTG</w:t>
      </w:r>
      <w:r w:rsidR="00221329" w:rsidRPr="00871E22">
        <w:rPr>
          <w:rFonts w:asciiTheme="majorHAnsi" w:hAnsiTheme="majorHAnsi"/>
          <w:bCs/>
          <w:lang w:val="fr-CH"/>
        </w:rPr>
        <w:t>.</w:t>
      </w:r>
    </w:p>
    <w:p w14:paraId="22D3170D" w14:textId="77777777" w:rsidR="00C02844" w:rsidRPr="00871E22" w:rsidRDefault="00C02844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71ADD79F" w14:textId="55813726" w:rsidR="006B7B77" w:rsidRPr="00871E22" w:rsidRDefault="00432D43" w:rsidP="0011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  <w:lang w:val="fr-CH"/>
        </w:rPr>
      </w:pPr>
      <w:r w:rsidRPr="00871E22">
        <w:rPr>
          <w:rFonts w:asciiTheme="majorHAnsi" w:hAnsiTheme="majorHAnsi"/>
          <w:b/>
          <w:bCs/>
          <w:lang w:val="fr-CH"/>
        </w:rPr>
        <w:t xml:space="preserve">d. </w:t>
      </w:r>
      <w:r w:rsidR="00871E22" w:rsidRPr="00871E22">
        <w:rPr>
          <w:rFonts w:asciiTheme="majorHAnsi" w:hAnsiTheme="majorHAnsi"/>
          <w:b/>
          <w:bCs/>
          <w:lang w:val="fr-CH"/>
        </w:rPr>
        <w:t>Stratégie</w:t>
      </w:r>
      <w:r w:rsidR="006B7B77" w:rsidRPr="00871E22">
        <w:rPr>
          <w:rFonts w:asciiTheme="majorHAnsi" w:hAnsiTheme="majorHAnsi"/>
          <w:b/>
          <w:bCs/>
          <w:lang w:val="fr-CH"/>
        </w:rPr>
        <w:t xml:space="preserve"> </w:t>
      </w:r>
      <w:r w:rsidR="00871E22" w:rsidRPr="00871E22">
        <w:rPr>
          <w:rFonts w:asciiTheme="majorHAnsi" w:hAnsiTheme="majorHAnsi"/>
          <w:b/>
          <w:bCs/>
          <w:lang w:val="fr-CH"/>
        </w:rPr>
        <w:t>sur l’utilisation des langues de l’ONU</w:t>
      </w:r>
      <w:r w:rsidR="00221329" w:rsidRPr="00871E22">
        <w:rPr>
          <w:rFonts w:asciiTheme="majorHAnsi" w:hAnsiTheme="majorHAnsi"/>
          <w:b/>
          <w:bCs/>
          <w:lang w:val="fr-CH"/>
        </w:rPr>
        <w:t xml:space="preserve"> </w:t>
      </w:r>
      <w:r w:rsidR="00221329" w:rsidRPr="00871E22">
        <w:rPr>
          <w:rFonts w:asciiTheme="majorHAnsi" w:hAnsiTheme="majorHAnsi"/>
          <w:bCs/>
          <w:lang w:val="fr-CH"/>
        </w:rPr>
        <w:t xml:space="preserve">Doc. SC53-06 </w:t>
      </w:r>
      <w:r w:rsidR="00871E22" w:rsidRPr="00871E22">
        <w:rPr>
          <w:i/>
          <w:lang w:val="fr-CH"/>
        </w:rPr>
        <w:t>Stratégie linguistique pour la Convention de Ramsar sur les zones humides</w:t>
      </w:r>
      <w:r w:rsidR="00221329" w:rsidRPr="00871E22">
        <w:rPr>
          <w:lang w:val="fr-CH"/>
        </w:rPr>
        <w:t>.</w:t>
      </w:r>
    </w:p>
    <w:p w14:paraId="3535E766" w14:textId="77777777" w:rsidR="006B7B77" w:rsidRPr="00871E22" w:rsidRDefault="006B7B77" w:rsidP="006B7B77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</w:p>
    <w:p w14:paraId="3B1D37B4" w14:textId="4F7D2281" w:rsidR="00221329" w:rsidRPr="00871E22" w:rsidRDefault="00871E22" w:rsidP="00221329">
      <w:pPr>
        <w:spacing w:after="0" w:line="240" w:lineRule="auto"/>
        <w:contextualSpacing/>
        <w:rPr>
          <w:rFonts w:asciiTheme="majorHAnsi" w:hAnsiTheme="majorHAnsi"/>
          <w:bCs/>
          <w:lang w:val="fr-CH"/>
        </w:rPr>
      </w:pPr>
      <w:r w:rsidRPr="00871E22">
        <w:rPr>
          <w:rFonts w:asciiTheme="majorHAnsi" w:hAnsiTheme="majorHAnsi"/>
          <w:bCs/>
          <w:lang w:val="fr-CH"/>
        </w:rPr>
        <w:t xml:space="preserve">Après introduction </w:t>
      </w:r>
      <w:r w:rsidR="00233985">
        <w:rPr>
          <w:rFonts w:asciiTheme="majorHAnsi" w:hAnsiTheme="majorHAnsi"/>
          <w:bCs/>
          <w:lang w:val="fr-CH"/>
        </w:rPr>
        <w:t>du document par le</w:t>
      </w:r>
      <w:r w:rsidR="00221329" w:rsidRPr="00871E22">
        <w:rPr>
          <w:rFonts w:asciiTheme="majorHAnsi" w:hAnsiTheme="majorHAnsi"/>
          <w:b/>
          <w:bCs/>
          <w:lang w:val="fr-CH"/>
        </w:rPr>
        <w:t xml:space="preserve"> Secr</w:t>
      </w:r>
      <w:r w:rsidRPr="00871E22">
        <w:rPr>
          <w:rFonts w:asciiTheme="majorHAnsi" w:hAnsiTheme="majorHAnsi"/>
          <w:b/>
          <w:bCs/>
          <w:lang w:val="fr-CH"/>
        </w:rPr>
        <w:t>é</w:t>
      </w:r>
      <w:r w:rsidR="00221329" w:rsidRPr="00871E22">
        <w:rPr>
          <w:rFonts w:asciiTheme="majorHAnsi" w:hAnsiTheme="majorHAnsi"/>
          <w:b/>
          <w:bCs/>
          <w:lang w:val="fr-CH"/>
        </w:rPr>
        <w:t>tariat</w:t>
      </w:r>
      <w:r w:rsidR="00221329" w:rsidRPr="00871E22">
        <w:rPr>
          <w:rFonts w:asciiTheme="majorHAnsi" w:hAnsiTheme="majorHAnsi"/>
          <w:bCs/>
          <w:lang w:val="fr-CH"/>
        </w:rPr>
        <w:t xml:space="preserve">, </w:t>
      </w:r>
      <w:r>
        <w:rPr>
          <w:rFonts w:asciiTheme="majorHAnsi" w:hAnsiTheme="majorHAnsi"/>
          <w:bCs/>
          <w:lang w:val="fr-CH"/>
        </w:rPr>
        <w:t xml:space="preserve">des interventions sont faites par les  membres suivants du Groupe de travail sur la gestion (GTG) </w:t>
      </w:r>
      <w:r w:rsidR="00221329" w:rsidRPr="00871E22">
        <w:rPr>
          <w:rFonts w:asciiTheme="majorHAnsi" w:hAnsiTheme="majorHAnsi"/>
          <w:bCs/>
          <w:lang w:val="fr-CH"/>
        </w:rPr>
        <w:t xml:space="preserve">: </w:t>
      </w:r>
      <w:r w:rsidRPr="00871E22">
        <w:rPr>
          <w:rFonts w:asciiTheme="majorHAnsi" w:hAnsiTheme="majorHAnsi"/>
          <w:b/>
          <w:bCs/>
          <w:lang w:val="fr-CH"/>
        </w:rPr>
        <w:t>Afrique du Sud</w:t>
      </w:r>
      <w:r w:rsidR="00607C13">
        <w:rPr>
          <w:rFonts w:asciiTheme="majorHAnsi" w:hAnsiTheme="majorHAnsi"/>
          <w:bCs/>
          <w:lang w:val="fr-CH"/>
        </w:rPr>
        <w:t>,</w:t>
      </w:r>
      <w:r>
        <w:rPr>
          <w:rFonts w:asciiTheme="majorHAnsi" w:hAnsiTheme="majorHAnsi"/>
          <w:bCs/>
          <w:lang w:val="fr-CH"/>
        </w:rPr>
        <w:t xml:space="preserve"> </w:t>
      </w:r>
      <w:r w:rsidR="00607C13" w:rsidRPr="00607C13">
        <w:rPr>
          <w:rFonts w:asciiTheme="majorHAnsi" w:hAnsiTheme="majorHAnsi"/>
          <w:b/>
          <w:bCs/>
          <w:lang w:val="fr-CH"/>
        </w:rPr>
        <w:t>États-Unis d’Amérique</w:t>
      </w:r>
      <w:r w:rsidR="00607C13">
        <w:rPr>
          <w:rFonts w:asciiTheme="majorHAnsi" w:hAnsiTheme="majorHAnsi"/>
          <w:bCs/>
          <w:lang w:val="fr-CH"/>
        </w:rPr>
        <w:t xml:space="preserve">, </w:t>
      </w:r>
      <w:r w:rsidRPr="00871E22">
        <w:rPr>
          <w:rFonts w:asciiTheme="majorHAnsi" w:hAnsiTheme="majorHAnsi"/>
          <w:b/>
          <w:bCs/>
          <w:lang w:val="fr-CH"/>
        </w:rPr>
        <w:t>Sénégal</w:t>
      </w:r>
      <w:r w:rsidR="00607C13">
        <w:rPr>
          <w:rFonts w:asciiTheme="majorHAnsi" w:hAnsiTheme="majorHAnsi"/>
          <w:bCs/>
          <w:lang w:val="fr-CH"/>
        </w:rPr>
        <w:t xml:space="preserve"> et </w:t>
      </w:r>
      <w:r w:rsidR="00607C13">
        <w:rPr>
          <w:rFonts w:asciiTheme="majorHAnsi" w:hAnsiTheme="majorHAnsi"/>
          <w:b/>
          <w:bCs/>
          <w:lang w:val="fr-CH"/>
        </w:rPr>
        <w:t>Suisse,</w:t>
      </w:r>
      <w:r w:rsidR="00221329" w:rsidRPr="00871E22">
        <w:rPr>
          <w:rFonts w:asciiTheme="majorHAnsi" w:hAnsiTheme="majorHAnsi"/>
          <w:b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 xml:space="preserve">ainsi que par les observateurs suivants </w:t>
      </w:r>
      <w:r w:rsidR="00221329" w:rsidRPr="00871E22">
        <w:rPr>
          <w:rFonts w:asciiTheme="majorHAnsi" w:hAnsiTheme="majorHAnsi"/>
          <w:bCs/>
          <w:lang w:val="fr-CH"/>
        </w:rPr>
        <w:t xml:space="preserve">: </w:t>
      </w:r>
      <w:r w:rsidRPr="00871E22">
        <w:rPr>
          <w:rFonts w:asciiTheme="majorHAnsi" w:hAnsiTheme="majorHAnsi"/>
          <w:b/>
          <w:bCs/>
          <w:lang w:val="fr-CH"/>
        </w:rPr>
        <w:t>Colombie</w:t>
      </w:r>
      <w:r w:rsidR="00221329" w:rsidRPr="00871E22">
        <w:rPr>
          <w:rFonts w:asciiTheme="majorHAnsi" w:hAnsiTheme="majorHAnsi"/>
          <w:bCs/>
          <w:lang w:val="fr-CH"/>
        </w:rPr>
        <w:t xml:space="preserve">, </w:t>
      </w:r>
      <w:r w:rsidRPr="00871E22">
        <w:rPr>
          <w:rFonts w:asciiTheme="majorHAnsi" w:hAnsiTheme="majorHAnsi"/>
          <w:b/>
          <w:bCs/>
          <w:lang w:val="fr-CH"/>
        </w:rPr>
        <w:t>Japon</w:t>
      </w:r>
      <w:r w:rsidR="00221329" w:rsidRPr="00871E22">
        <w:rPr>
          <w:rFonts w:asciiTheme="majorHAnsi" w:hAnsiTheme="majorHAnsi"/>
          <w:bCs/>
          <w:lang w:val="fr-CH"/>
        </w:rPr>
        <w:t xml:space="preserve">, </w:t>
      </w:r>
      <w:r w:rsidR="00233985">
        <w:rPr>
          <w:rFonts w:asciiTheme="majorHAnsi" w:hAnsiTheme="majorHAnsi"/>
          <w:bCs/>
          <w:lang w:val="fr-CH"/>
        </w:rPr>
        <w:t>l’</w:t>
      </w:r>
      <w:r w:rsidRPr="00871E22">
        <w:rPr>
          <w:rFonts w:asciiTheme="majorHAnsi" w:hAnsiTheme="majorHAnsi"/>
          <w:b/>
          <w:bCs/>
          <w:lang w:val="fr-CH"/>
        </w:rPr>
        <w:t xml:space="preserve">Initiative </w:t>
      </w:r>
      <w:r>
        <w:rPr>
          <w:rFonts w:asciiTheme="majorHAnsi" w:hAnsiTheme="majorHAnsi"/>
          <w:b/>
          <w:bCs/>
          <w:lang w:val="fr-CH"/>
        </w:rPr>
        <w:t>r</w:t>
      </w:r>
      <w:r w:rsidRPr="00871E22">
        <w:rPr>
          <w:rFonts w:asciiTheme="majorHAnsi" w:hAnsiTheme="majorHAnsi"/>
          <w:b/>
          <w:bCs/>
          <w:lang w:val="fr-CH"/>
        </w:rPr>
        <w:t xml:space="preserve">égionale </w:t>
      </w:r>
      <w:r w:rsidR="00221329" w:rsidRPr="00871E22">
        <w:rPr>
          <w:rFonts w:asciiTheme="majorHAnsi" w:hAnsiTheme="majorHAnsi"/>
          <w:b/>
          <w:bCs/>
          <w:lang w:val="fr-CH"/>
        </w:rPr>
        <w:t xml:space="preserve">Ramsar </w:t>
      </w:r>
      <w:r>
        <w:rPr>
          <w:rFonts w:asciiTheme="majorHAnsi" w:hAnsiTheme="majorHAnsi"/>
          <w:b/>
          <w:bCs/>
          <w:lang w:val="fr-CH"/>
        </w:rPr>
        <w:t>pour l’Asie centrale</w:t>
      </w:r>
      <w:r>
        <w:rPr>
          <w:rFonts w:asciiTheme="majorHAnsi" w:hAnsiTheme="majorHAnsi"/>
          <w:bCs/>
          <w:lang w:val="fr-CH"/>
        </w:rPr>
        <w:t xml:space="preserve"> et le</w:t>
      </w:r>
      <w:r w:rsidR="009E31F1" w:rsidRPr="00871E22">
        <w:rPr>
          <w:rFonts w:asciiTheme="majorHAnsi" w:hAnsiTheme="majorHAnsi"/>
          <w:bCs/>
          <w:lang w:val="fr-CH"/>
        </w:rPr>
        <w:t xml:space="preserve"> </w:t>
      </w:r>
      <w:r>
        <w:rPr>
          <w:rFonts w:asciiTheme="majorHAnsi" w:hAnsiTheme="majorHAnsi"/>
          <w:b/>
          <w:bCs/>
          <w:lang w:val="fr-CH"/>
        </w:rPr>
        <w:t>Président du GEST</w:t>
      </w:r>
      <w:r w:rsidR="009E31F1" w:rsidRPr="00871E22">
        <w:rPr>
          <w:rFonts w:asciiTheme="majorHAnsi" w:hAnsiTheme="majorHAnsi"/>
          <w:bCs/>
          <w:lang w:val="fr-CH"/>
        </w:rPr>
        <w:t>.</w:t>
      </w:r>
    </w:p>
    <w:p w14:paraId="0A208098" w14:textId="77777777" w:rsidR="006B7B77" w:rsidRPr="00871E22" w:rsidRDefault="006B7B77" w:rsidP="006B7B7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b/>
          <w:lang w:val="fr-CH"/>
        </w:rPr>
      </w:pPr>
    </w:p>
    <w:p w14:paraId="3F1F8FE9" w14:textId="17115C27" w:rsidR="00726D27" w:rsidRPr="00871E22" w:rsidRDefault="00871E22" w:rsidP="006B7B7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lang w:val="fr-CH"/>
        </w:rPr>
      </w:pPr>
      <w:r w:rsidRPr="00871E22">
        <w:rPr>
          <w:rFonts w:asciiTheme="majorHAnsi" w:hAnsiTheme="majorHAnsi"/>
          <w:lang w:val="fr-CH"/>
        </w:rPr>
        <w:t xml:space="preserve">Le caractère sensible et les </w:t>
      </w:r>
      <w:r w:rsidR="00233985" w:rsidRPr="00871E22">
        <w:rPr>
          <w:rFonts w:asciiTheme="majorHAnsi" w:hAnsiTheme="majorHAnsi"/>
          <w:lang w:val="fr-CH"/>
        </w:rPr>
        <w:t xml:space="preserve">éventuelles </w:t>
      </w:r>
      <w:r w:rsidRPr="00871E22">
        <w:rPr>
          <w:rFonts w:asciiTheme="majorHAnsi" w:hAnsiTheme="majorHAnsi"/>
          <w:lang w:val="fr-CH"/>
        </w:rPr>
        <w:t>incidences budgétaires de cette question sont tout particulièrement soulignés</w:t>
      </w:r>
      <w:r w:rsidR="009E31F1" w:rsidRPr="00871E22">
        <w:rPr>
          <w:rFonts w:asciiTheme="majorHAnsi" w:hAnsiTheme="majorHAnsi"/>
          <w:lang w:val="fr-CH"/>
        </w:rPr>
        <w:t>.</w:t>
      </w:r>
    </w:p>
    <w:p w14:paraId="3EF36E43" w14:textId="77777777" w:rsidR="009E31F1" w:rsidRPr="00871E22" w:rsidRDefault="009E31F1" w:rsidP="006B7B7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lang w:val="fr-CH"/>
        </w:rPr>
      </w:pPr>
    </w:p>
    <w:p w14:paraId="5DEF66A6" w14:textId="3A7E9BE4" w:rsidR="009E31F1" w:rsidRPr="00871E22" w:rsidRDefault="00871E22" w:rsidP="006B7B7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lang w:val="fr-CH"/>
        </w:rPr>
      </w:pPr>
      <w:r w:rsidRPr="00871E22">
        <w:rPr>
          <w:rFonts w:asciiTheme="majorHAnsi" w:hAnsiTheme="majorHAnsi"/>
          <w:lang w:val="fr-CH"/>
        </w:rPr>
        <w:t>Il est décidé que</w:t>
      </w:r>
      <w:r w:rsidR="009E31F1" w:rsidRPr="00871E22">
        <w:rPr>
          <w:rFonts w:asciiTheme="majorHAnsi" w:hAnsiTheme="majorHAnsi"/>
          <w:lang w:val="fr-CH"/>
        </w:rPr>
        <w:t>:</w:t>
      </w:r>
    </w:p>
    <w:p w14:paraId="2CC74CAC" w14:textId="77777777" w:rsidR="009E31F1" w:rsidRPr="00871E22" w:rsidRDefault="009E31F1" w:rsidP="006B7B7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lang w:val="fr-CH"/>
        </w:rPr>
      </w:pPr>
    </w:p>
    <w:p w14:paraId="32C864FC" w14:textId="374C6C21" w:rsidR="00512476" w:rsidRPr="00871E22" w:rsidRDefault="009E31F1" w:rsidP="00DA7F14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lang w:val="fr-CH"/>
        </w:rPr>
      </w:pPr>
      <w:r w:rsidRPr="00871E22">
        <w:rPr>
          <w:rFonts w:asciiTheme="majorHAnsi" w:hAnsiTheme="majorHAnsi"/>
          <w:lang w:val="fr-CH"/>
        </w:rPr>
        <w:t xml:space="preserve">– </w:t>
      </w:r>
      <w:r w:rsidR="00871E22" w:rsidRPr="00871E22">
        <w:rPr>
          <w:rFonts w:asciiTheme="majorHAnsi" w:hAnsiTheme="majorHAnsi"/>
          <w:lang w:val="fr-CH"/>
        </w:rPr>
        <w:t xml:space="preserve">le groupe de travail informel à composition non limitée établi à cet effet à la </w:t>
      </w:r>
      <w:r w:rsidR="00871E22">
        <w:rPr>
          <w:rFonts w:asciiTheme="majorHAnsi" w:hAnsiTheme="majorHAnsi"/>
          <w:bCs/>
          <w:lang w:val="fr-CH"/>
        </w:rPr>
        <w:t>52</w:t>
      </w:r>
      <w:r w:rsidR="00871E22">
        <w:rPr>
          <w:rFonts w:asciiTheme="majorHAnsi" w:hAnsiTheme="majorHAnsi"/>
          <w:bCs/>
          <w:vertAlign w:val="superscript"/>
          <w:lang w:val="fr-CH"/>
        </w:rPr>
        <w:t>e</w:t>
      </w:r>
      <w:r w:rsidR="00871E22">
        <w:rPr>
          <w:rFonts w:asciiTheme="majorHAnsi" w:hAnsiTheme="majorHAnsi"/>
          <w:bCs/>
          <w:lang w:val="fr-CH"/>
        </w:rPr>
        <w:t xml:space="preserve"> Réunion du Comité permanent</w:t>
      </w:r>
      <w:r w:rsidRPr="00871E22">
        <w:rPr>
          <w:rFonts w:asciiTheme="majorHAnsi" w:hAnsiTheme="majorHAnsi"/>
          <w:lang w:val="fr-CH"/>
        </w:rPr>
        <w:t xml:space="preserve"> </w:t>
      </w:r>
      <w:r w:rsidR="00871E22">
        <w:rPr>
          <w:rFonts w:asciiTheme="majorHAnsi" w:hAnsiTheme="majorHAnsi"/>
          <w:lang w:val="fr-CH"/>
        </w:rPr>
        <w:t>se réunir</w:t>
      </w:r>
      <w:r w:rsidR="00233985">
        <w:rPr>
          <w:rFonts w:asciiTheme="majorHAnsi" w:hAnsiTheme="majorHAnsi"/>
          <w:lang w:val="fr-CH"/>
        </w:rPr>
        <w:t>a</w:t>
      </w:r>
      <w:r w:rsidR="00871E22">
        <w:rPr>
          <w:rFonts w:asciiTheme="majorHAnsi" w:hAnsiTheme="majorHAnsi"/>
          <w:lang w:val="fr-CH"/>
        </w:rPr>
        <w:t xml:space="preserve"> pour examiner cette question plus à fond</w:t>
      </w:r>
      <w:r w:rsidR="00607C13">
        <w:rPr>
          <w:rFonts w:asciiTheme="majorHAnsi" w:hAnsiTheme="majorHAnsi"/>
          <w:lang w:val="fr-CH"/>
        </w:rPr>
        <w:t xml:space="preserve"> et </w:t>
      </w:r>
      <w:r w:rsidR="00871E22" w:rsidRPr="00871E22">
        <w:rPr>
          <w:rFonts w:asciiTheme="majorHAnsi" w:hAnsiTheme="majorHAnsi"/>
          <w:lang w:val="fr-CH"/>
        </w:rPr>
        <w:t>pr</w:t>
      </w:r>
      <w:r w:rsidR="00233985">
        <w:rPr>
          <w:rFonts w:asciiTheme="majorHAnsi" w:hAnsiTheme="majorHAnsi"/>
          <w:lang w:val="fr-CH"/>
        </w:rPr>
        <w:t>é</w:t>
      </w:r>
      <w:r w:rsidR="00871E22" w:rsidRPr="00871E22">
        <w:rPr>
          <w:rFonts w:asciiTheme="majorHAnsi" w:hAnsiTheme="majorHAnsi"/>
          <w:lang w:val="fr-CH"/>
        </w:rPr>
        <w:t xml:space="preserve">senter une proposition à discuter en séance plénière </w:t>
      </w:r>
      <w:r w:rsidR="00607C13">
        <w:rPr>
          <w:rFonts w:asciiTheme="majorHAnsi" w:hAnsiTheme="majorHAnsi"/>
          <w:lang w:val="fr-CH"/>
        </w:rPr>
        <w:t>du Comité permanent quand le GTG fera rapport</w:t>
      </w:r>
      <w:r w:rsidRPr="00871E22">
        <w:rPr>
          <w:rFonts w:asciiTheme="majorHAnsi" w:hAnsiTheme="majorHAnsi"/>
          <w:lang w:val="fr-CH"/>
        </w:rPr>
        <w:t>.</w:t>
      </w:r>
    </w:p>
    <w:sectPr w:rsidR="00512476" w:rsidRPr="00871E22" w:rsidSect="006D757A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9DFBA" w14:textId="77777777" w:rsidR="000E1CDB" w:rsidRDefault="000E1CDB" w:rsidP="00893757">
      <w:pPr>
        <w:spacing w:after="0" w:line="240" w:lineRule="auto"/>
      </w:pPr>
      <w:r>
        <w:separator/>
      </w:r>
    </w:p>
  </w:endnote>
  <w:endnote w:type="continuationSeparator" w:id="0">
    <w:p w14:paraId="3A55FC26" w14:textId="77777777" w:rsidR="000E1CDB" w:rsidRDefault="000E1CDB" w:rsidP="0089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FE54" w14:textId="77777777" w:rsidR="00221329" w:rsidRDefault="00221329" w:rsidP="00A82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C7D382" w14:textId="77777777" w:rsidR="00221329" w:rsidRDefault="00221329" w:rsidP="008937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CD6F" w14:textId="77777777" w:rsidR="00221329" w:rsidRDefault="00221329" w:rsidP="00A82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5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9EACC0" w14:textId="15F8E8B1" w:rsidR="00221329" w:rsidRPr="00EE2E12" w:rsidRDefault="00EE2E12" w:rsidP="00893757">
    <w:pPr>
      <w:pStyle w:val="Footer"/>
      <w:ind w:right="360"/>
      <w:rPr>
        <w:lang w:val="fr-CH"/>
      </w:rPr>
    </w:pPr>
    <w:r w:rsidRPr="00EE2E12">
      <w:rPr>
        <w:lang w:val="fr-CH"/>
      </w:rPr>
      <w:t xml:space="preserve">Réunion du GTG, </w:t>
    </w:r>
    <w:r w:rsidR="00221329" w:rsidRPr="00EE2E12">
      <w:rPr>
        <w:lang w:val="fr-CH"/>
      </w:rPr>
      <w:t xml:space="preserve">SC53 – </w:t>
    </w:r>
    <w:r>
      <w:rPr>
        <w:lang w:val="fr-CH"/>
      </w:rPr>
      <w:t>Conclusions et points d’action provisoires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D575" w14:textId="77777777" w:rsidR="000E1CDB" w:rsidRDefault="000E1CDB" w:rsidP="00893757">
      <w:pPr>
        <w:spacing w:after="0" w:line="240" w:lineRule="auto"/>
      </w:pPr>
      <w:r>
        <w:separator/>
      </w:r>
    </w:p>
  </w:footnote>
  <w:footnote w:type="continuationSeparator" w:id="0">
    <w:p w14:paraId="5A70DFDA" w14:textId="77777777" w:rsidR="000E1CDB" w:rsidRDefault="000E1CDB" w:rsidP="0089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13A"/>
    <w:multiLevelType w:val="hybridMultilevel"/>
    <w:tmpl w:val="EE8E56A8"/>
    <w:lvl w:ilvl="0" w:tplc="6E52E126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55B"/>
    <w:multiLevelType w:val="hybridMultilevel"/>
    <w:tmpl w:val="4DF64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77"/>
    <w:rsid w:val="000053A0"/>
    <w:rsid w:val="00006A71"/>
    <w:rsid w:val="00027273"/>
    <w:rsid w:val="000646EA"/>
    <w:rsid w:val="000678C6"/>
    <w:rsid w:val="00083FB4"/>
    <w:rsid w:val="000B7C64"/>
    <w:rsid w:val="000D3EA3"/>
    <w:rsid w:val="000E1CDB"/>
    <w:rsid w:val="000E2C9C"/>
    <w:rsid w:val="000E4E9D"/>
    <w:rsid w:val="00117128"/>
    <w:rsid w:val="00120F0E"/>
    <w:rsid w:val="001234E9"/>
    <w:rsid w:val="001261A5"/>
    <w:rsid w:val="0015054E"/>
    <w:rsid w:val="00163551"/>
    <w:rsid w:val="00192C59"/>
    <w:rsid w:val="001B2C3B"/>
    <w:rsid w:val="001F3290"/>
    <w:rsid w:val="001F355B"/>
    <w:rsid w:val="001F492B"/>
    <w:rsid w:val="002071A8"/>
    <w:rsid w:val="00221329"/>
    <w:rsid w:val="00230067"/>
    <w:rsid w:val="00233985"/>
    <w:rsid w:val="00244127"/>
    <w:rsid w:val="00245927"/>
    <w:rsid w:val="00253D0A"/>
    <w:rsid w:val="002552B6"/>
    <w:rsid w:val="0029267D"/>
    <w:rsid w:val="00295654"/>
    <w:rsid w:val="002A724A"/>
    <w:rsid w:val="002C42DF"/>
    <w:rsid w:val="002F5AF5"/>
    <w:rsid w:val="00315BC3"/>
    <w:rsid w:val="0032602D"/>
    <w:rsid w:val="00363DF9"/>
    <w:rsid w:val="00397B2E"/>
    <w:rsid w:val="003B79DC"/>
    <w:rsid w:val="003D435E"/>
    <w:rsid w:val="00415072"/>
    <w:rsid w:val="00432961"/>
    <w:rsid w:val="00432D43"/>
    <w:rsid w:val="0043357D"/>
    <w:rsid w:val="00446F57"/>
    <w:rsid w:val="004548E4"/>
    <w:rsid w:val="004965D3"/>
    <w:rsid w:val="00497DE3"/>
    <w:rsid w:val="004A16DF"/>
    <w:rsid w:val="004B0E6C"/>
    <w:rsid w:val="004B18AE"/>
    <w:rsid w:val="004B6D8A"/>
    <w:rsid w:val="004B7599"/>
    <w:rsid w:val="004D073A"/>
    <w:rsid w:val="004D5825"/>
    <w:rsid w:val="004D599C"/>
    <w:rsid w:val="00512476"/>
    <w:rsid w:val="005309AF"/>
    <w:rsid w:val="005669DD"/>
    <w:rsid w:val="00574630"/>
    <w:rsid w:val="005A299A"/>
    <w:rsid w:val="005D1737"/>
    <w:rsid w:val="005D6567"/>
    <w:rsid w:val="00607C13"/>
    <w:rsid w:val="00611554"/>
    <w:rsid w:val="00625E80"/>
    <w:rsid w:val="00642028"/>
    <w:rsid w:val="006B0651"/>
    <w:rsid w:val="006B7B77"/>
    <w:rsid w:val="006D6D51"/>
    <w:rsid w:val="006D757A"/>
    <w:rsid w:val="00726D27"/>
    <w:rsid w:val="007701A6"/>
    <w:rsid w:val="0078586E"/>
    <w:rsid w:val="007B2D6F"/>
    <w:rsid w:val="007B78EF"/>
    <w:rsid w:val="007E100B"/>
    <w:rsid w:val="007E66B8"/>
    <w:rsid w:val="007E78F2"/>
    <w:rsid w:val="007F560F"/>
    <w:rsid w:val="00816F53"/>
    <w:rsid w:val="0081793D"/>
    <w:rsid w:val="00865592"/>
    <w:rsid w:val="00867517"/>
    <w:rsid w:val="008701A9"/>
    <w:rsid w:val="00871E22"/>
    <w:rsid w:val="0089174B"/>
    <w:rsid w:val="00892219"/>
    <w:rsid w:val="00893757"/>
    <w:rsid w:val="008A2DDA"/>
    <w:rsid w:val="008D0A57"/>
    <w:rsid w:val="008D1120"/>
    <w:rsid w:val="008D26DD"/>
    <w:rsid w:val="008D5BF2"/>
    <w:rsid w:val="008E4BCF"/>
    <w:rsid w:val="008E7D5D"/>
    <w:rsid w:val="008F5615"/>
    <w:rsid w:val="00912733"/>
    <w:rsid w:val="0093218D"/>
    <w:rsid w:val="009368BF"/>
    <w:rsid w:val="009706F6"/>
    <w:rsid w:val="00986DA0"/>
    <w:rsid w:val="009912EF"/>
    <w:rsid w:val="009A5D7D"/>
    <w:rsid w:val="009C68DA"/>
    <w:rsid w:val="009D03B8"/>
    <w:rsid w:val="009D2CE0"/>
    <w:rsid w:val="009E1868"/>
    <w:rsid w:val="009E31F1"/>
    <w:rsid w:val="00A44AAE"/>
    <w:rsid w:val="00A615E5"/>
    <w:rsid w:val="00A61AD1"/>
    <w:rsid w:val="00A82916"/>
    <w:rsid w:val="00A9338B"/>
    <w:rsid w:val="00A97456"/>
    <w:rsid w:val="00AA06B1"/>
    <w:rsid w:val="00AA0F46"/>
    <w:rsid w:val="00AD266E"/>
    <w:rsid w:val="00AD4176"/>
    <w:rsid w:val="00AE0426"/>
    <w:rsid w:val="00AE544E"/>
    <w:rsid w:val="00B00201"/>
    <w:rsid w:val="00B1162E"/>
    <w:rsid w:val="00B33D5A"/>
    <w:rsid w:val="00B56946"/>
    <w:rsid w:val="00B85409"/>
    <w:rsid w:val="00B85DDE"/>
    <w:rsid w:val="00BA0834"/>
    <w:rsid w:val="00BA6BCA"/>
    <w:rsid w:val="00BB74FD"/>
    <w:rsid w:val="00BE5781"/>
    <w:rsid w:val="00BF605C"/>
    <w:rsid w:val="00BF7CBD"/>
    <w:rsid w:val="00C02844"/>
    <w:rsid w:val="00C07583"/>
    <w:rsid w:val="00C24526"/>
    <w:rsid w:val="00C27575"/>
    <w:rsid w:val="00C409B8"/>
    <w:rsid w:val="00C609F1"/>
    <w:rsid w:val="00C64B16"/>
    <w:rsid w:val="00C779F8"/>
    <w:rsid w:val="00C80341"/>
    <w:rsid w:val="00C82AA2"/>
    <w:rsid w:val="00CA4BCE"/>
    <w:rsid w:val="00CE0CC2"/>
    <w:rsid w:val="00CF07D5"/>
    <w:rsid w:val="00CF74A8"/>
    <w:rsid w:val="00D21D3E"/>
    <w:rsid w:val="00D24AE1"/>
    <w:rsid w:val="00D5748A"/>
    <w:rsid w:val="00D61C36"/>
    <w:rsid w:val="00D661EE"/>
    <w:rsid w:val="00D677FF"/>
    <w:rsid w:val="00D74B11"/>
    <w:rsid w:val="00D77085"/>
    <w:rsid w:val="00D82228"/>
    <w:rsid w:val="00DA7F14"/>
    <w:rsid w:val="00DB21AD"/>
    <w:rsid w:val="00DD5734"/>
    <w:rsid w:val="00DD6B07"/>
    <w:rsid w:val="00DD6BB9"/>
    <w:rsid w:val="00DE4993"/>
    <w:rsid w:val="00DE5545"/>
    <w:rsid w:val="00DF1920"/>
    <w:rsid w:val="00DF5E3C"/>
    <w:rsid w:val="00E21BD8"/>
    <w:rsid w:val="00E25E1D"/>
    <w:rsid w:val="00E3779F"/>
    <w:rsid w:val="00EB087D"/>
    <w:rsid w:val="00EE0564"/>
    <w:rsid w:val="00EE2E12"/>
    <w:rsid w:val="00EF2094"/>
    <w:rsid w:val="00F019B0"/>
    <w:rsid w:val="00F5652B"/>
    <w:rsid w:val="00F80D10"/>
    <w:rsid w:val="00F90E67"/>
    <w:rsid w:val="00F95D88"/>
    <w:rsid w:val="00FA6119"/>
    <w:rsid w:val="00FD2EB4"/>
    <w:rsid w:val="00FE451F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AA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7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B7B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en-GB" w:eastAsia="zh-CN" w:bidi="hi-IN"/>
    </w:rPr>
  </w:style>
  <w:style w:type="paragraph" w:customStyle="1" w:styleId="Default">
    <w:name w:val="Default"/>
    <w:rsid w:val="00117128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93757"/>
  </w:style>
  <w:style w:type="paragraph" w:styleId="ListParagraph">
    <w:name w:val="List Paragraph"/>
    <w:basedOn w:val="Normal"/>
    <w:uiPriority w:val="34"/>
    <w:qFormat/>
    <w:rsid w:val="00FA6119"/>
    <w:pPr>
      <w:spacing w:after="0" w:line="240" w:lineRule="auto"/>
      <w:ind w:left="720"/>
      <w:contextualSpacing/>
      <w:jc w:val="both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7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B7B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en-GB" w:eastAsia="zh-CN" w:bidi="hi-IN"/>
    </w:rPr>
  </w:style>
  <w:style w:type="paragraph" w:customStyle="1" w:styleId="Default">
    <w:name w:val="Default"/>
    <w:rsid w:val="00117128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93757"/>
  </w:style>
  <w:style w:type="paragraph" w:styleId="ListParagraph">
    <w:name w:val="List Paragraph"/>
    <w:basedOn w:val="Normal"/>
    <w:uiPriority w:val="34"/>
    <w:qFormat/>
    <w:rsid w:val="00FA6119"/>
    <w:pPr>
      <w:spacing w:after="0" w:line="240" w:lineRule="auto"/>
      <w:ind w:left="720"/>
      <w:contextualSpacing/>
      <w:jc w:val="both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DJEnvironmental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Jones</dc:creator>
  <cp:lastModifiedBy>Ramsar\JenningsE</cp:lastModifiedBy>
  <cp:revision>2</cp:revision>
  <dcterms:created xsi:type="dcterms:W3CDTF">2017-05-30T21:21:00Z</dcterms:created>
  <dcterms:modified xsi:type="dcterms:W3CDTF">2017-05-30T21:21:00Z</dcterms:modified>
</cp:coreProperties>
</file>