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E1C07" w14:textId="77777777" w:rsidR="006B7B77" w:rsidRPr="00893757" w:rsidRDefault="006B7B77" w:rsidP="003D487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jc w:val="both"/>
        <w:rPr>
          <w:bCs/>
          <w:sz w:val="24"/>
          <w:szCs w:val="24"/>
        </w:rPr>
      </w:pPr>
      <w:bookmarkStart w:id="0" w:name="_GoBack"/>
      <w:bookmarkEnd w:id="0"/>
      <w:r w:rsidRPr="00893757">
        <w:rPr>
          <w:bCs/>
          <w:sz w:val="24"/>
          <w:szCs w:val="24"/>
        </w:rPr>
        <w:t>CONVENTION ON WETLANDS (Ramsar, Iran, 1971)</w:t>
      </w:r>
    </w:p>
    <w:p w14:paraId="1DD60F9D" w14:textId="77777777" w:rsidR="006B7B77" w:rsidRPr="00893757" w:rsidRDefault="006B7B77" w:rsidP="003D487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jc w:val="both"/>
        <w:rPr>
          <w:bCs/>
          <w:sz w:val="24"/>
          <w:szCs w:val="24"/>
        </w:rPr>
      </w:pPr>
      <w:r w:rsidRPr="00893757">
        <w:rPr>
          <w:bCs/>
          <w:sz w:val="24"/>
          <w:szCs w:val="24"/>
        </w:rPr>
        <w:t>53</w:t>
      </w:r>
      <w:r w:rsidRPr="00893757">
        <w:rPr>
          <w:bCs/>
          <w:sz w:val="24"/>
          <w:szCs w:val="24"/>
          <w:vertAlign w:val="superscript"/>
        </w:rPr>
        <w:t xml:space="preserve">rd </w:t>
      </w:r>
      <w:r w:rsidRPr="00893757">
        <w:rPr>
          <w:bCs/>
          <w:sz w:val="24"/>
          <w:szCs w:val="24"/>
        </w:rPr>
        <w:t>Meeting of the Ramsar Standing Committee</w:t>
      </w:r>
    </w:p>
    <w:p w14:paraId="3821B00F" w14:textId="231A9002" w:rsidR="006B7B77" w:rsidRPr="00893757" w:rsidRDefault="006B7B77" w:rsidP="003D487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jc w:val="both"/>
        <w:rPr>
          <w:bCs/>
          <w:sz w:val="24"/>
          <w:szCs w:val="24"/>
        </w:rPr>
      </w:pPr>
      <w:r w:rsidRPr="00893757">
        <w:rPr>
          <w:bCs/>
          <w:sz w:val="24"/>
          <w:szCs w:val="24"/>
        </w:rPr>
        <w:t>Gland, S</w:t>
      </w:r>
      <w:r w:rsidR="00D677FF">
        <w:rPr>
          <w:bCs/>
          <w:sz w:val="24"/>
          <w:szCs w:val="24"/>
        </w:rPr>
        <w:t xml:space="preserve">witzerland, </w:t>
      </w:r>
      <w:r w:rsidR="00C267AE">
        <w:rPr>
          <w:bCs/>
          <w:sz w:val="24"/>
          <w:szCs w:val="24"/>
        </w:rPr>
        <w:t>29</w:t>
      </w:r>
      <w:r w:rsidR="00D677FF">
        <w:rPr>
          <w:bCs/>
          <w:sz w:val="24"/>
          <w:szCs w:val="24"/>
        </w:rPr>
        <w:t xml:space="preserve"> May – 2 June 2017</w:t>
      </w:r>
    </w:p>
    <w:p w14:paraId="7F6C07DC" w14:textId="77777777" w:rsidR="006B7B77" w:rsidRPr="001C1AF0" w:rsidRDefault="006B7B77" w:rsidP="006B7B77">
      <w:pPr>
        <w:spacing w:after="0" w:line="240" w:lineRule="auto"/>
        <w:rPr>
          <w:b/>
          <w:sz w:val="28"/>
        </w:rPr>
      </w:pPr>
    </w:p>
    <w:p w14:paraId="1BE22624" w14:textId="77777777" w:rsidR="006B7B77" w:rsidRPr="00576B24" w:rsidRDefault="006B7B77" w:rsidP="006B7B77">
      <w:pPr>
        <w:spacing w:after="0" w:line="240" w:lineRule="auto"/>
        <w:contextualSpacing/>
        <w:rPr>
          <w:rFonts w:asciiTheme="majorHAnsi" w:hAnsiTheme="majorHAnsi"/>
          <w:b/>
        </w:rPr>
      </w:pPr>
    </w:p>
    <w:p w14:paraId="4DDDF7DD" w14:textId="77777777" w:rsidR="006B7B77" w:rsidRPr="00576B24" w:rsidRDefault="006B7B77" w:rsidP="006B7B77">
      <w:pPr>
        <w:spacing w:after="0" w:line="240" w:lineRule="auto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Monday 29 May 2017</w:t>
      </w:r>
    </w:p>
    <w:p w14:paraId="577AA962" w14:textId="77777777" w:rsidR="006B7B77" w:rsidRPr="00576B24" w:rsidRDefault="006B7B77" w:rsidP="006B7B77">
      <w:pPr>
        <w:spacing w:after="0" w:line="240" w:lineRule="auto"/>
        <w:contextualSpacing/>
        <w:rPr>
          <w:rFonts w:asciiTheme="majorHAnsi" w:hAnsiTheme="majorHAnsi"/>
          <w:b/>
        </w:rPr>
      </w:pPr>
    </w:p>
    <w:p w14:paraId="17C0F51D" w14:textId="190E5DD1" w:rsidR="006B7B77" w:rsidRDefault="00D677FF" w:rsidP="006B7B77">
      <w:pPr>
        <w:spacing w:after="0" w:line="240" w:lineRule="auto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10:00 – 1</w:t>
      </w:r>
      <w:r w:rsidR="004B7599">
        <w:rPr>
          <w:rFonts w:asciiTheme="majorHAnsi" w:hAnsiTheme="majorHAnsi"/>
          <w:b/>
        </w:rPr>
        <w:t>6:00</w:t>
      </w:r>
      <w:r>
        <w:rPr>
          <w:rFonts w:asciiTheme="majorHAnsi" w:hAnsiTheme="majorHAnsi"/>
          <w:b/>
        </w:rPr>
        <w:t xml:space="preserve"> </w:t>
      </w:r>
      <w:r w:rsidR="006B7B77">
        <w:rPr>
          <w:rFonts w:asciiTheme="majorHAnsi" w:hAnsiTheme="majorHAnsi"/>
          <w:b/>
        </w:rPr>
        <w:t>Meeting of the Management Working Group</w:t>
      </w:r>
      <w:r>
        <w:rPr>
          <w:rFonts w:asciiTheme="majorHAnsi" w:hAnsiTheme="majorHAnsi"/>
          <w:b/>
        </w:rPr>
        <w:t xml:space="preserve"> (MWG)</w:t>
      </w:r>
    </w:p>
    <w:p w14:paraId="18D36D4E" w14:textId="77777777" w:rsidR="009E31F1" w:rsidRDefault="009E31F1" w:rsidP="006B7B77">
      <w:pPr>
        <w:spacing w:after="0" w:line="240" w:lineRule="auto"/>
        <w:contextualSpacing/>
        <w:rPr>
          <w:rFonts w:asciiTheme="majorHAnsi" w:hAnsiTheme="majorHAnsi"/>
          <w:b/>
        </w:rPr>
      </w:pPr>
    </w:p>
    <w:p w14:paraId="021516F7" w14:textId="7E1EBC19" w:rsidR="009E31F1" w:rsidRPr="00576B24" w:rsidRDefault="009E31F1" w:rsidP="006B7B77">
      <w:pPr>
        <w:spacing w:after="0"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Draft conclusions and action points</w:t>
      </w:r>
    </w:p>
    <w:p w14:paraId="60880B36" w14:textId="77777777" w:rsidR="006B7B77" w:rsidRDefault="006B7B77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761F46C8" w14:textId="201A225C" w:rsidR="006B7B77" w:rsidRPr="00432D43" w:rsidRDefault="00432D43" w:rsidP="0011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a. </w:t>
      </w:r>
      <w:r w:rsidR="006B7B77" w:rsidRPr="00432D43">
        <w:rPr>
          <w:rFonts w:asciiTheme="majorHAnsi" w:hAnsiTheme="majorHAnsi"/>
          <w:b/>
          <w:bCs/>
        </w:rPr>
        <w:t>Working Group on CEPA Implementation</w:t>
      </w:r>
      <w:r w:rsidR="004B7599">
        <w:rPr>
          <w:rFonts w:asciiTheme="majorHAnsi" w:hAnsiTheme="majorHAnsi"/>
          <w:b/>
          <w:bCs/>
        </w:rPr>
        <w:t xml:space="preserve"> </w:t>
      </w:r>
      <w:r w:rsidR="004B7599" w:rsidRPr="00576B24">
        <w:rPr>
          <w:rFonts w:asciiTheme="majorHAnsi" w:hAnsiTheme="majorHAnsi"/>
          <w:bCs/>
        </w:rPr>
        <w:t>Doc. SC53-03</w:t>
      </w:r>
      <w:r w:rsidR="004B7599">
        <w:rPr>
          <w:rFonts w:asciiTheme="majorHAnsi" w:hAnsiTheme="majorHAnsi"/>
          <w:bCs/>
        </w:rPr>
        <w:t xml:space="preserve"> </w:t>
      </w:r>
      <w:r w:rsidR="004B7599" w:rsidRPr="00D30531">
        <w:rPr>
          <w:i/>
        </w:rPr>
        <w:t>Progress in the implementation of the CEPA Action Plan 2016 – 2018</w:t>
      </w:r>
    </w:p>
    <w:p w14:paraId="28EB4FA2" w14:textId="77777777" w:rsidR="006B7B77" w:rsidRDefault="006B7B77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35891753" w14:textId="05C6C4B6" w:rsidR="00A82916" w:rsidRDefault="00397B2E" w:rsidP="006B7B77">
      <w:pPr>
        <w:spacing w:after="0" w:line="240" w:lineRule="auto"/>
        <w:contextualSpacing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Following introductions to the document by the </w:t>
      </w:r>
      <w:r w:rsidRPr="00397B2E">
        <w:rPr>
          <w:rFonts w:asciiTheme="majorHAnsi" w:hAnsiTheme="majorHAnsi"/>
          <w:b/>
          <w:bCs/>
        </w:rPr>
        <w:t>Chair of the CEPA Working Group</w:t>
      </w:r>
      <w:r>
        <w:rPr>
          <w:rFonts w:asciiTheme="majorHAnsi" w:hAnsiTheme="majorHAnsi"/>
          <w:bCs/>
        </w:rPr>
        <w:t xml:space="preserve"> (South Africa) and the </w:t>
      </w:r>
      <w:r>
        <w:rPr>
          <w:rFonts w:asciiTheme="majorHAnsi" w:hAnsiTheme="majorHAnsi"/>
          <w:b/>
          <w:bCs/>
        </w:rPr>
        <w:t>Secretariat</w:t>
      </w:r>
      <w:r>
        <w:rPr>
          <w:rFonts w:asciiTheme="majorHAnsi" w:hAnsiTheme="majorHAnsi"/>
          <w:bCs/>
        </w:rPr>
        <w:t>, i</w:t>
      </w:r>
      <w:r w:rsidR="004B7599" w:rsidRPr="004B7599">
        <w:rPr>
          <w:rFonts w:asciiTheme="majorHAnsi" w:hAnsiTheme="majorHAnsi"/>
          <w:bCs/>
        </w:rPr>
        <w:t>nterventions were made by</w:t>
      </w:r>
      <w:r w:rsidR="004B7599">
        <w:rPr>
          <w:rFonts w:asciiTheme="majorHAnsi" w:hAnsiTheme="majorHAnsi"/>
          <w:bCs/>
        </w:rPr>
        <w:t xml:space="preserve"> the following members of the Management Working Group (MWG)</w:t>
      </w:r>
      <w:r>
        <w:rPr>
          <w:rFonts w:asciiTheme="majorHAnsi" w:hAnsiTheme="majorHAnsi"/>
          <w:bCs/>
        </w:rPr>
        <w:t>:</w:t>
      </w:r>
      <w:r w:rsidR="004B7599">
        <w:rPr>
          <w:rFonts w:asciiTheme="majorHAnsi" w:hAnsiTheme="majorHAnsi"/>
          <w:bCs/>
        </w:rPr>
        <w:t xml:space="preserve"> </w:t>
      </w:r>
      <w:r w:rsidR="004B7599" w:rsidRPr="004B7599">
        <w:rPr>
          <w:rFonts w:asciiTheme="majorHAnsi" w:hAnsiTheme="majorHAnsi"/>
          <w:b/>
          <w:bCs/>
        </w:rPr>
        <w:t>Australia</w:t>
      </w:r>
      <w:r w:rsidR="004B7599">
        <w:rPr>
          <w:rFonts w:asciiTheme="majorHAnsi" w:hAnsiTheme="majorHAnsi"/>
          <w:bCs/>
        </w:rPr>
        <w:t>,</w:t>
      </w:r>
      <w:r w:rsidR="004B7599">
        <w:rPr>
          <w:rFonts w:asciiTheme="majorHAnsi" w:hAnsiTheme="majorHAnsi"/>
          <w:b/>
          <w:bCs/>
        </w:rPr>
        <w:t xml:space="preserve"> Senegal</w:t>
      </w:r>
      <w:r w:rsidR="00400A7E">
        <w:rPr>
          <w:rFonts w:asciiTheme="majorHAnsi" w:hAnsiTheme="majorHAnsi"/>
          <w:b/>
          <w:bCs/>
        </w:rPr>
        <w:t>,</w:t>
      </w:r>
      <w:r w:rsidR="00400A7E">
        <w:rPr>
          <w:rFonts w:asciiTheme="majorHAnsi" w:hAnsiTheme="majorHAnsi"/>
          <w:bCs/>
        </w:rPr>
        <w:t xml:space="preserve"> </w:t>
      </w:r>
      <w:r w:rsidR="004B7599">
        <w:rPr>
          <w:rFonts w:asciiTheme="majorHAnsi" w:hAnsiTheme="majorHAnsi"/>
          <w:b/>
          <w:bCs/>
        </w:rPr>
        <w:t xml:space="preserve">Uruguay </w:t>
      </w:r>
      <w:r w:rsidR="004B7599" w:rsidRPr="004B7599">
        <w:rPr>
          <w:rFonts w:asciiTheme="majorHAnsi" w:hAnsiTheme="majorHAnsi"/>
          <w:bCs/>
        </w:rPr>
        <w:t xml:space="preserve">and </w:t>
      </w:r>
      <w:r w:rsidR="00400A7E">
        <w:rPr>
          <w:rFonts w:asciiTheme="majorHAnsi" w:hAnsiTheme="majorHAnsi"/>
          <w:bCs/>
        </w:rPr>
        <w:t xml:space="preserve">the </w:t>
      </w:r>
      <w:r w:rsidR="004B7599">
        <w:rPr>
          <w:rFonts w:asciiTheme="majorHAnsi" w:hAnsiTheme="majorHAnsi"/>
          <w:b/>
          <w:bCs/>
        </w:rPr>
        <w:t>United States of America</w:t>
      </w:r>
      <w:r w:rsidR="004B7599">
        <w:rPr>
          <w:rFonts w:asciiTheme="majorHAnsi" w:hAnsiTheme="majorHAnsi"/>
          <w:bCs/>
        </w:rPr>
        <w:t>.</w:t>
      </w:r>
    </w:p>
    <w:p w14:paraId="7B5EE731" w14:textId="77777777" w:rsidR="00DF5E3C" w:rsidRDefault="00DF5E3C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4D24363A" w14:textId="77777777" w:rsidR="004B7599" w:rsidRDefault="004B7599" w:rsidP="00397B2E">
      <w:pPr>
        <w:spacing w:after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In response to questions and comments, the </w:t>
      </w:r>
      <w:r w:rsidRPr="00397B2E">
        <w:rPr>
          <w:rFonts w:asciiTheme="majorHAnsi" w:hAnsiTheme="majorHAnsi"/>
          <w:b/>
          <w:bCs/>
        </w:rPr>
        <w:t>Secretary General</w:t>
      </w:r>
      <w:r>
        <w:rPr>
          <w:rFonts w:asciiTheme="majorHAnsi" w:hAnsiTheme="majorHAnsi"/>
          <w:bCs/>
        </w:rPr>
        <w:t xml:space="preserve"> noted that:</w:t>
      </w:r>
    </w:p>
    <w:p w14:paraId="3C2A200D" w14:textId="77777777" w:rsidR="004B7599" w:rsidRDefault="004B7599" w:rsidP="00397B2E">
      <w:pPr>
        <w:spacing w:after="0" w:line="240" w:lineRule="auto"/>
        <w:rPr>
          <w:rFonts w:asciiTheme="majorHAnsi" w:hAnsiTheme="majorHAnsi"/>
          <w:bCs/>
        </w:rPr>
      </w:pPr>
    </w:p>
    <w:p w14:paraId="545BFF07" w14:textId="136437C5" w:rsidR="004B7599" w:rsidRPr="00397B2E" w:rsidRDefault="00397B2E" w:rsidP="00397B2E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- </w:t>
      </w:r>
      <w:r w:rsidR="004B7599" w:rsidRPr="00397B2E">
        <w:rPr>
          <w:rFonts w:asciiTheme="majorHAnsi" w:hAnsiTheme="majorHAnsi"/>
          <w:bCs/>
        </w:rPr>
        <w:t>The Ramsar Culture Network, supported by MAVA and mentioned under Tar</w:t>
      </w:r>
      <w:r>
        <w:rPr>
          <w:rFonts w:asciiTheme="majorHAnsi" w:hAnsiTheme="majorHAnsi"/>
          <w:bCs/>
        </w:rPr>
        <w:t>get 1.5 of the CEPA Action Plan for the Secretariat 2016-2018</w:t>
      </w:r>
      <w:r w:rsidR="004B7599" w:rsidRPr="00397B2E">
        <w:rPr>
          <w:rFonts w:asciiTheme="majorHAnsi" w:hAnsiTheme="majorHAnsi"/>
          <w:bCs/>
        </w:rPr>
        <w:t>, would be covered under SC53 Agenda item 13 e).</w:t>
      </w:r>
    </w:p>
    <w:p w14:paraId="34DB9593" w14:textId="77777777" w:rsidR="004B7599" w:rsidRDefault="004B7599" w:rsidP="00397B2E">
      <w:pPr>
        <w:spacing w:after="0" w:line="240" w:lineRule="auto"/>
        <w:rPr>
          <w:rFonts w:asciiTheme="majorHAnsi" w:hAnsiTheme="majorHAnsi"/>
          <w:bCs/>
        </w:rPr>
      </w:pPr>
    </w:p>
    <w:p w14:paraId="6705E65E" w14:textId="0C9147DC" w:rsidR="004B7599" w:rsidRPr="00397B2E" w:rsidRDefault="00397B2E" w:rsidP="00397B2E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- </w:t>
      </w:r>
      <w:r w:rsidR="004B7599" w:rsidRPr="00397B2E">
        <w:rPr>
          <w:rFonts w:asciiTheme="majorHAnsi" w:hAnsiTheme="majorHAnsi"/>
          <w:bCs/>
        </w:rPr>
        <w:t>The CEPA Oversight Panel and CEPA Working Group would be holding parallel meetings on 30 May 2017, followed by a joint meeting of the two Chairs.</w:t>
      </w:r>
    </w:p>
    <w:p w14:paraId="60688D2F" w14:textId="77777777" w:rsidR="00AA06B1" w:rsidRDefault="00AA06B1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665ABFC2" w14:textId="77F31D49" w:rsidR="006B7B77" w:rsidRPr="00576B24" w:rsidRDefault="00397B2E" w:rsidP="006B7B77">
      <w:pPr>
        <w:spacing w:after="0" w:line="240" w:lineRule="auto"/>
        <w:contextualSpacing/>
        <w:rPr>
          <w:rFonts w:asciiTheme="majorHAnsi" w:hAnsiTheme="majorHAnsi"/>
          <w:bCs/>
        </w:rPr>
      </w:pPr>
      <w:r w:rsidRPr="00397B2E">
        <w:rPr>
          <w:rFonts w:asciiTheme="majorHAnsi" w:hAnsiTheme="majorHAnsi"/>
          <w:bCs/>
        </w:rPr>
        <w:t>The</w:t>
      </w:r>
      <w:r>
        <w:rPr>
          <w:rFonts w:asciiTheme="majorHAnsi" w:hAnsiTheme="majorHAnsi"/>
          <w:b/>
          <w:bCs/>
        </w:rPr>
        <w:t xml:space="preserve"> Chair </w:t>
      </w:r>
      <w:r w:rsidR="009E31F1" w:rsidRPr="009E31F1">
        <w:rPr>
          <w:rFonts w:asciiTheme="majorHAnsi" w:hAnsiTheme="majorHAnsi"/>
          <w:bCs/>
        </w:rPr>
        <w:t>(Uruguay)</w:t>
      </w:r>
      <w:r w:rsidR="009E31F1">
        <w:rPr>
          <w:rFonts w:asciiTheme="majorHAnsi" w:hAnsiTheme="majorHAnsi"/>
          <w:b/>
          <w:bCs/>
        </w:rPr>
        <w:t xml:space="preserve"> </w:t>
      </w:r>
      <w:r w:rsidRPr="00397B2E">
        <w:rPr>
          <w:rFonts w:asciiTheme="majorHAnsi" w:hAnsiTheme="majorHAnsi"/>
          <w:bCs/>
        </w:rPr>
        <w:t xml:space="preserve">concluded that </w:t>
      </w:r>
      <w:r w:rsidR="00C53703">
        <w:rPr>
          <w:rFonts w:asciiTheme="majorHAnsi" w:hAnsiTheme="majorHAnsi"/>
          <w:bCs/>
        </w:rPr>
        <w:t xml:space="preserve">the comments made during the </w:t>
      </w:r>
      <w:r w:rsidRPr="00397B2E">
        <w:rPr>
          <w:rFonts w:asciiTheme="majorHAnsi" w:hAnsiTheme="majorHAnsi"/>
          <w:bCs/>
        </w:rPr>
        <w:t xml:space="preserve">discussion of this item </w:t>
      </w:r>
      <w:r>
        <w:rPr>
          <w:rFonts w:asciiTheme="majorHAnsi" w:hAnsiTheme="majorHAnsi"/>
          <w:bCs/>
        </w:rPr>
        <w:t>should</w:t>
      </w:r>
      <w:r w:rsidR="00C53703">
        <w:rPr>
          <w:rFonts w:asciiTheme="majorHAnsi" w:hAnsiTheme="majorHAnsi"/>
          <w:bCs/>
        </w:rPr>
        <w:t xml:space="preserve"> be sent to the Secretariat, to be taken into account during the parallel CEPA meetings on 30 May</w:t>
      </w:r>
      <w:r w:rsidRPr="00397B2E">
        <w:rPr>
          <w:rFonts w:asciiTheme="majorHAnsi" w:hAnsiTheme="majorHAnsi"/>
          <w:bCs/>
        </w:rPr>
        <w:t>.</w:t>
      </w:r>
    </w:p>
    <w:p w14:paraId="125368EF" w14:textId="77777777" w:rsidR="00117128" w:rsidRDefault="00117128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24ED5020" w14:textId="66406672" w:rsidR="006B7B77" w:rsidRPr="00432D43" w:rsidRDefault="00432D43" w:rsidP="0011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b. </w:t>
      </w:r>
      <w:r w:rsidR="006B7B77" w:rsidRPr="00432D43">
        <w:rPr>
          <w:rFonts w:asciiTheme="majorHAnsi" w:hAnsiTheme="majorHAnsi"/>
          <w:b/>
          <w:bCs/>
        </w:rPr>
        <w:t>Proposal of new MOUs</w:t>
      </w:r>
      <w:r w:rsidR="00397B2E" w:rsidRPr="00397B2E">
        <w:rPr>
          <w:rFonts w:asciiTheme="majorHAnsi" w:hAnsiTheme="majorHAnsi"/>
          <w:bCs/>
        </w:rPr>
        <w:t xml:space="preserve"> </w:t>
      </w:r>
      <w:r w:rsidR="00397B2E">
        <w:rPr>
          <w:rFonts w:asciiTheme="majorHAnsi" w:hAnsiTheme="majorHAnsi"/>
          <w:bCs/>
        </w:rPr>
        <w:t xml:space="preserve">Doc. SC53-04 </w:t>
      </w:r>
      <w:r w:rsidR="00397B2E" w:rsidRPr="00D30531">
        <w:rPr>
          <w:i/>
        </w:rPr>
        <w:t>Proposal for a new memorandum of understanding and update on other agreements</w:t>
      </w:r>
    </w:p>
    <w:p w14:paraId="3F27910D" w14:textId="77777777" w:rsidR="006B7B77" w:rsidRDefault="006B7B77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709758E8" w14:textId="2E3159F1" w:rsidR="00397B2E" w:rsidRDefault="00397B2E" w:rsidP="00397B2E">
      <w:pPr>
        <w:spacing w:after="0" w:line="240" w:lineRule="auto"/>
        <w:contextualSpacing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Following an introduction to the document by the </w:t>
      </w:r>
      <w:r>
        <w:rPr>
          <w:rFonts w:asciiTheme="majorHAnsi" w:hAnsiTheme="majorHAnsi"/>
          <w:b/>
          <w:bCs/>
        </w:rPr>
        <w:t>Secretariat</w:t>
      </w:r>
      <w:r>
        <w:rPr>
          <w:rFonts w:asciiTheme="majorHAnsi" w:hAnsiTheme="majorHAnsi"/>
          <w:bCs/>
        </w:rPr>
        <w:t>, i</w:t>
      </w:r>
      <w:r w:rsidRPr="004B7599">
        <w:rPr>
          <w:rFonts w:asciiTheme="majorHAnsi" w:hAnsiTheme="majorHAnsi"/>
          <w:bCs/>
        </w:rPr>
        <w:t>nterventions were made by</w:t>
      </w:r>
      <w:r>
        <w:rPr>
          <w:rFonts w:asciiTheme="majorHAnsi" w:hAnsiTheme="majorHAnsi"/>
          <w:bCs/>
        </w:rPr>
        <w:t xml:space="preserve"> the following members of the MWG:</w:t>
      </w:r>
      <w:r w:rsidR="00C64B16">
        <w:rPr>
          <w:rFonts w:asciiTheme="majorHAnsi" w:hAnsiTheme="majorHAnsi"/>
          <w:bCs/>
        </w:rPr>
        <w:t xml:space="preserve"> </w:t>
      </w:r>
      <w:r w:rsidR="00C64B16" w:rsidRPr="00C64B16">
        <w:rPr>
          <w:rFonts w:asciiTheme="majorHAnsi" w:hAnsiTheme="majorHAnsi"/>
          <w:b/>
          <w:bCs/>
        </w:rPr>
        <w:t>Australia</w:t>
      </w:r>
      <w:r w:rsidR="00C64B16">
        <w:rPr>
          <w:rFonts w:asciiTheme="majorHAnsi" w:hAnsiTheme="majorHAnsi"/>
          <w:bCs/>
        </w:rPr>
        <w:t xml:space="preserve">, </w:t>
      </w:r>
      <w:r w:rsidR="00C64B16" w:rsidRPr="00C64B16">
        <w:rPr>
          <w:rFonts w:asciiTheme="majorHAnsi" w:hAnsiTheme="majorHAnsi"/>
          <w:b/>
          <w:bCs/>
        </w:rPr>
        <w:t>Canada</w:t>
      </w:r>
      <w:r w:rsidR="00C64B16">
        <w:rPr>
          <w:rFonts w:asciiTheme="majorHAnsi" w:hAnsiTheme="majorHAnsi"/>
          <w:bCs/>
        </w:rPr>
        <w:t xml:space="preserve">, </w:t>
      </w:r>
      <w:r>
        <w:rPr>
          <w:rFonts w:asciiTheme="majorHAnsi" w:hAnsiTheme="majorHAnsi"/>
          <w:b/>
          <w:bCs/>
        </w:rPr>
        <w:t>Senegal</w:t>
      </w:r>
      <w:r w:rsidR="00C64B16" w:rsidRPr="00C64B16">
        <w:rPr>
          <w:rFonts w:asciiTheme="majorHAnsi" w:hAnsiTheme="majorHAnsi"/>
          <w:bCs/>
        </w:rPr>
        <w:t>,</w:t>
      </w:r>
      <w:r w:rsidR="00C64B16">
        <w:rPr>
          <w:rFonts w:asciiTheme="majorHAnsi" w:hAnsiTheme="majorHAnsi"/>
          <w:b/>
          <w:bCs/>
        </w:rPr>
        <w:t xml:space="preserve"> South Africa</w:t>
      </w:r>
      <w:r w:rsidR="00C0456C">
        <w:rPr>
          <w:rFonts w:asciiTheme="majorHAnsi" w:hAnsiTheme="majorHAnsi"/>
          <w:b/>
          <w:bCs/>
        </w:rPr>
        <w:t>,</w:t>
      </w:r>
      <w:r w:rsidR="00C64B16">
        <w:rPr>
          <w:rFonts w:asciiTheme="majorHAnsi" w:hAnsiTheme="majorHAnsi"/>
          <w:b/>
          <w:bCs/>
        </w:rPr>
        <w:t xml:space="preserve"> </w:t>
      </w:r>
      <w:r w:rsidR="006C2504" w:rsidRPr="00C64B16">
        <w:rPr>
          <w:rFonts w:asciiTheme="majorHAnsi" w:hAnsiTheme="majorHAnsi"/>
          <w:b/>
          <w:bCs/>
        </w:rPr>
        <w:t>Switzerland</w:t>
      </w:r>
      <w:r w:rsidR="006C2504">
        <w:rPr>
          <w:rFonts w:asciiTheme="majorHAnsi" w:hAnsiTheme="majorHAnsi"/>
          <w:bCs/>
        </w:rPr>
        <w:t xml:space="preserve">, </w:t>
      </w:r>
      <w:r w:rsidR="006C2504">
        <w:rPr>
          <w:rFonts w:asciiTheme="majorHAnsi" w:hAnsiTheme="majorHAnsi"/>
          <w:b/>
          <w:bCs/>
        </w:rPr>
        <w:t>United Arab Emirates</w:t>
      </w:r>
      <w:r w:rsidR="006C2504">
        <w:rPr>
          <w:rFonts w:asciiTheme="majorHAnsi" w:hAnsiTheme="majorHAnsi"/>
          <w:bCs/>
        </w:rPr>
        <w:t xml:space="preserve">, </w:t>
      </w:r>
      <w:r w:rsidR="006C2504">
        <w:rPr>
          <w:rFonts w:asciiTheme="majorHAnsi" w:hAnsiTheme="majorHAnsi"/>
          <w:b/>
          <w:bCs/>
        </w:rPr>
        <w:t>United States of America</w:t>
      </w:r>
      <w:r w:rsidR="006C2504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and</w:t>
      </w:r>
      <w:r>
        <w:rPr>
          <w:rFonts w:asciiTheme="majorHAnsi" w:hAnsiTheme="majorHAnsi"/>
          <w:b/>
          <w:bCs/>
        </w:rPr>
        <w:t xml:space="preserve"> Uruguay</w:t>
      </w:r>
      <w:r w:rsidRPr="00397B2E">
        <w:rPr>
          <w:rFonts w:asciiTheme="majorHAnsi" w:hAnsiTheme="majorHAnsi"/>
          <w:bCs/>
        </w:rPr>
        <w:t>,</w:t>
      </w:r>
      <w:r>
        <w:rPr>
          <w:rFonts w:asciiTheme="majorHAnsi" w:hAnsiTheme="majorHAnsi"/>
          <w:b/>
          <w:bCs/>
        </w:rPr>
        <w:t xml:space="preserve"> </w:t>
      </w:r>
      <w:r w:rsidRPr="004B7599">
        <w:rPr>
          <w:rFonts w:asciiTheme="majorHAnsi" w:hAnsiTheme="majorHAnsi"/>
          <w:bCs/>
        </w:rPr>
        <w:t>and by</w:t>
      </w:r>
      <w:r>
        <w:rPr>
          <w:rFonts w:asciiTheme="majorHAnsi" w:hAnsiTheme="majorHAnsi"/>
          <w:bCs/>
        </w:rPr>
        <w:t xml:space="preserve"> the</w:t>
      </w:r>
      <w:r w:rsidR="00C64B16">
        <w:rPr>
          <w:rFonts w:asciiTheme="majorHAnsi" w:hAnsiTheme="majorHAnsi"/>
          <w:bCs/>
        </w:rPr>
        <w:t xml:space="preserve"> following observers: </w:t>
      </w:r>
      <w:r w:rsidR="00C64B16" w:rsidRPr="00C64B16">
        <w:rPr>
          <w:rFonts w:asciiTheme="majorHAnsi" w:hAnsiTheme="majorHAnsi"/>
          <w:b/>
          <w:bCs/>
        </w:rPr>
        <w:t>Argentina</w:t>
      </w:r>
      <w:r w:rsidR="00C64B16">
        <w:rPr>
          <w:rFonts w:asciiTheme="majorHAnsi" w:hAnsiTheme="majorHAnsi"/>
          <w:bCs/>
        </w:rPr>
        <w:t xml:space="preserve">, </w:t>
      </w:r>
      <w:r w:rsidR="00C64B16" w:rsidRPr="00C64B16">
        <w:rPr>
          <w:rFonts w:asciiTheme="majorHAnsi" w:hAnsiTheme="majorHAnsi"/>
          <w:b/>
          <w:bCs/>
        </w:rPr>
        <w:t>Colombia</w:t>
      </w:r>
      <w:r w:rsidR="00C64B16">
        <w:rPr>
          <w:rFonts w:asciiTheme="majorHAnsi" w:hAnsiTheme="majorHAnsi"/>
          <w:bCs/>
        </w:rPr>
        <w:t xml:space="preserve">, </w:t>
      </w:r>
      <w:r w:rsidR="00C64B16" w:rsidRPr="00C64B16">
        <w:rPr>
          <w:rFonts w:asciiTheme="majorHAnsi" w:hAnsiTheme="majorHAnsi"/>
          <w:b/>
          <w:bCs/>
        </w:rPr>
        <w:t>Japan</w:t>
      </w:r>
      <w:r w:rsidR="00C64B16">
        <w:rPr>
          <w:rFonts w:asciiTheme="majorHAnsi" w:hAnsiTheme="majorHAnsi"/>
          <w:bCs/>
        </w:rPr>
        <w:t xml:space="preserve">, and </w:t>
      </w:r>
      <w:r w:rsidR="00C64B16" w:rsidRPr="00C64B16">
        <w:rPr>
          <w:rFonts w:asciiTheme="majorHAnsi" w:hAnsiTheme="majorHAnsi"/>
          <w:b/>
          <w:bCs/>
        </w:rPr>
        <w:t>WWT</w:t>
      </w:r>
      <w:r w:rsidR="00C64B16">
        <w:rPr>
          <w:rFonts w:asciiTheme="majorHAnsi" w:hAnsiTheme="majorHAnsi"/>
          <w:bCs/>
        </w:rPr>
        <w:t>.</w:t>
      </w:r>
      <w:r w:rsidR="004A6CD4">
        <w:rPr>
          <w:rFonts w:asciiTheme="majorHAnsi" w:hAnsiTheme="majorHAnsi"/>
          <w:bCs/>
        </w:rPr>
        <w:t xml:space="preserve"> WWT informed the MWG of the renewal of the MoU between the International Organi</w:t>
      </w:r>
      <w:r w:rsidR="003D487B">
        <w:rPr>
          <w:rFonts w:asciiTheme="majorHAnsi" w:hAnsiTheme="majorHAnsi"/>
          <w:bCs/>
        </w:rPr>
        <w:t>s</w:t>
      </w:r>
      <w:r w:rsidR="004A6CD4">
        <w:rPr>
          <w:rFonts w:asciiTheme="majorHAnsi" w:hAnsiTheme="majorHAnsi"/>
          <w:bCs/>
        </w:rPr>
        <w:t>ation Partners (IOPs) and the Secretariat after a useful meeting of the IOP heads and the Secretary General.</w:t>
      </w:r>
    </w:p>
    <w:p w14:paraId="5385D395" w14:textId="77777777" w:rsidR="004A6CD4" w:rsidRDefault="004A6CD4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61524A35" w14:textId="77777777" w:rsidR="00C64B16" w:rsidRDefault="00C64B16" w:rsidP="00C92266">
      <w:pPr>
        <w:keepNext/>
        <w:spacing w:after="0" w:line="240" w:lineRule="auto"/>
        <w:contextualSpacing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It was agreed that the MWG should recommend to SC53 that:</w:t>
      </w:r>
    </w:p>
    <w:p w14:paraId="6837C0CD" w14:textId="77777777" w:rsidR="00C64B16" w:rsidRDefault="00C64B16" w:rsidP="00C92266">
      <w:pPr>
        <w:keepNext/>
        <w:spacing w:after="0" w:line="240" w:lineRule="auto"/>
        <w:contextualSpacing/>
        <w:rPr>
          <w:rFonts w:asciiTheme="majorHAnsi" w:hAnsiTheme="majorHAnsi"/>
          <w:bCs/>
        </w:rPr>
      </w:pPr>
    </w:p>
    <w:p w14:paraId="406332DD" w14:textId="19C79179" w:rsidR="001F3290" w:rsidRDefault="00C64B16" w:rsidP="006B7B77">
      <w:pPr>
        <w:spacing w:after="0" w:line="240" w:lineRule="auto"/>
        <w:contextualSpacing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- a review of all current</w:t>
      </w:r>
      <w:r w:rsidR="00120F0E">
        <w:rPr>
          <w:rFonts w:asciiTheme="majorHAnsi" w:hAnsiTheme="majorHAnsi"/>
          <w:bCs/>
        </w:rPr>
        <w:t xml:space="preserve"> and proposed</w:t>
      </w:r>
      <w:r>
        <w:rPr>
          <w:rFonts w:asciiTheme="majorHAnsi" w:hAnsiTheme="majorHAnsi"/>
          <w:bCs/>
        </w:rPr>
        <w:t xml:space="preserve"> </w:t>
      </w:r>
      <w:r w:rsidR="00120F0E">
        <w:rPr>
          <w:rFonts w:asciiTheme="majorHAnsi" w:hAnsiTheme="majorHAnsi"/>
          <w:bCs/>
        </w:rPr>
        <w:t>cooperative</w:t>
      </w:r>
      <w:r>
        <w:rPr>
          <w:rFonts w:asciiTheme="majorHAnsi" w:hAnsiTheme="majorHAnsi"/>
          <w:bCs/>
        </w:rPr>
        <w:t xml:space="preserve"> agreements (whether Memoranda of Understanding, Memoranda of Cooperation, or similar</w:t>
      </w:r>
      <w:r w:rsidR="00120F0E">
        <w:rPr>
          <w:rFonts w:asciiTheme="majorHAnsi" w:hAnsiTheme="majorHAnsi"/>
          <w:bCs/>
        </w:rPr>
        <w:t>) should be conducted,</w:t>
      </w:r>
      <w:r w:rsidR="00244127">
        <w:rPr>
          <w:rFonts w:asciiTheme="majorHAnsi" w:hAnsiTheme="majorHAnsi"/>
          <w:bCs/>
        </w:rPr>
        <w:t xml:space="preserve"> taking account of the present document as well as the work previously conducted for SC52,</w:t>
      </w:r>
      <w:r w:rsidR="00120F0E">
        <w:rPr>
          <w:rFonts w:asciiTheme="majorHAnsi" w:hAnsiTheme="majorHAnsi"/>
          <w:bCs/>
        </w:rPr>
        <w:t xml:space="preserve"> to report </w:t>
      </w:r>
      <w:r>
        <w:rPr>
          <w:rFonts w:asciiTheme="majorHAnsi" w:hAnsiTheme="majorHAnsi"/>
          <w:bCs/>
        </w:rPr>
        <w:t>to SC54;</w:t>
      </w:r>
    </w:p>
    <w:p w14:paraId="211C1AAC" w14:textId="0DE932F7" w:rsidR="00C64B16" w:rsidRDefault="00C64B16" w:rsidP="006B7B77">
      <w:pPr>
        <w:spacing w:after="0" w:line="240" w:lineRule="auto"/>
        <w:contextualSpacing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lastRenderedPageBreak/>
        <w:t xml:space="preserve">- this review should be conducted on the basis of criteria </w:t>
      </w:r>
      <w:r w:rsidR="00994305">
        <w:rPr>
          <w:rFonts w:asciiTheme="majorHAnsi" w:hAnsiTheme="majorHAnsi"/>
          <w:bCs/>
        </w:rPr>
        <w:t xml:space="preserve">mentioned </w:t>
      </w:r>
      <w:r>
        <w:rPr>
          <w:rFonts w:asciiTheme="majorHAnsi" w:hAnsiTheme="majorHAnsi"/>
          <w:bCs/>
        </w:rPr>
        <w:t xml:space="preserve"> by </w:t>
      </w:r>
      <w:r w:rsidR="00880528">
        <w:rPr>
          <w:rFonts w:asciiTheme="majorHAnsi" w:hAnsiTheme="majorHAnsi"/>
          <w:bCs/>
        </w:rPr>
        <w:t>MWG members</w:t>
      </w:r>
      <w:r>
        <w:rPr>
          <w:rFonts w:asciiTheme="majorHAnsi" w:hAnsiTheme="majorHAnsi"/>
          <w:bCs/>
        </w:rPr>
        <w:t xml:space="preserve">, </w:t>
      </w:r>
      <w:r w:rsidR="00120F0E">
        <w:rPr>
          <w:rFonts w:asciiTheme="majorHAnsi" w:hAnsiTheme="majorHAnsi"/>
          <w:bCs/>
        </w:rPr>
        <w:t>which might include an assessment of</w:t>
      </w:r>
      <w:r>
        <w:rPr>
          <w:rFonts w:asciiTheme="majorHAnsi" w:hAnsiTheme="majorHAnsi"/>
          <w:bCs/>
        </w:rPr>
        <w:t xml:space="preserve"> costs and benefits</w:t>
      </w:r>
      <w:r w:rsidR="00120F0E">
        <w:rPr>
          <w:rFonts w:asciiTheme="majorHAnsi" w:hAnsiTheme="majorHAnsi"/>
          <w:bCs/>
        </w:rPr>
        <w:t xml:space="preserve"> of existing and proposed agreements, </w:t>
      </w:r>
      <w:r w:rsidR="00244127">
        <w:rPr>
          <w:rFonts w:asciiTheme="majorHAnsi" w:hAnsiTheme="majorHAnsi"/>
          <w:bCs/>
        </w:rPr>
        <w:t xml:space="preserve">value added, </w:t>
      </w:r>
      <w:r w:rsidR="00120F0E">
        <w:rPr>
          <w:rFonts w:asciiTheme="majorHAnsi" w:hAnsiTheme="majorHAnsi"/>
          <w:bCs/>
        </w:rPr>
        <w:t>mechanisms for monitoring results, possible development of an agreement ‘template’ and consideration of whether some partnerships could be taken forward</w:t>
      </w:r>
      <w:r w:rsidR="00244127">
        <w:rPr>
          <w:rFonts w:asciiTheme="majorHAnsi" w:hAnsiTheme="majorHAnsi"/>
          <w:bCs/>
        </w:rPr>
        <w:t xml:space="preserve"> effectively</w:t>
      </w:r>
      <w:r w:rsidR="00120F0E">
        <w:rPr>
          <w:rFonts w:asciiTheme="majorHAnsi" w:hAnsiTheme="majorHAnsi"/>
          <w:bCs/>
        </w:rPr>
        <w:t xml:space="preserve"> without the need for formal written agreements;</w:t>
      </w:r>
    </w:p>
    <w:p w14:paraId="58C575BE" w14:textId="6033FD8D" w:rsidR="00120F0E" w:rsidRDefault="00120F0E" w:rsidP="006B7B77">
      <w:pPr>
        <w:spacing w:after="0" w:line="240" w:lineRule="auto"/>
        <w:contextualSpacing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- the draft MOU with SACEP (Annex 1 to Doc. SC53-04) should be considered within this wider review of cooperative agreements;</w:t>
      </w:r>
    </w:p>
    <w:p w14:paraId="7B32D479" w14:textId="632D4BAB" w:rsidR="00C64B16" w:rsidRDefault="00120F0E" w:rsidP="006B7B77">
      <w:pPr>
        <w:spacing w:after="0" w:line="240" w:lineRule="auto"/>
        <w:contextualSpacing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- </w:t>
      </w:r>
      <w:r w:rsidR="00C64B16">
        <w:rPr>
          <w:rFonts w:asciiTheme="majorHAnsi" w:hAnsiTheme="majorHAnsi"/>
          <w:bCs/>
        </w:rPr>
        <w:t xml:space="preserve">the Secretary General </w:t>
      </w:r>
      <w:r w:rsidR="00A53E5E">
        <w:rPr>
          <w:rFonts w:asciiTheme="majorHAnsi" w:hAnsiTheme="majorHAnsi"/>
          <w:bCs/>
        </w:rPr>
        <w:t>may</w:t>
      </w:r>
      <w:r w:rsidR="00C64B16">
        <w:rPr>
          <w:rFonts w:asciiTheme="majorHAnsi" w:hAnsiTheme="majorHAnsi"/>
          <w:bCs/>
        </w:rPr>
        <w:t xml:space="preserve"> sign the proposed letter of agreement with the International Partnership on Blue Carbon once the invitation letter received </w:t>
      </w:r>
      <w:r>
        <w:rPr>
          <w:rFonts w:asciiTheme="majorHAnsi" w:hAnsiTheme="majorHAnsi"/>
          <w:bCs/>
        </w:rPr>
        <w:t>from</w:t>
      </w:r>
      <w:r w:rsidR="00C64B16">
        <w:rPr>
          <w:rFonts w:asciiTheme="majorHAnsi" w:hAnsiTheme="majorHAnsi"/>
          <w:bCs/>
        </w:rPr>
        <w:t xml:space="preserve"> the Government of Australia ha</w:t>
      </w:r>
      <w:r w:rsidR="003D487B">
        <w:rPr>
          <w:rFonts w:asciiTheme="majorHAnsi" w:hAnsiTheme="majorHAnsi"/>
          <w:bCs/>
        </w:rPr>
        <w:t>s</w:t>
      </w:r>
      <w:r w:rsidR="00C64B16">
        <w:rPr>
          <w:rFonts w:asciiTheme="majorHAnsi" w:hAnsiTheme="majorHAnsi"/>
          <w:bCs/>
        </w:rPr>
        <w:t xml:space="preserve"> been </w:t>
      </w:r>
      <w:r>
        <w:rPr>
          <w:rFonts w:asciiTheme="majorHAnsi" w:hAnsiTheme="majorHAnsi"/>
          <w:bCs/>
        </w:rPr>
        <w:t>circulated</w:t>
      </w:r>
      <w:r w:rsidR="00C64B16">
        <w:rPr>
          <w:rFonts w:asciiTheme="majorHAnsi" w:hAnsiTheme="majorHAnsi"/>
          <w:bCs/>
        </w:rPr>
        <w:t xml:space="preserve"> to the MWG.</w:t>
      </w:r>
    </w:p>
    <w:p w14:paraId="4E1E3CA9" w14:textId="77777777" w:rsidR="00EF2094" w:rsidRDefault="00EF2094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4DE014A6" w14:textId="39A44C91" w:rsidR="00244127" w:rsidRDefault="00244127" w:rsidP="006B7B77">
      <w:pPr>
        <w:spacing w:after="0" w:line="240" w:lineRule="auto"/>
        <w:contextualSpacing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It was also noted that the Joint Work Plan 2015-2017 between the Ramsar and CMS Secretariats (Annex 2 to Doc. SC53-04) might need to be revised to take account of the new CMS Strategic Plan being tabled for adoption by the CMS COP in October 2017.</w:t>
      </w:r>
    </w:p>
    <w:p w14:paraId="6FE261DA" w14:textId="77777777" w:rsidR="00AE0426" w:rsidRDefault="00AE0426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26CC5864" w14:textId="40FF8B26" w:rsidR="006B7B77" w:rsidRPr="00432D43" w:rsidRDefault="00432D43" w:rsidP="0011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c. </w:t>
      </w:r>
      <w:r w:rsidR="006B7B77" w:rsidRPr="00432D43">
        <w:rPr>
          <w:rFonts w:asciiTheme="majorHAnsi" w:hAnsiTheme="majorHAnsi"/>
          <w:b/>
          <w:bCs/>
        </w:rPr>
        <w:t>Review of existing Working Groups</w:t>
      </w:r>
      <w:r w:rsidR="00244127" w:rsidRPr="00244127">
        <w:rPr>
          <w:rFonts w:asciiTheme="majorHAnsi" w:hAnsiTheme="majorHAnsi"/>
          <w:bCs/>
        </w:rPr>
        <w:t xml:space="preserve"> </w:t>
      </w:r>
      <w:r w:rsidR="00244127">
        <w:rPr>
          <w:rFonts w:asciiTheme="majorHAnsi" w:hAnsiTheme="majorHAnsi"/>
          <w:bCs/>
        </w:rPr>
        <w:t xml:space="preserve">Doc. SC53-05 </w:t>
      </w:r>
      <w:r w:rsidR="00244127" w:rsidRPr="00D30531">
        <w:rPr>
          <w:i/>
        </w:rPr>
        <w:t>Status of Working Groups of the Standing Committee 2016-2018</w:t>
      </w:r>
    </w:p>
    <w:p w14:paraId="76157CF1" w14:textId="77777777" w:rsidR="008F5615" w:rsidRDefault="008F5615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558055B2" w14:textId="2B606F57" w:rsidR="0089174B" w:rsidRDefault="0089174B" w:rsidP="0089174B">
      <w:pPr>
        <w:spacing w:after="0" w:line="240" w:lineRule="auto"/>
        <w:contextualSpacing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Following an introduction to the document by the </w:t>
      </w:r>
      <w:r>
        <w:rPr>
          <w:rFonts w:asciiTheme="majorHAnsi" w:hAnsiTheme="majorHAnsi"/>
          <w:b/>
          <w:bCs/>
        </w:rPr>
        <w:t>Secretariat</w:t>
      </w:r>
      <w:r>
        <w:rPr>
          <w:rFonts w:asciiTheme="majorHAnsi" w:hAnsiTheme="majorHAnsi"/>
          <w:bCs/>
        </w:rPr>
        <w:t>, i</w:t>
      </w:r>
      <w:r w:rsidRPr="004B7599">
        <w:rPr>
          <w:rFonts w:asciiTheme="majorHAnsi" w:hAnsiTheme="majorHAnsi"/>
          <w:bCs/>
        </w:rPr>
        <w:t>nterventions were made by</w:t>
      </w:r>
      <w:r>
        <w:rPr>
          <w:rFonts w:asciiTheme="majorHAnsi" w:hAnsiTheme="majorHAnsi"/>
          <w:bCs/>
        </w:rPr>
        <w:t xml:space="preserve"> the following members of the MWG: </w:t>
      </w:r>
      <w:r w:rsidRPr="0089174B">
        <w:rPr>
          <w:rFonts w:asciiTheme="majorHAnsi" w:hAnsiTheme="majorHAnsi"/>
          <w:b/>
          <w:bCs/>
        </w:rPr>
        <w:t>Australia</w:t>
      </w:r>
      <w:r>
        <w:rPr>
          <w:rFonts w:asciiTheme="majorHAnsi" w:hAnsiTheme="majorHAnsi"/>
          <w:bCs/>
        </w:rPr>
        <w:t xml:space="preserve">, </w:t>
      </w:r>
      <w:r w:rsidRPr="0089174B">
        <w:rPr>
          <w:rFonts w:asciiTheme="majorHAnsi" w:hAnsiTheme="majorHAnsi"/>
          <w:b/>
          <w:bCs/>
        </w:rPr>
        <w:t>Romania</w:t>
      </w:r>
      <w:r>
        <w:rPr>
          <w:rFonts w:asciiTheme="majorHAnsi" w:hAnsiTheme="majorHAnsi"/>
          <w:bCs/>
        </w:rPr>
        <w:t xml:space="preserve">, </w:t>
      </w:r>
      <w:r w:rsidRPr="0089174B">
        <w:rPr>
          <w:rFonts w:asciiTheme="majorHAnsi" w:hAnsiTheme="majorHAnsi"/>
          <w:b/>
          <w:bCs/>
        </w:rPr>
        <w:t>Senegal</w:t>
      </w:r>
      <w:r>
        <w:rPr>
          <w:rFonts w:asciiTheme="majorHAnsi" w:hAnsiTheme="majorHAnsi"/>
          <w:bCs/>
        </w:rPr>
        <w:t xml:space="preserve"> and </w:t>
      </w:r>
      <w:r w:rsidRPr="0089174B">
        <w:rPr>
          <w:rFonts w:asciiTheme="majorHAnsi" w:hAnsiTheme="majorHAnsi"/>
          <w:b/>
          <w:bCs/>
        </w:rPr>
        <w:t>South Africa</w:t>
      </w:r>
      <w:r w:rsidRPr="00397B2E">
        <w:rPr>
          <w:rFonts w:asciiTheme="majorHAnsi" w:hAnsiTheme="majorHAnsi"/>
          <w:bCs/>
        </w:rPr>
        <w:t>,</w:t>
      </w:r>
      <w:r>
        <w:rPr>
          <w:rFonts w:asciiTheme="majorHAnsi" w:hAnsiTheme="majorHAnsi"/>
          <w:b/>
          <w:bCs/>
        </w:rPr>
        <w:t xml:space="preserve"> </w:t>
      </w:r>
      <w:r w:rsidRPr="00C64B16">
        <w:rPr>
          <w:rFonts w:asciiTheme="majorHAnsi" w:hAnsiTheme="majorHAnsi"/>
          <w:b/>
          <w:bCs/>
        </w:rPr>
        <w:t>Switzerland</w:t>
      </w:r>
      <w:r>
        <w:rPr>
          <w:rFonts w:asciiTheme="majorHAnsi" w:hAnsiTheme="majorHAnsi"/>
          <w:bCs/>
        </w:rPr>
        <w:t xml:space="preserve"> and </w:t>
      </w:r>
      <w:r w:rsidR="003D487B">
        <w:rPr>
          <w:rFonts w:asciiTheme="majorHAnsi" w:hAnsiTheme="majorHAnsi"/>
          <w:bCs/>
        </w:rPr>
        <w:t xml:space="preserve">the </w:t>
      </w:r>
      <w:r>
        <w:rPr>
          <w:rFonts w:asciiTheme="majorHAnsi" w:hAnsiTheme="majorHAnsi"/>
          <w:b/>
          <w:bCs/>
        </w:rPr>
        <w:t>United States of America</w:t>
      </w:r>
      <w:r w:rsidR="00D65AF3" w:rsidRPr="00D65AF3">
        <w:rPr>
          <w:rFonts w:asciiTheme="majorHAnsi" w:hAnsiTheme="majorHAnsi"/>
          <w:bCs/>
        </w:rPr>
        <w:t xml:space="preserve">, and by </w:t>
      </w:r>
      <w:r w:rsidR="00D65AF3">
        <w:rPr>
          <w:rFonts w:asciiTheme="majorHAnsi" w:hAnsiTheme="majorHAnsi"/>
          <w:b/>
          <w:bCs/>
        </w:rPr>
        <w:t>Sweden</w:t>
      </w:r>
      <w:r>
        <w:rPr>
          <w:rFonts w:asciiTheme="majorHAnsi" w:hAnsiTheme="majorHAnsi"/>
          <w:bCs/>
        </w:rPr>
        <w:t>.</w:t>
      </w:r>
    </w:p>
    <w:p w14:paraId="7E212213" w14:textId="77777777" w:rsidR="009C68DA" w:rsidRDefault="009C68DA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457E035C" w14:textId="16B98DCC" w:rsidR="0089174B" w:rsidRDefault="0089174B" w:rsidP="006B7B77">
      <w:pPr>
        <w:spacing w:after="0" w:line="240" w:lineRule="auto"/>
        <w:contextualSpacing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The </w:t>
      </w:r>
      <w:r w:rsidRPr="00221329">
        <w:rPr>
          <w:rFonts w:asciiTheme="majorHAnsi" w:hAnsiTheme="majorHAnsi"/>
          <w:b/>
          <w:bCs/>
        </w:rPr>
        <w:t>Chair</w:t>
      </w:r>
      <w:r>
        <w:rPr>
          <w:rFonts w:asciiTheme="majorHAnsi" w:hAnsiTheme="majorHAnsi"/>
          <w:bCs/>
        </w:rPr>
        <w:t xml:space="preserve"> </w:t>
      </w:r>
      <w:r w:rsidR="009E31F1">
        <w:rPr>
          <w:rFonts w:asciiTheme="majorHAnsi" w:hAnsiTheme="majorHAnsi"/>
          <w:bCs/>
        </w:rPr>
        <w:t xml:space="preserve">(Uruguay) </w:t>
      </w:r>
      <w:r>
        <w:rPr>
          <w:rFonts w:asciiTheme="majorHAnsi" w:hAnsiTheme="majorHAnsi"/>
          <w:bCs/>
        </w:rPr>
        <w:t xml:space="preserve">concluded that there </w:t>
      </w:r>
      <w:r w:rsidR="00221329">
        <w:rPr>
          <w:rFonts w:asciiTheme="majorHAnsi" w:hAnsiTheme="majorHAnsi"/>
          <w:bCs/>
        </w:rPr>
        <w:t>was</w:t>
      </w:r>
      <w:r>
        <w:rPr>
          <w:rFonts w:asciiTheme="majorHAnsi" w:hAnsiTheme="majorHAnsi"/>
          <w:bCs/>
        </w:rPr>
        <w:t xml:space="preserve"> some agreement</w:t>
      </w:r>
      <w:r w:rsidR="00221329">
        <w:rPr>
          <w:rFonts w:asciiTheme="majorHAnsi" w:hAnsiTheme="majorHAnsi"/>
          <w:bCs/>
        </w:rPr>
        <w:t xml:space="preserve"> within the MWG</w:t>
      </w:r>
      <w:r>
        <w:rPr>
          <w:rFonts w:asciiTheme="majorHAnsi" w:hAnsiTheme="majorHAnsi"/>
          <w:bCs/>
        </w:rPr>
        <w:t xml:space="preserve"> on the need to review the mandates, </w:t>
      </w:r>
      <w:r w:rsidR="003D487B">
        <w:rPr>
          <w:rFonts w:asciiTheme="majorHAnsi" w:hAnsiTheme="majorHAnsi"/>
          <w:bCs/>
        </w:rPr>
        <w:t xml:space="preserve">terms of reference </w:t>
      </w:r>
      <w:r>
        <w:rPr>
          <w:rFonts w:asciiTheme="majorHAnsi" w:hAnsiTheme="majorHAnsi"/>
          <w:bCs/>
        </w:rPr>
        <w:t xml:space="preserve">and timeframes of the </w:t>
      </w:r>
      <w:r w:rsidR="00221329">
        <w:rPr>
          <w:rFonts w:asciiTheme="majorHAnsi" w:hAnsiTheme="majorHAnsi"/>
          <w:bCs/>
        </w:rPr>
        <w:t xml:space="preserve">existing </w:t>
      </w:r>
      <w:r>
        <w:rPr>
          <w:rFonts w:asciiTheme="majorHAnsi" w:hAnsiTheme="majorHAnsi"/>
          <w:bCs/>
        </w:rPr>
        <w:t>Working Groups</w:t>
      </w:r>
      <w:r w:rsidR="00221329">
        <w:rPr>
          <w:rFonts w:asciiTheme="majorHAnsi" w:hAnsiTheme="majorHAnsi"/>
          <w:bCs/>
        </w:rPr>
        <w:t>, that Working Groups which had fulfilled their mandates should be dissolved,</w:t>
      </w:r>
      <w:r>
        <w:rPr>
          <w:rFonts w:asciiTheme="majorHAnsi" w:hAnsiTheme="majorHAnsi"/>
          <w:bCs/>
        </w:rPr>
        <w:t xml:space="preserve"> and that Doc. SC53-05 should be updated accordingly.</w:t>
      </w:r>
    </w:p>
    <w:p w14:paraId="72E461A4" w14:textId="77777777" w:rsidR="0089174B" w:rsidRDefault="0089174B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0E53ACB4" w14:textId="0B6B9E4D" w:rsidR="0089174B" w:rsidRDefault="0089174B" w:rsidP="006B7B77">
      <w:pPr>
        <w:spacing w:after="0" w:line="240" w:lineRule="auto"/>
        <w:contextualSpacing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The </w:t>
      </w:r>
      <w:r w:rsidRPr="00221329">
        <w:rPr>
          <w:rFonts w:asciiTheme="majorHAnsi" w:hAnsiTheme="majorHAnsi"/>
          <w:b/>
          <w:bCs/>
        </w:rPr>
        <w:t>Chair</w:t>
      </w:r>
      <w:r>
        <w:rPr>
          <w:rFonts w:asciiTheme="majorHAnsi" w:hAnsiTheme="majorHAnsi"/>
          <w:bCs/>
        </w:rPr>
        <w:t xml:space="preserve"> </w:t>
      </w:r>
      <w:r w:rsidR="009E31F1">
        <w:rPr>
          <w:rFonts w:asciiTheme="majorHAnsi" w:hAnsiTheme="majorHAnsi"/>
          <w:bCs/>
        </w:rPr>
        <w:t xml:space="preserve">(Uruguay) </w:t>
      </w:r>
      <w:r>
        <w:rPr>
          <w:rFonts w:asciiTheme="majorHAnsi" w:hAnsiTheme="majorHAnsi"/>
          <w:bCs/>
        </w:rPr>
        <w:t xml:space="preserve">further concluded that a wider issue </w:t>
      </w:r>
      <w:r w:rsidR="00221329">
        <w:rPr>
          <w:rFonts w:asciiTheme="majorHAnsi" w:hAnsiTheme="majorHAnsi"/>
          <w:bCs/>
        </w:rPr>
        <w:t xml:space="preserve">concerning </w:t>
      </w:r>
      <w:r>
        <w:rPr>
          <w:rFonts w:asciiTheme="majorHAnsi" w:hAnsiTheme="majorHAnsi"/>
          <w:bCs/>
        </w:rPr>
        <w:t xml:space="preserve">the possible need to amend structures to enhance the convention’s effectiveness, was a separate point and would have to be dealt with </w:t>
      </w:r>
      <w:r w:rsidR="00221329">
        <w:rPr>
          <w:rFonts w:asciiTheme="majorHAnsi" w:hAnsiTheme="majorHAnsi"/>
          <w:bCs/>
        </w:rPr>
        <w:t>as such</w:t>
      </w:r>
      <w:r>
        <w:rPr>
          <w:rFonts w:asciiTheme="majorHAnsi" w:hAnsiTheme="majorHAnsi"/>
          <w:bCs/>
        </w:rPr>
        <w:t>, perhaps based on a further proposal</w:t>
      </w:r>
      <w:r w:rsidR="00221329">
        <w:rPr>
          <w:rFonts w:asciiTheme="majorHAnsi" w:hAnsiTheme="majorHAnsi"/>
          <w:bCs/>
        </w:rPr>
        <w:t xml:space="preserve"> to the SC</w:t>
      </w:r>
      <w:r>
        <w:rPr>
          <w:rFonts w:asciiTheme="majorHAnsi" w:hAnsiTheme="majorHAnsi"/>
          <w:bCs/>
        </w:rPr>
        <w:t xml:space="preserve"> along these lines.</w:t>
      </w:r>
      <w:r w:rsidR="00221329">
        <w:rPr>
          <w:rFonts w:asciiTheme="majorHAnsi" w:hAnsiTheme="majorHAnsi"/>
          <w:bCs/>
        </w:rPr>
        <w:t xml:space="preserve"> Parties </w:t>
      </w:r>
      <w:r w:rsidR="00960449">
        <w:rPr>
          <w:rFonts w:asciiTheme="majorHAnsi" w:hAnsiTheme="majorHAnsi"/>
          <w:bCs/>
        </w:rPr>
        <w:t>that had expressed an interest i</w:t>
      </w:r>
      <w:r w:rsidR="00221329">
        <w:rPr>
          <w:rFonts w:asciiTheme="majorHAnsi" w:hAnsiTheme="majorHAnsi"/>
          <w:bCs/>
        </w:rPr>
        <w:t xml:space="preserve">n this matter would be further consulted by the </w:t>
      </w:r>
      <w:r w:rsidR="00994305">
        <w:rPr>
          <w:rFonts w:asciiTheme="majorHAnsi" w:hAnsiTheme="majorHAnsi"/>
          <w:bCs/>
        </w:rPr>
        <w:t>Chair and a proposal</w:t>
      </w:r>
      <w:r w:rsidR="00692F18">
        <w:rPr>
          <w:rFonts w:asciiTheme="majorHAnsi" w:hAnsiTheme="majorHAnsi"/>
          <w:bCs/>
        </w:rPr>
        <w:t xml:space="preserve"> would </w:t>
      </w:r>
      <w:r w:rsidR="00994305">
        <w:rPr>
          <w:rFonts w:asciiTheme="majorHAnsi" w:hAnsiTheme="majorHAnsi"/>
          <w:bCs/>
        </w:rPr>
        <w:t xml:space="preserve"> be presented when reporting on the recommendations</w:t>
      </w:r>
      <w:r w:rsidR="004A6CD4">
        <w:rPr>
          <w:rFonts w:asciiTheme="majorHAnsi" w:hAnsiTheme="majorHAnsi"/>
          <w:bCs/>
        </w:rPr>
        <w:t xml:space="preserve"> of the MWG</w:t>
      </w:r>
      <w:r w:rsidR="00221329">
        <w:rPr>
          <w:rFonts w:asciiTheme="majorHAnsi" w:hAnsiTheme="majorHAnsi"/>
          <w:bCs/>
        </w:rPr>
        <w:t>.</w:t>
      </w:r>
    </w:p>
    <w:p w14:paraId="22D3170D" w14:textId="77777777" w:rsidR="00C02844" w:rsidRDefault="00C02844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71ADD79F" w14:textId="2C484B48" w:rsidR="006B7B77" w:rsidRPr="00432D43" w:rsidRDefault="00432D43" w:rsidP="00117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d. </w:t>
      </w:r>
      <w:r w:rsidR="006B7B77" w:rsidRPr="00432D43">
        <w:rPr>
          <w:rFonts w:asciiTheme="majorHAnsi" w:hAnsiTheme="majorHAnsi"/>
          <w:b/>
          <w:bCs/>
        </w:rPr>
        <w:t>Strategy on the use of UN languages</w:t>
      </w:r>
      <w:r w:rsidR="00221329">
        <w:rPr>
          <w:rFonts w:asciiTheme="majorHAnsi" w:hAnsiTheme="majorHAnsi"/>
          <w:b/>
          <w:bCs/>
        </w:rPr>
        <w:t xml:space="preserve"> </w:t>
      </w:r>
      <w:r w:rsidR="00221329">
        <w:rPr>
          <w:rFonts w:asciiTheme="majorHAnsi" w:hAnsiTheme="majorHAnsi"/>
          <w:bCs/>
        </w:rPr>
        <w:t xml:space="preserve">Doc. SC53-06 </w:t>
      </w:r>
      <w:r w:rsidR="00221329" w:rsidRPr="00D30531">
        <w:rPr>
          <w:i/>
        </w:rPr>
        <w:t>Language Strategy for the Ramsar Convention on Wetlands</w:t>
      </w:r>
      <w:r w:rsidR="00221329">
        <w:t>.</w:t>
      </w:r>
    </w:p>
    <w:p w14:paraId="3535E766" w14:textId="77777777" w:rsidR="006B7B77" w:rsidRDefault="006B7B77" w:rsidP="006B7B77">
      <w:pPr>
        <w:spacing w:after="0" w:line="240" w:lineRule="auto"/>
        <w:contextualSpacing/>
        <w:rPr>
          <w:rFonts w:asciiTheme="majorHAnsi" w:hAnsiTheme="majorHAnsi"/>
          <w:bCs/>
        </w:rPr>
      </w:pPr>
    </w:p>
    <w:p w14:paraId="3B1D37B4" w14:textId="6CCB3EB5" w:rsidR="00221329" w:rsidRDefault="009E31F1" w:rsidP="00221329">
      <w:pPr>
        <w:spacing w:after="0" w:line="240" w:lineRule="auto"/>
        <w:contextualSpacing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Following a detailed</w:t>
      </w:r>
      <w:r w:rsidR="00221329" w:rsidRPr="00221329">
        <w:rPr>
          <w:rFonts w:asciiTheme="majorHAnsi" w:hAnsiTheme="majorHAnsi"/>
          <w:bCs/>
        </w:rPr>
        <w:t xml:space="preserve"> introduction by the</w:t>
      </w:r>
      <w:r w:rsidR="00221329">
        <w:rPr>
          <w:rFonts w:asciiTheme="majorHAnsi" w:hAnsiTheme="majorHAnsi"/>
          <w:b/>
          <w:bCs/>
        </w:rPr>
        <w:t xml:space="preserve"> Secretariat</w:t>
      </w:r>
      <w:r w:rsidR="00221329" w:rsidRPr="00221329">
        <w:rPr>
          <w:rFonts w:asciiTheme="majorHAnsi" w:hAnsiTheme="majorHAnsi"/>
          <w:bCs/>
        </w:rPr>
        <w:t>,</w:t>
      </w:r>
      <w:r w:rsidR="00221329">
        <w:rPr>
          <w:rFonts w:asciiTheme="majorHAnsi" w:hAnsiTheme="majorHAnsi"/>
          <w:bCs/>
        </w:rPr>
        <w:t xml:space="preserve"> interventions were made by the following members of the MWG: </w:t>
      </w:r>
      <w:r w:rsidR="00221329" w:rsidRPr="0089174B">
        <w:rPr>
          <w:rFonts w:asciiTheme="majorHAnsi" w:hAnsiTheme="majorHAnsi"/>
          <w:b/>
          <w:bCs/>
        </w:rPr>
        <w:t>Senegal</w:t>
      </w:r>
      <w:r w:rsidR="00E353FB">
        <w:rPr>
          <w:rFonts w:asciiTheme="majorHAnsi" w:hAnsiTheme="majorHAnsi"/>
          <w:bCs/>
        </w:rPr>
        <w:t>,</w:t>
      </w:r>
      <w:r w:rsidR="00221329">
        <w:rPr>
          <w:rFonts w:asciiTheme="majorHAnsi" w:hAnsiTheme="majorHAnsi"/>
          <w:bCs/>
        </w:rPr>
        <w:t xml:space="preserve"> </w:t>
      </w:r>
      <w:r w:rsidR="00221329" w:rsidRPr="0089174B">
        <w:rPr>
          <w:rFonts w:asciiTheme="majorHAnsi" w:hAnsiTheme="majorHAnsi"/>
          <w:b/>
          <w:bCs/>
        </w:rPr>
        <w:t>South Africa</w:t>
      </w:r>
      <w:r w:rsidR="00221329" w:rsidRPr="00397B2E">
        <w:rPr>
          <w:rFonts w:asciiTheme="majorHAnsi" w:hAnsiTheme="majorHAnsi"/>
          <w:bCs/>
        </w:rPr>
        <w:t>,</w:t>
      </w:r>
      <w:r w:rsidR="00221329">
        <w:rPr>
          <w:rFonts w:asciiTheme="majorHAnsi" w:hAnsiTheme="majorHAnsi"/>
          <w:b/>
          <w:bCs/>
        </w:rPr>
        <w:t xml:space="preserve"> </w:t>
      </w:r>
      <w:r w:rsidR="00E353FB">
        <w:rPr>
          <w:rFonts w:asciiTheme="majorHAnsi" w:hAnsiTheme="majorHAnsi"/>
          <w:b/>
          <w:bCs/>
        </w:rPr>
        <w:t>Switzerland</w:t>
      </w:r>
      <w:r w:rsidR="00E353FB" w:rsidRPr="00E353FB">
        <w:rPr>
          <w:rFonts w:asciiTheme="majorHAnsi" w:hAnsiTheme="majorHAnsi"/>
          <w:bCs/>
        </w:rPr>
        <w:t xml:space="preserve"> and </w:t>
      </w:r>
      <w:r w:rsidR="00E353FB">
        <w:rPr>
          <w:rFonts w:asciiTheme="majorHAnsi" w:hAnsiTheme="majorHAnsi"/>
          <w:b/>
          <w:bCs/>
        </w:rPr>
        <w:t>United States of America</w:t>
      </w:r>
      <w:r w:rsidR="00E353FB">
        <w:rPr>
          <w:rFonts w:asciiTheme="majorHAnsi" w:hAnsiTheme="majorHAnsi"/>
          <w:bCs/>
        </w:rPr>
        <w:t xml:space="preserve">, </w:t>
      </w:r>
      <w:r w:rsidR="00221329" w:rsidRPr="004B7599">
        <w:rPr>
          <w:rFonts w:asciiTheme="majorHAnsi" w:hAnsiTheme="majorHAnsi"/>
          <w:bCs/>
        </w:rPr>
        <w:t>and by</w:t>
      </w:r>
      <w:r w:rsidR="00221329">
        <w:rPr>
          <w:rFonts w:asciiTheme="majorHAnsi" w:hAnsiTheme="majorHAnsi"/>
          <w:bCs/>
        </w:rPr>
        <w:t xml:space="preserve"> the following observers: </w:t>
      </w:r>
      <w:r w:rsidR="00221329">
        <w:rPr>
          <w:rFonts w:asciiTheme="majorHAnsi" w:hAnsiTheme="majorHAnsi"/>
          <w:b/>
          <w:bCs/>
        </w:rPr>
        <w:t>Colombia</w:t>
      </w:r>
      <w:r w:rsidR="00221329" w:rsidRPr="00221329">
        <w:rPr>
          <w:rFonts w:asciiTheme="majorHAnsi" w:hAnsiTheme="majorHAnsi"/>
          <w:bCs/>
        </w:rPr>
        <w:t>,</w:t>
      </w:r>
      <w:r w:rsidR="00221329">
        <w:rPr>
          <w:rFonts w:asciiTheme="majorHAnsi" w:hAnsiTheme="majorHAnsi"/>
          <w:bCs/>
        </w:rPr>
        <w:t xml:space="preserve"> </w:t>
      </w:r>
      <w:r w:rsidR="00221329" w:rsidRPr="00221329">
        <w:rPr>
          <w:rFonts w:asciiTheme="majorHAnsi" w:hAnsiTheme="majorHAnsi"/>
          <w:b/>
          <w:bCs/>
        </w:rPr>
        <w:t>Japan</w:t>
      </w:r>
      <w:r w:rsidR="00221329">
        <w:rPr>
          <w:rFonts w:asciiTheme="majorHAnsi" w:hAnsiTheme="majorHAnsi"/>
          <w:bCs/>
        </w:rPr>
        <w:t>,</w:t>
      </w:r>
      <w:r w:rsidR="00960449">
        <w:rPr>
          <w:rFonts w:asciiTheme="majorHAnsi" w:hAnsiTheme="majorHAnsi"/>
          <w:bCs/>
        </w:rPr>
        <w:t xml:space="preserve"> </w:t>
      </w:r>
      <w:r w:rsidR="00221329" w:rsidRPr="00221329">
        <w:rPr>
          <w:rFonts w:asciiTheme="majorHAnsi" w:hAnsiTheme="majorHAnsi"/>
          <w:b/>
          <w:bCs/>
        </w:rPr>
        <w:t>Ramsar Regional Initiative for Central Asia</w:t>
      </w:r>
      <w:r>
        <w:rPr>
          <w:rFonts w:asciiTheme="majorHAnsi" w:hAnsiTheme="majorHAnsi"/>
          <w:bCs/>
        </w:rPr>
        <w:t xml:space="preserve"> and the </w:t>
      </w:r>
      <w:r w:rsidRPr="009E31F1">
        <w:rPr>
          <w:rFonts w:asciiTheme="majorHAnsi" w:hAnsiTheme="majorHAnsi"/>
          <w:b/>
          <w:bCs/>
        </w:rPr>
        <w:t>Chair of the STRP</w:t>
      </w:r>
      <w:r>
        <w:rPr>
          <w:rFonts w:asciiTheme="majorHAnsi" w:hAnsiTheme="majorHAnsi"/>
          <w:bCs/>
        </w:rPr>
        <w:t>.</w:t>
      </w:r>
    </w:p>
    <w:p w14:paraId="0A208098" w14:textId="77777777" w:rsidR="006B7B77" w:rsidRDefault="006B7B77" w:rsidP="006B7B77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  <w:b/>
        </w:rPr>
      </w:pPr>
    </w:p>
    <w:p w14:paraId="3F1F8FE9" w14:textId="5CF104B2" w:rsidR="00726D27" w:rsidRDefault="009E31F1" w:rsidP="006B7B77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The sensitivity and potential budgetary implications of this issue were particularly underlined.</w:t>
      </w:r>
    </w:p>
    <w:p w14:paraId="3EF36E43" w14:textId="77777777" w:rsidR="009E31F1" w:rsidRDefault="009E31F1" w:rsidP="006B7B77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</w:rPr>
      </w:pPr>
    </w:p>
    <w:p w14:paraId="5DEF66A6" w14:textId="77777777" w:rsidR="009E31F1" w:rsidRDefault="009E31F1" w:rsidP="00960449">
      <w:pPr>
        <w:keepNext/>
        <w:tabs>
          <w:tab w:val="left" w:pos="2378"/>
        </w:tabs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It was agreed that:</w:t>
      </w:r>
    </w:p>
    <w:p w14:paraId="2CC74CAC" w14:textId="77777777" w:rsidR="009E31F1" w:rsidRDefault="009E31F1" w:rsidP="00960449">
      <w:pPr>
        <w:keepNext/>
        <w:tabs>
          <w:tab w:val="left" w:pos="2378"/>
        </w:tabs>
        <w:spacing w:after="0" w:line="240" w:lineRule="auto"/>
        <w:contextualSpacing/>
        <w:rPr>
          <w:rFonts w:asciiTheme="majorHAnsi" w:hAnsiTheme="majorHAnsi"/>
        </w:rPr>
      </w:pPr>
    </w:p>
    <w:p w14:paraId="32C864FC" w14:textId="5604C6C9" w:rsidR="00512476" w:rsidRPr="00DA7F14" w:rsidRDefault="009E31F1" w:rsidP="00DA7F14">
      <w:pPr>
        <w:tabs>
          <w:tab w:val="left" w:pos="2378"/>
        </w:tabs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– the open-ended informal working group on this matter established by SC52 should meet to consider </w:t>
      </w:r>
      <w:r w:rsidR="00671665">
        <w:rPr>
          <w:rFonts w:asciiTheme="majorHAnsi" w:hAnsiTheme="majorHAnsi"/>
        </w:rPr>
        <w:t>the subject</w:t>
      </w:r>
      <w:r>
        <w:rPr>
          <w:rFonts w:asciiTheme="majorHAnsi" w:hAnsiTheme="majorHAnsi"/>
        </w:rPr>
        <w:t xml:space="preserve"> further</w:t>
      </w:r>
      <w:r w:rsidR="00994305">
        <w:rPr>
          <w:rFonts w:asciiTheme="majorHAnsi" w:hAnsiTheme="majorHAnsi"/>
        </w:rPr>
        <w:t xml:space="preserve"> and </w:t>
      </w:r>
      <w:r>
        <w:rPr>
          <w:rFonts w:asciiTheme="majorHAnsi" w:hAnsiTheme="majorHAnsi"/>
        </w:rPr>
        <w:t xml:space="preserve"> bring forward a proposal to the plenary session </w:t>
      </w:r>
      <w:r w:rsidR="00FF0D1E">
        <w:rPr>
          <w:rFonts w:asciiTheme="majorHAnsi" w:hAnsiTheme="majorHAnsi"/>
        </w:rPr>
        <w:t xml:space="preserve">of the Standing Committee </w:t>
      </w:r>
      <w:r w:rsidR="00760B50">
        <w:rPr>
          <w:rFonts w:asciiTheme="majorHAnsi" w:hAnsiTheme="majorHAnsi"/>
        </w:rPr>
        <w:t>when the M</w:t>
      </w:r>
      <w:r w:rsidR="004A6CD4">
        <w:rPr>
          <w:rFonts w:asciiTheme="majorHAnsi" w:hAnsiTheme="majorHAnsi"/>
        </w:rPr>
        <w:t>WG</w:t>
      </w:r>
      <w:r w:rsidR="00760B50">
        <w:rPr>
          <w:rFonts w:asciiTheme="majorHAnsi" w:hAnsiTheme="majorHAnsi"/>
        </w:rPr>
        <w:t xml:space="preserve"> provide</w:t>
      </w:r>
      <w:r w:rsidR="00671665">
        <w:rPr>
          <w:rFonts w:asciiTheme="majorHAnsi" w:hAnsiTheme="majorHAnsi"/>
        </w:rPr>
        <w:t>s</w:t>
      </w:r>
      <w:r w:rsidR="00960449">
        <w:rPr>
          <w:rFonts w:asciiTheme="majorHAnsi" w:hAnsiTheme="majorHAnsi"/>
        </w:rPr>
        <w:t xml:space="preserve"> its report</w:t>
      </w:r>
      <w:r>
        <w:rPr>
          <w:rFonts w:asciiTheme="majorHAnsi" w:hAnsiTheme="majorHAnsi"/>
        </w:rPr>
        <w:t>.</w:t>
      </w:r>
    </w:p>
    <w:sectPr w:rsidR="00512476" w:rsidRPr="00DA7F14" w:rsidSect="00512476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C650A" w14:textId="77777777" w:rsidR="0081207C" w:rsidRDefault="0081207C" w:rsidP="00893757">
      <w:pPr>
        <w:spacing w:after="0" w:line="240" w:lineRule="auto"/>
      </w:pPr>
      <w:r>
        <w:separator/>
      </w:r>
    </w:p>
  </w:endnote>
  <w:endnote w:type="continuationSeparator" w:id="0">
    <w:p w14:paraId="4422181A" w14:textId="77777777" w:rsidR="0081207C" w:rsidRDefault="0081207C" w:rsidP="0089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FE54" w14:textId="77777777" w:rsidR="00221329" w:rsidRDefault="00221329" w:rsidP="00A82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C7D382" w14:textId="77777777" w:rsidR="00221329" w:rsidRDefault="00221329" w:rsidP="008937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CD6F" w14:textId="77777777" w:rsidR="00221329" w:rsidRDefault="00221329" w:rsidP="00A82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39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9EACC0" w14:textId="1217097B" w:rsidR="00221329" w:rsidRDefault="00221329" w:rsidP="00893757">
    <w:pPr>
      <w:pStyle w:val="Footer"/>
      <w:ind w:right="360"/>
    </w:pPr>
    <w:r>
      <w:t xml:space="preserve">SC53 MWG meeting – </w:t>
    </w:r>
    <w:r w:rsidR="009E31F1">
      <w:t>Draft conclusions and action points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C2BFA" w14:textId="77777777" w:rsidR="0081207C" w:rsidRDefault="0081207C" w:rsidP="00893757">
      <w:pPr>
        <w:spacing w:after="0" w:line="240" w:lineRule="auto"/>
      </w:pPr>
      <w:r>
        <w:separator/>
      </w:r>
    </w:p>
  </w:footnote>
  <w:footnote w:type="continuationSeparator" w:id="0">
    <w:p w14:paraId="3764830B" w14:textId="77777777" w:rsidR="0081207C" w:rsidRDefault="0081207C" w:rsidP="0089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13A"/>
    <w:multiLevelType w:val="hybridMultilevel"/>
    <w:tmpl w:val="EE8E56A8"/>
    <w:lvl w:ilvl="0" w:tplc="6E52E126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55B"/>
    <w:multiLevelType w:val="hybridMultilevel"/>
    <w:tmpl w:val="4DF64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77"/>
    <w:rsid w:val="000053A0"/>
    <w:rsid w:val="00006A71"/>
    <w:rsid w:val="00027273"/>
    <w:rsid w:val="000646EA"/>
    <w:rsid w:val="000678C6"/>
    <w:rsid w:val="00083FB4"/>
    <w:rsid w:val="000B7C64"/>
    <w:rsid w:val="000D3EA3"/>
    <w:rsid w:val="000D676A"/>
    <w:rsid w:val="000E4E9D"/>
    <w:rsid w:val="000F087C"/>
    <w:rsid w:val="00117128"/>
    <w:rsid w:val="00120F0E"/>
    <w:rsid w:val="001234E9"/>
    <w:rsid w:val="001261A5"/>
    <w:rsid w:val="00163551"/>
    <w:rsid w:val="00192C59"/>
    <w:rsid w:val="001F3290"/>
    <w:rsid w:val="001F355B"/>
    <w:rsid w:val="001F492B"/>
    <w:rsid w:val="002071A8"/>
    <w:rsid w:val="00221329"/>
    <w:rsid w:val="00230067"/>
    <w:rsid w:val="00244127"/>
    <w:rsid w:val="00245927"/>
    <w:rsid w:val="00253D0A"/>
    <w:rsid w:val="002552B6"/>
    <w:rsid w:val="0029267D"/>
    <w:rsid w:val="00295654"/>
    <w:rsid w:val="002A724A"/>
    <w:rsid w:val="002C42DF"/>
    <w:rsid w:val="002F5AF5"/>
    <w:rsid w:val="00315BC3"/>
    <w:rsid w:val="0032602D"/>
    <w:rsid w:val="00355D58"/>
    <w:rsid w:val="00363DF9"/>
    <w:rsid w:val="00397B2E"/>
    <w:rsid w:val="003B79DC"/>
    <w:rsid w:val="003C7ACD"/>
    <w:rsid w:val="003D435E"/>
    <w:rsid w:val="003D487B"/>
    <w:rsid w:val="00400A7E"/>
    <w:rsid w:val="00415072"/>
    <w:rsid w:val="00432961"/>
    <w:rsid w:val="00432D43"/>
    <w:rsid w:val="0043357D"/>
    <w:rsid w:val="00446F57"/>
    <w:rsid w:val="004548E4"/>
    <w:rsid w:val="004965D3"/>
    <w:rsid w:val="004A6CD4"/>
    <w:rsid w:val="004B0E6C"/>
    <w:rsid w:val="004B6D8A"/>
    <w:rsid w:val="004B7599"/>
    <w:rsid w:val="004D073A"/>
    <w:rsid w:val="004D34DD"/>
    <w:rsid w:val="004D5825"/>
    <w:rsid w:val="005007DC"/>
    <w:rsid w:val="00512476"/>
    <w:rsid w:val="005669DD"/>
    <w:rsid w:val="00574630"/>
    <w:rsid w:val="005D6567"/>
    <w:rsid w:val="00625E80"/>
    <w:rsid w:val="00671665"/>
    <w:rsid w:val="00692F18"/>
    <w:rsid w:val="006B0651"/>
    <w:rsid w:val="006B7B77"/>
    <w:rsid w:val="006C2504"/>
    <w:rsid w:val="006D6D51"/>
    <w:rsid w:val="00726D27"/>
    <w:rsid w:val="00760B50"/>
    <w:rsid w:val="007701A6"/>
    <w:rsid w:val="0078586E"/>
    <w:rsid w:val="007B2D6F"/>
    <w:rsid w:val="007B78EF"/>
    <w:rsid w:val="007E100B"/>
    <w:rsid w:val="007E66B8"/>
    <w:rsid w:val="007E78F2"/>
    <w:rsid w:val="007F560F"/>
    <w:rsid w:val="0081207C"/>
    <w:rsid w:val="00816F53"/>
    <w:rsid w:val="0081793D"/>
    <w:rsid w:val="00865592"/>
    <w:rsid w:val="00867517"/>
    <w:rsid w:val="008701A9"/>
    <w:rsid w:val="00880528"/>
    <w:rsid w:val="0089174B"/>
    <w:rsid w:val="00892219"/>
    <w:rsid w:val="00893757"/>
    <w:rsid w:val="008A2DDA"/>
    <w:rsid w:val="008B1A2C"/>
    <w:rsid w:val="008D0A57"/>
    <w:rsid w:val="008D1120"/>
    <w:rsid w:val="008D26DD"/>
    <w:rsid w:val="008D5BF2"/>
    <w:rsid w:val="008E4BCF"/>
    <w:rsid w:val="008E7D5D"/>
    <w:rsid w:val="008F5615"/>
    <w:rsid w:val="00912733"/>
    <w:rsid w:val="00920F31"/>
    <w:rsid w:val="0093218D"/>
    <w:rsid w:val="00960449"/>
    <w:rsid w:val="009706F6"/>
    <w:rsid w:val="00986DA0"/>
    <w:rsid w:val="009912EF"/>
    <w:rsid w:val="00994305"/>
    <w:rsid w:val="009A5D7D"/>
    <w:rsid w:val="009C68DA"/>
    <w:rsid w:val="009D03B8"/>
    <w:rsid w:val="009D2CE0"/>
    <w:rsid w:val="009E1868"/>
    <w:rsid w:val="009E31F1"/>
    <w:rsid w:val="009F789B"/>
    <w:rsid w:val="00A44AAE"/>
    <w:rsid w:val="00A53E5E"/>
    <w:rsid w:val="00A615E5"/>
    <w:rsid w:val="00A82916"/>
    <w:rsid w:val="00A9338B"/>
    <w:rsid w:val="00A97456"/>
    <w:rsid w:val="00AA06B1"/>
    <w:rsid w:val="00AA0F46"/>
    <w:rsid w:val="00AD266E"/>
    <w:rsid w:val="00AD4176"/>
    <w:rsid w:val="00AE0426"/>
    <w:rsid w:val="00B00201"/>
    <w:rsid w:val="00B1162E"/>
    <w:rsid w:val="00B33D5A"/>
    <w:rsid w:val="00B56946"/>
    <w:rsid w:val="00B85409"/>
    <w:rsid w:val="00B85DDE"/>
    <w:rsid w:val="00BA0834"/>
    <w:rsid w:val="00BA6BCA"/>
    <w:rsid w:val="00BB74FD"/>
    <w:rsid w:val="00BE5781"/>
    <w:rsid w:val="00BF605C"/>
    <w:rsid w:val="00BF7CBD"/>
    <w:rsid w:val="00C02844"/>
    <w:rsid w:val="00C0456C"/>
    <w:rsid w:val="00C06671"/>
    <w:rsid w:val="00C07583"/>
    <w:rsid w:val="00C24526"/>
    <w:rsid w:val="00C267AE"/>
    <w:rsid w:val="00C27575"/>
    <w:rsid w:val="00C409B8"/>
    <w:rsid w:val="00C53703"/>
    <w:rsid w:val="00C64B16"/>
    <w:rsid w:val="00C779F8"/>
    <w:rsid w:val="00C82AA2"/>
    <w:rsid w:val="00C92266"/>
    <w:rsid w:val="00CA039E"/>
    <w:rsid w:val="00CA4BCE"/>
    <w:rsid w:val="00CE0CC2"/>
    <w:rsid w:val="00CF07D5"/>
    <w:rsid w:val="00CF74A8"/>
    <w:rsid w:val="00D21D3E"/>
    <w:rsid w:val="00D24AE1"/>
    <w:rsid w:val="00D34D1B"/>
    <w:rsid w:val="00D5748A"/>
    <w:rsid w:val="00D61C36"/>
    <w:rsid w:val="00D65AF3"/>
    <w:rsid w:val="00D661EE"/>
    <w:rsid w:val="00D677FF"/>
    <w:rsid w:val="00D74B11"/>
    <w:rsid w:val="00D77085"/>
    <w:rsid w:val="00D82228"/>
    <w:rsid w:val="00DA7F14"/>
    <w:rsid w:val="00DB21AD"/>
    <w:rsid w:val="00DD6B07"/>
    <w:rsid w:val="00DE4993"/>
    <w:rsid w:val="00DF1920"/>
    <w:rsid w:val="00DF5E3C"/>
    <w:rsid w:val="00E21BD8"/>
    <w:rsid w:val="00E25E1D"/>
    <w:rsid w:val="00E353FB"/>
    <w:rsid w:val="00E3779F"/>
    <w:rsid w:val="00EB087D"/>
    <w:rsid w:val="00EE0564"/>
    <w:rsid w:val="00EF2094"/>
    <w:rsid w:val="00EF6FCD"/>
    <w:rsid w:val="00F019B0"/>
    <w:rsid w:val="00F5652B"/>
    <w:rsid w:val="00F80D10"/>
    <w:rsid w:val="00F90E67"/>
    <w:rsid w:val="00FA328E"/>
    <w:rsid w:val="00FA6119"/>
    <w:rsid w:val="00FD2EB4"/>
    <w:rsid w:val="00FE451F"/>
    <w:rsid w:val="00FF0234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AAB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7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B7B7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en-GB" w:eastAsia="zh-CN" w:bidi="hi-IN"/>
    </w:rPr>
  </w:style>
  <w:style w:type="paragraph" w:customStyle="1" w:styleId="Default">
    <w:name w:val="Default"/>
    <w:rsid w:val="00117128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3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57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3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57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93757"/>
  </w:style>
  <w:style w:type="paragraph" w:styleId="ListParagraph">
    <w:name w:val="List Paragraph"/>
    <w:basedOn w:val="Normal"/>
    <w:uiPriority w:val="34"/>
    <w:qFormat/>
    <w:rsid w:val="00FA6119"/>
    <w:pPr>
      <w:spacing w:after="0" w:line="240" w:lineRule="auto"/>
      <w:ind w:left="720"/>
      <w:contextualSpacing/>
      <w:jc w:val="both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50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0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B50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B50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7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B7B7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en-GB" w:eastAsia="zh-CN" w:bidi="hi-IN"/>
    </w:rPr>
  </w:style>
  <w:style w:type="paragraph" w:customStyle="1" w:styleId="Default">
    <w:name w:val="Default"/>
    <w:rsid w:val="00117128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3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57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37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57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93757"/>
  </w:style>
  <w:style w:type="paragraph" w:styleId="ListParagraph">
    <w:name w:val="List Paragraph"/>
    <w:basedOn w:val="Normal"/>
    <w:uiPriority w:val="34"/>
    <w:qFormat/>
    <w:rsid w:val="00FA6119"/>
    <w:pPr>
      <w:spacing w:after="0" w:line="240" w:lineRule="auto"/>
      <w:ind w:left="720"/>
      <w:contextualSpacing/>
      <w:jc w:val="both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50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0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B50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B50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DJEnvironmental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Jones</dc:creator>
  <cp:lastModifiedBy>Ramsar\JenningsE</cp:lastModifiedBy>
  <cp:revision>2</cp:revision>
  <dcterms:created xsi:type="dcterms:W3CDTF">2017-05-30T17:04:00Z</dcterms:created>
  <dcterms:modified xsi:type="dcterms:W3CDTF">2017-05-30T17:04:00Z</dcterms:modified>
</cp:coreProperties>
</file>