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3" w:rsidRDefault="003410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jc w:val="center"/>
        <w:rPr>
          <w:rFonts w:ascii="Book Antiqua" w:hAnsi="Book Antiqua"/>
          <w:b/>
          <w:spacing w:val="-2"/>
          <w:sz w:val="28"/>
          <w:lang w:val="fr-FR"/>
        </w:rPr>
      </w:pPr>
      <w:bookmarkStart w:id="0" w:name="_GoBack"/>
      <w:r>
        <w:rPr>
          <w:rFonts w:ascii="Book Antiqua" w:hAnsi="Book Antiqua"/>
          <w:b/>
          <w:spacing w:val="-2"/>
          <w:sz w:val="28"/>
          <w:lang w:val="fr-FR"/>
        </w:rPr>
        <w:t>La Convention sur les zones humides</w:t>
      </w:r>
    </w:p>
    <w:p w:rsidR="00F440B3" w:rsidRDefault="003410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jc w:val="center"/>
        <w:rPr>
          <w:rFonts w:ascii="Book Antiqua" w:hAnsi="Book Antiqua"/>
          <w:b/>
          <w:spacing w:val="-2"/>
          <w:sz w:val="28"/>
          <w:lang w:val="fr-FR"/>
        </w:rPr>
      </w:pPr>
      <w:r>
        <w:rPr>
          <w:rFonts w:ascii="Book Antiqua" w:hAnsi="Book Antiqua"/>
          <w:b/>
          <w:spacing w:val="-2"/>
          <w:sz w:val="28"/>
          <w:lang w:val="fr-FR"/>
        </w:rPr>
        <w:t>(Ramsar, Iran, 1971)</w:t>
      </w:r>
    </w:p>
    <w:p w:rsidR="00F440B3" w:rsidRDefault="00F44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rPr>
          <w:spacing w:val="-2"/>
          <w:sz w:val="22"/>
          <w:lang w:val="fr-FR"/>
        </w:rPr>
      </w:pPr>
    </w:p>
    <w:p w:rsidR="00F440B3" w:rsidRDefault="00F44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rPr>
          <w:spacing w:val="-2"/>
          <w:sz w:val="22"/>
          <w:lang w:val="fr-FR"/>
        </w:rPr>
      </w:pPr>
    </w:p>
    <w:p w:rsidR="00F440B3" w:rsidRDefault="003410A4">
      <w:pPr>
        <w:suppressAutoHyphens/>
        <w:jc w:val="center"/>
        <w:rPr>
          <w:rFonts w:ascii="Garamond" w:hAnsi="Garamond"/>
          <w:b/>
          <w:spacing w:val="-2"/>
          <w:sz w:val="36"/>
        </w:rPr>
      </w:pPr>
      <w:r>
        <w:rPr>
          <w:rFonts w:ascii="Garamond" w:hAnsi="Garamond"/>
          <w:b/>
          <w:spacing w:val="-2"/>
          <w:sz w:val="36"/>
          <w:u w:val="single"/>
        </w:rPr>
        <w:t>Registre de Montreux - Questionnaire</w:t>
      </w:r>
    </w:p>
    <w:bookmarkEnd w:id="0"/>
    <w:p w:rsidR="00F440B3" w:rsidRDefault="00F440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rPr>
          <w:rFonts w:ascii="Garamond" w:hAnsi="Garamond"/>
          <w:spacing w:val="-2"/>
          <w:sz w:val="22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567"/>
        <w:rPr>
          <w:rFonts w:ascii="Garamond" w:hAnsi="Garamond"/>
          <w:b/>
          <w:spacing w:val="-2"/>
          <w:lang w:val="fr-FR"/>
        </w:rPr>
      </w:pPr>
      <w:r>
        <w:rPr>
          <w:rFonts w:ascii="Garamond" w:hAnsi="Garamond"/>
          <w:b/>
          <w:spacing w:val="-2"/>
          <w:u w:val="single"/>
          <w:lang w:val="fr-FR"/>
        </w:rPr>
        <w:t>Section Un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567"/>
        <w:rPr>
          <w:rFonts w:ascii="Garamond" w:hAnsi="Garamond"/>
          <w:b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567"/>
        <w:rPr>
          <w:rFonts w:ascii="Garamond" w:hAnsi="Garamond"/>
          <w:b/>
          <w:spacing w:val="-2"/>
          <w:lang w:val="fr-FR"/>
        </w:rPr>
      </w:pPr>
      <w:r>
        <w:rPr>
          <w:rFonts w:ascii="Garamond" w:hAnsi="Garamond"/>
          <w:b/>
          <w:spacing w:val="-2"/>
          <w:u w:val="single"/>
          <w:lang w:val="fr-FR"/>
        </w:rPr>
        <w:t>Information permettant d'évaluer l'inscription éventuelle d'un site de la Liste au Registre de Montreux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567"/>
        <w:rPr>
          <w:rFonts w:ascii="Garamond" w:hAnsi="Garamond"/>
          <w:b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567"/>
        <w:rPr>
          <w:rFonts w:ascii="Garamond" w:hAnsi="Garamond"/>
          <w:b/>
          <w:spacing w:val="-2"/>
          <w:u w:val="single"/>
          <w:lang w:val="fr-FR"/>
        </w:rPr>
      </w:pPr>
      <w:r>
        <w:rPr>
          <w:rFonts w:ascii="Garamond" w:hAnsi="Garamond"/>
          <w:b/>
          <w:spacing w:val="-2"/>
          <w:u w:val="single"/>
          <w:lang w:val="fr-FR"/>
        </w:rPr>
        <w:t>Points essentiels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Nom du site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Critères Ramsar ayant justifié l'inscription du site pour son importance internationale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Nature du changement dans les caractéristiques écologiques/risque de changement défavorable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Raison(s) du changement défavorable ou du risque de changement défavorable dans les caractéristiques écologiques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b/>
          <w:spacing w:val="-2"/>
          <w:u w:val="single"/>
          <w:lang w:val="fr-FR"/>
        </w:rPr>
        <w:t>Points complémentaires à inclure éventuellement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Date de soumission de la Fiche descriptive sur les sites Ramsar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Date et source des mises à jour de la Fiche descriptive (par ex., Rapports nationaux, inventaire national des zones humides, étude spécifique)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Avantages et valeurs du site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Etendue de la dégradation ou du changement des valeurs et des avantages du site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Programme de surveillance continue en place dans le site, le cas échéant (technique(s), objectifs et nature des données et de l'information recueillies)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Procédures d'évaluation en place, le cas échéant (comment l'information est obtenue avec le programme de surveillance continue appliqué)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Mesures d'amélioration et de restauration en place ou prévues (à ce jour)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Liste des annexes fournie par la Partie contractante (le cas échéant)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Liste des annexes fournies par le Bureau Ramsar (le cas échéant)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b/>
          <w:spacing w:val="-2"/>
          <w:lang w:val="fr-FR"/>
        </w:rPr>
      </w:pPr>
      <w:r>
        <w:rPr>
          <w:rFonts w:ascii="Garamond" w:hAnsi="Garamond"/>
          <w:b/>
          <w:spacing w:val="-2"/>
          <w:u w:val="single"/>
          <w:lang w:val="fr-FR"/>
        </w:rPr>
        <w:lastRenderedPageBreak/>
        <w:t>Section Deux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b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567"/>
        <w:rPr>
          <w:rFonts w:ascii="Garamond" w:hAnsi="Garamond"/>
          <w:b/>
          <w:spacing w:val="-2"/>
          <w:lang w:val="fr-FR"/>
        </w:rPr>
      </w:pPr>
      <w:r>
        <w:rPr>
          <w:rFonts w:ascii="Garamond" w:hAnsi="Garamond"/>
          <w:b/>
          <w:spacing w:val="-2"/>
          <w:u w:val="single"/>
          <w:lang w:val="fr-FR"/>
        </w:rPr>
        <w:t>Information permettant d'évaluer la possibilité de retirer un site du Registre de Montreux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Succès des mesures d'amélioration, de restauration ou d’entretien (décrire, si elles sont différentes de celles qui figurent dans la Section Un du questionnaire)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Procédures proposées de surveillance continue et d'évaluation (décrire, si elles sont différentes de celles qui sont dans la Section Un du questionnaire)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Mesure dans laquelle les caractéristiques écologiques, avantages et valeurs du site ont été restaurés ou  maintenus (préciser)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Raison(s) justifiant le retrait du site du Registre de Montreux (se référer aux Principes opérationnels du Registre de Montreux ainsi qu'à la Section Un du présent questionnaire)</w:t>
      </w:r>
    </w:p>
    <w:p w:rsidR="00F440B3" w:rsidRDefault="00F440B3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</w:p>
    <w:p w:rsidR="00F440B3" w:rsidRDefault="003410A4">
      <w:pPr>
        <w:tabs>
          <w:tab w:val="left" w:pos="-1440"/>
          <w:tab w:val="left" w:pos="-720"/>
          <w:tab w:val="left" w:pos="-567"/>
          <w:tab w:val="left" w:pos="1440"/>
          <w:tab w:val="left" w:pos="2880"/>
          <w:tab w:val="left" w:pos="3168"/>
          <w:tab w:val="left" w:pos="3600"/>
          <w:tab w:val="left" w:pos="3907"/>
          <w:tab w:val="left" w:pos="4320"/>
        </w:tabs>
        <w:suppressAutoHyphens/>
        <w:ind w:left="1134" w:hanging="567"/>
        <w:rPr>
          <w:rFonts w:ascii="Garamond" w:hAnsi="Garamond"/>
          <w:spacing w:val="-2"/>
          <w:lang w:val="fr-FR"/>
        </w:rPr>
      </w:pPr>
      <w:r>
        <w:rPr>
          <w:rFonts w:ascii="Garamond" w:hAnsi="Garamond"/>
          <w:spacing w:val="-2"/>
        </w:rPr>
        <w:sym w:font="Marlett" w:char="F069"/>
      </w:r>
      <w:r>
        <w:rPr>
          <w:rFonts w:ascii="Garamond" w:hAnsi="Garamond"/>
          <w:spacing w:val="-2"/>
          <w:lang w:val="fr-FR"/>
        </w:rPr>
        <w:tab/>
        <w:t>Liste d'autres annexes (le cas échéant)</w:t>
      </w:r>
    </w:p>
    <w:p w:rsidR="00F440B3" w:rsidRDefault="00F440B3">
      <w:pPr>
        <w:ind w:left="1134"/>
        <w:rPr>
          <w:rFonts w:ascii="Garamond" w:hAnsi="Garamond"/>
          <w:sz w:val="22"/>
          <w:lang w:val="fr-FR"/>
        </w:rPr>
      </w:pPr>
    </w:p>
    <w:p w:rsidR="00F440B3" w:rsidRDefault="00F440B3">
      <w:pPr>
        <w:ind w:left="1134"/>
        <w:rPr>
          <w:rFonts w:ascii="Garamond" w:hAnsi="Garamond"/>
          <w:sz w:val="22"/>
          <w:lang w:val="fr-FR"/>
        </w:rPr>
      </w:pPr>
    </w:p>
    <w:p w:rsidR="00F440B3" w:rsidRDefault="00F440B3">
      <w:pPr>
        <w:ind w:left="1134"/>
        <w:rPr>
          <w:rFonts w:ascii="Garamond" w:hAnsi="Garamond"/>
          <w:sz w:val="22"/>
          <w:lang w:val="fr-FR"/>
        </w:rPr>
      </w:pPr>
    </w:p>
    <w:p w:rsidR="00F440B3" w:rsidRDefault="00F440B3">
      <w:pPr>
        <w:ind w:left="1134"/>
        <w:rPr>
          <w:rFonts w:ascii="Garamond" w:hAnsi="Garamond"/>
          <w:sz w:val="22"/>
          <w:lang w:val="fr-FR"/>
        </w:rPr>
      </w:pPr>
    </w:p>
    <w:p w:rsidR="00F440B3" w:rsidRDefault="003410A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Pour tout renseignement, contactez: </w:t>
      </w:r>
    </w:p>
    <w:p w:rsidR="00F440B3" w:rsidRDefault="003410A4">
      <w:pPr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>Secrétariat de la Convention de Ramsar</w:t>
      </w:r>
    </w:p>
    <w:p w:rsidR="00F440B3" w:rsidRDefault="003410A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Rue Mauverney 28</w:t>
      </w:r>
    </w:p>
    <w:p w:rsidR="00F440B3" w:rsidRDefault="003410A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CH-1196 Gland, Suisse </w:t>
      </w:r>
    </w:p>
    <w:p w:rsidR="00F440B3" w:rsidRDefault="003410A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Tél. +41 22 999 0170, fax +41 22 999 0169</w:t>
      </w:r>
    </w:p>
    <w:p w:rsidR="00F440B3" w:rsidRDefault="003410A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courriel : ramsar@ramsar.org </w:t>
      </w:r>
    </w:p>
    <w:p w:rsidR="00F440B3" w:rsidRDefault="003410A4">
      <w:pPr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Web: http://ramsar.org</w:t>
      </w:r>
    </w:p>
    <w:p w:rsidR="00F440B3" w:rsidRDefault="00F440B3">
      <w:pPr>
        <w:rPr>
          <w:rFonts w:ascii="Garamond" w:hAnsi="Garamond"/>
          <w:lang w:val="fr-FR"/>
        </w:rPr>
      </w:pPr>
    </w:p>
    <w:sectPr w:rsidR="00F440B3"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A4"/>
    <w:rsid w:val="00246E12"/>
    <w:rsid w:val="003410A4"/>
    <w:rsid w:val="00F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2064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_Registre de Montreux - Questionnaire</vt:lpstr>
    </vt:vector>
  </TitlesOfParts>
  <Company>The World Conservation Union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_Registre de Montreux - Questionnaire</dc:title>
  <dc:creator>Dwight Peck</dc:creator>
  <cp:lastModifiedBy>Ramsar\JenningsE</cp:lastModifiedBy>
  <cp:revision>2</cp:revision>
  <dcterms:created xsi:type="dcterms:W3CDTF">2016-07-18T15:55:00Z</dcterms:created>
  <dcterms:modified xsi:type="dcterms:W3CDTF">2016-07-18T15:55:00Z</dcterms:modified>
</cp:coreProperties>
</file>