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75DA" w14:textId="47CABB71" w:rsidR="00B447A7" w:rsidRPr="00B447A7" w:rsidRDefault="00116FF7" w:rsidP="00F615BD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lang w:val="es-ES"/>
        </w:rPr>
      </w:pPr>
      <w:r>
        <w:rPr>
          <w:rStyle w:val="jlqj4b"/>
          <w:lang w:val="es-ES"/>
        </w:rPr>
        <w:t xml:space="preserve">LA </w:t>
      </w:r>
      <w:r w:rsidR="00B447A7">
        <w:rPr>
          <w:rStyle w:val="jlqj4b"/>
          <w:lang w:val="es-ES"/>
        </w:rPr>
        <w:t>CONVENCIÓN SOBRE LOS HUMEDALES</w:t>
      </w:r>
      <w:r w:rsidR="00B447A7" w:rsidRPr="00B447A7">
        <w:rPr>
          <w:lang w:val="es-ES"/>
        </w:rPr>
        <w:t xml:space="preserve"> </w:t>
      </w:r>
    </w:p>
    <w:p w14:paraId="5147CEB3" w14:textId="35AAD36B" w:rsidR="00F615BD" w:rsidRDefault="00F615BD" w:rsidP="00F615BD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rFonts w:cstheme="minorHAnsi"/>
          <w:bCs/>
          <w:szCs w:val="20"/>
          <w:lang w:val="es-ES"/>
        </w:rPr>
      </w:pPr>
      <w:r w:rsidRPr="00F615BD">
        <w:rPr>
          <w:rFonts w:cstheme="minorHAnsi"/>
          <w:bCs/>
          <w:szCs w:val="20"/>
          <w:lang w:val="es-ES"/>
        </w:rPr>
        <w:t xml:space="preserve">Tercera reunión extraordinaria de la Conferencia de las Partes Contratantes </w:t>
      </w:r>
    </w:p>
    <w:p w14:paraId="1258FACD" w14:textId="5077EE7E" w:rsidR="00F615BD" w:rsidRDefault="00EA0DFF" w:rsidP="00F615BD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rFonts w:cstheme="minorHAnsi"/>
          <w:bCs/>
          <w:szCs w:val="20"/>
          <w:lang w:val="es-ES"/>
        </w:rPr>
      </w:pPr>
      <w:r w:rsidRPr="00EA0DFF">
        <w:rPr>
          <w:rFonts w:cstheme="minorHAnsi"/>
          <w:bCs/>
          <w:szCs w:val="20"/>
          <w:lang w:val="es-ES"/>
        </w:rPr>
        <w:t xml:space="preserve">25 de octubre a 4 de noviembre </w:t>
      </w:r>
      <w:r w:rsidR="00F615BD">
        <w:rPr>
          <w:rFonts w:cstheme="minorHAnsi"/>
          <w:bCs/>
          <w:szCs w:val="20"/>
          <w:lang w:val="es-ES"/>
        </w:rPr>
        <w:t>de 2021 (reun</w:t>
      </w:r>
      <w:r w:rsidR="00F615BD" w:rsidRPr="00F615BD">
        <w:rPr>
          <w:rFonts w:cstheme="minorHAnsi"/>
          <w:bCs/>
          <w:szCs w:val="20"/>
          <w:lang w:val="es-ES"/>
        </w:rPr>
        <w:t>ión</w:t>
      </w:r>
      <w:r w:rsidR="00F615BD">
        <w:rPr>
          <w:rFonts w:cstheme="minorHAnsi"/>
          <w:bCs/>
          <w:szCs w:val="20"/>
          <w:lang w:val="es-ES"/>
        </w:rPr>
        <w:t xml:space="preserve"> virtual)</w:t>
      </w:r>
    </w:p>
    <w:p w14:paraId="372670D0" w14:textId="7A6B7C05" w:rsidR="0071752D" w:rsidRPr="000C568B" w:rsidRDefault="0071752D" w:rsidP="0071752D">
      <w:pPr>
        <w:ind w:right="17"/>
        <w:jc w:val="center"/>
        <w:outlineLvl w:val="0"/>
        <w:rPr>
          <w:rFonts w:cstheme="majorHAnsi"/>
          <w:b/>
          <w:bCs/>
          <w:sz w:val="20"/>
          <w:szCs w:val="20"/>
          <w:lang w:val="es-ES"/>
        </w:rPr>
      </w:pPr>
    </w:p>
    <w:p w14:paraId="557C13CC" w14:textId="77777777" w:rsidR="002545B8" w:rsidRPr="000C568B" w:rsidRDefault="002545B8" w:rsidP="00F86088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0"/>
          <w:szCs w:val="20"/>
          <w:lang w:val="es-ES"/>
        </w:rPr>
      </w:pPr>
    </w:p>
    <w:p w14:paraId="53F0A8AC" w14:textId="246348CF" w:rsidR="00F86088" w:rsidRPr="00F86088" w:rsidRDefault="00EA0DFF" w:rsidP="00EA0DFF">
      <w:pPr>
        <w:ind w:left="0" w:right="17" w:firstLine="0"/>
        <w:jc w:val="center"/>
        <w:outlineLvl w:val="0"/>
        <w:rPr>
          <w:rFonts w:eastAsia="Times New Roman" w:cstheme="majorHAnsi"/>
          <w:b/>
          <w:bCs/>
          <w:lang w:val="es-ES"/>
        </w:rPr>
      </w:pPr>
      <w:r w:rsidRPr="00EA0DFF">
        <w:rPr>
          <w:rFonts w:asciiTheme="minorHAnsi" w:eastAsiaTheme="minorEastAsia" w:hAnsiTheme="minorHAnsi" w:cstheme="minorBidi"/>
          <w:b/>
          <w:sz w:val="28"/>
          <w:lang w:val="es-ES"/>
        </w:rPr>
        <w:t xml:space="preserve">Resolución </w:t>
      </w:r>
      <w:r w:rsidR="00F86088" w:rsidRPr="00F86088">
        <w:rPr>
          <w:rFonts w:asciiTheme="minorHAnsi" w:eastAsiaTheme="minorEastAsia" w:hAnsiTheme="minorHAnsi" w:cstheme="minorBidi"/>
          <w:b/>
          <w:sz w:val="28"/>
          <w:lang w:val="es-ES"/>
        </w:rPr>
        <w:t>ExCOP3.2</w:t>
      </w:r>
    </w:p>
    <w:p w14:paraId="4CC891A8" w14:textId="77777777" w:rsidR="00DA380C" w:rsidRDefault="00DA380C" w:rsidP="00EA0DFF">
      <w:pPr>
        <w:ind w:left="0" w:right="17" w:firstLine="0"/>
        <w:jc w:val="right"/>
        <w:outlineLvl w:val="0"/>
        <w:rPr>
          <w:rFonts w:asciiTheme="minorHAnsi" w:hAnsiTheme="minorHAnsi"/>
          <w:b/>
          <w:kern w:val="22"/>
          <w:sz w:val="28"/>
          <w:szCs w:val="28"/>
          <w:lang w:val="es-ES"/>
        </w:rPr>
      </w:pPr>
    </w:p>
    <w:p w14:paraId="1F597934" w14:textId="536711CB" w:rsidR="008E152C" w:rsidRDefault="00EA0DFF" w:rsidP="00EA0DFF">
      <w:pPr>
        <w:ind w:left="0" w:firstLine="0"/>
        <w:jc w:val="center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C</w:t>
      </w:r>
      <w:r w:rsidR="008E152C" w:rsidRPr="00F615BD">
        <w:rPr>
          <w:rFonts w:cs="Arial"/>
          <w:b/>
          <w:sz w:val="28"/>
          <w:szCs w:val="28"/>
          <w:lang w:val="es-ES"/>
        </w:rPr>
        <w:t>uestiones financieras y presupuestarias</w:t>
      </w:r>
      <w:r>
        <w:rPr>
          <w:rFonts w:cs="Arial"/>
          <w:b/>
          <w:sz w:val="28"/>
          <w:szCs w:val="28"/>
          <w:lang w:val="es-ES"/>
        </w:rPr>
        <w:t>: P</w:t>
      </w:r>
      <w:r w:rsidR="008E152C" w:rsidRPr="00F615BD">
        <w:rPr>
          <w:rFonts w:cs="Arial"/>
          <w:b/>
          <w:sz w:val="28"/>
          <w:szCs w:val="28"/>
          <w:lang w:val="es-ES"/>
        </w:rPr>
        <w:t>resupuesto</w:t>
      </w:r>
      <w:r w:rsidR="00A4186B">
        <w:rPr>
          <w:rFonts w:cs="Arial"/>
          <w:b/>
          <w:sz w:val="28"/>
          <w:szCs w:val="28"/>
          <w:lang w:val="es-ES"/>
        </w:rPr>
        <w:t xml:space="preserve"> </w:t>
      </w:r>
      <w:r w:rsidR="00A4186B" w:rsidRPr="00A4186B">
        <w:rPr>
          <w:rFonts w:cs="Arial"/>
          <w:b/>
          <w:sz w:val="28"/>
          <w:szCs w:val="28"/>
          <w:lang w:val="es-ES"/>
        </w:rPr>
        <w:t>básico</w:t>
      </w:r>
      <w:r w:rsidR="008E152C" w:rsidRPr="00F615BD">
        <w:rPr>
          <w:rFonts w:cs="Arial"/>
          <w:b/>
          <w:sz w:val="28"/>
          <w:szCs w:val="28"/>
          <w:lang w:val="es-ES"/>
        </w:rPr>
        <w:t xml:space="preserve"> </w:t>
      </w:r>
      <w:r>
        <w:rPr>
          <w:rFonts w:cs="Arial"/>
          <w:b/>
          <w:sz w:val="28"/>
          <w:szCs w:val="28"/>
          <w:lang w:val="es-ES"/>
        </w:rPr>
        <w:br/>
      </w:r>
      <w:r w:rsidR="008E152C" w:rsidRPr="00F615BD">
        <w:rPr>
          <w:rFonts w:cs="Arial"/>
          <w:b/>
          <w:sz w:val="28"/>
          <w:szCs w:val="28"/>
          <w:lang w:val="es-ES"/>
        </w:rPr>
        <w:t>de la Convención sobre los Humedales para 2022</w:t>
      </w:r>
    </w:p>
    <w:p w14:paraId="316CCA63" w14:textId="41593A41" w:rsidR="003D79BD" w:rsidRPr="009C5D6A" w:rsidRDefault="003D79BD" w:rsidP="00964EBC">
      <w:pPr>
        <w:rPr>
          <w:rFonts w:asciiTheme="minorHAnsi" w:hAnsiTheme="minorHAnsi"/>
          <w:b/>
          <w:sz w:val="24"/>
          <w:szCs w:val="24"/>
          <w:lang w:val="es-ES"/>
        </w:rPr>
      </w:pPr>
      <w:bookmarkStart w:id="0" w:name="OLE_LINK3"/>
    </w:p>
    <w:bookmarkEnd w:id="0"/>
    <w:p w14:paraId="3A573C75" w14:textId="51D8AE92" w:rsidR="00A81CC0" w:rsidRPr="002545B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</w:t>
      </w:r>
      <w:r>
        <w:rPr>
          <w:rFonts w:asciiTheme="minorHAnsi" w:hAnsiTheme="minorHAnsi"/>
          <w:lang w:val="es-ES"/>
        </w:rPr>
        <w:tab/>
      </w:r>
      <w:r w:rsidR="00A81CC0" w:rsidRPr="002545B8">
        <w:rPr>
          <w:rFonts w:asciiTheme="minorHAnsi" w:hAnsiTheme="minorHAnsi"/>
          <w:lang w:val="es-ES"/>
        </w:rPr>
        <w:t>RE</w:t>
      </w:r>
      <w:r w:rsidR="00C334B7" w:rsidRPr="002545B8">
        <w:rPr>
          <w:rFonts w:asciiTheme="minorHAnsi" w:hAnsiTheme="minorHAnsi"/>
          <w:lang w:val="es-ES"/>
        </w:rPr>
        <w:t xml:space="preserve">CORDANDO las disposiciones presupuestarias establecidas en los párrafos </w:t>
      </w:r>
      <w:r w:rsidR="00A81CC0" w:rsidRPr="002545B8">
        <w:rPr>
          <w:rFonts w:asciiTheme="minorHAnsi" w:hAnsiTheme="minorHAnsi"/>
          <w:lang w:val="es-ES"/>
        </w:rPr>
        <w:t xml:space="preserve">5 </w:t>
      </w:r>
      <w:r w:rsidR="00C334B7" w:rsidRPr="002545B8">
        <w:rPr>
          <w:rFonts w:asciiTheme="minorHAnsi" w:hAnsiTheme="minorHAnsi"/>
          <w:lang w:val="es-ES"/>
        </w:rPr>
        <w:t xml:space="preserve">y </w:t>
      </w:r>
      <w:r w:rsidR="00A81CC0" w:rsidRPr="002545B8">
        <w:rPr>
          <w:rFonts w:asciiTheme="minorHAnsi" w:hAnsiTheme="minorHAnsi"/>
          <w:lang w:val="es-ES"/>
        </w:rPr>
        <w:t xml:space="preserve">6 </w:t>
      </w:r>
      <w:r w:rsidR="00C334B7" w:rsidRPr="002545B8">
        <w:rPr>
          <w:rFonts w:asciiTheme="minorHAnsi" w:hAnsiTheme="minorHAnsi"/>
          <w:lang w:val="es-ES"/>
        </w:rPr>
        <w:t>del Artículo 6 de la Convención;</w:t>
      </w:r>
    </w:p>
    <w:p w14:paraId="28DBA31D" w14:textId="77777777" w:rsidR="00F5220D" w:rsidRPr="009C5D6A" w:rsidRDefault="00F5220D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51A0B6A1" w14:textId="2A751A04" w:rsidR="00722305" w:rsidRPr="002545B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</w:t>
      </w:r>
      <w:r>
        <w:rPr>
          <w:rFonts w:asciiTheme="minorHAnsi" w:hAnsiTheme="minorHAnsi"/>
          <w:lang w:val="es-ES"/>
        </w:rPr>
        <w:tab/>
      </w:r>
      <w:r w:rsidR="00722305" w:rsidRPr="002545B8">
        <w:rPr>
          <w:rFonts w:asciiTheme="minorHAnsi" w:hAnsiTheme="minorHAnsi"/>
          <w:lang w:val="es-ES"/>
        </w:rPr>
        <w:t>REC</w:t>
      </w:r>
      <w:r w:rsidR="00C334B7" w:rsidRPr="002545B8">
        <w:rPr>
          <w:rFonts w:asciiTheme="minorHAnsi" w:hAnsiTheme="minorHAnsi"/>
          <w:lang w:val="es-ES"/>
        </w:rPr>
        <w:t>ORDANDO la Resolución XII</w:t>
      </w:r>
      <w:r w:rsidR="00722305" w:rsidRPr="002545B8">
        <w:rPr>
          <w:rFonts w:asciiTheme="minorHAnsi" w:hAnsiTheme="minorHAnsi"/>
          <w:lang w:val="es-ES"/>
        </w:rPr>
        <w:t>I.2</w:t>
      </w:r>
      <w:r w:rsidR="00C334B7" w:rsidRPr="002545B8">
        <w:rPr>
          <w:rFonts w:asciiTheme="minorHAnsi" w:hAnsiTheme="minorHAnsi"/>
          <w:lang w:val="es-ES"/>
        </w:rPr>
        <w:t xml:space="preserve">, </w:t>
      </w:r>
      <w:r w:rsidR="009C5D6A" w:rsidRPr="002545B8">
        <w:rPr>
          <w:rFonts w:asciiTheme="minorHAnsi" w:hAnsiTheme="minorHAnsi"/>
          <w:lang w:val="es-ES"/>
        </w:rPr>
        <w:t xml:space="preserve">en la que se </w:t>
      </w:r>
      <w:r w:rsidR="00C334B7" w:rsidRPr="002545B8">
        <w:rPr>
          <w:rFonts w:asciiTheme="minorHAnsi" w:hAnsiTheme="minorHAnsi"/>
          <w:lang w:val="es-ES"/>
        </w:rPr>
        <w:t xml:space="preserve">aprobó el presupuesto de la Convención para el trienio </w:t>
      </w:r>
      <w:r w:rsidR="00394254" w:rsidRPr="002545B8">
        <w:rPr>
          <w:rFonts w:asciiTheme="minorHAnsi" w:hAnsiTheme="minorHAnsi"/>
          <w:lang w:val="es-ES"/>
        </w:rPr>
        <w:t>2019-2021;</w:t>
      </w:r>
    </w:p>
    <w:p w14:paraId="5027F7BF" w14:textId="77777777" w:rsidR="00722305" w:rsidRPr="009C5D6A" w:rsidRDefault="00722305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3FB7372F" w14:textId="1B9CA532" w:rsidR="00A81CC0" w:rsidRPr="002545B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</w:t>
      </w:r>
      <w:r>
        <w:rPr>
          <w:rFonts w:asciiTheme="minorHAnsi" w:hAnsiTheme="minorHAnsi"/>
          <w:lang w:val="es-ES"/>
        </w:rPr>
        <w:tab/>
      </w:r>
      <w:r w:rsidR="00504BB1" w:rsidRPr="002545B8">
        <w:rPr>
          <w:rFonts w:asciiTheme="minorHAnsi" w:hAnsiTheme="minorHAnsi"/>
          <w:lang w:val="es-ES"/>
        </w:rPr>
        <w:t>CONSIDER</w:t>
      </w:r>
      <w:r w:rsidR="00C334B7" w:rsidRPr="002545B8">
        <w:rPr>
          <w:rFonts w:asciiTheme="minorHAnsi" w:hAnsiTheme="minorHAnsi"/>
          <w:lang w:val="es-ES"/>
        </w:rPr>
        <w:t xml:space="preserve">ANDO que </w:t>
      </w:r>
      <w:r w:rsidR="009C5D6A" w:rsidRPr="002545B8">
        <w:rPr>
          <w:rFonts w:asciiTheme="minorHAnsi" w:hAnsiTheme="minorHAnsi"/>
          <w:lang w:val="es-ES"/>
        </w:rPr>
        <w:t xml:space="preserve">no es posible celebrar </w:t>
      </w:r>
      <w:r w:rsidR="00C334B7" w:rsidRPr="002545B8">
        <w:rPr>
          <w:rFonts w:asciiTheme="minorHAnsi" w:hAnsiTheme="minorHAnsi"/>
          <w:lang w:val="es-ES"/>
        </w:rPr>
        <w:t xml:space="preserve">la decimocuarta reunión de la Conferencia de las Partes en </w:t>
      </w:r>
      <w:r w:rsidR="00722305" w:rsidRPr="002545B8">
        <w:rPr>
          <w:rFonts w:asciiTheme="minorHAnsi" w:hAnsiTheme="minorHAnsi"/>
          <w:lang w:val="es-ES"/>
        </w:rPr>
        <w:t>2021</w:t>
      </w:r>
      <w:r w:rsidR="00C334B7" w:rsidRPr="002545B8">
        <w:rPr>
          <w:rFonts w:asciiTheme="minorHAnsi" w:hAnsiTheme="minorHAnsi"/>
          <w:lang w:val="es-ES"/>
        </w:rPr>
        <w:t xml:space="preserve"> como estaba </w:t>
      </w:r>
      <w:r w:rsidR="009C5D6A" w:rsidRPr="002545B8">
        <w:rPr>
          <w:rFonts w:asciiTheme="minorHAnsi" w:hAnsiTheme="minorHAnsi"/>
          <w:lang w:val="es-ES"/>
        </w:rPr>
        <w:t xml:space="preserve">previsto </w:t>
      </w:r>
      <w:r w:rsidR="00C334B7" w:rsidRPr="002545B8">
        <w:rPr>
          <w:rFonts w:asciiTheme="minorHAnsi" w:hAnsiTheme="minorHAnsi"/>
          <w:lang w:val="es-ES"/>
        </w:rPr>
        <w:t xml:space="preserve">inicialmente debido a las limitaciones derivadas de la pandemia de </w:t>
      </w:r>
      <w:r w:rsidR="00504BB1" w:rsidRPr="002545B8">
        <w:rPr>
          <w:rFonts w:asciiTheme="minorHAnsi" w:hAnsiTheme="minorHAnsi"/>
          <w:lang w:val="es-ES"/>
        </w:rPr>
        <w:t>COVID-19</w:t>
      </w:r>
      <w:r w:rsidR="00A81CC0" w:rsidRPr="002545B8">
        <w:rPr>
          <w:rFonts w:asciiTheme="minorHAnsi" w:hAnsiTheme="minorHAnsi"/>
          <w:lang w:val="es-ES"/>
        </w:rPr>
        <w:t xml:space="preserve">; </w:t>
      </w:r>
    </w:p>
    <w:p w14:paraId="55D42362" w14:textId="77777777" w:rsidR="0098296E" w:rsidRPr="009C5D6A" w:rsidRDefault="0098296E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37B19DB5" w14:textId="7525423F" w:rsidR="00B0584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4.</w:t>
      </w:r>
      <w:r>
        <w:rPr>
          <w:rFonts w:asciiTheme="minorHAnsi" w:hAnsiTheme="minorHAnsi"/>
          <w:lang w:val="es-ES"/>
        </w:rPr>
        <w:tab/>
      </w:r>
      <w:r w:rsidR="00B05848">
        <w:rPr>
          <w:rFonts w:asciiTheme="minorHAnsi" w:hAnsiTheme="minorHAnsi"/>
          <w:lang w:val="es-ES"/>
        </w:rPr>
        <w:t>RECONOCIENDO el carácter excepcional de las circunstancias derivadas de la pandemia;</w:t>
      </w:r>
    </w:p>
    <w:p w14:paraId="667ACD33" w14:textId="77777777" w:rsidR="00B05848" w:rsidRDefault="00B05848" w:rsidP="002545B8">
      <w:pPr>
        <w:rPr>
          <w:rFonts w:asciiTheme="minorHAnsi" w:hAnsiTheme="minorHAnsi"/>
          <w:lang w:val="es-ES"/>
        </w:rPr>
      </w:pPr>
    </w:p>
    <w:p w14:paraId="5C08B9FE" w14:textId="405BED9D" w:rsidR="0098296E" w:rsidRPr="002545B8" w:rsidRDefault="00B0584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5.</w:t>
      </w:r>
      <w:r>
        <w:rPr>
          <w:rFonts w:asciiTheme="minorHAnsi" w:hAnsiTheme="minorHAnsi"/>
          <w:lang w:val="es-ES"/>
        </w:rPr>
        <w:tab/>
      </w:r>
      <w:r w:rsidR="00C334B7" w:rsidRPr="002545B8">
        <w:rPr>
          <w:rFonts w:asciiTheme="minorHAnsi" w:hAnsiTheme="minorHAnsi"/>
          <w:lang w:val="es-ES"/>
        </w:rPr>
        <w:t xml:space="preserve">TOMANDO NOTA de la Decisión SC59-10 del Comité Permanente, </w:t>
      </w:r>
      <w:r w:rsidR="003255AB" w:rsidRPr="002545B8">
        <w:rPr>
          <w:rFonts w:asciiTheme="minorHAnsi" w:hAnsiTheme="minorHAnsi"/>
          <w:lang w:val="es-ES"/>
        </w:rPr>
        <w:t>en la que</w:t>
      </w:r>
      <w:r w:rsidR="00C334B7" w:rsidRPr="002545B8">
        <w:rPr>
          <w:rFonts w:asciiTheme="minorHAnsi" w:hAnsiTheme="minorHAnsi"/>
          <w:lang w:val="es-ES"/>
        </w:rPr>
        <w:t xml:space="preserve"> se </w:t>
      </w:r>
      <w:r w:rsidR="00350144" w:rsidRPr="002545B8">
        <w:rPr>
          <w:rFonts w:asciiTheme="minorHAnsi" w:hAnsiTheme="minorHAnsi"/>
          <w:lang w:val="es-ES"/>
        </w:rPr>
        <w:t xml:space="preserve">aprobó </w:t>
      </w:r>
      <w:r w:rsidR="00BC78F8" w:rsidRPr="002545B8">
        <w:rPr>
          <w:rFonts w:asciiTheme="minorHAnsi" w:hAnsiTheme="minorHAnsi"/>
          <w:lang w:val="es-ES"/>
        </w:rPr>
        <w:t xml:space="preserve">proponer las fechas </w:t>
      </w:r>
      <w:r w:rsidR="00350144" w:rsidRPr="002545B8">
        <w:rPr>
          <w:rFonts w:asciiTheme="minorHAnsi" w:hAnsiTheme="minorHAnsi"/>
          <w:lang w:val="es-ES"/>
        </w:rPr>
        <w:t xml:space="preserve">de </w:t>
      </w:r>
      <w:r w:rsidR="0098296E" w:rsidRPr="002545B8">
        <w:rPr>
          <w:rFonts w:asciiTheme="minorHAnsi" w:hAnsiTheme="minorHAnsi"/>
          <w:lang w:val="es-ES"/>
        </w:rPr>
        <w:t>21</w:t>
      </w:r>
      <w:r w:rsidR="00C334B7" w:rsidRPr="002545B8">
        <w:rPr>
          <w:rFonts w:asciiTheme="minorHAnsi" w:hAnsiTheme="minorHAnsi"/>
          <w:lang w:val="es-ES"/>
        </w:rPr>
        <w:t xml:space="preserve"> a</w:t>
      </w:r>
      <w:r w:rsidR="0098296E" w:rsidRPr="002545B8">
        <w:rPr>
          <w:rFonts w:asciiTheme="minorHAnsi" w:hAnsiTheme="minorHAnsi"/>
          <w:lang w:val="es-ES"/>
        </w:rPr>
        <w:t xml:space="preserve"> 29 </w:t>
      </w:r>
      <w:r w:rsidR="00C334B7" w:rsidRPr="002545B8">
        <w:rPr>
          <w:rFonts w:asciiTheme="minorHAnsi" w:hAnsiTheme="minorHAnsi"/>
          <w:lang w:val="es-ES"/>
        </w:rPr>
        <w:t xml:space="preserve">de noviembre de </w:t>
      </w:r>
      <w:r w:rsidR="0098296E" w:rsidRPr="002545B8">
        <w:rPr>
          <w:rFonts w:asciiTheme="minorHAnsi" w:hAnsiTheme="minorHAnsi"/>
          <w:lang w:val="es-ES"/>
        </w:rPr>
        <w:t>2022</w:t>
      </w:r>
      <w:r w:rsidR="00BC78F8" w:rsidRPr="002545B8">
        <w:rPr>
          <w:rFonts w:asciiTheme="minorHAnsi" w:hAnsiTheme="minorHAnsi"/>
          <w:lang w:val="es-ES"/>
        </w:rPr>
        <w:t xml:space="preserve"> para la COP14</w:t>
      </w:r>
      <w:r w:rsidR="0098296E" w:rsidRPr="002545B8">
        <w:rPr>
          <w:rFonts w:asciiTheme="minorHAnsi" w:hAnsiTheme="minorHAnsi"/>
          <w:lang w:val="es-ES"/>
        </w:rPr>
        <w:t xml:space="preserve"> </w:t>
      </w:r>
      <w:r w:rsidR="00C334B7" w:rsidRPr="002545B8">
        <w:rPr>
          <w:rFonts w:asciiTheme="minorHAnsi" w:hAnsiTheme="minorHAnsi"/>
          <w:lang w:val="es-ES"/>
        </w:rPr>
        <w:t xml:space="preserve">y se acordó presentar </w:t>
      </w:r>
      <w:r w:rsidR="00BC78F8" w:rsidRPr="002545B8">
        <w:rPr>
          <w:rFonts w:asciiTheme="minorHAnsi" w:hAnsiTheme="minorHAnsi"/>
          <w:lang w:val="es-ES"/>
        </w:rPr>
        <w:t>esas</w:t>
      </w:r>
      <w:r w:rsidR="00C334B7" w:rsidRPr="002545B8">
        <w:rPr>
          <w:rFonts w:asciiTheme="minorHAnsi" w:hAnsiTheme="minorHAnsi"/>
          <w:lang w:val="es-ES"/>
        </w:rPr>
        <w:t xml:space="preserve"> nuevas fechas </w:t>
      </w:r>
      <w:r w:rsidR="00525DED" w:rsidRPr="002545B8">
        <w:rPr>
          <w:rFonts w:asciiTheme="minorHAnsi" w:hAnsiTheme="minorHAnsi"/>
          <w:lang w:val="es-ES"/>
        </w:rPr>
        <w:t xml:space="preserve">a </w:t>
      </w:r>
      <w:r w:rsidR="00C334B7" w:rsidRPr="002545B8">
        <w:rPr>
          <w:rFonts w:asciiTheme="minorHAnsi" w:hAnsiTheme="minorHAnsi"/>
          <w:lang w:val="es-ES"/>
        </w:rPr>
        <w:t xml:space="preserve">la reunión extraordinaria de la </w:t>
      </w:r>
      <w:r w:rsidR="0098296E" w:rsidRPr="002545B8">
        <w:rPr>
          <w:rFonts w:asciiTheme="minorHAnsi" w:hAnsiTheme="minorHAnsi"/>
          <w:lang w:val="es-ES"/>
        </w:rPr>
        <w:t>COP</w:t>
      </w:r>
      <w:r w:rsidR="00C334B7" w:rsidRPr="002545B8">
        <w:rPr>
          <w:rFonts w:asciiTheme="minorHAnsi" w:hAnsiTheme="minorHAnsi"/>
          <w:lang w:val="es-ES"/>
        </w:rPr>
        <w:t>,</w:t>
      </w:r>
      <w:r w:rsidR="00350144" w:rsidRPr="002545B8">
        <w:rPr>
          <w:rFonts w:asciiTheme="minorHAnsi" w:hAnsiTheme="minorHAnsi"/>
          <w:lang w:val="es-ES"/>
        </w:rPr>
        <w:t xml:space="preserve"> prevista en </w:t>
      </w:r>
      <w:r w:rsidR="00C334B7" w:rsidRPr="002545B8">
        <w:rPr>
          <w:rFonts w:asciiTheme="minorHAnsi" w:hAnsiTheme="minorHAnsi"/>
          <w:lang w:val="es-ES"/>
        </w:rPr>
        <w:t>2021</w:t>
      </w:r>
      <w:r w:rsidR="00F5220D" w:rsidRPr="002545B8">
        <w:rPr>
          <w:rFonts w:asciiTheme="minorHAnsi" w:hAnsiTheme="minorHAnsi"/>
          <w:lang w:val="es-ES"/>
        </w:rPr>
        <w:t>;</w:t>
      </w:r>
    </w:p>
    <w:p w14:paraId="5C23693D" w14:textId="77777777" w:rsidR="00B83FBA" w:rsidRPr="009C5D6A" w:rsidRDefault="00B83FBA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39FBB711" w14:textId="7E716046" w:rsidR="00504BB1" w:rsidRPr="002545B8" w:rsidRDefault="00B0584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6</w:t>
      </w:r>
      <w:r w:rsidR="002545B8">
        <w:rPr>
          <w:rFonts w:asciiTheme="minorHAnsi" w:hAnsiTheme="minorHAnsi"/>
          <w:lang w:val="es-ES"/>
        </w:rPr>
        <w:t>.</w:t>
      </w:r>
      <w:r w:rsidR="002545B8">
        <w:rPr>
          <w:rFonts w:asciiTheme="minorHAnsi" w:hAnsiTheme="minorHAnsi"/>
          <w:lang w:val="es-ES"/>
        </w:rPr>
        <w:tab/>
      </w:r>
      <w:r w:rsidR="00C334B7" w:rsidRPr="002545B8">
        <w:rPr>
          <w:rFonts w:asciiTheme="minorHAnsi" w:hAnsiTheme="minorHAnsi"/>
          <w:lang w:val="es-ES"/>
        </w:rPr>
        <w:t xml:space="preserve">OBSERVANDO, </w:t>
      </w:r>
      <w:r w:rsidR="00350144" w:rsidRPr="002545B8">
        <w:rPr>
          <w:rFonts w:asciiTheme="minorHAnsi" w:hAnsiTheme="minorHAnsi"/>
          <w:lang w:val="es-ES"/>
        </w:rPr>
        <w:t>por lo tanto</w:t>
      </w:r>
      <w:r w:rsidR="00C334B7" w:rsidRPr="002545B8">
        <w:rPr>
          <w:rFonts w:asciiTheme="minorHAnsi" w:hAnsiTheme="minorHAnsi"/>
          <w:lang w:val="es-ES"/>
        </w:rPr>
        <w:t xml:space="preserve">, la necesidad de tomar medidas para </w:t>
      </w:r>
      <w:r w:rsidR="00350144" w:rsidRPr="002545B8">
        <w:rPr>
          <w:rFonts w:asciiTheme="minorHAnsi" w:hAnsiTheme="minorHAnsi"/>
          <w:lang w:val="es-ES"/>
        </w:rPr>
        <w:t xml:space="preserve">que siga funcionando </w:t>
      </w:r>
      <w:r w:rsidR="00C334B7" w:rsidRPr="002545B8">
        <w:rPr>
          <w:rFonts w:asciiTheme="minorHAnsi" w:hAnsiTheme="minorHAnsi"/>
          <w:lang w:val="es-ES"/>
        </w:rPr>
        <w:t xml:space="preserve">la </w:t>
      </w:r>
      <w:r w:rsidR="00350144" w:rsidRPr="002545B8">
        <w:rPr>
          <w:rFonts w:asciiTheme="minorHAnsi" w:hAnsiTheme="minorHAnsi"/>
          <w:lang w:val="es-ES"/>
        </w:rPr>
        <w:t>Convención</w:t>
      </w:r>
      <w:r w:rsidR="00C334B7" w:rsidRPr="002545B8">
        <w:rPr>
          <w:rFonts w:asciiTheme="minorHAnsi" w:hAnsiTheme="minorHAnsi"/>
          <w:lang w:val="es-ES"/>
        </w:rPr>
        <w:t xml:space="preserve">, </w:t>
      </w:r>
      <w:r w:rsidR="006137DE" w:rsidRPr="002545B8">
        <w:rPr>
          <w:rFonts w:asciiTheme="minorHAnsi" w:hAnsiTheme="minorHAnsi"/>
          <w:lang w:val="es-ES"/>
        </w:rPr>
        <w:t>incluid</w:t>
      </w:r>
      <w:r w:rsidR="00350144" w:rsidRPr="002545B8">
        <w:rPr>
          <w:rFonts w:asciiTheme="minorHAnsi" w:hAnsiTheme="minorHAnsi"/>
          <w:lang w:val="es-ES"/>
        </w:rPr>
        <w:t xml:space="preserve">a </w:t>
      </w:r>
      <w:r w:rsidR="006137DE" w:rsidRPr="002545B8">
        <w:rPr>
          <w:rFonts w:asciiTheme="minorHAnsi" w:hAnsiTheme="minorHAnsi"/>
          <w:lang w:val="es-ES"/>
        </w:rPr>
        <w:t xml:space="preserve">su Secretaría, y para </w:t>
      </w:r>
      <w:r w:rsidR="00350144" w:rsidRPr="002545B8">
        <w:rPr>
          <w:rFonts w:asciiTheme="minorHAnsi" w:hAnsiTheme="minorHAnsi"/>
          <w:lang w:val="es-ES"/>
        </w:rPr>
        <w:t xml:space="preserve">que </w:t>
      </w:r>
      <w:r w:rsidR="006137DE" w:rsidRPr="002545B8">
        <w:rPr>
          <w:rFonts w:asciiTheme="minorHAnsi" w:hAnsiTheme="minorHAnsi"/>
          <w:lang w:val="es-ES"/>
        </w:rPr>
        <w:t xml:space="preserve">las Partes Contratantes </w:t>
      </w:r>
      <w:r w:rsidR="00525DED" w:rsidRPr="002545B8">
        <w:rPr>
          <w:rFonts w:asciiTheme="minorHAnsi" w:hAnsiTheme="minorHAnsi"/>
          <w:lang w:val="es-ES"/>
        </w:rPr>
        <w:t xml:space="preserve">puedan pagar </w:t>
      </w:r>
      <w:r w:rsidR="006137DE" w:rsidRPr="002545B8">
        <w:rPr>
          <w:rFonts w:asciiTheme="minorHAnsi" w:hAnsiTheme="minorHAnsi"/>
          <w:lang w:val="es-ES"/>
        </w:rPr>
        <w:t xml:space="preserve">sus contribuciones en </w:t>
      </w:r>
      <w:r w:rsidR="00BC55A6" w:rsidRPr="002545B8">
        <w:rPr>
          <w:rFonts w:asciiTheme="minorHAnsi" w:hAnsiTheme="minorHAnsi" w:cstheme="minorHAnsi"/>
          <w:lang w:val="es-ES"/>
        </w:rPr>
        <w:t>2022</w:t>
      </w:r>
      <w:r w:rsidR="00504BB1" w:rsidRPr="002545B8">
        <w:rPr>
          <w:rFonts w:asciiTheme="minorHAnsi" w:hAnsiTheme="minorHAnsi"/>
          <w:lang w:val="es-ES"/>
        </w:rPr>
        <w:t>;</w:t>
      </w:r>
      <w:r>
        <w:rPr>
          <w:rFonts w:asciiTheme="minorHAnsi" w:hAnsiTheme="minorHAnsi"/>
          <w:lang w:val="es-ES"/>
        </w:rPr>
        <w:t xml:space="preserve"> y</w:t>
      </w:r>
    </w:p>
    <w:p w14:paraId="15EAF32A" w14:textId="77777777" w:rsidR="00B83FBA" w:rsidRPr="009C5D6A" w:rsidRDefault="00B83FBA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6A1DD7C1" w14:textId="12288170" w:rsidR="00B83FBA" w:rsidRPr="002545B8" w:rsidRDefault="00B0584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7</w:t>
      </w:r>
      <w:r w:rsidR="002545B8">
        <w:rPr>
          <w:rFonts w:asciiTheme="minorHAnsi" w:hAnsiTheme="minorHAnsi"/>
          <w:lang w:val="es-ES"/>
        </w:rPr>
        <w:t>.</w:t>
      </w:r>
      <w:r w:rsidR="002545B8">
        <w:rPr>
          <w:rFonts w:asciiTheme="minorHAnsi" w:hAnsiTheme="minorHAnsi"/>
          <w:lang w:val="es-ES"/>
        </w:rPr>
        <w:tab/>
      </w:r>
      <w:r w:rsidR="006137DE" w:rsidRPr="002545B8">
        <w:rPr>
          <w:rFonts w:asciiTheme="minorHAnsi" w:hAnsiTheme="minorHAnsi"/>
          <w:lang w:val="es-ES"/>
        </w:rPr>
        <w:t xml:space="preserve">TOMANDO NOTA de la </w:t>
      </w:r>
      <w:r w:rsidR="00350144" w:rsidRPr="002545B8">
        <w:rPr>
          <w:rFonts w:asciiTheme="minorHAnsi" w:hAnsiTheme="minorHAnsi"/>
          <w:lang w:val="es-ES"/>
        </w:rPr>
        <w:t>Decisión</w:t>
      </w:r>
      <w:r w:rsidR="00B83FBA" w:rsidRPr="002545B8">
        <w:rPr>
          <w:rFonts w:asciiTheme="minorHAnsi" w:hAnsiTheme="minorHAnsi"/>
          <w:lang w:val="es-ES"/>
        </w:rPr>
        <w:t xml:space="preserve"> </w:t>
      </w:r>
      <w:r w:rsidR="006137DE" w:rsidRPr="002545B8">
        <w:rPr>
          <w:rFonts w:asciiTheme="minorHAnsi" w:hAnsiTheme="minorHAnsi"/>
          <w:lang w:val="es-ES"/>
        </w:rPr>
        <w:t xml:space="preserve">SC59-31 del Comité Permanente, </w:t>
      </w:r>
      <w:r w:rsidR="00350144" w:rsidRPr="002545B8">
        <w:rPr>
          <w:rFonts w:asciiTheme="minorHAnsi" w:hAnsiTheme="minorHAnsi"/>
          <w:lang w:val="es-ES"/>
        </w:rPr>
        <w:t>en la que s</w:t>
      </w:r>
      <w:r w:rsidR="006137DE" w:rsidRPr="002545B8">
        <w:rPr>
          <w:rFonts w:asciiTheme="minorHAnsi" w:hAnsiTheme="minorHAnsi"/>
          <w:lang w:val="es-ES"/>
        </w:rPr>
        <w:t xml:space="preserve">e aprobó el presupuesto </w:t>
      </w:r>
      <w:r w:rsidR="00350144" w:rsidRPr="002545B8">
        <w:rPr>
          <w:rFonts w:asciiTheme="minorHAnsi" w:hAnsiTheme="minorHAnsi"/>
          <w:lang w:val="es-ES"/>
        </w:rPr>
        <w:t>anual</w:t>
      </w:r>
      <w:r w:rsidR="006137DE" w:rsidRPr="002545B8">
        <w:rPr>
          <w:rFonts w:asciiTheme="minorHAnsi" w:hAnsiTheme="minorHAnsi"/>
          <w:lang w:val="es-ES"/>
        </w:rPr>
        <w:t xml:space="preserve"> para 2022 a partir del </w:t>
      </w:r>
      <w:r w:rsidR="00350144" w:rsidRPr="002545B8">
        <w:rPr>
          <w:rFonts w:asciiTheme="minorHAnsi" w:hAnsiTheme="minorHAnsi"/>
          <w:lang w:val="es-ES"/>
        </w:rPr>
        <w:t>Escenario</w:t>
      </w:r>
      <w:r w:rsidR="006137DE" w:rsidRPr="002545B8">
        <w:rPr>
          <w:rFonts w:asciiTheme="minorHAnsi" w:hAnsiTheme="minorHAnsi"/>
          <w:lang w:val="es-ES"/>
        </w:rPr>
        <w:t xml:space="preserve"> presupuestario A, a saber, un incremento del </w:t>
      </w:r>
      <w:r w:rsidR="00AE11DC" w:rsidRPr="002545B8">
        <w:rPr>
          <w:rFonts w:asciiTheme="minorHAnsi" w:hAnsiTheme="minorHAnsi"/>
          <w:lang w:val="es-ES"/>
        </w:rPr>
        <w:t>0</w:t>
      </w:r>
      <w:r w:rsidR="006137DE" w:rsidRPr="002545B8">
        <w:rPr>
          <w:rFonts w:asciiTheme="minorHAnsi" w:hAnsiTheme="minorHAnsi"/>
          <w:lang w:val="es-ES"/>
        </w:rPr>
        <w:t xml:space="preserve"> </w:t>
      </w:r>
      <w:r w:rsidR="00AE11DC" w:rsidRPr="002545B8">
        <w:rPr>
          <w:rFonts w:asciiTheme="minorHAnsi" w:hAnsiTheme="minorHAnsi"/>
          <w:lang w:val="es-ES"/>
        </w:rPr>
        <w:t>%</w:t>
      </w:r>
      <w:r w:rsidR="006137DE" w:rsidRPr="002545B8">
        <w:rPr>
          <w:rFonts w:asciiTheme="minorHAnsi" w:hAnsiTheme="minorHAnsi"/>
          <w:lang w:val="es-ES"/>
        </w:rPr>
        <w:t xml:space="preserve">, para presentarlo </w:t>
      </w:r>
      <w:r w:rsidR="00D11566" w:rsidRPr="002545B8">
        <w:rPr>
          <w:rFonts w:asciiTheme="minorHAnsi" w:hAnsiTheme="minorHAnsi"/>
          <w:lang w:val="es-ES"/>
        </w:rPr>
        <w:t>a</w:t>
      </w:r>
      <w:r w:rsidR="006137DE" w:rsidRPr="002545B8">
        <w:rPr>
          <w:rFonts w:asciiTheme="minorHAnsi" w:hAnsiTheme="minorHAnsi"/>
          <w:lang w:val="es-ES"/>
        </w:rPr>
        <w:t xml:space="preserve"> la reunión </w:t>
      </w:r>
      <w:r w:rsidR="00350144" w:rsidRPr="002545B8">
        <w:rPr>
          <w:rFonts w:asciiTheme="minorHAnsi" w:hAnsiTheme="minorHAnsi"/>
          <w:lang w:val="es-ES"/>
        </w:rPr>
        <w:t>extraordinaria</w:t>
      </w:r>
      <w:r w:rsidR="006137DE" w:rsidRPr="002545B8">
        <w:rPr>
          <w:rFonts w:asciiTheme="minorHAnsi" w:hAnsiTheme="minorHAnsi"/>
          <w:lang w:val="es-ES"/>
        </w:rPr>
        <w:t xml:space="preserve"> de la Conferencia de las Partes Contratantes;</w:t>
      </w:r>
    </w:p>
    <w:p w14:paraId="6018E570" w14:textId="12644785" w:rsidR="007D4F72" w:rsidRPr="009C5D6A" w:rsidRDefault="007D4F72" w:rsidP="00BC55A6">
      <w:pPr>
        <w:ind w:left="0" w:firstLine="0"/>
        <w:rPr>
          <w:rFonts w:asciiTheme="minorHAnsi" w:hAnsiTheme="minorHAnsi"/>
          <w:lang w:val="es-ES"/>
        </w:rPr>
      </w:pPr>
    </w:p>
    <w:p w14:paraId="2461F848" w14:textId="499E12AF" w:rsidR="00F608AB" w:rsidRPr="009C5D6A" w:rsidRDefault="006137DE" w:rsidP="00F608AB">
      <w:pPr>
        <w:keepNext/>
        <w:ind w:left="426" w:hanging="426"/>
        <w:jc w:val="center"/>
        <w:rPr>
          <w:rFonts w:asciiTheme="minorHAnsi" w:hAnsiTheme="minorHAnsi"/>
          <w:lang w:val="es-ES"/>
        </w:rPr>
      </w:pPr>
      <w:r w:rsidRPr="009C5D6A">
        <w:rPr>
          <w:rFonts w:asciiTheme="minorHAnsi" w:hAnsiTheme="minorHAnsi"/>
          <w:lang w:val="es-ES"/>
        </w:rPr>
        <w:t>LA CONFERENCIA DE LAS PARTES CONTRATANTES</w:t>
      </w:r>
    </w:p>
    <w:p w14:paraId="16739270" w14:textId="77777777" w:rsidR="00BC55A6" w:rsidRPr="009C5D6A" w:rsidRDefault="00BC55A6" w:rsidP="00BC55A6">
      <w:pPr>
        <w:pStyle w:val="ListParagraph"/>
        <w:ind w:left="425" w:firstLine="0"/>
        <w:rPr>
          <w:rFonts w:asciiTheme="minorHAnsi" w:hAnsiTheme="minorHAnsi"/>
          <w:lang w:val="es-ES"/>
        </w:rPr>
      </w:pPr>
    </w:p>
    <w:p w14:paraId="54C4470E" w14:textId="02A1E2CC" w:rsidR="00504BB1" w:rsidRPr="002545B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8.</w:t>
      </w:r>
      <w:r>
        <w:rPr>
          <w:rFonts w:asciiTheme="minorHAnsi" w:hAnsiTheme="minorHAnsi"/>
          <w:lang w:val="es-ES"/>
        </w:rPr>
        <w:tab/>
      </w:r>
      <w:r w:rsidR="00F608AB" w:rsidRPr="002545B8">
        <w:rPr>
          <w:rFonts w:asciiTheme="minorHAnsi" w:hAnsiTheme="minorHAnsi"/>
          <w:lang w:val="es-ES"/>
        </w:rPr>
        <w:t>DECIDE</w:t>
      </w:r>
      <w:r w:rsidR="006137DE" w:rsidRPr="002545B8">
        <w:rPr>
          <w:rFonts w:asciiTheme="minorHAnsi" w:hAnsiTheme="minorHAnsi"/>
          <w:lang w:val="es-ES"/>
        </w:rPr>
        <w:t xml:space="preserve"> que la presente </w:t>
      </w:r>
      <w:r w:rsidR="00350144" w:rsidRPr="002545B8">
        <w:rPr>
          <w:rFonts w:asciiTheme="minorHAnsi" w:hAnsiTheme="minorHAnsi"/>
          <w:lang w:val="es-ES"/>
        </w:rPr>
        <w:t>resolución</w:t>
      </w:r>
      <w:r w:rsidR="006137DE" w:rsidRPr="002545B8">
        <w:rPr>
          <w:rFonts w:asciiTheme="minorHAnsi" w:hAnsiTheme="minorHAnsi"/>
          <w:lang w:val="es-ES"/>
        </w:rPr>
        <w:t xml:space="preserve"> complementa a la Resolución </w:t>
      </w:r>
      <w:r w:rsidR="00F63B67" w:rsidRPr="002545B8">
        <w:rPr>
          <w:rFonts w:asciiTheme="minorHAnsi" w:hAnsiTheme="minorHAnsi"/>
          <w:lang w:val="es-ES"/>
        </w:rPr>
        <w:t>XII</w:t>
      </w:r>
      <w:r w:rsidR="0098296E" w:rsidRPr="002545B8">
        <w:rPr>
          <w:rFonts w:asciiTheme="minorHAnsi" w:hAnsiTheme="minorHAnsi"/>
          <w:lang w:val="es-ES"/>
        </w:rPr>
        <w:t>I</w:t>
      </w:r>
      <w:r w:rsidR="00F63B67" w:rsidRPr="002545B8">
        <w:rPr>
          <w:rFonts w:asciiTheme="minorHAnsi" w:hAnsiTheme="minorHAnsi"/>
          <w:lang w:val="es-ES"/>
        </w:rPr>
        <w:t xml:space="preserve">.2, </w:t>
      </w:r>
      <w:r w:rsidR="006137DE" w:rsidRPr="002545B8">
        <w:rPr>
          <w:rFonts w:asciiTheme="minorHAnsi" w:hAnsiTheme="minorHAnsi"/>
          <w:lang w:val="es-ES"/>
        </w:rPr>
        <w:t xml:space="preserve">que </w:t>
      </w:r>
      <w:r w:rsidR="00350144" w:rsidRPr="002545B8">
        <w:rPr>
          <w:rFonts w:asciiTheme="minorHAnsi" w:hAnsiTheme="minorHAnsi"/>
          <w:lang w:val="es-ES"/>
        </w:rPr>
        <w:t>sigue</w:t>
      </w:r>
      <w:r w:rsidR="006137DE" w:rsidRPr="002545B8">
        <w:rPr>
          <w:rFonts w:asciiTheme="minorHAnsi" w:hAnsiTheme="minorHAnsi"/>
          <w:lang w:val="es-ES"/>
        </w:rPr>
        <w:t xml:space="preserve"> en vigor hasta la próxima reunión de la Conferencia de las Partes</w:t>
      </w:r>
      <w:r w:rsidR="00350144" w:rsidRPr="002545B8">
        <w:rPr>
          <w:rFonts w:asciiTheme="minorHAnsi" w:hAnsiTheme="minorHAnsi"/>
          <w:lang w:val="es-ES"/>
        </w:rPr>
        <w:t>,</w:t>
      </w:r>
      <w:r w:rsidR="006137DE" w:rsidRPr="002545B8">
        <w:rPr>
          <w:rFonts w:asciiTheme="minorHAnsi" w:hAnsiTheme="minorHAnsi"/>
          <w:lang w:val="es-ES"/>
        </w:rPr>
        <w:t xml:space="preserve"> y que</w:t>
      </w:r>
      <w:r w:rsidR="00350144" w:rsidRPr="002545B8">
        <w:rPr>
          <w:rFonts w:asciiTheme="minorHAnsi" w:hAnsiTheme="minorHAnsi"/>
          <w:lang w:val="es-ES"/>
        </w:rPr>
        <w:t xml:space="preserve"> estas </w:t>
      </w:r>
      <w:r w:rsidR="006137DE" w:rsidRPr="002545B8">
        <w:rPr>
          <w:rFonts w:asciiTheme="minorHAnsi" w:hAnsiTheme="minorHAnsi"/>
          <w:lang w:val="es-ES"/>
        </w:rPr>
        <w:t xml:space="preserve">disposiciones se aplicarán </w:t>
      </w:r>
      <w:r w:rsidR="00350144" w:rsidRPr="002545B8">
        <w:rPr>
          <w:rFonts w:asciiTheme="minorHAnsi" w:hAnsiTheme="minorHAnsi"/>
          <w:lang w:val="es-ES"/>
        </w:rPr>
        <w:t>también</w:t>
      </w:r>
      <w:r w:rsidR="006137DE" w:rsidRPr="002545B8">
        <w:rPr>
          <w:rFonts w:asciiTheme="minorHAnsi" w:hAnsiTheme="minorHAnsi"/>
          <w:lang w:val="es-ES"/>
        </w:rPr>
        <w:t xml:space="preserve"> al año </w:t>
      </w:r>
      <w:r w:rsidR="00F63B67" w:rsidRPr="002545B8">
        <w:rPr>
          <w:rFonts w:asciiTheme="minorHAnsi" w:hAnsiTheme="minorHAnsi"/>
          <w:lang w:val="es-ES"/>
        </w:rPr>
        <w:t>202</w:t>
      </w:r>
      <w:r w:rsidR="000E7D2F" w:rsidRPr="002545B8">
        <w:rPr>
          <w:rFonts w:asciiTheme="minorHAnsi" w:hAnsiTheme="minorHAnsi"/>
          <w:lang w:val="es-ES"/>
        </w:rPr>
        <w:t>2</w:t>
      </w:r>
      <w:r w:rsidR="00F63B67" w:rsidRPr="002545B8">
        <w:rPr>
          <w:rFonts w:asciiTheme="minorHAnsi" w:hAnsiTheme="minorHAnsi"/>
          <w:lang w:val="es-ES"/>
        </w:rPr>
        <w:t xml:space="preserve">, </w:t>
      </w:r>
      <w:r w:rsidR="00350144" w:rsidRPr="002545B8">
        <w:rPr>
          <w:rFonts w:asciiTheme="minorHAnsi" w:hAnsiTheme="minorHAnsi"/>
          <w:lang w:val="es-ES"/>
        </w:rPr>
        <w:t xml:space="preserve">salvo que se disponga lo contrario </w:t>
      </w:r>
      <w:r w:rsidR="006137DE" w:rsidRPr="002545B8">
        <w:rPr>
          <w:rFonts w:asciiTheme="minorHAnsi" w:hAnsiTheme="minorHAnsi"/>
          <w:lang w:val="es-ES"/>
        </w:rPr>
        <w:t>en la presente decisión;</w:t>
      </w:r>
    </w:p>
    <w:p w14:paraId="36E08677" w14:textId="77777777" w:rsidR="00A81CC0" w:rsidRPr="009C5D6A" w:rsidRDefault="00A81CC0" w:rsidP="002545B8">
      <w:pPr>
        <w:rPr>
          <w:rFonts w:asciiTheme="minorHAnsi" w:hAnsiTheme="minorHAnsi"/>
          <w:lang w:val="es-ES"/>
        </w:rPr>
      </w:pPr>
    </w:p>
    <w:p w14:paraId="5E9351FB" w14:textId="7C2595B5" w:rsidR="00A81CC0" w:rsidRPr="002545B8" w:rsidRDefault="002545B8" w:rsidP="002545B8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9.</w:t>
      </w:r>
      <w:r>
        <w:rPr>
          <w:rFonts w:asciiTheme="minorHAnsi" w:hAnsiTheme="minorHAnsi"/>
          <w:lang w:val="es-ES"/>
        </w:rPr>
        <w:tab/>
      </w:r>
      <w:r w:rsidR="00A81CC0" w:rsidRPr="002545B8">
        <w:rPr>
          <w:rFonts w:asciiTheme="minorHAnsi" w:hAnsiTheme="minorHAnsi"/>
          <w:lang w:val="es-ES"/>
        </w:rPr>
        <w:t>DECIDE</w:t>
      </w:r>
      <w:r w:rsidR="006137DE" w:rsidRPr="002545B8">
        <w:rPr>
          <w:rFonts w:asciiTheme="minorHAnsi" w:hAnsiTheme="minorHAnsi"/>
          <w:lang w:val="es-ES"/>
        </w:rPr>
        <w:t xml:space="preserve"> que las </w:t>
      </w:r>
      <w:r w:rsidR="00350144" w:rsidRPr="002545B8">
        <w:rPr>
          <w:rFonts w:asciiTheme="minorHAnsi" w:hAnsiTheme="minorHAnsi"/>
          <w:i/>
          <w:lang w:val="es-ES"/>
        </w:rPr>
        <w:t>Disposiciones</w:t>
      </w:r>
      <w:r w:rsidR="006137DE" w:rsidRPr="002545B8">
        <w:rPr>
          <w:rFonts w:asciiTheme="minorHAnsi" w:hAnsiTheme="minorHAnsi"/>
          <w:i/>
          <w:lang w:val="es-ES"/>
        </w:rPr>
        <w:t xml:space="preserve"> para la administración financiera de la Convención</w:t>
      </w:r>
      <w:r w:rsidR="006137DE" w:rsidRPr="002545B8">
        <w:rPr>
          <w:rFonts w:asciiTheme="minorHAnsi" w:hAnsiTheme="minorHAnsi"/>
          <w:iCs/>
          <w:lang w:val="es-ES"/>
        </w:rPr>
        <w:t xml:space="preserve"> </w:t>
      </w:r>
      <w:r w:rsidR="006137DE" w:rsidRPr="002545B8">
        <w:rPr>
          <w:rFonts w:asciiTheme="minorHAnsi" w:hAnsiTheme="minorHAnsi"/>
          <w:lang w:val="es-ES"/>
        </w:rPr>
        <w:t xml:space="preserve">que figuran en el Anexo </w:t>
      </w:r>
      <w:r w:rsidR="00A81CC0" w:rsidRPr="002545B8">
        <w:rPr>
          <w:rFonts w:asciiTheme="minorHAnsi" w:hAnsiTheme="minorHAnsi"/>
          <w:lang w:val="es-ES"/>
        </w:rPr>
        <w:t xml:space="preserve">3 </w:t>
      </w:r>
      <w:r w:rsidR="006137DE" w:rsidRPr="002545B8">
        <w:rPr>
          <w:rFonts w:asciiTheme="minorHAnsi" w:hAnsiTheme="minorHAnsi"/>
          <w:lang w:val="es-ES"/>
        </w:rPr>
        <w:t xml:space="preserve">de la Resolución </w:t>
      </w:r>
      <w:r w:rsidR="00A81CC0" w:rsidRPr="002545B8">
        <w:rPr>
          <w:rFonts w:asciiTheme="minorHAnsi" w:hAnsiTheme="minorHAnsi"/>
          <w:lang w:val="es-ES"/>
        </w:rPr>
        <w:t>5.2</w:t>
      </w:r>
      <w:r w:rsidR="006137DE" w:rsidRPr="002545B8">
        <w:rPr>
          <w:rFonts w:asciiTheme="minorHAnsi" w:hAnsiTheme="minorHAnsi"/>
          <w:lang w:val="es-ES"/>
        </w:rPr>
        <w:t xml:space="preserve">, </w:t>
      </w:r>
      <w:r w:rsidR="006137DE" w:rsidRPr="002545B8">
        <w:rPr>
          <w:rFonts w:asciiTheme="minorHAnsi" w:hAnsiTheme="minorHAnsi"/>
          <w:i/>
          <w:lang w:val="es-ES"/>
        </w:rPr>
        <w:t>Asuntos financieros y presupuestarios</w:t>
      </w:r>
      <w:r w:rsidR="00A81CC0" w:rsidRPr="002545B8">
        <w:rPr>
          <w:rFonts w:asciiTheme="minorHAnsi" w:hAnsiTheme="minorHAnsi"/>
          <w:lang w:val="es-ES"/>
        </w:rPr>
        <w:t xml:space="preserve"> (1993), </w:t>
      </w:r>
      <w:r w:rsidR="006137DE" w:rsidRPr="002545B8">
        <w:rPr>
          <w:rFonts w:asciiTheme="minorHAnsi" w:hAnsiTheme="minorHAnsi"/>
          <w:lang w:val="es-ES"/>
        </w:rPr>
        <w:t>se aplicarán</w:t>
      </w:r>
      <w:r w:rsidR="00071DB1" w:rsidRPr="002545B8">
        <w:rPr>
          <w:rFonts w:asciiTheme="minorHAnsi" w:hAnsiTheme="minorHAnsi"/>
          <w:lang w:val="es-ES"/>
        </w:rPr>
        <w:t xml:space="preserve"> en su totalidad a </w:t>
      </w:r>
      <w:r w:rsidR="00A81CC0" w:rsidRPr="002545B8">
        <w:rPr>
          <w:rFonts w:asciiTheme="minorHAnsi" w:hAnsiTheme="minorHAnsi"/>
          <w:lang w:val="es-ES"/>
        </w:rPr>
        <w:t>2022;</w:t>
      </w:r>
      <w:r w:rsidR="00B05848">
        <w:rPr>
          <w:rFonts w:asciiTheme="minorHAnsi" w:hAnsiTheme="minorHAnsi"/>
          <w:lang w:val="es-ES"/>
        </w:rPr>
        <w:t xml:space="preserve"> y</w:t>
      </w:r>
    </w:p>
    <w:p w14:paraId="372F696A" w14:textId="77777777" w:rsidR="00400640" w:rsidRPr="009C5D6A" w:rsidRDefault="00400640" w:rsidP="002545B8">
      <w:pPr>
        <w:pStyle w:val="ListParagraph"/>
        <w:ind w:left="425"/>
        <w:rPr>
          <w:rFonts w:asciiTheme="minorHAnsi" w:hAnsiTheme="minorHAnsi"/>
          <w:lang w:val="es-ES"/>
        </w:rPr>
      </w:pPr>
    </w:p>
    <w:p w14:paraId="1C370358" w14:textId="1BA28B72" w:rsidR="00A81CC0" w:rsidRPr="009C5D6A" w:rsidRDefault="002545B8" w:rsidP="00A81CC0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10.</w:t>
      </w:r>
      <w:r>
        <w:rPr>
          <w:rFonts w:asciiTheme="minorHAnsi" w:hAnsiTheme="minorHAnsi"/>
          <w:lang w:val="es-ES"/>
        </w:rPr>
        <w:tab/>
      </w:r>
      <w:r w:rsidR="00A14B84" w:rsidRPr="002545B8">
        <w:rPr>
          <w:rFonts w:asciiTheme="minorHAnsi" w:hAnsiTheme="minorHAnsi"/>
          <w:lang w:val="es-ES"/>
        </w:rPr>
        <w:t>AP</w:t>
      </w:r>
      <w:r w:rsidR="006137DE" w:rsidRPr="002545B8">
        <w:rPr>
          <w:rFonts w:asciiTheme="minorHAnsi" w:hAnsiTheme="minorHAnsi"/>
          <w:lang w:val="es-ES"/>
        </w:rPr>
        <w:t>RUEBA</w:t>
      </w:r>
      <w:r w:rsidR="00B05848">
        <w:rPr>
          <w:rFonts w:asciiTheme="minorHAnsi" w:hAnsiTheme="minorHAnsi"/>
          <w:lang w:val="es-ES"/>
        </w:rPr>
        <w:t>,</w:t>
      </w:r>
      <w:r w:rsidR="00B05848" w:rsidRPr="000C568B">
        <w:rPr>
          <w:lang w:val="fr-FR"/>
        </w:rPr>
        <w:t xml:space="preserve"> </w:t>
      </w:r>
      <w:r w:rsidR="00B05848" w:rsidRPr="00B05848">
        <w:rPr>
          <w:rFonts w:asciiTheme="minorHAnsi" w:hAnsiTheme="minorHAnsi"/>
          <w:lang w:val="es-ES"/>
        </w:rPr>
        <w:t xml:space="preserve">con carácter excepcional en la Tercera </w:t>
      </w:r>
      <w:r w:rsidR="00B05848">
        <w:rPr>
          <w:rFonts w:asciiTheme="minorHAnsi" w:hAnsiTheme="minorHAnsi"/>
          <w:lang w:val="es-ES"/>
        </w:rPr>
        <w:t>r</w:t>
      </w:r>
      <w:r w:rsidR="00B05848" w:rsidRPr="00B05848">
        <w:rPr>
          <w:rFonts w:asciiTheme="minorHAnsi" w:hAnsiTheme="minorHAnsi"/>
          <w:lang w:val="es-ES"/>
        </w:rPr>
        <w:t xml:space="preserve">eunión </w:t>
      </w:r>
      <w:r w:rsidR="00B05848">
        <w:rPr>
          <w:rFonts w:asciiTheme="minorHAnsi" w:hAnsiTheme="minorHAnsi"/>
          <w:lang w:val="es-ES"/>
        </w:rPr>
        <w:t>e</w:t>
      </w:r>
      <w:r w:rsidR="00B05848" w:rsidRPr="00B05848">
        <w:rPr>
          <w:rFonts w:asciiTheme="minorHAnsi" w:hAnsiTheme="minorHAnsi"/>
          <w:lang w:val="es-ES"/>
        </w:rPr>
        <w:t>xtraordinaria de la Conferencia de las Partes Contratantes, el presupuesto básico para 2022</w:t>
      </w:r>
      <w:r w:rsidR="006137DE" w:rsidRPr="002545B8">
        <w:rPr>
          <w:rFonts w:asciiTheme="minorHAnsi" w:hAnsiTheme="minorHAnsi"/>
          <w:lang w:val="es-ES"/>
        </w:rPr>
        <w:t xml:space="preserve"> </w:t>
      </w:r>
      <w:r w:rsidR="00C33773" w:rsidRPr="002545B8">
        <w:rPr>
          <w:rFonts w:asciiTheme="minorHAnsi" w:hAnsiTheme="minorHAnsi"/>
          <w:lang w:val="es-ES"/>
        </w:rPr>
        <w:t>que</w:t>
      </w:r>
      <w:r w:rsidR="006137DE" w:rsidRPr="002545B8">
        <w:rPr>
          <w:rFonts w:asciiTheme="minorHAnsi" w:hAnsiTheme="minorHAnsi"/>
          <w:lang w:val="es-ES"/>
        </w:rPr>
        <w:t xml:space="preserve"> se presenta en el </w:t>
      </w:r>
      <w:r w:rsidR="00B05848">
        <w:rPr>
          <w:rFonts w:asciiTheme="minorHAnsi" w:hAnsiTheme="minorHAnsi"/>
          <w:lang w:val="es-ES"/>
        </w:rPr>
        <w:t>a</w:t>
      </w:r>
      <w:r w:rsidR="006137DE" w:rsidRPr="002545B8">
        <w:rPr>
          <w:rFonts w:asciiTheme="minorHAnsi" w:hAnsiTheme="minorHAnsi"/>
          <w:lang w:val="es-ES"/>
        </w:rPr>
        <w:t>nexo 1</w:t>
      </w:r>
      <w:r w:rsidR="00B05848">
        <w:rPr>
          <w:rFonts w:asciiTheme="minorHAnsi" w:hAnsiTheme="minorHAnsi"/>
          <w:lang w:val="es-ES"/>
        </w:rPr>
        <w:t xml:space="preserve">, </w:t>
      </w:r>
      <w:r w:rsidR="00B05848" w:rsidRPr="00B05848">
        <w:rPr>
          <w:rFonts w:asciiTheme="minorHAnsi" w:hAnsiTheme="minorHAnsi"/>
          <w:lang w:val="es-ES"/>
        </w:rPr>
        <w:t xml:space="preserve">con las escalas de </w:t>
      </w:r>
      <w:r w:rsidR="00B05848">
        <w:rPr>
          <w:rFonts w:asciiTheme="minorHAnsi" w:hAnsiTheme="minorHAnsi"/>
          <w:lang w:val="es-ES"/>
        </w:rPr>
        <w:t>las Naciones Unidas</w:t>
      </w:r>
      <w:r w:rsidR="00B05848" w:rsidRPr="00B05848">
        <w:rPr>
          <w:rFonts w:asciiTheme="minorHAnsi" w:hAnsiTheme="minorHAnsi"/>
          <w:lang w:val="es-ES"/>
        </w:rPr>
        <w:t xml:space="preserve"> actualizadas según el </w:t>
      </w:r>
      <w:r w:rsidR="00B05848">
        <w:rPr>
          <w:rFonts w:asciiTheme="minorHAnsi" w:hAnsiTheme="minorHAnsi"/>
          <w:lang w:val="es-ES"/>
        </w:rPr>
        <w:t>a</w:t>
      </w:r>
      <w:r w:rsidR="00B05848" w:rsidRPr="00B05848">
        <w:rPr>
          <w:rFonts w:asciiTheme="minorHAnsi" w:hAnsiTheme="minorHAnsi"/>
          <w:lang w:val="es-ES"/>
        </w:rPr>
        <w:t xml:space="preserve">nexo 2 de la presente </w:t>
      </w:r>
      <w:r w:rsidR="00B05848">
        <w:rPr>
          <w:rFonts w:asciiTheme="minorHAnsi" w:hAnsiTheme="minorHAnsi"/>
          <w:lang w:val="es-ES"/>
        </w:rPr>
        <w:t>r</w:t>
      </w:r>
      <w:r w:rsidR="00B05848" w:rsidRPr="00B05848">
        <w:rPr>
          <w:rFonts w:asciiTheme="minorHAnsi" w:hAnsiTheme="minorHAnsi"/>
          <w:lang w:val="es-ES"/>
        </w:rPr>
        <w:t>esolución</w:t>
      </w:r>
      <w:r w:rsidR="005A30D5">
        <w:rPr>
          <w:rFonts w:asciiTheme="minorHAnsi" w:hAnsiTheme="minorHAnsi"/>
          <w:lang w:val="es-ES"/>
        </w:rPr>
        <w:t>,</w:t>
      </w:r>
      <w:r w:rsidR="00C33773" w:rsidRPr="002545B8">
        <w:rPr>
          <w:rFonts w:asciiTheme="minorHAnsi" w:hAnsiTheme="minorHAnsi"/>
          <w:lang w:val="es-ES"/>
        </w:rPr>
        <w:t xml:space="preserve"> fin </w:t>
      </w:r>
      <w:r w:rsidR="006137DE" w:rsidRPr="002545B8">
        <w:rPr>
          <w:rFonts w:asciiTheme="minorHAnsi" w:hAnsiTheme="minorHAnsi"/>
          <w:lang w:val="es-ES"/>
        </w:rPr>
        <w:t xml:space="preserve">de permitir la ejecución del Plan Estratégico de Ramsar </w:t>
      </w:r>
      <w:r w:rsidR="00A14B84" w:rsidRPr="002545B8">
        <w:rPr>
          <w:rFonts w:asciiTheme="minorHAnsi" w:hAnsiTheme="minorHAnsi"/>
          <w:lang w:val="es-ES"/>
        </w:rPr>
        <w:t>2016-2024</w:t>
      </w:r>
      <w:r w:rsidR="00B05848">
        <w:rPr>
          <w:rFonts w:asciiTheme="minorHAnsi" w:hAnsiTheme="minorHAnsi"/>
          <w:lang w:val="es-ES"/>
        </w:rPr>
        <w:t>.</w:t>
      </w:r>
    </w:p>
    <w:p w14:paraId="3C55C1B4" w14:textId="77777777" w:rsidR="00ED2630" w:rsidRPr="009C5D6A" w:rsidRDefault="00ED2630">
      <w:pPr>
        <w:rPr>
          <w:rFonts w:cs="Arial"/>
          <w:b/>
          <w:lang w:val="es-ES"/>
        </w:rPr>
        <w:sectPr w:rsidR="00ED2630" w:rsidRPr="009C5D6A" w:rsidSect="0059481C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0F4F327" w14:textId="179FCE40" w:rsidR="00ED2630" w:rsidRPr="009C5D6A" w:rsidRDefault="0049707C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  <w:lang w:val="es-ES"/>
        </w:rPr>
      </w:pPr>
      <w:r w:rsidRPr="009C5D6A">
        <w:rPr>
          <w:rFonts w:cs="Arial"/>
          <w:b/>
          <w:sz w:val="24"/>
          <w:szCs w:val="24"/>
          <w:lang w:val="es-ES"/>
        </w:rPr>
        <w:lastRenderedPageBreak/>
        <w:t>Anex</w:t>
      </w:r>
      <w:r w:rsidR="00431082">
        <w:rPr>
          <w:rFonts w:cs="Arial"/>
          <w:b/>
          <w:sz w:val="24"/>
          <w:szCs w:val="24"/>
          <w:lang w:val="es-ES"/>
        </w:rPr>
        <w:t>o</w:t>
      </w:r>
      <w:r w:rsidRPr="009C5D6A">
        <w:rPr>
          <w:rFonts w:cs="Arial"/>
          <w:b/>
          <w:sz w:val="24"/>
          <w:szCs w:val="24"/>
          <w:lang w:val="es-ES"/>
        </w:rPr>
        <w:t xml:space="preserve"> </w:t>
      </w:r>
      <w:r w:rsidR="007729B3" w:rsidRPr="009C5D6A">
        <w:rPr>
          <w:rFonts w:cs="Arial"/>
          <w:b/>
          <w:sz w:val="24"/>
          <w:szCs w:val="24"/>
          <w:lang w:val="es-ES"/>
        </w:rPr>
        <w:t>1</w:t>
      </w:r>
    </w:p>
    <w:p w14:paraId="616906D8" w14:textId="42468D56" w:rsidR="00B46878" w:rsidRPr="009C5D6A" w:rsidRDefault="008E152C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  <w:lang w:val="es-ES"/>
        </w:rPr>
      </w:pPr>
      <w:r w:rsidRPr="008E152C">
        <w:rPr>
          <w:rFonts w:cs="Arial"/>
          <w:b/>
          <w:sz w:val="24"/>
          <w:szCs w:val="24"/>
          <w:lang w:val="es-ES"/>
        </w:rPr>
        <w:t xml:space="preserve">Presupuesto </w:t>
      </w:r>
      <w:r w:rsidR="009C4D57" w:rsidRPr="009C4D57">
        <w:rPr>
          <w:rFonts w:cs="Arial"/>
          <w:b/>
          <w:sz w:val="24"/>
          <w:szCs w:val="24"/>
          <w:lang w:val="es-ES"/>
        </w:rPr>
        <w:t xml:space="preserve">básico </w:t>
      </w:r>
      <w:r w:rsidR="009C4D57">
        <w:rPr>
          <w:rFonts w:cs="Arial"/>
          <w:b/>
          <w:sz w:val="24"/>
          <w:szCs w:val="24"/>
          <w:lang w:val="es-ES"/>
        </w:rPr>
        <w:t xml:space="preserve">para </w:t>
      </w:r>
      <w:r w:rsidRPr="008E152C">
        <w:rPr>
          <w:rFonts w:cs="Arial"/>
          <w:b/>
          <w:sz w:val="24"/>
          <w:szCs w:val="24"/>
          <w:lang w:val="es-ES"/>
        </w:rPr>
        <w:t>2022</w:t>
      </w:r>
    </w:p>
    <w:p w14:paraId="458FA71B" w14:textId="77777777" w:rsidR="00B46878" w:rsidRPr="009C5D6A" w:rsidRDefault="00B46878" w:rsidP="00B46878">
      <w:pPr>
        <w:rPr>
          <w:rFonts w:asciiTheme="minorHAnsi" w:hAnsiTheme="minorHAnsi" w:cstheme="minorHAnsi"/>
          <w:lang w:val="es-ES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654"/>
        <w:gridCol w:w="1654"/>
        <w:gridCol w:w="1654"/>
      </w:tblGrid>
      <w:tr w:rsidR="002545B8" w:rsidRPr="009C5D6A" w14:paraId="13F684BC" w14:textId="77777777" w:rsidTr="00EA0DFF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2AC11" w14:textId="3131C5A3" w:rsidR="002545B8" w:rsidRPr="00EA0DFF" w:rsidRDefault="002545B8" w:rsidP="002545B8">
            <w:pPr>
              <w:rPr>
                <w:b/>
                <w:bCs/>
                <w:color w:val="44546A"/>
                <w:lang w:val="es-ES" w:eastAsia="en-GB"/>
              </w:rPr>
            </w:pP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Presupuesto </w:t>
            </w:r>
            <w:r w:rsidR="009C4D57" w:rsidRPr="009C4D57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básico </w:t>
            </w: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de Ramsar</w:t>
            </w:r>
            <w:r w:rsidR="009C4D57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 </w:t>
            </w: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para 2022</w:t>
            </w:r>
          </w:p>
          <w:p w14:paraId="22A9A546" w14:textId="77777777" w:rsidR="002545B8" w:rsidRPr="00EA0DFF" w:rsidRDefault="002545B8" w:rsidP="002545B8">
            <w:pPr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</w:pPr>
          </w:p>
          <w:p w14:paraId="330A80EA" w14:textId="2D9AB1F4" w:rsidR="002545B8" w:rsidRPr="00EA0DFF" w:rsidRDefault="002545B8" w:rsidP="002545B8">
            <w:pPr>
              <w:rPr>
                <w:b/>
                <w:bCs/>
                <w:color w:val="44546A"/>
                <w:lang w:val="es-ES" w:eastAsia="en-GB"/>
              </w:rPr>
            </w:pP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en miles de francos suizos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05D23" w14:textId="32FCE13D" w:rsidR="002545B8" w:rsidRPr="00EA0DFF" w:rsidRDefault="002545B8" w:rsidP="00EA0DFF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</w:pP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Presupuesto para 2022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1D02B" w14:textId="155B92CF" w:rsidR="002545B8" w:rsidRPr="00EA0DFF" w:rsidRDefault="002545B8" w:rsidP="002545B8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</w:pPr>
            <w:r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Uso autorizado por la reunión SC59 de los ahorros de 2020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BF442" w14:textId="30A60E67" w:rsidR="002545B8" w:rsidRPr="00EA0DFF" w:rsidRDefault="009C4D57" w:rsidP="002545B8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P</w:t>
            </w:r>
            <w:r w:rsidR="002545B8"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resupuesto </w:t>
            </w:r>
            <w:r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 xml:space="preserve">total para </w:t>
            </w:r>
            <w:r w:rsidR="002545B8" w:rsidRPr="00EA0DFF">
              <w:rPr>
                <w:rFonts w:asciiTheme="minorHAnsi" w:eastAsia="Times New Roman" w:hAnsiTheme="minorHAnsi" w:cs="Arial"/>
                <w:b/>
                <w:bCs/>
                <w:color w:val="1F497D"/>
                <w:lang w:val="es-ES" w:eastAsia="en-GB"/>
              </w:rPr>
              <w:t>2022</w:t>
            </w:r>
          </w:p>
        </w:tc>
      </w:tr>
      <w:tr w:rsidR="00DA380C" w:rsidRPr="009C5D6A" w14:paraId="0D2A7E59" w14:textId="77777777" w:rsidTr="00EA0DFF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7DD6" w14:textId="6A05CDBB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1F497D"/>
                <w:sz w:val="20"/>
                <w:szCs w:val="20"/>
                <w:lang w:val="es-ES" w:eastAsia="en-GB"/>
              </w:rPr>
              <w:t>INGRESOS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5017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18F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56D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</w:tr>
      <w:tr w:rsidR="00DA380C" w:rsidRPr="009C5D6A" w14:paraId="2A03D243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D534" w14:textId="3B901526" w:rsidR="00DA380C" w:rsidRPr="009C5D6A" w:rsidRDefault="000228C4" w:rsidP="00DA380C">
            <w:pPr>
              <w:ind w:leftChars="-50" w:left="0" w:hangingChars="55" w:hanging="11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>
              <w:rPr>
                <w:rFonts w:cs="Arial"/>
                <w:sz w:val="20"/>
                <w:szCs w:val="20"/>
                <w:lang w:val="es-ES" w:eastAsia="en-GB"/>
              </w:rPr>
              <w:t xml:space="preserve">                </w:t>
            </w:r>
            <w:r w:rsidR="00DA380C" w:rsidRPr="00AC1DDB">
              <w:rPr>
                <w:rFonts w:cs="Arial"/>
                <w:sz w:val="20"/>
                <w:szCs w:val="20"/>
                <w:lang w:val="es-ES" w:eastAsia="en-GB"/>
              </w:rPr>
              <w:t>Contribuciones de las Partes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090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3,779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188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13F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3,779</w:t>
            </w:r>
          </w:p>
        </w:tc>
      </w:tr>
      <w:tr w:rsidR="00DA380C" w:rsidRPr="009C5D6A" w14:paraId="4DECA0DF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2CE7" w14:textId="1781DF2D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Contribuciones voluntarias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8E95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1,065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CED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EEC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1,065</w:t>
            </w:r>
          </w:p>
        </w:tc>
      </w:tr>
      <w:tr w:rsidR="00DA380C" w:rsidRPr="009C5D6A" w14:paraId="239F49FB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C63" w14:textId="0C164EE5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Impuesto sobre la renta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FF7C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225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F065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CF2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225</w:t>
            </w:r>
          </w:p>
        </w:tc>
      </w:tr>
      <w:tr w:rsidR="00DA380C" w:rsidRPr="009C5D6A" w14:paraId="4D60A145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E266" w14:textId="1FA9843D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Ingresos por intereses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14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4FA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273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12</w:t>
            </w:r>
          </w:p>
        </w:tc>
      </w:tr>
      <w:tr w:rsidR="00DA380C" w:rsidRPr="009C5D6A" w14:paraId="5E41892B" w14:textId="77777777" w:rsidTr="00EA0DFF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F17B673" w14:textId="33030A6B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1F497D"/>
                <w:sz w:val="20"/>
                <w:szCs w:val="20"/>
                <w:lang w:val="es-ES" w:eastAsia="en-GB"/>
              </w:rPr>
              <w:t>TOTAL DE INGRESOS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BF2036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5,081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E438792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B4983F" w14:textId="77777777" w:rsidR="00DA380C" w:rsidRPr="009C5D6A" w:rsidRDefault="00DA380C" w:rsidP="00DA380C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5,081</w:t>
            </w:r>
          </w:p>
        </w:tc>
      </w:tr>
      <w:tr w:rsidR="00DA380C" w:rsidRPr="009C5D6A" w14:paraId="22CECCF9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2020" w14:textId="7B903E7B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582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0AAB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86F" w14:textId="77777777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</w:tr>
      <w:tr w:rsidR="00DA380C" w:rsidRPr="009C5D6A" w14:paraId="211E8AC3" w14:textId="77777777" w:rsidTr="00EA0DFF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D58" w14:textId="648433BE" w:rsidR="00DA380C" w:rsidRPr="009C5D6A" w:rsidRDefault="00DA380C" w:rsidP="00DA380C">
            <w:pPr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1F497D"/>
                <w:sz w:val="20"/>
                <w:szCs w:val="20"/>
                <w:lang w:val="es-ES" w:eastAsia="en-GB"/>
              </w:rPr>
              <w:t>GASTOS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E59" w14:textId="77777777" w:rsidR="00DA380C" w:rsidRPr="009C5D6A" w:rsidRDefault="00DA380C" w:rsidP="00DA380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D08" w14:textId="77777777" w:rsidR="00DA380C" w:rsidRPr="009C5D6A" w:rsidRDefault="00DA380C" w:rsidP="00DA380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76F" w14:textId="77777777" w:rsidR="00DA380C" w:rsidRPr="009C5D6A" w:rsidRDefault="00DA380C" w:rsidP="00DA38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 </w:t>
            </w:r>
          </w:p>
        </w:tc>
      </w:tr>
      <w:tr w:rsidR="00DA380C" w:rsidRPr="009C5D6A" w14:paraId="0D9A7A66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BBE21B9" w14:textId="32677010" w:rsidR="00DA380C" w:rsidRPr="00431082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sz w:val="20"/>
                <w:szCs w:val="20"/>
                <w:lang w:val="es-ES" w:eastAsia="en-GB"/>
              </w:rPr>
              <w:t>A. Personal directivo de la Secretaría y gobernanza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820899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1,030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34BB92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0AEFB4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1,035</w:t>
            </w:r>
          </w:p>
        </w:tc>
      </w:tr>
      <w:tr w:rsidR="00DA380C" w:rsidRPr="009C5D6A" w14:paraId="0D06495D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62C2" w14:textId="343E47D9" w:rsidR="00DA380C" w:rsidRPr="00DA380C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Salarios, gastos sociales y otras prestaciones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A62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990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C23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B0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990</w:t>
            </w:r>
          </w:p>
        </w:tc>
      </w:tr>
      <w:tr w:rsidR="00DA380C" w:rsidRPr="009C5D6A" w14:paraId="088D1572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9A6" w14:textId="2F67D756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Viajes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D3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7CD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55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45</w:t>
            </w:r>
          </w:p>
        </w:tc>
      </w:tr>
      <w:tr w:rsidR="00DA380C" w:rsidRPr="009C5D6A" w14:paraId="72A5E48E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77C7847" w14:textId="119D8516" w:rsidR="00DA380C" w:rsidRPr="00431082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000000"/>
                <w:sz w:val="20"/>
                <w:szCs w:val="20"/>
                <w:lang w:val="es-ES" w:eastAsia="en-GB"/>
              </w:rPr>
              <w:t xml:space="preserve">B. Movilización de recursos y promoción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D1F08A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594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A9C6FE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E7D940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639</w:t>
            </w:r>
          </w:p>
        </w:tc>
      </w:tr>
      <w:tr w:rsidR="00DA380C" w:rsidRPr="009C5D6A" w14:paraId="73C3D4A3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502" w14:textId="2D899C08" w:rsidR="00DA380C" w:rsidRPr="00DA380C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Salarios, gastos sociales y otras prestaciones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D7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196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2C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438</w:t>
            </w:r>
          </w:p>
        </w:tc>
      </w:tr>
      <w:tr w:rsidR="00DA380C" w:rsidRPr="009C5D6A" w14:paraId="13C63BCA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AD3" w14:textId="3EB4120E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Programa de CECoP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30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261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2B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30</w:t>
            </w:r>
          </w:p>
        </w:tc>
      </w:tr>
      <w:tr w:rsidR="00DA380C" w:rsidRPr="009C5D6A" w14:paraId="4191D9E2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0AB" w14:textId="65E00DFD" w:rsidR="00DA380C" w:rsidRPr="00431082" w:rsidRDefault="00DA380C" w:rsidP="000228C4">
            <w:pPr>
              <w:ind w:left="597" w:firstLine="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Comunicaciones, traducciones, publicaciones e informes sobre la aplicación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10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F1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F6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100</w:t>
            </w:r>
          </w:p>
        </w:tc>
      </w:tr>
      <w:tr w:rsidR="00DA380C" w:rsidRPr="009C5D6A" w14:paraId="2432FD76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4A9" w14:textId="5F9C76DF" w:rsidR="00DA380C" w:rsidRPr="00431082" w:rsidRDefault="000228C4" w:rsidP="000228C4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>
              <w:rPr>
                <w:rFonts w:cs="Arial"/>
                <w:sz w:val="20"/>
                <w:szCs w:val="20"/>
                <w:lang w:val="es-ES" w:eastAsia="en-GB"/>
              </w:rPr>
              <w:t xml:space="preserve">             </w:t>
            </w:r>
            <w:r w:rsidR="00DA380C" w:rsidRPr="00AC1DDB">
              <w:rPr>
                <w:rFonts w:cs="Arial"/>
                <w:sz w:val="20"/>
                <w:szCs w:val="20"/>
                <w:lang w:val="es-ES" w:eastAsia="en-GB"/>
              </w:rPr>
              <w:t>Apoyo y desarrollo del sitio web/servicios informáticos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DE6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DD7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93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56</w:t>
            </w:r>
          </w:p>
        </w:tc>
      </w:tr>
      <w:tr w:rsidR="00DA380C" w:rsidRPr="009C5D6A" w14:paraId="5EBE320E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7A1" w14:textId="67482573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Viajes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B6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830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D593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15</w:t>
            </w:r>
          </w:p>
        </w:tc>
      </w:tr>
      <w:tr w:rsidR="00DA380C" w:rsidRPr="009C5D6A" w14:paraId="7A005C9C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933221" w14:textId="6359BF3B" w:rsidR="00DA380C" w:rsidRPr="00431082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sz w:val="20"/>
                <w:szCs w:val="20"/>
                <w:lang w:val="es-ES" w:eastAsia="en-GB"/>
              </w:rPr>
              <w:t xml:space="preserve">C. Asesoramiento y apoyo regionales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6F6FD2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1,237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C5B4B04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5599D9D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1,247</w:t>
            </w:r>
          </w:p>
        </w:tc>
      </w:tr>
      <w:tr w:rsidR="00DA380C" w:rsidRPr="009C5D6A" w14:paraId="569CF108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EEF" w14:textId="718FD261" w:rsidR="00DA380C" w:rsidRPr="00DA380C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Salarios, gastos sociales y otras prestaciones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72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1,170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909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00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1,170</w:t>
            </w:r>
          </w:p>
        </w:tc>
      </w:tr>
      <w:tr w:rsidR="00DA380C" w:rsidRPr="009C5D6A" w14:paraId="113A6059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B5A" w14:textId="0F53946C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Viajes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7A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7B2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3F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77</w:t>
            </w:r>
          </w:p>
        </w:tc>
      </w:tr>
      <w:tr w:rsidR="00DA380C" w:rsidRPr="009C5D6A" w14:paraId="5FE782CF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78EF9D9" w14:textId="65C514EB" w:rsidR="00DA380C" w:rsidRPr="00431082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000000"/>
                <w:sz w:val="20"/>
                <w:szCs w:val="20"/>
                <w:lang w:val="es-ES" w:eastAsia="en-GB"/>
              </w:rPr>
              <w:t>D. Apoyo a las iniciativas regionales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313A033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2F5780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E09900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100</w:t>
            </w:r>
          </w:p>
        </w:tc>
      </w:tr>
      <w:tr w:rsidR="00DA380C" w:rsidRPr="009C5D6A" w14:paraId="4267DA4D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1B5C" w14:textId="74C5056E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 xml:space="preserve">Redes y centros regionales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24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A55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F16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100</w:t>
            </w:r>
          </w:p>
        </w:tc>
      </w:tr>
      <w:tr w:rsidR="00DA380C" w:rsidRPr="009C5D6A" w14:paraId="33DE414C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52E955D" w14:textId="2FF85F98" w:rsidR="00DA380C" w:rsidRPr="009C5D6A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b/>
                <w:bCs/>
                <w:color w:val="000000"/>
                <w:sz w:val="20"/>
                <w:szCs w:val="20"/>
                <w:lang w:val="es-ES" w:eastAsia="en-GB"/>
              </w:rPr>
              <w:t>E. Ciencia y políticas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724DF04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839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C8C41D8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C6C773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  <w:t>844</w:t>
            </w:r>
          </w:p>
        </w:tc>
      </w:tr>
      <w:tr w:rsidR="00DA380C" w:rsidRPr="009C5D6A" w14:paraId="31E09A47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520" w14:textId="2917D01E" w:rsidR="00DA380C" w:rsidRPr="00DA380C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Salarios, gastos sociales y otras prestaciones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28A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A01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F95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651</w:t>
            </w:r>
          </w:p>
        </w:tc>
      </w:tr>
      <w:tr w:rsidR="00DA380C" w:rsidRPr="009C5D6A" w14:paraId="51973DFF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751" w14:textId="06B806A9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Trabajo del GECT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9E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E334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34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40</w:t>
            </w:r>
          </w:p>
        </w:tc>
      </w:tr>
      <w:tr w:rsidR="00DA380C" w:rsidRPr="009C5D6A" w14:paraId="17A45E02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35E" w14:textId="3C4E23D8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Viajes de la Presidencia del GECT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DE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593A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5B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</w:t>
            </w:r>
          </w:p>
        </w:tc>
      </w:tr>
      <w:tr w:rsidR="00DA380C" w:rsidRPr="009C5D6A" w14:paraId="3DD84413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29A" w14:textId="5737592C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Reuniones del GECT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98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443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77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50</w:t>
            </w:r>
          </w:p>
        </w:tc>
      </w:tr>
      <w:tr w:rsidR="00DA380C" w:rsidRPr="009C5D6A" w14:paraId="3F44D727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08F" w14:textId="131AF398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Servicio de información sobre sitios Ramsar (mantenimiento y desarrollo)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7C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DBB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B7E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80</w:t>
            </w:r>
          </w:p>
        </w:tc>
      </w:tr>
      <w:tr w:rsidR="00DA380C" w:rsidRPr="009C5D6A" w14:paraId="214CF1BB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7A5" w14:textId="6E21020D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Viajes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C50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9EC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96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18</w:t>
            </w:r>
          </w:p>
        </w:tc>
      </w:tr>
      <w:tr w:rsidR="00DA380C" w:rsidRPr="009C5D6A" w14:paraId="70C30A3C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E25493" w14:textId="787529D5" w:rsidR="00DA380C" w:rsidRPr="009C5D6A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b/>
                <w:bCs/>
                <w:sz w:val="20"/>
                <w:szCs w:val="20"/>
                <w:lang w:val="es-ES" w:eastAsia="en-GB"/>
              </w:rPr>
              <w:t>G.  Administración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8D3436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481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BCC87A6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07CD9F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492</w:t>
            </w:r>
          </w:p>
        </w:tc>
      </w:tr>
      <w:tr w:rsidR="00DA380C" w:rsidRPr="009C5D6A" w14:paraId="115846B5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567" w14:textId="4BB90291" w:rsidR="00DA380C" w:rsidRPr="00DA380C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theme="minorHAnsi"/>
                <w:color w:val="000000"/>
                <w:sz w:val="20"/>
                <w:szCs w:val="20"/>
                <w:lang w:val="es-ES" w:eastAsia="en-GB"/>
              </w:rPr>
              <w:t>Salarios, gastos sociales y otras prestaciones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F9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5B0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39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337</w:t>
            </w:r>
          </w:p>
        </w:tc>
      </w:tr>
      <w:tr w:rsidR="00DA380C" w:rsidRPr="009C5D6A" w14:paraId="7CCE6033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D39" w14:textId="23C37457" w:rsidR="00DA380C" w:rsidRPr="00431082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C1DDB">
              <w:rPr>
                <w:rFonts w:cs="Arial"/>
                <w:sz w:val="20"/>
                <w:szCs w:val="20"/>
                <w:lang w:val="es-ES" w:eastAsia="en-GB"/>
              </w:rPr>
              <w:t>Costos de contratación y separación del personal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16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1B5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13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49</w:t>
            </w:r>
          </w:p>
        </w:tc>
      </w:tr>
      <w:tr w:rsidR="00DA380C" w:rsidRPr="009C5D6A" w14:paraId="36F9C22C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7A18" w14:textId="6AD71661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sz w:val="20"/>
                <w:szCs w:val="20"/>
                <w:lang w:val="es-ES" w:eastAsia="en-GB"/>
              </w:rPr>
              <w:t>Costos de contratación y separación del personal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E0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619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85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0</w:t>
            </w:r>
          </w:p>
        </w:tc>
      </w:tr>
      <w:tr w:rsidR="00DA380C" w:rsidRPr="009C5D6A" w14:paraId="3681A646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4C8" w14:textId="1E0C5FD8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asciiTheme="minorHAnsi" w:eastAsia="Times New Roman" w:hAnsiTheme="minorHAnsi" w:cs="Arial"/>
                <w:sz w:val="20"/>
                <w:szCs w:val="20"/>
                <w:lang w:eastAsia="en-GB"/>
              </w:rPr>
              <w:t>Equipos/Suministros de oficina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B7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AD2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BA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95</w:t>
            </w:r>
          </w:p>
        </w:tc>
      </w:tr>
      <w:tr w:rsidR="00DA380C" w:rsidRPr="009C5D6A" w14:paraId="5464AE17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A24" w14:textId="36D04F3F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Planificación y Capacitación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15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3F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BB22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11</w:t>
            </w:r>
          </w:p>
        </w:tc>
      </w:tr>
      <w:tr w:rsidR="00DA380C" w:rsidRPr="009C5D6A" w14:paraId="34002D2D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5777EAD" w14:textId="25537414" w:rsidR="00DA380C" w:rsidRPr="009C5D6A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B2F1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 w:eastAsia="en-GB"/>
              </w:rPr>
              <w:t xml:space="preserve">H. </w:t>
            </w:r>
            <w:r w:rsidRPr="00AB2F10">
              <w:rPr>
                <w:rFonts w:eastAsia="Times New Roman" w:cs="Arial"/>
                <w:b/>
                <w:bCs/>
                <w:sz w:val="20"/>
                <w:szCs w:val="20"/>
                <w:lang w:val="es-ES" w:eastAsia="en-GB"/>
              </w:rPr>
              <w:t>Servicios del Comité Permanente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4436FE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A293F45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B6D1D0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150</w:t>
            </w:r>
          </w:p>
        </w:tc>
      </w:tr>
      <w:tr w:rsidR="00DA380C" w:rsidRPr="009C5D6A" w14:paraId="09120CC0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CB2" w14:textId="3CAC5A99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sz w:val="20"/>
                <w:szCs w:val="20"/>
                <w:lang w:val="es-ES" w:eastAsia="en-GB"/>
              </w:rPr>
              <w:t>Apoyo a los delegados del Comité Permanente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7D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8A1E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55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45</w:t>
            </w:r>
          </w:p>
        </w:tc>
      </w:tr>
      <w:tr w:rsidR="00DA380C" w:rsidRPr="009C5D6A" w14:paraId="3661AC97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D00F" w14:textId="50060369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eastAsia="Times New Roman" w:cs="Arial"/>
                <w:sz w:val="20"/>
                <w:szCs w:val="20"/>
                <w:lang w:eastAsia="en-GB"/>
              </w:rPr>
              <w:t>Reuniones del Comité Permanente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CA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3EF5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7BE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10</w:t>
            </w:r>
          </w:p>
        </w:tc>
      </w:tr>
      <w:tr w:rsidR="00DA380C" w:rsidRPr="009C5D6A" w14:paraId="6BE3C531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EB27" w14:textId="383CC7B5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sz w:val="20"/>
                <w:szCs w:val="20"/>
                <w:lang w:val="es-ES" w:eastAsia="en-GB"/>
              </w:rPr>
              <w:t>Traducción en las reuniones del Comité Permanente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304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579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DDA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60</w:t>
            </w:r>
          </w:p>
        </w:tc>
      </w:tr>
      <w:tr w:rsidR="00DA380C" w:rsidRPr="009C5D6A" w14:paraId="7E8B7860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034" w14:textId="646B0D9C" w:rsidR="00DA380C" w:rsidRPr="00431082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sz w:val="20"/>
                <w:szCs w:val="20"/>
                <w:lang w:val="es-ES" w:eastAsia="en-GB"/>
              </w:rPr>
              <w:t>Interpretación simultánea en las reuniones del Comité Permanente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7D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1DA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D8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35</w:t>
            </w:r>
          </w:p>
        </w:tc>
      </w:tr>
      <w:tr w:rsidR="00DA380C" w:rsidRPr="009C5D6A" w14:paraId="0F9EA116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795E4E6" w14:textId="6C800F44" w:rsidR="00DA380C" w:rsidRPr="009C5D6A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b/>
                <w:bCs/>
                <w:sz w:val="20"/>
                <w:szCs w:val="20"/>
                <w:lang w:val="es-ES" w:eastAsia="en-GB"/>
              </w:rPr>
              <w:t>I. Gastos por servicios administrativos de la UICN (máximo)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C7B264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B78E3C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7C870D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541</w:t>
            </w:r>
          </w:p>
        </w:tc>
      </w:tr>
      <w:tr w:rsidR="00DA380C" w:rsidRPr="009C5D6A" w14:paraId="26E88980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174" w14:textId="4F8BD657" w:rsidR="00DA380C" w:rsidRPr="00431082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sz w:val="20"/>
                <w:szCs w:val="20"/>
                <w:lang w:val="es-ES" w:eastAsia="en-GB"/>
              </w:rPr>
              <w:t xml:space="preserve">Administración, RR.HH., finanzas y servicios de tecnologías de la información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C4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12A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C23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541</w:t>
            </w:r>
          </w:p>
        </w:tc>
      </w:tr>
      <w:tr w:rsidR="00DA380C" w:rsidRPr="009C5D6A" w14:paraId="74D8344A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EFC4B9" w14:textId="26738A6D" w:rsidR="00DA380C" w:rsidRPr="009C5D6A" w:rsidRDefault="00DA380C" w:rsidP="00DA380C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n-GB"/>
              </w:rPr>
            </w:pPr>
            <w:r w:rsidRPr="00AB2F10">
              <w:rPr>
                <w:rFonts w:eastAsia="Times New Roman" w:cs="Arial"/>
                <w:b/>
                <w:bCs/>
                <w:sz w:val="20"/>
                <w:szCs w:val="20"/>
                <w:lang w:val="es-ES" w:eastAsia="en-GB"/>
              </w:rPr>
              <w:t>J. Varios – Fondo de reserva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65AC32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2FD6FC3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B52EFB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229</w:t>
            </w:r>
          </w:p>
        </w:tc>
      </w:tr>
      <w:tr w:rsidR="00DA380C" w:rsidRPr="009C5D6A" w14:paraId="52DC4C2C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FB50" w14:textId="38FE18E4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eastAsia="Times New Roman" w:cs="Arial"/>
                <w:sz w:val="20"/>
                <w:szCs w:val="20"/>
                <w:lang w:eastAsia="en-GB"/>
              </w:rPr>
              <w:t>Provisiones para personal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C6D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C8F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76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20</w:t>
            </w:r>
          </w:p>
        </w:tc>
      </w:tr>
      <w:tr w:rsidR="00DA380C" w:rsidRPr="009C5D6A" w14:paraId="0D5F2F71" w14:textId="77777777" w:rsidTr="00EA0DF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7D4" w14:textId="35CC5521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eastAsia="Times New Roman" w:cs="Arial"/>
                <w:sz w:val="20"/>
                <w:szCs w:val="20"/>
                <w:lang w:eastAsia="en-GB"/>
              </w:rPr>
              <w:t>Provisiones para contribuciones pendientes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3A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749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881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150</w:t>
            </w:r>
          </w:p>
        </w:tc>
      </w:tr>
      <w:tr w:rsidR="00DA380C" w:rsidRPr="009C5D6A" w14:paraId="335276AC" w14:textId="77777777" w:rsidTr="00EA0DFF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CD5" w14:textId="16C18087" w:rsidR="00DA380C" w:rsidRPr="009C5D6A" w:rsidRDefault="00DA380C" w:rsidP="00DA380C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n-GB"/>
              </w:rPr>
            </w:pPr>
            <w:r w:rsidRPr="003E745E">
              <w:rPr>
                <w:rFonts w:eastAsia="Times New Roman" w:cs="Arial"/>
                <w:sz w:val="20"/>
                <w:szCs w:val="20"/>
                <w:lang w:eastAsia="en-GB"/>
              </w:rPr>
              <w:t>Servicios jurídicos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C57F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2DE" w14:textId="77777777" w:rsidR="00DA380C" w:rsidRPr="009C5D6A" w:rsidRDefault="00DA380C" w:rsidP="00DA380C">
            <w:pPr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AE4C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59</w:t>
            </w:r>
          </w:p>
        </w:tc>
      </w:tr>
      <w:tr w:rsidR="00DA380C" w:rsidRPr="009C5D6A" w14:paraId="41D08772" w14:textId="77777777" w:rsidTr="00EA0DFF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9F6EE2" w14:textId="15A195EB" w:rsidR="00DA380C" w:rsidRPr="009C5D6A" w:rsidRDefault="00DA380C" w:rsidP="00DA380C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val="es-ES" w:eastAsia="en-GB"/>
              </w:rPr>
            </w:pPr>
            <w:r w:rsidRPr="003E745E">
              <w:rPr>
                <w:rFonts w:asciiTheme="minorHAnsi" w:eastAsia="Times New Roman" w:hAnsiTheme="minorHAnsi" w:cs="Arial"/>
                <w:b/>
                <w:bCs/>
                <w:color w:val="1F497D"/>
                <w:sz w:val="20"/>
                <w:szCs w:val="20"/>
                <w:lang w:eastAsia="en-GB"/>
              </w:rPr>
              <w:t>TOTAL DE GASTOS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6DE277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5,081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95CD90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196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FC0174" w14:textId="77777777" w:rsidR="00DA380C" w:rsidRPr="009C5D6A" w:rsidRDefault="00DA380C" w:rsidP="00DA38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</w:pPr>
            <w:r w:rsidRPr="009C5D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n-GB"/>
              </w:rPr>
              <w:t>5,277</w:t>
            </w:r>
          </w:p>
        </w:tc>
      </w:tr>
    </w:tbl>
    <w:p w14:paraId="2F9A17CC" w14:textId="43050871" w:rsidR="00B46878" w:rsidRDefault="000E7D2F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es-ES"/>
        </w:rPr>
      </w:pPr>
      <w:r w:rsidRPr="00431082">
        <w:rPr>
          <w:rFonts w:cs="Arial"/>
          <w:sz w:val="20"/>
          <w:szCs w:val="20"/>
          <w:lang w:val="es-ES"/>
        </w:rPr>
        <w:t>*</w:t>
      </w:r>
      <w:r w:rsidR="009C5D6A" w:rsidRPr="00431082">
        <w:rPr>
          <w:rFonts w:cs="Arial"/>
          <w:sz w:val="20"/>
          <w:szCs w:val="20"/>
          <w:lang w:val="es-ES"/>
        </w:rPr>
        <w:t xml:space="preserve">El presupuesto asignado a las </w:t>
      </w:r>
      <w:bookmarkStart w:id="1" w:name="_Hlk80197572"/>
      <w:r w:rsidR="009C5D6A" w:rsidRPr="00431082">
        <w:rPr>
          <w:rFonts w:cs="Arial"/>
          <w:sz w:val="20"/>
          <w:szCs w:val="20"/>
          <w:lang w:val="es-ES"/>
        </w:rPr>
        <w:t>I</w:t>
      </w:r>
      <w:r w:rsidR="00775B4D">
        <w:rPr>
          <w:rFonts w:cs="Arial"/>
          <w:sz w:val="20"/>
          <w:szCs w:val="20"/>
          <w:lang w:val="es-ES"/>
        </w:rPr>
        <w:t>niciativas Regionales</w:t>
      </w:r>
      <w:r w:rsidR="009C5D6A" w:rsidRPr="00431082">
        <w:rPr>
          <w:rFonts w:cs="Arial"/>
          <w:sz w:val="20"/>
          <w:szCs w:val="20"/>
          <w:lang w:val="es-ES"/>
        </w:rPr>
        <w:t xml:space="preserve"> </w:t>
      </w:r>
      <w:bookmarkEnd w:id="1"/>
      <w:r w:rsidR="009C5D6A" w:rsidRPr="00431082">
        <w:rPr>
          <w:rFonts w:cs="Arial"/>
          <w:sz w:val="20"/>
          <w:szCs w:val="20"/>
          <w:lang w:val="es-ES"/>
        </w:rPr>
        <w:t xml:space="preserve">se desembolsará después de la aprobación de las </w:t>
      </w:r>
      <w:r w:rsidR="00775B4D" w:rsidRPr="00775B4D">
        <w:rPr>
          <w:rFonts w:cs="Arial"/>
          <w:color w:val="000000" w:themeColor="text1"/>
          <w:sz w:val="20"/>
          <w:szCs w:val="20"/>
          <w:lang w:val="es-ES"/>
        </w:rPr>
        <w:t>Iniciativas Regionales</w:t>
      </w:r>
      <w:r w:rsidR="009C5D6A" w:rsidRPr="00431082">
        <w:rPr>
          <w:rFonts w:cs="Arial"/>
          <w:color w:val="000000" w:themeColor="text1"/>
          <w:sz w:val="20"/>
          <w:szCs w:val="20"/>
          <w:lang w:val="es-ES"/>
        </w:rPr>
        <w:t xml:space="preserve"> </w:t>
      </w:r>
      <w:r w:rsidR="00C33773" w:rsidRPr="00431082">
        <w:rPr>
          <w:rFonts w:cs="Arial"/>
          <w:color w:val="000000" w:themeColor="text1"/>
          <w:sz w:val="20"/>
          <w:szCs w:val="20"/>
          <w:lang w:val="es-ES"/>
        </w:rPr>
        <w:t xml:space="preserve">por </w:t>
      </w:r>
      <w:r w:rsidR="009C5D6A" w:rsidRPr="00431082">
        <w:rPr>
          <w:rFonts w:cs="Arial"/>
          <w:sz w:val="20"/>
          <w:szCs w:val="20"/>
          <w:lang w:val="es-ES"/>
        </w:rPr>
        <w:t xml:space="preserve">la </w:t>
      </w:r>
      <w:r w:rsidRPr="00431082">
        <w:rPr>
          <w:rFonts w:cs="Arial"/>
          <w:sz w:val="20"/>
          <w:szCs w:val="20"/>
          <w:lang w:val="es-ES"/>
        </w:rPr>
        <w:t>COP14</w:t>
      </w:r>
    </w:p>
    <w:p w14:paraId="3321BD54" w14:textId="10963F1C" w:rsidR="002545B8" w:rsidRDefault="002545B8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es-ES"/>
        </w:rPr>
      </w:pPr>
    </w:p>
    <w:p w14:paraId="6EFFCFFD" w14:textId="388A1086" w:rsidR="002545B8" w:rsidRDefault="002545B8">
      <w:pPr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br w:type="page"/>
      </w:r>
    </w:p>
    <w:p w14:paraId="057514E9" w14:textId="77777777" w:rsidR="002545B8" w:rsidRPr="00F73B19" w:rsidRDefault="002545B8" w:rsidP="002545B8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  <w:lang w:val="es-ES_tradnl"/>
        </w:rPr>
      </w:pPr>
      <w:r w:rsidRPr="00F73B19">
        <w:rPr>
          <w:rFonts w:cs="Arial"/>
          <w:b/>
          <w:sz w:val="24"/>
          <w:szCs w:val="24"/>
          <w:lang w:val="es-ES_tradnl"/>
        </w:rPr>
        <w:lastRenderedPageBreak/>
        <w:t xml:space="preserve">Anexo </w:t>
      </w:r>
      <w:r>
        <w:rPr>
          <w:rFonts w:cs="Arial"/>
          <w:b/>
          <w:sz w:val="24"/>
          <w:szCs w:val="24"/>
          <w:lang w:val="es-ES_tradnl"/>
        </w:rPr>
        <w:t>2</w:t>
      </w:r>
    </w:p>
    <w:p w14:paraId="2EA871C9" w14:textId="4884488D" w:rsidR="002545B8" w:rsidRDefault="002545B8" w:rsidP="002545B8">
      <w:pPr>
        <w:ind w:left="0" w:firstLine="0"/>
        <w:rPr>
          <w:rFonts w:asciiTheme="minorHAnsi" w:hAnsiTheme="minorHAnsi"/>
          <w:b/>
          <w:bCs/>
          <w:sz w:val="24"/>
          <w:szCs w:val="24"/>
          <w:lang w:val="es-ES_tradnl" w:eastAsia="en-GB"/>
        </w:rPr>
      </w:pPr>
      <w:r w:rsidRPr="00F73B19">
        <w:rPr>
          <w:rFonts w:asciiTheme="minorHAnsi" w:hAnsiTheme="minorHAnsi"/>
          <w:b/>
          <w:bCs/>
          <w:sz w:val="24"/>
          <w:szCs w:val="24"/>
          <w:lang w:val="es-ES_tradnl" w:eastAsia="en-GB"/>
        </w:rPr>
        <w:t xml:space="preserve">Contribuciones estimadas de las Partes Contratantes al presupuesto básico para </w:t>
      </w:r>
      <w:r>
        <w:rPr>
          <w:rFonts w:asciiTheme="minorHAnsi" w:hAnsiTheme="minorHAnsi"/>
          <w:b/>
          <w:bCs/>
          <w:sz w:val="24"/>
          <w:szCs w:val="24"/>
          <w:lang w:val="es-ES_tradnl" w:eastAsia="en-GB"/>
        </w:rPr>
        <w:t>2022</w:t>
      </w:r>
    </w:p>
    <w:p w14:paraId="15E02AB5" w14:textId="77777777" w:rsidR="002545B8" w:rsidRPr="00F73B19" w:rsidRDefault="002545B8" w:rsidP="002545B8">
      <w:pPr>
        <w:ind w:left="0" w:firstLine="0"/>
        <w:rPr>
          <w:rFonts w:asciiTheme="minorHAnsi" w:hAnsiTheme="minorHAnsi"/>
          <w:b/>
          <w:bCs/>
          <w:sz w:val="24"/>
          <w:szCs w:val="24"/>
          <w:lang w:val="es-ES_tradnl" w:eastAsia="en-GB"/>
        </w:rPr>
      </w:pPr>
    </w:p>
    <w:tbl>
      <w:tblPr>
        <w:tblW w:w="9719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0"/>
        <w:gridCol w:w="1333"/>
        <w:gridCol w:w="1333"/>
        <w:gridCol w:w="1531"/>
        <w:gridCol w:w="1531"/>
        <w:gridCol w:w="1531"/>
      </w:tblGrid>
      <w:tr w:rsidR="002545B8" w:rsidRPr="00270A55" w14:paraId="4C0D2146" w14:textId="77777777" w:rsidTr="000C568B">
        <w:trPr>
          <w:cantSplit/>
          <w:tblHeader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1E9FD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 xml:space="preserve">Parte Contratante </w:t>
            </w: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br/>
              <w:t>(Afiliación a 9 de octubre de 2021)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1A4AB4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 xml:space="preserve">2019-2021 </w:t>
            </w: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br/>
              <w:t>Escala de las Naciones Unidas*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B0B348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 xml:space="preserve">% del total de Ramsar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DAAD79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 xml:space="preserve">Cuota anual estimada para 2022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3DA60A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>Cuota anual</w:t>
            </w: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br/>
              <w:t>2019-2021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17B87A" w14:textId="77777777" w:rsidR="002545B8" w:rsidRPr="00270A55" w:rsidRDefault="002545B8" w:rsidP="000C568B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 w:eastAsia="en-GB"/>
              </w:rPr>
              <w:t>Cambio estimado en la cuota anual respecto del trienio anterior</w:t>
            </w:r>
          </w:p>
        </w:tc>
      </w:tr>
      <w:tr w:rsidR="002545B8" w:rsidRPr="00270A55" w14:paraId="4A0B03F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452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Albania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6D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1A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80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CD5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43A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1023C5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6F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Alemania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EB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6,090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DA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6,251%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CBD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298.000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0C0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298.081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797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-81</w:t>
            </w:r>
          </w:p>
        </w:tc>
      </w:tr>
      <w:tr w:rsidR="002545B8" w:rsidRPr="00270A55" w14:paraId="6E0A536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CB3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Andorra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30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E7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28B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5B2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83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9CDB32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AB6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Angola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1962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CBEB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F85E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340B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7A9C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</w:tr>
      <w:tr w:rsidR="002545B8" w:rsidRPr="00270A55" w14:paraId="69566DC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C9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Antigua y Barbuda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E63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64A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254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F15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C3A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4A854CC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73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Argelia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776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838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0,142%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EAF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6.753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FBC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6.755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3E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13D7EF8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AE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Argentina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615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0,915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7AF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0,939%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EAD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44.773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DC4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44.786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62C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-13</w:t>
            </w:r>
          </w:p>
        </w:tc>
      </w:tr>
      <w:tr w:rsidR="002545B8" w:rsidRPr="00270A55" w14:paraId="488F50E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D8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Armenia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8DF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FF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B7E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BAA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CF2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187059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52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Australia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7F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2,210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689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2,268%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86A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108.141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C9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108.171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E40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2545B8" w:rsidRPr="00270A55" w14:paraId="353C08E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B5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Austria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23B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0,677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561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0,695%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4B3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33.127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24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33.136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7E7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-9</w:t>
            </w:r>
          </w:p>
        </w:tc>
      </w:tr>
      <w:tr w:rsidR="002545B8" w:rsidRPr="00270A55" w14:paraId="7BC3EF1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60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Azerbaiyán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DC4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B50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FB6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351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07D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DEBA0B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DB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Bahamas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AE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CFA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C04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C9A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AFD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8FDB43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AB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Bahrein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A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53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F7A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2.447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032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2.447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C2D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9B7A0A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8E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Bangladesh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3CA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0F9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DDE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CC6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563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07C4FF5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3A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Barbados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CD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6E6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A2E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ACB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F43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C34FF5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47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Belarús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BE3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3D6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22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891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4AE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241386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B5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Bélgica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629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EC8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0,843%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E1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40.174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1CD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40.185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418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2545B8" w:rsidRPr="00270A55" w14:paraId="020CFFE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4A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Belice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B1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A0F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918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BC4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5C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088ED32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9AA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Benin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196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F39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93D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446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822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1E3EA54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56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Bhután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E09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CE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CC0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FD4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C41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4082AEE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89B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Bolivia (Estado Plurinacional de)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874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848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216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B39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071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648F81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68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Bosnia y Herzegovina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485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775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BD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55F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A8C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540296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ED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Botswana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A4F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BCC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97C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686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6A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0A16055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C2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Brasil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622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2,948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DFD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3,026%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1B3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144.254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CEB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144.293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67B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-39</w:t>
            </w:r>
          </w:p>
        </w:tc>
      </w:tr>
      <w:tr w:rsidR="002545B8" w:rsidRPr="00270A55" w14:paraId="0FFDCC9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14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Bulgaria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052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C0D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50C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2.251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87A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2.252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56C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087D5CF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EF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Burkina Faso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82A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EE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AB3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751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9C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001354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961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Burundi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13A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6CD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9A7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10A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20A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23DA74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EBF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Cabo Verde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22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C28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E05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FF4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99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1BE85F5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92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Camboya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56D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53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01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51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C64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A2D384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8CB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Camerún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D30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848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637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B5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11B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A26C7F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E7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Canadá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14C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2,734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314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2,806%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2FB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133.782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08F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133.818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41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-36</w:t>
            </w:r>
          </w:p>
        </w:tc>
      </w:tr>
      <w:tr w:rsidR="002545B8" w:rsidRPr="00270A55" w14:paraId="00A87C7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657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Chad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31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7A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CB7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E2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0AE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306169E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89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Chile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D61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1B7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0,418%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CD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19.916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A07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19.921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58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5C035DC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16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China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3B0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5C8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12,322%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75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587.437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3C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587.595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39C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-158</w:t>
            </w:r>
          </w:p>
        </w:tc>
      </w:tr>
      <w:tr w:rsidR="002545B8" w:rsidRPr="00270A55" w14:paraId="426F3DA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CD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Chipre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4D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98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6DD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16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5D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325107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5E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Colombia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00E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C28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0,296%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B7F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14.093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38A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14.096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47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51A97EF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06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Comoras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E0B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CF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A88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27A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0F7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281B014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7C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Congo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1B0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EC8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E31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C05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EBC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9C4D57" w14:paraId="288BD080" w14:textId="77777777" w:rsidTr="000C568B">
        <w:trPr>
          <w:trHeight w:val="276"/>
        </w:trPr>
        <w:tc>
          <w:tcPr>
            <w:tcW w:w="971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0D33DF" w14:textId="77777777" w:rsidR="002545B8" w:rsidRPr="00270A55" w:rsidRDefault="002545B8" w:rsidP="000C568B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* Con arreglo a la Resolución A/RES/7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3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/2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71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 de las Naciones Unidas; se aplicará la escala revisada de las Naciones Unidas cuando esta se haya publicado</w:t>
            </w:r>
          </w:p>
        </w:tc>
      </w:tr>
      <w:tr w:rsidR="002545B8" w:rsidRPr="00270A55" w14:paraId="5CBA6DAB" w14:textId="77777777" w:rsidTr="000C568B">
        <w:trPr>
          <w:trHeight w:val="276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3D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lastRenderedPageBreak/>
              <w:t>Costa Rica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324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0,062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F36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0,064%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9AB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3.034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B9C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3.035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6E0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635B85D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E0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Côte d'Ivoire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1EF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089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18C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1E1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96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C3AE5C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29F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Croacia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6C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FD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C6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695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23F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4F0A93B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A8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Cuba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5F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8D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1FA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3.915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A73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3.916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608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252306E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19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Dinamarca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94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0,554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C1E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0,569%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AF7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27.109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B3E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27.116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D9C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2545B8" w:rsidRPr="00270A55" w14:paraId="24D48DC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9F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Djibouti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66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568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469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351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08A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3C432A5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A4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Ecuador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AAA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172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BD8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3.915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6B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3.916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3D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320657D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CA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Egipto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37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59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0,191%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0B2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9.101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522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9.104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4F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5BC4C0D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F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El Salvador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8E2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6C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AD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27E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5AA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707513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0C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Emiratos Árabes Unidos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34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0,616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10C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0,632%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4E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30.143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CB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30.151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C6C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2545B8" w:rsidRPr="00270A55" w14:paraId="054ADA8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9D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Eslovaquia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33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F8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0,157%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408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7.487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326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7.489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E02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17739B8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E5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Eslovenia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0DD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843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17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7A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07E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1113938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67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España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584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2,146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A6D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2,203%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FE7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105.010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E0D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105.038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68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-28</w:t>
            </w:r>
          </w:p>
        </w:tc>
      </w:tr>
      <w:tr w:rsidR="002545B8" w:rsidRPr="00270A55" w14:paraId="7CEB061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E3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Estonia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7A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7DE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ED4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1.908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74A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1.909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B75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0C0CD5A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058F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Eswatini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315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A4A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D1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610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3B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48878E5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EC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Federación de Rusia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B13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2,405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4CC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2,468%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0D9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117.683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5D6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117.715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F7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2545B8" w:rsidRPr="00270A55" w14:paraId="442BE2E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A2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Fiji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0D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106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FAE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78E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319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1956777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74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Filipinas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EA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515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EDB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10.031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87A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10.034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18E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7E32477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54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Finlandia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BB2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079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0,432%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CA5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20.601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B5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20.606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D63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344C7CF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46C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Francia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F4F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4,427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9C2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4,544%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01C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216.625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E9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216.684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0B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-59</w:t>
            </w:r>
          </w:p>
        </w:tc>
      </w:tr>
      <w:tr w:rsidR="002545B8" w:rsidRPr="00270A55" w14:paraId="1D514B6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8D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Gabón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303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F85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D2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828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834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3738FF7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7F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Gambia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33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1C0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F4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BF9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19D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3DCC9AE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DD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Georgia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32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785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C8A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0A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94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5CE15A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68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Ghana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362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08D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694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E45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BB1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3D720C0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9FA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Granada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B5E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7D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44A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8A2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62B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47A0387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62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Grecia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C1E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D84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0,376%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93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17.909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42C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17.914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D9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0E6AD8B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EF8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Guatemala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51B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1D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8A6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7CA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1.762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C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22B276A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17C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Guinea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470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66B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15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2C3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6D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AAB100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E5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Guinea Ecuatorial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70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A25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51C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100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750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45A7685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692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Guinea-Bissau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2AB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08F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DF5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F1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5C8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C8DE7B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3F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Honduras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F1A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58D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F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BC9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DB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43995D0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7B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Hungría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D67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397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0,211%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965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10.080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7B6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10.083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711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62F1553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645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India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FB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88D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0,856%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B2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40.810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09B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40.821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C5F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2545B8" w:rsidRPr="00270A55" w14:paraId="53416EB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AA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Indonesia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52F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0,543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C4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0,557%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CBA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26.570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FC3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26.578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CFE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2545B8" w:rsidRPr="00270A55" w14:paraId="5681E78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3F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Irán (República Islámica del)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814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3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BB0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19.475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F2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19.480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401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737884C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E3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Iraq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C2D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EFB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0,132%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68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6.312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0E3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6.314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556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40CB0EC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B6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Irlanda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20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D3A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0,381%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55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18.154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4D8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18.159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420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0F762D4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15F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Islandia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DDE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EEC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4E9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1.370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FD8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1.370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010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C3E4FA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B85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Islas Marshall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64A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2BD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E5F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2A0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FFA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FC2C45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74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Israel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3E3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0,490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844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0,503%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1F1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23.977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740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23.984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8B8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2545B8" w:rsidRPr="00270A55" w14:paraId="4A39A7E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7B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Italia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04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3,307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E1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3,394%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AD4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161.820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8D2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161.864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D2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-44</w:t>
            </w:r>
          </w:p>
        </w:tc>
      </w:tr>
      <w:tr w:rsidR="002545B8" w:rsidRPr="00270A55" w14:paraId="1F177FE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BF2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Jamaica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0A0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588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1BE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AB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43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9C4D57" w14:paraId="206C571F" w14:textId="77777777" w:rsidTr="000C568B">
        <w:trPr>
          <w:trHeight w:val="276"/>
        </w:trPr>
        <w:tc>
          <w:tcPr>
            <w:tcW w:w="971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32E84" w14:textId="77777777" w:rsidR="002545B8" w:rsidRPr="00270A55" w:rsidRDefault="002545B8" w:rsidP="000C568B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* Con arreglo a la Resolución A/RES/7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3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/2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71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 de las Naciones Unidas; se aplicará la escala revisada de las Naciones Unidas cuando esta se haya publicado</w:t>
            </w:r>
          </w:p>
        </w:tc>
      </w:tr>
      <w:tr w:rsidR="002545B8" w:rsidRPr="00270A55" w14:paraId="36DDF1C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99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lastRenderedPageBreak/>
              <w:t>Japón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A13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8,564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B8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8,790%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161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419.060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F5C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419.173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C9A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-113</w:t>
            </w:r>
          </w:p>
        </w:tc>
      </w:tr>
      <w:tr w:rsidR="002545B8" w:rsidRPr="00270A55" w14:paraId="4DB92F2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2EE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Jordania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8A8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DD1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8B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F5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8B1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791A73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A25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Kazajstán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CB4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32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0,183%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96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8.710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7AF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8.712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9A6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4B39A7C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43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Kenya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75B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E33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DC7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1.174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D9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1.175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407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4326D02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86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Kirguistán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28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3AE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3EC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70C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27E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A70BCB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FC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Kiribati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3AE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D44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0EB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7BE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6AC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1CEA63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9E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Kuwait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058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E42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0,259%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B4A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12.331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19C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12.334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1AC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755D905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52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Lesotho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79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52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5C8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709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B23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F1A001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3C5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Letonia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C51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0E9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9D6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BEA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BE6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2C7B42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77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Líbano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AFC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762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D43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38B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80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5AFEB8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01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Liberia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93B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DC0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C3E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DE2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DC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0432865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74A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Libia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357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863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310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1.468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41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1.468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D24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2B88DB8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6A5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Liechtenstein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3DA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62D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1DD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70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F1B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A66FCD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E2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Lituania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1DD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5DA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B16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3.474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9B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3.475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84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5B70CE9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3D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Luxemburgo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11D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427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0,069%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8F6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3.278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AF5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3.279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BB1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0AC4BC6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A3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Macedonia del Norte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959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7DC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BAD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C6D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D0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72E807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A0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Madagascar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D87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D7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A4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111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35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395DCA1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4E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Malasia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66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4FF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0,350%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59B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16.686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E16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16.691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11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04A4294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21B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Malawi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FE6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0F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CB5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C6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5D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83341A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281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Malí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91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27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858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4BE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13B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7A9E55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78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Malta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292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59C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C94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A14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FD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0ADFC3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BB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Marruecos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38E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C1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693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2.691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283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2.692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BF9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65AF54F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8C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Mauricio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C58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A77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FE0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550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9D4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394C3E8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C4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Mauritania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9E8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B65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A14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4A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27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2EF96BD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66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México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C2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1,292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715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1,326%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B8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63.221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9D6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63.238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262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-17</w:t>
            </w:r>
          </w:p>
        </w:tc>
      </w:tr>
      <w:tr w:rsidR="002545B8" w:rsidRPr="00270A55" w14:paraId="1149790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B1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Mónaco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DF7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803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A43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95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6F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27529A2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AE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Mongolia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E54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25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024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AF3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9F0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738F310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608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Montenegro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ED0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815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3DC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AEB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D37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114884C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21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Mozambique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150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35C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391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BFF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239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7808ECA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F5E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Myanmar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2FD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99F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1F9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21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61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2D974A4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CE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Namibia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B5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FD2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50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6D2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0F7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9BB429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8C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Nepal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B64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32D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228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06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0EF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97C5A6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B2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Nicaragua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92C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0E8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C97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19E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587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0146B8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38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Níger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DDD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0F8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4FE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7B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1AF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1E25D50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B9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Nigeria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7E1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39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0,257%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7B6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12.233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5E9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12.236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36E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31E4F69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4E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Noruega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7AA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0,754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893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0,774%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14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36.895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C27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36.905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42E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2545B8" w:rsidRPr="00270A55" w14:paraId="2A32E2B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5C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Nueva Zelandia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13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F70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0,299%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297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14.239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136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14.243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C64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2545B8" w:rsidRPr="00270A55" w14:paraId="4DC473C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3C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Omán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F2D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837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0,118%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14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5.627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E7B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5.629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715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2B8D32F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46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Países Bajos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9A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1,356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314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1,392%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3F9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66.353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6D8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66.371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F22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2545B8" w:rsidRPr="00270A55" w14:paraId="4D1FFB4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FB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Pakistán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99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9B5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0,118%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FF0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5.627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701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5.629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6BC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45FA28D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15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Palau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B67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FDF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4EF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EF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160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00BB6CE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8F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Panamá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E3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15F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741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2.202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30E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2.203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333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9C4D57" w14:paraId="22E3CE94" w14:textId="77777777" w:rsidTr="000C568B">
        <w:trPr>
          <w:trHeight w:val="276"/>
        </w:trPr>
        <w:tc>
          <w:tcPr>
            <w:tcW w:w="971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4E4618" w14:textId="77777777" w:rsidR="002545B8" w:rsidRPr="00270A55" w:rsidRDefault="002545B8" w:rsidP="000C568B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* Con arreglo a la Resolución A/RES/7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3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/2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71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 de las Naciones Unidas; se aplicará la escala revisada de las Naciones Unidas cuando esta se haya publicado</w:t>
            </w:r>
          </w:p>
        </w:tc>
      </w:tr>
      <w:tr w:rsidR="002545B8" w:rsidRPr="00270A55" w14:paraId="6752FC6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A2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lastRenderedPageBreak/>
              <w:t>Papua Nueva Guinea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66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3F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5B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B6E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543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BFC244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24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Paraguay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1BD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2C3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2D8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24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074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40F71F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AC8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Perú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0B3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76C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0,156%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5C3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7.438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FB4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7.440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8C9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5042D7C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0D4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Polonia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98D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06E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0,823%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EE5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39.244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11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39.255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57F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2545B8" w:rsidRPr="00270A55" w14:paraId="0BF8EA7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CB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Portugal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76C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E0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0,359%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36D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17.126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514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17.131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722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2545B8" w:rsidRPr="00270A55" w14:paraId="388A996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3FE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Reino Unido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9AB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4,567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419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4,687%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E36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223.476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9B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223.536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3E5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-60</w:t>
            </w:r>
          </w:p>
        </w:tc>
      </w:tr>
      <w:tr w:rsidR="002545B8" w:rsidRPr="00270A55" w14:paraId="753DCED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95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Árabe Siria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3B6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DC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AEE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9B2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936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4EC42B2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AB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Centroafricana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53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24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6B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9B1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285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AD1B9F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B2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Checa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919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1BB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0,319%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BE0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15.218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F31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15.222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F1A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2545B8" w:rsidRPr="00270A55" w14:paraId="2A14592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BC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de Corea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70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2,267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09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2,327%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1F7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110.930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3AE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110.960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969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2545B8" w:rsidRPr="00270A55" w14:paraId="2E23B9E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FE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de Moldova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93E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5C0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B1E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466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F87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2AD4BA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C1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Democrática del Congo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BBA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901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AD4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847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CD9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14BDCE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D9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Democrática Popular Lao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C92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460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DC6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F45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EC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30B4A3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AF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Dominicana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9E8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2E8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E58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2.593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63B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2.594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F36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0B731DE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5E9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Popular Democrática de Corea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CAE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AF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08A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7C7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582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788B59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85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República Unida de Tanzanía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674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C75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602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211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716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402B3B3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08E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Rumania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2B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0,198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C83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715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9.689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5A9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9.691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19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2545B8" w:rsidRPr="00270A55" w14:paraId="158E4F5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280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Rwanda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BB8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32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9D3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A45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60C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437598F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EE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Samoa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383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73D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1C3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B35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9A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3D9DCE0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97C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Santa Lucía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2BB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12C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1E1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F7A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C51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6AA12FCB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CD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Santo Tomé y Príncipe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30D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CFC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662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9DE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D32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72F694D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A8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Senegal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699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391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126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155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847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E08FD02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9E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Serbia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AD4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593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CBE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1.370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41D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1.370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EF0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40177C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B6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Seychelles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93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CCC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180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81F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BE8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2621B4A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B50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Sierra Leona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066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288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FEA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930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5FA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34BA8DB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31B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Sri Lanka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3B2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83F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2A7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2.153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F6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2.154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87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2A1F2EC1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06F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Sudáfrica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2C4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A17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0,279%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8EF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13.310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AF6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13.313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0C4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2545B8" w:rsidRPr="00270A55" w14:paraId="2C305E5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A9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Sudán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EAD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F21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DD2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DB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988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55E49D0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0DA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Sudán del Sur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24D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4B4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062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FF6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0E4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E0CD55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57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Suecia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29C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0,906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5BF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0,930%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D8E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44.333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509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44.345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B62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-12</w:t>
            </w:r>
          </w:p>
        </w:tc>
      </w:tr>
      <w:tr w:rsidR="002545B8" w:rsidRPr="00270A55" w14:paraId="488DEB6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C53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Suiza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B6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1,151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F9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1,181%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34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56.322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474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56.337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6AF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-15</w:t>
            </w:r>
          </w:p>
        </w:tc>
      </w:tr>
      <w:tr w:rsidR="002545B8" w:rsidRPr="00270A55" w14:paraId="394984E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465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Suriname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387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C3D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E97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569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9DB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1C35F52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1F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Tailandia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1E1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D92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0,315%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937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15.022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7A0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15.026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15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2545B8" w:rsidRPr="00270A55" w14:paraId="40EC4DAA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A87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Tayikistán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D7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40D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1E0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A24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4C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369DB1D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C6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Togo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773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4D9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96C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AEE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C6D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B098A6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59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Trinidad y Tabago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245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0CB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0,041%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D76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1.957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D3C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1.958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493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0E273C2D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BC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Túnez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94C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942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0,026%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F1F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1.223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D66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1.224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9A9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1E324DF4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43C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Turkmenistán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A9E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EC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2EC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1.615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FDB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1.615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B16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DEADBF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507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Turquía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18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1,371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673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1,407%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B18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67.087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538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67.105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BF6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2545B8" w:rsidRPr="00270A55" w14:paraId="484896E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94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Ucrania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7E8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9F1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0,059%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08F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2.789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2D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2.790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103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9C4D57" w14:paraId="40D7E0D7" w14:textId="77777777" w:rsidTr="000C568B">
        <w:trPr>
          <w:trHeight w:val="276"/>
        </w:trPr>
        <w:tc>
          <w:tcPr>
            <w:tcW w:w="971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D1C0A3" w14:textId="77777777" w:rsidR="002545B8" w:rsidRPr="00270A55" w:rsidRDefault="002545B8" w:rsidP="000C568B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* Con arreglo a la Resolución A/RES/7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3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/2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71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 de las Naciones Unidas; se aplicará la escala revisada de las Naciones Unidas cuando esta se haya publicado</w:t>
            </w:r>
          </w:p>
        </w:tc>
      </w:tr>
      <w:tr w:rsidR="002545B8" w:rsidRPr="00270A55" w14:paraId="119B94C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77B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lastRenderedPageBreak/>
              <w:t>Uganda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78A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877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bookmarkStart w:id="2" w:name="_GoBack"/>
            <w:bookmarkEnd w:id="2"/>
            <w:r w:rsidRPr="00270A55">
              <w:rPr>
                <w:rFonts w:cstheme="minorHAnsi"/>
                <w:sz w:val="20"/>
                <w:szCs w:val="20"/>
              </w:rPr>
              <w:t>0,008%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A4F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AA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49D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981A67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757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Uruguay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BC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287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0,089%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829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4.257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6C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4.258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A16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7D13D15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A7B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Uzbekistán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8F0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D4E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0,033%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0421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1.566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27D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1.566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A31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2AAEEA3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D9D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Vanuatu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80B2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0,001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1A49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0,001%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3278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F82B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438B" w14:textId="77777777" w:rsidR="002545B8" w:rsidRPr="00270A55" w:rsidRDefault="002545B8" w:rsidP="000C568B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6B929969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D19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Venezuela (República Bolivariana de)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E6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0,728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AFE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0,747%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B34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35.623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434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35.633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7D4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2545B8" w:rsidRPr="00270A55" w14:paraId="5849A3A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206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Viet Nam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B24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1A6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0,079%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AF5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993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3.769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8915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2545B8" w:rsidRPr="00270A55" w14:paraId="62CC76EE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9EA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Yemen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3AF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0,010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992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0,010%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810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7F1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F45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371923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871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Zambia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AB0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7F5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FFBC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86F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B05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005779FC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04D2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n-GB"/>
              </w:rPr>
              <w:t>Zimbabwe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D90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111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0,005%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B63B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D55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57A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545B8" w:rsidRPr="00270A55" w14:paraId="797C5335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EF5864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Total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71ED5B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75,996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4FA7A9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78,000%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683ED9C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3.779.000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4E34E9E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3.778.998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5EFF0C00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2545B8" w:rsidRPr="00270A55" w14:paraId="010B40B7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815" w14:textId="76DBE571" w:rsidR="002545B8" w:rsidRPr="00270A55" w:rsidRDefault="00C562EE" w:rsidP="000C568B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C562E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Otras contribuciones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B2F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D00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60A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C4C8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E58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</w:tr>
      <w:tr w:rsidR="002545B8" w:rsidRPr="00270A55" w14:paraId="69D82A46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9B3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Estados Unidos de América**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BADD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968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22%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79E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1.065.799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84F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1.065.799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BC7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</w:tr>
      <w:tr w:rsidR="002545B8" w:rsidRPr="00270A55" w14:paraId="594E81D8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A1BD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8F1F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92B3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8902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B037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E219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</w:tr>
      <w:tr w:rsidR="002545B8" w:rsidRPr="00F73B19" w14:paraId="69F13A90" w14:textId="77777777" w:rsidTr="000C568B">
        <w:trPr>
          <w:trHeight w:val="27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3D80E1E" w14:textId="77777777" w:rsidR="002545B8" w:rsidRPr="00270A55" w:rsidRDefault="002545B8" w:rsidP="000C568B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Total general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2A255CA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8C1E566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318A4AAE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4.844.799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215FD0C7" w14:textId="77777777" w:rsidR="002545B8" w:rsidRPr="00270A55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4.844.797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73D9146B" w14:textId="77777777" w:rsidR="002545B8" w:rsidRPr="001D6029" w:rsidRDefault="002545B8" w:rsidP="000C568B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270A5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2545B8" w:rsidRPr="009C4D57" w14:paraId="246DECCD" w14:textId="77777777" w:rsidTr="000C568B">
        <w:trPr>
          <w:trHeight w:val="276"/>
        </w:trPr>
        <w:tc>
          <w:tcPr>
            <w:tcW w:w="971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60A384" w14:textId="77777777" w:rsidR="002545B8" w:rsidRPr="00270A55" w:rsidRDefault="002545B8" w:rsidP="000C568B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* Con arreglo a la Resolución A/RES/7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3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/2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71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 de las Naciones Unidas; se aplicará la escala revisada de las Naciones Unidas cuando esta se haya publicado</w:t>
            </w:r>
          </w:p>
        </w:tc>
      </w:tr>
      <w:tr w:rsidR="002545B8" w:rsidRPr="009C4D57" w14:paraId="43071411" w14:textId="77777777" w:rsidTr="000C568B">
        <w:trPr>
          <w:trHeight w:val="276"/>
        </w:trPr>
        <w:tc>
          <w:tcPr>
            <w:tcW w:w="9719" w:type="dxa"/>
            <w:gridSpan w:val="6"/>
            <w:shd w:val="clear" w:color="auto" w:fill="auto"/>
            <w:noWrap/>
            <w:vAlign w:val="center"/>
          </w:tcPr>
          <w:p w14:paraId="282232E4" w14:textId="14EEC192" w:rsidR="002545B8" w:rsidRPr="00F73B19" w:rsidRDefault="002545B8" w:rsidP="000C568B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</w:pP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** Al igual que anteriormente, </w:t>
            </w:r>
            <w:r w:rsidR="00C562EE" w:rsidRPr="00C562E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 xml:space="preserve">contribución voluntaria del 22 % del total de </w:t>
            </w:r>
            <w:r w:rsidRPr="00F73B1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s-ES_tradnl" w:eastAsia="en-GB"/>
              </w:rPr>
              <w:t>las contribuciones totales de las Partes Contratantes</w:t>
            </w:r>
          </w:p>
        </w:tc>
      </w:tr>
    </w:tbl>
    <w:p w14:paraId="0199B5B5" w14:textId="77777777" w:rsidR="002545B8" w:rsidRDefault="002545B8" w:rsidP="002545B8">
      <w:pPr>
        <w:ind w:left="0" w:firstLine="0"/>
        <w:rPr>
          <w:rFonts w:asciiTheme="minorHAnsi" w:hAnsiTheme="minorHAnsi"/>
          <w:b/>
          <w:bCs/>
          <w:sz w:val="24"/>
          <w:szCs w:val="24"/>
          <w:lang w:val="es-ES_tradnl" w:eastAsia="en-GB"/>
        </w:rPr>
      </w:pPr>
    </w:p>
    <w:p w14:paraId="23A8B17C" w14:textId="77777777" w:rsidR="002545B8" w:rsidRPr="002545B8" w:rsidRDefault="002545B8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es-ES_tradnl"/>
        </w:rPr>
      </w:pPr>
    </w:p>
    <w:sectPr w:rsidR="002545B8" w:rsidRPr="002545B8" w:rsidSect="002545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1601" w14:textId="77777777" w:rsidR="009C4D57" w:rsidRDefault="009C4D57" w:rsidP="00DF2386">
      <w:r>
        <w:separator/>
      </w:r>
    </w:p>
  </w:endnote>
  <w:endnote w:type="continuationSeparator" w:id="0">
    <w:p w14:paraId="785505BC" w14:textId="77777777" w:rsidR="009C4D57" w:rsidRDefault="009C4D57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D51E" w14:textId="33E20F4C" w:rsidR="009C4D57" w:rsidRPr="008E152C" w:rsidRDefault="009C4D57" w:rsidP="002137E0">
    <w:pPr>
      <w:pStyle w:val="Header"/>
      <w:rPr>
        <w:noProof/>
        <w:sz w:val="20"/>
        <w:szCs w:val="20"/>
      </w:rPr>
    </w:pPr>
    <w:r w:rsidRPr="00EA0DFF">
      <w:rPr>
        <w:sz w:val="20"/>
        <w:szCs w:val="20"/>
      </w:rPr>
      <w:t>Resolución ExCOP3.2</w:t>
    </w:r>
    <w:r w:rsidRPr="008E152C">
      <w:rPr>
        <w:sz w:val="20"/>
        <w:szCs w:val="20"/>
      </w:rPr>
      <w:tab/>
    </w:r>
    <w:sdt>
      <w:sdtPr>
        <w:rPr>
          <w:sz w:val="20"/>
          <w:szCs w:val="20"/>
        </w:r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E152C">
          <w:rPr>
            <w:sz w:val="20"/>
            <w:szCs w:val="20"/>
          </w:rPr>
          <w:tab/>
        </w:r>
        <w:r w:rsidRPr="008E152C">
          <w:rPr>
            <w:sz w:val="20"/>
            <w:szCs w:val="20"/>
          </w:rPr>
          <w:fldChar w:fldCharType="begin"/>
        </w:r>
        <w:r w:rsidRPr="008E152C">
          <w:rPr>
            <w:sz w:val="20"/>
            <w:szCs w:val="20"/>
          </w:rPr>
          <w:instrText xml:space="preserve"> PAGE   \* MERGEFORMAT </w:instrText>
        </w:r>
        <w:r w:rsidRPr="008E152C">
          <w:rPr>
            <w:sz w:val="20"/>
            <w:szCs w:val="20"/>
          </w:rPr>
          <w:fldChar w:fldCharType="separate"/>
        </w:r>
        <w:r w:rsidR="00556FE4">
          <w:rPr>
            <w:noProof/>
            <w:sz w:val="20"/>
            <w:szCs w:val="20"/>
          </w:rPr>
          <w:t>8</w:t>
        </w:r>
        <w:r w:rsidRPr="008E152C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C3A3" w14:textId="77777777" w:rsidR="009C4D57" w:rsidRDefault="009C4D57" w:rsidP="00DF2386">
      <w:r>
        <w:separator/>
      </w:r>
    </w:p>
  </w:footnote>
  <w:footnote w:type="continuationSeparator" w:id="0">
    <w:p w14:paraId="173E9590" w14:textId="77777777" w:rsidR="009C4D57" w:rsidRDefault="009C4D57" w:rsidP="00DF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FA40" w14:textId="77777777" w:rsidR="009C4D57" w:rsidRDefault="009C4D57">
    <w:pPr>
      <w:pStyle w:val="Header"/>
    </w:pPr>
  </w:p>
  <w:p w14:paraId="09D46D47" w14:textId="77777777" w:rsidR="009C4D57" w:rsidRDefault="009C4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32AA6"/>
    <w:multiLevelType w:val="hybridMultilevel"/>
    <w:tmpl w:val="393C444C"/>
    <w:lvl w:ilvl="0" w:tplc="D7324902">
      <w:start w:val="1"/>
      <w:numFmt w:val="lowerLetter"/>
      <w:lvlText w:val="%1."/>
      <w:lvlJc w:val="left"/>
      <w:pPr>
        <w:ind w:left="785" w:hanging="360"/>
      </w:pPr>
      <w:rPr>
        <w:rFonts w:eastAsia="Batang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3CAF"/>
    <w:multiLevelType w:val="hybridMultilevel"/>
    <w:tmpl w:val="668470EA"/>
    <w:lvl w:ilvl="0" w:tplc="BE2EA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4316D"/>
    <w:multiLevelType w:val="hybridMultilevel"/>
    <w:tmpl w:val="03B2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18"/>
  </w:num>
  <w:num w:numId="17">
    <w:abstractNumId w:val="25"/>
  </w:num>
  <w:num w:numId="18">
    <w:abstractNumId w:val="35"/>
  </w:num>
  <w:num w:numId="19">
    <w:abstractNumId w:val="33"/>
  </w:num>
  <w:num w:numId="20">
    <w:abstractNumId w:val="27"/>
  </w:num>
  <w:num w:numId="21">
    <w:abstractNumId w:val="29"/>
  </w:num>
  <w:num w:numId="22">
    <w:abstractNumId w:val="20"/>
  </w:num>
  <w:num w:numId="23">
    <w:abstractNumId w:val="26"/>
  </w:num>
  <w:num w:numId="24">
    <w:abstractNumId w:val="23"/>
  </w:num>
  <w:num w:numId="25">
    <w:abstractNumId w:val="32"/>
  </w:num>
  <w:num w:numId="26">
    <w:abstractNumId w:val="10"/>
  </w:num>
  <w:num w:numId="27">
    <w:abstractNumId w:val="0"/>
  </w:num>
  <w:num w:numId="28">
    <w:abstractNumId w:val="13"/>
  </w:num>
  <w:num w:numId="29">
    <w:abstractNumId w:val="3"/>
  </w:num>
  <w:num w:numId="30">
    <w:abstractNumId w:val="16"/>
  </w:num>
  <w:num w:numId="31">
    <w:abstractNumId w:val="15"/>
  </w:num>
  <w:num w:numId="32">
    <w:abstractNumId w:val="3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12"/>
  </w:num>
  <w:num w:numId="38">
    <w:abstractNumId w:val="19"/>
  </w:num>
  <w:num w:numId="39">
    <w:abstractNumId w:val="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5764"/>
    <w:rsid w:val="00006F21"/>
    <w:rsid w:val="0001102A"/>
    <w:rsid w:val="0001167E"/>
    <w:rsid w:val="00012800"/>
    <w:rsid w:val="000133D1"/>
    <w:rsid w:val="00014168"/>
    <w:rsid w:val="0001564A"/>
    <w:rsid w:val="00017A16"/>
    <w:rsid w:val="000228C4"/>
    <w:rsid w:val="000260B4"/>
    <w:rsid w:val="00026E09"/>
    <w:rsid w:val="000376CE"/>
    <w:rsid w:val="00037745"/>
    <w:rsid w:val="00037CE0"/>
    <w:rsid w:val="0004295A"/>
    <w:rsid w:val="000467E7"/>
    <w:rsid w:val="0005215D"/>
    <w:rsid w:val="00053929"/>
    <w:rsid w:val="00071DB1"/>
    <w:rsid w:val="00074DE8"/>
    <w:rsid w:val="00080177"/>
    <w:rsid w:val="0008391B"/>
    <w:rsid w:val="000930D3"/>
    <w:rsid w:val="000937A7"/>
    <w:rsid w:val="0009413F"/>
    <w:rsid w:val="00096371"/>
    <w:rsid w:val="000A192A"/>
    <w:rsid w:val="000A3E3E"/>
    <w:rsid w:val="000A3F5A"/>
    <w:rsid w:val="000A5278"/>
    <w:rsid w:val="000A7AEC"/>
    <w:rsid w:val="000B02D3"/>
    <w:rsid w:val="000C2489"/>
    <w:rsid w:val="000C4D0B"/>
    <w:rsid w:val="000C568B"/>
    <w:rsid w:val="000C71A7"/>
    <w:rsid w:val="000D039A"/>
    <w:rsid w:val="000D5C76"/>
    <w:rsid w:val="000E2FA0"/>
    <w:rsid w:val="000E47E9"/>
    <w:rsid w:val="000E603E"/>
    <w:rsid w:val="000E7D2F"/>
    <w:rsid w:val="000F0897"/>
    <w:rsid w:val="00102D6A"/>
    <w:rsid w:val="0010393E"/>
    <w:rsid w:val="00104F7B"/>
    <w:rsid w:val="00106197"/>
    <w:rsid w:val="00112F3F"/>
    <w:rsid w:val="00116FF7"/>
    <w:rsid w:val="0011732C"/>
    <w:rsid w:val="00120740"/>
    <w:rsid w:val="0012096C"/>
    <w:rsid w:val="00127828"/>
    <w:rsid w:val="00145BDD"/>
    <w:rsid w:val="00150BB8"/>
    <w:rsid w:val="00161BDA"/>
    <w:rsid w:val="00167E31"/>
    <w:rsid w:val="0017123E"/>
    <w:rsid w:val="00171618"/>
    <w:rsid w:val="00173C71"/>
    <w:rsid w:val="001819B1"/>
    <w:rsid w:val="0018239F"/>
    <w:rsid w:val="0018623B"/>
    <w:rsid w:val="001936D6"/>
    <w:rsid w:val="00194B1B"/>
    <w:rsid w:val="00197946"/>
    <w:rsid w:val="001A2D10"/>
    <w:rsid w:val="001A386F"/>
    <w:rsid w:val="001A770E"/>
    <w:rsid w:val="001B1561"/>
    <w:rsid w:val="001B1F55"/>
    <w:rsid w:val="001B773B"/>
    <w:rsid w:val="001B79AE"/>
    <w:rsid w:val="001C22F2"/>
    <w:rsid w:val="001C5E41"/>
    <w:rsid w:val="001C77BC"/>
    <w:rsid w:val="001D0FDF"/>
    <w:rsid w:val="001D48BB"/>
    <w:rsid w:val="001D5FC6"/>
    <w:rsid w:val="001E00E3"/>
    <w:rsid w:val="001E12A2"/>
    <w:rsid w:val="001E22DA"/>
    <w:rsid w:val="001E5FD0"/>
    <w:rsid w:val="001F0F83"/>
    <w:rsid w:val="001F2349"/>
    <w:rsid w:val="001F5C62"/>
    <w:rsid w:val="002005D2"/>
    <w:rsid w:val="0020298B"/>
    <w:rsid w:val="002035D8"/>
    <w:rsid w:val="00206111"/>
    <w:rsid w:val="00206A76"/>
    <w:rsid w:val="00206AAB"/>
    <w:rsid w:val="00212850"/>
    <w:rsid w:val="0021303C"/>
    <w:rsid w:val="002137E0"/>
    <w:rsid w:val="00214C88"/>
    <w:rsid w:val="00223428"/>
    <w:rsid w:val="002249C2"/>
    <w:rsid w:val="0022696D"/>
    <w:rsid w:val="00227712"/>
    <w:rsid w:val="00227C59"/>
    <w:rsid w:val="00232904"/>
    <w:rsid w:val="00233EC7"/>
    <w:rsid w:val="0023550A"/>
    <w:rsid w:val="00236D86"/>
    <w:rsid w:val="00240FEA"/>
    <w:rsid w:val="00241822"/>
    <w:rsid w:val="002517BC"/>
    <w:rsid w:val="002545B8"/>
    <w:rsid w:val="00267D03"/>
    <w:rsid w:val="00271A5C"/>
    <w:rsid w:val="002741AC"/>
    <w:rsid w:val="00275F13"/>
    <w:rsid w:val="00277A87"/>
    <w:rsid w:val="002814DC"/>
    <w:rsid w:val="002819C0"/>
    <w:rsid w:val="00281B7E"/>
    <w:rsid w:val="00281C69"/>
    <w:rsid w:val="002822F8"/>
    <w:rsid w:val="002845BD"/>
    <w:rsid w:val="0029247A"/>
    <w:rsid w:val="00295556"/>
    <w:rsid w:val="002957DC"/>
    <w:rsid w:val="00295BB5"/>
    <w:rsid w:val="002A34CC"/>
    <w:rsid w:val="002A5A4D"/>
    <w:rsid w:val="002B0CEF"/>
    <w:rsid w:val="002B4262"/>
    <w:rsid w:val="002B7088"/>
    <w:rsid w:val="002C3209"/>
    <w:rsid w:val="002D28C5"/>
    <w:rsid w:val="002D5A4D"/>
    <w:rsid w:val="002E22AF"/>
    <w:rsid w:val="002E660E"/>
    <w:rsid w:val="002E69E1"/>
    <w:rsid w:val="002F484A"/>
    <w:rsid w:val="003002AC"/>
    <w:rsid w:val="00302B21"/>
    <w:rsid w:val="003107B5"/>
    <w:rsid w:val="00311DFF"/>
    <w:rsid w:val="00322C05"/>
    <w:rsid w:val="00324398"/>
    <w:rsid w:val="003255AB"/>
    <w:rsid w:val="00331485"/>
    <w:rsid w:val="00335704"/>
    <w:rsid w:val="003441D3"/>
    <w:rsid w:val="0034689E"/>
    <w:rsid w:val="00350144"/>
    <w:rsid w:val="00352486"/>
    <w:rsid w:val="0035377D"/>
    <w:rsid w:val="00355F75"/>
    <w:rsid w:val="00357919"/>
    <w:rsid w:val="003616BC"/>
    <w:rsid w:val="00363957"/>
    <w:rsid w:val="00366633"/>
    <w:rsid w:val="00375CB6"/>
    <w:rsid w:val="00377ACF"/>
    <w:rsid w:val="00382F90"/>
    <w:rsid w:val="00384FC3"/>
    <w:rsid w:val="003932B5"/>
    <w:rsid w:val="0039423C"/>
    <w:rsid w:val="00394254"/>
    <w:rsid w:val="003943E3"/>
    <w:rsid w:val="003969AD"/>
    <w:rsid w:val="003A3804"/>
    <w:rsid w:val="003A52BE"/>
    <w:rsid w:val="003A5809"/>
    <w:rsid w:val="003A5866"/>
    <w:rsid w:val="003A5E1F"/>
    <w:rsid w:val="003A6E9F"/>
    <w:rsid w:val="003B7342"/>
    <w:rsid w:val="003C1EA0"/>
    <w:rsid w:val="003D01D9"/>
    <w:rsid w:val="003D4537"/>
    <w:rsid w:val="003D4CD6"/>
    <w:rsid w:val="003D4E02"/>
    <w:rsid w:val="003D656C"/>
    <w:rsid w:val="003D79BD"/>
    <w:rsid w:val="003F0BB3"/>
    <w:rsid w:val="003F7105"/>
    <w:rsid w:val="00400640"/>
    <w:rsid w:val="004029A2"/>
    <w:rsid w:val="00411C7C"/>
    <w:rsid w:val="0041311F"/>
    <w:rsid w:val="004149AD"/>
    <w:rsid w:val="00415BC1"/>
    <w:rsid w:val="00420E85"/>
    <w:rsid w:val="004228C7"/>
    <w:rsid w:val="00422BD2"/>
    <w:rsid w:val="00426DD9"/>
    <w:rsid w:val="0042798B"/>
    <w:rsid w:val="00431082"/>
    <w:rsid w:val="004333C5"/>
    <w:rsid w:val="00433DC7"/>
    <w:rsid w:val="00434913"/>
    <w:rsid w:val="00436E55"/>
    <w:rsid w:val="004474F8"/>
    <w:rsid w:val="00454034"/>
    <w:rsid w:val="0046771B"/>
    <w:rsid w:val="00467A8D"/>
    <w:rsid w:val="004717A4"/>
    <w:rsid w:val="00473F28"/>
    <w:rsid w:val="00477550"/>
    <w:rsid w:val="004844A8"/>
    <w:rsid w:val="004853F2"/>
    <w:rsid w:val="0048682A"/>
    <w:rsid w:val="004913E1"/>
    <w:rsid w:val="00491DF5"/>
    <w:rsid w:val="00495C5D"/>
    <w:rsid w:val="004962BC"/>
    <w:rsid w:val="00496803"/>
    <w:rsid w:val="0049707C"/>
    <w:rsid w:val="004A01E5"/>
    <w:rsid w:val="004A172D"/>
    <w:rsid w:val="004A6343"/>
    <w:rsid w:val="004A7294"/>
    <w:rsid w:val="004B08CD"/>
    <w:rsid w:val="004B1B80"/>
    <w:rsid w:val="004B2272"/>
    <w:rsid w:val="004B4108"/>
    <w:rsid w:val="004B420F"/>
    <w:rsid w:val="004B6688"/>
    <w:rsid w:val="004C5B2F"/>
    <w:rsid w:val="004D0D3D"/>
    <w:rsid w:val="004D48D2"/>
    <w:rsid w:val="004D7BA9"/>
    <w:rsid w:val="004D7DE3"/>
    <w:rsid w:val="004E4C83"/>
    <w:rsid w:val="004F0D16"/>
    <w:rsid w:val="004F18A1"/>
    <w:rsid w:val="004F1CDC"/>
    <w:rsid w:val="004F20C4"/>
    <w:rsid w:val="004F38CE"/>
    <w:rsid w:val="004F5A18"/>
    <w:rsid w:val="0050463E"/>
    <w:rsid w:val="00504BB1"/>
    <w:rsid w:val="00505FAA"/>
    <w:rsid w:val="00521308"/>
    <w:rsid w:val="00522533"/>
    <w:rsid w:val="005244A4"/>
    <w:rsid w:val="00525DED"/>
    <w:rsid w:val="005275E3"/>
    <w:rsid w:val="00527783"/>
    <w:rsid w:val="0053257A"/>
    <w:rsid w:val="005327CD"/>
    <w:rsid w:val="0054046C"/>
    <w:rsid w:val="00545200"/>
    <w:rsid w:val="00545FF3"/>
    <w:rsid w:val="005464D2"/>
    <w:rsid w:val="00553DEA"/>
    <w:rsid w:val="00554DB1"/>
    <w:rsid w:val="00556FE4"/>
    <w:rsid w:val="005814B5"/>
    <w:rsid w:val="005863D6"/>
    <w:rsid w:val="00591622"/>
    <w:rsid w:val="0059481C"/>
    <w:rsid w:val="005A30D5"/>
    <w:rsid w:val="005B02DC"/>
    <w:rsid w:val="005B0E16"/>
    <w:rsid w:val="005B47C2"/>
    <w:rsid w:val="005D29BE"/>
    <w:rsid w:val="005D35BD"/>
    <w:rsid w:val="005D3E9D"/>
    <w:rsid w:val="005D57D6"/>
    <w:rsid w:val="005D6FBF"/>
    <w:rsid w:val="005E4B68"/>
    <w:rsid w:val="005E4BF4"/>
    <w:rsid w:val="005E59C2"/>
    <w:rsid w:val="005E62D0"/>
    <w:rsid w:val="005F0052"/>
    <w:rsid w:val="005F1D0B"/>
    <w:rsid w:val="005F1F89"/>
    <w:rsid w:val="005F64E0"/>
    <w:rsid w:val="005F6AE1"/>
    <w:rsid w:val="00607AC7"/>
    <w:rsid w:val="006137DE"/>
    <w:rsid w:val="006211E5"/>
    <w:rsid w:val="0062284A"/>
    <w:rsid w:val="00624C8F"/>
    <w:rsid w:val="006256D3"/>
    <w:rsid w:val="00627BB7"/>
    <w:rsid w:val="00641220"/>
    <w:rsid w:val="00643C10"/>
    <w:rsid w:val="00644A13"/>
    <w:rsid w:val="0065136E"/>
    <w:rsid w:val="00660A12"/>
    <w:rsid w:val="00670D71"/>
    <w:rsid w:val="00672D6E"/>
    <w:rsid w:val="00673291"/>
    <w:rsid w:val="00674248"/>
    <w:rsid w:val="00695F7A"/>
    <w:rsid w:val="00696039"/>
    <w:rsid w:val="006B4163"/>
    <w:rsid w:val="006B7BB7"/>
    <w:rsid w:val="006C05A5"/>
    <w:rsid w:val="006C1A08"/>
    <w:rsid w:val="006C1D07"/>
    <w:rsid w:val="006D33C6"/>
    <w:rsid w:val="006D3CBA"/>
    <w:rsid w:val="006D418B"/>
    <w:rsid w:val="006D6374"/>
    <w:rsid w:val="006E7DCE"/>
    <w:rsid w:val="006F3E3D"/>
    <w:rsid w:val="006F6E6B"/>
    <w:rsid w:val="00701C8A"/>
    <w:rsid w:val="0070360E"/>
    <w:rsid w:val="007050FF"/>
    <w:rsid w:val="007061A4"/>
    <w:rsid w:val="0071752D"/>
    <w:rsid w:val="007204E3"/>
    <w:rsid w:val="00722305"/>
    <w:rsid w:val="007236B4"/>
    <w:rsid w:val="00730BC4"/>
    <w:rsid w:val="00730CBE"/>
    <w:rsid w:val="007364B6"/>
    <w:rsid w:val="00737F84"/>
    <w:rsid w:val="00745918"/>
    <w:rsid w:val="00752764"/>
    <w:rsid w:val="007550FF"/>
    <w:rsid w:val="00760117"/>
    <w:rsid w:val="007629C8"/>
    <w:rsid w:val="00764209"/>
    <w:rsid w:val="00766962"/>
    <w:rsid w:val="007729B3"/>
    <w:rsid w:val="00775287"/>
    <w:rsid w:val="00775B4D"/>
    <w:rsid w:val="00776105"/>
    <w:rsid w:val="0077732B"/>
    <w:rsid w:val="0078029B"/>
    <w:rsid w:val="00781BEE"/>
    <w:rsid w:val="00783433"/>
    <w:rsid w:val="00786D6D"/>
    <w:rsid w:val="007936EA"/>
    <w:rsid w:val="0079408E"/>
    <w:rsid w:val="007A224B"/>
    <w:rsid w:val="007A653C"/>
    <w:rsid w:val="007B1C09"/>
    <w:rsid w:val="007B3669"/>
    <w:rsid w:val="007D064F"/>
    <w:rsid w:val="007D33F4"/>
    <w:rsid w:val="007D4F72"/>
    <w:rsid w:val="007D6D05"/>
    <w:rsid w:val="007E73AA"/>
    <w:rsid w:val="007F0899"/>
    <w:rsid w:val="007F3ABE"/>
    <w:rsid w:val="007F59B4"/>
    <w:rsid w:val="007F7272"/>
    <w:rsid w:val="008023CD"/>
    <w:rsid w:val="00803C20"/>
    <w:rsid w:val="00806FDA"/>
    <w:rsid w:val="00814323"/>
    <w:rsid w:val="00814B59"/>
    <w:rsid w:val="008155A3"/>
    <w:rsid w:val="00827551"/>
    <w:rsid w:val="008328E9"/>
    <w:rsid w:val="0083353F"/>
    <w:rsid w:val="00835BCB"/>
    <w:rsid w:val="00835CDC"/>
    <w:rsid w:val="008416FD"/>
    <w:rsid w:val="008445F1"/>
    <w:rsid w:val="008446C3"/>
    <w:rsid w:val="00847429"/>
    <w:rsid w:val="00850B09"/>
    <w:rsid w:val="008514F2"/>
    <w:rsid w:val="008559A3"/>
    <w:rsid w:val="00862C99"/>
    <w:rsid w:val="00863B9D"/>
    <w:rsid w:val="00863BE6"/>
    <w:rsid w:val="008775BC"/>
    <w:rsid w:val="00877B45"/>
    <w:rsid w:val="00882F1B"/>
    <w:rsid w:val="008926BA"/>
    <w:rsid w:val="0089648B"/>
    <w:rsid w:val="00896FD6"/>
    <w:rsid w:val="008A1EFA"/>
    <w:rsid w:val="008A70CE"/>
    <w:rsid w:val="008B313D"/>
    <w:rsid w:val="008C0B07"/>
    <w:rsid w:val="008C14EF"/>
    <w:rsid w:val="008C25E4"/>
    <w:rsid w:val="008C2DAE"/>
    <w:rsid w:val="008C3149"/>
    <w:rsid w:val="008C3FB1"/>
    <w:rsid w:val="008C6E36"/>
    <w:rsid w:val="008C6E9B"/>
    <w:rsid w:val="008C7187"/>
    <w:rsid w:val="008D713A"/>
    <w:rsid w:val="008D7727"/>
    <w:rsid w:val="008E152C"/>
    <w:rsid w:val="008E620B"/>
    <w:rsid w:val="008F43D2"/>
    <w:rsid w:val="008F481B"/>
    <w:rsid w:val="008F7E80"/>
    <w:rsid w:val="009015A7"/>
    <w:rsid w:val="009041D7"/>
    <w:rsid w:val="009059A9"/>
    <w:rsid w:val="009102AE"/>
    <w:rsid w:val="00913CF1"/>
    <w:rsid w:val="00914232"/>
    <w:rsid w:val="009217EC"/>
    <w:rsid w:val="0092515E"/>
    <w:rsid w:val="0093047A"/>
    <w:rsid w:val="00930AAE"/>
    <w:rsid w:val="009315CC"/>
    <w:rsid w:val="0094052C"/>
    <w:rsid w:val="00942FBD"/>
    <w:rsid w:val="00943A84"/>
    <w:rsid w:val="0094770B"/>
    <w:rsid w:val="00947D4A"/>
    <w:rsid w:val="00951D88"/>
    <w:rsid w:val="0095712D"/>
    <w:rsid w:val="00957260"/>
    <w:rsid w:val="00964EBC"/>
    <w:rsid w:val="00965BFF"/>
    <w:rsid w:val="00970162"/>
    <w:rsid w:val="00970C63"/>
    <w:rsid w:val="00971CD2"/>
    <w:rsid w:val="00972C4F"/>
    <w:rsid w:val="00977E6E"/>
    <w:rsid w:val="00981341"/>
    <w:rsid w:val="0098296E"/>
    <w:rsid w:val="00987063"/>
    <w:rsid w:val="00994023"/>
    <w:rsid w:val="00994B64"/>
    <w:rsid w:val="009A141C"/>
    <w:rsid w:val="009A515B"/>
    <w:rsid w:val="009B2267"/>
    <w:rsid w:val="009B2FCA"/>
    <w:rsid w:val="009B4DDB"/>
    <w:rsid w:val="009C0747"/>
    <w:rsid w:val="009C1017"/>
    <w:rsid w:val="009C42FF"/>
    <w:rsid w:val="009C4D57"/>
    <w:rsid w:val="009C573B"/>
    <w:rsid w:val="009C5D6A"/>
    <w:rsid w:val="009E0AE8"/>
    <w:rsid w:val="009E495F"/>
    <w:rsid w:val="009E5374"/>
    <w:rsid w:val="009F1E3B"/>
    <w:rsid w:val="009F345D"/>
    <w:rsid w:val="009F7D89"/>
    <w:rsid w:val="00A108EA"/>
    <w:rsid w:val="00A11BA8"/>
    <w:rsid w:val="00A13218"/>
    <w:rsid w:val="00A134B7"/>
    <w:rsid w:val="00A14B84"/>
    <w:rsid w:val="00A217FF"/>
    <w:rsid w:val="00A227A3"/>
    <w:rsid w:val="00A23516"/>
    <w:rsid w:val="00A26E01"/>
    <w:rsid w:val="00A278C9"/>
    <w:rsid w:val="00A4186B"/>
    <w:rsid w:val="00A433E8"/>
    <w:rsid w:val="00A550B1"/>
    <w:rsid w:val="00A60635"/>
    <w:rsid w:val="00A60B73"/>
    <w:rsid w:val="00A616A2"/>
    <w:rsid w:val="00A61FC0"/>
    <w:rsid w:val="00A62ABF"/>
    <w:rsid w:val="00A645B4"/>
    <w:rsid w:val="00A6664E"/>
    <w:rsid w:val="00A67F2E"/>
    <w:rsid w:val="00A75E4E"/>
    <w:rsid w:val="00A768EA"/>
    <w:rsid w:val="00A80080"/>
    <w:rsid w:val="00A81CC0"/>
    <w:rsid w:val="00A87DBC"/>
    <w:rsid w:val="00A90275"/>
    <w:rsid w:val="00A912F3"/>
    <w:rsid w:val="00A91565"/>
    <w:rsid w:val="00AA063C"/>
    <w:rsid w:val="00AA1858"/>
    <w:rsid w:val="00AA24E2"/>
    <w:rsid w:val="00AA6EAE"/>
    <w:rsid w:val="00AB4951"/>
    <w:rsid w:val="00AC2E85"/>
    <w:rsid w:val="00AD53A5"/>
    <w:rsid w:val="00AD65E1"/>
    <w:rsid w:val="00AE11DC"/>
    <w:rsid w:val="00AE45E0"/>
    <w:rsid w:val="00AE4EEA"/>
    <w:rsid w:val="00AE7A58"/>
    <w:rsid w:val="00AF2796"/>
    <w:rsid w:val="00AF3FA8"/>
    <w:rsid w:val="00B02FB3"/>
    <w:rsid w:val="00B037AE"/>
    <w:rsid w:val="00B04521"/>
    <w:rsid w:val="00B05848"/>
    <w:rsid w:val="00B25283"/>
    <w:rsid w:val="00B315A0"/>
    <w:rsid w:val="00B32E40"/>
    <w:rsid w:val="00B34A18"/>
    <w:rsid w:val="00B41A85"/>
    <w:rsid w:val="00B447A7"/>
    <w:rsid w:val="00B46878"/>
    <w:rsid w:val="00B468CE"/>
    <w:rsid w:val="00B54F35"/>
    <w:rsid w:val="00B579CB"/>
    <w:rsid w:val="00B626CD"/>
    <w:rsid w:val="00B63637"/>
    <w:rsid w:val="00B70083"/>
    <w:rsid w:val="00B7282A"/>
    <w:rsid w:val="00B73D0E"/>
    <w:rsid w:val="00B8058B"/>
    <w:rsid w:val="00B83FBA"/>
    <w:rsid w:val="00B87A76"/>
    <w:rsid w:val="00B9303A"/>
    <w:rsid w:val="00B9392D"/>
    <w:rsid w:val="00B961C4"/>
    <w:rsid w:val="00BA3F66"/>
    <w:rsid w:val="00BB28F6"/>
    <w:rsid w:val="00BB3B4B"/>
    <w:rsid w:val="00BC2609"/>
    <w:rsid w:val="00BC26DD"/>
    <w:rsid w:val="00BC294C"/>
    <w:rsid w:val="00BC4468"/>
    <w:rsid w:val="00BC55A6"/>
    <w:rsid w:val="00BC78F8"/>
    <w:rsid w:val="00BD4CE7"/>
    <w:rsid w:val="00BE5629"/>
    <w:rsid w:val="00BE764D"/>
    <w:rsid w:val="00BF28C7"/>
    <w:rsid w:val="00BF5DD8"/>
    <w:rsid w:val="00BF73A0"/>
    <w:rsid w:val="00C025F8"/>
    <w:rsid w:val="00C03DD1"/>
    <w:rsid w:val="00C07C99"/>
    <w:rsid w:val="00C12DA1"/>
    <w:rsid w:val="00C13145"/>
    <w:rsid w:val="00C13A7C"/>
    <w:rsid w:val="00C16975"/>
    <w:rsid w:val="00C16FCB"/>
    <w:rsid w:val="00C2135F"/>
    <w:rsid w:val="00C24936"/>
    <w:rsid w:val="00C31658"/>
    <w:rsid w:val="00C31D49"/>
    <w:rsid w:val="00C334B7"/>
    <w:rsid w:val="00C33773"/>
    <w:rsid w:val="00C34785"/>
    <w:rsid w:val="00C40DCC"/>
    <w:rsid w:val="00C4117F"/>
    <w:rsid w:val="00C5032C"/>
    <w:rsid w:val="00C50419"/>
    <w:rsid w:val="00C562EE"/>
    <w:rsid w:val="00C61012"/>
    <w:rsid w:val="00C6757F"/>
    <w:rsid w:val="00C67C97"/>
    <w:rsid w:val="00C70EC0"/>
    <w:rsid w:val="00C7135A"/>
    <w:rsid w:val="00C72A9C"/>
    <w:rsid w:val="00C745BD"/>
    <w:rsid w:val="00C83C4D"/>
    <w:rsid w:val="00C83F07"/>
    <w:rsid w:val="00C86091"/>
    <w:rsid w:val="00CA1CBE"/>
    <w:rsid w:val="00CA3EAA"/>
    <w:rsid w:val="00CB2EC4"/>
    <w:rsid w:val="00CC23C3"/>
    <w:rsid w:val="00CD5DAF"/>
    <w:rsid w:val="00CE3E0B"/>
    <w:rsid w:val="00CE4746"/>
    <w:rsid w:val="00CE4F89"/>
    <w:rsid w:val="00CE7104"/>
    <w:rsid w:val="00CE750F"/>
    <w:rsid w:val="00CE778B"/>
    <w:rsid w:val="00CF1498"/>
    <w:rsid w:val="00CF4437"/>
    <w:rsid w:val="00CF6A1A"/>
    <w:rsid w:val="00D06197"/>
    <w:rsid w:val="00D07DDD"/>
    <w:rsid w:val="00D1039A"/>
    <w:rsid w:val="00D11566"/>
    <w:rsid w:val="00D12474"/>
    <w:rsid w:val="00D1536F"/>
    <w:rsid w:val="00D160CB"/>
    <w:rsid w:val="00D220C7"/>
    <w:rsid w:val="00D245A1"/>
    <w:rsid w:val="00D24CB3"/>
    <w:rsid w:val="00D26091"/>
    <w:rsid w:val="00D33681"/>
    <w:rsid w:val="00D3680D"/>
    <w:rsid w:val="00D41049"/>
    <w:rsid w:val="00D415E2"/>
    <w:rsid w:val="00D41F92"/>
    <w:rsid w:val="00D42055"/>
    <w:rsid w:val="00D47119"/>
    <w:rsid w:val="00D522EF"/>
    <w:rsid w:val="00D53015"/>
    <w:rsid w:val="00D5668E"/>
    <w:rsid w:val="00D57BC7"/>
    <w:rsid w:val="00D60B3D"/>
    <w:rsid w:val="00D6132D"/>
    <w:rsid w:val="00D647C3"/>
    <w:rsid w:val="00D6650E"/>
    <w:rsid w:val="00D7314D"/>
    <w:rsid w:val="00D77809"/>
    <w:rsid w:val="00D8263D"/>
    <w:rsid w:val="00D830F6"/>
    <w:rsid w:val="00D83D91"/>
    <w:rsid w:val="00D86F01"/>
    <w:rsid w:val="00D91B9B"/>
    <w:rsid w:val="00D9337B"/>
    <w:rsid w:val="00D9386E"/>
    <w:rsid w:val="00D9633A"/>
    <w:rsid w:val="00DA380C"/>
    <w:rsid w:val="00DA6C88"/>
    <w:rsid w:val="00DA7027"/>
    <w:rsid w:val="00DA71FC"/>
    <w:rsid w:val="00DB30B4"/>
    <w:rsid w:val="00DB4C0C"/>
    <w:rsid w:val="00DC0EBF"/>
    <w:rsid w:val="00DC18B2"/>
    <w:rsid w:val="00DC395A"/>
    <w:rsid w:val="00DD4C66"/>
    <w:rsid w:val="00DD4FC4"/>
    <w:rsid w:val="00DE150C"/>
    <w:rsid w:val="00DF1BDE"/>
    <w:rsid w:val="00DF2386"/>
    <w:rsid w:val="00DF7FE7"/>
    <w:rsid w:val="00E02654"/>
    <w:rsid w:val="00E05747"/>
    <w:rsid w:val="00E16CC7"/>
    <w:rsid w:val="00E17EE6"/>
    <w:rsid w:val="00E20094"/>
    <w:rsid w:val="00E265B8"/>
    <w:rsid w:val="00E3024A"/>
    <w:rsid w:val="00E43885"/>
    <w:rsid w:val="00E444FC"/>
    <w:rsid w:val="00E44F1E"/>
    <w:rsid w:val="00E46367"/>
    <w:rsid w:val="00E50224"/>
    <w:rsid w:val="00E559B0"/>
    <w:rsid w:val="00E57D9D"/>
    <w:rsid w:val="00E631A8"/>
    <w:rsid w:val="00E63F0B"/>
    <w:rsid w:val="00E642B6"/>
    <w:rsid w:val="00E75CA2"/>
    <w:rsid w:val="00E76632"/>
    <w:rsid w:val="00E77109"/>
    <w:rsid w:val="00E777F3"/>
    <w:rsid w:val="00E96B53"/>
    <w:rsid w:val="00EA0DFF"/>
    <w:rsid w:val="00EA3A7F"/>
    <w:rsid w:val="00EB3CA7"/>
    <w:rsid w:val="00EC588F"/>
    <w:rsid w:val="00ED1012"/>
    <w:rsid w:val="00ED1CB9"/>
    <w:rsid w:val="00ED2630"/>
    <w:rsid w:val="00ED3AEB"/>
    <w:rsid w:val="00ED4036"/>
    <w:rsid w:val="00ED7DC0"/>
    <w:rsid w:val="00EE188B"/>
    <w:rsid w:val="00EE60AF"/>
    <w:rsid w:val="00EE7537"/>
    <w:rsid w:val="00EF65D8"/>
    <w:rsid w:val="00F078F1"/>
    <w:rsid w:val="00F126E5"/>
    <w:rsid w:val="00F12F74"/>
    <w:rsid w:val="00F136F5"/>
    <w:rsid w:val="00F13DED"/>
    <w:rsid w:val="00F14404"/>
    <w:rsid w:val="00F17C29"/>
    <w:rsid w:val="00F2372D"/>
    <w:rsid w:val="00F26C2E"/>
    <w:rsid w:val="00F32D03"/>
    <w:rsid w:val="00F336F0"/>
    <w:rsid w:val="00F344DE"/>
    <w:rsid w:val="00F5220D"/>
    <w:rsid w:val="00F52E89"/>
    <w:rsid w:val="00F56BB7"/>
    <w:rsid w:val="00F608AB"/>
    <w:rsid w:val="00F615BD"/>
    <w:rsid w:val="00F63B67"/>
    <w:rsid w:val="00F7138B"/>
    <w:rsid w:val="00F73E71"/>
    <w:rsid w:val="00F73EE2"/>
    <w:rsid w:val="00F776A9"/>
    <w:rsid w:val="00F847E5"/>
    <w:rsid w:val="00F86088"/>
    <w:rsid w:val="00F92888"/>
    <w:rsid w:val="00F97E9B"/>
    <w:rsid w:val="00FB6BBA"/>
    <w:rsid w:val="00FB6EE7"/>
    <w:rsid w:val="00FB70D8"/>
    <w:rsid w:val="00FC42BB"/>
    <w:rsid w:val="00FC7A32"/>
    <w:rsid w:val="00FD27EB"/>
    <w:rsid w:val="00FD59B1"/>
    <w:rsid w:val="00FD692A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64FF"/>
  <w15:docId w15:val="{73BD5DDE-FF9D-42CD-9810-707A6D1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jlqj4b">
    <w:name w:val="jlqj4b"/>
    <w:basedOn w:val="DefaultParagraphFont"/>
    <w:rsid w:val="00B447A7"/>
  </w:style>
  <w:style w:type="character" w:styleId="FollowedHyperlink">
    <w:name w:val="FollowedHyperlink"/>
    <w:basedOn w:val="DefaultParagraphFont"/>
    <w:uiPriority w:val="99"/>
    <w:semiHidden/>
    <w:unhideWhenUsed/>
    <w:rsid w:val="002545B8"/>
    <w:rPr>
      <w:color w:val="800080"/>
      <w:u w:val="single"/>
    </w:rPr>
  </w:style>
  <w:style w:type="paragraph" w:customStyle="1" w:styleId="xl65">
    <w:name w:val="xl65"/>
    <w:basedOn w:val="Normal"/>
    <w:rsid w:val="002545B8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25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4C22-0BD1-4AB9-A8A4-E6BF75D1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13093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Ramsar\KatzM</dc:creator>
  <cp:keywords/>
  <dc:description/>
  <cp:lastModifiedBy>Ed Jennings</cp:lastModifiedBy>
  <cp:revision>4</cp:revision>
  <cp:lastPrinted>2021-10-27T14:33:00Z</cp:lastPrinted>
  <dcterms:created xsi:type="dcterms:W3CDTF">2021-11-05T12:16:00Z</dcterms:created>
  <dcterms:modified xsi:type="dcterms:W3CDTF">2021-11-08T16:36:00Z</dcterms:modified>
  <cp:category/>
</cp:coreProperties>
</file>