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5" w:rsidRPr="000D62D1" w:rsidRDefault="00082015" w:rsidP="00E62FCA">
      <w:pPr>
        <w:ind w:right="288"/>
        <w:rPr>
          <w:rFonts w:ascii="Times New Roman" w:hAnsi="Times New Roman" w:cs="Times New Roman"/>
          <w:lang w:val="es-ES_tradnl"/>
        </w:rPr>
      </w:pPr>
    </w:p>
    <w:p w:rsidR="00A811BA" w:rsidRPr="000D62D1" w:rsidRDefault="00A811BA" w:rsidP="00E62FCA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ind w:right="288"/>
        <w:rPr>
          <w:rFonts w:cstheme="minorHAnsi"/>
          <w:bCs/>
          <w:szCs w:val="20"/>
          <w:lang w:val="es-ES_tradnl"/>
        </w:rPr>
      </w:pPr>
      <w:bookmarkStart w:id="0" w:name="Date"/>
      <w:bookmarkEnd w:id="0"/>
      <w:r w:rsidRPr="000D62D1">
        <w:rPr>
          <w:rFonts w:cstheme="minorHAnsi"/>
          <w:bCs/>
          <w:szCs w:val="20"/>
          <w:lang w:val="es-ES_tradnl"/>
        </w:rPr>
        <w:t>CON</w:t>
      </w:r>
      <w:r w:rsidR="00B65AC9" w:rsidRPr="000D62D1">
        <w:rPr>
          <w:rFonts w:cstheme="minorHAnsi"/>
          <w:bCs/>
          <w:szCs w:val="20"/>
          <w:lang w:val="es-ES_tradnl"/>
        </w:rPr>
        <w:t>VENCIÓN SOBRE LOS HUMEDALES</w:t>
      </w:r>
      <w:r w:rsidRPr="000D62D1">
        <w:rPr>
          <w:rFonts w:cstheme="minorHAnsi"/>
          <w:bCs/>
          <w:szCs w:val="20"/>
          <w:lang w:val="es-ES_tradnl"/>
        </w:rPr>
        <w:t xml:space="preserve"> (Ramsar, Ir</w:t>
      </w:r>
      <w:r w:rsidR="00B65AC9" w:rsidRPr="000D62D1">
        <w:rPr>
          <w:rFonts w:cstheme="minorHAnsi"/>
          <w:bCs/>
          <w:szCs w:val="20"/>
          <w:lang w:val="es-ES_tradnl"/>
        </w:rPr>
        <w:t>á</w:t>
      </w:r>
      <w:r w:rsidRPr="000D62D1">
        <w:rPr>
          <w:rFonts w:cstheme="minorHAnsi"/>
          <w:bCs/>
          <w:szCs w:val="20"/>
          <w:lang w:val="es-ES_tradnl"/>
        </w:rPr>
        <w:t>n, 1971)</w:t>
      </w:r>
    </w:p>
    <w:p w:rsidR="00A811BA" w:rsidRPr="000D62D1" w:rsidRDefault="00884791" w:rsidP="00E62FCA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ind w:right="288"/>
        <w:rPr>
          <w:rFonts w:cstheme="minorHAnsi"/>
          <w:bCs/>
          <w:szCs w:val="20"/>
          <w:lang w:val="es-ES_tradnl"/>
        </w:rPr>
      </w:pPr>
      <w:r w:rsidRPr="000D62D1">
        <w:rPr>
          <w:rFonts w:cstheme="minorHAnsi"/>
          <w:bCs/>
          <w:szCs w:val="20"/>
          <w:lang w:val="es-ES_tradnl"/>
        </w:rPr>
        <w:t>48</w:t>
      </w:r>
      <w:r w:rsidR="00B65AC9" w:rsidRPr="000D62D1">
        <w:rPr>
          <w:rFonts w:cstheme="minorHAnsi"/>
          <w:bCs/>
          <w:szCs w:val="20"/>
          <w:lang w:val="es-ES_tradnl"/>
        </w:rPr>
        <w:t>ª Reunión del Comité Permanente</w:t>
      </w:r>
    </w:p>
    <w:p w:rsidR="00A811BA" w:rsidRPr="000D62D1" w:rsidRDefault="00A811BA" w:rsidP="00E62FCA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ind w:right="288"/>
        <w:rPr>
          <w:rFonts w:cstheme="minorHAnsi"/>
          <w:bCs/>
          <w:szCs w:val="20"/>
          <w:lang w:val="es-ES_tradnl"/>
        </w:rPr>
      </w:pPr>
      <w:r w:rsidRPr="000D62D1">
        <w:rPr>
          <w:rFonts w:cstheme="minorHAnsi"/>
          <w:bCs/>
          <w:szCs w:val="20"/>
          <w:lang w:val="es-ES_tradnl"/>
        </w:rPr>
        <w:t>Gland, S</w:t>
      </w:r>
      <w:r w:rsidR="00B65AC9" w:rsidRPr="000D62D1">
        <w:rPr>
          <w:rFonts w:cstheme="minorHAnsi"/>
          <w:bCs/>
          <w:szCs w:val="20"/>
          <w:lang w:val="es-ES_tradnl"/>
        </w:rPr>
        <w:t xml:space="preserve">uiza, </w:t>
      </w:r>
      <w:r w:rsidRPr="000D62D1">
        <w:rPr>
          <w:rFonts w:cstheme="minorHAnsi"/>
          <w:bCs/>
          <w:szCs w:val="20"/>
          <w:lang w:val="es-ES_tradnl"/>
        </w:rPr>
        <w:t>2</w:t>
      </w:r>
      <w:r w:rsidR="00884791" w:rsidRPr="000D62D1">
        <w:rPr>
          <w:rFonts w:cstheme="minorHAnsi"/>
          <w:bCs/>
          <w:szCs w:val="20"/>
          <w:lang w:val="es-ES_tradnl"/>
        </w:rPr>
        <w:t>6</w:t>
      </w:r>
      <w:r w:rsidR="00B65AC9" w:rsidRPr="000D62D1">
        <w:rPr>
          <w:rFonts w:cstheme="minorHAnsi"/>
          <w:bCs/>
          <w:szCs w:val="20"/>
          <w:lang w:val="es-ES_tradnl"/>
        </w:rPr>
        <w:t>-</w:t>
      </w:r>
      <w:r w:rsidR="00884791" w:rsidRPr="000D62D1">
        <w:rPr>
          <w:rFonts w:cstheme="minorHAnsi"/>
          <w:bCs/>
          <w:szCs w:val="20"/>
          <w:lang w:val="es-ES_tradnl"/>
        </w:rPr>
        <w:t xml:space="preserve">30 </w:t>
      </w:r>
      <w:r w:rsidR="00B65AC9" w:rsidRPr="000D62D1">
        <w:rPr>
          <w:rFonts w:cstheme="minorHAnsi"/>
          <w:bCs/>
          <w:szCs w:val="20"/>
          <w:lang w:val="es-ES_tradnl"/>
        </w:rPr>
        <w:t>de enero de 2015</w:t>
      </w:r>
    </w:p>
    <w:p w:rsidR="00AD0114" w:rsidRDefault="00AD0114" w:rsidP="00E62FCA">
      <w:pPr>
        <w:tabs>
          <w:tab w:val="left" w:pos="7395"/>
        </w:tabs>
        <w:ind w:right="288" w:firstLine="720"/>
        <w:rPr>
          <w:rFonts w:cstheme="minorHAnsi"/>
          <w:b/>
          <w:lang w:val="es-ES_tradnl"/>
        </w:rPr>
      </w:pPr>
    </w:p>
    <w:p w:rsidR="008057A2" w:rsidRPr="000D62D1" w:rsidRDefault="008057A2" w:rsidP="00E62FCA">
      <w:pPr>
        <w:tabs>
          <w:tab w:val="left" w:pos="7395"/>
        </w:tabs>
        <w:ind w:right="288" w:firstLine="720"/>
        <w:rPr>
          <w:rFonts w:cstheme="minorHAnsi"/>
          <w:b/>
          <w:lang w:val="es-ES_tradnl"/>
        </w:rPr>
      </w:pPr>
    </w:p>
    <w:p w:rsidR="00AD0114" w:rsidRPr="000D62D1" w:rsidRDefault="00AD0114" w:rsidP="00E62FCA">
      <w:pPr>
        <w:tabs>
          <w:tab w:val="left" w:pos="7395"/>
        </w:tabs>
        <w:ind w:right="288" w:firstLine="720"/>
        <w:jc w:val="right"/>
        <w:rPr>
          <w:rFonts w:cstheme="minorHAnsi"/>
          <w:b/>
          <w:lang w:val="es-ES_tradnl"/>
        </w:rPr>
      </w:pPr>
      <w:r w:rsidRPr="000D62D1">
        <w:rPr>
          <w:rFonts w:cstheme="minorHAnsi"/>
          <w:b/>
          <w:sz w:val="24"/>
          <w:lang w:val="es-ES_tradnl"/>
        </w:rPr>
        <w:t>DOC</w:t>
      </w:r>
      <w:r w:rsidR="00E62FCA" w:rsidRPr="000D62D1">
        <w:rPr>
          <w:rFonts w:cstheme="minorHAnsi"/>
          <w:b/>
          <w:sz w:val="24"/>
          <w:lang w:val="es-ES_tradnl"/>
        </w:rPr>
        <w:t xml:space="preserve"> </w:t>
      </w:r>
      <w:r w:rsidR="00A1559A" w:rsidRPr="000D62D1">
        <w:rPr>
          <w:rFonts w:cstheme="minorHAnsi"/>
          <w:b/>
          <w:sz w:val="24"/>
          <w:lang w:val="es-ES_tradnl"/>
        </w:rPr>
        <w:t>SC48-</w:t>
      </w:r>
      <w:r w:rsidR="00E62FCA" w:rsidRPr="000D62D1">
        <w:rPr>
          <w:rFonts w:cstheme="minorHAnsi"/>
          <w:b/>
          <w:sz w:val="24"/>
          <w:lang w:val="es-ES_tradnl"/>
        </w:rPr>
        <w:t>03</w:t>
      </w:r>
    </w:p>
    <w:p w:rsidR="00AD0114" w:rsidRPr="000D62D1" w:rsidRDefault="00AD0114" w:rsidP="00E62FCA">
      <w:pPr>
        <w:tabs>
          <w:tab w:val="left" w:pos="7395"/>
        </w:tabs>
        <w:ind w:right="288" w:firstLine="720"/>
        <w:rPr>
          <w:rFonts w:cstheme="minorHAnsi"/>
          <w:sz w:val="24"/>
          <w:lang w:val="es-ES_tradnl"/>
        </w:rPr>
      </w:pPr>
    </w:p>
    <w:p w:rsidR="00AD0114" w:rsidRPr="000D62D1" w:rsidRDefault="004A4D95" w:rsidP="00E62FCA">
      <w:pPr>
        <w:tabs>
          <w:tab w:val="left" w:pos="7395"/>
        </w:tabs>
        <w:ind w:right="288" w:firstLine="720"/>
        <w:jc w:val="center"/>
        <w:rPr>
          <w:b/>
          <w:lang w:val="es-ES_tradnl"/>
        </w:rPr>
      </w:pPr>
      <w:r>
        <w:rPr>
          <w:b/>
          <w:lang w:val="es-ES_tradnl"/>
        </w:rPr>
        <w:t>Propuestas para enmendar el r</w:t>
      </w:r>
      <w:r w:rsidR="00B65AC9" w:rsidRPr="000D62D1">
        <w:rPr>
          <w:b/>
          <w:lang w:val="es-ES_tradnl"/>
        </w:rPr>
        <w:t>eglamento</w:t>
      </w:r>
    </w:p>
    <w:p w:rsidR="00A1559A" w:rsidRPr="000D62D1" w:rsidRDefault="00A1559A" w:rsidP="00E62FCA">
      <w:pPr>
        <w:tabs>
          <w:tab w:val="left" w:pos="7395"/>
        </w:tabs>
        <w:ind w:right="288" w:firstLine="720"/>
        <w:jc w:val="center"/>
        <w:rPr>
          <w:b/>
          <w:lang w:val="es-ES_tradnl"/>
        </w:rPr>
      </w:pPr>
      <w:r w:rsidRPr="000D62D1">
        <w:rPr>
          <w:b/>
          <w:lang w:val="es-ES_tradnl"/>
        </w:rPr>
        <w:t>(</w:t>
      </w:r>
      <w:r w:rsidR="00B65AC9" w:rsidRPr="000D62D1">
        <w:rPr>
          <w:b/>
          <w:lang w:val="es-ES_tradnl"/>
        </w:rPr>
        <w:t>borrador para consulta regional)</w:t>
      </w:r>
    </w:p>
    <w:p w:rsidR="00A1559A" w:rsidRPr="000D62D1" w:rsidRDefault="00A1559A" w:rsidP="00E62FCA">
      <w:pPr>
        <w:tabs>
          <w:tab w:val="left" w:pos="7395"/>
        </w:tabs>
        <w:ind w:right="288" w:firstLine="720"/>
        <w:rPr>
          <w:b/>
          <w:lang w:val="es-ES_tradnl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9072"/>
      </w:tblGrid>
      <w:tr w:rsidR="00AD0114" w:rsidRPr="000D62D1" w:rsidTr="00E62FCA">
        <w:tc>
          <w:tcPr>
            <w:tcW w:w="9072" w:type="dxa"/>
            <w:shd w:val="clear" w:color="auto" w:fill="FFFFFF" w:themeFill="background1"/>
          </w:tcPr>
          <w:p w:rsidR="00E62FCA" w:rsidRPr="000D62D1" w:rsidRDefault="00E62FCA" w:rsidP="00E62FCA">
            <w:pPr>
              <w:tabs>
                <w:tab w:val="left" w:pos="7395"/>
              </w:tabs>
              <w:ind w:right="288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:rsidR="00AD0114" w:rsidRPr="000D62D1" w:rsidRDefault="00AD0114" w:rsidP="00E62FCA">
            <w:pPr>
              <w:tabs>
                <w:tab w:val="left" w:pos="7395"/>
              </w:tabs>
              <w:ind w:right="288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</w:t>
            </w:r>
            <w:r w:rsidR="00B65AC9" w:rsidRPr="000D62D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ción solicitada</w:t>
            </w:r>
            <w:r w:rsidR="00B65AC9" w:rsidRPr="000D62D1">
              <w:rPr>
                <w:rFonts w:asciiTheme="minorHAnsi" w:hAnsiTheme="minorHAnsi"/>
                <w:sz w:val="22"/>
                <w:szCs w:val="22"/>
                <w:lang w:val="es-ES_tradnl"/>
              </w:rPr>
              <w:t>: Se invita al Comité Permanente a tomar nota de los sigu</w:t>
            </w:r>
            <w:r w:rsidR="004A4D95">
              <w:rPr>
                <w:rFonts w:asciiTheme="minorHAnsi" w:hAnsiTheme="minorHAnsi"/>
                <w:sz w:val="22"/>
                <w:szCs w:val="22"/>
                <w:lang w:val="es-ES_tradnl"/>
              </w:rPr>
              <w:t>ientes cambios previstos en el r</w:t>
            </w:r>
            <w:r w:rsidR="00B65AC9" w:rsidRPr="000D62D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eglamento para </w:t>
            </w:r>
            <w:r w:rsidR="001A2F99" w:rsidRPr="000D62D1">
              <w:rPr>
                <w:rFonts w:asciiTheme="minorHAnsi" w:hAnsiTheme="minorHAnsi"/>
                <w:sz w:val="22"/>
                <w:szCs w:val="22"/>
                <w:lang w:val="es-ES_tradnl"/>
              </w:rPr>
              <w:t>su</w:t>
            </w:r>
            <w:r w:rsidR="00B65AC9" w:rsidRPr="000D62D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consideración y aprobación por las Partes Contratantes en la COP12.</w:t>
            </w:r>
            <w:r w:rsidRPr="000D62D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  <w:p w:rsidR="00E62FCA" w:rsidRPr="000D62D1" w:rsidRDefault="00E62FCA" w:rsidP="00E62FCA">
            <w:pPr>
              <w:tabs>
                <w:tab w:val="left" w:pos="7395"/>
              </w:tabs>
              <w:ind w:right="288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tabs>
          <w:tab w:val="left" w:pos="7395"/>
        </w:tabs>
        <w:ind w:right="288" w:firstLine="720"/>
        <w:rPr>
          <w:lang w:val="es-ES_tradnl"/>
        </w:rPr>
      </w:pPr>
    </w:p>
    <w:p w:rsidR="00207B53" w:rsidRPr="000D62D1" w:rsidRDefault="00207B53" w:rsidP="00E62FCA">
      <w:pPr>
        <w:ind w:right="288"/>
        <w:rPr>
          <w:b/>
          <w:lang w:val="es-ES_tradnl"/>
        </w:rPr>
      </w:pPr>
    </w:p>
    <w:p w:rsidR="00AD0114" w:rsidRPr="000D62D1" w:rsidRDefault="006A47B7" w:rsidP="00E62FCA">
      <w:pPr>
        <w:ind w:right="288"/>
        <w:rPr>
          <w:b/>
          <w:lang w:val="es-ES_tradnl"/>
        </w:rPr>
      </w:pPr>
      <w:r w:rsidRPr="000D62D1">
        <w:rPr>
          <w:b/>
          <w:lang w:val="es-ES_tradnl"/>
        </w:rPr>
        <w:t>Visión general</w:t>
      </w:r>
    </w:p>
    <w:p w:rsidR="00E62FCA" w:rsidRPr="000D62D1" w:rsidRDefault="00E62FCA" w:rsidP="00E62FCA">
      <w:pPr>
        <w:ind w:left="360" w:right="288"/>
        <w:rPr>
          <w:b/>
          <w:lang w:val="es-ES_tradnl"/>
        </w:rPr>
      </w:pPr>
      <w:bookmarkStart w:id="1" w:name="_GoBack"/>
      <w:bookmarkEnd w:id="1"/>
    </w:p>
    <w:p w:rsidR="00AD0114" w:rsidRPr="000D62D1" w:rsidRDefault="00B65AC9" w:rsidP="00E62FCA">
      <w:pPr>
        <w:ind w:right="288"/>
        <w:rPr>
          <w:lang w:val="es-ES_tradnl"/>
        </w:rPr>
      </w:pPr>
      <w:r w:rsidRPr="000D62D1">
        <w:rPr>
          <w:lang w:val="es-ES_tradnl"/>
        </w:rPr>
        <w:t xml:space="preserve">El 12 de septiembre de </w:t>
      </w:r>
      <w:r w:rsidR="00AD0114" w:rsidRPr="000D62D1">
        <w:rPr>
          <w:lang w:val="es-ES_tradnl"/>
        </w:rPr>
        <w:t xml:space="preserve">2014 </w:t>
      </w:r>
      <w:r w:rsidR="00E5462F" w:rsidRPr="000D62D1">
        <w:rPr>
          <w:lang w:val="es-ES_tradnl"/>
        </w:rPr>
        <w:t xml:space="preserve">se llevó a cabo una sesión de trabajo con el consultor jurídico en la Secretaría de la Convención de Ramsar para </w:t>
      </w:r>
      <w:r w:rsidR="004B5217" w:rsidRPr="000D62D1">
        <w:rPr>
          <w:lang w:val="es-ES_tradnl"/>
        </w:rPr>
        <w:t>estudiar</w:t>
      </w:r>
      <w:r w:rsidR="00E5462F" w:rsidRPr="000D62D1">
        <w:rPr>
          <w:lang w:val="es-ES_tradnl"/>
        </w:rPr>
        <w:t xml:space="preserve"> problemas y desafíos observados por la Secretaría y las Partes C</w:t>
      </w:r>
      <w:r w:rsidR="004A4D95">
        <w:rPr>
          <w:lang w:val="es-ES_tradnl"/>
        </w:rPr>
        <w:t>ontratantes en relación con el r</w:t>
      </w:r>
      <w:r w:rsidR="00E5462F" w:rsidRPr="000D62D1">
        <w:rPr>
          <w:lang w:val="es-ES_tradnl"/>
        </w:rPr>
        <w:t xml:space="preserve">eglamento de la Convención de Ramsar. A continuación se presenta un breve resumen de los </w:t>
      </w:r>
      <w:r w:rsidR="006A47B7" w:rsidRPr="000D62D1">
        <w:rPr>
          <w:lang w:val="es-ES_tradnl"/>
        </w:rPr>
        <w:t xml:space="preserve">principales </w:t>
      </w:r>
      <w:r w:rsidR="00E5462F" w:rsidRPr="000D62D1">
        <w:rPr>
          <w:lang w:val="es-ES_tradnl"/>
        </w:rPr>
        <w:t xml:space="preserve">resultados y conclusiones de dicho taller así </w:t>
      </w:r>
      <w:r w:rsidR="004A4D95">
        <w:rPr>
          <w:lang w:val="es-ES_tradnl"/>
        </w:rPr>
        <w:t>como los cambios propuestos al r</w:t>
      </w:r>
      <w:r w:rsidR="00E5462F" w:rsidRPr="000D62D1">
        <w:rPr>
          <w:lang w:val="es-ES_tradnl"/>
        </w:rPr>
        <w:t>eglamento</w:t>
      </w:r>
      <w:r w:rsidR="00AD0114" w:rsidRPr="000D62D1">
        <w:rPr>
          <w:lang w:val="es-ES_tradnl"/>
        </w:rPr>
        <w:t>.</w:t>
      </w:r>
      <w:r w:rsidR="00AD0114" w:rsidRPr="000D62D1">
        <w:rPr>
          <w:b/>
          <w:lang w:val="es-ES_tradnl"/>
        </w:rPr>
        <w:t xml:space="preserve"> </w:t>
      </w:r>
    </w:p>
    <w:p w:rsidR="00E62FCA" w:rsidRPr="000D62D1" w:rsidRDefault="00E62FCA" w:rsidP="00E62FCA">
      <w:pPr>
        <w:pStyle w:val="ListParagraph"/>
        <w:ind w:left="448" w:right="288"/>
        <w:rPr>
          <w:lang w:val="es-ES_tradnl"/>
        </w:rPr>
      </w:pPr>
    </w:p>
    <w:p w:rsidR="00207B53" w:rsidRPr="000D62D1" w:rsidRDefault="00E5462F" w:rsidP="00E62FCA">
      <w:pPr>
        <w:ind w:right="288"/>
        <w:rPr>
          <w:lang w:val="es-ES_tradnl"/>
        </w:rPr>
      </w:pPr>
      <w:r w:rsidRPr="000D62D1">
        <w:rPr>
          <w:lang w:val="es-ES_tradnl"/>
        </w:rPr>
        <w:t xml:space="preserve">Los cambios propuestos se clasificaron inicialmente en tres categorías </w:t>
      </w:r>
      <w:r w:rsidR="006A47B7" w:rsidRPr="000D62D1">
        <w:rPr>
          <w:lang w:val="es-ES_tradnl"/>
        </w:rPr>
        <w:t>en función de</w:t>
      </w:r>
      <w:r w:rsidRPr="000D62D1">
        <w:rPr>
          <w:lang w:val="es-ES_tradnl"/>
        </w:rPr>
        <w:t xml:space="preserve"> su complejidad:</w:t>
      </w:r>
    </w:p>
    <w:p w:rsidR="00207B53" w:rsidRPr="000D62D1" w:rsidRDefault="00207B53" w:rsidP="00E62FCA">
      <w:pPr>
        <w:pStyle w:val="ListParagraph"/>
        <w:ind w:left="448" w:right="288"/>
        <w:rPr>
          <w:lang w:val="es-ES_tradnl"/>
        </w:rPr>
      </w:pPr>
      <w:r w:rsidRPr="000D62D1">
        <w:rPr>
          <w:lang w:val="es-ES_tradnl"/>
        </w:rPr>
        <w:t>(</w:t>
      </w:r>
      <w:r w:rsidR="00A811BA" w:rsidRPr="000D62D1">
        <w:rPr>
          <w:lang w:val="es-ES_tradnl"/>
        </w:rPr>
        <w:t>I</w:t>
      </w:r>
      <w:r w:rsidRPr="000D62D1">
        <w:rPr>
          <w:lang w:val="es-ES_tradnl"/>
        </w:rPr>
        <w:t xml:space="preserve">) </w:t>
      </w:r>
      <w:r w:rsidR="00E5462F" w:rsidRPr="000D62D1">
        <w:rPr>
          <w:lang w:val="es-ES_tradnl"/>
        </w:rPr>
        <w:t>Etapas iniciales</w:t>
      </w:r>
    </w:p>
    <w:p w:rsidR="00207B53" w:rsidRPr="000D62D1" w:rsidRDefault="00207B53" w:rsidP="00E62FCA">
      <w:pPr>
        <w:pStyle w:val="ListParagraph"/>
        <w:ind w:left="448" w:right="288"/>
        <w:rPr>
          <w:lang w:val="es-ES_tradnl"/>
        </w:rPr>
      </w:pPr>
      <w:r w:rsidRPr="000D62D1">
        <w:rPr>
          <w:lang w:val="es-ES_tradnl"/>
        </w:rPr>
        <w:t>(</w:t>
      </w:r>
      <w:r w:rsidR="00A811BA" w:rsidRPr="000D62D1">
        <w:rPr>
          <w:lang w:val="es-ES_tradnl"/>
        </w:rPr>
        <w:t>II</w:t>
      </w:r>
      <w:r w:rsidRPr="000D62D1">
        <w:rPr>
          <w:lang w:val="es-ES_tradnl"/>
        </w:rPr>
        <w:t xml:space="preserve">) </w:t>
      </w:r>
      <w:r w:rsidR="00E5462F" w:rsidRPr="000D62D1">
        <w:rPr>
          <w:lang w:val="es-ES_tradnl"/>
        </w:rPr>
        <w:t>Necesidad de mayores aclaraciones</w:t>
      </w:r>
    </w:p>
    <w:p w:rsidR="00AD0114" w:rsidRPr="000D62D1" w:rsidRDefault="00AD0114" w:rsidP="00E62FCA">
      <w:pPr>
        <w:pStyle w:val="ListParagraph"/>
        <w:ind w:left="448" w:right="288"/>
        <w:rPr>
          <w:lang w:val="es-ES_tradnl"/>
        </w:rPr>
      </w:pPr>
      <w:r w:rsidRPr="000D62D1">
        <w:rPr>
          <w:lang w:val="es-ES_tradnl"/>
        </w:rPr>
        <w:t>(</w:t>
      </w:r>
      <w:r w:rsidR="00A811BA" w:rsidRPr="000D62D1">
        <w:rPr>
          <w:lang w:val="es-ES_tradnl"/>
        </w:rPr>
        <w:t>III</w:t>
      </w:r>
      <w:r w:rsidRPr="000D62D1">
        <w:rPr>
          <w:lang w:val="es-ES_tradnl"/>
        </w:rPr>
        <w:t xml:space="preserve">) </w:t>
      </w:r>
      <w:r w:rsidR="00E5462F" w:rsidRPr="000D62D1">
        <w:rPr>
          <w:lang w:val="es-ES_tradnl"/>
        </w:rPr>
        <w:t>Necesidad de un examen minucioso</w:t>
      </w:r>
    </w:p>
    <w:p w:rsidR="00AD0114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8057A2" w:rsidRPr="000D62D1" w:rsidRDefault="008057A2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AD0114" w:rsidRPr="000D62D1" w:rsidRDefault="00E5462F" w:rsidP="00E62FCA">
      <w:pPr>
        <w:pStyle w:val="ListParagraph"/>
        <w:numPr>
          <w:ilvl w:val="0"/>
          <w:numId w:val="9"/>
        </w:numPr>
        <w:ind w:left="426" w:right="288" w:hanging="426"/>
        <w:rPr>
          <w:b/>
          <w:lang w:val="es-ES_tradnl"/>
        </w:rPr>
      </w:pPr>
      <w:r w:rsidRPr="000D62D1">
        <w:rPr>
          <w:b/>
          <w:lang w:val="es-ES_tradnl"/>
        </w:rPr>
        <w:t>Etapas iniciales</w:t>
      </w:r>
    </w:p>
    <w:p w:rsidR="00E62FCA" w:rsidRPr="000D62D1" w:rsidRDefault="00E62FCA" w:rsidP="00E62FCA">
      <w:pPr>
        <w:pStyle w:val="Default"/>
        <w:ind w:left="1080" w:right="288"/>
        <w:rPr>
          <w:rFonts w:asciiTheme="minorHAnsi" w:hAnsiTheme="minorHAnsi" w:cs="Times New Roman"/>
          <w:b/>
          <w:color w:val="auto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3C580B" w:rsidRPr="000D62D1" w:rsidTr="00E62FCA">
        <w:tc>
          <w:tcPr>
            <w:tcW w:w="9072" w:type="dxa"/>
            <w:shd w:val="clear" w:color="auto" w:fill="FFFFFF" w:themeFill="background1"/>
          </w:tcPr>
          <w:p w:rsidR="003C580B" w:rsidRPr="000D62D1" w:rsidRDefault="003C580B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Creden</w:t>
            </w:r>
            <w:r w:rsidR="00E5462F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ciales</w:t>
            </w:r>
          </w:p>
          <w:p w:rsidR="003C580B" w:rsidRPr="000D62D1" w:rsidRDefault="00E5462F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</w:t>
            </w:r>
            <w:r w:rsidR="006A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as reglas sobre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las credenciales se encuentran 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en los Artículos 16 a 20. Se pueden considerar preguntas relativas al </w:t>
            </w:r>
            <w:r w:rsidR="006A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posible uso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firmas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electrónicas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su incorporación en </w:t>
            </w:r>
            <w:r w:rsidR="00FC3686" w:rsidRPr="00FC3686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reglas</w:t>
            </w:r>
            <w:r w:rsidR="006A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ulteriores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0D62D1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para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lo</w:t>
            </w:r>
            <w:r w:rsidR="0010690C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 comités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El Artículo 18 se puede revisar </w:t>
            </w:r>
            <w:r w:rsidR="00F7799F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para alentar a que se presenten las credenciales lo antes posible 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(Artículo 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18.1)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se puede considerar el alcance de la presentación de credenciales en uno de los idiomas oficiales o acompañadas de una traducción a uno de estos idiomas 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(</w:t>
            </w:r>
            <w:r w:rsidR="005F072F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18.6). </w:t>
            </w:r>
          </w:p>
          <w:p w:rsidR="00E62FCA" w:rsidRPr="000D62D1" w:rsidRDefault="00E62FC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3C580B" w:rsidRPr="000D62D1" w:rsidTr="00E62FCA">
        <w:tc>
          <w:tcPr>
            <w:tcW w:w="9072" w:type="dxa"/>
            <w:shd w:val="clear" w:color="auto" w:fill="FFFFFF" w:themeFill="background1"/>
          </w:tcPr>
          <w:p w:rsidR="003C580B" w:rsidRPr="000D62D1" w:rsidRDefault="000D62D1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Reglas para </w:t>
            </w:r>
            <w:r w:rsidR="004610A4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el Comité Permanente/GECT</w:t>
            </w:r>
          </w:p>
          <w:p w:rsidR="00E62FCA" w:rsidRPr="000D62D1" w:rsidRDefault="000D62D1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El hecho de añadir reglas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para 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el Comité Permanente y el Grupo de Examen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Científico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Técnico (GECT) en el r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eglamento general o como anexo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al mismo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contribuirá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 que todas las reuniones transcurran de forma coherente y transparente. Actualmente no existe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ningún reglamento 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lastRenderedPageBreak/>
              <w:t>específico</w:t>
            </w:r>
            <w:r w:rsidR="004610A4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AE1B02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o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adecuado</w:t>
            </w:r>
            <w:r w:rsidR="00AE1B02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ninguno de estos </w:t>
            </w:r>
            <w:r w:rsidR="00AE1B02" w:rsidRPr="000D62D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dos</w:t>
            </w:r>
            <w:r w:rsidR="00AE1B02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órganos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E62FCA" w:rsidRPr="000D62D1" w:rsidRDefault="00E62FC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3C580B" w:rsidRPr="000D62D1" w:rsidTr="00E62FCA">
        <w:tc>
          <w:tcPr>
            <w:tcW w:w="9072" w:type="dxa"/>
            <w:shd w:val="clear" w:color="auto" w:fill="FFFFFF" w:themeFill="background1"/>
          </w:tcPr>
          <w:p w:rsidR="003C580B" w:rsidRPr="000D62D1" w:rsidRDefault="00AE1B02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Asuntos </w:t>
            </w:r>
            <w:r w:rsid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incluidos por defecto en </w:t>
            </w: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el orden del día / </w:t>
            </w:r>
            <w:r w:rsidRPr="00FC3686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Debate</w:t>
            </w: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sobre </w:t>
            </w:r>
            <w:r w:rsid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asuntos</w:t>
            </w: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incluidos en </w:t>
            </w: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el </w:t>
            </w:r>
            <w:r w:rsidR="008619C7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orden</w:t>
            </w:r>
            <w:r w:rsid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del día</w:t>
            </w:r>
          </w:p>
          <w:p w:rsidR="003C580B" w:rsidRPr="000D62D1" w:rsidRDefault="00AE1B02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Artículos 9 a 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15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del r</w:t>
            </w:r>
            <w:r w:rsidR="00640A13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eglamento tratan actualmente</w:t>
            </w:r>
            <w:r w:rsidR="0013638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asuntos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incluidos en el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orden del día.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puede considerar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introducción en el orden del día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asuntos que se pueden tratar </w:t>
            </w:r>
            <w:r w:rsidR="0013638E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por defecto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en la COP para </w:t>
            </w:r>
            <w:r w:rsidR="0013638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que exista una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normalización, la posibilidad de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incluir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reglas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relativas al debate sobre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las cuestiones del orden del día y el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umbral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los asuntos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“urgente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importante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” establecido en el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12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</w:t>
            </w:r>
          </w:p>
          <w:p w:rsidR="00E62FCA" w:rsidRPr="000D62D1" w:rsidRDefault="00E62FC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3C580B" w:rsidRPr="000D62D1" w:rsidTr="00E62FCA">
        <w:tc>
          <w:tcPr>
            <w:tcW w:w="9072" w:type="dxa"/>
            <w:shd w:val="clear" w:color="auto" w:fill="FFFFFF" w:themeFill="background1"/>
          </w:tcPr>
          <w:p w:rsidR="003C580B" w:rsidRPr="000D62D1" w:rsidRDefault="00A559BA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Condición</w:t>
            </w:r>
            <w:r w:rsidR="00AE1B02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de las </w:t>
            </w:r>
            <w:r w:rsidR="008619C7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reuniones</w:t>
            </w:r>
            <w:r w:rsidR="00AE1B02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informales (reuniones previas a la COP)</w:t>
            </w:r>
          </w:p>
          <w:p w:rsidR="003C580B" w:rsidRPr="000D62D1" w:rsidRDefault="00AE1B02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Aunque el Artículo 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26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hace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referencia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a los comités y otros grupos de trabajo, las disposiciones actuales se centran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más en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 composición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que en la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funcionalidad o </w:t>
            </w:r>
            <w:r w:rsidR="00A559BA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 condición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dichas reuniones.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Además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, no existen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reglamentos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ni códigos de conducta para las reuniones subsidiarias. Se pueden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tratar cuestiones relativas a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 administración armonizada de l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os órganos de la organización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, la continuidad de los procedimientos de las reuniones y los materiales adicionales para las Partes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E62FCA" w:rsidRPr="000D62D1" w:rsidRDefault="00E62FC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3C580B" w:rsidRPr="000D62D1" w:rsidTr="00E62FCA">
        <w:tc>
          <w:tcPr>
            <w:tcW w:w="9072" w:type="dxa"/>
            <w:shd w:val="clear" w:color="auto" w:fill="FFFFFF" w:themeFill="background1"/>
          </w:tcPr>
          <w:p w:rsidR="003C580B" w:rsidRPr="000D62D1" w:rsidRDefault="003574DE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Candidaturas</w:t>
            </w:r>
            <w:r w:rsidR="00AE1B02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y recomenda</w:t>
            </w:r>
            <w:r w:rsidR="00486C2A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ciones para los cargos</w:t>
            </w:r>
          </w:p>
          <w:p w:rsidR="00C215B6" w:rsidRPr="000D62D1" w:rsidRDefault="00AE1B02" w:rsidP="00C215B6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Artículos 21 a 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25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tratan actualmente</w:t>
            </w:r>
            <w:r w:rsidR="00640A13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las candidaturas y recomendaciones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0B1354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para los cargos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la COP.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Se puede considerar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 introducción de un texto adicional para aclarar el proceso de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presentación de candidatos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para todos los órganos y los procedimientos de </w:t>
            </w:r>
            <w:r w:rsidR="003574DE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votación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la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confirmación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</w:t>
            </w:r>
            <w:r w:rsidR="003B08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las personas designadas</w:t>
            </w:r>
            <w:r w:rsidR="003C580B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El desarrollo de materiale</w:t>
            </w:r>
            <w:r w:rsidR="00191E00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 adicionales para ayudar a las personas que desempeñen dichos cargos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también es un factor a tener en cuenta.</w:t>
            </w:r>
          </w:p>
          <w:p w:rsidR="00C215B6" w:rsidRPr="000D62D1" w:rsidRDefault="00C215B6" w:rsidP="00C215B6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b/>
          <w:color w:val="1F497D" w:themeColor="text2"/>
          <w:sz w:val="22"/>
          <w:szCs w:val="22"/>
          <w:lang w:val="es-ES_tradnl"/>
        </w:rPr>
      </w:pPr>
    </w:p>
    <w:p w:rsidR="00AD0114" w:rsidRPr="003574DE" w:rsidRDefault="003574DE" w:rsidP="00E62FCA">
      <w:pPr>
        <w:pStyle w:val="ListParagraph"/>
        <w:numPr>
          <w:ilvl w:val="0"/>
          <w:numId w:val="9"/>
        </w:numPr>
        <w:ind w:left="426" w:right="288" w:hanging="426"/>
        <w:rPr>
          <w:b/>
          <w:lang w:val="es-ES_tradnl"/>
        </w:rPr>
      </w:pPr>
      <w:r w:rsidRPr="003574DE">
        <w:rPr>
          <w:b/>
          <w:lang w:val="es-ES_tradnl"/>
        </w:rPr>
        <w:t>Necesidad de mayores aclaraciones</w:t>
      </w:r>
    </w:p>
    <w:p w:rsidR="00E62FCA" w:rsidRPr="000D62D1" w:rsidRDefault="00E62FCA" w:rsidP="00E62FCA">
      <w:pPr>
        <w:pStyle w:val="Default"/>
        <w:ind w:right="288"/>
        <w:rPr>
          <w:rFonts w:asciiTheme="minorHAnsi" w:hAnsiTheme="minorHAnsi" w:cs="Times New Roman"/>
          <w:b/>
          <w:color w:val="1F497D" w:themeColor="text2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A811BA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Decision</w:t>
            </w:r>
            <w:r w:rsidR="00AE1B02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es sobre </w:t>
            </w:r>
            <w:r w:rsidR="00AE1B02" w:rsidRPr="008A641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cuestiones (</w:t>
            </w:r>
            <w:r w:rsidR="008A641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apertura, debate, cierre, reapertura</w:t>
            </w:r>
            <w:r w:rsidRPr="008A641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)</w:t>
            </w:r>
          </w:p>
          <w:p w:rsidR="00A811BA" w:rsidRPr="000D62D1" w:rsidRDefault="00954898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El reglamento trata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actualmente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decisiones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sobre las 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cuestiones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 los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33 a 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38.</w:t>
            </w:r>
            <w:r w:rsidR="00C215B6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Aunque se han establecido procedimientos</w:t>
            </w:r>
            <w:r w:rsidR="00640A13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al respecto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, sería benef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icioso </w:t>
            </w:r>
            <w:r w:rsidR="00640A13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proporcionar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mayor apoyo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puede considerar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el desarro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llo de materiales explicativos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apoyo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las Partes 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 fin de ayudarle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 a cumplir </w:t>
            </w:r>
            <w:r w:rsidR="008A641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las reglas actuales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954898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Informes </w:t>
            </w:r>
            <w:r w:rsidR="008A641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y documentos </w:t>
            </w:r>
            <w:r w:rsidRPr="00991B2E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técnicos</w:t>
            </w:r>
            <w:r w:rsidR="00A811BA" w:rsidRPr="00991B2E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, </w:t>
            </w:r>
            <w:r w:rsidR="00991B2E" w:rsidRPr="00991B2E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con propuestas técnica</w:t>
            </w:r>
            <w:r w:rsidR="00A811BA" w:rsidRPr="00991B2E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s</w:t>
            </w:r>
          </w:p>
          <w:p w:rsidR="00A811BA" w:rsidRPr="000D62D1" w:rsidRDefault="00954898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 introducción </w:t>
            </w:r>
            <w:r w:rsidR="00711D16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la labor de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 COP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modalidades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la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incorporación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eficiente de conocimientos técnicos so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bre cuestiones esenciales puede ser informativa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la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aplicación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la Convención.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Aunque 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 Artículo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9(e) </w:t>
            </w:r>
            <w:r w:rsidR="004640C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permite que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incluyan </w:t>
            </w:r>
            <w:r w:rsidR="004640C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cuestiones técnicas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el orden del día de la COP</w:t>
            </w:r>
            <w:r w:rsidR="004640C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, sería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útil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aclarar en mayor medida est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 asunto.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8057A2" w:rsidRDefault="008057A2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8057A2" w:rsidRDefault="008057A2">
      <w:pPr>
        <w:rPr>
          <w:rFonts w:eastAsiaTheme="minorHAnsi" w:cs="Times New Roman"/>
          <w:color w:val="000000"/>
          <w:lang w:val="es-ES_tradnl" w:eastAsia="en-US"/>
        </w:rPr>
      </w:pPr>
      <w:r>
        <w:rPr>
          <w:rFonts w:cs="Times New Roman"/>
          <w:lang w:val="es-ES_tradnl"/>
        </w:rPr>
        <w:br w:type="page"/>
      </w:r>
    </w:p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711D16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</w:pPr>
            <w:r w:rsidRPr="00711D16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Reglas</w:t>
            </w:r>
            <w:r w:rsidR="00A811BA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="004640C9"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sobre los observadores</w:t>
            </w:r>
          </w:p>
          <w:p w:rsidR="00A811BA" w:rsidRPr="000D62D1" w:rsidRDefault="004640C9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observadores se tratan en los Artículos 6 y 7.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Aunque l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os observadores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desempeñan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un papel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clave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 los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procedimientos y el funcionamiento 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la Convención de Ramsar, se podría aclarar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mayor medida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el alcance de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su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participación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sus límites, 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incluyendo su participación en los órganos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subsidiarios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También se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podría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considerar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un proceso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el reconocimiento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de los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observador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es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con la presentación de credenciales para el examen 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y la asignación formales</w:t>
            </w:r>
            <w:r w:rsidR="00A004E9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los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representantes</w:t>
            </w:r>
            <w:r w:rsidR="00711D16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8619C7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>Procedimientos</w:t>
            </w:r>
            <w:r w:rsidR="005E7B27">
              <w:rPr>
                <w:rFonts w:asciiTheme="minorHAnsi" w:hAnsiTheme="minorHAnsi" w:cs="Times New Roman"/>
                <w:b/>
                <w:sz w:val="22"/>
                <w:szCs w:val="22"/>
                <w:lang w:val="es-ES_tradnl"/>
              </w:rPr>
              <w:t xml:space="preserve"> de votación</w:t>
            </w:r>
          </w:p>
          <w:p w:rsidR="00A811BA" w:rsidRPr="000D62D1" w:rsidRDefault="00572B62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 Convención de Ramsar aspira a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ser un organismo en el que las decisiones se toman por consenso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, en virtud del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40.</w:t>
            </w:r>
            <w:r w:rsidR="00C215B6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puede considerar </w:t>
            </w:r>
            <w:r w:rsidR="00FD7D13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 posibilidad de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proporcionar aclaraciones sobre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procedimientos de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votación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,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sobre todo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 lo que respecta a los órganos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subsidiarios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el GECT.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T</w:t>
            </w:r>
            <w:r w:rsidR="005E7B2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al vez sea necesario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formular aclaraciones concretas sobre 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 Artículo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45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lo que respecta al</w:t>
            </w:r>
            <w:r w:rsidR="00D67121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umbral y el orden </w:t>
            </w:r>
            <w:r w:rsidR="003259BD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para la consideración de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múltiples</w:t>
            </w:r>
            <w:r w:rsidR="00D67121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enmiendas a una propuesta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p w:rsidR="00AD0114" w:rsidRPr="005E7B27" w:rsidRDefault="005E7B27" w:rsidP="00E62FCA">
      <w:pPr>
        <w:pStyle w:val="ListParagraph"/>
        <w:numPr>
          <w:ilvl w:val="0"/>
          <w:numId w:val="9"/>
        </w:numPr>
        <w:ind w:left="426" w:right="288" w:hanging="426"/>
        <w:rPr>
          <w:b/>
          <w:lang w:val="es-ES_tradnl"/>
        </w:rPr>
      </w:pPr>
      <w:r>
        <w:rPr>
          <w:b/>
          <w:lang w:val="es-ES_tradnl"/>
        </w:rPr>
        <w:t>Necesidad de un examen minucioso</w:t>
      </w:r>
    </w:p>
    <w:p w:rsidR="00207B53" w:rsidRPr="000D62D1" w:rsidRDefault="00207B53" w:rsidP="00E62FCA">
      <w:pPr>
        <w:pStyle w:val="Default"/>
        <w:ind w:right="288"/>
        <w:rPr>
          <w:rFonts w:asciiTheme="minorHAnsi" w:hAnsiTheme="minorHAnsi" w:cs="Times New Roman"/>
          <w:b/>
          <w:color w:val="E36C0A" w:themeColor="accent6" w:themeShade="BF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8E70EC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Miembros </w:t>
            </w:r>
            <w:r w:rsidR="005E7B2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con derecho a voto y métodos de votación</w:t>
            </w:r>
          </w:p>
          <w:p w:rsidR="00A811BA" w:rsidRPr="000D62D1" w:rsidRDefault="00B14505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Las reglas relativas a la votación se tratan en su mayor parte en los Artículos 39 a 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51. </w:t>
            </w:r>
            <w:r w:rsidR="005E7B27" w:rsidRPr="005E7B27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Se puede considerar la posibilidad de </w:t>
            </w:r>
            <w:r w:rsidR="005E7B27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aclarar cuáles son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miembros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con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derecho a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voto de los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órganos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, la inclusión de métodos de votación, incluyendo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el uso de votaciones indicativas y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la posibilidad de realizar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votaciones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electrónicas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 el futuro.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B14505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Participación en sesiones cerradas</w:t>
            </w:r>
          </w:p>
          <w:p w:rsidR="00A811BA" w:rsidRPr="000D62D1" w:rsidRDefault="00201BAC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Sería útil proporcionar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mayores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aclaraciones sobre el alcance y el papel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e los observadores,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particularmente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5E7B2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lo relativo a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participación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en sesiones </w:t>
            </w:r>
            <w:r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cerradas. </w:t>
            </w:r>
            <w:r w:rsidR="00904AEC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Las reflexiones se centrarán </w:t>
            </w:r>
            <w:r w:rsidR="003259BD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en</w:t>
            </w:r>
            <w:r w:rsidR="00904AEC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el </w:t>
            </w:r>
            <w:r w:rsidR="005F072F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Artículo</w:t>
            </w:r>
            <w:r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26, que actualmente permite la participación</w:t>
            </w:r>
            <w:r w:rsidR="00904AEC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observadores </w:t>
            </w:r>
            <w:r w:rsidR="00904AEC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“de ser necesario”</w:t>
            </w:r>
            <w:r w:rsidR="00A811BA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así como el </w:t>
            </w:r>
            <w:r w:rsidR="005F072F"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Artículo</w:t>
            </w:r>
            <w:r w:rsidRP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7, que permite la participación de observadores</w:t>
            </w:r>
            <w:r w:rsidR="00904AEC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sin derecho a voto previa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invitación del Presidente </w:t>
            </w:r>
            <w:r w:rsidR="00904AEC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siempre que no se oponga un tercio de las Partes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</w:t>
            </w:r>
            <w:r w:rsidR="00436964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Sería útil en términos prácticos contar con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criterios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modalidades de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participación</w:t>
            </w:r>
            <w:r w:rsidR="00436964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basado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 en objetivos de políticas claros.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201BAC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Aprobación de la documentación</w:t>
            </w:r>
          </w:p>
          <w:p w:rsidR="00A811BA" w:rsidRPr="000D62D1" w:rsidRDefault="00436964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436964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La aprobación de la documentación</w:t>
            </w:r>
            <w:r w:rsidR="00BF774F" w:rsidRPr="00436964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se </w:t>
            </w:r>
            <w:r w:rsidRPr="00436964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trata</w:t>
            </w:r>
            <w:r w:rsidR="00BF774F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principalmente en los Artículos 5 y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35. 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evaluarán cuestiones relativas a los procedimientos de aprobación para la COP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y otros órganos, así como para los 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material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es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desactualizados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Es posible que el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35.1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35.3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necesite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una atención especial para considerar el alcance de las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obligaciones</w:t>
            </w:r>
            <w:r w:rsidR="00883103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traducir propuestas no presentadas al Comité Permane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nte con 60 días de antelación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413486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Idiomas (oficiales </w:t>
            </w:r>
            <w:r w:rsidRPr="00436964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  <w:lang w:val="es-ES_tradnl"/>
              </w:rPr>
              <w:t>vs</w:t>
            </w:r>
            <w:r w:rsidR="00436964" w:rsidRPr="00436964">
              <w:rPr>
                <w:rFonts w:asciiTheme="minorHAnsi" w:hAnsiTheme="minorHAnsi" w:cs="Times New Roman"/>
                <w:b/>
                <w:i/>
                <w:color w:val="auto"/>
                <w:sz w:val="22"/>
                <w:szCs w:val="22"/>
                <w:lang w:val="es-ES_tradnl"/>
              </w:rPr>
              <w:t>.</w:t>
            </w: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 de trabajo)</w:t>
            </w:r>
          </w:p>
          <w:p w:rsidR="00A811BA" w:rsidRPr="000D62D1" w:rsidRDefault="00413486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idiomas se tratan en los Artículos 52 y </w:t>
            </w:r>
            <w:r w:rsidR="004A4D9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53,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y </w:t>
            </w:r>
            <w:r w:rsidR="00436964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los </w:t>
            </w:r>
            <w:r w:rsidR="005F072F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Artículo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 18.6, 26.7, 35.1, 35.</w:t>
            </w:r>
            <w:r w:rsidR="00A811BA" w:rsidRPr="00436964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3 </w:t>
            </w:r>
            <w:r w:rsidR="00436964" w:rsidRPr="00436964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y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54</w:t>
            </w:r>
            <w:r w:rsidR="00436964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contienen referencias a los mismos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  <w:r w:rsidR="00C215B6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Se 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considerarán cuestiones relativas a la 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integración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gradual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idiomas oficiales, las 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repercusiones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financieras y las traducciones. También se puede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n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proporcionar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mayores aclaraciones 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sobre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una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mayor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integración de idiomas adicionales de las Naciones Unidas en la labor de la Convención. 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Concretamente, el A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rtículo 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26.7 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puede propone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r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el reconocimiento de un enfoque 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escalonado</w:t>
            </w:r>
            <w:r w:rsidR="00811788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para la integración</w:t>
            </w:r>
            <w:r w:rsidR="009459E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de idiomas con modificaciones.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="Times New Roman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A811BA" w:rsidRPr="000D62D1" w:rsidTr="00E62FCA">
        <w:tc>
          <w:tcPr>
            <w:tcW w:w="9072" w:type="dxa"/>
            <w:shd w:val="clear" w:color="auto" w:fill="FFFFFF" w:themeFill="background1"/>
          </w:tcPr>
          <w:p w:rsidR="00A811BA" w:rsidRPr="000D62D1" w:rsidRDefault="0075384E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Escala y alcance de las atribuciones </w:t>
            </w:r>
            <w:r w:rsidR="00366826"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de la </w:t>
            </w:r>
            <w:r w:rsidR="009459E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Secretaría</w:t>
            </w:r>
          </w:p>
          <w:p w:rsidR="00A811BA" w:rsidRPr="000D62D1" w:rsidRDefault="0075384E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75384E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Las atribuciones</w:t>
            </w:r>
            <w:r w:rsidR="00A811BA" w:rsidRPr="000D62D1">
              <w:rPr>
                <w:rFonts w:asciiTheme="minorHAnsi" w:hAnsiTheme="minorHAnsi" w:cs="Times New Roman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D834D2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 la Secretaría </w:t>
            </w:r>
            <w:r w:rsidR="00D834D2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se tratan actualmente en los Artículos</w:t>
            </w:r>
            <w:r w:rsidR="00A811BA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27</w:t>
            </w:r>
            <w:r w:rsidR="00D834D2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y </w:t>
            </w:r>
            <w:r w:rsidR="00A811BA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28. </w:t>
            </w:r>
            <w:r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Se puede considerar la posibilidad de p</w:t>
            </w:r>
            <w:r w:rsidR="008619C7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roporcionar</w:t>
            </w:r>
            <w:r w:rsidR="005B47B7" w:rsidRPr="00B220F1"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 xml:space="preserve"> mayores</w:t>
            </w:r>
            <w:r w:rsidR="005B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aclaraciones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sobre </w:t>
            </w:r>
            <w:r w:rsidR="004A4D9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determinados 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aspectos de la Convención, incluyendo la gestión del </w:t>
            </w:r>
            <w:r w:rsidR="004A4D9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Servicio de Información sobre Sitios Ramsar (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SISR</w:t>
            </w:r>
            <w:r w:rsidR="004A4D9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)</w:t>
            </w:r>
            <w:r w:rsidR="005B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y </w:t>
            </w:r>
            <w:r w:rsidR="00271A0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la solicitud de información</w:t>
            </w:r>
            <w:r w:rsidR="005B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sobre los </w:t>
            </w:r>
            <w:r w:rsidR="008619C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cambios</w:t>
            </w:r>
            <w:r w:rsidR="005B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</w:t>
            </w:r>
            <w:r w:rsidR="00B220F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en las</w:t>
            </w:r>
            <w:r w:rsidR="005B47B7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características </w:t>
            </w:r>
            <w:r w:rsidR="00271A05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ecológicas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(Art</w:t>
            </w:r>
            <w:r w:rsidR="003369E8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.</w:t>
            </w:r>
            <w:r w:rsidR="00A811BA" w:rsidRPr="000D62D1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3.2).</w:t>
            </w:r>
          </w:p>
          <w:p w:rsidR="00A811BA" w:rsidRPr="000D62D1" w:rsidRDefault="00A811BA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pStyle w:val="Default"/>
        <w:ind w:right="288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1F18B7" w:rsidRPr="000D62D1" w:rsidTr="00E62FCA">
        <w:tc>
          <w:tcPr>
            <w:tcW w:w="9072" w:type="dxa"/>
            <w:shd w:val="clear" w:color="auto" w:fill="FFFFFF" w:themeFill="background1"/>
          </w:tcPr>
          <w:p w:rsidR="001F18B7" w:rsidRPr="000D62D1" w:rsidRDefault="005B47B7" w:rsidP="00E62FCA">
            <w:pPr>
              <w:pStyle w:val="Default"/>
              <w:numPr>
                <w:ilvl w:val="0"/>
                <w:numId w:val="6"/>
              </w:numPr>
              <w:ind w:left="360" w:right="288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Acuerdo sobre el </w:t>
            </w:r>
            <w:r w:rsidR="004A4D9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r</w:t>
            </w:r>
            <w:r w:rsidR="008619C7"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>eglamento</w:t>
            </w:r>
            <w:r w:rsidRPr="000D62D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s-ES_tradnl"/>
              </w:rPr>
              <w:t xml:space="preserve"> en cada COP</w:t>
            </w:r>
          </w:p>
          <w:p w:rsidR="001F18B7" w:rsidRPr="000D62D1" w:rsidRDefault="00F96DB1" w:rsidP="00E62FCA">
            <w:pPr>
              <w:ind w:right="288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El Artículo </w:t>
            </w:r>
            <w:r w:rsidR="001F18B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6.4 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de la Convención indica</w:t>
            </w:r>
            <w:r w:rsidR="00CD0FD7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que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</w:t>
            </w:r>
            <w:r w:rsidR="001F18B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“</w:t>
            </w:r>
            <w:r w:rsidR="00202E03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La Conferencia de las Partes Contratantes adoptará el reglamento de cada una de sus reuniones”.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A pesar de esta regla, dichos ajustes al re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glamento deben evitar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la necesidad de tener que llegar a un acuerdo sobre el reglamento 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en cada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reunión de la </w:t>
            </w:r>
            <w:r w:rsidR="001F18B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COP.</w:t>
            </w:r>
            <w:r w:rsidR="00C215B6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Otras convenciones cuentan con un </w:t>
            </w:r>
            <w:r w:rsidR="008619C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reglamento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consensuado</w:t>
            </w:r>
            <w:r w:rsidR="001F18B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(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que </w:t>
            </w:r>
            <w:r w:rsidR="004A4D95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en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algunos casos incluye p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aréntesis</w:t>
            </w:r>
            <w:r w:rsidR="004A4D95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permanentes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en el párrafo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relativo a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las votaciones)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que se utiliza</w:t>
            </w:r>
            <w:r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</w:t>
            </w:r>
            <w:r w:rsidR="0002271E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>hasta el momento en que se debe</w:t>
            </w:r>
            <w:r w:rsidR="008619C7" w:rsidRPr="000D62D1">
              <w:rPr>
                <w:rFonts w:asciiTheme="minorHAnsi" w:hAnsiTheme="minorHAnsi"/>
                <w:iCs/>
                <w:sz w:val="22"/>
                <w:szCs w:val="22"/>
                <w:lang w:val="es-ES_tradnl"/>
              </w:rPr>
              <w:t xml:space="preserve"> actualizar.</w:t>
            </w:r>
          </w:p>
          <w:p w:rsidR="001F18B7" w:rsidRPr="000D62D1" w:rsidRDefault="001F18B7" w:rsidP="00E62FCA">
            <w:pPr>
              <w:pStyle w:val="Default"/>
              <w:ind w:right="288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</w:p>
        </w:tc>
      </w:tr>
    </w:tbl>
    <w:p w:rsidR="00AD0114" w:rsidRPr="000D62D1" w:rsidRDefault="00AD0114" w:rsidP="00E62FCA">
      <w:pPr>
        <w:tabs>
          <w:tab w:val="left" w:pos="1560"/>
        </w:tabs>
        <w:ind w:right="288"/>
        <w:rPr>
          <w:rFonts w:cs="Times New Roman"/>
          <w:lang w:val="es-ES_tradnl"/>
        </w:rPr>
      </w:pPr>
    </w:p>
    <w:sectPr w:rsidR="00AD0114" w:rsidRPr="000D62D1" w:rsidSect="007C5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BD" w:rsidRDefault="003259BD" w:rsidP="00884791">
      <w:r>
        <w:separator/>
      </w:r>
    </w:p>
  </w:endnote>
  <w:endnote w:type="continuationSeparator" w:id="0">
    <w:p w:rsidR="003259BD" w:rsidRDefault="003259BD" w:rsidP="0088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A2" w:rsidRDefault="00805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BD" w:rsidRDefault="004A4D95" w:rsidP="00884791">
    <w:pPr>
      <w:pStyle w:val="Footer"/>
      <w:tabs>
        <w:tab w:val="clear" w:pos="9360"/>
        <w:tab w:val="right" w:pos="9072"/>
      </w:tabs>
    </w:pPr>
    <w:r>
      <w:rPr>
        <w:b/>
      </w:rPr>
      <w:t>BORRADOR PARA CONSULTA</w:t>
    </w:r>
    <w:r w:rsidR="003259BD">
      <w:tab/>
    </w:r>
    <w:r w:rsidR="003259BD">
      <w:tab/>
    </w:r>
    <w:r w:rsidR="000002F0">
      <w:fldChar w:fldCharType="begin"/>
    </w:r>
    <w:r w:rsidR="003259BD">
      <w:instrText xml:space="preserve"> PAGE   \* MERGEFORMAT </w:instrText>
    </w:r>
    <w:r w:rsidR="000002F0">
      <w:fldChar w:fldCharType="separate"/>
    </w:r>
    <w:r w:rsidR="008057A2">
      <w:rPr>
        <w:noProof/>
      </w:rPr>
      <w:t>4</w:t>
    </w:r>
    <w:r w:rsidR="000002F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A2" w:rsidRDefault="00805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BD" w:rsidRDefault="003259BD" w:rsidP="00884791">
      <w:r>
        <w:separator/>
      </w:r>
    </w:p>
  </w:footnote>
  <w:footnote w:type="continuationSeparator" w:id="0">
    <w:p w:rsidR="003259BD" w:rsidRDefault="003259BD" w:rsidP="0088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A2" w:rsidRDefault="00805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BD" w:rsidRPr="009F2F4D" w:rsidRDefault="003259BD">
    <w:pPr>
      <w:pStyle w:val="Header"/>
      <w:rPr>
        <w:sz w:val="20"/>
        <w:szCs w:val="20"/>
      </w:rPr>
    </w:pPr>
    <w:r w:rsidRPr="009F2F4D">
      <w:rPr>
        <w:sz w:val="20"/>
        <w:szCs w:val="20"/>
      </w:rPr>
      <w:t xml:space="preserve">SC48-03 </w:t>
    </w:r>
    <w:r w:rsidR="004A4D95">
      <w:rPr>
        <w:sz w:val="20"/>
        <w:szCs w:val="20"/>
      </w:rPr>
      <w:t>Propuestas para enmendar el reglamento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A2" w:rsidRDefault="00805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D8"/>
    <w:multiLevelType w:val="hybridMultilevel"/>
    <w:tmpl w:val="842E46C0"/>
    <w:lvl w:ilvl="0" w:tplc="A482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CF8"/>
    <w:multiLevelType w:val="hybridMultilevel"/>
    <w:tmpl w:val="872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CAB"/>
    <w:multiLevelType w:val="hybridMultilevel"/>
    <w:tmpl w:val="F12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79B0"/>
    <w:multiLevelType w:val="hybridMultilevel"/>
    <w:tmpl w:val="B3FC7ADC"/>
    <w:lvl w:ilvl="0" w:tplc="DC381242">
      <w:numFmt w:val="bullet"/>
      <w:lvlText w:val="•"/>
      <w:lvlJc w:val="left"/>
      <w:pPr>
        <w:ind w:left="1095" w:hanging="73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2D19"/>
    <w:multiLevelType w:val="hybridMultilevel"/>
    <w:tmpl w:val="D63C4A98"/>
    <w:lvl w:ilvl="0" w:tplc="B6D6A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CD7"/>
    <w:multiLevelType w:val="hybridMultilevel"/>
    <w:tmpl w:val="193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733C"/>
    <w:multiLevelType w:val="hybridMultilevel"/>
    <w:tmpl w:val="5A10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0C80"/>
    <w:multiLevelType w:val="hybridMultilevel"/>
    <w:tmpl w:val="2A64C0A6"/>
    <w:lvl w:ilvl="0" w:tplc="3CFAAC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6771"/>
    <w:multiLevelType w:val="hybridMultilevel"/>
    <w:tmpl w:val="2DA478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015"/>
    <w:rsid w:val="000002F0"/>
    <w:rsid w:val="00004EE5"/>
    <w:rsid w:val="0002271E"/>
    <w:rsid w:val="00035A0E"/>
    <w:rsid w:val="0004356F"/>
    <w:rsid w:val="00082015"/>
    <w:rsid w:val="000850EA"/>
    <w:rsid w:val="000875B6"/>
    <w:rsid w:val="000B1354"/>
    <w:rsid w:val="000C33B1"/>
    <w:rsid w:val="000D62D1"/>
    <w:rsid w:val="000F3690"/>
    <w:rsid w:val="001024A0"/>
    <w:rsid w:val="0010690C"/>
    <w:rsid w:val="00107533"/>
    <w:rsid w:val="0013638E"/>
    <w:rsid w:val="00137F1A"/>
    <w:rsid w:val="0015717E"/>
    <w:rsid w:val="00174243"/>
    <w:rsid w:val="00191E00"/>
    <w:rsid w:val="001A2F99"/>
    <w:rsid w:val="001A76E8"/>
    <w:rsid w:val="001E7137"/>
    <w:rsid w:val="001F18B7"/>
    <w:rsid w:val="001F2874"/>
    <w:rsid w:val="001F4565"/>
    <w:rsid w:val="002019F0"/>
    <w:rsid w:val="00201BAC"/>
    <w:rsid w:val="00202E03"/>
    <w:rsid w:val="00207B53"/>
    <w:rsid w:val="00233FE7"/>
    <w:rsid w:val="00241571"/>
    <w:rsid w:val="00271A05"/>
    <w:rsid w:val="002851DB"/>
    <w:rsid w:val="002A3F2D"/>
    <w:rsid w:val="002C49DF"/>
    <w:rsid w:val="0032327E"/>
    <w:rsid w:val="003259BD"/>
    <w:rsid w:val="00335A97"/>
    <w:rsid w:val="003369E8"/>
    <w:rsid w:val="003574DE"/>
    <w:rsid w:val="003602E1"/>
    <w:rsid w:val="0036395A"/>
    <w:rsid w:val="00366826"/>
    <w:rsid w:val="00384D8D"/>
    <w:rsid w:val="003B0816"/>
    <w:rsid w:val="003C227D"/>
    <w:rsid w:val="003C580B"/>
    <w:rsid w:val="003D46EA"/>
    <w:rsid w:val="003F30F9"/>
    <w:rsid w:val="0041336C"/>
    <w:rsid w:val="00413486"/>
    <w:rsid w:val="00436964"/>
    <w:rsid w:val="00455F0A"/>
    <w:rsid w:val="004610A4"/>
    <w:rsid w:val="004640C9"/>
    <w:rsid w:val="00486C2A"/>
    <w:rsid w:val="004A46A4"/>
    <w:rsid w:val="004A4D95"/>
    <w:rsid w:val="004B0E0F"/>
    <w:rsid w:val="004B3298"/>
    <w:rsid w:val="004B5217"/>
    <w:rsid w:val="004D23FA"/>
    <w:rsid w:val="004E0916"/>
    <w:rsid w:val="00522421"/>
    <w:rsid w:val="00527F8E"/>
    <w:rsid w:val="005578CD"/>
    <w:rsid w:val="0056182F"/>
    <w:rsid w:val="00572B62"/>
    <w:rsid w:val="00582789"/>
    <w:rsid w:val="005A7303"/>
    <w:rsid w:val="005B47B7"/>
    <w:rsid w:val="005C7781"/>
    <w:rsid w:val="005E7B27"/>
    <w:rsid w:val="005F072F"/>
    <w:rsid w:val="005F16BD"/>
    <w:rsid w:val="005F3CD5"/>
    <w:rsid w:val="00630A96"/>
    <w:rsid w:val="00640A13"/>
    <w:rsid w:val="00683797"/>
    <w:rsid w:val="006A47B7"/>
    <w:rsid w:val="006B5919"/>
    <w:rsid w:val="00711D16"/>
    <w:rsid w:val="0075384E"/>
    <w:rsid w:val="00767A32"/>
    <w:rsid w:val="00787C45"/>
    <w:rsid w:val="00791E28"/>
    <w:rsid w:val="007950F9"/>
    <w:rsid w:val="0079695B"/>
    <w:rsid w:val="007A61BF"/>
    <w:rsid w:val="007B6746"/>
    <w:rsid w:val="007C3AF9"/>
    <w:rsid w:val="007C5B2C"/>
    <w:rsid w:val="007D57B5"/>
    <w:rsid w:val="007E5ED7"/>
    <w:rsid w:val="007E6DB3"/>
    <w:rsid w:val="007F2020"/>
    <w:rsid w:val="008057A2"/>
    <w:rsid w:val="00811788"/>
    <w:rsid w:val="00823CBA"/>
    <w:rsid w:val="00832408"/>
    <w:rsid w:val="008619C7"/>
    <w:rsid w:val="00865B09"/>
    <w:rsid w:val="008702E8"/>
    <w:rsid w:val="00872A44"/>
    <w:rsid w:val="00883103"/>
    <w:rsid w:val="00884791"/>
    <w:rsid w:val="00895853"/>
    <w:rsid w:val="008A641D"/>
    <w:rsid w:val="008C21DB"/>
    <w:rsid w:val="008E1EB5"/>
    <w:rsid w:val="008E70EC"/>
    <w:rsid w:val="008F2E83"/>
    <w:rsid w:val="008F7835"/>
    <w:rsid w:val="00904AEC"/>
    <w:rsid w:val="009459E5"/>
    <w:rsid w:val="00954898"/>
    <w:rsid w:val="00957611"/>
    <w:rsid w:val="00991B2E"/>
    <w:rsid w:val="009B2FB3"/>
    <w:rsid w:val="009B30CE"/>
    <w:rsid w:val="009F2F4D"/>
    <w:rsid w:val="00A0033C"/>
    <w:rsid w:val="00A004E9"/>
    <w:rsid w:val="00A1559A"/>
    <w:rsid w:val="00A30A57"/>
    <w:rsid w:val="00A559BA"/>
    <w:rsid w:val="00A61C0E"/>
    <w:rsid w:val="00A811BA"/>
    <w:rsid w:val="00A81AFC"/>
    <w:rsid w:val="00A82848"/>
    <w:rsid w:val="00AD0114"/>
    <w:rsid w:val="00AD10D1"/>
    <w:rsid w:val="00AE1B02"/>
    <w:rsid w:val="00B05AAA"/>
    <w:rsid w:val="00B06D63"/>
    <w:rsid w:val="00B13565"/>
    <w:rsid w:val="00B14505"/>
    <w:rsid w:val="00B220F1"/>
    <w:rsid w:val="00B57D21"/>
    <w:rsid w:val="00B65AC9"/>
    <w:rsid w:val="00B6738A"/>
    <w:rsid w:val="00B76A10"/>
    <w:rsid w:val="00B809AC"/>
    <w:rsid w:val="00BA4DEB"/>
    <w:rsid w:val="00BC2016"/>
    <w:rsid w:val="00BE4732"/>
    <w:rsid w:val="00BF774F"/>
    <w:rsid w:val="00C00E4F"/>
    <w:rsid w:val="00C01D6F"/>
    <w:rsid w:val="00C172DE"/>
    <w:rsid w:val="00C20571"/>
    <w:rsid w:val="00C215B6"/>
    <w:rsid w:val="00C43EAE"/>
    <w:rsid w:val="00C524B6"/>
    <w:rsid w:val="00C7073F"/>
    <w:rsid w:val="00CC4154"/>
    <w:rsid w:val="00CD0FD7"/>
    <w:rsid w:val="00CD6425"/>
    <w:rsid w:val="00CD6A66"/>
    <w:rsid w:val="00CE01A5"/>
    <w:rsid w:val="00D13E78"/>
    <w:rsid w:val="00D609DA"/>
    <w:rsid w:val="00D67121"/>
    <w:rsid w:val="00D80188"/>
    <w:rsid w:val="00D834D2"/>
    <w:rsid w:val="00D86F10"/>
    <w:rsid w:val="00D93296"/>
    <w:rsid w:val="00D97D95"/>
    <w:rsid w:val="00DB3216"/>
    <w:rsid w:val="00DB5B6F"/>
    <w:rsid w:val="00DD33D7"/>
    <w:rsid w:val="00DE7969"/>
    <w:rsid w:val="00DF4B58"/>
    <w:rsid w:val="00E226F7"/>
    <w:rsid w:val="00E25360"/>
    <w:rsid w:val="00E277C6"/>
    <w:rsid w:val="00E515A9"/>
    <w:rsid w:val="00E5462F"/>
    <w:rsid w:val="00E62FCA"/>
    <w:rsid w:val="00E70D17"/>
    <w:rsid w:val="00E84660"/>
    <w:rsid w:val="00EA136A"/>
    <w:rsid w:val="00F0178D"/>
    <w:rsid w:val="00F21343"/>
    <w:rsid w:val="00F22631"/>
    <w:rsid w:val="00F65A60"/>
    <w:rsid w:val="00F66E97"/>
    <w:rsid w:val="00F7799F"/>
    <w:rsid w:val="00F94C8F"/>
    <w:rsid w:val="00F96DB1"/>
    <w:rsid w:val="00FC00A0"/>
    <w:rsid w:val="00FC3686"/>
    <w:rsid w:val="00FC6999"/>
    <w:rsid w:val="00FD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15"/>
    <w:rPr>
      <w:rFonts w:eastAsiaTheme="minorEastAsia"/>
      <w:lang w:eastAsia="es-CR"/>
    </w:rPr>
  </w:style>
  <w:style w:type="paragraph" w:styleId="Heading1">
    <w:name w:val="heading 1"/>
    <w:basedOn w:val="Normal"/>
    <w:next w:val="Normal"/>
    <w:link w:val="Heading1Char"/>
    <w:qFormat/>
    <w:rsid w:val="000850EA"/>
    <w:pPr>
      <w:keepNext/>
      <w:jc w:val="center"/>
      <w:outlineLvl w:val="0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EA"/>
    <w:rPr>
      <w:rFonts w:ascii="Times" w:eastAsia="Times" w:hAnsi="Times" w:cs="Times New Roman"/>
      <w:b/>
      <w:sz w:val="32"/>
      <w:szCs w:val="20"/>
      <w:lang w:val="es-CR" w:eastAsia="es-CR"/>
    </w:rPr>
  </w:style>
  <w:style w:type="paragraph" w:styleId="ListParagraph">
    <w:name w:val="List Paragraph"/>
    <w:basedOn w:val="Normal"/>
    <w:uiPriority w:val="34"/>
    <w:qFormat/>
    <w:rsid w:val="000850EA"/>
    <w:pPr>
      <w:ind w:left="720"/>
      <w:contextualSpacing/>
    </w:pPr>
  </w:style>
  <w:style w:type="paragraph" w:customStyle="1" w:styleId="IUCNAddress">
    <w:name w:val="IUCN Address"/>
    <w:basedOn w:val="Normal"/>
    <w:rsid w:val="00082015"/>
    <w:pPr>
      <w:ind w:left="4961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65A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C8F"/>
    <w:rPr>
      <w:rFonts w:eastAsiaTheme="minorEastAsia"/>
      <w:sz w:val="20"/>
      <w:szCs w:val="20"/>
      <w:lang w:eastAsia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8F"/>
    <w:rPr>
      <w:rFonts w:eastAsiaTheme="minorEastAsia"/>
      <w:b/>
      <w:bCs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F"/>
    <w:rPr>
      <w:rFonts w:ascii="Tahoma" w:eastAsiaTheme="minorEastAsia" w:hAnsi="Tahoma" w:cs="Tahoma"/>
      <w:sz w:val="16"/>
      <w:szCs w:val="16"/>
      <w:lang w:eastAsia="es-CR"/>
    </w:rPr>
  </w:style>
  <w:style w:type="table" w:styleId="TableGrid">
    <w:name w:val="Table Grid"/>
    <w:basedOn w:val="TableNormal"/>
    <w:uiPriority w:val="59"/>
    <w:rsid w:val="00AD011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lastCo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AD01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91"/>
    <w:rPr>
      <w:rFonts w:eastAsiaTheme="minorEastAsia"/>
      <w:lang w:eastAsia="es-CR"/>
    </w:rPr>
  </w:style>
  <w:style w:type="paragraph" w:styleId="Footer">
    <w:name w:val="footer"/>
    <w:basedOn w:val="Normal"/>
    <w:link w:val="FooterChar"/>
    <w:uiPriority w:val="99"/>
    <w:unhideWhenUsed/>
    <w:rsid w:val="0088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91"/>
    <w:rPr>
      <w:rFonts w:eastAsiaTheme="minorEastAsia"/>
      <w:lang w:eastAsia="es-C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15"/>
    <w:rPr>
      <w:rFonts w:eastAsiaTheme="minorEastAsia"/>
      <w:lang w:eastAsia="es-CR"/>
    </w:rPr>
  </w:style>
  <w:style w:type="paragraph" w:styleId="Ttulo1">
    <w:name w:val="heading 1"/>
    <w:basedOn w:val="Normal"/>
    <w:next w:val="Normal"/>
    <w:link w:val="Ttulo1Car"/>
    <w:qFormat/>
    <w:rsid w:val="000850EA"/>
    <w:pPr>
      <w:keepNext/>
      <w:jc w:val="center"/>
      <w:outlineLvl w:val="0"/>
    </w:pPr>
    <w:rPr>
      <w:rFonts w:ascii="Times" w:eastAsia="Times" w:hAnsi="Times" w:cs="Times New Roman"/>
      <w:b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Heading 1 Char"/>
    <w:basedOn w:val="Fuentedeprrafopredeter"/>
    <w:link w:val="Ttulo1"/>
    <w:rsid w:val="000850EA"/>
    <w:rPr>
      <w:rFonts w:ascii="Times" w:eastAsia="Times" w:hAnsi="Times" w:cs="Times New Roman"/>
      <w:b/>
      <w:sz w:val="32"/>
      <w:szCs w:val="20"/>
      <w:lang w:val="es-CR" w:eastAsia="es-CR"/>
    </w:rPr>
  </w:style>
  <w:style w:type="paragraph" w:styleId="Prrafodelista">
    <w:name w:val="List Paragraph"/>
    <w:basedOn w:val="Normal"/>
    <w:uiPriority w:val="34"/>
    <w:qFormat/>
    <w:rsid w:val="000850EA"/>
    <w:pPr>
      <w:ind w:left="720"/>
      <w:contextualSpacing/>
    </w:pPr>
  </w:style>
  <w:style w:type="paragraph" w:customStyle="1" w:styleId="IUCNAddress">
    <w:name w:val="IUCN Address"/>
    <w:basedOn w:val="Normal"/>
    <w:rsid w:val="00082015"/>
    <w:pPr>
      <w:ind w:left="4961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ipervnculo">
    <w:name w:val="Hyperlink"/>
    <w:basedOn w:val="Fuentedeprrafopredeter"/>
    <w:uiPriority w:val="99"/>
    <w:rsid w:val="00F65A6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94C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C8F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uiPriority w:val="99"/>
    <w:rsid w:val="00F94C8F"/>
    <w:rPr>
      <w:rFonts w:eastAsiaTheme="minorEastAsia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C8F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F94C8F"/>
    <w:rPr>
      <w:rFonts w:eastAsiaTheme="minorEastAsia"/>
      <w:b/>
      <w:bCs/>
      <w:sz w:val="20"/>
      <w:szCs w:val="20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C8F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F94C8F"/>
    <w:rPr>
      <w:rFonts w:ascii="Tahoma" w:eastAsiaTheme="minorEastAsia" w:hAnsi="Tahoma" w:cs="Tahoma"/>
      <w:sz w:val="16"/>
      <w:szCs w:val="16"/>
      <w:lang w:eastAsia="es-CR"/>
    </w:rPr>
  </w:style>
  <w:style w:type="table" w:styleId="Tablaconcuadrcula">
    <w:name w:val="Table Grid"/>
    <w:basedOn w:val="Tablanormal"/>
    <w:uiPriority w:val="59"/>
    <w:rsid w:val="00AD011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lastCo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AD01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7274</Characters>
  <Application>Microsoft Office Word</Application>
  <DocSecurity>0</DocSecurity>
  <Lines>559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Freedom-Kai Phillips</dc:creator>
  <cp:lastModifiedBy>Ramsar\JenningsE</cp:lastModifiedBy>
  <cp:revision>2</cp:revision>
  <dcterms:created xsi:type="dcterms:W3CDTF">2014-10-21T15:20:00Z</dcterms:created>
  <dcterms:modified xsi:type="dcterms:W3CDTF">2014-10-21T15:20:00Z</dcterms:modified>
</cp:coreProperties>
</file>