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EF3D5" w14:textId="77777777" w:rsidR="00C66E4E" w:rsidRPr="007D7B87" w:rsidRDefault="00C66E4E" w:rsidP="00C66E4E">
      <w:pPr>
        <w:jc w:val="center"/>
        <w:outlineLvl w:val="0"/>
        <w:rPr>
          <w:rFonts w:eastAsia="Times New Roman" w:cstheme="majorHAnsi"/>
          <w:b/>
          <w:bCs/>
          <w:noProof/>
          <w:sz w:val="24"/>
          <w:szCs w:val="24"/>
          <w:lang w:val="es-ES"/>
        </w:rPr>
      </w:pPr>
      <w:r w:rsidRPr="007D7B87">
        <w:rPr>
          <w:rFonts w:eastAsia="Times New Roman" w:cstheme="majorHAnsi"/>
          <w:b/>
          <w:bCs/>
          <w:noProof/>
          <w:sz w:val="24"/>
          <w:szCs w:val="24"/>
          <w:lang w:val="es-ES"/>
        </w:rPr>
        <w:t xml:space="preserve">14ª Conferencia de las Partes Contratantes </w:t>
      </w:r>
    </w:p>
    <w:p w14:paraId="6B9D1FD9" w14:textId="77777777" w:rsidR="00C66E4E" w:rsidRPr="007D7B87" w:rsidRDefault="00C66E4E" w:rsidP="00C66E4E">
      <w:pPr>
        <w:jc w:val="center"/>
        <w:outlineLvl w:val="0"/>
        <w:rPr>
          <w:rFonts w:eastAsia="Times New Roman" w:cstheme="majorHAnsi"/>
          <w:b/>
          <w:bCs/>
          <w:noProof/>
          <w:sz w:val="24"/>
          <w:szCs w:val="24"/>
          <w:lang w:val="es-ES"/>
        </w:rPr>
      </w:pPr>
      <w:r w:rsidRPr="007D7B87">
        <w:rPr>
          <w:rFonts w:eastAsia="Times New Roman" w:cstheme="majorHAnsi"/>
          <w:b/>
          <w:bCs/>
          <w:noProof/>
          <w:sz w:val="24"/>
          <w:szCs w:val="24"/>
          <w:lang w:val="es-ES"/>
        </w:rPr>
        <w:t>en la Convención sobre los Humedales</w:t>
      </w:r>
    </w:p>
    <w:p w14:paraId="05DBB023" w14:textId="77777777" w:rsidR="00C66E4E" w:rsidRPr="007D7B87" w:rsidRDefault="00C66E4E" w:rsidP="00C66E4E">
      <w:pPr>
        <w:jc w:val="center"/>
        <w:outlineLvl w:val="0"/>
        <w:rPr>
          <w:rFonts w:eastAsia="Times New Roman" w:cstheme="majorHAnsi"/>
          <w:b/>
          <w:bCs/>
          <w:noProof/>
          <w:sz w:val="24"/>
          <w:szCs w:val="24"/>
          <w:lang w:val="es-ES"/>
        </w:rPr>
      </w:pPr>
    </w:p>
    <w:p w14:paraId="5800DC32" w14:textId="77777777" w:rsidR="00C66E4E" w:rsidRPr="007D7B87" w:rsidRDefault="00C66E4E" w:rsidP="00C66E4E">
      <w:pPr>
        <w:jc w:val="center"/>
        <w:outlineLvl w:val="0"/>
        <w:rPr>
          <w:rFonts w:eastAsia="Times New Roman" w:cstheme="majorHAnsi"/>
          <w:b/>
          <w:bCs/>
          <w:noProof/>
          <w:sz w:val="24"/>
          <w:szCs w:val="24"/>
          <w:lang w:val="es-ES"/>
        </w:rPr>
      </w:pPr>
      <w:r w:rsidRPr="007D7B87">
        <w:rPr>
          <w:rFonts w:eastAsia="Times New Roman" w:cstheme="majorHAnsi"/>
          <w:b/>
          <w:bCs/>
          <w:noProof/>
          <w:sz w:val="24"/>
          <w:szCs w:val="24"/>
          <w:lang w:val="es-ES"/>
        </w:rPr>
        <w:t>“Acción en favor de los humedales para las personas y la naturaleza”</w:t>
      </w:r>
    </w:p>
    <w:p w14:paraId="340C4DD2" w14:textId="77777777" w:rsidR="00C66E4E" w:rsidRPr="007D7B87" w:rsidRDefault="00C66E4E" w:rsidP="00C66E4E">
      <w:pPr>
        <w:jc w:val="center"/>
        <w:outlineLvl w:val="0"/>
        <w:rPr>
          <w:rFonts w:eastAsia="Times New Roman" w:cstheme="majorHAnsi"/>
          <w:b/>
          <w:bCs/>
          <w:noProof/>
          <w:sz w:val="24"/>
          <w:szCs w:val="24"/>
          <w:lang w:val="es-ES"/>
        </w:rPr>
      </w:pPr>
      <w:r w:rsidRPr="007D7B87">
        <w:rPr>
          <w:rFonts w:eastAsia="Times New Roman" w:cstheme="majorHAnsi"/>
          <w:b/>
          <w:bCs/>
          <w:noProof/>
          <w:sz w:val="24"/>
          <w:szCs w:val="24"/>
          <w:lang w:val="es-ES"/>
        </w:rPr>
        <w:t>Wuhan (China) y Ginebra (Suiza), 5 a 13 de noviembre de 2022</w:t>
      </w:r>
    </w:p>
    <w:p w14:paraId="537B25A6" w14:textId="77777777" w:rsidR="007856EC" w:rsidRPr="007D7B87" w:rsidRDefault="007856EC" w:rsidP="007856EC">
      <w:pPr>
        <w:ind w:right="17"/>
        <w:jc w:val="center"/>
        <w:outlineLvl w:val="0"/>
        <w:rPr>
          <w:rFonts w:cstheme="majorHAnsi"/>
          <w:b/>
          <w:bCs/>
          <w:noProof/>
          <w:sz w:val="28"/>
          <w:szCs w:val="28"/>
          <w:lang w:val="es-ES"/>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796355" w:rsidRPr="007D7B87" w14:paraId="64C6D401" w14:textId="77777777" w:rsidTr="0054389C">
        <w:tc>
          <w:tcPr>
            <w:tcW w:w="9360" w:type="dxa"/>
          </w:tcPr>
          <w:p w14:paraId="239D4E05" w14:textId="026772D4" w:rsidR="00796355" w:rsidRPr="007D7B87" w:rsidRDefault="0079613F" w:rsidP="002D300B">
            <w:pPr>
              <w:ind w:right="67"/>
              <w:jc w:val="right"/>
              <w:outlineLvl w:val="0"/>
              <w:rPr>
                <w:rFonts w:cstheme="majorHAnsi"/>
                <w:b/>
                <w:bCs/>
                <w:noProof/>
                <w:lang w:val="es-ES"/>
              </w:rPr>
            </w:pPr>
            <w:r w:rsidRPr="007D7B87">
              <w:rPr>
                <w:rFonts w:eastAsia="Times New Roman" w:cstheme="majorHAnsi"/>
                <w:b/>
                <w:bCs/>
                <w:noProof/>
                <w:sz w:val="24"/>
                <w:szCs w:val="24"/>
                <w:lang w:val="es-ES"/>
              </w:rPr>
              <w:t>Ramsar COP14 Doc.15</w:t>
            </w:r>
          </w:p>
        </w:tc>
      </w:tr>
    </w:tbl>
    <w:p w14:paraId="09101231" w14:textId="77777777" w:rsidR="00BA6428" w:rsidRPr="007D7B87" w:rsidRDefault="00BA6428" w:rsidP="00BA6428">
      <w:pPr>
        <w:rPr>
          <w:rFonts w:asciiTheme="minorHAnsi" w:hAnsiTheme="minorHAnsi"/>
          <w:b/>
          <w:noProof/>
          <w:lang w:val="es-ES"/>
        </w:rPr>
      </w:pPr>
      <w:bookmarkStart w:id="0" w:name="OLE_LINK3"/>
    </w:p>
    <w:p w14:paraId="489690C8" w14:textId="77777777" w:rsidR="00BA6428" w:rsidRPr="007D7B87" w:rsidRDefault="00BA6428" w:rsidP="00BA6428">
      <w:pPr>
        <w:rPr>
          <w:rFonts w:asciiTheme="minorHAnsi" w:hAnsiTheme="minorHAnsi"/>
          <w:b/>
          <w:noProof/>
          <w:lang w:val="es-ES"/>
        </w:rPr>
      </w:pPr>
    </w:p>
    <w:bookmarkEnd w:id="0"/>
    <w:p w14:paraId="5FC38F0F" w14:textId="675E439C" w:rsidR="00B32E40" w:rsidRPr="00C65E86" w:rsidRDefault="00C92E5A" w:rsidP="00C92E5A">
      <w:pPr>
        <w:ind w:left="0" w:firstLine="0"/>
        <w:jc w:val="center"/>
        <w:rPr>
          <w:rFonts w:asciiTheme="minorHAnsi" w:hAnsiTheme="minorHAnsi"/>
          <w:b/>
          <w:lang w:val="es-ES"/>
        </w:rPr>
      </w:pPr>
      <w:r w:rsidRPr="00C92E5A">
        <w:rPr>
          <w:rFonts w:eastAsia="Times New Roman" w:cstheme="majorHAnsi"/>
          <w:b/>
          <w:bCs/>
          <w:sz w:val="28"/>
          <w:szCs w:val="28"/>
          <w:lang w:val="es-ES"/>
        </w:rPr>
        <w:t xml:space="preserve">Informe financiero para 2019-2022 presentado por el Presidente </w:t>
      </w:r>
      <w:r>
        <w:rPr>
          <w:rFonts w:eastAsia="Times New Roman" w:cstheme="majorHAnsi"/>
          <w:b/>
          <w:bCs/>
          <w:sz w:val="28"/>
          <w:szCs w:val="28"/>
          <w:lang w:val="es-ES"/>
        </w:rPr>
        <w:br/>
      </w:r>
      <w:r w:rsidRPr="00C92E5A">
        <w:rPr>
          <w:rFonts w:eastAsia="Times New Roman" w:cstheme="majorHAnsi"/>
          <w:b/>
          <w:bCs/>
          <w:sz w:val="28"/>
          <w:szCs w:val="28"/>
          <w:lang w:val="es-ES"/>
        </w:rPr>
        <w:t xml:space="preserve">del Subgrupo de Finanzas del Comité Permanente y presupuesto </w:t>
      </w:r>
      <w:r>
        <w:rPr>
          <w:rFonts w:eastAsia="Times New Roman" w:cstheme="majorHAnsi"/>
          <w:b/>
          <w:bCs/>
          <w:sz w:val="28"/>
          <w:szCs w:val="28"/>
          <w:lang w:val="es-ES"/>
        </w:rPr>
        <w:br/>
      </w:r>
      <w:bookmarkStart w:id="1" w:name="_GoBack"/>
      <w:bookmarkEnd w:id="1"/>
      <w:r w:rsidRPr="00C92E5A">
        <w:rPr>
          <w:rFonts w:eastAsia="Times New Roman" w:cstheme="majorHAnsi"/>
          <w:b/>
          <w:bCs/>
          <w:sz w:val="28"/>
          <w:szCs w:val="28"/>
          <w:lang w:val="es-ES"/>
        </w:rPr>
        <w:t>propuesto para el trienio 2023-2025</w:t>
      </w:r>
    </w:p>
    <w:p w14:paraId="4028768F" w14:textId="0379DB92" w:rsidR="007D7B87" w:rsidRDefault="007D7B87" w:rsidP="00853A95">
      <w:pPr>
        <w:rPr>
          <w:rFonts w:asciiTheme="minorHAnsi" w:hAnsiTheme="minorHAnsi"/>
          <w:b/>
          <w:lang w:val="es-ES"/>
        </w:rPr>
      </w:pPr>
    </w:p>
    <w:p w14:paraId="74E917AC" w14:textId="77777777" w:rsidR="00C92E5A" w:rsidRPr="00C65E86" w:rsidRDefault="00C92E5A" w:rsidP="00853A95">
      <w:pPr>
        <w:rPr>
          <w:rFonts w:asciiTheme="minorHAnsi" w:hAnsiTheme="minorHAnsi"/>
          <w:b/>
          <w:lang w:val="es-ES"/>
        </w:rPr>
      </w:pPr>
    </w:p>
    <w:p w14:paraId="31EDF8AB" w14:textId="39219423" w:rsidR="00C4587F" w:rsidRPr="003A1725" w:rsidRDefault="003A1725" w:rsidP="003A1725">
      <w:pPr>
        <w:ind w:left="426" w:hanging="426"/>
        <w:rPr>
          <w:rFonts w:asciiTheme="minorHAnsi" w:hAnsiTheme="minorHAnsi"/>
          <w:bCs/>
          <w:i/>
          <w:iCs/>
          <w:color w:val="000000"/>
          <w:lang w:val="es-ES"/>
        </w:rPr>
      </w:pPr>
      <w:r>
        <w:rPr>
          <w:rFonts w:asciiTheme="minorHAnsi" w:hAnsiTheme="minorHAnsi"/>
          <w:color w:val="000000"/>
          <w:lang w:val="es-ES"/>
        </w:rPr>
        <w:t>1.</w:t>
      </w:r>
      <w:r>
        <w:rPr>
          <w:rFonts w:asciiTheme="minorHAnsi" w:hAnsiTheme="minorHAnsi"/>
          <w:color w:val="000000"/>
          <w:lang w:val="es-ES"/>
        </w:rPr>
        <w:tab/>
      </w:r>
      <w:r w:rsidR="00C4587F" w:rsidRPr="003A1725">
        <w:rPr>
          <w:rFonts w:asciiTheme="minorHAnsi" w:hAnsiTheme="minorHAnsi"/>
          <w:color w:val="000000"/>
          <w:lang w:val="es-ES"/>
        </w:rPr>
        <w:t>En la reanudación de su 59ª reunión (SC59/2022), celebrada en junio de 2022, el Comité Permanente aprobó la Decisión SC59/2022-39, en la que:</w:t>
      </w:r>
      <w:r w:rsidR="00C4587F" w:rsidRPr="003A1725">
        <w:rPr>
          <w:rFonts w:asciiTheme="minorHAnsi" w:hAnsiTheme="minorHAnsi"/>
          <w:i/>
          <w:iCs/>
          <w:color w:val="000000"/>
          <w:lang w:val="es-ES"/>
        </w:rPr>
        <w:t xml:space="preserve"> </w:t>
      </w:r>
      <w:r w:rsidR="00C4587F" w:rsidRPr="003A1725">
        <w:rPr>
          <w:bCs/>
          <w:i/>
          <w:iCs/>
          <w:lang w:val="es-ES"/>
        </w:rPr>
        <w:t>encargó a la Secretaría que, debido a las circunstancias excepcionales, presentara a la 14ª reunión de la Conferencia de las Partes Contratantes solo un escenario presupuestario A que reflejara un aumento del 0 % en comparación con los trienios 2016-2018 y 2019-2021 y 2022, tal como se describía en el documento SC59/2022 Doc.8.3;</w:t>
      </w:r>
      <w:r w:rsidR="00677D6C" w:rsidRPr="003A1725">
        <w:rPr>
          <w:bCs/>
          <w:i/>
          <w:iCs/>
          <w:lang w:val="es-ES"/>
        </w:rPr>
        <w:t xml:space="preserve"> y aprobó el proyecto de resolución sobre cuestiones financieras y presupuestarias que se examinaría en la COP14, presentado en el Anexo 2 del Informe del Subgrupo de Finanzas en el documento SC59/2022 Com.2 Rev.1</w:t>
      </w:r>
      <w:r w:rsidR="00A66D6D" w:rsidRPr="003A1725">
        <w:rPr>
          <w:bCs/>
          <w:i/>
          <w:iCs/>
          <w:lang w:val="es-ES"/>
        </w:rPr>
        <w:t>.</w:t>
      </w:r>
    </w:p>
    <w:p w14:paraId="39F3B274" w14:textId="1FCC85A4" w:rsidR="00C4587F" w:rsidRPr="00C65E86" w:rsidRDefault="00C4587F" w:rsidP="003A1725">
      <w:pPr>
        <w:ind w:left="426" w:hanging="426"/>
        <w:rPr>
          <w:rFonts w:asciiTheme="minorHAnsi" w:hAnsiTheme="minorHAnsi"/>
          <w:color w:val="000000"/>
          <w:lang w:val="es-ES"/>
        </w:rPr>
      </w:pPr>
    </w:p>
    <w:p w14:paraId="696A6861" w14:textId="0DD6A356" w:rsidR="00531DE3" w:rsidRPr="003A1725" w:rsidRDefault="003A1725" w:rsidP="003A1725">
      <w:pPr>
        <w:ind w:left="426" w:hanging="426"/>
        <w:rPr>
          <w:rFonts w:asciiTheme="minorHAnsi" w:hAnsiTheme="minorHAnsi"/>
          <w:color w:val="000000"/>
          <w:lang w:val="es-ES"/>
        </w:rPr>
      </w:pPr>
      <w:r>
        <w:rPr>
          <w:rFonts w:asciiTheme="minorHAnsi" w:hAnsiTheme="minorHAnsi"/>
          <w:color w:val="000000"/>
          <w:lang w:val="es-ES"/>
        </w:rPr>
        <w:t>2.</w:t>
      </w:r>
      <w:r>
        <w:rPr>
          <w:rFonts w:asciiTheme="minorHAnsi" w:hAnsiTheme="minorHAnsi"/>
          <w:color w:val="000000"/>
          <w:lang w:val="es-ES"/>
        </w:rPr>
        <w:tab/>
      </w:r>
      <w:r w:rsidR="00531DE3" w:rsidRPr="003A1725">
        <w:rPr>
          <w:rFonts w:asciiTheme="minorHAnsi" w:hAnsiTheme="minorHAnsi"/>
          <w:color w:val="000000"/>
          <w:lang w:val="es-ES"/>
        </w:rPr>
        <w:t>El presente doc</w:t>
      </w:r>
      <w:r w:rsidR="00C65E86" w:rsidRPr="003A1725">
        <w:rPr>
          <w:rFonts w:asciiTheme="minorHAnsi" w:hAnsiTheme="minorHAnsi"/>
          <w:color w:val="000000"/>
          <w:lang w:val="es-ES"/>
        </w:rPr>
        <w:t>u</w:t>
      </w:r>
      <w:r w:rsidR="00531DE3" w:rsidRPr="003A1725">
        <w:rPr>
          <w:rFonts w:asciiTheme="minorHAnsi" w:hAnsiTheme="minorHAnsi"/>
          <w:color w:val="000000"/>
          <w:lang w:val="es-ES"/>
        </w:rPr>
        <w:t>mento aporta información de fondo sobre los siguientes asuntos:</w:t>
      </w:r>
    </w:p>
    <w:p w14:paraId="0385B449" w14:textId="422B515E" w:rsidR="00531DE3" w:rsidRPr="003A1725" w:rsidRDefault="003A1725" w:rsidP="003A1725">
      <w:pPr>
        <w:ind w:left="851"/>
        <w:rPr>
          <w:rFonts w:asciiTheme="minorHAnsi" w:eastAsia="Batang" w:hAnsiTheme="minorHAnsi"/>
          <w:color w:val="000000"/>
          <w:lang w:val="es-ES" w:eastAsia="ko-KR"/>
        </w:rPr>
      </w:pPr>
      <w:r>
        <w:rPr>
          <w:rFonts w:asciiTheme="minorHAnsi" w:eastAsia="Batang" w:hAnsiTheme="minorHAnsi"/>
          <w:color w:val="000000"/>
          <w:lang w:val="es-ES" w:eastAsia="ko-KR"/>
        </w:rPr>
        <w:t>a.</w:t>
      </w:r>
      <w:r>
        <w:rPr>
          <w:rFonts w:asciiTheme="minorHAnsi" w:eastAsia="Batang" w:hAnsiTheme="minorHAnsi"/>
          <w:color w:val="000000"/>
          <w:lang w:val="es-ES" w:eastAsia="ko-KR"/>
        </w:rPr>
        <w:tab/>
      </w:r>
      <w:r w:rsidR="00531DE3" w:rsidRPr="003A1725">
        <w:rPr>
          <w:rFonts w:asciiTheme="minorHAnsi" w:eastAsia="Batang" w:hAnsiTheme="minorHAnsi"/>
          <w:color w:val="000000"/>
          <w:lang w:val="es-ES" w:eastAsia="ko-KR"/>
        </w:rPr>
        <w:t>ejecución de los presupuestos del trien</w:t>
      </w:r>
      <w:r w:rsidR="00C65E86" w:rsidRPr="003A1725">
        <w:rPr>
          <w:rFonts w:asciiTheme="minorHAnsi" w:eastAsia="Batang" w:hAnsiTheme="minorHAnsi"/>
          <w:color w:val="000000"/>
          <w:lang w:val="es-ES" w:eastAsia="ko-KR"/>
        </w:rPr>
        <w:t>i</w:t>
      </w:r>
      <w:r w:rsidR="00531DE3" w:rsidRPr="003A1725">
        <w:rPr>
          <w:rFonts w:asciiTheme="minorHAnsi" w:eastAsia="Batang" w:hAnsiTheme="minorHAnsi"/>
          <w:color w:val="000000"/>
          <w:lang w:val="es-ES" w:eastAsia="ko-KR"/>
        </w:rPr>
        <w:t>o 2019-2021 y 2022</w:t>
      </w:r>
      <w:r w:rsidR="00275781" w:rsidRPr="003A1725">
        <w:rPr>
          <w:rFonts w:asciiTheme="minorHAnsi" w:eastAsia="Batang" w:hAnsiTheme="minorHAnsi"/>
          <w:color w:val="000000"/>
          <w:lang w:val="es-ES" w:eastAsia="ko-KR"/>
        </w:rPr>
        <w:t>;</w:t>
      </w:r>
    </w:p>
    <w:p w14:paraId="77C5D5B2" w14:textId="39BF61D5" w:rsidR="00531DE3" w:rsidRPr="003A1725" w:rsidRDefault="003A1725" w:rsidP="003A1725">
      <w:pPr>
        <w:ind w:left="851"/>
        <w:rPr>
          <w:rFonts w:asciiTheme="minorHAnsi" w:eastAsia="Batang" w:hAnsiTheme="minorHAnsi"/>
          <w:color w:val="000000"/>
          <w:lang w:val="es-ES" w:eastAsia="ko-KR"/>
        </w:rPr>
      </w:pPr>
      <w:r>
        <w:rPr>
          <w:rFonts w:asciiTheme="minorHAnsi" w:eastAsia="Batang" w:hAnsiTheme="minorHAnsi"/>
          <w:color w:val="000000"/>
          <w:lang w:val="es-ES" w:eastAsia="ko-KR"/>
        </w:rPr>
        <w:t>b.</w:t>
      </w:r>
      <w:r>
        <w:rPr>
          <w:rFonts w:asciiTheme="minorHAnsi" w:eastAsia="Batang" w:hAnsiTheme="minorHAnsi"/>
          <w:color w:val="000000"/>
          <w:lang w:val="es-ES" w:eastAsia="ko-KR"/>
        </w:rPr>
        <w:tab/>
      </w:r>
      <w:r w:rsidR="00C65E86" w:rsidRPr="003A1725">
        <w:rPr>
          <w:rFonts w:asciiTheme="minorHAnsi" w:eastAsia="Batang" w:hAnsiTheme="minorHAnsi"/>
          <w:color w:val="000000"/>
          <w:lang w:val="es-ES" w:eastAsia="ko-KR"/>
        </w:rPr>
        <w:t>i</w:t>
      </w:r>
      <w:r w:rsidR="00531DE3" w:rsidRPr="003A1725">
        <w:rPr>
          <w:rFonts w:asciiTheme="minorHAnsi" w:eastAsia="Batang" w:hAnsiTheme="minorHAnsi"/>
          <w:color w:val="000000"/>
          <w:lang w:val="es-ES" w:eastAsia="ko-KR"/>
        </w:rPr>
        <w:t xml:space="preserve">nformación aclaratoria </w:t>
      </w:r>
      <w:r w:rsidR="00546397" w:rsidRPr="003A1725">
        <w:rPr>
          <w:rFonts w:asciiTheme="minorHAnsi" w:eastAsia="Batang" w:hAnsiTheme="minorHAnsi"/>
          <w:color w:val="000000"/>
          <w:lang w:val="es-ES" w:eastAsia="ko-KR"/>
        </w:rPr>
        <w:t>sobre el</w:t>
      </w:r>
      <w:r w:rsidR="00531DE3" w:rsidRPr="003A1725">
        <w:rPr>
          <w:rFonts w:asciiTheme="minorHAnsi" w:eastAsia="Batang" w:hAnsiTheme="minorHAnsi"/>
          <w:color w:val="000000"/>
          <w:lang w:val="es-ES" w:eastAsia="ko-KR"/>
        </w:rPr>
        <w:t xml:space="preserve"> proyecto de presupuesto para el trienio 2023-2025 </w:t>
      </w:r>
      <w:r w:rsidR="00546397" w:rsidRPr="003A1725">
        <w:rPr>
          <w:rFonts w:asciiTheme="minorHAnsi" w:eastAsia="Batang" w:hAnsiTheme="minorHAnsi"/>
          <w:color w:val="000000"/>
          <w:lang w:val="es-ES" w:eastAsia="ko-KR"/>
        </w:rPr>
        <w:t xml:space="preserve">que figura </w:t>
      </w:r>
      <w:r w:rsidR="00531DE3" w:rsidRPr="003A1725">
        <w:rPr>
          <w:rFonts w:asciiTheme="minorHAnsi" w:eastAsia="Batang" w:hAnsiTheme="minorHAnsi"/>
          <w:color w:val="000000"/>
          <w:lang w:val="es-ES" w:eastAsia="ko-KR"/>
        </w:rPr>
        <w:t>en el proyecto de resolución sobre cuestiones financiera</w:t>
      </w:r>
      <w:r w:rsidR="00C65E86" w:rsidRPr="003A1725">
        <w:rPr>
          <w:rFonts w:asciiTheme="minorHAnsi" w:eastAsia="Batang" w:hAnsiTheme="minorHAnsi"/>
          <w:color w:val="000000"/>
          <w:lang w:val="es-ES" w:eastAsia="ko-KR"/>
        </w:rPr>
        <w:t>s</w:t>
      </w:r>
      <w:r w:rsidR="00531DE3" w:rsidRPr="003A1725">
        <w:rPr>
          <w:rFonts w:asciiTheme="minorHAnsi" w:eastAsia="Batang" w:hAnsiTheme="minorHAnsi"/>
          <w:color w:val="000000"/>
          <w:lang w:val="es-ES" w:eastAsia="ko-KR"/>
        </w:rPr>
        <w:t xml:space="preserve"> y presupuestarias (documento COP14 Doc.18.1</w:t>
      </w:r>
      <w:r w:rsidR="00531DE3" w:rsidRPr="00C65E86">
        <w:rPr>
          <w:rStyle w:val="FootnoteReference"/>
          <w:rFonts w:asciiTheme="minorHAnsi" w:eastAsia="Batang" w:hAnsiTheme="minorHAnsi"/>
          <w:color w:val="000000"/>
          <w:lang w:val="es-ES" w:eastAsia="ko-KR"/>
        </w:rPr>
        <w:footnoteReference w:id="1"/>
      </w:r>
      <w:r w:rsidR="00531DE3" w:rsidRPr="003A1725">
        <w:rPr>
          <w:rFonts w:asciiTheme="minorHAnsi" w:eastAsia="Batang" w:hAnsiTheme="minorHAnsi"/>
          <w:color w:val="000000"/>
          <w:lang w:val="es-ES" w:eastAsia="ko-KR"/>
        </w:rPr>
        <w:t>) y sus anexos 1</w:t>
      </w:r>
      <w:r w:rsidR="00651253" w:rsidRPr="003A1725">
        <w:rPr>
          <w:rFonts w:asciiTheme="minorHAnsi" w:eastAsia="Batang" w:hAnsiTheme="minorHAnsi"/>
          <w:color w:val="000000"/>
          <w:lang w:val="es-ES" w:eastAsia="ko-KR"/>
        </w:rPr>
        <w:t xml:space="preserve">, 2 y </w:t>
      </w:r>
      <w:r w:rsidR="00531DE3" w:rsidRPr="003A1725">
        <w:rPr>
          <w:rFonts w:asciiTheme="minorHAnsi" w:eastAsia="Batang" w:hAnsiTheme="minorHAnsi"/>
          <w:color w:val="000000"/>
          <w:lang w:val="es-ES" w:eastAsia="ko-KR"/>
        </w:rPr>
        <w:t>3</w:t>
      </w:r>
      <w:r w:rsidR="00275781" w:rsidRPr="003A1725">
        <w:rPr>
          <w:rFonts w:asciiTheme="minorHAnsi" w:eastAsia="Batang" w:hAnsiTheme="minorHAnsi"/>
          <w:color w:val="000000"/>
          <w:lang w:val="es-ES" w:eastAsia="ko-KR"/>
        </w:rPr>
        <w:t xml:space="preserve">, mientras que el </w:t>
      </w:r>
      <w:r w:rsidR="00531DE3" w:rsidRPr="003A1725">
        <w:rPr>
          <w:rFonts w:asciiTheme="minorHAnsi" w:eastAsia="Batang" w:hAnsiTheme="minorHAnsi"/>
          <w:color w:val="000000"/>
          <w:lang w:val="es-ES" w:eastAsia="ko-KR"/>
        </w:rPr>
        <w:t xml:space="preserve">anexo 4 se finalizará </w:t>
      </w:r>
      <w:r w:rsidR="00275781" w:rsidRPr="003A1725">
        <w:rPr>
          <w:rFonts w:asciiTheme="minorHAnsi" w:eastAsia="Batang" w:hAnsiTheme="minorHAnsi"/>
          <w:color w:val="000000"/>
          <w:lang w:val="es-ES" w:eastAsia="ko-KR"/>
        </w:rPr>
        <w:t>durante</w:t>
      </w:r>
      <w:r w:rsidR="00531DE3" w:rsidRPr="003A1725">
        <w:rPr>
          <w:rFonts w:asciiTheme="minorHAnsi" w:eastAsia="Batang" w:hAnsiTheme="minorHAnsi"/>
          <w:color w:val="000000"/>
          <w:lang w:val="es-ES" w:eastAsia="ko-KR"/>
        </w:rPr>
        <w:t xml:space="preserve"> la COP14</w:t>
      </w:r>
      <w:r w:rsidR="00275781" w:rsidRPr="003A1725">
        <w:rPr>
          <w:rFonts w:asciiTheme="minorHAnsi" w:eastAsia="Batang" w:hAnsiTheme="minorHAnsi"/>
          <w:color w:val="000000"/>
          <w:lang w:val="es-ES" w:eastAsia="ko-KR"/>
        </w:rPr>
        <w:t>; y</w:t>
      </w:r>
    </w:p>
    <w:p w14:paraId="782FA552" w14:textId="70BFB46C" w:rsidR="00531DE3" w:rsidRPr="003A1725" w:rsidRDefault="003A1725" w:rsidP="003A1725">
      <w:pPr>
        <w:ind w:left="851"/>
        <w:rPr>
          <w:rFonts w:asciiTheme="minorHAnsi" w:eastAsia="Batang" w:hAnsiTheme="minorHAnsi"/>
          <w:color w:val="000000"/>
          <w:lang w:val="es-ES" w:eastAsia="ko-KR"/>
        </w:rPr>
      </w:pPr>
      <w:r>
        <w:rPr>
          <w:rFonts w:asciiTheme="minorHAnsi" w:eastAsia="Batang" w:hAnsiTheme="minorHAnsi"/>
          <w:color w:val="000000"/>
          <w:lang w:val="es-ES" w:eastAsia="ko-KR"/>
        </w:rPr>
        <w:t>c.</w:t>
      </w:r>
      <w:r>
        <w:rPr>
          <w:rFonts w:asciiTheme="minorHAnsi" w:eastAsia="Batang" w:hAnsiTheme="minorHAnsi"/>
          <w:color w:val="000000"/>
          <w:lang w:val="es-ES" w:eastAsia="ko-KR"/>
        </w:rPr>
        <w:tab/>
      </w:r>
      <w:r w:rsidR="00546397" w:rsidRPr="003A1725">
        <w:rPr>
          <w:rFonts w:asciiTheme="minorHAnsi" w:eastAsia="Batang" w:hAnsiTheme="minorHAnsi"/>
          <w:color w:val="000000"/>
          <w:lang w:val="es-ES" w:eastAsia="ko-KR"/>
        </w:rPr>
        <w:t>p</w:t>
      </w:r>
      <w:r w:rsidR="00531DE3" w:rsidRPr="003A1725">
        <w:rPr>
          <w:rFonts w:asciiTheme="minorHAnsi" w:eastAsia="Batang" w:hAnsiTheme="minorHAnsi"/>
          <w:color w:val="000000"/>
          <w:lang w:val="es-ES" w:eastAsia="ko-KR"/>
        </w:rPr>
        <w:t xml:space="preserve">erspectiva general </w:t>
      </w:r>
      <w:r w:rsidR="00546397" w:rsidRPr="003A1725">
        <w:rPr>
          <w:rFonts w:asciiTheme="minorHAnsi" w:eastAsia="Batang" w:hAnsiTheme="minorHAnsi"/>
          <w:color w:val="000000"/>
          <w:lang w:val="es-ES" w:eastAsia="ko-KR"/>
        </w:rPr>
        <w:t>sobre el</w:t>
      </w:r>
      <w:r w:rsidR="00531DE3" w:rsidRPr="003A1725">
        <w:rPr>
          <w:rFonts w:asciiTheme="minorHAnsi" w:eastAsia="Batang" w:hAnsiTheme="minorHAnsi"/>
          <w:color w:val="000000"/>
          <w:lang w:val="es-ES" w:eastAsia="ko-KR"/>
        </w:rPr>
        <w:t xml:space="preserve"> estado de las contribuciones de las Partes Contratantes</w:t>
      </w:r>
      <w:r w:rsidR="00546397" w:rsidRPr="003A1725">
        <w:rPr>
          <w:rFonts w:asciiTheme="minorHAnsi" w:eastAsia="Batang" w:hAnsiTheme="minorHAnsi"/>
          <w:color w:val="000000"/>
          <w:lang w:val="es-ES" w:eastAsia="ko-KR"/>
        </w:rPr>
        <w:t>.</w:t>
      </w:r>
    </w:p>
    <w:p w14:paraId="67EFFEFD" w14:textId="77777777" w:rsidR="00E74C69" w:rsidRPr="00C65E86" w:rsidRDefault="00E74C69" w:rsidP="00327DFA">
      <w:pPr>
        <w:pStyle w:val="ListParagraph"/>
        <w:ind w:left="425"/>
        <w:rPr>
          <w:rFonts w:asciiTheme="minorHAnsi" w:eastAsia="Batang" w:hAnsiTheme="minorHAnsi"/>
          <w:color w:val="000000"/>
          <w:lang w:val="es-ES" w:eastAsia="ko-KR"/>
        </w:rPr>
      </w:pPr>
    </w:p>
    <w:p w14:paraId="4ED28441" w14:textId="62DCDE01" w:rsidR="00546397" w:rsidRPr="00C65E86" w:rsidRDefault="00327DFA" w:rsidP="00327DFA">
      <w:pPr>
        <w:rPr>
          <w:rFonts w:asciiTheme="minorHAnsi" w:eastAsia="Batang" w:hAnsiTheme="minorHAnsi"/>
          <w:color w:val="000000"/>
          <w:lang w:val="es-ES" w:eastAsia="ko-KR"/>
        </w:rPr>
      </w:pPr>
      <w:r w:rsidRPr="00C65E86">
        <w:rPr>
          <w:rFonts w:asciiTheme="minorHAnsi" w:eastAsia="Batang" w:hAnsiTheme="minorHAnsi"/>
          <w:color w:val="000000"/>
          <w:lang w:val="es-ES" w:eastAsia="ko-KR"/>
        </w:rPr>
        <w:t>3.</w:t>
      </w:r>
      <w:r w:rsidRPr="00C65E86">
        <w:rPr>
          <w:rFonts w:asciiTheme="minorHAnsi" w:eastAsia="Batang" w:hAnsiTheme="minorHAnsi"/>
          <w:color w:val="000000"/>
          <w:lang w:val="es-ES" w:eastAsia="ko-KR"/>
        </w:rPr>
        <w:tab/>
      </w:r>
      <w:r w:rsidR="00546397" w:rsidRPr="00C65E86">
        <w:rPr>
          <w:rFonts w:asciiTheme="minorHAnsi" w:eastAsia="Batang" w:hAnsiTheme="minorHAnsi"/>
          <w:color w:val="000000"/>
          <w:lang w:val="es-ES" w:eastAsia="ko-KR"/>
        </w:rPr>
        <w:t xml:space="preserve">Aunque este documento </w:t>
      </w:r>
      <w:r w:rsidR="00956235">
        <w:rPr>
          <w:rFonts w:asciiTheme="minorHAnsi" w:eastAsia="Batang" w:hAnsiTheme="minorHAnsi"/>
          <w:color w:val="000000"/>
          <w:lang w:val="es-ES" w:eastAsia="ko-KR"/>
        </w:rPr>
        <w:t>ofrece</w:t>
      </w:r>
      <w:r w:rsidR="00546397" w:rsidRPr="00C65E86">
        <w:rPr>
          <w:rFonts w:asciiTheme="minorHAnsi" w:eastAsia="Batang" w:hAnsiTheme="minorHAnsi"/>
          <w:color w:val="000000"/>
          <w:lang w:val="es-ES" w:eastAsia="ko-KR"/>
        </w:rPr>
        <w:t xml:space="preserve"> información de fondo sobre el presupuesto básico para el trienio 2023-2025 que se presentó en la reunión SC59/2022 para su examen y aprobación por la COP14, también incluye </w:t>
      </w:r>
      <w:r w:rsidR="00ED08F0" w:rsidRPr="00C65E86">
        <w:rPr>
          <w:rFonts w:asciiTheme="minorHAnsi" w:eastAsia="Batang" w:hAnsiTheme="minorHAnsi"/>
          <w:color w:val="000000"/>
          <w:lang w:val="es-ES" w:eastAsia="ko-KR"/>
        </w:rPr>
        <w:t>observaciones</w:t>
      </w:r>
      <w:r w:rsidR="00546397" w:rsidRPr="00C65E86">
        <w:rPr>
          <w:rFonts w:asciiTheme="minorHAnsi" w:eastAsia="Batang" w:hAnsiTheme="minorHAnsi"/>
          <w:color w:val="000000"/>
          <w:lang w:val="es-ES" w:eastAsia="ko-KR"/>
        </w:rPr>
        <w:t xml:space="preserve"> de la Secretaría de la Convención, </w:t>
      </w:r>
      <w:r w:rsidR="00C65E86" w:rsidRPr="00C65E86">
        <w:rPr>
          <w:rFonts w:asciiTheme="minorHAnsi" w:eastAsia="Batang" w:hAnsiTheme="minorHAnsi"/>
          <w:color w:val="000000"/>
          <w:lang w:val="es-ES" w:eastAsia="ko-KR"/>
        </w:rPr>
        <w:t>entre</w:t>
      </w:r>
      <w:r w:rsidR="00ED08F0" w:rsidRPr="00C65E86">
        <w:rPr>
          <w:rFonts w:asciiTheme="minorHAnsi" w:eastAsia="Batang" w:hAnsiTheme="minorHAnsi"/>
          <w:color w:val="000000"/>
          <w:lang w:val="es-ES" w:eastAsia="ko-KR"/>
        </w:rPr>
        <w:t xml:space="preserve"> estas</w:t>
      </w:r>
      <w:r w:rsidR="00C65E86">
        <w:rPr>
          <w:rFonts w:asciiTheme="minorHAnsi" w:eastAsia="Batang" w:hAnsiTheme="minorHAnsi"/>
          <w:color w:val="000000"/>
          <w:lang w:val="es-ES" w:eastAsia="ko-KR"/>
        </w:rPr>
        <w:t>,</w:t>
      </w:r>
      <w:r w:rsidR="00ED08F0" w:rsidRPr="00C65E86">
        <w:rPr>
          <w:rFonts w:asciiTheme="minorHAnsi" w:eastAsia="Batang" w:hAnsiTheme="minorHAnsi"/>
          <w:color w:val="000000"/>
          <w:lang w:val="es-ES" w:eastAsia="ko-KR"/>
        </w:rPr>
        <w:t xml:space="preserve"> las</w:t>
      </w:r>
      <w:r w:rsidR="00546397" w:rsidRPr="00C65E86">
        <w:rPr>
          <w:rFonts w:asciiTheme="minorHAnsi" w:eastAsia="Batang" w:hAnsiTheme="minorHAnsi"/>
          <w:color w:val="000000"/>
          <w:lang w:val="es-ES" w:eastAsia="ko-KR"/>
        </w:rPr>
        <w:t xml:space="preserve"> posibles deficiencias en el presupuesto básico propuesto para el trienio 2023-2025. Por lo tanto, el documento tiene por objeto apoyar a las Partes Contratantes en el examen del proyecto de resolución sobre cuestiones financieras;</w:t>
      </w:r>
    </w:p>
    <w:p w14:paraId="6B3A5BA1" w14:textId="77777777" w:rsidR="00853A95" w:rsidRPr="00C65E86" w:rsidRDefault="00853A95" w:rsidP="00327DFA">
      <w:pPr>
        <w:pStyle w:val="ListParagraph"/>
        <w:ind w:left="425"/>
        <w:rPr>
          <w:rFonts w:asciiTheme="minorHAnsi" w:hAnsiTheme="minorHAnsi"/>
          <w:lang w:val="es-ES"/>
        </w:rPr>
      </w:pPr>
    </w:p>
    <w:p w14:paraId="07C6C57B" w14:textId="606CAC98" w:rsidR="00853A95" w:rsidRPr="00C65E86" w:rsidRDefault="00327DFA" w:rsidP="00A80C35">
      <w:pPr>
        <w:tabs>
          <w:tab w:val="left" w:pos="425"/>
          <w:tab w:val="left" w:pos="851"/>
        </w:tabs>
        <w:ind w:left="851" w:hanging="851"/>
        <w:rPr>
          <w:rFonts w:asciiTheme="minorHAnsi" w:hAnsiTheme="minorHAnsi"/>
          <w:lang w:val="es-ES"/>
        </w:rPr>
      </w:pPr>
      <w:r w:rsidRPr="00221E18">
        <w:rPr>
          <w:rFonts w:asciiTheme="minorHAnsi" w:eastAsiaTheme="minorHAnsi" w:hAnsiTheme="minorHAnsi" w:cs="Arial"/>
          <w:lang w:val="es-ES"/>
        </w:rPr>
        <w:t>4</w:t>
      </w:r>
      <w:r w:rsidRPr="00221E18">
        <w:rPr>
          <w:rFonts w:asciiTheme="minorHAnsi" w:hAnsiTheme="minorHAnsi"/>
          <w:lang w:val="es-ES"/>
        </w:rPr>
        <w:t>.</w:t>
      </w:r>
      <w:r w:rsidRPr="00221E18">
        <w:rPr>
          <w:rFonts w:asciiTheme="minorHAnsi" w:hAnsiTheme="minorHAnsi"/>
          <w:lang w:val="es-ES"/>
        </w:rPr>
        <w:tab/>
      </w:r>
      <w:r w:rsidR="004B68D4" w:rsidRPr="00221E18">
        <w:rPr>
          <w:rFonts w:asciiTheme="minorHAnsi" w:hAnsiTheme="minorHAnsi"/>
          <w:lang w:val="es-ES"/>
        </w:rPr>
        <w:t xml:space="preserve">Este documento contiene </w:t>
      </w:r>
      <w:r w:rsidR="00D9239B" w:rsidRPr="00221E18">
        <w:rPr>
          <w:rFonts w:asciiTheme="minorHAnsi" w:hAnsiTheme="minorHAnsi"/>
          <w:lang w:val="es-ES"/>
        </w:rPr>
        <w:t>los siguientes anexos</w:t>
      </w:r>
      <w:r w:rsidR="00853A95" w:rsidRPr="00221E18">
        <w:rPr>
          <w:rFonts w:asciiTheme="minorHAnsi" w:hAnsiTheme="minorHAnsi"/>
          <w:lang w:val="es-ES"/>
        </w:rPr>
        <w:t>:</w:t>
      </w:r>
    </w:p>
    <w:p w14:paraId="07F8BA50" w14:textId="71634532" w:rsidR="00D9239B" w:rsidRPr="00C65E86" w:rsidRDefault="00A358D4" w:rsidP="003A1725">
      <w:pPr>
        <w:ind w:left="851"/>
        <w:rPr>
          <w:rFonts w:asciiTheme="minorHAnsi" w:hAnsiTheme="minorHAnsi"/>
          <w:lang w:val="es-ES"/>
        </w:rPr>
      </w:pPr>
      <w:r w:rsidRPr="00C65E86">
        <w:rPr>
          <w:rFonts w:asciiTheme="minorHAnsi" w:hAnsiTheme="minorHAnsi"/>
          <w:lang w:val="es-ES"/>
        </w:rPr>
        <w:t>a</w:t>
      </w:r>
      <w:r w:rsidR="003231A5" w:rsidRPr="00C65E86">
        <w:rPr>
          <w:rFonts w:asciiTheme="minorHAnsi" w:hAnsiTheme="minorHAnsi"/>
          <w:lang w:val="es-ES"/>
        </w:rPr>
        <w:t>.</w:t>
      </w:r>
      <w:r w:rsidR="00A80C35" w:rsidRPr="00C65E86">
        <w:rPr>
          <w:rFonts w:asciiTheme="minorHAnsi" w:hAnsiTheme="minorHAnsi"/>
          <w:lang w:val="es-ES"/>
        </w:rPr>
        <w:tab/>
      </w:r>
      <w:r w:rsidR="00D9239B" w:rsidRPr="00C65E86">
        <w:rPr>
          <w:rFonts w:asciiTheme="minorHAnsi" w:hAnsiTheme="minorHAnsi"/>
          <w:lang w:val="es-ES"/>
        </w:rPr>
        <w:t xml:space="preserve">El anexo 1 ofrece una perspectiva general sobre la ejecución </w:t>
      </w:r>
      <w:r w:rsidR="00E63A8B">
        <w:rPr>
          <w:rFonts w:asciiTheme="minorHAnsi" w:hAnsiTheme="minorHAnsi"/>
          <w:lang w:val="es-ES"/>
        </w:rPr>
        <w:t>presupuestaria</w:t>
      </w:r>
      <w:r w:rsidR="00D9239B" w:rsidRPr="00C65E86">
        <w:rPr>
          <w:rFonts w:asciiTheme="minorHAnsi" w:hAnsiTheme="minorHAnsi"/>
          <w:lang w:val="es-ES"/>
        </w:rPr>
        <w:t xml:space="preserve"> durante el trienio 2019-2021 y en 2022.</w:t>
      </w:r>
    </w:p>
    <w:p w14:paraId="5D805A95" w14:textId="00C5318A" w:rsidR="00D9239B" w:rsidRPr="00C65E86" w:rsidRDefault="00A358D4" w:rsidP="00A358D4">
      <w:pPr>
        <w:ind w:left="850"/>
        <w:rPr>
          <w:rFonts w:asciiTheme="minorHAnsi" w:hAnsiTheme="minorHAnsi"/>
          <w:lang w:val="es-ES"/>
        </w:rPr>
      </w:pPr>
      <w:r w:rsidRPr="00C65E86">
        <w:rPr>
          <w:rFonts w:asciiTheme="minorHAnsi" w:hAnsiTheme="minorHAnsi"/>
          <w:lang w:val="es-ES"/>
        </w:rPr>
        <w:t>b</w:t>
      </w:r>
      <w:r w:rsidR="003231A5" w:rsidRPr="00C65E86">
        <w:rPr>
          <w:rFonts w:asciiTheme="minorHAnsi" w:hAnsiTheme="minorHAnsi"/>
          <w:lang w:val="es-ES"/>
        </w:rPr>
        <w:t>.</w:t>
      </w:r>
      <w:r w:rsidRPr="00C65E86">
        <w:rPr>
          <w:rFonts w:asciiTheme="minorHAnsi" w:hAnsiTheme="minorHAnsi"/>
          <w:lang w:val="es-ES"/>
        </w:rPr>
        <w:tab/>
      </w:r>
      <w:r w:rsidR="00D9239B" w:rsidRPr="00C65E86">
        <w:rPr>
          <w:rFonts w:asciiTheme="minorHAnsi" w:hAnsiTheme="minorHAnsi"/>
          <w:lang w:val="es-ES"/>
        </w:rPr>
        <w:t xml:space="preserve">El anexo 2 muestra el presupuesto básico propuesto para el trienio 2023-2025 que también figura en el documento COP14 Doc.18.1 como anexo 1, al que se agregó una columna que refleja el presupuesto de 2022 aprobado por la tercera reunión extraordinaria de la Conferencia de las Partes Contratantes (ExCOP3). </w:t>
      </w:r>
      <w:r w:rsidR="00AC19DF" w:rsidRPr="00C65E86">
        <w:rPr>
          <w:rFonts w:asciiTheme="minorHAnsi" w:hAnsiTheme="minorHAnsi"/>
          <w:lang w:val="es-ES"/>
        </w:rPr>
        <w:t>Además, los</w:t>
      </w:r>
      <w:r w:rsidR="00D9239B" w:rsidRPr="00C65E86">
        <w:rPr>
          <w:rFonts w:asciiTheme="minorHAnsi" w:hAnsiTheme="minorHAnsi"/>
          <w:lang w:val="es-ES"/>
        </w:rPr>
        <w:t xml:space="preserve"> porcentajes de gastos de personal y gastos de viaje se agregaron </w:t>
      </w:r>
      <w:r w:rsidR="00AC19DF" w:rsidRPr="00C65E86">
        <w:rPr>
          <w:rFonts w:asciiTheme="minorHAnsi" w:hAnsiTheme="minorHAnsi"/>
          <w:lang w:val="es-ES"/>
        </w:rPr>
        <w:t>al final</w:t>
      </w:r>
      <w:r w:rsidR="00D9239B" w:rsidRPr="00C65E86">
        <w:rPr>
          <w:rFonts w:asciiTheme="minorHAnsi" w:hAnsiTheme="minorHAnsi"/>
          <w:lang w:val="es-ES"/>
        </w:rPr>
        <w:t xml:space="preserve"> del presupuesto.</w:t>
      </w:r>
    </w:p>
    <w:p w14:paraId="2A770CD1" w14:textId="0F44C4E5" w:rsidR="00AC19DF" w:rsidRPr="00C65E86" w:rsidRDefault="00A358D4" w:rsidP="00A358D4">
      <w:pPr>
        <w:ind w:left="850"/>
        <w:rPr>
          <w:rFonts w:asciiTheme="minorHAnsi" w:hAnsiTheme="minorHAnsi"/>
          <w:lang w:val="es-ES"/>
        </w:rPr>
      </w:pPr>
      <w:r w:rsidRPr="00C65E86">
        <w:rPr>
          <w:rFonts w:asciiTheme="minorHAnsi" w:hAnsiTheme="minorHAnsi"/>
          <w:lang w:val="es-ES"/>
        </w:rPr>
        <w:lastRenderedPageBreak/>
        <w:t>c</w:t>
      </w:r>
      <w:r w:rsidR="003231A5" w:rsidRPr="00C65E86">
        <w:rPr>
          <w:rFonts w:asciiTheme="minorHAnsi" w:hAnsiTheme="minorHAnsi"/>
          <w:lang w:val="es-ES"/>
        </w:rPr>
        <w:t>.</w:t>
      </w:r>
      <w:r w:rsidRPr="00C65E86">
        <w:rPr>
          <w:rFonts w:asciiTheme="minorHAnsi" w:hAnsiTheme="minorHAnsi"/>
          <w:lang w:val="es-ES"/>
        </w:rPr>
        <w:tab/>
      </w:r>
      <w:r w:rsidR="00AC19DF" w:rsidRPr="00C65E86">
        <w:rPr>
          <w:rFonts w:asciiTheme="minorHAnsi" w:hAnsiTheme="minorHAnsi"/>
          <w:lang w:val="es-ES"/>
        </w:rPr>
        <w:t>El anexo 3 ofrece una perspectiva general sobre el estado de las contribuciones de las Partes Contratantes (tal y como se publicó previamente como anexo 1 del documento SC59/2022 Doc.8.2</w:t>
      </w:r>
      <w:r w:rsidR="00AC19DF" w:rsidRPr="00C65E86">
        <w:rPr>
          <w:rStyle w:val="FootnoteReference"/>
          <w:rFonts w:asciiTheme="minorHAnsi" w:hAnsiTheme="minorHAnsi"/>
          <w:lang w:val="es-ES"/>
        </w:rPr>
        <w:footnoteReference w:id="2"/>
      </w:r>
      <w:r w:rsidR="00AC19DF" w:rsidRPr="00C65E86">
        <w:rPr>
          <w:rFonts w:asciiTheme="minorHAnsi" w:hAnsiTheme="minorHAnsi"/>
          <w:lang w:val="es-ES"/>
        </w:rPr>
        <w:t>).</w:t>
      </w:r>
    </w:p>
    <w:p w14:paraId="3EE482E7" w14:textId="77777777" w:rsidR="003A1725" w:rsidRDefault="003A1725" w:rsidP="00FC2EBB">
      <w:pPr>
        <w:ind w:firstLine="0"/>
        <w:rPr>
          <w:rFonts w:asciiTheme="minorHAnsi" w:hAnsiTheme="minorHAnsi"/>
          <w:lang w:val="es-ES"/>
        </w:rPr>
      </w:pPr>
    </w:p>
    <w:p w14:paraId="73486C82" w14:textId="23EFBAF8" w:rsidR="00AC19DF" w:rsidRPr="00C65E86" w:rsidRDefault="00AC19DF" w:rsidP="00FC2EBB">
      <w:pPr>
        <w:ind w:firstLine="0"/>
        <w:rPr>
          <w:rFonts w:asciiTheme="minorHAnsi" w:hAnsiTheme="minorHAnsi"/>
          <w:lang w:val="es-ES"/>
        </w:rPr>
      </w:pPr>
      <w:r w:rsidRPr="00C65E86">
        <w:rPr>
          <w:rFonts w:asciiTheme="minorHAnsi" w:hAnsiTheme="minorHAnsi"/>
          <w:lang w:val="es-ES"/>
        </w:rPr>
        <w:t xml:space="preserve">Los </w:t>
      </w:r>
      <w:r w:rsidR="00971F33" w:rsidRPr="00C65E86">
        <w:rPr>
          <w:rFonts w:asciiTheme="minorHAnsi" w:hAnsiTheme="minorHAnsi"/>
          <w:lang w:val="es-ES"/>
        </w:rPr>
        <w:t>datos</w:t>
      </w:r>
      <w:r w:rsidRPr="00C65E86">
        <w:rPr>
          <w:rFonts w:asciiTheme="minorHAnsi" w:hAnsiTheme="minorHAnsi"/>
          <w:lang w:val="es-ES"/>
        </w:rPr>
        <w:t xml:space="preserve"> </w:t>
      </w:r>
      <w:r w:rsidR="00971F33" w:rsidRPr="00C65E86">
        <w:rPr>
          <w:rFonts w:asciiTheme="minorHAnsi" w:hAnsiTheme="minorHAnsi"/>
          <w:lang w:val="es-ES"/>
        </w:rPr>
        <w:t>relativos al cálculo de</w:t>
      </w:r>
      <w:r w:rsidR="00D178C6" w:rsidRPr="00C65E86">
        <w:rPr>
          <w:rFonts w:asciiTheme="minorHAnsi" w:hAnsiTheme="minorHAnsi"/>
          <w:lang w:val="es-ES"/>
        </w:rPr>
        <w:t xml:space="preserve"> las </w:t>
      </w:r>
      <w:r w:rsidRPr="00C65E86">
        <w:rPr>
          <w:rFonts w:asciiTheme="minorHAnsi" w:hAnsiTheme="minorHAnsi"/>
          <w:lang w:val="es-ES"/>
        </w:rPr>
        <w:t xml:space="preserve">contribuciones </w:t>
      </w:r>
      <w:r w:rsidR="00971F33" w:rsidRPr="00C65E86">
        <w:rPr>
          <w:rFonts w:asciiTheme="minorHAnsi" w:hAnsiTheme="minorHAnsi"/>
          <w:lang w:val="es-ES"/>
        </w:rPr>
        <w:t xml:space="preserve">de las Partes Contratantes </w:t>
      </w:r>
      <w:r w:rsidRPr="00C65E86">
        <w:rPr>
          <w:rFonts w:asciiTheme="minorHAnsi" w:hAnsiTheme="minorHAnsi"/>
          <w:lang w:val="es-ES"/>
        </w:rPr>
        <w:t>al presupuesto básico</w:t>
      </w:r>
      <w:r w:rsidR="00971F33" w:rsidRPr="00C65E86">
        <w:rPr>
          <w:rFonts w:asciiTheme="minorHAnsi" w:hAnsiTheme="minorHAnsi"/>
          <w:lang w:val="es-ES"/>
        </w:rPr>
        <w:t xml:space="preserve"> y los detalles sobre </w:t>
      </w:r>
      <w:r w:rsidRPr="00C65E86">
        <w:rPr>
          <w:rFonts w:asciiTheme="minorHAnsi" w:hAnsiTheme="minorHAnsi"/>
          <w:lang w:val="es-ES"/>
        </w:rPr>
        <w:t xml:space="preserve">la dotación de personal de la Secretaría para el trienio 2023-2025 </w:t>
      </w:r>
      <w:r w:rsidR="00971F33" w:rsidRPr="00C65E86">
        <w:rPr>
          <w:rFonts w:asciiTheme="minorHAnsi" w:hAnsiTheme="minorHAnsi"/>
          <w:lang w:val="es-ES"/>
        </w:rPr>
        <w:t>pueden consultarse</w:t>
      </w:r>
      <w:r w:rsidRPr="00C65E86">
        <w:rPr>
          <w:rFonts w:asciiTheme="minorHAnsi" w:hAnsiTheme="minorHAnsi"/>
          <w:lang w:val="es-ES"/>
        </w:rPr>
        <w:t xml:space="preserve"> en los anexos 2 y 3 del documento COP14 Doc.18.1. No se incluyen en el presente documento</w:t>
      </w:r>
      <w:r w:rsidR="00971F33" w:rsidRPr="00C65E86">
        <w:rPr>
          <w:rFonts w:asciiTheme="minorHAnsi" w:hAnsiTheme="minorHAnsi"/>
          <w:lang w:val="es-ES"/>
        </w:rPr>
        <w:t xml:space="preserve">, a fin de </w:t>
      </w:r>
      <w:r w:rsidRPr="00C65E86">
        <w:rPr>
          <w:rFonts w:asciiTheme="minorHAnsi" w:hAnsiTheme="minorHAnsi"/>
          <w:lang w:val="es-ES"/>
        </w:rPr>
        <w:t xml:space="preserve">evitar </w:t>
      </w:r>
      <w:r w:rsidR="008F3859" w:rsidRPr="00C65E86">
        <w:rPr>
          <w:rFonts w:asciiTheme="minorHAnsi" w:hAnsiTheme="minorHAnsi"/>
          <w:lang w:val="es-ES"/>
        </w:rPr>
        <w:t>duplicaciones</w:t>
      </w:r>
      <w:r w:rsidRPr="00C65E86">
        <w:rPr>
          <w:rFonts w:asciiTheme="minorHAnsi" w:hAnsiTheme="minorHAnsi"/>
          <w:lang w:val="es-ES"/>
        </w:rPr>
        <w:t>.</w:t>
      </w:r>
    </w:p>
    <w:p w14:paraId="17C8459B" w14:textId="77777777" w:rsidR="004639AC" w:rsidRPr="00C65E86" w:rsidRDefault="004639AC" w:rsidP="00FA6159">
      <w:pPr>
        <w:pStyle w:val="ListParagraph"/>
        <w:ind w:left="425"/>
        <w:rPr>
          <w:rFonts w:asciiTheme="minorHAnsi" w:eastAsia="Batang" w:hAnsiTheme="minorHAnsi"/>
          <w:color w:val="000000"/>
          <w:lang w:val="es-ES" w:eastAsia="ko-KR"/>
        </w:rPr>
      </w:pPr>
    </w:p>
    <w:p w14:paraId="6B7C70A0" w14:textId="04D91283" w:rsidR="008F3859" w:rsidRPr="00C65E86" w:rsidRDefault="00327DFA" w:rsidP="00FA6159">
      <w:pPr>
        <w:rPr>
          <w:rFonts w:asciiTheme="minorHAnsi" w:eastAsia="Batang" w:hAnsiTheme="minorHAnsi"/>
          <w:color w:val="000000"/>
          <w:lang w:val="es-ES" w:eastAsia="ko-KR"/>
        </w:rPr>
      </w:pPr>
      <w:r w:rsidRPr="00C65E86">
        <w:rPr>
          <w:rFonts w:asciiTheme="minorHAnsi" w:eastAsia="Batang" w:hAnsiTheme="minorHAnsi"/>
          <w:color w:val="000000"/>
          <w:lang w:val="es-ES" w:eastAsia="ko-KR"/>
        </w:rPr>
        <w:t>5.</w:t>
      </w:r>
      <w:r w:rsidRPr="00C65E86">
        <w:rPr>
          <w:rFonts w:asciiTheme="minorHAnsi" w:eastAsia="Batang" w:hAnsiTheme="minorHAnsi"/>
          <w:color w:val="000000"/>
          <w:lang w:val="es-ES" w:eastAsia="ko-KR"/>
        </w:rPr>
        <w:tab/>
      </w:r>
      <w:r w:rsidR="008F3859" w:rsidRPr="00C65E86">
        <w:rPr>
          <w:rFonts w:asciiTheme="minorHAnsi" w:eastAsia="Batang" w:hAnsiTheme="minorHAnsi"/>
          <w:color w:val="000000"/>
          <w:lang w:val="es-ES" w:eastAsia="ko-KR"/>
        </w:rPr>
        <w:t>Dado que los elementos del presupuesto complementario se debatirán y decidirán en otros puntos del orden del día en la COP14 (como se indica en el anexo 4 del documento COP14 Doc.18.1),</w:t>
      </w:r>
      <w:r w:rsidR="00935DC9" w:rsidRPr="00C65E86">
        <w:rPr>
          <w:rFonts w:asciiTheme="minorHAnsi" w:eastAsia="Batang" w:hAnsiTheme="minorHAnsi"/>
          <w:color w:val="000000"/>
          <w:lang w:val="es-ES" w:eastAsia="ko-KR"/>
        </w:rPr>
        <w:t xml:space="preserve"> este documento se centra únicamente en el presupuesto básico</w:t>
      </w:r>
      <w:r w:rsidR="0007578A" w:rsidRPr="00C65E86">
        <w:rPr>
          <w:rFonts w:asciiTheme="minorHAnsi" w:eastAsia="Batang" w:hAnsiTheme="minorHAnsi"/>
          <w:color w:val="000000"/>
          <w:lang w:val="es-ES" w:eastAsia="ko-KR"/>
        </w:rPr>
        <w:t>,</w:t>
      </w:r>
      <w:r w:rsidR="00935DC9" w:rsidRPr="00C65E86">
        <w:rPr>
          <w:rFonts w:asciiTheme="minorHAnsi" w:eastAsia="Batang" w:hAnsiTheme="minorHAnsi"/>
          <w:color w:val="000000"/>
          <w:lang w:val="es-ES" w:eastAsia="ko-KR"/>
        </w:rPr>
        <w:t xml:space="preserve"> </w:t>
      </w:r>
      <w:r w:rsidR="0007578A" w:rsidRPr="00C65E86">
        <w:rPr>
          <w:rFonts w:asciiTheme="minorHAnsi" w:eastAsia="Batang" w:hAnsiTheme="minorHAnsi"/>
          <w:color w:val="000000"/>
          <w:lang w:val="es-ES" w:eastAsia="ko-KR"/>
        </w:rPr>
        <w:t>sufragado</w:t>
      </w:r>
      <w:r w:rsidR="00935DC9" w:rsidRPr="00C65E86">
        <w:rPr>
          <w:rFonts w:asciiTheme="minorHAnsi" w:eastAsia="Batang" w:hAnsiTheme="minorHAnsi"/>
          <w:color w:val="000000"/>
          <w:lang w:val="es-ES" w:eastAsia="ko-KR"/>
        </w:rPr>
        <w:t xml:space="preserve"> </w:t>
      </w:r>
      <w:r w:rsidR="0007578A" w:rsidRPr="00C65E86">
        <w:rPr>
          <w:rFonts w:asciiTheme="minorHAnsi" w:eastAsia="Batang" w:hAnsiTheme="minorHAnsi"/>
          <w:color w:val="000000"/>
          <w:lang w:val="es-ES" w:eastAsia="ko-KR"/>
        </w:rPr>
        <w:t>con</w:t>
      </w:r>
      <w:r w:rsidR="00935DC9" w:rsidRPr="00C65E86">
        <w:rPr>
          <w:rFonts w:asciiTheme="minorHAnsi" w:eastAsia="Batang" w:hAnsiTheme="minorHAnsi"/>
          <w:color w:val="000000"/>
          <w:lang w:val="es-ES" w:eastAsia="ko-KR"/>
        </w:rPr>
        <w:t xml:space="preserve"> las contribuciones de las Partes Contratantes. Para facilitar </w:t>
      </w:r>
      <w:r w:rsidR="0007578A" w:rsidRPr="00C65E86">
        <w:rPr>
          <w:rFonts w:asciiTheme="minorHAnsi" w:eastAsia="Batang" w:hAnsiTheme="minorHAnsi"/>
          <w:color w:val="000000"/>
          <w:lang w:val="es-ES" w:eastAsia="ko-KR"/>
        </w:rPr>
        <w:t>el examen</w:t>
      </w:r>
      <w:r w:rsidR="00935DC9" w:rsidRPr="00C65E86">
        <w:rPr>
          <w:rFonts w:asciiTheme="minorHAnsi" w:eastAsia="Batang" w:hAnsiTheme="minorHAnsi"/>
          <w:color w:val="000000"/>
          <w:lang w:val="es-ES" w:eastAsia="ko-KR"/>
        </w:rPr>
        <w:t xml:space="preserve"> de posibles áreas prioritarias para la financiación </w:t>
      </w:r>
      <w:r w:rsidR="0007578A" w:rsidRPr="00C65E86">
        <w:rPr>
          <w:rFonts w:asciiTheme="minorHAnsi" w:eastAsia="Batang" w:hAnsiTheme="minorHAnsi"/>
          <w:color w:val="000000"/>
          <w:lang w:val="es-ES" w:eastAsia="ko-KR"/>
        </w:rPr>
        <w:t>con cargo al presupuesto complementario</w:t>
      </w:r>
      <w:r w:rsidR="00935DC9" w:rsidRPr="00C65E86">
        <w:rPr>
          <w:rFonts w:asciiTheme="minorHAnsi" w:eastAsia="Batang" w:hAnsiTheme="minorHAnsi"/>
          <w:color w:val="000000"/>
          <w:lang w:val="es-ES" w:eastAsia="ko-KR"/>
        </w:rPr>
        <w:t xml:space="preserve">, la Secretaría </w:t>
      </w:r>
      <w:r w:rsidR="0007578A" w:rsidRPr="00C65E86">
        <w:rPr>
          <w:rFonts w:asciiTheme="minorHAnsi" w:eastAsia="Batang" w:hAnsiTheme="minorHAnsi"/>
          <w:color w:val="000000"/>
          <w:lang w:val="es-ES" w:eastAsia="ko-KR"/>
        </w:rPr>
        <w:t>ofrecerá</w:t>
      </w:r>
      <w:r w:rsidR="00935DC9" w:rsidRPr="00C65E86">
        <w:rPr>
          <w:rFonts w:asciiTheme="minorHAnsi" w:eastAsia="Batang" w:hAnsiTheme="minorHAnsi"/>
          <w:color w:val="000000"/>
          <w:lang w:val="es-ES" w:eastAsia="ko-KR"/>
        </w:rPr>
        <w:t xml:space="preserve"> información en el informe sobre las </w:t>
      </w:r>
      <w:r w:rsidR="0007578A" w:rsidRPr="00C65E86">
        <w:rPr>
          <w:rFonts w:asciiTheme="minorHAnsi" w:eastAsia="Batang" w:hAnsiTheme="minorHAnsi"/>
          <w:color w:val="000000"/>
          <w:lang w:val="es-ES" w:eastAsia="ko-KR"/>
        </w:rPr>
        <w:t>consecuencias</w:t>
      </w:r>
      <w:r w:rsidR="00935DC9" w:rsidRPr="00C65E86">
        <w:rPr>
          <w:rFonts w:asciiTheme="minorHAnsi" w:eastAsia="Batang" w:hAnsiTheme="minorHAnsi"/>
          <w:color w:val="000000"/>
          <w:lang w:val="es-ES" w:eastAsia="ko-KR"/>
        </w:rPr>
        <w:t xml:space="preserve"> administrativas y financieras de los proyectos de resolución.</w:t>
      </w:r>
    </w:p>
    <w:p w14:paraId="4DF9FDAD" w14:textId="77777777" w:rsidR="004639AC" w:rsidRPr="00C65E86" w:rsidRDefault="004639AC" w:rsidP="00BC3E79">
      <w:pPr>
        <w:ind w:left="360" w:firstLine="0"/>
        <w:rPr>
          <w:rFonts w:asciiTheme="minorHAnsi" w:eastAsia="Batang" w:hAnsiTheme="minorHAnsi"/>
          <w:color w:val="000000"/>
          <w:lang w:val="es-ES" w:eastAsia="ko-KR"/>
        </w:rPr>
      </w:pPr>
    </w:p>
    <w:p w14:paraId="447B5294" w14:textId="2F73E0BA" w:rsidR="002D300B" w:rsidRPr="00C65E86" w:rsidRDefault="00546EAB" w:rsidP="00327DFA">
      <w:pPr>
        <w:keepNext/>
        <w:rPr>
          <w:rFonts w:asciiTheme="minorHAnsi" w:eastAsia="Batang" w:hAnsiTheme="minorHAnsi"/>
          <w:bCs/>
          <w:u w:val="single"/>
          <w:lang w:val="es-ES" w:eastAsia="ko-KR"/>
        </w:rPr>
      </w:pPr>
      <w:r w:rsidRPr="00C65E86">
        <w:rPr>
          <w:rFonts w:asciiTheme="minorHAnsi" w:eastAsia="Batang" w:hAnsiTheme="minorHAnsi"/>
          <w:bCs/>
          <w:u w:val="single"/>
          <w:lang w:val="es-ES" w:eastAsia="ko-KR"/>
        </w:rPr>
        <w:t>Ejecución del presupuesto básico en el trienio 2019-2021 y en 2022</w:t>
      </w:r>
    </w:p>
    <w:p w14:paraId="4A1BC1DF" w14:textId="77777777" w:rsidR="002D300B" w:rsidRPr="00C65E86" w:rsidRDefault="002D300B" w:rsidP="00327DFA">
      <w:pPr>
        <w:keepNext/>
        <w:rPr>
          <w:rFonts w:asciiTheme="minorHAnsi" w:eastAsia="Batang" w:hAnsiTheme="minorHAnsi"/>
          <w:bCs/>
          <w:u w:val="single"/>
          <w:lang w:val="es-ES" w:eastAsia="ko-KR"/>
        </w:rPr>
      </w:pPr>
    </w:p>
    <w:p w14:paraId="6E51D582" w14:textId="13297A88" w:rsidR="00546EAB" w:rsidRPr="00C65E86" w:rsidRDefault="00327DFA" w:rsidP="00327DFA">
      <w:pPr>
        <w:rPr>
          <w:rFonts w:asciiTheme="minorHAnsi" w:eastAsia="Batang" w:hAnsiTheme="minorHAnsi"/>
          <w:color w:val="000000"/>
          <w:lang w:val="es-ES" w:eastAsia="ko-KR"/>
        </w:rPr>
      </w:pPr>
      <w:r w:rsidRPr="00C65E86">
        <w:rPr>
          <w:rFonts w:asciiTheme="minorHAnsi" w:eastAsia="Batang" w:hAnsiTheme="minorHAnsi"/>
          <w:color w:val="000000"/>
          <w:lang w:val="es-ES" w:eastAsia="ko-KR"/>
        </w:rPr>
        <w:t>6.</w:t>
      </w:r>
      <w:r w:rsidRPr="00C65E86">
        <w:rPr>
          <w:rFonts w:asciiTheme="minorHAnsi" w:eastAsia="Batang" w:hAnsiTheme="minorHAnsi"/>
          <w:color w:val="000000"/>
          <w:lang w:val="es-ES" w:eastAsia="ko-KR"/>
        </w:rPr>
        <w:tab/>
      </w:r>
      <w:r w:rsidR="00546EAB" w:rsidRPr="00C65E86">
        <w:rPr>
          <w:rFonts w:asciiTheme="minorHAnsi" w:eastAsia="Batang" w:hAnsiTheme="minorHAnsi"/>
          <w:color w:val="000000"/>
          <w:lang w:val="es-ES" w:eastAsia="ko-KR"/>
        </w:rPr>
        <w:t>El anexo 1 presenta un breve resumen del presupuesto básico para el trienio 2019-2021, aprobado en la COP13, y el presupuesto para 2022, aprobado en la ExCOP3 (ambos con un incremento anual del 0 %). El anexo 1 también refleja cómo se ejecutaron los presupuestos en el período 2019-2022.</w:t>
      </w:r>
    </w:p>
    <w:p w14:paraId="202314F6" w14:textId="77777777" w:rsidR="00327DFA" w:rsidRPr="00C65E86" w:rsidRDefault="00327DFA" w:rsidP="00546EAB">
      <w:pPr>
        <w:ind w:left="0" w:firstLine="0"/>
        <w:rPr>
          <w:rFonts w:asciiTheme="minorHAnsi" w:eastAsia="Batang" w:hAnsiTheme="minorHAnsi"/>
          <w:color w:val="000000"/>
          <w:lang w:val="es-ES" w:eastAsia="ko-KR"/>
        </w:rPr>
      </w:pPr>
    </w:p>
    <w:p w14:paraId="12F29991" w14:textId="6ECED931" w:rsidR="00546EAB" w:rsidRPr="00C65E86" w:rsidRDefault="00327DFA" w:rsidP="00C0335C">
      <w:pPr>
        <w:rPr>
          <w:rFonts w:asciiTheme="minorHAnsi" w:eastAsia="Batang" w:hAnsiTheme="minorHAnsi"/>
          <w:color w:val="000000"/>
          <w:lang w:val="es-ES" w:eastAsia="ko-KR"/>
        </w:rPr>
      </w:pPr>
      <w:r w:rsidRPr="00C65E86">
        <w:rPr>
          <w:rFonts w:asciiTheme="minorHAnsi" w:eastAsia="Batang" w:hAnsiTheme="minorHAnsi"/>
          <w:color w:val="000000"/>
          <w:lang w:val="es-ES" w:eastAsia="ko-KR"/>
        </w:rPr>
        <w:t>7.</w:t>
      </w:r>
      <w:r w:rsidRPr="00C65E86">
        <w:rPr>
          <w:rFonts w:asciiTheme="minorHAnsi" w:eastAsia="Batang" w:hAnsiTheme="minorHAnsi"/>
          <w:color w:val="000000"/>
          <w:lang w:val="es-ES" w:eastAsia="ko-KR"/>
        </w:rPr>
        <w:tab/>
      </w:r>
      <w:r w:rsidR="00546EAB" w:rsidRPr="00C65E86">
        <w:rPr>
          <w:rFonts w:asciiTheme="minorHAnsi" w:eastAsia="Batang" w:hAnsiTheme="minorHAnsi"/>
          <w:color w:val="000000"/>
          <w:lang w:val="es-ES" w:eastAsia="ko-KR"/>
        </w:rPr>
        <w:t>Una característica esencial de este per</w:t>
      </w:r>
      <w:r w:rsidR="00221E18">
        <w:rPr>
          <w:rFonts w:asciiTheme="minorHAnsi" w:eastAsia="Batang" w:hAnsiTheme="minorHAnsi"/>
          <w:color w:val="000000"/>
          <w:lang w:val="es-ES" w:eastAsia="ko-KR"/>
        </w:rPr>
        <w:t>í</w:t>
      </w:r>
      <w:r w:rsidR="00546EAB" w:rsidRPr="00C65E86">
        <w:rPr>
          <w:rFonts w:asciiTheme="minorHAnsi" w:eastAsia="Batang" w:hAnsiTheme="minorHAnsi"/>
          <w:color w:val="000000"/>
          <w:lang w:val="es-ES" w:eastAsia="ko-KR"/>
        </w:rPr>
        <w:t xml:space="preserve">odo fue </w:t>
      </w:r>
      <w:r w:rsidR="00C0335C" w:rsidRPr="00C65E86">
        <w:rPr>
          <w:rFonts w:asciiTheme="minorHAnsi" w:eastAsia="Batang" w:hAnsiTheme="minorHAnsi"/>
          <w:color w:val="000000"/>
          <w:lang w:val="es-ES" w:eastAsia="ko-KR"/>
        </w:rPr>
        <w:t>el mejoramiento</w:t>
      </w:r>
      <w:r w:rsidR="00546EAB" w:rsidRPr="00C65E86">
        <w:rPr>
          <w:rFonts w:asciiTheme="minorHAnsi" w:eastAsia="Batang" w:hAnsiTheme="minorHAnsi"/>
          <w:color w:val="000000"/>
          <w:lang w:val="es-ES" w:eastAsia="ko-KR"/>
        </w:rPr>
        <w:t xml:space="preserve"> </w:t>
      </w:r>
      <w:r w:rsidR="00C0335C" w:rsidRPr="00C65E86">
        <w:rPr>
          <w:rFonts w:asciiTheme="minorHAnsi" w:eastAsia="Batang" w:hAnsiTheme="minorHAnsi"/>
          <w:color w:val="000000"/>
          <w:lang w:val="es-ES" w:eastAsia="ko-KR"/>
        </w:rPr>
        <w:t>de</w:t>
      </w:r>
      <w:r w:rsidR="00546EAB" w:rsidRPr="00C65E86">
        <w:rPr>
          <w:rFonts w:asciiTheme="minorHAnsi" w:eastAsia="Batang" w:hAnsiTheme="minorHAnsi"/>
          <w:color w:val="000000"/>
          <w:lang w:val="es-ES" w:eastAsia="ko-KR"/>
        </w:rPr>
        <w:t xml:space="preserve"> la gestión financiera de la Secretaría, validad</w:t>
      </w:r>
      <w:r w:rsidR="00C0335C" w:rsidRPr="00C65E86">
        <w:rPr>
          <w:rFonts w:asciiTheme="minorHAnsi" w:eastAsia="Batang" w:hAnsiTheme="minorHAnsi"/>
          <w:color w:val="000000"/>
          <w:lang w:val="es-ES" w:eastAsia="ko-KR"/>
        </w:rPr>
        <w:t>o</w:t>
      </w:r>
      <w:r w:rsidR="00546EAB" w:rsidRPr="00C65E86">
        <w:rPr>
          <w:rFonts w:asciiTheme="minorHAnsi" w:eastAsia="Batang" w:hAnsiTheme="minorHAnsi"/>
          <w:color w:val="000000"/>
          <w:lang w:val="es-ES" w:eastAsia="ko-KR"/>
        </w:rPr>
        <w:t xml:space="preserve"> por auditores externos</w:t>
      </w:r>
      <w:r w:rsidR="00C0335C" w:rsidRPr="00C65E86">
        <w:rPr>
          <w:rFonts w:asciiTheme="minorHAnsi" w:eastAsia="Batang" w:hAnsiTheme="minorHAnsi"/>
          <w:color w:val="000000"/>
          <w:lang w:val="es-ES" w:eastAsia="ko-KR"/>
        </w:rPr>
        <w:t>. Todas las cuestiones abiertas antes de la toma de posesión de la anterior Secretaria General en 2016 se cerraron en la auditoría de 2019</w:t>
      </w:r>
      <w:r w:rsidR="00546EAB" w:rsidRPr="00C65E86">
        <w:rPr>
          <w:rFonts w:asciiTheme="minorHAnsi" w:eastAsia="Batang" w:hAnsiTheme="minorHAnsi"/>
          <w:color w:val="000000"/>
          <w:lang w:val="es-ES" w:eastAsia="ko-KR"/>
        </w:rPr>
        <w:t xml:space="preserve">, </w:t>
      </w:r>
      <w:r w:rsidR="00C0335C" w:rsidRPr="00C65E86">
        <w:rPr>
          <w:rFonts w:asciiTheme="minorHAnsi" w:eastAsia="Batang" w:hAnsiTheme="minorHAnsi"/>
          <w:color w:val="000000"/>
          <w:lang w:val="es-ES" w:eastAsia="ko-KR"/>
        </w:rPr>
        <w:t>y</w:t>
      </w:r>
      <w:r w:rsidR="00546EAB" w:rsidRPr="00C65E86">
        <w:rPr>
          <w:rFonts w:asciiTheme="minorHAnsi" w:eastAsia="Batang" w:hAnsiTheme="minorHAnsi"/>
          <w:color w:val="000000"/>
          <w:lang w:val="es-ES" w:eastAsia="ko-KR"/>
        </w:rPr>
        <w:t xml:space="preserve"> </w:t>
      </w:r>
      <w:r w:rsidR="00C0335C" w:rsidRPr="00C65E86">
        <w:rPr>
          <w:rFonts w:asciiTheme="minorHAnsi" w:eastAsia="Batang" w:hAnsiTheme="minorHAnsi"/>
          <w:color w:val="000000"/>
          <w:lang w:val="es-ES" w:eastAsia="ko-KR"/>
        </w:rPr>
        <w:t xml:space="preserve">desde entonces </w:t>
      </w:r>
      <w:r w:rsidR="00546EAB" w:rsidRPr="00C65E86">
        <w:rPr>
          <w:rFonts w:asciiTheme="minorHAnsi" w:eastAsia="Batang" w:hAnsiTheme="minorHAnsi"/>
          <w:color w:val="000000"/>
          <w:lang w:val="es-ES" w:eastAsia="ko-KR"/>
        </w:rPr>
        <w:t xml:space="preserve">los auditores </w:t>
      </w:r>
      <w:r w:rsidR="00C0335C" w:rsidRPr="00C65E86">
        <w:rPr>
          <w:rFonts w:asciiTheme="minorHAnsi" w:eastAsia="Batang" w:hAnsiTheme="minorHAnsi"/>
          <w:color w:val="000000"/>
          <w:lang w:val="es-ES" w:eastAsia="ko-KR"/>
        </w:rPr>
        <w:t>no han</w:t>
      </w:r>
      <w:r w:rsidR="00546EAB" w:rsidRPr="00C65E86">
        <w:rPr>
          <w:rFonts w:asciiTheme="minorHAnsi" w:eastAsia="Batang" w:hAnsiTheme="minorHAnsi"/>
          <w:color w:val="000000"/>
          <w:lang w:val="es-ES" w:eastAsia="ko-KR"/>
        </w:rPr>
        <w:t xml:space="preserve"> planteado nuevas </w:t>
      </w:r>
      <w:r w:rsidR="00C0335C" w:rsidRPr="00C65E86">
        <w:rPr>
          <w:rFonts w:asciiTheme="minorHAnsi" w:eastAsia="Batang" w:hAnsiTheme="minorHAnsi"/>
          <w:color w:val="000000"/>
          <w:lang w:val="es-ES" w:eastAsia="ko-KR"/>
        </w:rPr>
        <w:t>observaciones</w:t>
      </w:r>
      <w:r w:rsidR="00546EAB" w:rsidRPr="00C65E86">
        <w:rPr>
          <w:rFonts w:asciiTheme="minorHAnsi" w:eastAsia="Batang" w:hAnsiTheme="minorHAnsi"/>
          <w:color w:val="000000"/>
          <w:lang w:val="es-ES" w:eastAsia="ko-KR"/>
        </w:rPr>
        <w:t>.</w:t>
      </w:r>
    </w:p>
    <w:p w14:paraId="1C413D29" w14:textId="0DD40D36" w:rsidR="00763438" w:rsidRPr="00C65E86" w:rsidRDefault="00763438" w:rsidP="00C0335C">
      <w:pPr>
        <w:ind w:left="0" w:firstLine="0"/>
        <w:rPr>
          <w:rFonts w:asciiTheme="minorHAnsi" w:eastAsia="Batang" w:hAnsiTheme="minorHAnsi"/>
          <w:color w:val="000000"/>
          <w:lang w:val="es-ES" w:eastAsia="ko-KR"/>
        </w:rPr>
      </w:pPr>
    </w:p>
    <w:p w14:paraId="121A6BB1" w14:textId="659C29DC" w:rsidR="00C0335C" w:rsidRPr="00C65E86" w:rsidRDefault="003231A5" w:rsidP="003231A5">
      <w:pPr>
        <w:rPr>
          <w:rFonts w:asciiTheme="minorHAnsi" w:eastAsia="Batang" w:hAnsiTheme="minorHAnsi"/>
          <w:color w:val="000000"/>
          <w:lang w:val="es-ES" w:eastAsia="ko-KR"/>
        </w:rPr>
      </w:pPr>
      <w:r w:rsidRPr="00C65E86">
        <w:rPr>
          <w:rFonts w:asciiTheme="minorHAnsi" w:eastAsia="Batang" w:hAnsiTheme="minorHAnsi"/>
          <w:color w:val="000000"/>
          <w:lang w:val="es-ES" w:eastAsia="ko-KR"/>
        </w:rPr>
        <w:t>8.</w:t>
      </w:r>
      <w:r w:rsidRPr="00C65E86">
        <w:rPr>
          <w:rFonts w:asciiTheme="minorHAnsi" w:eastAsia="Batang" w:hAnsiTheme="minorHAnsi"/>
          <w:color w:val="000000"/>
          <w:lang w:val="es-ES" w:eastAsia="ko-KR"/>
        </w:rPr>
        <w:tab/>
      </w:r>
      <w:r w:rsidR="009D7391" w:rsidRPr="00C65E86">
        <w:rPr>
          <w:rFonts w:asciiTheme="minorHAnsi" w:eastAsia="Batang" w:hAnsiTheme="minorHAnsi"/>
          <w:color w:val="000000"/>
          <w:lang w:val="es-ES" w:eastAsia="ko-KR"/>
        </w:rPr>
        <w:t>También se han aplicado los</w:t>
      </w:r>
      <w:r w:rsidR="00C0335C" w:rsidRPr="00C65E86">
        <w:rPr>
          <w:rFonts w:asciiTheme="minorHAnsi" w:eastAsia="Batang" w:hAnsiTheme="minorHAnsi"/>
          <w:color w:val="000000"/>
          <w:lang w:val="es-ES" w:eastAsia="ko-KR"/>
        </w:rPr>
        <w:t xml:space="preserve"> resultados positivos del </w:t>
      </w:r>
      <w:r w:rsidR="00F55A56" w:rsidRPr="00C65E86">
        <w:rPr>
          <w:rFonts w:asciiTheme="minorHAnsi" w:eastAsia="Batang" w:hAnsiTheme="minorHAnsi"/>
          <w:color w:val="000000"/>
          <w:lang w:val="es-ES" w:eastAsia="ko-KR"/>
        </w:rPr>
        <w:t>E</w:t>
      </w:r>
      <w:r w:rsidR="00C0335C" w:rsidRPr="00C65E86">
        <w:rPr>
          <w:rFonts w:asciiTheme="minorHAnsi" w:eastAsia="Batang" w:hAnsiTheme="minorHAnsi"/>
          <w:color w:val="000000"/>
          <w:lang w:val="es-ES" w:eastAsia="ko-KR"/>
        </w:rPr>
        <w:t xml:space="preserve">xamen de </w:t>
      </w:r>
      <w:r w:rsidR="00904E3B">
        <w:rPr>
          <w:rFonts w:asciiTheme="minorHAnsi" w:eastAsia="Batang" w:hAnsiTheme="minorHAnsi"/>
          <w:color w:val="000000"/>
          <w:lang w:val="es-ES" w:eastAsia="ko-KR"/>
        </w:rPr>
        <w:t>las finanzas</w:t>
      </w:r>
      <w:r w:rsidR="00C0335C" w:rsidRPr="00C65E86">
        <w:rPr>
          <w:rFonts w:asciiTheme="minorHAnsi" w:eastAsia="Batang" w:hAnsiTheme="minorHAnsi"/>
          <w:color w:val="000000"/>
          <w:lang w:val="es-ES" w:eastAsia="ko-KR"/>
        </w:rPr>
        <w:t xml:space="preserve"> </w:t>
      </w:r>
      <w:r w:rsidR="00904E3B">
        <w:rPr>
          <w:rFonts w:asciiTheme="minorHAnsi" w:eastAsia="Batang" w:hAnsiTheme="minorHAnsi"/>
          <w:color w:val="000000"/>
          <w:lang w:val="es-ES" w:eastAsia="ko-KR"/>
        </w:rPr>
        <w:t>con cargo al presupuesto</w:t>
      </w:r>
      <w:r w:rsidR="00C0335C" w:rsidRPr="00C65E86">
        <w:rPr>
          <w:rFonts w:asciiTheme="minorHAnsi" w:eastAsia="Batang" w:hAnsiTheme="minorHAnsi"/>
          <w:color w:val="000000"/>
          <w:lang w:val="es-ES" w:eastAsia="ko-KR"/>
        </w:rPr>
        <w:t xml:space="preserve"> </w:t>
      </w:r>
      <w:r w:rsidR="00904E3B">
        <w:rPr>
          <w:rFonts w:asciiTheme="minorHAnsi" w:eastAsia="Batang" w:hAnsiTheme="minorHAnsi"/>
          <w:color w:val="000000"/>
          <w:lang w:val="es-ES" w:eastAsia="ko-KR"/>
        </w:rPr>
        <w:t>no básico</w:t>
      </w:r>
      <w:r w:rsidR="006C5523">
        <w:rPr>
          <w:rFonts w:asciiTheme="minorHAnsi" w:eastAsia="Batang" w:hAnsiTheme="minorHAnsi"/>
          <w:color w:val="000000"/>
          <w:lang w:val="es-ES" w:eastAsia="ko-KR"/>
        </w:rPr>
        <w:t xml:space="preserve"> (restringido)</w:t>
      </w:r>
      <w:r w:rsidR="00C0335C" w:rsidRPr="00C65E86">
        <w:rPr>
          <w:rFonts w:asciiTheme="minorHAnsi" w:eastAsia="Batang" w:hAnsiTheme="minorHAnsi"/>
          <w:color w:val="000000"/>
          <w:lang w:val="es-ES" w:eastAsia="ko-KR"/>
        </w:rPr>
        <w:t>, realizad</w:t>
      </w:r>
      <w:r w:rsidR="00904E3B">
        <w:rPr>
          <w:rFonts w:asciiTheme="minorHAnsi" w:eastAsia="Batang" w:hAnsiTheme="minorHAnsi"/>
          <w:color w:val="000000"/>
          <w:lang w:val="es-ES" w:eastAsia="ko-KR"/>
        </w:rPr>
        <w:t xml:space="preserve">o </w:t>
      </w:r>
      <w:r w:rsidR="00C0335C" w:rsidRPr="00C65E86">
        <w:rPr>
          <w:rFonts w:asciiTheme="minorHAnsi" w:eastAsia="Batang" w:hAnsiTheme="minorHAnsi"/>
          <w:color w:val="000000"/>
          <w:lang w:val="es-ES" w:eastAsia="ko-KR"/>
        </w:rPr>
        <w:t xml:space="preserve">por la </w:t>
      </w:r>
      <w:r w:rsidR="00904E3B">
        <w:rPr>
          <w:rFonts w:asciiTheme="minorHAnsi" w:eastAsia="Batang" w:hAnsiTheme="minorHAnsi"/>
          <w:color w:val="000000"/>
          <w:lang w:val="es-ES" w:eastAsia="ko-KR"/>
        </w:rPr>
        <w:t>División</w:t>
      </w:r>
      <w:r w:rsidR="00C0335C" w:rsidRPr="00C65E86">
        <w:rPr>
          <w:rFonts w:asciiTheme="minorHAnsi" w:eastAsia="Batang" w:hAnsiTheme="minorHAnsi"/>
          <w:color w:val="000000"/>
          <w:lang w:val="es-ES" w:eastAsia="ko-KR"/>
        </w:rPr>
        <w:t xml:space="preserve"> de Supervisión de la UICN y presentad</w:t>
      </w:r>
      <w:r w:rsidR="00904E3B">
        <w:rPr>
          <w:rFonts w:asciiTheme="minorHAnsi" w:eastAsia="Batang" w:hAnsiTheme="minorHAnsi"/>
          <w:color w:val="000000"/>
          <w:lang w:val="es-ES" w:eastAsia="ko-KR"/>
        </w:rPr>
        <w:t>o</w:t>
      </w:r>
      <w:r w:rsidR="00C0335C" w:rsidRPr="00C65E86">
        <w:rPr>
          <w:rFonts w:asciiTheme="minorHAnsi" w:eastAsia="Batang" w:hAnsiTheme="minorHAnsi"/>
          <w:color w:val="000000"/>
          <w:lang w:val="es-ES" w:eastAsia="ko-KR"/>
        </w:rPr>
        <w:t xml:space="preserve"> al Comité Permanente en la reunión SC55</w:t>
      </w:r>
      <w:r w:rsidR="006C5523">
        <w:rPr>
          <w:rFonts w:asciiTheme="minorHAnsi" w:eastAsia="Batang" w:hAnsiTheme="minorHAnsi"/>
          <w:color w:val="000000"/>
          <w:lang w:val="es-ES" w:eastAsia="ko-KR"/>
        </w:rPr>
        <w:t>.</w:t>
      </w:r>
      <w:r w:rsidR="006A1CD6" w:rsidRPr="00C65E86">
        <w:rPr>
          <w:rFonts w:asciiTheme="minorHAnsi" w:eastAsia="Batang" w:hAnsiTheme="minorHAnsi"/>
          <w:color w:val="000000"/>
          <w:lang w:val="es-ES" w:eastAsia="ko-KR"/>
        </w:rPr>
        <w:t xml:space="preserve"> Queda un asunto pendiente, a la espera </w:t>
      </w:r>
      <w:r w:rsidR="00C0335C" w:rsidRPr="00C65E86">
        <w:rPr>
          <w:rFonts w:asciiTheme="minorHAnsi" w:eastAsia="Batang" w:hAnsiTheme="minorHAnsi"/>
          <w:color w:val="000000"/>
          <w:lang w:val="es-ES" w:eastAsia="ko-KR"/>
        </w:rPr>
        <w:t xml:space="preserve">de </w:t>
      </w:r>
      <w:r w:rsidR="006A1CD6" w:rsidRPr="00C65E86">
        <w:rPr>
          <w:rFonts w:asciiTheme="minorHAnsi" w:eastAsia="Batang" w:hAnsiTheme="minorHAnsi"/>
          <w:color w:val="000000"/>
          <w:lang w:val="es-ES" w:eastAsia="ko-KR"/>
        </w:rPr>
        <w:t xml:space="preserve">los </w:t>
      </w:r>
      <w:r w:rsidR="00C0335C" w:rsidRPr="00C65E86">
        <w:rPr>
          <w:rFonts w:asciiTheme="minorHAnsi" w:eastAsia="Batang" w:hAnsiTheme="minorHAnsi"/>
          <w:color w:val="000000"/>
          <w:lang w:val="es-ES" w:eastAsia="ko-KR"/>
        </w:rPr>
        <w:t>desarrollo</w:t>
      </w:r>
      <w:r w:rsidR="006A1CD6" w:rsidRPr="00C65E86">
        <w:rPr>
          <w:rFonts w:asciiTheme="minorHAnsi" w:eastAsia="Batang" w:hAnsiTheme="minorHAnsi"/>
          <w:color w:val="000000"/>
          <w:lang w:val="es-ES" w:eastAsia="ko-KR"/>
        </w:rPr>
        <w:t>s</w:t>
      </w:r>
      <w:r w:rsidR="00C0335C" w:rsidRPr="00C65E86">
        <w:rPr>
          <w:rFonts w:asciiTheme="minorHAnsi" w:eastAsia="Batang" w:hAnsiTheme="minorHAnsi"/>
          <w:color w:val="000000"/>
          <w:lang w:val="es-ES" w:eastAsia="ko-KR"/>
        </w:rPr>
        <w:t xml:space="preserve"> en la UICN.</w:t>
      </w:r>
    </w:p>
    <w:p w14:paraId="43054FB7" w14:textId="3DCFF43A" w:rsidR="00FA276A" w:rsidRPr="00C65E86" w:rsidRDefault="00FA276A" w:rsidP="00F55A56">
      <w:pPr>
        <w:ind w:left="0" w:firstLine="0"/>
        <w:rPr>
          <w:rFonts w:asciiTheme="minorHAnsi" w:eastAsia="Batang" w:hAnsiTheme="minorHAnsi"/>
          <w:color w:val="000000"/>
          <w:lang w:val="es-ES" w:eastAsia="ko-KR"/>
        </w:rPr>
      </w:pPr>
    </w:p>
    <w:p w14:paraId="234385FF" w14:textId="7B8D5DCE" w:rsidR="00F55A56" w:rsidRPr="00C65E86" w:rsidRDefault="003231A5" w:rsidP="003231A5">
      <w:pPr>
        <w:rPr>
          <w:lang w:val="es-ES"/>
        </w:rPr>
      </w:pPr>
      <w:r w:rsidRPr="00C65E86">
        <w:rPr>
          <w:lang w:val="es-ES"/>
        </w:rPr>
        <w:t>9.</w:t>
      </w:r>
      <w:r w:rsidRPr="00C65E86">
        <w:rPr>
          <w:lang w:val="es-ES"/>
        </w:rPr>
        <w:tab/>
      </w:r>
      <w:r w:rsidR="00F55A56" w:rsidRPr="00C65E86">
        <w:rPr>
          <w:lang w:val="es-ES"/>
        </w:rPr>
        <w:t xml:space="preserve">Se han documentado las responsabilidades internas y la </w:t>
      </w:r>
      <w:r w:rsidR="006C5523">
        <w:rPr>
          <w:lang w:val="es-ES"/>
        </w:rPr>
        <w:t>distribución</w:t>
      </w:r>
      <w:r w:rsidR="00F55A56" w:rsidRPr="00C65E86">
        <w:rPr>
          <w:lang w:val="es-ES"/>
        </w:rPr>
        <w:t xml:space="preserve"> de los controles entre la UICN y la Secretaría, </w:t>
      </w:r>
      <w:r w:rsidR="00A13DB3" w:rsidRPr="00C65E86">
        <w:rPr>
          <w:lang w:val="es-ES"/>
        </w:rPr>
        <w:t>a fin de</w:t>
      </w:r>
      <w:r w:rsidR="00F55A56" w:rsidRPr="00C65E86">
        <w:rPr>
          <w:lang w:val="es-ES"/>
        </w:rPr>
        <w:t xml:space="preserve"> garantizar que los procesos de gestión financiera de la Secretaría se ajusten a las políticas y los procedimientos de la UICN cuando </w:t>
      </w:r>
      <w:r w:rsidR="006C5523">
        <w:rPr>
          <w:lang w:val="es-ES"/>
        </w:rPr>
        <w:t>proceda</w:t>
      </w:r>
      <w:r w:rsidR="00F55A56" w:rsidRPr="00C65E86">
        <w:rPr>
          <w:lang w:val="es-ES"/>
        </w:rPr>
        <w:t>.</w:t>
      </w:r>
    </w:p>
    <w:p w14:paraId="5AC9FA7E" w14:textId="77777777" w:rsidR="00763438" w:rsidRPr="00C65E86" w:rsidRDefault="00763438" w:rsidP="00A13DB3">
      <w:pPr>
        <w:ind w:left="0" w:firstLine="0"/>
        <w:rPr>
          <w:rFonts w:asciiTheme="minorHAnsi" w:eastAsia="Batang" w:hAnsiTheme="minorHAnsi"/>
          <w:color w:val="000000"/>
          <w:lang w:val="es-ES" w:eastAsia="ko-KR"/>
        </w:rPr>
      </w:pPr>
    </w:p>
    <w:p w14:paraId="5B57BE10" w14:textId="6E96AFD2" w:rsidR="00A13DB3" w:rsidRPr="00C65E86" w:rsidRDefault="003231A5" w:rsidP="00327DFA">
      <w:pPr>
        <w:rPr>
          <w:rFonts w:asciiTheme="minorHAnsi" w:eastAsia="Batang" w:hAnsiTheme="minorHAnsi"/>
          <w:color w:val="000000"/>
          <w:lang w:val="es-ES" w:eastAsia="ko-KR"/>
        </w:rPr>
      </w:pPr>
      <w:r w:rsidRPr="00C65E86">
        <w:rPr>
          <w:rFonts w:asciiTheme="minorHAnsi" w:eastAsia="Batang" w:hAnsiTheme="minorHAnsi"/>
          <w:color w:val="000000"/>
          <w:lang w:val="es-ES" w:eastAsia="ko-KR"/>
        </w:rPr>
        <w:t>10</w:t>
      </w:r>
      <w:r w:rsidR="00327DFA" w:rsidRPr="00C65E86">
        <w:rPr>
          <w:rFonts w:asciiTheme="minorHAnsi" w:eastAsia="Batang" w:hAnsiTheme="minorHAnsi"/>
          <w:color w:val="000000"/>
          <w:lang w:val="es-ES" w:eastAsia="ko-KR"/>
        </w:rPr>
        <w:t>.</w:t>
      </w:r>
      <w:r w:rsidR="00327DFA" w:rsidRPr="00C65E86">
        <w:rPr>
          <w:rFonts w:asciiTheme="minorHAnsi" w:eastAsia="Batang" w:hAnsiTheme="minorHAnsi"/>
          <w:color w:val="000000"/>
          <w:lang w:val="es-ES" w:eastAsia="ko-KR"/>
        </w:rPr>
        <w:tab/>
      </w:r>
      <w:r w:rsidR="00A13DB3" w:rsidRPr="00C65E86">
        <w:rPr>
          <w:rFonts w:asciiTheme="minorHAnsi" w:eastAsia="Batang" w:hAnsiTheme="minorHAnsi"/>
          <w:color w:val="000000"/>
          <w:lang w:val="es-ES" w:eastAsia="ko-KR"/>
        </w:rPr>
        <w:t xml:space="preserve">Se registraron </w:t>
      </w:r>
      <w:r w:rsidR="00143897">
        <w:rPr>
          <w:rFonts w:asciiTheme="minorHAnsi" w:eastAsia="Batang" w:hAnsiTheme="minorHAnsi"/>
          <w:color w:val="000000"/>
          <w:lang w:val="es-ES" w:eastAsia="ko-KR"/>
        </w:rPr>
        <w:t>excedentes</w:t>
      </w:r>
      <w:r w:rsidR="00A13DB3" w:rsidRPr="00C65E86">
        <w:rPr>
          <w:rFonts w:asciiTheme="minorHAnsi" w:eastAsia="Batang" w:hAnsiTheme="minorHAnsi"/>
          <w:color w:val="000000"/>
          <w:lang w:val="es-ES" w:eastAsia="ko-KR"/>
        </w:rPr>
        <w:t xml:space="preserve"> en el presupuesto básico durante el período que abarca el informe, sobre todo debido a los puestos vacantes en 2019, mientras que los </w:t>
      </w:r>
      <w:r w:rsidR="006C5523">
        <w:rPr>
          <w:rFonts w:asciiTheme="minorHAnsi" w:eastAsia="Batang" w:hAnsiTheme="minorHAnsi"/>
          <w:color w:val="000000"/>
          <w:lang w:val="es-ES" w:eastAsia="ko-KR"/>
        </w:rPr>
        <w:t>excedentes</w:t>
      </w:r>
      <w:r w:rsidR="00A13DB3" w:rsidRPr="00C65E86">
        <w:rPr>
          <w:rFonts w:asciiTheme="minorHAnsi" w:eastAsia="Batang" w:hAnsiTheme="minorHAnsi"/>
          <w:color w:val="000000"/>
          <w:lang w:val="es-ES" w:eastAsia="ko-KR"/>
        </w:rPr>
        <w:t xml:space="preserve"> </w:t>
      </w:r>
      <w:r w:rsidR="006C5523">
        <w:rPr>
          <w:rFonts w:asciiTheme="minorHAnsi" w:eastAsia="Batang" w:hAnsiTheme="minorHAnsi"/>
          <w:color w:val="000000"/>
          <w:lang w:val="es-ES" w:eastAsia="ko-KR"/>
        </w:rPr>
        <w:t>de</w:t>
      </w:r>
      <w:r w:rsidR="00A13DB3" w:rsidRPr="00C65E86">
        <w:rPr>
          <w:rFonts w:asciiTheme="minorHAnsi" w:eastAsia="Batang" w:hAnsiTheme="minorHAnsi"/>
          <w:color w:val="000000"/>
          <w:lang w:val="es-ES" w:eastAsia="ko-KR"/>
        </w:rPr>
        <w:t xml:space="preserve"> 2020 y 2021 se debieron a la infrautilización de ciertas partidas presupuestarias, como los viajes y las reuniones de los órganos de gobierno y subsidiarios</w:t>
      </w:r>
      <w:r w:rsidR="006C5523">
        <w:rPr>
          <w:rFonts w:asciiTheme="minorHAnsi" w:eastAsia="Batang" w:hAnsiTheme="minorHAnsi"/>
          <w:color w:val="000000"/>
          <w:lang w:val="es-ES" w:eastAsia="ko-KR"/>
        </w:rPr>
        <w:t>,</w:t>
      </w:r>
      <w:r w:rsidR="00A13DB3" w:rsidRPr="00C65E86">
        <w:rPr>
          <w:rFonts w:asciiTheme="minorHAnsi" w:eastAsia="Batang" w:hAnsiTheme="minorHAnsi"/>
          <w:color w:val="000000"/>
          <w:lang w:val="es-ES" w:eastAsia="ko-KR"/>
        </w:rPr>
        <w:t xml:space="preserve"> </w:t>
      </w:r>
      <w:r w:rsidR="006C5523">
        <w:rPr>
          <w:rFonts w:asciiTheme="minorHAnsi" w:eastAsia="Batang" w:hAnsiTheme="minorHAnsi"/>
          <w:color w:val="000000"/>
          <w:lang w:val="es-ES" w:eastAsia="ko-KR"/>
        </w:rPr>
        <w:t>a</w:t>
      </w:r>
      <w:r w:rsidR="00A13DB3" w:rsidRPr="00C65E86">
        <w:rPr>
          <w:rFonts w:asciiTheme="minorHAnsi" w:eastAsia="Batang" w:hAnsiTheme="minorHAnsi"/>
          <w:color w:val="000000"/>
          <w:lang w:val="es-ES" w:eastAsia="ko-KR"/>
        </w:rPr>
        <w:t xml:space="preserve"> consecuencia de las restricciones durante la pandemia del COVID-19.</w:t>
      </w:r>
    </w:p>
    <w:p w14:paraId="45AF7315" w14:textId="77777777" w:rsidR="00622F48" w:rsidRPr="00C65E86" w:rsidRDefault="00622F48" w:rsidP="00327DFA">
      <w:pPr>
        <w:rPr>
          <w:rFonts w:asciiTheme="minorHAnsi" w:eastAsia="Batang" w:hAnsiTheme="minorHAnsi"/>
          <w:color w:val="000000"/>
          <w:lang w:val="es-ES" w:eastAsia="ko-KR"/>
        </w:rPr>
      </w:pPr>
    </w:p>
    <w:p w14:paraId="452ADD78" w14:textId="5E7F368C" w:rsidR="007872CF" w:rsidRPr="00C65E86" w:rsidRDefault="003231A5" w:rsidP="00D617A4">
      <w:pPr>
        <w:rPr>
          <w:rFonts w:asciiTheme="minorHAnsi" w:eastAsia="Batang" w:hAnsiTheme="minorHAnsi"/>
          <w:color w:val="000000"/>
          <w:lang w:val="es-ES" w:eastAsia="ko-KR"/>
        </w:rPr>
      </w:pPr>
      <w:r w:rsidRPr="00C65E86">
        <w:rPr>
          <w:rFonts w:asciiTheme="minorHAnsi" w:eastAsia="Batang" w:hAnsiTheme="minorHAnsi"/>
          <w:color w:val="000000"/>
          <w:lang w:val="es-ES" w:eastAsia="ko-KR"/>
        </w:rPr>
        <w:t>11</w:t>
      </w:r>
      <w:r w:rsidR="00327DFA" w:rsidRPr="00C65E86">
        <w:rPr>
          <w:rFonts w:asciiTheme="minorHAnsi" w:eastAsia="Batang" w:hAnsiTheme="minorHAnsi"/>
          <w:color w:val="000000"/>
          <w:lang w:val="es-ES" w:eastAsia="ko-KR"/>
        </w:rPr>
        <w:t>.</w:t>
      </w:r>
      <w:r w:rsidR="00327DFA" w:rsidRPr="00C65E86">
        <w:rPr>
          <w:rFonts w:asciiTheme="minorHAnsi" w:eastAsia="Batang" w:hAnsiTheme="minorHAnsi"/>
          <w:color w:val="000000"/>
          <w:lang w:val="es-ES" w:eastAsia="ko-KR"/>
        </w:rPr>
        <w:tab/>
      </w:r>
      <w:r w:rsidR="007872CF" w:rsidRPr="00C65E86">
        <w:rPr>
          <w:rFonts w:asciiTheme="minorHAnsi" w:eastAsia="Batang" w:hAnsiTheme="minorHAnsi"/>
          <w:color w:val="000000"/>
          <w:lang w:val="es-ES" w:eastAsia="ko-KR"/>
        </w:rPr>
        <w:t xml:space="preserve">El Comité Permanente reconoció los saldos identificados por la Secretaría y los </w:t>
      </w:r>
      <w:r w:rsidR="006C5523">
        <w:rPr>
          <w:rFonts w:asciiTheme="minorHAnsi" w:eastAsia="Batang" w:hAnsiTheme="minorHAnsi"/>
          <w:color w:val="000000"/>
          <w:lang w:val="es-ES" w:eastAsia="ko-KR"/>
        </w:rPr>
        <w:t>excedentes</w:t>
      </w:r>
      <w:r w:rsidR="007872CF" w:rsidRPr="00C65E86">
        <w:rPr>
          <w:rFonts w:asciiTheme="minorHAnsi" w:eastAsia="Batang" w:hAnsiTheme="minorHAnsi"/>
          <w:color w:val="000000"/>
          <w:lang w:val="es-ES" w:eastAsia="ko-KR"/>
        </w:rPr>
        <w:t xml:space="preserve"> del presupuesto básico, y decidió su utilización en las reuniones SC58, SC59 y SC59/2022. En las reuniones SC58 y SC59, el Comité Permanente aprobó la asignación de una parte de estos saldos para fines específicos, entre ellos el Día Mundial de los Humedales 2022, el examen y consolidación de las resoluciones, las mejoras en el sitio web de la Convención, el examen del </w:t>
      </w:r>
      <w:r w:rsidR="007872CF" w:rsidRPr="00C65E86">
        <w:rPr>
          <w:rFonts w:asciiTheme="minorHAnsi" w:eastAsia="Batang" w:hAnsiTheme="minorHAnsi"/>
          <w:color w:val="000000"/>
          <w:lang w:val="es-ES" w:eastAsia="ko-KR"/>
        </w:rPr>
        <w:lastRenderedPageBreak/>
        <w:t>Plan Estratégico, y el análisis financiero y de procedimiento de las opciones relativas a la situación jurídica de la Secretaría.</w:t>
      </w:r>
      <w:r w:rsidR="00550AD2" w:rsidRPr="00C65E86">
        <w:rPr>
          <w:rFonts w:asciiTheme="minorHAnsi" w:eastAsia="Batang" w:hAnsiTheme="minorHAnsi"/>
          <w:color w:val="000000"/>
          <w:lang w:val="es-ES" w:eastAsia="ko-KR"/>
        </w:rPr>
        <w:t xml:space="preserve"> Además, el Comité Permanente aprobó la asignación de ahorros para cubrir el déficit del presupuesto básico </w:t>
      </w:r>
      <w:r w:rsidR="003C4245">
        <w:rPr>
          <w:rFonts w:asciiTheme="minorHAnsi" w:eastAsia="Batang" w:hAnsiTheme="minorHAnsi"/>
          <w:color w:val="000000"/>
          <w:lang w:val="es-ES" w:eastAsia="ko-KR"/>
        </w:rPr>
        <w:t>a fin de</w:t>
      </w:r>
      <w:r w:rsidR="00550AD2" w:rsidRPr="00C65E86">
        <w:rPr>
          <w:rFonts w:asciiTheme="minorHAnsi" w:eastAsia="Batang" w:hAnsiTheme="minorHAnsi"/>
          <w:color w:val="000000"/>
          <w:lang w:val="es-ES" w:eastAsia="ko-KR"/>
        </w:rPr>
        <w:t xml:space="preserve"> </w:t>
      </w:r>
      <w:r w:rsidR="003C4245">
        <w:rPr>
          <w:rFonts w:asciiTheme="minorHAnsi" w:eastAsia="Batang" w:hAnsiTheme="minorHAnsi"/>
          <w:color w:val="000000"/>
          <w:lang w:val="es-ES" w:eastAsia="ko-KR"/>
        </w:rPr>
        <w:t xml:space="preserve">realizar </w:t>
      </w:r>
      <w:r w:rsidR="00550AD2" w:rsidRPr="00C65E86">
        <w:rPr>
          <w:rFonts w:asciiTheme="minorHAnsi" w:eastAsia="Batang" w:hAnsiTheme="minorHAnsi"/>
          <w:color w:val="000000"/>
          <w:lang w:val="es-ES" w:eastAsia="ko-KR"/>
        </w:rPr>
        <w:t xml:space="preserve">las actividades esenciales de la Secretaría en 2022, aumentar las provisiones para las contribuciones pendientes </w:t>
      </w:r>
      <w:r w:rsidR="003C4245">
        <w:rPr>
          <w:rFonts w:asciiTheme="minorHAnsi" w:eastAsia="Batang" w:hAnsiTheme="minorHAnsi"/>
          <w:color w:val="000000"/>
          <w:lang w:val="es-ES" w:eastAsia="ko-KR"/>
        </w:rPr>
        <w:t>del</w:t>
      </w:r>
      <w:r w:rsidR="00550AD2" w:rsidRPr="00C65E86">
        <w:rPr>
          <w:rFonts w:asciiTheme="minorHAnsi" w:eastAsia="Batang" w:hAnsiTheme="minorHAnsi"/>
          <w:color w:val="000000"/>
          <w:lang w:val="es-ES" w:eastAsia="ko-KR"/>
        </w:rPr>
        <w:t xml:space="preserve"> presupuesto de 2022, y financiar la contratación del próximo Secretario General.</w:t>
      </w:r>
    </w:p>
    <w:p w14:paraId="1A5ED6CA" w14:textId="77777777" w:rsidR="005E72A4" w:rsidRPr="00C65E86" w:rsidRDefault="005E72A4" w:rsidP="00550AD2">
      <w:pPr>
        <w:ind w:left="0" w:firstLine="0"/>
        <w:rPr>
          <w:rFonts w:asciiTheme="minorHAnsi" w:eastAsia="Batang" w:hAnsiTheme="minorHAnsi"/>
          <w:color w:val="000000"/>
          <w:lang w:val="es-ES" w:eastAsia="ko-KR"/>
        </w:rPr>
      </w:pPr>
    </w:p>
    <w:p w14:paraId="0085259B" w14:textId="0351FAB3" w:rsidR="00550AD2" w:rsidRPr="00C65E86" w:rsidRDefault="003231A5" w:rsidP="003231A5">
      <w:pPr>
        <w:rPr>
          <w:rFonts w:asciiTheme="minorHAnsi" w:eastAsia="Batang" w:hAnsiTheme="minorHAnsi"/>
          <w:color w:val="000000"/>
          <w:lang w:val="es-ES" w:eastAsia="ko-KR"/>
        </w:rPr>
      </w:pPr>
      <w:r w:rsidRPr="00C65E86">
        <w:rPr>
          <w:rFonts w:asciiTheme="minorHAnsi" w:eastAsia="Batang" w:hAnsiTheme="minorHAnsi"/>
          <w:color w:val="000000"/>
          <w:lang w:val="es-ES" w:eastAsia="ko-KR"/>
        </w:rPr>
        <w:t>12.</w:t>
      </w:r>
      <w:r w:rsidRPr="00C65E86">
        <w:rPr>
          <w:rFonts w:asciiTheme="minorHAnsi" w:eastAsia="Batang" w:hAnsiTheme="minorHAnsi"/>
          <w:color w:val="000000"/>
          <w:lang w:val="es-ES" w:eastAsia="ko-KR"/>
        </w:rPr>
        <w:tab/>
      </w:r>
      <w:r w:rsidR="00550AD2" w:rsidRPr="00C65E86">
        <w:rPr>
          <w:rFonts w:asciiTheme="minorHAnsi" w:eastAsia="Batang" w:hAnsiTheme="minorHAnsi"/>
          <w:color w:val="000000"/>
          <w:lang w:val="es-ES" w:eastAsia="ko-KR"/>
        </w:rPr>
        <w:t xml:space="preserve">Además, la reunión SC59/2022 autorizó </w:t>
      </w:r>
      <w:r w:rsidR="009F6E25" w:rsidRPr="00C65E86">
        <w:rPr>
          <w:rFonts w:asciiTheme="minorHAnsi" w:eastAsia="Batang" w:hAnsiTheme="minorHAnsi"/>
          <w:color w:val="000000"/>
          <w:lang w:val="es-ES" w:eastAsia="ko-KR"/>
        </w:rPr>
        <w:t>que</w:t>
      </w:r>
      <w:r w:rsidR="00550AD2" w:rsidRPr="00C65E86">
        <w:rPr>
          <w:rFonts w:asciiTheme="minorHAnsi" w:eastAsia="Batang" w:hAnsiTheme="minorHAnsi"/>
          <w:color w:val="000000"/>
          <w:lang w:val="es-ES" w:eastAsia="ko-KR"/>
        </w:rPr>
        <w:t xml:space="preserve"> </w:t>
      </w:r>
      <w:r w:rsidR="009F6E25" w:rsidRPr="00C65E86">
        <w:rPr>
          <w:rFonts w:asciiTheme="minorHAnsi" w:eastAsia="Batang" w:hAnsiTheme="minorHAnsi"/>
          <w:color w:val="000000"/>
          <w:lang w:val="es-ES" w:eastAsia="ko-KR"/>
        </w:rPr>
        <w:t xml:space="preserve">en el trienio 2023-2025 se utilizara </w:t>
      </w:r>
      <w:r w:rsidR="00550AD2" w:rsidRPr="00C65E86">
        <w:rPr>
          <w:rFonts w:asciiTheme="minorHAnsi" w:eastAsia="Batang" w:hAnsiTheme="minorHAnsi"/>
          <w:color w:val="000000"/>
          <w:lang w:val="es-ES" w:eastAsia="ko-KR"/>
        </w:rPr>
        <w:t xml:space="preserve">el </w:t>
      </w:r>
      <w:r w:rsidR="003C4245">
        <w:rPr>
          <w:rFonts w:asciiTheme="minorHAnsi" w:eastAsia="Batang" w:hAnsiTheme="minorHAnsi"/>
          <w:color w:val="000000"/>
          <w:lang w:val="es-ES" w:eastAsia="ko-KR"/>
        </w:rPr>
        <w:t>excedente</w:t>
      </w:r>
      <w:r w:rsidR="009F6E25" w:rsidRPr="00C65E86">
        <w:rPr>
          <w:rFonts w:asciiTheme="minorHAnsi" w:eastAsia="Batang" w:hAnsiTheme="minorHAnsi"/>
          <w:color w:val="000000"/>
          <w:lang w:val="es-ES" w:eastAsia="ko-KR"/>
        </w:rPr>
        <w:t xml:space="preserve"> del presupuesto</w:t>
      </w:r>
      <w:r w:rsidR="00550AD2" w:rsidRPr="00C65E86">
        <w:rPr>
          <w:rFonts w:asciiTheme="minorHAnsi" w:eastAsia="Batang" w:hAnsiTheme="minorHAnsi"/>
          <w:color w:val="000000"/>
          <w:lang w:val="es-ES" w:eastAsia="ko-KR"/>
        </w:rPr>
        <w:t xml:space="preserve"> básico de 2021, </w:t>
      </w:r>
      <w:r w:rsidR="00637959">
        <w:rPr>
          <w:rFonts w:asciiTheme="minorHAnsi" w:eastAsia="Batang" w:hAnsiTheme="minorHAnsi"/>
          <w:color w:val="000000"/>
          <w:lang w:val="es-ES" w:eastAsia="ko-KR"/>
        </w:rPr>
        <w:t>especialmente</w:t>
      </w:r>
      <w:r w:rsidR="00550AD2" w:rsidRPr="00C65E86">
        <w:rPr>
          <w:rFonts w:asciiTheme="minorHAnsi" w:eastAsia="Batang" w:hAnsiTheme="minorHAnsi"/>
          <w:color w:val="000000"/>
          <w:lang w:val="es-ES" w:eastAsia="ko-KR"/>
        </w:rPr>
        <w:t xml:space="preserve"> para </w:t>
      </w:r>
      <w:r w:rsidR="009F6E25" w:rsidRPr="00C65E86">
        <w:rPr>
          <w:rFonts w:asciiTheme="minorHAnsi" w:eastAsia="Batang" w:hAnsiTheme="minorHAnsi"/>
          <w:color w:val="000000"/>
          <w:lang w:val="es-ES" w:eastAsia="ko-KR"/>
        </w:rPr>
        <w:t xml:space="preserve">cubrir </w:t>
      </w:r>
      <w:r w:rsidR="00550AD2" w:rsidRPr="00C65E86">
        <w:rPr>
          <w:rFonts w:asciiTheme="minorHAnsi" w:eastAsia="Batang" w:hAnsiTheme="minorHAnsi"/>
          <w:color w:val="000000"/>
          <w:lang w:val="es-ES" w:eastAsia="ko-KR"/>
        </w:rPr>
        <w:t xml:space="preserve">el déficit del presupuesto básico y el aumento de </w:t>
      </w:r>
      <w:r w:rsidR="00707B6A">
        <w:rPr>
          <w:rFonts w:asciiTheme="minorHAnsi" w:eastAsia="Batang" w:hAnsiTheme="minorHAnsi"/>
          <w:color w:val="000000"/>
          <w:lang w:val="es-ES" w:eastAsia="ko-KR"/>
        </w:rPr>
        <w:t>la provisión para</w:t>
      </w:r>
      <w:r w:rsidR="00550AD2" w:rsidRPr="00C65E86">
        <w:rPr>
          <w:rFonts w:asciiTheme="minorHAnsi" w:eastAsia="Batang" w:hAnsiTheme="minorHAnsi"/>
          <w:color w:val="000000"/>
          <w:lang w:val="es-ES" w:eastAsia="ko-KR"/>
        </w:rPr>
        <w:t xml:space="preserve"> </w:t>
      </w:r>
      <w:r w:rsidR="009F6E25" w:rsidRPr="00C65E86">
        <w:rPr>
          <w:rFonts w:asciiTheme="minorHAnsi" w:eastAsia="Batang" w:hAnsiTheme="minorHAnsi"/>
          <w:color w:val="000000"/>
          <w:lang w:val="es-ES" w:eastAsia="ko-KR"/>
        </w:rPr>
        <w:t>las</w:t>
      </w:r>
      <w:r w:rsidR="00550AD2" w:rsidRPr="00C65E86">
        <w:rPr>
          <w:rFonts w:asciiTheme="minorHAnsi" w:eastAsia="Batang" w:hAnsiTheme="minorHAnsi"/>
          <w:color w:val="000000"/>
          <w:lang w:val="es-ES" w:eastAsia="ko-KR"/>
        </w:rPr>
        <w:t xml:space="preserve"> contribuciones pendientes (véase el cuadro 3 del informe del Subgrupo de Finanzas aprobado por </w:t>
      </w:r>
      <w:r w:rsidR="009F6E25" w:rsidRPr="00C65E86">
        <w:rPr>
          <w:rFonts w:asciiTheme="minorHAnsi" w:eastAsia="Batang" w:hAnsiTheme="minorHAnsi"/>
          <w:color w:val="000000"/>
          <w:lang w:val="es-ES" w:eastAsia="ko-KR"/>
        </w:rPr>
        <w:t>la reunión</w:t>
      </w:r>
      <w:r w:rsidR="00550AD2" w:rsidRPr="00C65E86">
        <w:rPr>
          <w:rFonts w:asciiTheme="minorHAnsi" w:eastAsia="Batang" w:hAnsiTheme="minorHAnsi"/>
          <w:color w:val="000000"/>
          <w:lang w:val="es-ES" w:eastAsia="ko-KR"/>
        </w:rPr>
        <w:t xml:space="preserve"> SC59/2022, documento SC59/2022 Com.2 Rev.1</w:t>
      </w:r>
      <w:r w:rsidR="003C4245">
        <w:rPr>
          <w:rStyle w:val="FootnoteReference"/>
          <w:rFonts w:asciiTheme="minorHAnsi" w:eastAsia="Batang" w:hAnsiTheme="minorHAnsi"/>
          <w:color w:val="000000"/>
          <w:lang w:val="es-ES" w:eastAsia="ko-KR"/>
        </w:rPr>
        <w:footnoteReference w:id="3"/>
      </w:r>
      <w:r w:rsidR="00550AD2" w:rsidRPr="00C65E86">
        <w:rPr>
          <w:rFonts w:asciiTheme="minorHAnsi" w:eastAsia="Batang" w:hAnsiTheme="minorHAnsi"/>
          <w:color w:val="000000"/>
          <w:lang w:val="es-ES" w:eastAsia="ko-KR"/>
        </w:rPr>
        <w:t xml:space="preserve">), mientras que </w:t>
      </w:r>
      <w:r w:rsidR="009F6E25" w:rsidRPr="00C65E86">
        <w:rPr>
          <w:rFonts w:asciiTheme="minorHAnsi" w:eastAsia="Batang" w:hAnsiTheme="minorHAnsi"/>
          <w:color w:val="000000"/>
          <w:lang w:val="es-ES" w:eastAsia="ko-KR"/>
        </w:rPr>
        <w:t>se mantiene</w:t>
      </w:r>
      <w:r w:rsidR="00550AD2" w:rsidRPr="00C65E86">
        <w:rPr>
          <w:rFonts w:asciiTheme="minorHAnsi" w:eastAsia="Batang" w:hAnsiTheme="minorHAnsi"/>
          <w:color w:val="000000"/>
          <w:lang w:val="es-ES" w:eastAsia="ko-KR"/>
        </w:rPr>
        <w:t xml:space="preserve"> un </w:t>
      </w:r>
      <w:r w:rsidR="003C4245">
        <w:rPr>
          <w:rFonts w:asciiTheme="minorHAnsi" w:eastAsia="Batang" w:hAnsiTheme="minorHAnsi"/>
          <w:color w:val="000000"/>
          <w:lang w:val="es-ES" w:eastAsia="ko-KR"/>
        </w:rPr>
        <w:t xml:space="preserve">excedente </w:t>
      </w:r>
      <w:r w:rsidR="009F6E25" w:rsidRPr="00C65E86">
        <w:rPr>
          <w:rFonts w:asciiTheme="minorHAnsi" w:eastAsia="Batang" w:hAnsiTheme="minorHAnsi"/>
          <w:color w:val="000000"/>
          <w:lang w:val="es-ES" w:eastAsia="ko-KR"/>
        </w:rPr>
        <w:t>considerable</w:t>
      </w:r>
      <w:r w:rsidR="00550AD2" w:rsidRPr="00C65E86">
        <w:rPr>
          <w:rFonts w:asciiTheme="minorHAnsi" w:eastAsia="Batang" w:hAnsiTheme="minorHAnsi"/>
          <w:color w:val="000000"/>
          <w:lang w:val="es-ES" w:eastAsia="ko-KR"/>
        </w:rPr>
        <w:t xml:space="preserve"> </w:t>
      </w:r>
      <w:r w:rsidR="009F6E25" w:rsidRPr="00C65E86">
        <w:rPr>
          <w:rFonts w:asciiTheme="minorHAnsi" w:eastAsia="Batang" w:hAnsiTheme="minorHAnsi"/>
          <w:color w:val="000000"/>
          <w:lang w:val="es-ES" w:eastAsia="ko-KR"/>
        </w:rPr>
        <w:t>del presupuesto</w:t>
      </w:r>
      <w:r w:rsidR="00550AD2" w:rsidRPr="00C65E86">
        <w:rPr>
          <w:rFonts w:asciiTheme="minorHAnsi" w:eastAsia="Batang" w:hAnsiTheme="minorHAnsi"/>
          <w:color w:val="000000"/>
          <w:lang w:val="es-ES" w:eastAsia="ko-KR"/>
        </w:rPr>
        <w:t xml:space="preserve"> básico de 2021 para futuras asignaciones.</w:t>
      </w:r>
    </w:p>
    <w:p w14:paraId="78D21429" w14:textId="77777777" w:rsidR="00C14792" w:rsidRPr="00C65E86" w:rsidRDefault="00C14792" w:rsidP="009F6E25">
      <w:pPr>
        <w:ind w:left="0" w:firstLine="0"/>
        <w:rPr>
          <w:rFonts w:asciiTheme="minorHAnsi" w:eastAsia="Batang" w:hAnsiTheme="minorHAnsi"/>
          <w:color w:val="000000"/>
          <w:lang w:val="es-ES" w:eastAsia="ko-KR"/>
        </w:rPr>
      </w:pPr>
    </w:p>
    <w:p w14:paraId="6EB7D98D" w14:textId="3B82DAA0" w:rsidR="009F6E25" w:rsidRPr="00C65E86" w:rsidRDefault="003231A5" w:rsidP="00327DFA">
      <w:pPr>
        <w:rPr>
          <w:rFonts w:asciiTheme="minorHAnsi" w:eastAsia="Batang" w:hAnsiTheme="minorHAnsi"/>
          <w:color w:val="000000"/>
          <w:lang w:val="es-ES" w:eastAsia="ko-KR"/>
        </w:rPr>
      </w:pPr>
      <w:r w:rsidRPr="00C65E86">
        <w:rPr>
          <w:rFonts w:asciiTheme="minorHAnsi" w:eastAsia="Batang" w:hAnsiTheme="minorHAnsi"/>
          <w:color w:val="000000"/>
          <w:lang w:val="es-ES" w:eastAsia="ko-KR"/>
        </w:rPr>
        <w:t>13</w:t>
      </w:r>
      <w:r w:rsidR="00327DFA" w:rsidRPr="00C65E86">
        <w:rPr>
          <w:rFonts w:asciiTheme="minorHAnsi" w:eastAsia="Batang" w:hAnsiTheme="minorHAnsi"/>
          <w:color w:val="000000"/>
          <w:lang w:val="es-ES" w:eastAsia="ko-KR"/>
        </w:rPr>
        <w:t>.</w:t>
      </w:r>
      <w:r w:rsidR="00327DFA" w:rsidRPr="00C65E86">
        <w:rPr>
          <w:rFonts w:asciiTheme="minorHAnsi" w:eastAsia="Batang" w:hAnsiTheme="minorHAnsi"/>
          <w:color w:val="000000"/>
          <w:lang w:val="es-ES" w:eastAsia="ko-KR"/>
        </w:rPr>
        <w:tab/>
      </w:r>
      <w:r w:rsidR="009F6E25" w:rsidRPr="00C65E86">
        <w:rPr>
          <w:rFonts w:asciiTheme="minorHAnsi" w:eastAsia="Batang" w:hAnsiTheme="minorHAnsi"/>
          <w:color w:val="000000"/>
          <w:lang w:val="es-ES" w:eastAsia="ko-KR"/>
        </w:rPr>
        <w:t>La Secretaría presentó los exámenes anuales de los presupuestos aprobados en la COP13</w:t>
      </w:r>
      <w:r w:rsidR="00B028AA" w:rsidRPr="00C65E86">
        <w:rPr>
          <w:rFonts w:asciiTheme="minorHAnsi" w:eastAsia="Batang" w:hAnsiTheme="minorHAnsi"/>
          <w:color w:val="000000"/>
          <w:lang w:val="es-ES" w:eastAsia="ko-KR"/>
        </w:rPr>
        <w:t>,</w:t>
      </w:r>
      <w:r w:rsidR="009F6E25" w:rsidRPr="00C65E86">
        <w:rPr>
          <w:rFonts w:asciiTheme="minorHAnsi" w:eastAsia="Batang" w:hAnsiTheme="minorHAnsi"/>
          <w:color w:val="000000"/>
          <w:lang w:val="es-ES" w:eastAsia="ko-KR"/>
        </w:rPr>
        <w:t xml:space="preserve"> y el Comité Permanente los aprobó en sus reuniones de 2019, 2020 y 2021. Las aprobaciones incluían el uso de los </w:t>
      </w:r>
      <w:r w:rsidR="00637959">
        <w:rPr>
          <w:rFonts w:asciiTheme="minorHAnsi" w:eastAsia="Batang" w:hAnsiTheme="minorHAnsi"/>
          <w:color w:val="000000"/>
          <w:lang w:val="es-ES" w:eastAsia="ko-KR"/>
        </w:rPr>
        <w:t>excedentes</w:t>
      </w:r>
      <w:r w:rsidR="009F6E25" w:rsidRPr="00C65E86">
        <w:rPr>
          <w:rFonts w:asciiTheme="minorHAnsi" w:eastAsia="Batang" w:hAnsiTheme="minorHAnsi"/>
          <w:color w:val="000000"/>
          <w:lang w:val="es-ES" w:eastAsia="ko-KR"/>
        </w:rPr>
        <w:t xml:space="preserve"> del trienio anterior, así como un ajuste presupuestario para 2020 debido a la baja ejecución del presupuesto </w:t>
      </w:r>
      <w:r w:rsidR="00707B6A">
        <w:rPr>
          <w:rFonts w:asciiTheme="minorHAnsi" w:eastAsia="Batang" w:hAnsiTheme="minorHAnsi"/>
          <w:color w:val="000000"/>
          <w:lang w:val="es-ES" w:eastAsia="ko-KR"/>
        </w:rPr>
        <w:t>a</w:t>
      </w:r>
      <w:r w:rsidR="009F6E25" w:rsidRPr="00C65E86">
        <w:rPr>
          <w:rFonts w:asciiTheme="minorHAnsi" w:eastAsia="Batang" w:hAnsiTheme="minorHAnsi"/>
          <w:color w:val="000000"/>
          <w:lang w:val="es-ES" w:eastAsia="ko-KR"/>
        </w:rPr>
        <w:t xml:space="preserve"> consecuencia de la pandemia del COVID-19 y </w:t>
      </w:r>
      <w:r w:rsidR="00B028AA" w:rsidRPr="00C65E86">
        <w:rPr>
          <w:rFonts w:asciiTheme="minorHAnsi" w:eastAsia="Batang" w:hAnsiTheme="minorHAnsi"/>
          <w:color w:val="000000"/>
          <w:lang w:val="es-ES" w:eastAsia="ko-KR"/>
        </w:rPr>
        <w:t xml:space="preserve">los </w:t>
      </w:r>
      <w:r w:rsidR="009F6E25" w:rsidRPr="00C65E86">
        <w:rPr>
          <w:rFonts w:asciiTheme="minorHAnsi" w:eastAsia="Batang" w:hAnsiTheme="minorHAnsi"/>
          <w:color w:val="000000"/>
          <w:lang w:val="es-ES" w:eastAsia="ko-KR"/>
        </w:rPr>
        <w:t>ahorros no comprometidos</w:t>
      </w:r>
      <w:r w:rsidR="00637959">
        <w:rPr>
          <w:rFonts w:asciiTheme="minorHAnsi" w:eastAsia="Batang" w:hAnsiTheme="minorHAnsi"/>
          <w:color w:val="000000"/>
          <w:lang w:val="es-ES" w:eastAsia="ko-KR"/>
        </w:rPr>
        <w:t>,</w:t>
      </w:r>
      <w:r w:rsidR="00B028AA" w:rsidRPr="00C65E86">
        <w:rPr>
          <w:rFonts w:asciiTheme="minorHAnsi" w:eastAsia="Batang" w:hAnsiTheme="minorHAnsi"/>
          <w:color w:val="000000"/>
          <w:lang w:val="es-ES" w:eastAsia="ko-KR"/>
        </w:rPr>
        <w:t xml:space="preserve"> </w:t>
      </w:r>
      <w:r w:rsidR="00637959">
        <w:rPr>
          <w:rFonts w:asciiTheme="minorHAnsi" w:eastAsia="Batang" w:hAnsiTheme="minorHAnsi"/>
          <w:color w:val="000000"/>
          <w:lang w:val="es-ES" w:eastAsia="ko-KR"/>
        </w:rPr>
        <w:t>trasladados</w:t>
      </w:r>
      <w:r w:rsidR="00B028AA" w:rsidRPr="00C65E86">
        <w:rPr>
          <w:rFonts w:asciiTheme="minorHAnsi" w:eastAsia="Batang" w:hAnsiTheme="minorHAnsi"/>
          <w:color w:val="000000"/>
          <w:lang w:val="es-ES" w:eastAsia="ko-KR"/>
        </w:rPr>
        <w:t xml:space="preserve"> </w:t>
      </w:r>
      <w:r w:rsidR="009F6E25" w:rsidRPr="00C65E86">
        <w:rPr>
          <w:rFonts w:asciiTheme="minorHAnsi" w:eastAsia="Batang" w:hAnsiTheme="minorHAnsi"/>
          <w:color w:val="000000"/>
          <w:lang w:val="es-ES" w:eastAsia="ko-KR"/>
        </w:rPr>
        <w:t>dentro del trienio 2019-2021.</w:t>
      </w:r>
    </w:p>
    <w:p w14:paraId="4435BDEA" w14:textId="77777777" w:rsidR="00A574C0" w:rsidRPr="00C65E86" w:rsidRDefault="00A574C0" w:rsidP="00B028AA">
      <w:pPr>
        <w:ind w:left="0" w:firstLine="0"/>
        <w:rPr>
          <w:rFonts w:asciiTheme="minorHAnsi" w:eastAsia="Batang" w:hAnsiTheme="minorHAnsi"/>
          <w:color w:val="000000"/>
          <w:lang w:val="es-ES" w:eastAsia="ko-KR"/>
        </w:rPr>
      </w:pPr>
    </w:p>
    <w:p w14:paraId="5D5195BE" w14:textId="50DE7344" w:rsidR="00D4581F" w:rsidRPr="00C65E86" w:rsidRDefault="00B028AA" w:rsidP="00D4581F">
      <w:pPr>
        <w:pStyle w:val="MGfulltext"/>
        <w:spacing w:after="0"/>
        <w:rPr>
          <w:rFonts w:asciiTheme="minorHAnsi" w:eastAsia="Batang" w:hAnsiTheme="minorHAnsi" w:cs="Times New Roman"/>
          <w:sz w:val="22"/>
          <w:szCs w:val="22"/>
          <w:u w:val="single"/>
          <w:lang w:val="es-ES"/>
        </w:rPr>
      </w:pPr>
      <w:r w:rsidRPr="00C65E86">
        <w:rPr>
          <w:rFonts w:asciiTheme="minorHAnsi" w:eastAsia="Batang" w:hAnsiTheme="minorHAnsi" w:cs="Times New Roman"/>
          <w:sz w:val="22"/>
          <w:szCs w:val="22"/>
          <w:u w:val="single"/>
          <w:lang w:val="es-ES"/>
        </w:rPr>
        <w:t>Presupuesto bás</w:t>
      </w:r>
      <w:r w:rsidR="0014462C">
        <w:rPr>
          <w:rFonts w:asciiTheme="minorHAnsi" w:eastAsia="Batang" w:hAnsiTheme="minorHAnsi" w:cs="Times New Roman"/>
          <w:sz w:val="22"/>
          <w:szCs w:val="22"/>
          <w:u w:val="single"/>
          <w:lang w:val="es-ES"/>
        </w:rPr>
        <w:t>ico para el trienio 2023-2025 (A</w:t>
      </w:r>
      <w:r w:rsidRPr="00C65E86">
        <w:rPr>
          <w:rFonts w:asciiTheme="minorHAnsi" w:eastAsia="Batang" w:hAnsiTheme="minorHAnsi" w:cs="Times New Roman"/>
          <w:sz w:val="22"/>
          <w:szCs w:val="22"/>
          <w:u w:val="single"/>
          <w:lang w:val="es-ES"/>
        </w:rPr>
        <w:t>nexo 2)</w:t>
      </w:r>
    </w:p>
    <w:p w14:paraId="1DEA8805" w14:textId="77777777" w:rsidR="00D4581F" w:rsidRPr="00C65E86" w:rsidRDefault="00D4581F" w:rsidP="00D4581F">
      <w:pPr>
        <w:pStyle w:val="MGfulltext"/>
        <w:tabs>
          <w:tab w:val="left" w:pos="5199"/>
        </w:tabs>
        <w:spacing w:after="0"/>
        <w:rPr>
          <w:rFonts w:asciiTheme="minorHAnsi" w:eastAsia="Batang" w:hAnsiTheme="minorHAnsi" w:cs="Times New Roman"/>
          <w:b/>
          <w:sz w:val="22"/>
          <w:szCs w:val="22"/>
          <w:lang w:val="es-ES"/>
        </w:rPr>
      </w:pPr>
    </w:p>
    <w:p w14:paraId="1A44B95A" w14:textId="2AC8A442" w:rsidR="00B028AA" w:rsidRPr="00C65E86" w:rsidRDefault="003231A5" w:rsidP="00B028AA">
      <w:pPr>
        <w:ind w:left="426" w:hanging="426"/>
        <w:rPr>
          <w:rFonts w:asciiTheme="minorHAnsi" w:eastAsia="Batang" w:hAnsiTheme="minorHAnsi"/>
          <w:color w:val="000000"/>
          <w:lang w:val="es-ES" w:eastAsia="ko-KR"/>
        </w:rPr>
      </w:pPr>
      <w:r w:rsidRPr="00C65E86">
        <w:rPr>
          <w:rFonts w:asciiTheme="minorHAnsi" w:eastAsia="Batang" w:hAnsiTheme="minorHAnsi"/>
          <w:color w:val="000000"/>
          <w:lang w:val="es-ES" w:eastAsia="ko-KR"/>
        </w:rPr>
        <w:t>14</w:t>
      </w:r>
      <w:r w:rsidR="00327DFA" w:rsidRPr="00C65E86">
        <w:rPr>
          <w:rFonts w:asciiTheme="minorHAnsi" w:eastAsia="Batang" w:hAnsiTheme="minorHAnsi"/>
          <w:color w:val="000000"/>
          <w:lang w:val="es-ES" w:eastAsia="ko-KR"/>
        </w:rPr>
        <w:t>.</w:t>
      </w:r>
      <w:r w:rsidR="00327DFA" w:rsidRPr="00C65E86">
        <w:rPr>
          <w:rFonts w:asciiTheme="minorHAnsi" w:eastAsia="Batang" w:hAnsiTheme="minorHAnsi"/>
          <w:color w:val="000000"/>
          <w:lang w:val="es-ES" w:eastAsia="ko-KR"/>
        </w:rPr>
        <w:tab/>
      </w:r>
      <w:r w:rsidR="00B028AA" w:rsidRPr="00C65E86">
        <w:rPr>
          <w:rFonts w:asciiTheme="minorHAnsi" w:eastAsia="Batang" w:hAnsiTheme="minorHAnsi"/>
          <w:color w:val="000000"/>
          <w:lang w:val="es-ES" w:eastAsia="ko-KR"/>
        </w:rPr>
        <w:t>Para el trienio 2023-2025, la Secretaría presentó tres escenarios presupuestarios al Comité Permanente en la reunión SC59/2022 (documento SC59/2022 Doc.8.3</w:t>
      </w:r>
      <w:r w:rsidR="00840733" w:rsidRPr="00C65E86">
        <w:rPr>
          <w:rStyle w:val="FootnoteReference"/>
          <w:rFonts w:asciiTheme="minorHAnsi" w:eastAsia="Batang" w:hAnsiTheme="minorHAnsi"/>
          <w:color w:val="000000"/>
          <w:lang w:val="es-ES" w:eastAsia="ko-KR"/>
        </w:rPr>
        <w:footnoteReference w:id="4"/>
      </w:r>
      <w:r w:rsidR="00363CF1" w:rsidRPr="00C65E86">
        <w:rPr>
          <w:rFonts w:asciiTheme="minorHAnsi" w:eastAsia="Batang" w:hAnsiTheme="minorHAnsi"/>
          <w:color w:val="000000"/>
          <w:lang w:val="es-ES" w:eastAsia="ko-KR"/>
        </w:rPr>
        <w:t>)</w:t>
      </w:r>
      <w:r w:rsidR="0092540B" w:rsidRPr="00C65E86">
        <w:rPr>
          <w:rFonts w:asciiTheme="minorHAnsi" w:eastAsia="Batang" w:hAnsiTheme="minorHAnsi"/>
          <w:color w:val="000000"/>
          <w:lang w:val="es-ES" w:eastAsia="ko-KR"/>
        </w:rPr>
        <w:t>.</w:t>
      </w:r>
      <w:r w:rsidR="00B028AA" w:rsidRPr="00C65E86">
        <w:rPr>
          <w:rFonts w:asciiTheme="minorHAnsi" w:eastAsia="Batang" w:hAnsiTheme="minorHAnsi"/>
          <w:color w:val="000000"/>
          <w:lang w:val="es-ES" w:eastAsia="ko-KR"/>
        </w:rPr>
        <w:t xml:space="preserve"> Estos se basaban en las necesidades previstas y no incluían solicitudes de financiación de los proyectos de resolución presentados. Estos escenarios eran los siguientes:</w:t>
      </w:r>
    </w:p>
    <w:p w14:paraId="0D53F2FC" w14:textId="65114801" w:rsidR="006449B6" w:rsidRPr="00C65E86" w:rsidRDefault="0015544B" w:rsidP="00B028AA">
      <w:pPr>
        <w:ind w:left="426" w:hanging="426"/>
        <w:rPr>
          <w:rFonts w:asciiTheme="minorHAnsi" w:eastAsia="Batang" w:hAnsiTheme="minorHAnsi"/>
          <w:color w:val="000000"/>
          <w:lang w:val="es-ES" w:eastAsia="ko-KR"/>
        </w:rPr>
      </w:pPr>
      <w:r w:rsidRPr="00C65E86">
        <w:rPr>
          <w:rFonts w:asciiTheme="minorHAnsi" w:eastAsia="Batang" w:hAnsiTheme="minorHAnsi"/>
          <w:color w:val="000000"/>
          <w:lang w:val="es-ES" w:eastAsia="ko-KR"/>
        </w:rPr>
        <w:t xml:space="preserve"> </w:t>
      </w:r>
    </w:p>
    <w:p w14:paraId="340547DA" w14:textId="695EBD15" w:rsidR="00B028AA" w:rsidRPr="00C65E86" w:rsidRDefault="00AE1F9C" w:rsidP="005340AC">
      <w:pPr>
        <w:pStyle w:val="MGfulltext"/>
        <w:spacing w:after="0"/>
        <w:ind w:left="850" w:hanging="425"/>
        <w:rPr>
          <w:rFonts w:asciiTheme="minorHAnsi" w:eastAsia="Batang" w:hAnsiTheme="minorHAnsi" w:cs="Times New Roman"/>
          <w:sz w:val="22"/>
          <w:szCs w:val="22"/>
          <w:lang w:val="es-ES"/>
        </w:rPr>
      </w:pPr>
      <w:r w:rsidRPr="00C65E86">
        <w:rPr>
          <w:rFonts w:asciiTheme="minorHAnsi" w:eastAsia="Batang" w:hAnsiTheme="minorHAnsi" w:cs="Times New Roman"/>
          <w:sz w:val="22"/>
          <w:szCs w:val="22"/>
          <w:lang w:val="es-ES"/>
        </w:rPr>
        <w:t>a.</w:t>
      </w:r>
      <w:r w:rsidRPr="00C65E86">
        <w:rPr>
          <w:rFonts w:asciiTheme="minorHAnsi" w:eastAsia="Batang" w:hAnsiTheme="minorHAnsi" w:cs="Times New Roman"/>
          <w:sz w:val="22"/>
          <w:szCs w:val="22"/>
          <w:lang w:val="es-ES"/>
        </w:rPr>
        <w:tab/>
      </w:r>
      <w:r w:rsidR="00B028AA" w:rsidRPr="00C65E86">
        <w:rPr>
          <w:rFonts w:asciiTheme="minorHAnsi" w:eastAsia="Batang" w:hAnsiTheme="minorHAnsi" w:cs="Times New Roman"/>
          <w:sz w:val="22"/>
          <w:szCs w:val="22"/>
          <w:lang w:val="es-ES"/>
        </w:rPr>
        <w:t xml:space="preserve">Aumento del 0 % en comparación con los presupuestos de los trienios 2016-2018 y 2019-2021, </w:t>
      </w:r>
      <w:r w:rsidR="005A5D32" w:rsidRPr="00C65E86">
        <w:rPr>
          <w:rFonts w:asciiTheme="minorHAnsi" w:eastAsia="Batang" w:hAnsiTheme="minorHAnsi" w:cs="Times New Roman"/>
          <w:sz w:val="22"/>
          <w:szCs w:val="22"/>
          <w:lang w:val="es-ES"/>
        </w:rPr>
        <w:t>con la plantilla</w:t>
      </w:r>
      <w:r w:rsidR="00B028AA" w:rsidRPr="00C65E86">
        <w:rPr>
          <w:rFonts w:asciiTheme="minorHAnsi" w:eastAsia="Batang" w:hAnsiTheme="minorHAnsi" w:cs="Times New Roman"/>
          <w:sz w:val="22"/>
          <w:szCs w:val="22"/>
          <w:lang w:val="es-ES"/>
        </w:rPr>
        <w:t xml:space="preserve"> actual de personal y una provisión </w:t>
      </w:r>
      <w:r w:rsidR="005A5D32" w:rsidRPr="00C65E86">
        <w:rPr>
          <w:rFonts w:asciiTheme="minorHAnsi" w:eastAsia="Batang" w:hAnsiTheme="minorHAnsi" w:cs="Times New Roman"/>
          <w:sz w:val="22"/>
          <w:szCs w:val="22"/>
          <w:lang w:val="es-ES"/>
        </w:rPr>
        <w:t>para</w:t>
      </w:r>
      <w:r w:rsidR="00B028AA" w:rsidRPr="00C65E86">
        <w:rPr>
          <w:rFonts w:asciiTheme="minorHAnsi" w:eastAsia="Batang" w:hAnsiTheme="minorHAnsi" w:cs="Times New Roman"/>
          <w:sz w:val="22"/>
          <w:szCs w:val="22"/>
          <w:lang w:val="es-ES"/>
        </w:rPr>
        <w:t xml:space="preserve"> bonificaci</w:t>
      </w:r>
      <w:r w:rsidR="005A5D32" w:rsidRPr="00C65E86">
        <w:rPr>
          <w:rFonts w:asciiTheme="minorHAnsi" w:eastAsia="Batang" w:hAnsiTheme="minorHAnsi" w:cs="Times New Roman"/>
          <w:sz w:val="22"/>
          <w:szCs w:val="22"/>
          <w:lang w:val="es-ES"/>
        </w:rPr>
        <w:t>ones</w:t>
      </w:r>
      <w:r w:rsidR="00B028AA" w:rsidRPr="00C65E86">
        <w:rPr>
          <w:rFonts w:asciiTheme="minorHAnsi" w:eastAsia="Batang" w:hAnsiTheme="minorHAnsi" w:cs="Times New Roman"/>
          <w:sz w:val="22"/>
          <w:szCs w:val="22"/>
          <w:lang w:val="es-ES"/>
        </w:rPr>
        <w:t xml:space="preserve"> </w:t>
      </w:r>
      <w:r w:rsidR="005A5D32" w:rsidRPr="00C65E86">
        <w:rPr>
          <w:rFonts w:asciiTheme="minorHAnsi" w:eastAsia="Batang" w:hAnsiTheme="minorHAnsi" w:cs="Times New Roman"/>
          <w:sz w:val="22"/>
          <w:szCs w:val="22"/>
          <w:lang w:val="es-ES"/>
        </w:rPr>
        <w:t>por</w:t>
      </w:r>
      <w:r w:rsidR="00B028AA" w:rsidRPr="00C65E86">
        <w:rPr>
          <w:rFonts w:asciiTheme="minorHAnsi" w:eastAsia="Batang" w:hAnsiTheme="minorHAnsi" w:cs="Times New Roman"/>
          <w:sz w:val="22"/>
          <w:szCs w:val="22"/>
          <w:lang w:val="es-ES"/>
        </w:rPr>
        <w:t xml:space="preserve"> el rendimiento del personal (Escenario A);</w:t>
      </w:r>
    </w:p>
    <w:p w14:paraId="7A7D1F61" w14:textId="77777777" w:rsidR="006449B6" w:rsidRPr="00C65E86" w:rsidRDefault="006449B6" w:rsidP="00902768">
      <w:pPr>
        <w:pStyle w:val="MGfulltext"/>
        <w:spacing w:after="0"/>
        <w:ind w:left="850" w:hanging="425"/>
        <w:rPr>
          <w:rFonts w:asciiTheme="minorHAnsi" w:eastAsia="Batang" w:hAnsiTheme="minorHAnsi" w:cs="Times New Roman"/>
          <w:sz w:val="22"/>
          <w:szCs w:val="22"/>
          <w:lang w:val="es-ES"/>
        </w:rPr>
      </w:pPr>
    </w:p>
    <w:p w14:paraId="02C1B218" w14:textId="2BAA1DCF" w:rsidR="005A5D32" w:rsidRPr="00C65E86" w:rsidRDefault="00902768" w:rsidP="00902768">
      <w:pPr>
        <w:pStyle w:val="MGfulltext"/>
        <w:spacing w:after="0"/>
        <w:ind w:left="850" w:hanging="425"/>
        <w:rPr>
          <w:rFonts w:asciiTheme="minorHAnsi" w:eastAsia="Batang" w:hAnsiTheme="minorHAnsi" w:cs="Times New Roman"/>
          <w:sz w:val="22"/>
          <w:szCs w:val="22"/>
          <w:lang w:val="es-ES"/>
        </w:rPr>
      </w:pPr>
      <w:r w:rsidRPr="00C65E86">
        <w:rPr>
          <w:rFonts w:asciiTheme="minorHAnsi" w:eastAsia="Batang" w:hAnsiTheme="minorHAnsi" w:cs="Times New Roman"/>
          <w:sz w:val="22"/>
          <w:szCs w:val="22"/>
          <w:lang w:val="es-ES"/>
        </w:rPr>
        <w:t>b.</w:t>
      </w:r>
      <w:r w:rsidRPr="00C65E86">
        <w:rPr>
          <w:rFonts w:asciiTheme="minorHAnsi" w:eastAsia="Batang" w:hAnsiTheme="minorHAnsi" w:cs="Times New Roman"/>
          <w:sz w:val="22"/>
          <w:szCs w:val="22"/>
          <w:lang w:val="es-ES"/>
        </w:rPr>
        <w:tab/>
      </w:r>
      <w:r w:rsidR="005A5D32" w:rsidRPr="00C65E86">
        <w:rPr>
          <w:rFonts w:asciiTheme="minorHAnsi" w:eastAsia="Batang" w:hAnsiTheme="minorHAnsi" w:cs="Times New Roman"/>
          <w:sz w:val="22"/>
          <w:szCs w:val="22"/>
          <w:lang w:val="es-ES"/>
        </w:rPr>
        <w:t>Un aumento del 2,8 % (438 000 francos suizos) en comparación con el trienio 2019-2021, basado en el aumento del 0 %, más una provisión para aumentos salariales y ascensos basados en el rendimiento y un aumento del presupuesto para las partidas presupuestarias para viajes, comunicaciones, aplicación del GECT y creación de capacidad, que se habían reducido cuando se creó el puesto de auxiliar de finanzas y contabilidad (Escenario B); y</w:t>
      </w:r>
    </w:p>
    <w:p w14:paraId="387AD274" w14:textId="77777777" w:rsidR="006449B6" w:rsidRPr="00C65E86" w:rsidRDefault="006449B6" w:rsidP="005A5D32">
      <w:pPr>
        <w:pStyle w:val="MGfulltext"/>
        <w:spacing w:after="0"/>
        <w:rPr>
          <w:rFonts w:asciiTheme="minorHAnsi" w:eastAsia="Batang" w:hAnsiTheme="minorHAnsi" w:cs="Times New Roman"/>
          <w:sz w:val="22"/>
          <w:szCs w:val="22"/>
          <w:lang w:val="es-ES"/>
        </w:rPr>
      </w:pPr>
    </w:p>
    <w:p w14:paraId="7FE41B5F" w14:textId="65D4A3AA" w:rsidR="005A5D32" w:rsidRPr="00C65E86" w:rsidRDefault="00902768" w:rsidP="00902768">
      <w:pPr>
        <w:pStyle w:val="MGfulltext"/>
        <w:spacing w:after="0"/>
        <w:ind w:left="850" w:hanging="425"/>
        <w:rPr>
          <w:rFonts w:asciiTheme="minorHAnsi" w:eastAsia="Batang" w:hAnsiTheme="minorHAnsi" w:cs="Times New Roman"/>
          <w:sz w:val="22"/>
          <w:szCs w:val="22"/>
          <w:lang w:val="es-ES"/>
        </w:rPr>
      </w:pPr>
      <w:r w:rsidRPr="00C65E86">
        <w:rPr>
          <w:rFonts w:asciiTheme="minorHAnsi" w:eastAsia="Batang" w:hAnsiTheme="minorHAnsi" w:cs="Times New Roman"/>
          <w:sz w:val="22"/>
          <w:szCs w:val="22"/>
          <w:lang w:val="es-ES"/>
        </w:rPr>
        <w:t>c.</w:t>
      </w:r>
      <w:r w:rsidRPr="00C65E86">
        <w:rPr>
          <w:rFonts w:asciiTheme="minorHAnsi" w:eastAsia="Batang" w:hAnsiTheme="minorHAnsi" w:cs="Times New Roman"/>
          <w:sz w:val="22"/>
          <w:szCs w:val="22"/>
          <w:lang w:val="es-ES"/>
        </w:rPr>
        <w:tab/>
      </w:r>
      <w:r w:rsidR="005A5D32" w:rsidRPr="00C65E86">
        <w:rPr>
          <w:rFonts w:asciiTheme="minorHAnsi" w:eastAsia="Batang" w:hAnsiTheme="minorHAnsi" w:cs="Times New Roman"/>
          <w:sz w:val="22"/>
          <w:szCs w:val="22"/>
          <w:lang w:val="es-ES"/>
        </w:rPr>
        <w:t>Un aumento del 4,4 % (674 000 francos suizos) con respecto al trienio 2019-2021 que incluye, además de los escenarios anteriores, los costos derivados de la prestación de servicios a la COP15 (Escenario C).</w:t>
      </w:r>
    </w:p>
    <w:p w14:paraId="22F8FBEC" w14:textId="77777777" w:rsidR="00D15464" w:rsidRPr="00C65E86" w:rsidRDefault="00D15464" w:rsidP="00D15464">
      <w:pPr>
        <w:pStyle w:val="MGfulltext"/>
        <w:spacing w:after="0"/>
        <w:ind w:left="720"/>
        <w:rPr>
          <w:rFonts w:asciiTheme="minorHAnsi" w:eastAsia="Batang" w:hAnsiTheme="minorHAnsi" w:cs="Times New Roman"/>
          <w:sz w:val="22"/>
          <w:szCs w:val="22"/>
          <w:lang w:val="es-ES"/>
        </w:rPr>
      </w:pPr>
    </w:p>
    <w:p w14:paraId="2D957FE3" w14:textId="0B7471C2" w:rsidR="005A5D32" w:rsidRPr="00C65E86" w:rsidRDefault="003231A5" w:rsidP="00327DFA">
      <w:pPr>
        <w:rPr>
          <w:rFonts w:asciiTheme="minorHAnsi" w:eastAsia="Batang" w:hAnsiTheme="minorHAnsi"/>
          <w:color w:val="000000"/>
          <w:lang w:val="es-ES" w:eastAsia="ko-KR"/>
        </w:rPr>
      </w:pPr>
      <w:r w:rsidRPr="00C65E86">
        <w:rPr>
          <w:rFonts w:asciiTheme="minorHAnsi" w:eastAsia="Batang" w:hAnsiTheme="minorHAnsi"/>
          <w:color w:val="000000"/>
          <w:lang w:val="es-ES" w:eastAsia="ko-KR"/>
        </w:rPr>
        <w:t>15</w:t>
      </w:r>
      <w:r w:rsidR="00327DFA" w:rsidRPr="00C65E86">
        <w:rPr>
          <w:rFonts w:asciiTheme="minorHAnsi" w:eastAsia="Batang" w:hAnsiTheme="minorHAnsi"/>
          <w:color w:val="000000"/>
          <w:lang w:val="es-ES" w:eastAsia="ko-KR"/>
        </w:rPr>
        <w:t>.</w:t>
      </w:r>
      <w:r w:rsidR="00327DFA" w:rsidRPr="00C65E86">
        <w:rPr>
          <w:rFonts w:asciiTheme="minorHAnsi" w:eastAsia="Batang" w:hAnsiTheme="minorHAnsi"/>
          <w:color w:val="000000"/>
          <w:lang w:val="es-ES" w:eastAsia="ko-KR"/>
        </w:rPr>
        <w:tab/>
      </w:r>
      <w:r w:rsidR="00047893" w:rsidRPr="00C65E86">
        <w:rPr>
          <w:rFonts w:asciiTheme="minorHAnsi" w:eastAsia="Batang" w:hAnsiTheme="minorHAnsi"/>
          <w:color w:val="000000"/>
          <w:lang w:val="es-ES" w:eastAsia="ko-KR"/>
        </w:rPr>
        <w:t xml:space="preserve">Por recomendación del Subgrupo de Finanzas (véase el documento SC59/2022 Com.2 Rev.1), </w:t>
      </w:r>
      <w:r w:rsidR="00FE29AE">
        <w:rPr>
          <w:rFonts w:asciiTheme="minorHAnsi" w:eastAsia="Batang" w:hAnsiTheme="minorHAnsi"/>
          <w:color w:val="000000"/>
          <w:lang w:val="es-ES" w:eastAsia="ko-KR"/>
        </w:rPr>
        <w:t>mediante</w:t>
      </w:r>
      <w:r w:rsidR="00FE29AE" w:rsidRPr="00C65E86">
        <w:rPr>
          <w:rFonts w:asciiTheme="minorHAnsi" w:eastAsia="Batang" w:hAnsiTheme="minorHAnsi"/>
          <w:color w:val="000000"/>
          <w:lang w:val="es-ES" w:eastAsia="ko-KR"/>
        </w:rPr>
        <w:t xml:space="preserve"> la Decisión SC59/2022-39</w:t>
      </w:r>
      <w:r w:rsidR="00FE29AE">
        <w:rPr>
          <w:rFonts w:asciiTheme="minorHAnsi" w:eastAsia="Batang" w:hAnsiTheme="minorHAnsi"/>
          <w:color w:val="000000"/>
          <w:lang w:val="es-ES" w:eastAsia="ko-KR"/>
        </w:rPr>
        <w:t xml:space="preserve"> </w:t>
      </w:r>
      <w:r w:rsidR="00047893" w:rsidRPr="00C65E86">
        <w:rPr>
          <w:rFonts w:asciiTheme="minorHAnsi" w:eastAsia="Batang" w:hAnsiTheme="minorHAnsi"/>
          <w:color w:val="000000"/>
          <w:lang w:val="es-ES" w:eastAsia="ko-KR"/>
        </w:rPr>
        <w:t>el Comité Permanente</w:t>
      </w:r>
      <w:r w:rsidR="00FE29AE">
        <w:rPr>
          <w:rFonts w:asciiTheme="minorHAnsi" w:eastAsia="Batang" w:hAnsiTheme="minorHAnsi"/>
          <w:color w:val="000000"/>
          <w:lang w:val="es-ES" w:eastAsia="ko-KR"/>
        </w:rPr>
        <w:t xml:space="preserve"> resolvió</w:t>
      </w:r>
      <w:r w:rsidR="00047893" w:rsidRPr="00C65E86">
        <w:rPr>
          <w:rFonts w:asciiTheme="minorHAnsi" w:eastAsia="Batang" w:hAnsiTheme="minorHAnsi"/>
          <w:color w:val="000000"/>
          <w:lang w:val="es-ES" w:eastAsia="ko-KR"/>
        </w:rPr>
        <w:t xml:space="preserve"> </w:t>
      </w:r>
      <w:r w:rsidR="00FE29AE">
        <w:rPr>
          <w:rFonts w:asciiTheme="minorHAnsi" w:eastAsia="Batang" w:hAnsiTheme="minorHAnsi"/>
          <w:color w:val="000000"/>
          <w:lang w:val="es-ES" w:eastAsia="ko-KR"/>
        </w:rPr>
        <w:t>que</w:t>
      </w:r>
      <w:r w:rsidR="00047893" w:rsidRPr="00C65E86">
        <w:rPr>
          <w:rFonts w:asciiTheme="minorHAnsi" w:eastAsia="Batang" w:hAnsiTheme="minorHAnsi"/>
          <w:color w:val="000000"/>
          <w:lang w:val="es-ES" w:eastAsia="ko-KR"/>
        </w:rPr>
        <w:t xml:space="preserve"> debido a </w:t>
      </w:r>
      <w:r w:rsidR="00FE29AE">
        <w:rPr>
          <w:rFonts w:asciiTheme="minorHAnsi" w:eastAsia="Batang" w:hAnsiTheme="minorHAnsi"/>
          <w:color w:val="000000"/>
          <w:lang w:val="es-ES" w:eastAsia="ko-KR"/>
        </w:rPr>
        <w:t xml:space="preserve">las </w:t>
      </w:r>
      <w:r w:rsidR="00047893" w:rsidRPr="00C65E86">
        <w:rPr>
          <w:rFonts w:asciiTheme="minorHAnsi" w:eastAsia="Batang" w:hAnsiTheme="minorHAnsi"/>
          <w:color w:val="000000"/>
          <w:lang w:val="es-ES" w:eastAsia="ko-KR"/>
        </w:rPr>
        <w:t xml:space="preserve">circunstancias excepcionales </w:t>
      </w:r>
      <w:r w:rsidR="00FE29AE">
        <w:rPr>
          <w:rFonts w:asciiTheme="minorHAnsi" w:eastAsia="Batang" w:hAnsiTheme="minorHAnsi"/>
          <w:color w:val="000000"/>
          <w:lang w:val="es-ES" w:eastAsia="ko-KR"/>
        </w:rPr>
        <w:t>se presente</w:t>
      </w:r>
      <w:r w:rsidR="00047893" w:rsidRPr="00C65E86">
        <w:rPr>
          <w:rFonts w:asciiTheme="minorHAnsi" w:eastAsia="Batang" w:hAnsiTheme="minorHAnsi"/>
          <w:color w:val="000000"/>
          <w:lang w:val="es-ES" w:eastAsia="ko-KR"/>
        </w:rPr>
        <w:t xml:space="preserve"> a la COP14 un solo presupuesto que representa un aumento del 0 % (Escenario A) en comparación con los trienios 2016-2018 y 2019-2021 y con 2022. Esta propuesta se presenta en el anexo 2 de este documento y no incluye financiación para las actividades propuestas en los proyectos de resolución que se presentaron para su examen en la COP14.</w:t>
      </w:r>
    </w:p>
    <w:p w14:paraId="15A6509A" w14:textId="53EA9E63" w:rsidR="001A34B5" w:rsidRPr="00C65E86" w:rsidRDefault="001A34B5" w:rsidP="001A34B5">
      <w:pPr>
        <w:pStyle w:val="MGfulltext"/>
        <w:autoSpaceDE w:val="0"/>
        <w:autoSpaceDN w:val="0"/>
        <w:adjustRightInd w:val="0"/>
        <w:spacing w:after="0"/>
        <w:rPr>
          <w:rFonts w:asciiTheme="minorHAnsi" w:eastAsia="Batang" w:hAnsiTheme="minorHAnsi" w:cs="Times New Roman"/>
          <w:sz w:val="22"/>
          <w:szCs w:val="22"/>
          <w:lang w:val="es-ES"/>
        </w:rPr>
      </w:pPr>
    </w:p>
    <w:p w14:paraId="50A2781B" w14:textId="14205BD8" w:rsidR="00722C79" w:rsidRPr="00C65E86" w:rsidRDefault="003231A5" w:rsidP="00047893">
      <w:pPr>
        <w:rPr>
          <w:rFonts w:asciiTheme="minorHAnsi" w:eastAsia="Batang" w:hAnsiTheme="minorHAnsi"/>
          <w:lang w:val="es-ES"/>
        </w:rPr>
      </w:pPr>
      <w:r w:rsidRPr="00C65E86">
        <w:rPr>
          <w:rFonts w:asciiTheme="minorHAnsi" w:eastAsia="Batang" w:hAnsiTheme="minorHAnsi"/>
          <w:lang w:val="es-ES"/>
        </w:rPr>
        <w:t>16</w:t>
      </w:r>
      <w:r w:rsidR="0032775E" w:rsidRPr="00C65E86">
        <w:rPr>
          <w:rFonts w:asciiTheme="minorHAnsi" w:eastAsia="Batang" w:hAnsiTheme="minorHAnsi"/>
          <w:lang w:val="es-ES"/>
        </w:rPr>
        <w:t>.</w:t>
      </w:r>
      <w:r w:rsidR="0032775E" w:rsidRPr="00C65E86">
        <w:rPr>
          <w:rFonts w:asciiTheme="minorHAnsi" w:eastAsia="Batang" w:hAnsiTheme="minorHAnsi"/>
          <w:lang w:val="es-ES"/>
        </w:rPr>
        <w:tab/>
      </w:r>
      <w:r w:rsidR="00720442">
        <w:rPr>
          <w:rFonts w:asciiTheme="minorHAnsi" w:eastAsia="Batang" w:hAnsiTheme="minorHAnsi"/>
          <w:lang w:val="es-ES"/>
        </w:rPr>
        <w:t>M</w:t>
      </w:r>
      <w:r w:rsidR="00047893" w:rsidRPr="00C65E86">
        <w:rPr>
          <w:rFonts w:asciiTheme="minorHAnsi" w:eastAsia="Batang" w:hAnsiTheme="minorHAnsi"/>
          <w:lang w:val="es-ES"/>
        </w:rPr>
        <w:t xml:space="preserve">ediante la Decisión SC59/2022-41 i), el Comité Permanente aprobó </w:t>
      </w:r>
      <w:r w:rsidR="00720442">
        <w:rPr>
          <w:rFonts w:asciiTheme="minorHAnsi" w:eastAsia="Batang" w:hAnsiTheme="minorHAnsi"/>
          <w:lang w:val="es-ES"/>
        </w:rPr>
        <w:t>e</w:t>
      </w:r>
      <w:r w:rsidR="00720442" w:rsidRPr="00C65E86">
        <w:rPr>
          <w:rFonts w:asciiTheme="minorHAnsi" w:eastAsia="Batang" w:hAnsiTheme="minorHAnsi"/>
          <w:lang w:val="es-ES"/>
        </w:rPr>
        <w:t xml:space="preserve">n la reunión SC59/2022 </w:t>
      </w:r>
      <w:r w:rsidR="00047893" w:rsidRPr="00C65E86">
        <w:rPr>
          <w:rFonts w:asciiTheme="minorHAnsi" w:eastAsia="Batang" w:hAnsiTheme="minorHAnsi"/>
          <w:lang w:val="es-ES"/>
        </w:rPr>
        <w:t xml:space="preserve">una asignación </w:t>
      </w:r>
      <w:r w:rsidR="009069E0" w:rsidRPr="00C65E86">
        <w:rPr>
          <w:rFonts w:asciiTheme="minorHAnsi" w:eastAsia="Batang" w:hAnsiTheme="minorHAnsi"/>
          <w:lang w:val="es-ES"/>
        </w:rPr>
        <w:t xml:space="preserve">de 228 000 francos suizos </w:t>
      </w:r>
      <w:r w:rsidR="00047893" w:rsidRPr="00C65E86">
        <w:rPr>
          <w:rFonts w:asciiTheme="minorHAnsi" w:eastAsia="Batang" w:hAnsiTheme="minorHAnsi"/>
          <w:lang w:val="es-ES"/>
        </w:rPr>
        <w:t xml:space="preserve">del </w:t>
      </w:r>
      <w:r w:rsidR="00720442">
        <w:rPr>
          <w:rFonts w:asciiTheme="minorHAnsi" w:eastAsia="Batang" w:hAnsiTheme="minorHAnsi"/>
          <w:lang w:val="es-ES"/>
        </w:rPr>
        <w:t>excedente</w:t>
      </w:r>
      <w:r w:rsidR="00047893" w:rsidRPr="00C65E86">
        <w:rPr>
          <w:rFonts w:asciiTheme="minorHAnsi" w:eastAsia="Batang" w:hAnsiTheme="minorHAnsi"/>
          <w:lang w:val="es-ES"/>
        </w:rPr>
        <w:t xml:space="preserve"> de 2021 para cubrir el déficit presupuestario para el trienio 2023-2025, </w:t>
      </w:r>
      <w:r w:rsidR="00720442">
        <w:rPr>
          <w:rFonts w:asciiTheme="minorHAnsi" w:eastAsia="Batang" w:hAnsiTheme="minorHAnsi"/>
          <w:lang w:val="es-ES"/>
        </w:rPr>
        <w:t>igual que en el</w:t>
      </w:r>
      <w:r w:rsidR="00047893" w:rsidRPr="00C65E86">
        <w:rPr>
          <w:rFonts w:asciiTheme="minorHAnsi" w:eastAsia="Batang" w:hAnsiTheme="minorHAnsi"/>
          <w:lang w:val="es-ES"/>
        </w:rPr>
        <w:t xml:space="preserve"> trienio 2019-2021</w:t>
      </w:r>
      <w:r w:rsidR="00720442">
        <w:rPr>
          <w:rFonts w:asciiTheme="minorHAnsi" w:eastAsia="Batang" w:hAnsiTheme="minorHAnsi"/>
          <w:lang w:val="es-ES"/>
        </w:rPr>
        <w:t>,</w:t>
      </w:r>
      <w:r w:rsidR="00047893" w:rsidRPr="00C65E86">
        <w:rPr>
          <w:rFonts w:asciiTheme="minorHAnsi" w:eastAsia="Batang" w:hAnsiTheme="minorHAnsi"/>
          <w:lang w:val="es-ES"/>
        </w:rPr>
        <w:t xml:space="preserve"> </w:t>
      </w:r>
      <w:r w:rsidR="002A0977" w:rsidRPr="00C65E86">
        <w:rPr>
          <w:rFonts w:asciiTheme="minorHAnsi" w:eastAsia="Batang" w:hAnsiTheme="minorHAnsi"/>
          <w:lang w:val="es-ES"/>
        </w:rPr>
        <w:t>de conformidad con</w:t>
      </w:r>
      <w:r w:rsidR="00047893" w:rsidRPr="00C65E86">
        <w:rPr>
          <w:rFonts w:asciiTheme="minorHAnsi" w:eastAsia="Batang" w:hAnsiTheme="minorHAnsi"/>
          <w:lang w:val="es-ES"/>
        </w:rPr>
        <w:t xml:space="preserve"> el párrafo 15 de la Resolución XIII.2 sobre </w:t>
      </w:r>
      <w:r w:rsidR="00047893" w:rsidRPr="00C65E86">
        <w:rPr>
          <w:rFonts w:asciiTheme="minorHAnsi" w:eastAsia="Batang" w:hAnsiTheme="minorHAnsi"/>
          <w:i/>
          <w:iCs/>
          <w:lang w:val="es-ES"/>
        </w:rPr>
        <w:t>Cuestiones financieras y presupuestarias</w:t>
      </w:r>
      <w:r w:rsidR="00876B83" w:rsidRPr="00C65E86">
        <w:rPr>
          <w:rStyle w:val="FootnoteReference"/>
          <w:rFonts w:asciiTheme="minorHAnsi" w:eastAsia="Batang" w:hAnsiTheme="minorHAnsi"/>
          <w:lang w:val="es-ES"/>
        </w:rPr>
        <w:footnoteReference w:id="5"/>
      </w:r>
      <w:r w:rsidR="00722C79" w:rsidRPr="00C65E86">
        <w:rPr>
          <w:rFonts w:asciiTheme="minorHAnsi" w:eastAsia="Batang" w:hAnsiTheme="minorHAnsi"/>
          <w:lang w:val="es-ES"/>
        </w:rPr>
        <w:t xml:space="preserve">. </w:t>
      </w:r>
    </w:p>
    <w:p w14:paraId="64BD3BEE" w14:textId="77777777" w:rsidR="004D241A" w:rsidRPr="00C65E86" w:rsidRDefault="004D241A" w:rsidP="004D241A">
      <w:pPr>
        <w:pStyle w:val="MGfulltext"/>
        <w:spacing w:after="0"/>
        <w:rPr>
          <w:rFonts w:asciiTheme="minorHAnsi" w:eastAsia="Batang" w:hAnsiTheme="minorHAnsi" w:cs="Times New Roman"/>
          <w:sz w:val="22"/>
          <w:szCs w:val="22"/>
          <w:lang w:val="es-ES"/>
        </w:rPr>
      </w:pPr>
    </w:p>
    <w:p w14:paraId="34524580" w14:textId="76C9B08E" w:rsidR="002A0977" w:rsidRPr="00C65E86" w:rsidRDefault="003231A5" w:rsidP="00BE3D67">
      <w:pPr>
        <w:pStyle w:val="MGfulltext"/>
        <w:spacing w:after="0"/>
        <w:ind w:left="426" w:hanging="426"/>
        <w:rPr>
          <w:rFonts w:asciiTheme="minorHAnsi" w:eastAsia="Batang" w:hAnsiTheme="minorHAnsi" w:cs="Times New Roman"/>
          <w:sz w:val="22"/>
          <w:szCs w:val="22"/>
          <w:lang w:val="es-ES"/>
        </w:rPr>
      </w:pPr>
      <w:r w:rsidRPr="00C65E86">
        <w:rPr>
          <w:rFonts w:asciiTheme="minorHAnsi" w:eastAsia="Batang" w:hAnsiTheme="minorHAnsi" w:cs="Times New Roman"/>
          <w:sz w:val="22"/>
          <w:szCs w:val="22"/>
          <w:lang w:val="es-ES"/>
        </w:rPr>
        <w:t>17</w:t>
      </w:r>
      <w:r w:rsidR="00BE3D67" w:rsidRPr="00C65E86">
        <w:rPr>
          <w:rFonts w:asciiTheme="minorHAnsi" w:eastAsia="Batang" w:hAnsiTheme="minorHAnsi" w:cs="Times New Roman"/>
          <w:sz w:val="22"/>
          <w:szCs w:val="22"/>
          <w:lang w:val="es-ES"/>
        </w:rPr>
        <w:t>.</w:t>
      </w:r>
      <w:r w:rsidR="00BE3D67" w:rsidRPr="00C65E86">
        <w:rPr>
          <w:rFonts w:asciiTheme="minorHAnsi" w:eastAsia="Batang" w:hAnsiTheme="minorHAnsi" w:cs="Times New Roman"/>
          <w:sz w:val="22"/>
          <w:szCs w:val="22"/>
          <w:lang w:val="es-ES"/>
        </w:rPr>
        <w:tab/>
      </w:r>
      <w:r w:rsidR="002A0977" w:rsidRPr="00C65E86">
        <w:rPr>
          <w:rFonts w:asciiTheme="minorHAnsi" w:eastAsia="Batang" w:hAnsiTheme="minorHAnsi" w:cs="Times New Roman"/>
          <w:sz w:val="22"/>
          <w:szCs w:val="22"/>
          <w:lang w:val="es-ES"/>
        </w:rPr>
        <w:t xml:space="preserve">Mediante la Decisión SC59/2022-41 ii), el Comité Permanente aprobó una asignación </w:t>
      </w:r>
      <w:r w:rsidR="002F79DE" w:rsidRPr="00C65E86">
        <w:rPr>
          <w:rFonts w:asciiTheme="minorHAnsi" w:eastAsia="Batang" w:hAnsiTheme="minorHAnsi" w:cs="Times New Roman"/>
          <w:sz w:val="22"/>
          <w:szCs w:val="22"/>
          <w:lang w:val="es-ES"/>
        </w:rPr>
        <w:t xml:space="preserve">de 360 000 francos suizos </w:t>
      </w:r>
      <w:r w:rsidR="002A0977" w:rsidRPr="00C65E86">
        <w:rPr>
          <w:rFonts w:asciiTheme="minorHAnsi" w:eastAsia="Batang" w:hAnsiTheme="minorHAnsi" w:cs="Times New Roman"/>
          <w:sz w:val="22"/>
          <w:szCs w:val="22"/>
          <w:lang w:val="es-ES"/>
        </w:rPr>
        <w:t xml:space="preserve">del </w:t>
      </w:r>
      <w:r w:rsidR="002F79DE">
        <w:rPr>
          <w:rFonts w:asciiTheme="minorHAnsi" w:eastAsia="Batang" w:hAnsiTheme="minorHAnsi" w:cs="Times New Roman"/>
          <w:sz w:val="22"/>
          <w:szCs w:val="22"/>
          <w:lang w:val="es-ES"/>
        </w:rPr>
        <w:t>excedente</w:t>
      </w:r>
      <w:r w:rsidR="002A0977" w:rsidRPr="00C65E86">
        <w:rPr>
          <w:rFonts w:asciiTheme="minorHAnsi" w:eastAsia="Batang" w:hAnsiTheme="minorHAnsi" w:cs="Times New Roman"/>
          <w:sz w:val="22"/>
          <w:szCs w:val="22"/>
          <w:lang w:val="es-ES"/>
        </w:rPr>
        <w:t xml:space="preserve"> de 2021 para el aumento de las provisiones pendientes en el trienio 2023-2025, </w:t>
      </w:r>
      <w:r w:rsidR="003A12FD">
        <w:rPr>
          <w:rFonts w:asciiTheme="minorHAnsi" w:eastAsia="Batang" w:hAnsiTheme="minorHAnsi" w:cs="Times New Roman"/>
          <w:sz w:val="22"/>
          <w:szCs w:val="22"/>
          <w:lang w:val="es-ES"/>
        </w:rPr>
        <w:t>a</w:t>
      </w:r>
      <w:r w:rsidR="002A0977" w:rsidRPr="00C65E86">
        <w:rPr>
          <w:rFonts w:asciiTheme="minorHAnsi" w:eastAsia="Batang" w:hAnsiTheme="minorHAnsi" w:cs="Times New Roman"/>
          <w:sz w:val="22"/>
          <w:szCs w:val="22"/>
          <w:lang w:val="es-ES"/>
        </w:rPr>
        <w:t xml:space="preserve"> condición de que cualquier parte no utilizada se </w:t>
      </w:r>
      <w:r w:rsidR="003E5DF6">
        <w:rPr>
          <w:rFonts w:asciiTheme="minorHAnsi" w:eastAsia="Batang" w:hAnsiTheme="minorHAnsi" w:cs="Times New Roman"/>
          <w:sz w:val="22"/>
          <w:szCs w:val="22"/>
          <w:lang w:val="es-ES"/>
        </w:rPr>
        <w:t>devolviera</w:t>
      </w:r>
      <w:r w:rsidR="002A0977" w:rsidRPr="00C65E86">
        <w:rPr>
          <w:rFonts w:asciiTheme="minorHAnsi" w:eastAsia="Batang" w:hAnsiTheme="minorHAnsi" w:cs="Times New Roman"/>
          <w:sz w:val="22"/>
          <w:szCs w:val="22"/>
          <w:lang w:val="es-ES"/>
        </w:rPr>
        <w:t xml:space="preserve"> al </w:t>
      </w:r>
      <w:r w:rsidR="003A12FD">
        <w:rPr>
          <w:rFonts w:asciiTheme="minorHAnsi" w:eastAsia="Batang" w:hAnsiTheme="minorHAnsi" w:cs="Times New Roman"/>
          <w:sz w:val="22"/>
          <w:szCs w:val="22"/>
          <w:lang w:val="es-ES"/>
        </w:rPr>
        <w:t>excedente</w:t>
      </w:r>
      <w:r w:rsidR="002A0977" w:rsidRPr="00C65E86">
        <w:rPr>
          <w:rFonts w:asciiTheme="minorHAnsi" w:eastAsia="Batang" w:hAnsiTheme="minorHAnsi" w:cs="Times New Roman"/>
          <w:sz w:val="22"/>
          <w:szCs w:val="22"/>
          <w:lang w:val="es-ES"/>
        </w:rPr>
        <w:t xml:space="preserve"> para su posterior asignación al final de cada año en el trienio 2023-2025.</w:t>
      </w:r>
    </w:p>
    <w:p w14:paraId="639ACE3A" w14:textId="6016049F" w:rsidR="001A34B5" w:rsidRPr="00C65E86" w:rsidRDefault="001A34B5" w:rsidP="00FC2EBB">
      <w:pPr>
        <w:pStyle w:val="MGfulltext"/>
        <w:spacing w:after="0"/>
        <w:ind w:left="850" w:hanging="425"/>
        <w:rPr>
          <w:rFonts w:eastAsiaTheme="minorHAnsi" w:cs="Calibri"/>
          <w:color w:val="000000"/>
          <w:lang w:val="es-ES"/>
        </w:rPr>
      </w:pPr>
    </w:p>
    <w:p w14:paraId="22FF6BBB" w14:textId="180263FA" w:rsidR="002A0977" w:rsidRPr="00C65E86" w:rsidRDefault="003231A5" w:rsidP="002A0977">
      <w:pPr>
        <w:rPr>
          <w:rFonts w:asciiTheme="minorHAnsi" w:eastAsia="Batang" w:hAnsiTheme="minorHAnsi"/>
          <w:color w:val="000000"/>
          <w:lang w:val="es-ES" w:eastAsia="ko-KR"/>
        </w:rPr>
      </w:pPr>
      <w:r w:rsidRPr="00C65E86">
        <w:rPr>
          <w:rFonts w:asciiTheme="minorHAnsi" w:eastAsia="Batang" w:hAnsiTheme="minorHAnsi"/>
          <w:color w:val="000000"/>
          <w:lang w:val="es-ES" w:eastAsia="ko-KR"/>
        </w:rPr>
        <w:t>18</w:t>
      </w:r>
      <w:r w:rsidR="00327DFA" w:rsidRPr="00C65E86">
        <w:rPr>
          <w:rFonts w:asciiTheme="minorHAnsi" w:eastAsia="Batang" w:hAnsiTheme="minorHAnsi"/>
          <w:color w:val="000000"/>
          <w:lang w:val="es-ES" w:eastAsia="ko-KR"/>
        </w:rPr>
        <w:t>.</w:t>
      </w:r>
      <w:r w:rsidR="00327DFA" w:rsidRPr="00C65E86">
        <w:rPr>
          <w:rFonts w:asciiTheme="minorHAnsi" w:eastAsia="Batang" w:hAnsiTheme="minorHAnsi"/>
          <w:color w:val="000000"/>
          <w:lang w:val="es-ES" w:eastAsia="ko-KR"/>
        </w:rPr>
        <w:tab/>
      </w:r>
      <w:r w:rsidR="002A0977" w:rsidRPr="00C65E86">
        <w:rPr>
          <w:rFonts w:asciiTheme="minorHAnsi" w:eastAsia="Batang" w:hAnsiTheme="minorHAnsi"/>
          <w:color w:val="000000"/>
          <w:lang w:val="es-ES" w:eastAsia="ko-KR"/>
        </w:rPr>
        <w:t xml:space="preserve">A continuación se ofrece una explicación sobre los elementos esenciales del presupuesto básico para el trienio 2023-2025, </w:t>
      </w:r>
      <w:r w:rsidR="00143897">
        <w:rPr>
          <w:rFonts w:asciiTheme="minorHAnsi" w:eastAsia="Batang" w:hAnsiTheme="minorHAnsi"/>
          <w:color w:val="000000"/>
          <w:lang w:val="es-ES" w:eastAsia="ko-KR"/>
        </w:rPr>
        <w:t>así como</w:t>
      </w:r>
      <w:r w:rsidR="002A0977" w:rsidRPr="00C65E86">
        <w:rPr>
          <w:rFonts w:asciiTheme="minorHAnsi" w:eastAsia="Batang" w:hAnsiTheme="minorHAnsi"/>
          <w:color w:val="000000"/>
          <w:lang w:val="es-ES" w:eastAsia="ko-KR"/>
        </w:rPr>
        <w:t xml:space="preserve"> </w:t>
      </w:r>
      <w:r w:rsidR="003A12FD">
        <w:rPr>
          <w:rFonts w:asciiTheme="minorHAnsi" w:eastAsia="Batang" w:hAnsiTheme="minorHAnsi"/>
          <w:color w:val="000000"/>
          <w:lang w:val="es-ES" w:eastAsia="ko-KR"/>
        </w:rPr>
        <w:t>las observaciones</w:t>
      </w:r>
      <w:r w:rsidR="002A0977" w:rsidRPr="00C65E86">
        <w:rPr>
          <w:rFonts w:asciiTheme="minorHAnsi" w:eastAsia="Batang" w:hAnsiTheme="minorHAnsi"/>
          <w:color w:val="000000"/>
          <w:lang w:val="es-ES" w:eastAsia="ko-KR"/>
        </w:rPr>
        <w:t xml:space="preserve"> de la Secretaría sobre las deficiencias identificadas y, al final, una explicación de la estructura del presupuesto básico para ese trienio.</w:t>
      </w:r>
    </w:p>
    <w:p w14:paraId="6CEEBBDF" w14:textId="77777777" w:rsidR="00327DFA" w:rsidRPr="00C65E86" w:rsidRDefault="00327DFA" w:rsidP="002A0977">
      <w:pPr>
        <w:ind w:left="0" w:firstLine="0"/>
        <w:rPr>
          <w:rFonts w:asciiTheme="minorHAnsi" w:eastAsia="Batang" w:hAnsiTheme="minorHAnsi"/>
          <w:color w:val="000000"/>
          <w:lang w:val="es-ES" w:eastAsia="ko-KR"/>
        </w:rPr>
      </w:pPr>
    </w:p>
    <w:p w14:paraId="3652CB2D" w14:textId="383CF0FD" w:rsidR="002A0977" w:rsidRPr="00C65E86" w:rsidRDefault="003231A5" w:rsidP="00327DFA">
      <w:pPr>
        <w:rPr>
          <w:rFonts w:asciiTheme="minorHAnsi" w:eastAsia="Batang" w:hAnsiTheme="minorHAnsi"/>
          <w:color w:val="000000"/>
          <w:lang w:val="es-ES" w:eastAsia="ko-KR"/>
        </w:rPr>
      </w:pPr>
      <w:r w:rsidRPr="00C65E86">
        <w:rPr>
          <w:rFonts w:asciiTheme="minorHAnsi" w:eastAsia="Batang" w:hAnsiTheme="minorHAnsi"/>
          <w:color w:val="000000"/>
          <w:lang w:val="es-ES" w:eastAsia="ko-KR"/>
        </w:rPr>
        <w:t>19</w:t>
      </w:r>
      <w:r w:rsidR="00327DFA" w:rsidRPr="00C65E86">
        <w:rPr>
          <w:rFonts w:asciiTheme="minorHAnsi" w:eastAsia="Batang" w:hAnsiTheme="minorHAnsi"/>
          <w:color w:val="000000"/>
          <w:lang w:val="es-ES" w:eastAsia="ko-KR"/>
        </w:rPr>
        <w:t>.</w:t>
      </w:r>
      <w:r w:rsidR="00327DFA" w:rsidRPr="00C65E86">
        <w:rPr>
          <w:rFonts w:asciiTheme="minorHAnsi" w:eastAsia="Batang" w:hAnsiTheme="minorHAnsi"/>
          <w:color w:val="000000"/>
          <w:lang w:val="es-ES" w:eastAsia="ko-KR"/>
        </w:rPr>
        <w:tab/>
      </w:r>
      <w:r w:rsidR="002A0977" w:rsidRPr="00C65E86">
        <w:rPr>
          <w:rFonts w:asciiTheme="minorHAnsi" w:eastAsia="Batang" w:hAnsiTheme="minorHAnsi"/>
          <w:color w:val="000000"/>
          <w:lang w:val="es-ES" w:eastAsia="ko-KR"/>
        </w:rPr>
        <w:t xml:space="preserve">Los detalles del presupuesto básico para cada </w:t>
      </w:r>
      <w:r w:rsidR="00CB56B1">
        <w:rPr>
          <w:rFonts w:asciiTheme="minorHAnsi" w:eastAsia="Batang" w:hAnsiTheme="minorHAnsi"/>
          <w:color w:val="000000"/>
          <w:lang w:val="es-ES" w:eastAsia="ko-KR"/>
        </w:rPr>
        <w:t>sección</w:t>
      </w:r>
      <w:r w:rsidR="002A0977" w:rsidRPr="00C65E86">
        <w:rPr>
          <w:rFonts w:asciiTheme="minorHAnsi" w:eastAsia="Batang" w:hAnsiTheme="minorHAnsi"/>
          <w:color w:val="000000"/>
          <w:lang w:val="es-ES" w:eastAsia="ko-KR"/>
        </w:rPr>
        <w:t xml:space="preserve"> o categoría se han mantenido para ayudar a las Partes Contratantes a conocer los </w:t>
      </w:r>
      <w:r w:rsidR="00185534">
        <w:rPr>
          <w:rFonts w:asciiTheme="minorHAnsi" w:eastAsia="Batang" w:hAnsiTheme="minorHAnsi"/>
          <w:color w:val="000000"/>
          <w:lang w:val="es-ES" w:eastAsia="ko-KR"/>
        </w:rPr>
        <w:t>detalles</w:t>
      </w:r>
      <w:r w:rsidR="002A0977" w:rsidRPr="00C65E86">
        <w:rPr>
          <w:rFonts w:asciiTheme="minorHAnsi" w:eastAsia="Batang" w:hAnsiTheme="minorHAnsi"/>
          <w:color w:val="000000"/>
          <w:lang w:val="es-ES" w:eastAsia="ko-KR"/>
        </w:rPr>
        <w:t xml:space="preserve"> </w:t>
      </w:r>
      <w:r w:rsidR="005A2AC6">
        <w:rPr>
          <w:rFonts w:asciiTheme="minorHAnsi" w:eastAsia="Batang" w:hAnsiTheme="minorHAnsi"/>
          <w:color w:val="000000"/>
          <w:lang w:val="es-ES" w:eastAsia="ko-KR"/>
        </w:rPr>
        <w:t>de la manera</w:t>
      </w:r>
      <w:r w:rsidR="009B539A" w:rsidRPr="00C65E86">
        <w:rPr>
          <w:rFonts w:asciiTheme="minorHAnsi" w:eastAsia="Batang" w:hAnsiTheme="minorHAnsi"/>
          <w:color w:val="000000"/>
          <w:lang w:val="es-ES" w:eastAsia="ko-KR"/>
        </w:rPr>
        <w:t xml:space="preserve"> en que</w:t>
      </w:r>
      <w:r w:rsidR="002A0977" w:rsidRPr="00C65E86">
        <w:rPr>
          <w:rFonts w:asciiTheme="minorHAnsi" w:eastAsia="Batang" w:hAnsiTheme="minorHAnsi"/>
          <w:color w:val="000000"/>
          <w:lang w:val="es-ES" w:eastAsia="ko-KR"/>
        </w:rPr>
        <w:t xml:space="preserve"> se </w:t>
      </w:r>
      <w:r w:rsidR="009B539A" w:rsidRPr="00C65E86">
        <w:rPr>
          <w:rFonts w:asciiTheme="minorHAnsi" w:eastAsia="Batang" w:hAnsiTheme="minorHAnsi"/>
          <w:color w:val="000000"/>
          <w:lang w:val="es-ES" w:eastAsia="ko-KR"/>
        </w:rPr>
        <w:t>utilizarán</w:t>
      </w:r>
      <w:r w:rsidR="002A0977" w:rsidRPr="00C65E86">
        <w:rPr>
          <w:rFonts w:asciiTheme="minorHAnsi" w:eastAsia="Batang" w:hAnsiTheme="minorHAnsi"/>
          <w:color w:val="000000"/>
          <w:lang w:val="es-ES" w:eastAsia="ko-KR"/>
        </w:rPr>
        <w:t xml:space="preserve"> sus contribuciones. Estos </w:t>
      </w:r>
      <w:r w:rsidR="00185534">
        <w:rPr>
          <w:rFonts w:asciiTheme="minorHAnsi" w:eastAsia="Batang" w:hAnsiTheme="minorHAnsi"/>
          <w:color w:val="000000"/>
          <w:lang w:val="es-ES" w:eastAsia="ko-KR"/>
        </w:rPr>
        <w:t>detalles</w:t>
      </w:r>
      <w:r w:rsidR="002A0977" w:rsidRPr="00C65E86">
        <w:rPr>
          <w:rFonts w:asciiTheme="minorHAnsi" w:eastAsia="Batang" w:hAnsiTheme="minorHAnsi"/>
          <w:color w:val="000000"/>
          <w:lang w:val="es-ES" w:eastAsia="ko-KR"/>
        </w:rPr>
        <w:t xml:space="preserve"> se eliminarán en la resolución final que se </w:t>
      </w:r>
      <w:r w:rsidR="009B539A" w:rsidRPr="00C65E86">
        <w:rPr>
          <w:rFonts w:asciiTheme="minorHAnsi" w:eastAsia="Batang" w:hAnsiTheme="minorHAnsi"/>
          <w:color w:val="000000"/>
          <w:lang w:val="es-ES" w:eastAsia="ko-KR"/>
        </w:rPr>
        <w:t>aprobará</w:t>
      </w:r>
      <w:r w:rsidR="002A0977" w:rsidRPr="00C65E86">
        <w:rPr>
          <w:rFonts w:asciiTheme="minorHAnsi" w:eastAsia="Batang" w:hAnsiTheme="minorHAnsi"/>
          <w:color w:val="000000"/>
          <w:lang w:val="es-ES" w:eastAsia="ko-KR"/>
        </w:rPr>
        <w:t xml:space="preserve"> en la COP14, siguiendo la práctica de las COP anteriores.</w:t>
      </w:r>
    </w:p>
    <w:p w14:paraId="4F5DF3C8" w14:textId="7AA45387" w:rsidR="007517AD" w:rsidRPr="00C65E86" w:rsidRDefault="007517AD" w:rsidP="009B539A">
      <w:pPr>
        <w:ind w:left="0" w:firstLine="0"/>
        <w:rPr>
          <w:rFonts w:asciiTheme="minorHAnsi" w:eastAsia="Batang" w:hAnsiTheme="minorHAnsi"/>
          <w:bCs/>
          <w:lang w:val="es-ES" w:eastAsia="ko-KR"/>
        </w:rPr>
      </w:pPr>
    </w:p>
    <w:p w14:paraId="5B2207C5" w14:textId="7948FF49" w:rsidR="00726F15" w:rsidRPr="00C65E86" w:rsidRDefault="00726F15" w:rsidP="00B8572A">
      <w:pPr>
        <w:keepNext/>
        <w:rPr>
          <w:rFonts w:asciiTheme="minorHAnsi" w:eastAsia="Batang" w:hAnsiTheme="minorHAnsi"/>
          <w:u w:val="single"/>
          <w:lang w:val="es-ES"/>
        </w:rPr>
      </w:pPr>
      <w:r w:rsidRPr="00C65E86">
        <w:rPr>
          <w:rFonts w:asciiTheme="minorHAnsi" w:eastAsia="Batang" w:hAnsiTheme="minorHAnsi"/>
          <w:u w:val="single"/>
          <w:lang w:val="es-ES"/>
        </w:rPr>
        <w:t xml:space="preserve">Suposiciones y explicaciones </w:t>
      </w:r>
      <w:r w:rsidR="00185534">
        <w:rPr>
          <w:rFonts w:asciiTheme="minorHAnsi" w:eastAsia="Batang" w:hAnsiTheme="minorHAnsi"/>
          <w:u w:val="single"/>
          <w:lang w:val="es-ES"/>
        </w:rPr>
        <w:t>respecto</w:t>
      </w:r>
      <w:r w:rsidRPr="00C65E86">
        <w:rPr>
          <w:rFonts w:asciiTheme="minorHAnsi" w:eastAsia="Batang" w:hAnsiTheme="minorHAnsi"/>
          <w:u w:val="single"/>
          <w:lang w:val="es-ES"/>
        </w:rPr>
        <w:t xml:space="preserve"> al presupuesto básico propuesto para el trienio 2023-2025 </w:t>
      </w:r>
    </w:p>
    <w:p w14:paraId="08155FFA" w14:textId="77777777" w:rsidR="007D788C" w:rsidRPr="00C65E86" w:rsidRDefault="007D788C" w:rsidP="00B8572A">
      <w:pPr>
        <w:pStyle w:val="MGfulltext"/>
        <w:keepNext/>
        <w:spacing w:after="0"/>
        <w:rPr>
          <w:rFonts w:asciiTheme="minorHAnsi" w:eastAsia="Batang" w:hAnsiTheme="minorHAnsi" w:cs="Times New Roman"/>
          <w:sz w:val="22"/>
          <w:szCs w:val="22"/>
          <w:u w:val="single"/>
          <w:lang w:val="es-ES"/>
        </w:rPr>
      </w:pPr>
    </w:p>
    <w:p w14:paraId="14257E3B" w14:textId="73A9B334" w:rsidR="00726F15" w:rsidRPr="00C65E86" w:rsidRDefault="003231A5" w:rsidP="006241C1">
      <w:pPr>
        <w:rPr>
          <w:rFonts w:asciiTheme="minorHAnsi" w:eastAsia="Batang" w:hAnsiTheme="minorHAnsi"/>
          <w:color w:val="000000"/>
          <w:lang w:val="es-ES" w:eastAsia="ko-KR"/>
        </w:rPr>
      </w:pPr>
      <w:r w:rsidRPr="00C65E86">
        <w:rPr>
          <w:rFonts w:asciiTheme="minorHAnsi" w:eastAsia="Batang" w:hAnsiTheme="minorHAnsi"/>
          <w:color w:val="000000"/>
          <w:lang w:val="es-ES" w:eastAsia="ko-KR"/>
        </w:rPr>
        <w:t>20</w:t>
      </w:r>
      <w:r w:rsidR="00D4581F" w:rsidRPr="00C65E86">
        <w:rPr>
          <w:rFonts w:asciiTheme="minorHAnsi" w:eastAsia="Batang" w:hAnsiTheme="minorHAnsi"/>
          <w:color w:val="000000"/>
          <w:lang w:val="es-ES" w:eastAsia="ko-KR"/>
        </w:rPr>
        <w:t>.</w:t>
      </w:r>
      <w:r w:rsidR="00D4581F" w:rsidRPr="00C65E86">
        <w:rPr>
          <w:rFonts w:asciiTheme="minorHAnsi" w:eastAsia="Batang" w:hAnsiTheme="minorHAnsi"/>
          <w:color w:val="000000"/>
          <w:lang w:val="es-ES" w:eastAsia="ko-KR"/>
        </w:rPr>
        <w:tab/>
      </w:r>
      <w:r w:rsidR="00726F15" w:rsidRPr="00C65E86">
        <w:rPr>
          <w:rFonts w:asciiTheme="minorHAnsi" w:eastAsia="Batang" w:hAnsiTheme="minorHAnsi"/>
          <w:color w:val="000000"/>
          <w:lang w:val="es-ES" w:eastAsia="ko-KR"/>
        </w:rPr>
        <w:t xml:space="preserve">El presupuesto propuesto para el trienio 2023-2025 (denominado anteriormente </w:t>
      </w:r>
      <w:r w:rsidR="00726F15" w:rsidRPr="00C65E86">
        <w:rPr>
          <w:rFonts w:asciiTheme="minorHAnsi" w:eastAsia="Batang" w:hAnsiTheme="minorHAnsi"/>
          <w:b/>
          <w:bCs/>
          <w:color w:val="000000"/>
          <w:lang w:val="es-ES" w:eastAsia="ko-KR"/>
        </w:rPr>
        <w:t>“aumento del 0 % (</w:t>
      </w:r>
      <w:r w:rsidR="003E5DF6">
        <w:rPr>
          <w:rFonts w:asciiTheme="minorHAnsi" w:eastAsia="Batang" w:hAnsiTheme="minorHAnsi"/>
          <w:b/>
          <w:bCs/>
          <w:color w:val="000000"/>
          <w:lang w:val="es-ES" w:eastAsia="ko-KR"/>
        </w:rPr>
        <w:t>Escenario</w:t>
      </w:r>
      <w:r w:rsidR="00726F15" w:rsidRPr="00C65E86">
        <w:rPr>
          <w:rFonts w:asciiTheme="minorHAnsi" w:eastAsia="Batang" w:hAnsiTheme="minorHAnsi"/>
          <w:b/>
          <w:bCs/>
          <w:color w:val="000000"/>
          <w:lang w:val="es-ES" w:eastAsia="ko-KR"/>
        </w:rPr>
        <w:t xml:space="preserve"> A)</w:t>
      </w:r>
      <w:r w:rsidR="00726F15" w:rsidRPr="00C65E86">
        <w:rPr>
          <w:rFonts w:asciiTheme="minorHAnsi" w:eastAsia="Batang" w:hAnsiTheme="minorHAnsi"/>
          <w:color w:val="000000"/>
          <w:lang w:val="es-ES" w:eastAsia="ko-KR"/>
        </w:rPr>
        <w:t>”) incluye las siguientes suposiciones y explicaciones:</w:t>
      </w:r>
    </w:p>
    <w:p w14:paraId="75A28FE6" w14:textId="77777777" w:rsidR="00726F15" w:rsidRPr="00C65E86" w:rsidRDefault="00726F15" w:rsidP="00D4581F">
      <w:pPr>
        <w:pStyle w:val="MGfulltext"/>
        <w:spacing w:after="0"/>
        <w:ind w:left="425" w:hanging="425"/>
        <w:rPr>
          <w:rFonts w:asciiTheme="minorHAnsi" w:eastAsia="Batang" w:hAnsiTheme="minorHAnsi" w:cs="Times New Roman"/>
          <w:sz w:val="22"/>
          <w:szCs w:val="22"/>
          <w:lang w:val="es-ES"/>
        </w:rPr>
      </w:pPr>
    </w:p>
    <w:p w14:paraId="14C68E93" w14:textId="7E62DD46" w:rsidR="00726F15" w:rsidRPr="00C65E86" w:rsidRDefault="00185534" w:rsidP="00726F15">
      <w:pPr>
        <w:pStyle w:val="MGfulltext"/>
        <w:numPr>
          <w:ilvl w:val="0"/>
          <w:numId w:val="6"/>
        </w:numPr>
        <w:spacing w:after="0"/>
        <w:rPr>
          <w:rFonts w:asciiTheme="minorHAnsi" w:eastAsia="Batang" w:hAnsiTheme="minorHAnsi" w:cs="Times New Roman"/>
          <w:sz w:val="22"/>
          <w:szCs w:val="22"/>
          <w:lang w:val="es-ES"/>
        </w:rPr>
      </w:pPr>
      <w:r>
        <w:rPr>
          <w:rFonts w:asciiTheme="minorHAnsi" w:eastAsia="Batang" w:hAnsiTheme="minorHAnsi" w:cs="Times New Roman"/>
          <w:sz w:val="22"/>
          <w:szCs w:val="22"/>
          <w:lang w:val="es-ES"/>
        </w:rPr>
        <w:t>Todas las contribuciones de</w:t>
      </w:r>
      <w:r w:rsidRPr="00C65E86">
        <w:rPr>
          <w:rFonts w:asciiTheme="minorHAnsi" w:eastAsia="Batang" w:hAnsiTheme="minorHAnsi" w:cs="Times New Roman"/>
          <w:sz w:val="22"/>
          <w:szCs w:val="22"/>
          <w:lang w:val="es-ES"/>
        </w:rPr>
        <w:t xml:space="preserve"> las Partes Contratantes </w:t>
      </w:r>
      <w:r>
        <w:rPr>
          <w:rFonts w:asciiTheme="minorHAnsi" w:eastAsia="Batang" w:hAnsiTheme="minorHAnsi" w:cs="Times New Roman"/>
          <w:sz w:val="22"/>
          <w:szCs w:val="22"/>
          <w:lang w:val="es-ES"/>
        </w:rPr>
        <w:t xml:space="preserve">se </w:t>
      </w:r>
      <w:r w:rsidR="00DC5BAA">
        <w:rPr>
          <w:rFonts w:asciiTheme="minorHAnsi" w:eastAsia="Batang" w:hAnsiTheme="minorHAnsi" w:cs="Times New Roman"/>
          <w:sz w:val="22"/>
          <w:szCs w:val="22"/>
          <w:lang w:val="es-ES"/>
        </w:rPr>
        <w:t>pagan</w:t>
      </w:r>
      <w:r w:rsidR="00726F15" w:rsidRPr="00C65E86">
        <w:rPr>
          <w:rFonts w:asciiTheme="minorHAnsi" w:eastAsia="Batang" w:hAnsiTheme="minorHAnsi" w:cs="Times New Roman"/>
          <w:sz w:val="22"/>
          <w:szCs w:val="22"/>
          <w:lang w:val="es-ES"/>
        </w:rPr>
        <w:t xml:space="preserve"> en francos suizos, </w:t>
      </w:r>
      <w:r>
        <w:rPr>
          <w:rFonts w:asciiTheme="minorHAnsi" w:eastAsia="Batang" w:hAnsiTheme="minorHAnsi" w:cs="Times New Roman"/>
          <w:sz w:val="22"/>
          <w:szCs w:val="22"/>
          <w:lang w:val="es-ES"/>
        </w:rPr>
        <w:t>de acuerdo con</w:t>
      </w:r>
      <w:r w:rsidR="00726F15" w:rsidRPr="00C65E86">
        <w:rPr>
          <w:rFonts w:asciiTheme="minorHAnsi" w:eastAsia="Batang" w:hAnsiTheme="minorHAnsi" w:cs="Times New Roman"/>
          <w:sz w:val="22"/>
          <w:szCs w:val="22"/>
          <w:lang w:val="es-ES"/>
        </w:rPr>
        <w:t xml:space="preserve"> la escala de cuotas actualizada de las Naciones Unidas, incluida una contribución voluntaria del 22 % aportada por los Estados Unidos de América.</w:t>
      </w:r>
    </w:p>
    <w:p w14:paraId="5AC9ABF7" w14:textId="77777777" w:rsidR="00727C10" w:rsidRPr="00C65E86" w:rsidRDefault="00727C10" w:rsidP="00726F15">
      <w:pPr>
        <w:pStyle w:val="MGfulltext"/>
        <w:spacing w:after="0"/>
        <w:rPr>
          <w:rFonts w:asciiTheme="minorHAnsi" w:eastAsia="Batang" w:hAnsiTheme="minorHAnsi" w:cs="Times New Roman"/>
          <w:sz w:val="22"/>
          <w:szCs w:val="22"/>
          <w:lang w:val="es-ES"/>
        </w:rPr>
      </w:pPr>
    </w:p>
    <w:p w14:paraId="706CD51D" w14:textId="64389CA8" w:rsidR="00726F15" w:rsidRPr="00C65E86" w:rsidRDefault="00286B68" w:rsidP="00286B68">
      <w:pPr>
        <w:pStyle w:val="MGfulltext"/>
        <w:numPr>
          <w:ilvl w:val="0"/>
          <w:numId w:val="6"/>
        </w:numPr>
        <w:spacing w:after="0"/>
        <w:rPr>
          <w:rFonts w:asciiTheme="minorHAnsi" w:eastAsia="Batang" w:hAnsiTheme="minorHAnsi" w:cs="Times New Roman"/>
          <w:sz w:val="22"/>
          <w:szCs w:val="22"/>
          <w:lang w:val="es-ES"/>
        </w:rPr>
      </w:pPr>
      <w:r w:rsidRPr="00C65E86">
        <w:rPr>
          <w:rFonts w:asciiTheme="minorHAnsi" w:eastAsia="Batang" w:hAnsiTheme="minorHAnsi" w:cs="Times New Roman"/>
          <w:sz w:val="22"/>
          <w:szCs w:val="22"/>
          <w:lang w:val="es-ES"/>
        </w:rPr>
        <w:t>Los ingresos que no están relacionados con las contribuciones, sobre todo el impuesto sobre la renta y los intereses, se han reevaluado en función de las expectativas. La metodología de la UICN para el cálculo del impuesto sobre la renta se ha mantenido sin cambios.</w:t>
      </w:r>
    </w:p>
    <w:p w14:paraId="2758D409" w14:textId="77777777" w:rsidR="00C65D54" w:rsidRPr="00C65E86" w:rsidRDefault="00C65D54" w:rsidP="00286B68">
      <w:pPr>
        <w:pStyle w:val="MGfulltext"/>
        <w:spacing w:after="0"/>
        <w:rPr>
          <w:rFonts w:asciiTheme="minorHAnsi" w:eastAsia="Batang" w:hAnsiTheme="minorHAnsi" w:cs="Times New Roman"/>
          <w:sz w:val="22"/>
          <w:szCs w:val="22"/>
          <w:lang w:val="es-ES"/>
        </w:rPr>
      </w:pPr>
    </w:p>
    <w:p w14:paraId="01B0EAF0" w14:textId="439E3057" w:rsidR="00286B68" w:rsidRPr="00C65E86" w:rsidRDefault="00286B68" w:rsidP="00286B68">
      <w:pPr>
        <w:pStyle w:val="MGfulltext"/>
        <w:numPr>
          <w:ilvl w:val="0"/>
          <w:numId w:val="6"/>
        </w:numPr>
        <w:spacing w:after="0"/>
        <w:rPr>
          <w:rFonts w:asciiTheme="minorHAnsi" w:eastAsia="Batang" w:hAnsiTheme="minorHAnsi" w:cs="Times New Roman"/>
          <w:sz w:val="22"/>
          <w:szCs w:val="22"/>
          <w:lang w:val="es-ES"/>
        </w:rPr>
      </w:pPr>
      <w:r w:rsidRPr="00C65E86">
        <w:rPr>
          <w:rFonts w:asciiTheme="minorHAnsi" w:eastAsia="Batang" w:hAnsiTheme="minorHAnsi" w:cs="Times New Roman"/>
          <w:sz w:val="22"/>
          <w:szCs w:val="22"/>
          <w:lang w:val="es-ES"/>
        </w:rPr>
        <w:t xml:space="preserve">No se prevén cambios en los arreglos de acogida de la Secretaría. El proyecto de presupuesto asume que la UICN continuará siendo </w:t>
      </w:r>
      <w:r w:rsidR="002E678F" w:rsidRPr="00C65E86">
        <w:rPr>
          <w:rFonts w:asciiTheme="minorHAnsi" w:eastAsia="Batang" w:hAnsiTheme="minorHAnsi" w:cs="Times New Roman"/>
          <w:sz w:val="22"/>
          <w:szCs w:val="22"/>
          <w:lang w:val="es-ES"/>
        </w:rPr>
        <w:t>su</w:t>
      </w:r>
      <w:r w:rsidRPr="00C65E86">
        <w:rPr>
          <w:rFonts w:asciiTheme="minorHAnsi" w:eastAsia="Batang" w:hAnsiTheme="minorHAnsi" w:cs="Times New Roman"/>
          <w:sz w:val="22"/>
          <w:szCs w:val="22"/>
          <w:lang w:val="es-ES"/>
        </w:rPr>
        <w:t xml:space="preserve"> sede en virtud de la Carta de Acuerdo </w:t>
      </w:r>
      <w:r w:rsidR="00185534">
        <w:rPr>
          <w:rFonts w:asciiTheme="minorHAnsi" w:eastAsia="Batang" w:hAnsiTheme="minorHAnsi" w:cs="Times New Roman"/>
          <w:sz w:val="22"/>
          <w:szCs w:val="22"/>
          <w:lang w:val="es-ES"/>
        </w:rPr>
        <w:t>que se firmó</w:t>
      </w:r>
      <w:r w:rsidR="00185534" w:rsidRPr="00C65E86">
        <w:rPr>
          <w:rFonts w:asciiTheme="minorHAnsi" w:eastAsia="Batang" w:hAnsiTheme="minorHAnsi" w:cs="Times New Roman"/>
          <w:sz w:val="22"/>
          <w:szCs w:val="22"/>
          <w:lang w:val="es-ES"/>
        </w:rPr>
        <w:t xml:space="preserve"> </w:t>
      </w:r>
      <w:r w:rsidRPr="00C65E86">
        <w:rPr>
          <w:rFonts w:asciiTheme="minorHAnsi" w:eastAsia="Batang" w:hAnsiTheme="minorHAnsi" w:cs="Times New Roman"/>
          <w:sz w:val="22"/>
          <w:szCs w:val="22"/>
          <w:lang w:val="es-ES"/>
        </w:rPr>
        <w:t>con la UICN</w:t>
      </w:r>
      <w:r w:rsidR="00185534">
        <w:rPr>
          <w:rFonts w:asciiTheme="minorHAnsi" w:eastAsia="Batang" w:hAnsiTheme="minorHAnsi" w:cs="Times New Roman"/>
          <w:sz w:val="22"/>
          <w:szCs w:val="22"/>
          <w:lang w:val="es-ES"/>
        </w:rPr>
        <w:t xml:space="preserve"> </w:t>
      </w:r>
      <w:r w:rsidRPr="00C65E86">
        <w:rPr>
          <w:rFonts w:asciiTheme="minorHAnsi" w:eastAsia="Batang" w:hAnsiTheme="minorHAnsi" w:cs="Times New Roman"/>
          <w:sz w:val="22"/>
          <w:szCs w:val="22"/>
          <w:lang w:val="es-ES"/>
        </w:rPr>
        <w:t xml:space="preserve">en 2009, y que </w:t>
      </w:r>
      <w:r w:rsidR="002E678F" w:rsidRPr="00C65E86">
        <w:rPr>
          <w:rFonts w:asciiTheme="minorHAnsi" w:eastAsia="Batang" w:hAnsiTheme="minorHAnsi" w:cs="Times New Roman"/>
          <w:sz w:val="22"/>
          <w:szCs w:val="22"/>
          <w:lang w:val="es-ES"/>
        </w:rPr>
        <w:t xml:space="preserve">todos los años </w:t>
      </w:r>
      <w:r w:rsidRPr="00C65E86">
        <w:rPr>
          <w:rFonts w:asciiTheme="minorHAnsi" w:eastAsia="Batang" w:hAnsiTheme="minorHAnsi" w:cs="Times New Roman"/>
          <w:sz w:val="22"/>
          <w:szCs w:val="22"/>
          <w:lang w:val="es-ES"/>
        </w:rPr>
        <w:t xml:space="preserve">la UICN y la Secretaría de la Convención </w:t>
      </w:r>
      <w:r w:rsidR="00185534">
        <w:rPr>
          <w:rFonts w:asciiTheme="minorHAnsi" w:eastAsia="Batang" w:hAnsiTheme="minorHAnsi" w:cs="Times New Roman"/>
          <w:sz w:val="22"/>
          <w:szCs w:val="22"/>
          <w:lang w:val="es-ES"/>
        </w:rPr>
        <w:t>dialogarán sobre</w:t>
      </w:r>
      <w:r w:rsidRPr="00C65E86">
        <w:rPr>
          <w:rFonts w:asciiTheme="minorHAnsi" w:eastAsia="Batang" w:hAnsiTheme="minorHAnsi" w:cs="Times New Roman"/>
          <w:sz w:val="22"/>
          <w:szCs w:val="22"/>
          <w:lang w:val="es-ES"/>
        </w:rPr>
        <w:t xml:space="preserve"> los honorarios anuales por servicios. </w:t>
      </w:r>
      <w:r w:rsidR="00B051D4">
        <w:rPr>
          <w:rFonts w:asciiTheme="minorHAnsi" w:eastAsia="Batang" w:hAnsiTheme="minorHAnsi" w:cs="Times New Roman"/>
          <w:sz w:val="22"/>
          <w:szCs w:val="22"/>
          <w:lang w:val="es-ES"/>
        </w:rPr>
        <w:t>Los honorarios por</w:t>
      </w:r>
      <w:r w:rsidRPr="00C65E86">
        <w:rPr>
          <w:rFonts w:asciiTheme="minorHAnsi" w:eastAsia="Batang" w:hAnsiTheme="minorHAnsi" w:cs="Times New Roman"/>
          <w:sz w:val="22"/>
          <w:szCs w:val="22"/>
          <w:lang w:val="es-ES"/>
        </w:rPr>
        <w:t xml:space="preserve"> servicio</w:t>
      </w:r>
      <w:r w:rsidR="00B051D4">
        <w:rPr>
          <w:rFonts w:asciiTheme="minorHAnsi" w:eastAsia="Batang" w:hAnsiTheme="minorHAnsi" w:cs="Times New Roman"/>
          <w:sz w:val="22"/>
          <w:szCs w:val="22"/>
          <w:lang w:val="es-ES"/>
        </w:rPr>
        <w:t>s</w:t>
      </w:r>
      <w:r w:rsidRPr="00C65E86">
        <w:rPr>
          <w:rFonts w:asciiTheme="minorHAnsi" w:eastAsia="Batang" w:hAnsiTheme="minorHAnsi" w:cs="Times New Roman"/>
          <w:sz w:val="22"/>
          <w:szCs w:val="22"/>
          <w:lang w:val="es-ES"/>
        </w:rPr>
        <w:t xml:space="preserve"> para </w:t>
      </w:r>
      <w:r w:rsidR="002E678F" w:rsidRPr="00C65E86">
        <w:rPr>
          <w:rFonts w:asciiTheme="minorHAnsi" w:eastAsia="Batang" w:hAnsiTheme="minorHAnsi" w:cs="Times New Roman"/>
          <w:sz w:val="22"/>
          <w:szCs w:val="22"/>
          <w:lang w:val="es-ES"/>
        </w:rPr>
        <w:t xml:space="preserve">el trienio </w:t>
      </w:r>
      <w:r w:rsidRPr="00C65E86">
        <w:rPr>
          <w:rFonts w:asciiTheme="minorHAnsi" w:eastAsia="Batang" w:hAnsiTheme="minorHAnsi" w:cs="Times New Roman"/>
          <w:sz w:val="22"/>
          <w:szCs w:val="22"/>
          <w:lang w:val="es-ES"/>
        </w:rPr>
        <w:t>2023-2025</w:t>
      </w:r>
      <w:r w:rsidR="002E678F" w:rsidRPr="00C65E86">
        <w:rPr>
          <w:rFonts w:asciiTheme="minorHAnsi" w:eastAsia="Batang" w:hAnsiTheme="minorHAnsi" w:cs="Times New Roman"/>
          <w:sz w:val="22"/>
          <w:szCs w:val="22"/>
          <w:lang w:val="es-ES"/>
        </w:rPr>
        <w:t xml:space="preserve"> </w:t>
      </w:r>
      <w:r w:rsidR="00B051D4">
        <w:rPr>
          <w:rFonts w:asciiTheme="minorHAnsi" w:eastAsia="Batang" w:hAnsiTheme="minorHAnsi" w:cs="Times New Roman"/>
          <w:sz w:val="22"/>
          <w:szCs w:val="22"/>
          <w:lang w:val="es-ES"/>
        </w:rPr>
        <w:t>suman</w:t>
      </w:r>
      <w:r w:rsidRPr="00C65E86">
        <w:rPr>
          <w:rFonts w:asciiTheme="minorHAnsi" w:eastAsia="Batang" w:hAnsiTheme="minorHAnsi" w:cs="Times New Roman"/>
          <w:sz w:val="22"/>
          <w:szCs w:val="22"/>
          <w:lang w:val="es-ES"/>
        </w:rPr>
        <w:t xml:space="preserve"> 541</w:t>
      </w:r>
      <w:r w:rsidR="002E678F" w:rsidRPr="00C65E86">
        <w:rPr>
          <w:rFonts w:asciiTheme="minorHAnsi" w:eastAsia="Batang" w:hAnsiTheme="minorHAnsi" w:cs="Times New Roman"/>
          <w:sz w:val="22"/>
          <w:szCs w:val="22"/>
          <w:lang w:val="es-ES"/>
        </w:rPr>
        <w:t xml:space="preserve"> </w:t>
      </w:r>
      <w:r w:rsidRPr="00C65E86">
        <w:rPr>
          <w:rFonts w:asciiTheme="minorHAnsi" w:eastAsia="Batang" w:hAnsiTheme="minorHAnsi" w:cs="Times New Roman"/>
          <w:sz w:val="22"/>
          <w:szCs w:val="22"/>
          <w:lang w:val="es-ES"/>
        </w:rPr>
        <w:t>000 francos suizos al año</w:t>
      </w:r>
      <w:r w:rsidR="00B051D4">
        <w:rPr>
          <w:rFonts w:asciiTheme="minorHAnsi" w:eastAsia="Batang" w:hAnsiTheme="minorHAnsi" w:cs="Times New Roman"/>
          <w:sz w:val="22"/>
          <w:szCs w:val="22"/>
          <w:lang w:val="es-ES"/>
        </w:rPr>
        <w:t xml:space="preserve"> y r</w:t>
      </w:r>
      <w:r w:rsidRPr="00C65E86">
        <w:rPr>
          <w:rFonts w:asciiTheme="minorHAnsi" w:eastAsia="Batang" w:hAnsiTheme="minorHAnsi" w:cs="Times New Roman"/>
          <w:sz w:val="22"/>
          <w:szCs w:val="22"/>
          <w:lang w:val="es-ES"/>
        </w:rPr>
        <w:t>epresentan alrededor del 11</w:t>
      </w:r>
      <w:r w:rsidR="002E678F" w:rsidRPr="00C65E86">
        <w:rPr>
          <w:rFonts w:asciiTheme="minorHAnsi" w:eastAsia="Batang" w:hAnsiTheme="minorHAnsi" w:cs="Times New Roman"/>
          <w:sz w:val="22"/>
          <w:szCs w:val="22"/>
          <w:lang w:val="es-ES"/>
        </w:rPr>
        <w:t xml:space="preserve"> </w:t>
      </w:r>
      <w:r w:rsidRPr="00C65E86">
        <w:rPr>
          <w:rFonts w:asciiTheme="minorHAnsi" w:eastAsia="Batang" w:hAnsiTheme="minorHAnsi" w:cs="Times New Roman"/>
          <w:sz w:val="22"/>
          <w:szCs w:val="22"/>
          <w:lang w:val="es-ES"/>
        </w:rPr>
        <w:t xml:space="preserve">% del total de las </w:t>
      </w:r>
      <w:r w:rsidR="002E678F" w:rsidRPr="00C65E86">
        <w:rPr>
          <w:rFonts w:asciiTheme="minorHAnsi" w:eastAsia="Batang" w:hAnsiTheme="minorHAnsi" w:cs="Times New Roman"/>
          <w:sz w:val="22"/>
          <w:szCs w:val="22"/>
          <w:lang w:val="es-ES"/>
        </w:rPr>
        <w:t>partidas</w:t>
      </w:r>
      <w:r w:rsidRPr="00C65E86">
        <w:rPr>
          <w:rFonts w:asciiTheme="minorHAnsi" w:eastAsia="Batang" w:hAnsiTheme="minorHAnsi" w:cs="Times New Roman"/>
          <w:sz w:val="22"/>
          <w:szCs w:val="22"/>
          <w:lang w:val="es-ES"/>
        </w:rPr>
        <w:t xml:space="preserve"> presupuestarias de gastos </w:t>
      </w:r>
      <w:r w:rsidR="002E678F" w:rsidRPr="00C65E86">
        <w:rPr>
          <w:rFonts w:asciiTheme="minorHAnsi" w:eastAsia="Batang" w:hAnsiTheme="minorHAnsi" w:cs="Times New Roman"/>
          <w:sz w:val="22"/>
          <w:szCs w:val="22"/>
          <w:lang w:val="es-ES"/>
        </w:rPr>
        <w:t xml:space="preserve">con cargo al presupuesto </w:t>
      </w:r>
      <w:r w:rsidRPr="00C65E86">
        <w:rPr>
          <w:rFonts w:asciiTheme="minorHAnsi" w:eastAsia="Batang" w:hAnsiTheme="minorHAnsi" w:cs="Times New Roman"/>
          <w:sz w:val="22"/>
          <w:szCs w:val="22"/>
          <w:lang w:val="es-ES"/>
        </w:rPr>
        <w:t>básico y no superan el máximo del 13</w:t>
      </w:r>
      <w:r w:rsidR="002E678F" w:rsidRPr="00C65E86">
        <w:rPr>
          <w:rFonts w:asciiTheme="minorHAnsi" w:eastAsia="Batang" w:hAnsiTheme="minorHAnsi" w:cs="Times New Roman"/>
          <w:sz w:val="22"/>
          <w:szCs w:val="22"/>
          <w:lang w:val="es-ES"/>
        </w:rPr>
        <w:t xml:space="preserve"> </w:t>
      </w:r>
      <w:r w:rsidRPr="00C65E86">
        <w:rPr>
          <w:rFonts w:asciiTheme="minorHAnsi" w:eastAsia="Batang" w:hAnsiTheme="minorHAnsi" w:cs="Times New Roman"/>
          <w:sz w:val="22"/>
          <w:szCs w:val="22"/>
          <w:lang w:val="es-ES"/>
        </w:rPr>
        <w:t xml:space="preserve">% </w:t>
      </w:r>
      <w:r w:rsidR="002E678F" w:rsidRPr="00C65E86">
        <w:rPr>
          <w:rFonts w:asciiTheme="minorHAnsi" w:eastAsia="Batang" w:hAnsiTheme="minorHAnsi" w:cs="Times New Roman"/>
          <w:sz w:val="22"/>
          <w:szCs w:val="22"/>
          <w:lang w:val="es-ES"/>
        </w:rPr>
        <w:t>establecido</w:t>
      </w:r>
      <w:r w:rsidRPr="00C65E86">
        <w:rPr>
          <w:rFonts w:asciiTheme="minorHAnsi" w:eastAsia="Batang" w:hAnsiTheme="minorHAnsi" w:cs="Times New Roman"/>
          <w:sz w:val="22"/>
          <w:szCs w:val="22"/>
          <w:lang w:val="es-ES"/>
        </w:rPr>
        <w:t xml:space="preserve"> por la Decisión SC37-41 (2008) del Comité Permanente.</w:t>
      </w:r>
    </w:p>
    <w:p w14:paraId="2D679D5E" w14:textId="125115B2" w:rsidR="00D4581F" w:rsidRPr="00C65E86" w:rsidRDefault="00D4581F" w:rsidP="002E678F">
      <w:pPr>
        <w:pStyle w:val="MGfulltext"/>
        <w:spacing w:after="0"/>
        <w:rPr>
          <w:rFonts w:asciiTheme="minorHAnsi" w:eastAsia="Batang" w:hAnsiTheme="minorHAnsi" w:cs="Times New Roman"/>
          <w:sz w:val="22"/>
          <w:szCs w:val="22"/>
          <w:lang w:val="es-ES"/>
        </w:rPr>
      </w:pPr>
    </w:p>
    <w:p w14:paraId="4E8AB56A" w14:textId="05E4CCA3" w:rsidR="006C6430" w:rsidRPr="00C65E86" w:rsidRDefault="00C479B4" w:rsidP="00D4581F">
      <w:pPr>
        <w:pStyle w:val="MGfulltext"/>
        <w:spacing w:after="0"/>
        <w:ind w:left="850" w:hanging="425"/>
        <w:rPr>
          <w:rFonts w:asciiTheme="minorHAnsi" w:eastAsia="Batang" w:hAnsiTheme="minorHAnsi" w:cs="Times New Roman"/>
          <w:i/>
          <w:sz w:val="22"/>
          <w:szCs w:val="22"/>
          <w:u w:val="single"/>
          <w:lang w:val="es-ES"/>
        </w:rPr>
      </w:pPr>
      <w:r>
        <w:rPr>
          <w:rFonts w:asciiTheme="minorHAnsi" w:eastAsia="Batang" w:hAnsiTheme="minorHAnsi" w:cs="Times New Roman"/>
          <w:i/>
          <w:sz w:val="22"/>
          <w:szCs w:val="22"/>
          <w:u w:val="single"/>
          <w:lang w:val="es-ES"/>
        </w:rPr>
        <w:t>Dotación de p</w:t>
      </w:r>
      <w:r w:rsidR="006C6430" w:rsidRPr="00C65E86">
        <w:rPr>
          <w:rFonts w:asciiTheme="minorHAnsi" w:eastAsia="Batang" w:hAnsiTheme="minorHAnsi" w:cs="Times New Roman"/>
          <w:i/>
          <w:sz w:val="22"/>
          <w:szCs w:val="22"/>
          <w:u w:val="single"/>
          <w:lang w:val="es-ES"/>
        </w:rPr>
        <w:t xml:space="preserve">ersonal y otras partidas presupuestarias </w:t>
      </w:r>
    </w:p>
    <w:p w14:paraId="2DE9AF62" w14:textId="77777777" w:rsidR="00491283" w:rsidRPr="00C65E86" w:rsidRDefault="00491283" w:rsidP="00D4581F">
      <w:pPr>
        <w:pStyle w:val="MGfulltext"/>
        <w:spacing w:after="0"/>
        <w:ind w:left="850" w:hanging="425"/>
        <w:rPr>
          <w:rFonts w:asciiTheme="minorHAnsi" w:eastAsia="Batang" w:hAnsiTheme="minorHAnsi" w:cs="Times New Roman"/>
          <w:sz w:val="22"/>
          <w:szCs w:val="22"/>
          <w:lang w:val="es-ES"/>
        </w:rPr>
      </w:pPr>
    </w:p>
    <w:p w14:paraId="5693EA26" w14:textId="717C2E1F" w:rsidR="006C6430" w:rsidRPr="00C65E86" w:rsidRDefault="006C6430" w:rsidP="006C6430">
      <w:pPr>
        <w:pStyle w:val="MGfulltext"/>
        <w:numPr>
          <w:ilvl w:val="0"/>
          <w:numId w:val="6"/>
        </w:numPr>
        <w:spacing w:after="0"/>
        <w:rPr>
          <w:rFonts w:asciiTheme="minorHAnsi" w:eastAsia="Batang" w:hAnsiTheme="minorHAnsi" w:cs="Times New Roman"/>
          <w:sz w:val="22"/>
          <w:szCs w:val="22"/>
          <w:lang w:val="es-ES"/>
        </w:rPr>
      </w:pPr>
      <w:r w:rsidRPr="00C65E86">
        <w:rPr>
          <w:rFonts w:asciiTheme="minorHAnsi" w:eastAsia="Batang" w:hAnsiTheme="minorHAnsi" w:cs="Times New Roman"/>
          <w:sz w:val="22"/>
          <w:szCs w:val="22"/>
          <w:lang w:val="es-ES"/>
        </w:rPr>
        <w:t xml:space="preserve">Se asume que se mantiene el nivel actual de financiación básica actual </w:t>
      </w:r>
      <w:r w:rsidR="00C479B4">
        <w:rPr>
          <w:rFonts w:asciiTheme="minorHAnsi" w:eastAsia="Batang" w:hAnsiTheme="minorHAnsi" w:cs="Times New Roman"/>
          <w:sz w:val="22"/>
          <w:szCs w:val="22"/>
          <w:lang w:val="es-ES"/>
        </w:rPr>
        <w:t xml:space="preserve">para </w:t>
      </w:r>
      <w:r w:rsidRPr="00C65E86">
        <w:rPr>
          <w:rFonts w:asciiTheme="minorHAnsi" w:eastAsia="Batang" w:hAnsiTheme="minorHAnsi" w:cs="Times New Roman"/>
          <w:sz w:val="22"/>
          <w:szCs w:val="22"/>
          <w:lang w:val="es-ES"/>
        </w:rPr>
        <w:t>el personal (como se expone en el anexo 3 del documento COP14 Doc.18.1).</w:t>
      </w:r>
    </w:p>
    <w:p w14:paraId="6EAB415C" w14:textId="3AF7546B" w:rsidR="002849A4" w:rsidRPr="00C65E86" w:rsidRDefault="002849A4" w:rsidP="006C6430">
      <w:pPr>
        <w:pStyle w:val="MGfulltext"/>
        <w:spacing w:after="0"/>
        <w:rPr>
          <w:rFonts w:asciiTheme="minorHAnsi" w:eastAsia="Batang" w:hAnsiTheme="minorHAnsi" w:cs="Times New Roman"/>
          <w:sz w:val="22"/>
          <w:szCs w:val="22"/>
          <w:lang w:val="es-ES"/>
        </w:rPr>
      </w:pPr>
    </w:p>
    <w:p w14:paraId="019E1383" w14:textId="698A3E98" w:rsidR="00301896" w:rsidRDefault="006C6430" w:rsidP="00301896">
      <w:pPr>
        <w:pStyle w:val="MGfulltext"/>
        <w:numPr>
          <w:ilvl w:val="0"/>
          <w:numId w:val="6"/>
        </w:numPr>
        <w:spacing w:after="0"/>
        <w:rPr>
          <w:rFonts w:asciiTheme="minorHAnsi" w:eastAsia="Batang" w:hAnsiTheme="minorHAnsi" w:cs="Times New Roman"/>
          <w:sz w:val="22"/>
          <w:szCs w:val="22"/>
          <w:lang w:val="es-ES"/>
        </w:rPr>
      </w:pPr>
      <w:r w:rsidRPr="00C65E86">
        <w:rPr>
          <w:rFonts w:asciiTheme="minorHAnsi" w:eastAsia="Batang" w:hAnsiTheme="minorHAnsi" w:cs="Times New Roman"/>
          <w:sz w:val="22"/>
          <w:szCs w:val="22"/>
          <w:lang w:val="es-ES"/>
        </w:rPr>
        <w:t>Como se indica en</w:t>
      </w:r>
      <w:r w:rsidR="003415C5" w:rsidRPr="00C65E86">
        <w:rPr>
          <w:rFonts w:asciiTheme="minorHAnsi" w:eastAsia="Batang" w:hAnsiTheme="minorHAnsi" w:cs="Times New Roman"/>
          <w:sz w:val="22"/>
          <w:szCs w:val="22"/>
          <w:lang w:val="es-ES"/>
        </w:rPr>
        <w:t xml:space="preserve"> </w:t>
      </w:r>
      <w:r w:rsidRPr="00C65E86">
        <w:rPr>
          <w:rFonts w:asciiTheme="minorHAnsi" w:eastAsia="Batang" w:hAnsiTheme="minorHAnsi" w:cs="Times New Roman"/>
          <w:sz w:val="22"/>
          <w:szCs w:val="22"/>
          <w:lang w:val="es-ES"/>
        </w:rPr>
        <w:t xml:space="preserve">el párrafo 15 de la Resolución XIII.2, </w:t>
      </w:r>
      <w:r w:rsidR="009C073B">
        <w:rPr>
          <w:rFonts w:asciiTheme="minorHAnsi" w:eastAsia="Batang" w:hAnsiTheme="minorHAnsi" w:cs="Times New Roman"/>
          <w:sz w:val="22"/>
          <w:szCs w:val="22"/>
          <w:lang w:val="es-ES"/>
        </w:rPr>
        <w:t>se creó</w:t>
      </w:r>
      <w:r w:rsidRPr="00C65E86">
        <w:rPr>
          <w:rFonts w:asciiTheme="minorHAnsi" w:eastAsia="Batang" w:hAnsiTheme="minorHAnsi" w:cs="Times New Roman"/>
          <w:sz w:val="22"/>
          <w:szCs w:val="22"/>
          <w:lang w:val="es-ES"/>
        </w:rPr>
        <w:t xml:space="preserve"> </w:t>
      </w:r>
      <w:r w:rsidR="00301896">
        <w:rPr>
          <w:rFonts w:asciiTheme="minorHAnsi" w:eastAsia="Batang" w:hAnsiTheme="minorHAnsi" w:cs="Times New Roman"/>
          <w:sz w:val="22"/>
          <w:szCs w:val="22"/>
          <w:lang w:val="es-ES"/>
        </w:rPr>
        <w:t>una deficiencia</w:t>
      </w:r>
      <w:r w:rsidRPr="00C65E86">
        <w:rPr>
          <w:rFonts w:asciiTheme="minorHAnsi" w:eastAsia="Batang" w:hAnsiTheme="minorHAnsi" w:cs="Times New Roman"/>
          <w:sz w:val="22"/>
          <w:szCs w:val="22"/>
          <w:lang w:val="es-ES"/>
        </w:rPr>
        <w:t xml:space="preserve"> de 228 000 francos suizos en el presupuesto para las actividades principales de la Secretaría (120 000 </w:t>
      </w:r>
      <w:r w:rsidRPr="00C65E86">
        <w:rPr>
          <w:rFonts w:asciiTheme="minorHAnsi" w:eastAsia="Batang" w:hAnsiTheme="minorHAnsi" w:cs="Times New Roman"/>
          <w:sz w:val="22"/>
          <w:szCs w:val="22"/>
          <w:lang w:val="es-ES"/>
        </w:rPr>
        <w:lastRenderedPageBreak/>
        <w:t>francos suizos para comunicaciones, traducción, publicaciones y presentación de informes, 60 000 francos suizos para viajes del personal (15 000 francos suizos para viajes del personal directivo de la Secretaría, 15 000 francos suizos para viajes de movilización de recursos y divulgación y 30</w:t>
      </w:r>
      <w:r w:rsidR="003415C5" w:rsidRPr="00C65E86">
        <w:rPr>
          <w:rFonts w:asciiTheme="minorHAnsi" w:eastAsia="Batang" w:hAnsiTheme="minorHAnsi" w:cs="Times New Roman"/>
          <w:sz w:val="22"/>
          <w:szCs w:val="22"/>
          <w:lang w:val="es-ES"/>
        </w:rPr>
        <w:t xml:space="preserve"> </w:t>
      </w:r>
      <w:r w:rsidRPr="00C65E86">
        <w:rPr>
          <w:rFonts w:asciiTheme="minorHAnsi" w:eastAsia="Batang" w:hAnsiTheme="minorHAnsi" w:cs="Times New Roman"/>
          <w:sz w:val="22"/>
          <w:szCs w:val="22"/>
          <w:lang w:val="es-ES"/>
        </w:rPr>
        <w:t xml:space="preserve">000 </w:t>
      </w:r>
      <w:r w:rsidR="003415C5" w:rsidRPr="00C65E86">
        <w:rPr>
          <w:rFonts w:asciiTheme="minorHAnsi" w:eastAsia="Batang" w:hAnsiTheme="minorHAnsi" w:cs="Times New Roman"/>
          <w:sz w:val="22"/>
          <w:szCs w:val="22"/>
          <w:lang w:val="es-ES"/>
        </w:rPr>
        <w:t>francos suizos</w:t>
      </w:r>
      <w:r w:rsidRPr="00C65E86">
        <w:rPr>
          <w:rFonts w:asciiTheme="minorHAnsi" w:eastAsia="Batang" w:hAnsiTheme="minorHAnsi" w:cs="Times New Roman"/>
          <w:sz w:val="22"/>
          <w:szCs w:val="22"/>
          <w:lang w:val="es-ES"/>
        </w:rPr>
        <w:t xml:space="preserve"> para viajes de asesoramiento y apoyo regional</w:t>
      </w:r>
      <w:r w:rsidR="003415C5" w:rsidRPr="00C65E86">
        <w:rPr>
          <w:rFonts w:asciiTheme="minorHAnsi" w:eastAsia="Batang" w:hAnsiTheme="minorHAnsi" w:cs="Times New Roman"/>
          <w:sz w:val="22"/>
          <w:szCs w:val="22"/>
          <w:lang w:val="es-ES"/>
        </w:rPr>
        <w:t>es</w:t>
      </w:r>
      <w:r w:rsidRPr="00C65E86">
        <w:rPr>
          <w:rFonts w:asciiTheme="minorHAnsi" w:eastAsia="Batang" w:hAnsiTheme="minorHAnsi" w:cs="Times New Roman"/>
          <w:sz w:val="22"/>
          <w:szCs w:val="22"/>
          <w:lang w:val="es-ES"/>
        </w:rPr>
        <w:t>), 15</w:t>
      </w:r>
      <w:r w:rsidR="003415C5" w:rsidRPr="00C65E86">
        <w:rPr>
          <w:rFonts w:asciiTheme="minorHAnsi" w:eastAsia="Batang" w:hAnsiTheme="minorHAnsi" w:cs="Times New Roman"/>
          <w:sz w:val="22"/>
          <w:szCs w:val="22"/>
          <w:lang w:val="es-ES"/>
        </w:rPr>
        <w:t xml:space="preserve"> 000 francos suizos</w:t>
      </w:r>
      <w:r w:rsidRPr="00C65E86">
        <w:rPr>
          <w:rFonts w:asciiTheme="minorHAnsi" w:eastAsia="Batang" w:hAnsiTheme="minorHAnsi" w:cs="Times New Roman"/>
          <w:sz w:val="22"/>
          <w:szCs w:val="22"/>
          <w:lang w:val="es-ES"/>
        </w:rPr>
        <w:t xml:space="preserve"> para la </w:t>
      </w:r>
      <w:r w:rsidR="003415C5" w:rsidRPr="00C65E86">
        <w:rPr>
          <w:rFonts w:asciiTheme="minorHAnsi" w:eastAsia="Batang" w:hAnsiTheme="minorHAnsi" w:cs="Times New Roman"/>
          <w:sz w:val="22"/>
          <w:szCs w:val="22"/>
          <w:lang w:val="es-ES"/>
        </w:rPr>
        <w:t>aplicación</w:t>
      </w:r>
      <w:r w:rsidRPr="00C65E86">
        <w:rPr>
          <w:rFonts w:asciiTheme="minorHAnsi" w:eastAsia="Batang" w:hAnsiTheme="minorHAnsi" w:cs="Times New Roman"/>
          <w:sz w:val="22"/>
          <w:szCs w:val="22"/>
          <w:lang w:val="es-ES"/>
        </w:rPr>
        <w:t xml:space="preserve"> del GECT, y 33</w:t>
      </w:r>
      <w:r w:rsidR="003415C5" w:rsidRPr="00C65E86">
        <w:rPr>
          <w:rFonts w:asciiTheme="minorHAnsi" w:eastAsia="Batang" w:hAnsiTheme="minorHAnsi" w:cs="Times New Roman"/>
          <w:sz w:val="22"/>
          <w:szCs w:val="22"/>
          <w:lang w:val="es-ES"/>
        </w:rPr>
        <w:t xml:space="preserve"> 000 francos suizos</w:t>
      </w:r>
      <w:r w:rsidRPr="00C65E86">
        <w:rPr>
          <w:rFonts w:asciiTheme="minorHAnsi" w:eastAsia="Batang" w:hAnsiTheme="minorHAnsi" w:cs="Times New Roman"/>
          <w:sz w:val="22"/>
          <w:szCs w:val="22"/>
          <w:lang w:val="es-ES"/>
        </w:rPr>
        <w:t xml:space="preserve"> para </w:t>
      </w:r>
      <w:r w:rsidR="003415C5" w:rsidRPr="00C65E86">
        <w:rPr>
          <w:rFonts w:asciiTheme="minorHAnsi" w:eastAsia="Batang" w:hAnsiTheme="minorHAnsi" w:cs="Times New Roman"/>
          <w:sz w:val="22"/>
          <w:szCs w:val="22"/>
          <w:lang w:val="es-ES"/>
        </w:rPr>
        <w:t>p</w:t>
      </w:r>
      <w:r w:rsidRPr="00C65E86">
        <w:rPr>
          <w:rFonts w:asciiTheme="minorHAnsi" w:eastAsia="Batang" w:hAnsiTheme="minorHAnsi" w:cs="Times New Roman"/>
          <w:sz w:val="22"/>
          <w:szCs w:val="22"/>
          <w:lang w:val="es-ES"/>
        </w:rPr>
        <w:t xml:space="preserve">lanificación y </w:t>
      </w:r>
      <w:r w:rsidR="003415C5" w:rsidRPr="00C65E86">
        <w:rPr>
          <w:rFonts w:asciiTheme="minorHAnsi" w:eastAsia="Batang" w:hAnsiTheme="minorHAnsi" w:cs="Times New Roman"/>
          <w:sz w:val="22"/>
          <w:szCs w:val="22"/>
          <w:lang w:val="es-ES"/>
        </w:rPr>
        <w:t>d</w:t>
      </w:r>
      <w:r w:rsidRPr="00C65E86">
        <w:rPr>
          <w:rFonts w:asciiTheme="minorHAnsi" w:eastAsia="Batang" w:hAnsiTheme="minorHAnsi" w:cs="Times New Roman"/>
          <w:sz w:val="22"/>
          <w:szCs w:val="22"/>
          <w:lang w:val="es-ES"/>
        </w:rPr>
        <w:t xml:space="preserve">esarrollo de </w:t>
      </w:r>
      <w:r w:rsidR="003415C5" w:rsidRPr="00C65E86">
        <w:rPr>
          <w:rFonts w:asciiTheme="minorHAnsi" w:eastAsia="Batang" w:hAnsiTheme="minorHAnsi" w:cs="Times New Roman"/>
          <w:sz w:val="22"/>
          <w:szCs w:val="22"/>
          <w:lang w:val="es-ES"/>
        </w:rPr>
        <w:t>c</w:t>
      </w:r>
      <w:r w:rsidRPr="00C65E86">
        <w:rPr>
          <w:rFonts w:asciiTheme="minorHAnsi" w:eastAsia="Batang" w:hAnsiTheme="minorHAnsi" w:cs="Times New Roman"/>
          <w:sz w:val="22"/>
          <w:szCs w:val="22"/>
          <w:lang w:val="es-ES"/>
        </w:rPr>
        <w:t>apacidad)</w:t>
      </w:r>
      <w:r w:rsidR="00C479B4">
        <w:rPr>
          <w:rFonts w:asciiTheme="minorHAnsi" w:eastAsia="Batang" w:hAnsiTheme="minorHAnsi" w:cs="Times New Roman"/>
          <w:sz w:val="22"/>
          <w:szCs w:val="22"/>
          <w:lang w:val="es-ES"/>
        </w:rPr>
        <w:t xml:space="preserve">, </w:t>
      </w:r>
      <w:r w:rsidR="009C073B">
        <w:rPr>
          <w:rFonts w:asciiTheme="minorHAnsi" w:eastAsia="Batang" w:hAnsiTheme="minorHAnsi" w:cs="Times New Roman"/>
          <w:sz w:val="22"/>
          <w:szCs w:val="22"/>
          <w:lang w:val="es-ES"/>
        </w:rPr>
        <w:t>por</w:t>
      </w:r>
      <w:r w:rsidRPr="00C65E86">
        <w:rPr>
          <w:rFonts w:asciiTheme="minorHAnsi" w:eastAsia="Batang" w:hAnsiTheme="minorHAnsi" w:cs="Times New Roman"/>
          <w:sz w:val="22"/>
          <w:szCs w:val="22"/>
          <w:lang w:val="es-ES"/>
        </w:rPr>
        <w:t xml:space="preserve"> dar cabida a la </w:t>
      </w:r>
      <w:r w:rsidR="00C479B4">
        <w:rPr>
          <w:rFonts w:asciiTheme="minorHAnsi" w:eastAsia="Batang" w:hAnsiTheme="minorHAnsi" w:cs="Times New Roman"/>
          <w:sz w:val="22"/>
          <w:szCs w:val="22"/>
          <w:lang w:val="es-ES"/>
        </w:rPr>
        <w:t>inclusión</w:t>
      </w:r>
      <w:r w:rsidRPr="00C65E86">
        <w:rPr>
          <w:rFonts w:asciiTheme="minorHAnsi" w:eastAsia="Batang" w:hAnsiTheme="minorHAnsi" w:cs="Times New Roman"/>
          <w:sz w:val="22"/>
          <w:szCs w:val="22"/>
          <w:lang w:val="es-ES"/>
        </w:rPr>
        <w:t xml:space="preserve"> de un puesto de </w:t>
      </w:r>
      <w:r w:rsidR="003415C5" w:rsidRPr="00C65E86">
        <w:rPr>
          <w:rFonts w:asciiTheme="minorHAnsi" w:eastAsia="Batang" w:hAnsiTheme="minorHAnsi" w:cs="Times New Roman"/>
          <w:sz w:val="22"/>
          <w:szCs w:val="22"/>
          <w:lang w:val="es-ES"/>
        </w:rPr>
        <w:t>auxiliar</w:t>
      </w:r>
      <w:r w:rsidRPr="00C65E86">
        <w:rPr>
          <w:rFonts w:asciiTheme="minorHAnsi" w:eastAsia="Batang" w:hAnsiTheme="minorHAnsi" w:cs="Times New Roman"/>
          <w:sz w:val="22"/>
          <w:szCs w:val="22"/>
          <w:lang w:val="es-ES"/>
        </w:rPr>
        <w:t xml:space="preserve"> de </w:t>
      </w:r>
      <w:r w:rsidR="003415C5" w:rsidRPr="00C65E86">
        <w:rPr>
          <w:rFonts w:asciiTheme="minorHAnsi" w:eastAsia="Batang" w:hAnsiTheme="minorHAnsi" w:cs="Times New Roman"/>
          <w:sz w:val="22"/>
          <w:szCs w:val="22"/>
          <w:lang w:val="es-ES"/>
        </w:rPr>
        <w:t>f</w:t>
      </w:r>
      <w:r w:rsidRPr="00C65E86">
        <w:rPr>
          <w:rFonts w:asciiTheme="minorHAnsi" w:eastAsia="Batang" w:hAnsiTheme="minorHAnsi" w:cs="Times New Roman"/>
          <w:sz w:val="22"/>
          <w:szCs w:val="22"/>
          <w:lang w:val="es-ES"/>
        </w:rPr>
        <w:t xml:space="preserve">inanzas y </w:t>
      </w:r>
      <w:r w:rsidR="003415C5" w:rsidRPr="00C65E86">
        <w:rPr>
          <w:rFonts w:asciiTheme="minorHAnsi" w:eastAsia="Batang" w:hAnsiTheme="minorHAnsi" w:cs="Times New Roman"/>
          <w:sz w:val="22"/>
          <w:szCs w:val="22"/>
          <w:lang w:val="es-ES"/>
        </w:rPr>
        <w:t>c</w:t>
      </w:r>
      <w:r w:rsidRPr="00C65E86">
        <w:rPr>
          <w:rFonts w:asciiTheme="minorHAnsi" w:eastAsia="Batang" w:hAnsiTheme="minorHAnsi" w:cs="Times New Roman"/>
          <w:sz w:val="22"/>
          <w:szCs w:val="22"/>
          <w:lang w:val="es-ES"/>
        </w:rPr>
        <w:t xml:space="preserve">ontabilidad, y la COP13 aprobó el uso de los </w:t>
      </w:r>
      <w:r w:rsidR="00143897">
        <w:rPr>
          <w:rFonts w:asciiTheme="minorHAnsi" w:eastAsia="Batang" w:hAnsiTheme="minorHAnsi" w:cs="Times New Roman"/>
          <w:sz w:val="22"/>
          <w:szCs w:val="22"/>
          <w:lang w:val="es-ES"/>
        </w:rPr>
        <w:t>excedentes</w:t>
      </w:r>
      <w:r w:rsidRPr="00C65E86">
        <w:rPr>
          <w:rFonts w:asciiTheme="minorHAnsi" w:eastAsia="Batang" w:hAnsiTheme="minorHAnsi" w:cs="Times New Roman"/>
          <w:sz w:val="22"/>
          <w:szCs w:val="22"/>
          <w:lang w:val="es-ES"/>
        </w:rPr>
        <w:t xml:space="preserve"> del trienio anterior para cubrir esta </w:t>
      </w:r>
      <w:r w:rsidR="003415C5" w:rsidRPr="00C65E86">
        <w:rPr>
          <w:rFonts w:asciiTheme="minorHAnsi" w:eastAsia="Batang" w:hAnsiTheme="minorHAnsi" w:cs="Times New Roman"/>
          <w:sz w:val="22"/>
          <w:szCs w:val="22"/>
          <w:lang w:val="es-ES"/>
        </w:rPr>
        <w:t>deficiencia</w:t>
      </w:r>
      <w:r w:rsidRPr="00C65E86">
        <w:rPr>
          <w:rFonts w:asciiTheme="minorHAnsi" w:eastAsia="Batang" w:hAnsiTheme="minorHAnsi" w:cs="Times New Roman"/>
          <w:sz w:val="22"/>
          <w:szCs w:val="22"/>
          <w:lang w:val="es-ES"/>
        </w:rPr>
        <w:t>. Los gastos de personal para el presupuesto</w:t>
      </w:r>
      <w:r w:rsidR="00F56EDF" w:rsidRPr="00C65E86">
        <w:rPr>
          <w:rFonts w:asciiTheme="minorHAnsi" w:eastAsia="Batang" w:hAnsiTheme="minorHAnsi" w:cs="Times New Roman"/>
          <w:sz w:val="22"/>
          <w:szCs w:val="22"/>
          <w:lang w:val="es-ES"/>
        </w:rPr>
        <w:t xml:space="preserve"> del trienio</w:t>
      </w:r>
      <w:r w:rsidRPr="00C65E86">
        <w:rPr>
          <w:rFonts w:asciiTheme="minorHAnsi" w:eastAsia="Batang" w:hAnsiTheme="minorHAnsi" w:cs="Times New Roman"/>
          <w:sz w:val="22"/>
          <w:szCs w:val="22"/>
          <w:lang w:val="es-ES"/>
        </w:rPr>
        <w:t xml:space="preserve"> 2023-2025 incluyen este puesto de </w:t>
      </w:r>
      <w:r w:rsidR="00F56EDF" w:rsidRPr="00C65E86">
        <w:rPr>
          <w:rFonts w:asciiTheme="minorHAnsi" w:eastAsia="Batang" w:hAnsiTheme="minorHAnsi" w:cs="Times New Roman"/>
          <w:sz w:val="22"/>
          <w:szCs w:val="22"/>
          <w:lang w:val="es-ES"/>
        </w:rPr>
        <w:t>auxiliar de finanzas y contabilidad</w:t>
      </w:r>
      <w:r w:rsidRPr="00C65E86">
        <w:rPr>
          <w:rFonts w:asciiTheme="minorHAnsi" w:eastAsia="Batang" w:hAnsiTheme="minorHAnsi" w:cs="Times New Roman"/>
          <w:sz w:val="22"/>
          <w:szCs w:val="22"/>
          <w:lang w:val="es-ES"/>
        </w:rPr>
        <w:t xml:space="preserve">, </w:t>
      </w:r>
      <w:r w:rsidR="00F56EDF" w:rsidRPr="00C65E86">
        <w:rPr>
          <w:rFonts w:asciiTheme="minorHAnsi" w:eastAsia="Batang" w:hAnsiTheme="minorHAnsi" w:cs="Times New Roman"/>
          <w:sz w:val="22"/>
          <w:szCs w:val="22"/>
          <w:lang w:val="es-ES"/>
        </w:rPr>
        <w:t>por lo que</w:t>
      </w:r>
      <w:r w:rsidRPr="00C65E86">
        <w:rPr>
          <w:rFonts w:asciiTheme="minorHAnsi" w:eastAsia="Batang" w:hAnsiTheme="minorHAnsi" w:cs="Times New Roman"/>
          <w:sz w:val="22"/>
          <w:szCs w:val="22"/>
          <w:lang w:val="es-ES"/>
        </w:rPr>
        <w:t xml:space="preserve"> </w:t>
      </w:r>
      <w:r w:rsidR="00F56EDF" w:rsidRPr="00C65E86">
        <w:rPr>
          <w:rFonts w:asciiTheme="minorHAnsi" w:eastAsia="Batang" w:hAnsiTheme="minorHAnsi" w:cs="Times New Roman"/>
          <w:sz w:val="22"/>
          <w:szCs w:val="22"/>
          <w:lang w:val="es-ES"/>
        </w:rPr>
        <w:t>se refleja</w:t>
      </w:r>
      <w:r w:rsidRPr="00C65E86">
        <w:rPr>
          <w:rFonts w:asciiTheme="minorHAnsi" w:eastAsia="Batang" w:hAnsiTheme="minorHAnsi" w:cs="Times New Roman"/>
          <w:sz w:val="22"/>
          <w:szCs w:val="22"/>
          <w:lang w:val="es-ES"/>
        </w:rPr>
        <w:t xml:space="preserve"> la misma </w:t>
      </w:r>
      <w:r w:rsidR="00F56EDF" w:rsidRPr="00C65E86">
        <w:rPr>
          <w:rFonts w:asciiTheme="minorHAnsi" w:eastAsia="Batang" w:hAnsiTheme="minorHAnsi" w:cs="Times New Roman"/>
          <w:sz w:val="22"/>
          <w:szCs w:val="22"/>
          <w:lang w:val="es-ES"/>
        </w:rPr>
        <w:t>deficiencia</w:t>
      </w:r>
      <w:r w:rsidRPr="00C65E86">
        <w:rPr>
          <w:rFonts w:asciiTheme="minorHAnsi" w:eastAsia="Batang" w:hAnsiTheme="minorHAnsi" w:cs="Times New Roman"/>
          <w:sz w:val="22"/>
          <w:szCs w:val="22"/>
          <w:lang w:val="es-ES"/>
        </w:rPr>
        <w:t xml:space="preserve"> en el presupuesto básico. De acuerdo con la recomendación de la Secretaría, el Comité Permanente</w:t>
      </w:r>
      <w:r w:rsidR="00F56EDF" w:rsidRPr="00C65E86">
        <w:rPr>
          <w:rFonts w:asciiTheme="minorHAnsi" w:eastAsia="Batang" w:hAnsiTheme="minorHAnsi" w:cs="Times New Roman"/>
          <w:sz w:val="22"/>
          <w:szCs w:val="22"/>
          <w:lang w:val="es-ES"/>
        </w:rPr>
        <w:t xml:space="preserve"> aprobó</w:t>
      </w:r>
      <w:r w:rsidRPr="00C65E86">
        <w:rPr>
          <w:rFonts w:asciiTheme="minorHAnsi" w:eastAsia="Batang" w:hAnsiTheme="minorHAnsi" w:cs="Times New Roman"/>
          <w:sz w:val="22"/>
          <w:szCs w:val="22"/>
          <w:lang w:val="es-ES"/>
        </w:rPr>
        <w:t xml:space="preserve"> </w:t>
      </w:r>
      <w:r w:rsidR="00F56EDF" w:rsidRPr="00C65E86">
        <w:rPr>
          <w:rFonts w:asciiTheme="minorHAnsi" w:eastAsia="Batang" w:hAnsiTheme="minorHAnsi" w:cs="Times New Roman"/>
          <w:sz w:val="22"/>
          <w:szCs w:val="22"/>
          <w:lang w:val="es-ES"/>
        </w:rPr>
        <w:t>mediante</w:t>
      </w:r>
      <w:r w:rsidRPr="00C65E86">
        <w:rPr>
          <w:rFonts w:asciiTheme="minorHAnsi" w:eastAsia="Batang" w:hAnsiTheme="minorHAnsi" w:cs="Times New Roman"/>
          <w:sz w:val="22"/>
          <w:szCs w:val="22"/>
          <w:lang w:val="es-ES"/>
        </w:rPr>
        <w:t xml:space="preserve"> la Decisión SC59/2022-41 i)</w:t>
      </w:r>
      <w:r w:rsidR="00F56EDF" w:rsidRPr="00C65E86">
        <w:rPr>
          <w:rFonts w:asciiTheme="minorHAnsi" w:eastAsia="Batang" w:hAnsiTheme="minorHAnsi" w:cs="Times New Roman"/>
          <w:sz w:val="22"/>
          <w:szCs w:val="22"/>
          <w:lang w:val="es-ES"/>
        </w:rPr>
        <w:t xml:space="preserve"> </w:t>
      </w:r>
      <w:r w:rsidRPr="00C65E86">
        <w:rPr>
          <w:rFonts w:asciiTheme="minorHAnsi" w:eastAsia="Batang" w:hAnsiTheme="minorHAnsi" w:cs="Times New Roman"/>
          <w:sz w:val="22"/>
          <w:szCs w:val="22"/>
          <w:lang w:val="es-ES"/>
        </w:rPr>
        <w:t xml:space="preserve">el uso del </w:t>
      </w:r>
      <w:r w:rsidR="00143897">
        <w:rPr>
          <w:rFonts w:asciiTheme="minorHAnsi" w:eastAsia="Batang" w:hAnsiTheme="minorHAnsi" w:cs="Times New Roman"/>
          <w:sz w:val="22"/>
          <w:szCs w:val="22"/>
          <w:lang w:val="es-ES"/>
        </w:rPr>
        <w:t>excedente</w:t>
      </w:r>
      <w:r w:rsidRPr="00C65E86">
        <w:rPr>
          <w:rFonts w:asciiTheme="minorHAnsi" w:eastAsia="Batang" w:hAnsiTheme="minorHAnsi" w:cs="Times New Roman"/>
          <w:sz w:val="22"/>
          <w:szCs w:val="22"/>
          <w:lang w:val="es-ES"/>
        </w:rPr>
        <w:t xml:space="preserve"> de 2021 para este fin, </w:t>
      </w:r>
      <w:r w:rsidR="00F56EDF" w:rsidRPr="00C65E86">
        <w:rPr>
          <w:rFonts w:asciiTheme="minorHAnsi" w:eastAsia="Batang" w:hAnsiTheme="minorHAnsi" w:cs="Times New Roman"/>
          <w:sz w:val="22"/>
          <w:szCs w:val="22"/>
          <w:lang w:val="es-ES"/>
        </w:rPr>
        <w:t>aplicando</w:t>
      </w:r>
      <w:r w:rsidRPr="00C65E86">
        <w:rPr>
          <w:rFonts w:asciiTheme="minorHAnsi" w:eastAsia="Batang" w:hAnsiTheme="minorHAnsi" w:cs="Times New Roman"/>
          <w:sz w:val="22"/>
          <w:szCs w:val="22"/>
          <w:lang w:val="es-ES"/>
        </w:rPr>
        <w:t xml:space="preserve"> el mismo </w:t>
      </w:r>
      <w:r w:rsidR="00F56EDF" w:rsidRPr="00C65E86">
        <w:rPr>
          <w:rFonts w:asciiTheme="minorHAnsi" w:eastAsia="Batang" w:hAnsiTheme="minorHAnsi" w:cs="Times New Roman"/>
          <w:sz w:val="22"/>
          <w:szCs w:val="22"/>
          <w:lang w:val="es-ES"/>
        </w:rPr>
        <w:t>criterio</w:t>
      </w:r>
      <w:r w:rsidRPr="00C65E86">
        <w:rPr>
          <w:rFonts w:asciiTheme="minorHAnsi" w:eastAsia="Batang" w:hAnsiTheme="minorHAnsi" w:cs="Times New Roman"/>
          <w:sz w:val="22"/>
          <w:szCs w:val="22"/>
          <w:lang w:val="es-ES"/>
        </w:rPr>
        <w:t xml:space="preserve"> que en el trienio </w:t>
      </w:r>
      <w:r w:rsidR="00301896">
        <w:rPr>
          <w:rFonts w:asciiTheme="minorHAnsi" w:eastAsia="Batang" w:hAnsiTheme="minorHAnsi" w:cs="Times New Roman"/>
          <w:sz w:val="22"/>
          <w:szCs w:val="22"/>
          <w:lang w:val="es-ES"/>
        </w:rPr>
        <w:t>anterior</w:t>
      </w:r>
      <w:r w:rsidRPr="00C65E86">
        <w:rPr>
          <w:rFonts w:asciiTheme="minorHAnsi" w:eastAsia="Batang" w:hAnsiTheme="minorHAnsi" w:cs="Times New Roman"/>
          <w:sz w:val="22"/>
          <w:szCs w:val="22"/>
          <w:lang w:val="es-ES"/>
        </w:rPr>
        <w:t xml:space="preserve">, de modo que se restablezca el presupuesto para </w:t>
      </w:r>
      <w:r w:rsidR="00F56EDF" w:rsidRPr="00C65E86">
        <w:rPr>
          <w:rFonts w:asciiTheme="minorHAnsi" w:eastAsia="Batang" w:hAnsiTheme="minorHAnsi" w:cs="Times New Roman"/>
          <w:sz w:val="22"/>
          <w:szCs w:val="22"/>
          <w:lang w:val="es-ES"/>
        </w:rPr>
        <w:t>la labor principal</w:t>
      </w:r>
      <w:r w:rsidRPr="00C65E86">
        <w:rPr>
          <w:rFonts w:asciiTheme="minorHAnsi" w:eastAsia="Batang" w:hAnsiTheme="minorHAnsi" w:cs="Times New Roman"/>
          <w:sz w:val="22"/>
          <w:szCs w:val="22"/>
          <w:lang w:val="es-ES"/>
        </w:rPr>
        <w:t xml:space="preserve"> de la Secretaría.</w:t>
      </w:r>
    </w:p>
    <w:p w14:paraId="77904B35" w14:textId="77777777" w:rsidR="00301896" w:rsidRDefault="00301896" w:rsidP="00301896">
      <w:pPr>
        <w:pStyle w:val="MGfulltext"/>
        <w:spacing w:after="0"/>
        <w:ind w:left="865"/>
        <w:rPr>
          <w:rFonts w:asciiTheme="minorHAnsi" w:eastAsia="Batang" w:hAnsiTheme="minorHAnsi" w:cs="Times New Roman"/>
          <w:sz w:val="22"/>
          <w:szCs w:val="22"/>
          <w:lang w:val="es-ES"/>
        </w:rPr>
      </w:pPr>
    </w:p>
    <w:p w14:paraId="7DCBE803" w14:textId="63EAD451" w:rsidR="00F56EDF" w:rsidRPr="00C65E86" w:rsidRDefault="00F56EDF" w:rsidP="00301896">
      <w:pPr>
        <w:pStyle w:val="MGfulltext"/>
        <w:numPr>
          <w:ilvl w:val="0"/>
          <w:numId w:val="6"/>
        </w:numPr>
        <w:spacing w:after="0"/>
        <w:rPr>
          <w:rFonts w:asciiTheme="minorHAnsi" w:eastAsia="Batang" w:hAnsiTheme="minorHAnsi" w:cs="Times New Roman"/>
          <w:sz w:val="22"/>
          <w:szCs w:val="22"/>
          <w:lang w:val="es-ES"/>
        </w:rPr>
      </w:pPr>
      <w:r w:rsidRPr="00C65E86">
        <w:rPr>
          <w:rFonts w:asciiTheme="minorHAnsi" w:eastAsia="Batang" w:hAnsiTheme="minorHAnsi" w:cs="Times New Roman"/>
          <w:sz w:val="22"/>
          <w:szCs w:val="22"/>
          <w:lang w:val="es-ES"/>
        </w:rPr>
        <w:t xml:space="preserve">Los </w:t>
      </w:r>
      <w:r w:rsidR="00301896">
        <w:rPr>
          <w:rFonts w:asciiTheme="minorHAnsi" w:eastAsia="Batang" w:hAnsiTheme="minorHAnsi" w:cs="Times New Roman"/>
          <w:sz w:val="22"/>
          <w:szCs w:val="22"/>
          <w:lang w:val="es-ES"/>
        </w:rPr>
        <w:t>gastos</w:t>
      </w:r>
      <w:r w:rsidRPr="00C65E86">
        <w:rPr>
          <w:rFonts w:asciiTheme="minorHAnsi" w:eastAsia="Batang" w:hAnsiTheme="minorHAnsi" w:cs="Times New Roman"/>
          <w:sz w:val="22"/>
          <w:szCs w:val="22"/>
          <w:lang w:val="es-ES"/>
        </w:rPr>
        <w:t xml:space="preserve"> </w:t>
      </w:r>
      <w:r w:rsidR="007F1FF9" w:rsidRPr="00C65E86">
        <w:rPr>
          <w:rFonts w:asciiTheme="minorHAnsi" w:eastAsia="Batang" w:hAnsiTheme="minorHAnsi" w:cs="Times New Roman"/>
          <w:sz w:val="22"/>
          <w:szCs w:val="22"/>
          <w:lang w:val="es-ES"/>
        </w:rPr>
        <w:t>de</w:t>
      </w:r>
      <w:r w:rsidRPr="00C65E86">
        <w:rPr>
          <w:rFonts w:asciiTheme="minorHAnsi" w:eastAsia="Batang" w:hAnsiTheme="minorHAnsi" w:cs="Times New Roman"/>
          <w:sz w:val="22"/>
          <w:szCs w:val="22"/>
          <w:lang w:val="es-ES"/>
        </w:rPr>
        <w:t xml:space="preserve"> personal se han presupuestado </w:t>
      </w:r>
      <w:r w:rsidR="007F1FF9" w:rsidRPr="00C65E86">
        <w:rPr>
          <w:rFonts w:asciiTheme="minorHAnsi" w:eastAsia="Batang" w:hAnsiTheme="minorHAnsi" w:cs="Times New Roman"/>
          <w:sz w:val="22"/>
          <w:szCs w:val="22"/>
          <w:lang w:val="es-ES"/>
        </w:rPr>
        <w:t>a partir</w:t>
      </w:r>
      <w:r w:rsidRPr="00C65E86">
        <w:rPr>
          <w:rFonts w:asciiTheme="minorHAnsi" w:eastAsia="Batang" w:hAnsiTheme="minorHAnsi" w:cs="Times New Roman"/>
          <w:sz w:val="22"/>
          <w:szCs w:val="22"/>
          <w:lang w:val="es-ES"/>
        </w:rPr>
        <w:t xml:space="preserve"> de los cost</w:t>
      </w:r>
      <w:r w:rsidR="007F1FF9" w:rsidRPr="00C65E86">
        <w:rPr>
          <w:rFonts w:asciiTheme="minorHAnsi" w:eastAsia="Batang" w:hAnsiTheme="minorHAnsi" w:cs="Times New Roman"/>
          <w:sz w:val="22"/>
          <w:szCs w:val="22"/>
          <w:lang w:val="es-ES"/>
        </w:rPr>
        <w:t>o</w:t>
      </w:r>
      <w:r w:rsidRPr="00C65E86">
        <w:rPr>
          <w:rFonts w:asciiTheme="minorHAnsi" w:eastAsia="Batang" w:hAnsiTheme="minorHAnsi" w:cs="Times New Roman"/>
          <w:sz w:val="22"/>
          <w:szCs w:val="22"/>
          <w:lang w:val="es-ES"/>
        </w:rPr>
        <w:t xml:space="preserve">s reales actuales, de </w:t>
      </w:r>
      <w:r w:rsidR="00301896">
        <w:rPr>
          <w:rFonts w:asciiTheme="minorHAnsi" w:eastAsia="Batang" w:hAnsiTheme="minorHAnsi" w:cs="Times New Roman"/>
          <w:sz w:val="22"/>
          <w:szCs w:val="22"/>
          <w:lang w:val="es-ES"/>
        </w:rPr>
        <w:t>conformidad</w:t>
      </w:r>
      <w:r w:rsidRPr="00C65E86">
        <w:rPr>
          <w:rFonts w:asciiTheme="minorHAnsi" w:eastAsia="Batang" w:hAnsiTheme="minorHAnsi" w:cs="Times New Roman"/>
          <w:sz w:val="22"/>
          <w:szCs w:val="22"/>
          <w:lang w:val="es-ES"/>
        </w:rPr>
        <w:t xml:space="preserve"> con la</w:t>
      </w:r>
      <w:r w:rsidR="007F1FF9" w:rsidRPr="00C65E86">
        <w:rPr>
          <w:rFonts w:asciiTheme="minorHAnsi" w:eastAsia="Batang" w:hAnsiTheme="minorHAnsi" w:cs="Times New Roman"/>
          <w:sz w:val="22"/>
          <w:szCs w:val="22"/>
          <w:lang w:val="es-ES"/>
        </w:rPr>
        <w:t>s</w:t>
      </w:r>
      <w:r w:rsidRPr="00C65E86">
        <w:rPr>
          <w:rFonts w:asciiTheme="minorHAnsi" w:eastAsia="Batang" w:hAnsiTheme="minorHAnsi" w:cs="Times New Roman"/>
          <w:sz w:val="22"/>
          <w:szCs w:val="22"/>
          <w:lang w:val="es-ES"/>
        </w:rPr>
        <w:t xml:space="preserve"> política</w:t>
      </w:r>
      <w:r w:rsidR="007F1FF9" w:rsidRPr="00C65E86">
        <w:rPr>
          <w:rFonts w:asciiTheme="minorHAnsi" w:eastAsia="Batang" w:hAnsiTheme="minorHAnsi" w:cs="Times New Roman"/>
          <w:sz w:val="22"/>
          <w:szCs w:val="22"/>
          <w:lang w:val="es-ES"/>
        </w:rPr>
        <w:t>s</w:t>
      </w:r>
      <w:r w:rsidRPr="00C65E86">
        <w:rPr>
          <w:rFonts w:asciiTheme="minorHAnsi" w:eastAsia="Batang" w:hAnsiTheme="minorHAnsi" w:cs="Times New Roman"/>
          <w:sz w:val="22"/>
          <w:szCs w:val="22"/>
          <w:lang w:val="es-ES"/>
        </w:rPr>
        <w:t xml:space="preserve"> de la UICN. La mayoría de las Convenciones administradas por la</w:t>
      </w:r>
      <w:r w:rsidR="007F1FF9" w:rsidRPr="00C65E86">
        <w:rPr>
          <w:rFonts w:asciiTheme="minorHAnsi" w:eastAsia="Batang" w:hAnsiTheme="minorHAnsi" w:cs="Times New Roman"/>
          <w:sz w:val="22"/>
          <w:szCs w:val="22"/>
          <w:lang w:val="es-ES"/>
        </w:rPr>
        <w:t>s</w:t>
      </w:r>
      <w:r w:rsidRPr="00C65E86">
        <w:rPr>
          <w:rFonts w:asciiTheme="minorHAnsi" w:eastAsia="Batang" w:hAnsiTheme="minorHAnsi" w:cs="Times New Roman"/>
          <w:sz w:val="22"/>
          <w:szCs w:val="22"/>
          <w:lang w:val="es-ES"/>
        </w:rPr>
        <w:t xml:space="preserve"> </w:t>
      </w:r>
      <w:r w:rsidR="007F1FF9" w:rsidRPr="00C65E86">
        <w:rPr>
          <w:rFonts w:asciiTheme="minorHAnsi" w:eastAsia="Batang" w:hAnsiTheme="minorHAnsi" w:cs="Times New Roman"/>
          <w:sz w:val="22"/>
          <w:szCs w:val="22"/>
          <w:lang w:val="es-ES"/>
        </w:rPr>
        <w:t>Naciones Unidas</w:t>
      </w:r>
      <w:r w:rsidRPr="00C65E86">
        <w:rPr>
          <w:rFonts w:asciiTheme="minorHAnsi" w:eastAsia="Batang" w:hAnsiTheme="minorHAnsi" w:cs="Times New Roman"/>
          <w:sz w:val="22"/>
          <w:szCs w:val="22"/>
          <w:lang w:val="es-ES"/>
        </w:rPr>
        <w:t xml:space="preserve"> elaboran sus presupuestos </w:t>
      </w:r>
      <w:r w:rsidR="007F1FF9" w:rsidRPr="00C65E86">
        <w:rPr>
          <w:rFonts w:asciiTheme="minorHAnsi" w:eastAsia="Batang" w:hAnsiTheme="minorHAnsi" w:cs="Times New Roman"/>
          <w:sz w:val="22"/>
          <w:szCs w:val="22"/>
          <w:lang w:val="es-ES"/>
        </w:rPr>
        <w:t>basándose en los</w:t>
      </w:r>
      <w:r w:rsidRPr="00C65E86">
        <w:rPr>
          <w:rFonts w:asciiTheme="minorHAnsi" w:eastAsia="Batang" w:hAnsiTheme="minorHAnsi" w:cs="Times New Roman"/>
          <w:sz w:val="22"/>
          <w:szCs w:val="22"/>
          <w:lang w:val="es-ES"/>
        </w:rPr>
        <w:t xml:space="preserve"> costos estándar y la Secretaría recomienda </w:t>
      </w:r>
      <w:r w:rsidR="007F1FF9" w:rsidRPr="00C65E86">
        <w:rPr>
          <w:rFonts w:asciiTheme="minorHAnsi" w:eastAsia="Batang" w:hAnsiTheme="minorHAnsi" w:cs="Times New Roman"/>
          <w:sz w:val="22"/>
          <w:szCs w:val="22"/>
          <w:lang w:val="es-ES"/>
        </w:rPr>
        <w:t>que se avance</w:t>
      </w:r>
      <w:r w:rsidRPr="00C65E86">
        <w:rPr>
          <w:rFonts w:asciiTheme="minorHAnsi" w:eastAsia="Batang" w:hAnsiTheme="minorHAnsi" w:cs="Times New Roman"/>
          <w:sz w:val="22"/>
          <w:szCs w:val="22"/>
          <w:lang w:val="es-ES"/>
        </w:rPr>
        <w:t xml:space="preserve"> en esta dirección. Se ha incluido una provisión en el apartado de otras prestaciones laborales, que consiste en las vacaciones en el país de origen, la asignación </w:t>
      </w:r>
      <w:r w:rsidR="00FC1E6A">
        <w:rPr>
          <w:rFonts w:asciiTheme="minorHAnsi" w:eastAsia="Batang" w:hAnsiTheme="minorHAnsi" w:cs="Times New Roman"/>
          <w:sz w:val="22"/>
          <w:szCs w:val="22"/>
          <w:lang w:val="es-ES"/>
        </w:rPr>
        <w:t>para</w:t>
      </w:r>
      <w:r w:rsidRPr="00C65E86">
        <w:rPr>
          <w:rFonts w:asciiTheme="minorHAnsi" w:eastAsia="Batang" w:hAnsiTheme="minorHAnsi" w:cs="Times New Roman"/>
          <w:sz w:val="22"/>
          <w:szCs w:val="22"/>
          <w:lang w:val="es-ES"/>
        </w:rPr>
        <w:t xml:space="preserve"> educación de los hijos y los gastos de traslado (para los expatriados), así como un subsidio para el transporte público que se </w:t>
      </w:r>
      <w:r w:rsidR="007F1FF9" w:rsidRPr="00C65E86">
        <w:rPr>
          <w:rFonts w:asciiTheme="minorHAnsi" w:eastAsia="Batang" w:hAnsiTheme="minorHAnsi" w:cs="Times New Roman"/>
          <w:sz w:val="22"/>
          <w:szCs w:val="22"/>
          <w:lang w:val="es-ES"/>
        </w:rPr>
        <w:t>proporciona</w:t>
      </w:r>
      <w:r w:rsidRPr="00C65E86">
        <w:rPr>
          <w:rFonts w:asciiTheme="minorHAnsi" w:eastAsia="Batang" w:hAnsiTheme="minorHAnsi" w:cs="Times New Roman"/>
          <w:sz w:val="22"/>
          <w:szCs w:val="22"/>
          <w:lang w:val="es-ES"/>
        </w:rPr>
        <w:t xml:space="preserve"> al personal de la Secretaría con</w:t>
      </w:r>
      <w:r w:rsidR="007F1FF9" w:rsidRPr="00C65E86">
        <w:rPr>
          <w:rFonts w:asciiTheme="minorHAnsi" w:eastAsia="Batang" w:hAnsiTheme="minorHAnsi" w:cs="Times New Roman"/>
          <w:sz w:val="22"/>
          <w:szCs w:val="22"/>
          <w:lang w:val="es-ES"/>
        </w:rPr>
        <w:t xml:space="preserve"> arreglo a</w:t>
      </w:r>
      <w:r w:rsidRPr="00C65E86">
        <w:rPr>
          <w:rFonts w:asciiTheme="minorHAnsi" w:eastAsia="Batang" w:hAnsiTheme="minorHAnsi" w:cs="Times New Roman"/>
          <w:sz w:val="22"/>
          <w:szCs w:val="22"/>
          <w:lang w:val="es-ES"/>
        </w:rPr>
        <w:t xml:space="preserve"> la</w:t>
      </w:r>
      <w:r w:rsidR="007F1FF9" w:rsidRPr="00C65E86">
        <w:rPr>
          <w:rFonts w:asciiTheme="minorHAnsi" w:eastAsia="Batang" w:hAnsiTheme="minorHAnsi" w:cs="Times New Roman"/>
          <w:sz w:val="22"/>
          <w:szCs w:val="22"/>
          <w:lang w:val="es-ES"/>
        </w:rPr>
        <w:t>s</w:t>
      </w:r>
      <w:r w:rsidRPr="00C65E86">
        <w:rPr>
          <w:rFonts w:asciiTheme="minorHAnsi" w:eastAsia="Batang" w:hAnsiTheme="minorHAnsi" w:cs="Times New Roman"/>
          <w:sz w:val="22"/>
          <w:szCs w:val="22"/>
          <w:lang w:val="es-ES"/>
        </w:rPr>
        <w:t xml:space="preserve"> política</w:t>
      </w:r>
      <w:r w:rsidR="007F1FF9" w:rsidRPr="00C65E86">
        <w:rPr>
          <w:rFonts w:asciiTheme="minorHAnsi" w:eastAsia="Batang" w:hAnsiTheme="minorHAnsi" w:cs="Times New Roman"/>
          <w:sz w:val="22"/>
          <w:szCs w:val="22"/>
          <w:lang w:val="es-ES"/>
        </w:rPr>
        <w:t>s</w:t>
      </w:r>
      <w:r w:rsidRPr="00C65E86">
        <w:rPr>
          <w:rFonts w:asciiTheme="minorHAnsi" w:eastAsia="Batang" w:hAnsiTheme="minorHAnsi" w:cs="Times New Roman"/>
          <w:sz w:val="22"/>
          <w:szCs w:val="22"/>
          <w:lang w:val="es-ES"/>
        </w:rPr>
        <w:t xml:space="preserve"> de la UICN. Esta provisión permite </w:t>
      </w:r>
      <w:r w:rsidR="00FC1E6A">
        <w:rPr>
          <w:rFonts w:asciiTheme="minorHAnsi" w:eastAsia="Batang" w:hAnsiTheme="minorHAnsi" w:cs="Times New Roman"/>
          <w:sz w:val="22"/>
          <w:szCs w:val="22"/>
          <w:lang w:val="es-ES"/>
        </w:rPr>
        <w:t>alg</w:t>
      </w:r>
      <w:r w:rsidR="007F1FF9" w:rsidRPr="00C65E86">
        <w:rPr>
          <w:rFonts w:asciiTheme="minorHAnsi" w:eastAsia="Batang" w:hAnsiTheme="minorHAnsi" w:cs="Times New Roman"/>
          <w:sz w:val="22"/>
          <w:szCs w:val="22"/>
          <w:lang w:val="es-ES"/>
        </w:rPr>
        <w:t>una</w:t>
      </w:r>
      <w:r w:rsidRPr="00C65E86">
        <w:rPr>
          <w:rFonts w:asciiTheme="minorHAnsi" w:eastAsia="Batang" w:hAnsiTheme="minorHAnsi" w:cs="Times New Roman"/>
          <w:sz w:val="22"/>
          <w:szCs w:val="22"/>
          <w:lang w:val="es-ES"/>
        </w:rPr>
        <w:t xml:space="preserve"> flexibilidad en caso de cambios en el personal y sus </w:t>
      </w:r>
      <w:r w:rsidR="007F1FF9" w:rsidRPr="00C65E86">
        <w:rPr>
          <w:rFonts w:asciiTheme="minorHAnsi" w:eastAsia="Batang" w:hAnsiTheme="minorHAnsi" w:cs="Times New Roman"/>
          <w:sz w:val="22"/>
          <w:szCs w:val="22"/>
          <w:lang w:val="es-ES"/>
        </w:rPr>
        <w:t>prestaciones</w:t>
      </w:r>
      <w:r w:rsidRPr="00C65E86">
        <w:rPr>
          <w:rFonts w:asciiTheme="minorHAnsi" w:eastAsia="Batang" w:hAnsiTheme="minorHAnsi" w:cs="Times New Roman"/>
          <w:sz w:val="22"/>
          <w:szCs w:val="22"/>
          <w:lang w:val="es-ES"/>
        </w:rPr>
        <w:t>.</w:t>
      </w:r>
    </w:p>
    <w:p w14:paraId="7D5505D7" w14:textId="41CE020B" w:rsidR="00630394" w:rsidRPr="00C65E86" w:rsidRDefault="00630394" w:rsidP="007F1FF9">
      <w:pPr>
        <w:pStyle w:val="MGfulltext"/>
        <w:spacing w:after="0"/>
        <w:rPr>
          <w:rFonts w:asciiTheme="minorHAnsi" w:eastAsia="Batang" w:hAnsiTheme="minorHAnsi" w:cs="Times New Roman"/>
          <w:sz w:val="22"/>
          <w:szCs w:val="22"/>
          <w:lang w:val="es-ES"/>
        </w:rPr>
      </w:pPr>
    </w:p>
    <w:p w14:paraId="61373DF0" w14:textId="64B2098B" w:rsidR="007F1FF9" w:rsidRPr="00C65E86" w:rsidRDefault="008F6521" w:rsidP="008F6521">
      <w:pPr>
        <w:pStyle w:val="MGfulltext"/>
        <w:spacing w:after="0"/>
        <w:ind w:left="851" w:hanging="425"/>
        <w:rPr>
          <w:rFonts w:asciiTheme="minorHAnsi" w:eastAsia="Batang" w:hAnsiTheme="minorHAnsi" w:cs="Times New Roman"/>
          <w:sz w:val="22"/>
          <w:szCs w:val="22"/>
          <w:lang w:val="es-ES"/>
        </w:rPr>
      </w:pPr>
      <w:r w:rsidRPr="00C65E86">
        <w:rPr>
          <w:rFonts w:asciiTheme="minorHAnsi" w:eastAsia="Batang" w:hAnsiTheme="minorHAnsi" w:cs="Times New Roman"/>
          <w:sz w:val="22"/>
          <w:szCs w:val="22"/>
          <w:lang w:val="es-ES"/>
        </w:rPr>
        <w:t>g.</w:t>
      </w:r>
      <w:r w:rsidRPr="00C65E86">
        <w:rPr>
          <w:rFonts w:asciiTheme="minorHAnsi" w:eastAsia="Batang" w:hAnsiTheme="minorHAnsi" w:cs="Times New Roman"/>
          <w:sz w:val="22"/>
          <w:szCs w:val="22"/>
          <w:lang w:val="es-ES"/>
        </w:rPr>
        <w:tab/>
      </w:r>
      <w:r w:rsidR="00774144" w:rsidRPr="00C65E86">
        <w:rPr>
          <w:rFonts w:asciiTheme="minorHAnsi" w:eastAsia="Batang" w:hAnsiTheme="minorHAnsi" w:cs="Times New Roman"/>
          <w:sz w:val="22"/>
          <w:szCs w:val="22"/>
          <w:lang w:val="es-ES"/>
        </w:rPr>
        <w:t>De conformidad con los lineamientos de Recursos Humanos de la UICN sobre remuneración, los salarios del personal incluyen un sistema de aumento</w:t>
      </w:r>
      <w:r w:rsidR="00FC1E6A">
        <w:rPr>
          <w:rFonts w:asciiTheme="minorHAnsi" w:eastAsia="Batang" w:hAnsiTheme="minorHAnsi" w:cs="Times New Roman"/>
          <w:sz w:val="22"/>
          <w:szCs w:val="22"/>
          <w:lang w:val="es-ES"/>
        </w:rPr>
        <w:t>s</w:t>
      </w:r>
      <w:r w:rsidR="00774144" w:rsidRPr="00C65E86">
        <w:rPr>
          <w:rFonts w:asciiTheme="minorHAnsi" w:eastAsia="Batang" w:hAnsiTheme="minorHAnsi" w:cs="Times New Roman"/>
          <w:sz w:val="22"/>
          <w:szCs w:val="22"/>
          <w:lang w:val="es-ES"/>
        </w:rPr>
        <w:t xml:space="preserve"> y bonificaci</w:t>
      </w:r>
      <w:r w:rsidR="00FC1E6A">
        <w:rPr>
          <w:rFonts w:asciiTheme="minorHAnsi" w:eastAsia="Batang" w:hAnsiTheme="minorHAnsi" w:cs="Times New Roman"/>
          <w:sz w:val="22"/>
          <w:szCs w:val="22"/>
          <w:lang w:val="es-ES"/>
        </w:rPr>
        <w:t>ones</w:t>
      </w:r>
      <w:r w:rsidR="00774144" w:rsidRPr="00C65E86">
        <w:rPr>
          <w:rFonts w:asciiTheme="minorHAnsi" w:eastAsia="Batang" w:hAnsiTheme="minorHAnsi" w:cs="Times New Roman"/>
          <w:sz w:val="22"/>
          <w:szCs w:val="22"/>
          <w:lang w:val="es-ES"/>
        </w:rPr>
        <w:t xml:space="preserve"> que se basa en el desempeño y que la Secretaría ha aplicado a partir del 1 de enero de 2019, cuando la Secretaría también implantó las políticas de ascensos de la UICN. El presupuesto aprobado por la COP13 para el trienio 2019-2021 inclu</w:t>
      </w:r>
      <w:r w:rsidR="00FC1E6A">
        <w:rPr>
          <w:rFonts w:asciiTheme="minorHAnsi" w:eastAsia="Batang" w:hAnsiTheme="minorHAnsi" w:cs="Times New Roman"/>
          <w:sz w:val="22"/>
          <w:szCs w:val="22"/>
          <w:lang w:val="es-ES"/>
        </w:rPr>
        <w:t>ye</w:t>
      </w:r>
      <w:r w:rsidR="00774144" w:rsidRPr="00C65E86">
        <w:rPr>
          <w:rFonts w:asciiTheme="minorHAnsi" w:eastAsia="Batang" w:hAnsiTheme="minorHAnsi" w:cs="Times New Roman"/>
          <w:sz w:val="22"/>
          <w:szCs w:val="22"/>
          <w:lang w:val="es-ES"/>
        </w:rPr>
        <w:t xml:space="preserve"> una provisión para aplicar estas dos políticas. La Secretaría incorporó un aumento anual en el presupuesto aprobado en la COP13 para cubrir el reconocimiento del desempeño y los ascensos. Sin embargo, no es posible incorporar ese aumento de forma sostenible a largo plazo </w:t>
      </w:r>
      <w:r w:rsidR="00FC1E6A">
        <w:rPr>
          <w:rFonts w:asciiTheme="minorHAnsi" w:eastAsia="Batang" w:hAnsiTheme="minorHAnsi" w:cs="Times New Roman"/>
          <w:sz w:val="22"/>
          <w:szCs w:val="22"/>
          <w:lang w:val="es-ES"/>
        </w:rPr>
        <w:t>si no se</w:t>
      </w:r>
      <w:r w:rsidR="00774144" w:rsidRPr="00C65E86">
        <w:rPr>
          <w:rFonts w:asciiTheme="minorHAnsi" w:eastAsia="Batang" w:hAnsiTheme="minorHAnsi" w:cs="Times New Roman"/>
          <w:sz w:val="22"/>
          <w:szCs w:val="22"/>
          <w:lang w:val="es-ES"/>
        </w:rPr>
        <w:t xml:space="preserve"> incrementa el presupuesto </w:t>
      </w:r>
      <w:r w:rsidR="00FC1E6A">
        <w:rPr>
          <w:rFonts w:asciiTheme="minorHAnsi" w:eastAsia="Batang" w:hAnsiTheme="minorHAnsi" w:cs="Times New Roman"/>
          <w:sz w:val="22"/>
          <w:szCs w:val="22"/>
          <w:lang w:val="es-ES"/>
        </w:rPr>
        <w:t xml:space="preserve">para </w:t>
      </w:r>
      <w:r w:rsidR="00774144" w:rsidRPr="00C65E86">
        <w:rPr>
          <w:rFonts w:asciiTheme="minorHAnsi" w:eastAsia="Batang" w:hAnsiTheme="minorHAnsi" w:cs="Times New Roman"/>
          <w:sz w:val="22"/>
          <w:szCs w:val="22"/>
          <w:lang w:val="es-ES"/>
        </w:rPr>
        <w:t>el personal. El presupuesto básico propuesto para el trienio 2023-2025 incluye la provisión para bonificaciones, al igual que en el presupuesto de 2022 aprobado por la ExCOP3, por lo que no permite incremento</w:t>
      </w:r>
      <w:r w:rsidR="00FC1E6A">
        <w:rPr>
          <w:rFonts w:asciiTheme="minorHAnsi" w:eastAsia="Batang" w:hAnsiTheme="minorHAnsi" w:cs="Times New Roman"/>
          <w:sz w:val="22"/>
          <w:szCs w:val="22"/>
          <w:lang w:val="es-ES"/>
        </w:rPr>
        <w:t>s</w:t>
      </w:r>
      <w:r w:rsidR="00774144" w:rsidRPr="00C65E86">
        <w:rPr>
          <w:rFonts w:asciiTheme="minorHAnsi" w:eastAsia="Batang" w:hAnsiTheme="minorHAnsi" w:cs="Times New Roman"/>
          <w:sz w:val="22"/>
          <w:szCs w:val="22"/>
          <w:lang w:val="es-ES"/>
        </w:rPr>
        <w:t xml:space="preserve"> </w:t>
      </w:r>
      <w:r w:rsidR="00355FDF" w:rsidRPr="00C65E86">
        <w:rPr>
          <w:rFonts w:asciiTheme="minorHAnsi" w:eastAsia="Batang" w:hAnsiTheme="minorHAnsi" w:cs="Times New Roman"/>
          <w:sz w:val="22"/>
          <w:szCs w:val="22"/>
          <w:lang w:val="es-ES"/>
        </w:rPr>
        <w:t>en función</w:t>
      </w:r>
      <w:r w:rsidR="00774144" w:rsidRPr="00C65E86">
        <w:rPr>
          <w:rFonts w:asciiTheme="minorHAnsi" w:eastAsia="Batang" w:hAnsiTheme="minorHAnsi" w:cs="Times New Roman"/>
          <w:sz w:val="22"/>
          <w:szCs w:val="22"/>
          <w:lang w:val="es-ES"/>
        </w:rPr>
        <w:t xml:space="preserve"> </w:t>
      </w:r>
      <w:r w:rsidR="00355FDF" w:rsidRPr="00C65E86">
        <w:rPr>
          <w:rFonts w:asciiTheme="minorHAnsi" w:eastAsia="Batang" w:hAnsiTheme="minorHAnsi" w:cs="Times New Roman"/>
          <w:sz w:val="22"/>
          <w:szCs w:val="22"/>
          <w:lang w:val="es-ES"/>
        </w:rPr>
        <w:t>d</w:t>
      </w:r>
      <w:r w:rsidR="00774144" w:rsidRPr="00C65E86">
        <w:rPr>
          <w:rFonts w:asciiTheme="minorHAnsi" w:eastAsia="Batang" w:hAnsiTheme="minorHAnsi" w:cs="Times New Roman"/>
          <w:sz w:val="22"/>
          <w:szCs w:val="22"/>
          <w:lang w:val="es-ES"/>
        </w:rPr>
        <w:t>el rendimiento.</w:t>
      </w:r>
    </w:p>
    <w:p w14:paraId="2901646F" w14:textId="3576C081" w:rsidR="00EF557F" w:rsidRPr="00C65E86" w:rsidRDefault="00EF557F" w:rsidP="00630394">
      <w:pPr>
        <w:pStyle w:val="MGfulltext"/>
        <w:spacing w:after="0"/>
        <w:ind w:left="850"/>
        <w:rPr>
          <w:rFonts w:asciiTheme="minorHAnsi" w:eastAsia="Batang" w:hAnsiTheme="minorHAnsi" w:cs="Times New Roman"/>
          <w:sz w:val="22"/>
          <w:szCs w:val="22"/>
          <w:lang w:val="es-ES"/>
        </w:rPr>
      </w:pPr>
    </w:p>
    <w:p w14:paraId="65996B06" w14:textId="7581C0CC" w:rsidR="00355FDF" w:rsidRPr="00C65E86" w:rsidRDefault="008F6521" w:rsidP="00D4581F">
      <w:pPr>
        <w:pStyle w:val="MGfulltext"/>
        <w:spacing w:after="0"/>
        <w:ind w:left="850" w:hanging="425"/>
        <w:rPr>
          <w:rFonts w:asciiTheme="minorHAnsi" w:eastAsia="Batang" w:hAnsiTheme="minorHAnsi" w:cs="Times New Roman"/>
          <w:sz w:val="22"/>
          <w:szCs w:val="22"/>
          <w:lang w:val="es-ES"/>
        </w:rPr>
      </w:pPr>
      <w:r w:rsidRPr="00C65E86">
        <w:rPr>
          <w:rFonts w:asciiTheme="minorHAnsi" w:eastAsia="Batang" w:hAnsiTheme="minorHAnsi" w:cs="Times New Roman"/>
          <w:sz w:val="22"/>
          <w:szCs w:val="22"/>
          <w:lang w:val="es-ES"/>
        </w:rPr>
        <w:t>h</w:t>
      </w:r>
      <w:r w:rsidR="00D4581F" w:rsidRPr="00C65E86">
        <w:rPr>
          <w:rFonts w:asciiTheme="minorHAnsi" w:eastAsia="Batang" w:hAnsiTheme="minorHAnsi" w:cs="Times New Roman"/>
          <w:sz w:val="22"/>
          <w:szCs w:val="22"/>
          <w:lang w:val="es-ES"/>
        </w:rPr>
        <w:t>.</w:t>
      </w:r>
      <w:r w:rsidR="00D4581F" w:rsidRPr="00C65E86">
        <w:rPr>
          <w:rFonts w:asciiTheme="minorHAnsi" w:eastAsia="Batang" w:hAnsiTheme="minorHAnsi" w:cs="Times New Roman"/>
          <w:sz w:val="22"/>
          <w:szCs w:val="22"/>
          <w:lang w:val="es-ES"/>
        </w:rPr>
        <w:tab/>
      </w:r>
      <w:r w:rsidR="00355FDF" w:rsidRPr="00C65E86">
        <w:rPr>
          <w:rFonts w:asciiTheme="minorHAnsi" w:eastAsia="Batang" w:hAnsiTheme="minorHAnsi" w:cs="Times New Roman"/>
          <w:sz w:val="22"/>
          <w:szCs w:val="22"/>
          <w:lang w:val="es-ES"/>
        </w:rPr>
        <w:t>El total de los costos salariales y conexos representa alrededor del 71 % del total del presupuesto básico. Es decir, se ha reducido en 9 000 francos suizos en comparación con el trienio 2019-2021.</w:t>
      </w:r>
    </w:p>
    <w:p w14:paraId="5BA45D26" w14:textId="3B2D9A95" w:rsidR="00D4581F" w:rsidRPr="00C65E86" w:rsidRDefault="00D4581F" w:rsidP="00355FDF">
      <w:pPr>
        <w:pStyle w:val="MGfulltext"/>
        <w:spacing w:after="0"/>
        <w:rPr>
          <w:rFonts w:asciiTheme="minorHAnsi" w:eastAsia="Batang" w:hAnsiTheme="minorHAnsi" w:cs="Times New Roman"/>
          <w:sz w:val="22"/>
          <w:szCs w:val="22"/>
          <w:lang w:val="es-ES"/>
        </w:rPr>
      </w:pPr>
    </w:p>
    <w:p w14:paraId="3B2AE792" w14:textId="44FE6BC5" w:rsidR="00355FDF" w:rsidRPr="00C65E86" w:rsidRDefault="008F6521" w:rsidP="00D4581F">
      <w:pPr>
        <w:pStyle w:val="MGfulltext"/>
        <w:spacing w:after="0"/>
        <w:ind w:left="850" w:hanging="425"/>
        <w:rPr>
          <w:rFonts w:asciiTheme="minorHAnsi" w:eastAsia="Batang" w:hAnsiTheme="minorHAnsi" w:cs="Times New Roman"/>
          <w:sz w:val="22"/>
          <w:szCs w:val="22"/>
          <w:lang w:val="es-ES"/>
        </w:rPr>
      </w:pPr>
      <w:r w:rsidRPr="00C65E86">
        <w:rPr>
          <w:rFonts w:asciiTheme="minorHAnsi" w:eastAsia="Batang" w:hAnsiTheme="minorHAnsi" w:cs="Times New Roman"/>
          <w:sz w:val="22"/>
          <w:szCs w:val="22"/>
          <w:lang w:val="es-ES"/>
        </w:rPr>
        <w:t>i</w:t>
      </w:r>
      <w:r w:rsidR="00491283" w:rsidRPr="00C65E86">
        <w:rPr>
          <w:rFonts w:asciiTheme="minorHAnsi" w:eastAsia="Batang" w:hAnsiTheme="minorHAnsi" w:cs="Times New Roman"/>
          <w:sz w:val="22"/>
          <w:szCs w:val="22"/>
          <w:lang w:val="es-ES"/>
        </w:rPr>
        <w:t>.</w:t>
      </w:r>
      <w:r w:rsidR="00491283" w:rsidRPr="00C65E86">
        <w:rPr>
          <w:rFonts w:asciiTheme="minorHAnsi" w:eastAsia="Batang" w:hAnsiTheme="minorHAnsi" w:cs="Times New Roman"/>
          <w:sz w:val="22"/>
          <w:szCs w:val="22"/>
          <w:lang w:val="es-ES"/>
        </w:rPr>
        <w:tab/>
      </w:r>
      <w:r w:rsidR="00355FDF" w:rsidRPr="00C65E86">
        <w:rPr>
          <w:rFonts w:asciiTheme="minorHAnsi" w:eastAsia="Batang" w:hAnsiTheme="minorHAnsi" w:cs="Times New Roman"/>
          <w:sz w:val="22"/>
          <w:szCs w:val="22"/>
          <w:lang w:val="es-ES"/>
        </w:rPr>
        <w:t>En comparación con el presupuesto del trienio 2019-2021, los costos de contratación y separación de personal en el presupuesto propuesto se han incrementado en 77 000 francos suizos, en función de los costos reales.</w:t>
      </w:r>
    </w:p>
    <w:p w14:paraId="09AF2F30" w14:textId="77777777" w:rsidR="007F2DFF" w:rsidRPr="00C65E86" w:rsidRDefault="007F2DFF" w:rsidP="00355FDF">
      <w:pPr>
        <w:pStyle w:val="MGfulltext"/>
        <w:spacing w:after="0"/>
        <w:rPr>
          <w:rFonts w:asciiTheme="minorHAnsi" w:eastAsia="Batang" w:hAnsiTheme="minorHAnsi" w:cs="Times New Roman"/>
          <w:sz w:val="22"/>
          <w:szCs w:val="22"/>
          <w:lang w:val="es-ES"/>
        </w:rPr>
      </w:pPr>
    </w:p>
    <w:p w14:paraId="16C9AB12" w14:textId="4E201511" w:rsidR="00355FDF" w:rsidRPr="00C65E86" w:rsidRDefault="008F6521" w:rsidP="00D4581F">
      <w:pPr>
        <w:pStyle w:val="MGfulltext"/>
        <w:spacing w:after="0"/>
        <w:ind w:left="850" w:hanging="425"/>
        <w:rPr>
          <w:rFonts w:asciiTheme="minorHAnsi" w:eastAsia="Batang" w:hAnsiTheme="minorHAnsi" w:cs="Times New Roman"/>
          <w:sz w:val="22"/>
          <w:szCs w:val="22"/>
          <w:lang w:val="es-ES"/>
        </w:rPr>
      </w:pPr>
      <w:r w:rsidRPr="00C65E86">
        <w:rPr>
          <w:rFonts w:asciiTheme="minorHAnsi" w:eastAsia="Batang" w:hAnsiTheme="minorHAnsi" w:cs="Times New Roman"/>
          <w:sz w:val="22"/>
          <w:szCs w:val="22"/>
          <w:lang w:val="es-ES"/>
        </w:rPr>
        <w:t>j</w:t>
      </w:r>
      <w:r w:rsidR="00491283" w:rsidRPr="00C65E86">
        <w:rPr>
          <w:rFonts w:asciiTheme="minorHAnsi" w:eastAsia="Batang" w:hAnsiTheme="minorHAnsi" w:cs="Times New Roman"/>
          <w:sz w:val="22"/>
          <w:szCs w:val="22"/>
          <w:lang w:val="es-ES"/>
        </w:rPr>
        <w:t>.</w:t>
      </w:r>
      <w:r w:rsidR="00EF557F" w:rsidRPr="00C65E86">
        <w:rPr>
          <w:rFonts w:asciiTheme="minorHAnsi" w:eastAsia="Batang" w:hAnsiTheme="minorHAnsi" w:cs="Times New Roman"/>
          <w:sz w:val="22"/>
          <w:szCs w:val="22"/>
          <w:lang w:val="es-ES"/>
        </w:rPr>
        <w:tab/>
      </w:r>
      <w:r w:rsidR="00355FDF" w:rsidRPr="00C65E86">
        <w:rPr>
          <w:rFonts w:asciiTheme="minorHAnsi" w:eastAsia="Batang" w:hAnsiTheme="minorHAnsi" w:cs="Times New Roman"/>
          <w:sz w:val="22"/>
          <w:szCs w:val="22"/>
          <w:lang w:val="es-ES"/>
        </w:rPr>
        <w:t xml:space="preserve">El cobro por servicios administrativos de la UICN se ha reducido en 57 000 francos suizos en comparación con el trienio anterior debido a los cambios en el sistema de la UICN para la organización de viajes. La UICN eliminó el sistema de viajes presupuestado en el trienio anterior en 2020, debido a las restricciones de viaje </w:t>
      </w:r>
      <w:r w:rsidR="00D91225" w:rsidRPr="00C65E86">
        <w:rPr>
          <w:rFonts w:asciiTheme="minorHAnsi" w:eastAsia="Batang" w:hAnsiTheme="minorHAnsi" w:cs="Times New Roman"/>
          <w:sz w:val="22"/>
          <w:szCs w:val="22"/>
          <w:lang w:val="es-ES"/>
        </w:rPr>
        <w:t>derivadas del</w:t>
      </w:r>
      <w:r w:rsidR="00355FDF" w:rsidRPr="00C65E86">
        <w:rPr>
          <w:rFonts w:asciiTheme="minorHAnsi" w:eastAsia="Batang" w:hAnsiTheme="minorHAnsi" w:cs="Times New Roman"/>
          <w:sz w:val="22"/>
          <w:szCs w:val="22"/>
          <w:lang w:val="es-ES"/>
        </w:rPr>
        <w:t xml:space="preserve"> COVID-19</w:t>
      </w:r>
      <w:r w:rsidR="00D91225" w:rsidRPr="00C65E86">
        <w:rPr>
          <w:rFonts w:asciiTheme="minorHAnsi" w:eastAsia="Batang" w:hAnsiTheme="minorHAnsi" w:cs="Times New Roman"/>
          <w:sz w:val="22"/>
          <w:szCs w:val="22"/>
          <w:lang w:val="es-ES"/>
        </w:rPr>
        <w:t>. L</w:t>
      </w:r>
      <w:r w:rsidR="00355FDF" w:rsidRPr="00C65E86">
        <w:rPr>
          <w:rFonts w:asciiTheme="minorHAnsi" w:eastAsia="Batang" w:hAnsiTheme="minorHAnsi" w:cs="Times New Roman"/>
          <w:sz w:val="22"/>
          <w:szCs w:val="22"/>
          <w:lang w:val="es-ES"/>
        </w:rPr>
        <w:t xml:space="preserve">a reserva de </w:t>
      </w:r>
      <w:r w:rsidR="00D91225" w:rsidRPr="00C65E86">
        <w:rPr>
          <w:rFonts w:asciiTheme="minorHAnsi" w:eastAsia="Batang" w:hAnsiTheme="minorHAnsi" w:cs="Times New Roman"/>
          <w:sz w:val="22"/>
          <w:szCs w:val="22"/>
          <w:lang w:val="es-ES"/>
        </w:rPr>
        <w:t>boletos</w:t>
      </w:r>
      <w:r w:rsidR="00355FDF" w:rsidRPr="00C65E86">
        <w:rPr>
          <w:rFonts w:asciiTheme="minorHAnsi" w:eastAsia="Batang" w:hAnsiTheme="minorHAnsi" w:cs="Times New Roman"/>
          <w:sz w:val="22"/>
          <w:szCs w:val="22"/>
          <w:lang w:val="es-ES"/>
        </w:rPr>
        <w:t xml:space="preserve"> se realiza a través del centro de </w:t>
      </w:r>
      <w:r w:rsidR="00D91225" w:rsidRPr="00C65E86">
        <w:rPr>
          <w:rFonts w:asciiTheme="minorHAnsi" w:eastAsia="Batang" w:hAnsiTheme="minorHAnsi" w:cs="Times New Roman"/>
          <w:sz w:val="22"/>
          <w:szCs w:val="22"/>
          <w:lang w:val="es-ES"/>
        </w:rPr>
        <w:t>atención telefónica</w:t>
      </w:r>
      <w:r w:rsidR="00355FDF" w:rsidRPr="00C65E86">
        <w:rPr>
          <w:rFonts w:asciiTheme="minorHAnsi" w:eastAsia="Batang" w:hAnsiTheme="minorHAnsi" w:cs="Times New Roman"/>
          <w:sz w:val="22"/>
          <w:szCs w:val="22"/>
          <w:lang w:val="es-ES"/>
        </w:rPr>
        <w:t xml:space="preserve"> de la agencia de viajes y plataformas de Internet, y las </w:t>
      </w:r>
      <w:r w:rsidR="00D91225" w:rsidRPr="00C65E86">
        <w:rPr>
          <w:rFonts w:asciiTheme="minorHAnsi" w:eastAsia="Batang" w:hAnsiTheme="minorHAnsi" w:cs="Times New Roman"/>
          <w:sz w:val="22"/>
          <w:szCs w:val="22"/>
          <w:lang w:val="es-ES"/>
        </w:rPr>
        <w:t>comisiones</w:t>
      </w:r>
      <w:r w:rsidR="00355FDF" w:rsidRPr="00C65E86">
        <w:rPr>
          <w:rFonts w:asciiTheme="minorHAnsi" w:eastAsia="Batang" w:hAnsiTheme="minorHAnsi" w:cs="Times New Roman"/>
          <w:sz w:val="22"/>
          <w:szCs w:val="22"/>
          <w:lang w:val="es-ES"/>
        </w:rPr>
        <w:t xml:space="preserve"> se incluyen en los </w:t>
      </w:r>
      <w:r w:rsidR="004B2403">
        <w:rPr>
          <w:rFonts w:asciiTheme="minorHAnsi" w:eastAsia="Batang" w:hAnsiTheme="minorHAnsi" w:cs="Times New Roman"/>
          <w:sz w:val="22"/>
          <w:szCs w:val="22"/>
          <w:lang w:val="es-ES"/>
        </w:rPr>
        <w:t>gastos</w:t>
      </w:r>
      <w:r w:rsidR="00355FDF" w:rsidRPr="00C65E86">
        <w:rPr>
          <w:rFonts w:asciiTheme="minorHAnsi" w:eastAsia="Batang" w:hAnsiTheme="minorHAnsi" w:cs="Times New Roman"/>
          <w:sz w:val="22"/>
          <w:szCs w:val="22"/>
          <w:lang w:val="es-ES"/>
        </w:rPr>
        <w:t xml:space="preserve"> </w:t>
      </w:r>
      <w:r w:rsidR="004B2403">
        <w:rPr>
          <w:rFonts w:asciiTheme="minorHAnsi" w:eastAsia="Batang" w:hAnsiTheme="minorHAnsi" w:cs="Times New Roman"/>
          <w:sz w:val="22"/>
          <w:szCs w:val="22"/>
          <w:lang w:val="es-ES"/>
        </w:rPr>
        <w:t>de</w:t>
      </w:r>
      <w:r w:rsidR="00355FDF" w:rsidRPr="00C65E86">
        <w:rPr>
          <w:rFonts w:asciiTheme="minorHAnsi" w:eastAsia="Batang" w:hAnsiTheme="minorHAnsi" w:cs="Times New Roman"/>
          <w:sz w:val="22"/>
          <w:szCs w:val="22"/>
          <w:lang w:val="es-ES"/>
        </w:rPr>
        <w:t xml:space="preserve"> viaje.</w:t>
      </w:r>
    </w:p>
    <w:p w14:paraId="6D2F3828" w14:textId="77777777" w:rsidR="00EF557F" w:rsidRPr="00C65E86" w:rsidRDefault="00EF557F" w:rsidP="00D91225">
      <w:pPr>
        <w:pStyle w:val="MGfulltext"/>
        <w:spacing w:after="0"/>
        <w:rPr>
          <w:rFonts w:asciiTheme="minorHAnsi" w:eastAsia="Batang" w:hAnsiTheme="minorHAnsi" w:cs="Times New Roman"/>
          <w:sz w:val="22"/>
          <w:szCs w:val="22"/>
          <w:lang w:val="es-ES"/>
        </w:rPr>
      </w:pPr>
    </w:p>
    <w:p w14:paraId="1041002E" w14:textId="4369AE97" w:rsidR="00D91225" w:rsidRPr="00C65E86" w:rsidRDefault="008F6521" w:rsidP="00D4581F">
      <w:pPr>
        <w:pStyle w:val="MGfulltext"/>
        <w:spacing w:after="0"/>
        <w:ind w:left="850" w:hanging="425"/>
        <w:rPr>
          <w:rFonts w:asciiTheme="minorHAnsi" w:eastAsia="Batang" w:hAnsiTheme="minorHAnsi" w:cs="Times New Roman"/>
          <w:sz w:val="22"/>
          <w:szCs w:val="22"/>
          <w:lang w:val="es-ES"/>
        </w:rPr>
      </w:pPr>
      <w:r w:rsidRPr="00C65E86">
        <w:rPr>
          <w:rFonts w:asciiTheme="minorHAnsi" w:eastAsia="Batang" w:hAnsiTheme="minorHAnsi" w:cs="Times New Roman"/>
          <w:sz w:val="22"/>
          <w:szCs w:val="22"/>
          <w:lang w:val="es-ES"/>
        </w:rPr>
        <w:t>k</w:t>
      </w:r>
      <w:r w:rsidR="00D4581F" w:rsidRPr="00C65E86">
        <w:rPr>
          <w:rFonts w:asciiTheme="minorHAnsi" w:eastAsia="Batang" w:hAnsiTheme="minorHAnsi" w:cs="Times New Roman"/>
          <w:sz w:val="22"/>
          <w:szCs w:val="22"/>
          <w:lang w:val="es-ES"/>
        </w:rPr>
        <w:t>.</w:t>
      </w:r>
      <w:r w:rsidR="00D4581F" w:rsidRPr="00C65E86">
        <w:rPr>
          <w:rFonts w:asciiTheme="minorHAnsi" w:eastAsia="Batang" w:hAnsiTheme="minorHAnsi" w:cs="Times New Roman"/>
          <w:sz w:val="22"/>
          <w:szCs w:val="22"/>
          <w:lang w:val="es-ES"/>
        </w:rPr>
        <w:tab/>
      </w:r>
      <w:r w:rsidR="006C68BD" w:rsidRPr="00C65E86">
        <w:rPr>
          <w:rFonts w:asciiTheme="minorHAnsi" w:eastAsia="Batang" w:hAnsiTheme="minorHAnsi" w:cs="Times New Roman"/>
          <w:sz w:val="22"/>
          <w:szCs w:val="22"/>
          <w:lang w:val="es-ES"/>
        </w:rPr>
        <w:t>En comparación con el trienio 2019-2021, el apoyo y desarrollo de la página web</w:t>
      </w:r>
      <w:r w:rsidR="001B2284">
        <w:rPr>
          <w:rFonts w:asciiTheme="minorHAnsi" w:eastAsia="Batang" w:hAnsiTheme="minorHAnsi" w:cs="Times New Roman"/>
          <w:sz w:val="22"/>
          <w:szCs w:val="22"/>
          <w:lang w:val="es-ES"/>
        </w:rPr>
        <w:t xml:space="preserve"> y </w:t>
      </w:r>
      <w:r w:rsidR="006C68BD" w:rsidRPr="00C65E86">
        <w:rPr>
          <w:rFonts w:asciiTheme="minorHAnsi" w:eastAsia="Batang" w:hAnsiTheme="minorHAnsi" w:cs="Times New Roman"/>
          <w:sz w:val="22"/>
          <w:szCs w:val="22"/>
          <w:lang w:val="es-ES"/>
        </w:rPr>
        <w:t xml:space="preserve">tecnología </w:t>
      </w:r>
      <w:r w:rsidR="00692128">
        <w:rPr>
          <w:rFonts w:asciiTheme="minorHAnsi" w:eastAsia="Batang" w:hAnsiTheme="minorHAnsi" w:cs="Times New Roman"/>
          <w:sz w:val="22"/>
          <w:szCs w:val="22"/>
          <w:lang w:val="es-ES"/>
        </w:rPr>
        <w:t>de la información</w:t>
      </w:r>
      <w:r w:rsidR="006C68BD" w:rsidRPr="00C65E86">
        <w:rPr>
          <w:rFonts w:asciiTheme="minorHAnsi" w:eastAsia="Batang" w:hAnsiTheme="minorHAnsi" w:cs="Times New Roman"/>
          <w:sz w:val="22"/>
          <w:szCs w:val="22"/>
          <w:lang w:val="es-ES"/>
        </w:rPr>
        <w:t xml:space="preserve"> (TI) se han reducido en 11 000 francos suizos debido a que la Secretaría prevé que se </w:t>
      </w:r>
      <w:r w:rsidR="0087563F" w:rsidRPr="00C65E86">
        <w:rPr>
          <w:rFonts w:asciiTheme="minorHAnsi" w:eastAsia="Batang" w:hAnsiTheme="minorHAnsi" w:cs="Times New Roman"/>
          <w:sz w:val="22"/>
          <w:szCs w:val="22"/>
          <w:lang w:val="es-ES"/>
        </w:rPr>
        <w:t>reducirán los</w:t>
      </w:r>
      <w:r w:rsidR="006C68BD" w:rsidRPr="00C65E86">
        <w:rPr>
          <w:rFonts w:asciiTheme="minorHAnsi" w:eastAsia="Batang" w:hAnsiTheme="minorHAnsi" w:cs="Times New Roman"/>
          <w:sz w:val="22"/>
          <w:szCs w:val="22"/>
          <w:lang w:val="es-ES"/>
        </w:rPr>
        <w:t xml:space="preserve"> costos de apoyo </w:t>
      </w:r>
      <w:r w:rsidR="0087563F" w:rsidRPr="00C65E86">
        <w:rPr>
          <w:rFonts w:asciiTheme="minorHAnsi" w:eastAsia="Batang" w:hAnsiTheme="minorHAnsi" w:cs="Times New Roman"/>
          <w:sz w:val="22"/>
          <w:szCs w:val="22"/>
          <w:lang w:val="es-ES"/>
        </w:rPr>
        <w:t>por la acogida</w:t>
      </w:r>
      <w:r w:rsidR="006C68BD" w:rsidRPr="00C65E86">
        <w:rPr>
          <w:rFonts w:asciiTheme="minorHAnsi" w:eastAsia="Batang" w:hAnsiTheme="minorHAnsi" w:cs="Times New Roman"/>
          <w:sz w:val="22"/>
          <w:szCs w:val="22"/>
          <w:lang w:val="es-ES"/>
        </w:rPr>
        <w:t xml:space="preserve">, </w:t>
      </w:r>
      <w:r w:rsidR="00692128">
        <w:rPr>
          <w:rFonts w:asciiTheme="minorHAnsi" w:eastAsia="Batang" w:hAnsiTheme="minorHAnsi" w:cs="Times New Roman"/>
          <w:sz w:val="22"/>
          <w:szCs w:val="22"/>
          <w:lang w:val="es-ES"/>
        </w:rPr>
        <w:t xml:space="preserve">el </w:t>
      </w:r>
      <w:r w:rsidR="006C68BD" w:rsidRPr="00C65E86">
        <w:rPr>
          <w:rFonts w:asciiTheme="minorHAnsi" w:eastAsia="Batang" w:hAnsiTheme="minorHAnsi" w:cs="Times New Roman"/>
          <w:sz w:val="22"/>
          <w:szCs w:val="22"/>
          <w:lang w:val="es-ES"/>
        </w:rPr>
        <w:t xml:space="preserve">mantenimiento y </w:t>
      </w:r>
      <w:r w:rsidR="001B2284">
        <w:rPr>
          <w:rFonts w:asciiTheme="minorHAnsi" w:eastAsia="Batang" w:hAnsiTheme="minorHAnsi" w:cs="Times New Roman"/>
          <w:sz w:val="22"/>
          <w:szCs w:val="22"/>
          <w:lang w:val="es-ES"/>
        </w:rPr>
        <w:t>los</w:t>
      </w:r>
      <w:r w:rsidR="00692128">
        <w:rPr>
          <w:rFonts w:asciiTheme="minorHAnsi" w:eastAsia="Batang" w:hAnsiTheme="minorHAnsi" w:cs="Times New Roman"/>
          <w:sz w:val="22"/>
          <w:szCs w:val="22"/>
          <w:lang w:val="es-ES"/>
        </w:rPr>
        <w:t xml:space="preserve"> </w:t>
      </w:r>
      <w:r w:rsidR="001B2284">
        <w:rPr>
          <w:rFonts w:asciiTheme="minorHAnsi" w:eastAsia="Batang" w:hAnsiTheme="minorHAnsi" w:cs="Times New Roman"/>
          <w:sz w:val="22"/>
          <w:szCs w:val="22"/>
          <w:lang w:val="es-ES"/>
        </w:rPr>
        <w:t>avances</w:t>
      </w:r>
      <w:r w:rsidR="00692128">
        <w:rPr>
          <w:rFonts w:asciiTheme="minorHAnsi" w:eastAsia="Batang" w:hAnsiTheme="minorHAnsi" w:cs="Times New Roman"/>
          <w:sz w:val="22"/>
          <w:szCs w:val="22"/>
          <w:lang w:val="es-ES"/>
        </w:rPr>
        <w:t xml:space="preserve"> </w:t>
      </w:r>
      <w:r w:rsidR="001B2284">
        <w:rPr>
          <w:rFonts w:asciiTheme="minorHAnsi" w:eastAsia="Batang" w:hAnsiTheme="minorHAnsi" w:cs="Times New Roman"/>
          <w:sz w:val="22"/>
          <w:szCs w:val="22"/>
          <w:lang w:val="es-ES"/>
        </w:rPr>
        <w:t>de</w:t>
      </w:r>
      <w:r w:rsidR="0087563F" w:rsidRPr="00C65E86">
        <w:rPr>
          <w:rFonts w:asciiTheme="minorHAnsi" w:eastAsia="Batang" w:hAnsiTheme="minorHAnsi" w:cs="Times New Roman"/>
          <w:sz w:val="22"/>
          <w:szCs w:val="22"/>
          <w:lang w:val="es-ES"/>
        </w:rPr>
        <w:t xml:space="preserve"> informátic</w:t>
      </w:r>
      <w:r w:rsidR="00692128">
        <w:rPr>
          <w:rFonts w:asciiTheme="minorHAnsi" w:eastAsia="Batang" w:hAnsiTheme="minorHAnsi" w:cs="Times New Roman"/>
          <w:sz w:val="22"/>
          <w:szCs w:val="22"/>
          <w:lang w:val="es-ES"/>
        </w:rPr>
        <w:t>a</w:t>
      </w:r>
      <w:r w:rsidR="00CB56B1" w:rsidRPr="00CB56B1">
        <w:rPr>
          <w:rFonts w:asciiTheme="minorHAnsi" w:eastAsia="Batang" w:hAnsiTheme="minorHAnsi" w:cs="Times New Roman"/>
          <w:sz w:val="22"/>
          <w:szCs w:val="22"/>
          <w:lang w:val="es-ES"/>
        </w:rPr>
        <w:t xml:space="preserve"> </w:t>
      </w:r>
      <w:r w:rsidR="00CB56B1">
        <w:rPr>
          <w:rFonts w:asciiTheme="minorHAnsi" w:eastAsia="Batang" w:hAnsiTheme="minorHAnsi" w:cs="Times New Roman"/>
          <w:sz w:val="22"/>
          <w:szCs w:val="22"/>
          <w:lang w:val="es-ES"/>
        </w:rPr>
        <w:t>limitados</w:t>
      </w:r>
      <w:r w:rsidR="0087563F" w:rsidRPr="00C65E86">
        <w:rPr>
          <w:rFonts w:asciiTheme="minorHAnsi" w:eastAsia="Batang" w:hAnsiTheme="minorHAnsi" w:cs="Times New Roman"/>
          <w:sz w:val="22"/>
          <w:szCs w:val="22"/>
          <w:lang w:val="es-ES"/>
        </w:rPr>
        <w:t xml:space="preserve"> </w:t>
      </w:r>
      <w:r w:rsidR="006C68BD" w:rsidRPr="00C65E86">
        <w:rPr>
          <w:rFonts w:asciiTheme="minorHAnsi" w:eastAsia="Batang" w:hAnsiTheme="minorHAnsi" w:cs="Times New Roman"/>
          <w:sz w:val="22"/>
          <w:szCs w:val="22"/>
          <w:lang w:val="es-ES"/>
        </w:rPr>
        <w:t xml:space="preserve">después de la remodelación del sitio web </w:t>
      </w:r>
      <w:r w:rsidR="0087563F" w:rsidRPr="00C65E86">
        <w:rPr>
          <w:rFonts w:asciiTheme="minorHAnsi" w:eastAsia="Batang" w:hAnsiTheme="minorHAnsi" w:cs="Times New Roman"/>
          <w:sz w:val="22"/>
          <w:szCs w:val="22"/>
          <w:lang w:val="es-ES"/>
        </w:rPr>
        <w:t>que se aplicará en</w:t>
      </w:r>
      <w:r w:rsidR="006C68BD" w:rsidRPr="00C65E86">
        <w:rPr>
          <w:rFonts w:asciiTheme="minorHAnsi" w:eastAsia="Batang" w:hAnsiTheme="minorHAnsi" w:cs="Times New Roman"/>
          <w:sz w:val="22"/>
          <w:szCs w:val="22"/>
          <w:lang w:val="es-ES"/>
        </w:rPr>
        <w:t xml:space="preserve"> 2022.</w:t>
      </w:r>
    </w:p>
    <w:p w14:paraId="64B52785" w14:textId="2628B6E1" w:rsidR="00D4581F" w:rsidRPr="00C65E86" w:rsidRDefault="001F43AF" w:rsidP="0087563F">
      <w:pPr>
        <w:pStyle w:val="MGfulltext"/>
        <w:spacing w:after="0"/>
        <w:rPr>
          <w:rFonts w:asciiTheme="minorHAnsi" w:eastAsia="Batang" w:hAnsiTheme="minorHAnsi" w:cs="Times New Roman"/>
          <w:sz w:val="22"/>
          <w:szCs w:val="22"/>
          <w:lang w:val="es-ES"/>
        </w:rPr>
      </w:pPr>
      <w:r w:rsidRPr="00C65E86">
        <w:rPr>
          <w:rFonts w:asciiTheme="minorHAnsi" w:eastAsia="Batang" w:hAnsiTheme="minorHAnsi" w:cs="Times New Roman"/>
          <w:sz w:val="22"/>
          <w:szCs w:val="22"/>
          <w:lang w:val="es-ES"/>
        </w:rPr>
        <w:tab/>
      </w:r>
    </w:p>
    <w:p w14:paraId="31BAFEA2" w14:textId="3252C6AC" w:rsidR="0087563F" w:rsidRPr="00C65E86" w:rsidRDefault="008F6521" w:rsidP="00491283">
      <w:pPr>
        <w:pStyle w:val="MGfulltext"/>
        <w:spacing w:after="0"/>
        <w:ind w:left="850" w:hanging="425"/>
        <w:rPr>
          <w:rFonts w:asciiTheme="minorHAnsi" w:eastAsia="Batang" w:hAnsiTheme="minorHAnsi" w:cs="Times New Roman"/>
          <w:sz w:val="22"/>
          <w:szCs w:val="22"/>
          <w:lang w:val="es-ES"/>
        </w:rPr>
      </w:pPr>
      <w:r w:rsidRPr="00C65E86">
        <w:rPr>
          <w:rFonts w:asciiTheme="minorHAnsi" w:eastAsia="Batang" w:hAnsiTheme="minorHAnsi" w:cs="Times New Roman"/>
          <w:sz w:val="22"/>
          <w:szCs w:val="22"/>
          <w:lang w:val="es-ES"/>
        </w:rPr>
        <w:t>l</w:t>
      </w:r>
      <w:r w:rsidR="00491283" w:rsidRPr="00C65E86">
        <w:rPr>
          <w:rFonts w:asciiTheme="minorHAnsi" w:eastAsia="Batang" w:hAnsiTheme="minorHAnsi" w:cs="Times New Roman"/>
          <w:sz w:val="22"/>
          <w:szCs w:val="22"/>
          <w:lang w:val="es-ES"/>
        </w:rPr>
        <w:t>.</w:t>
      </w:r>
      <w:r w:rsidR="00491283" w:rsidRPr="00C65E86">
        <w:rPr>
          <w:rFonts w:asciiTheme="minorHAnsi" w:eastAsia="Batang" w:hAnsiTheme="minorHAnsi" w:cs="Times New Roman"/>
          <w:sz w:val="22"/>
          <w:szCs w:val="22"/>
          <w:lang w:val="es-ES"/>
        </w:rPr>
        <w:tab/>
      </w:r>
      <w:r w:rsidR="0087563F" w:rsidRPr="00C65E86">
        <w:rPr>
          <w:rFonts w:asciiTheme="minorHAnsi" w:eastAsia="Batang" w:hAnsiTheme="minorHAnsi" w:cs="Times New Roman"/>
          <w:sz w:val="22"/>
          <w:szCs w:val="22"/>
          <w:lang w:val="es-ES"/>
        </w:rPr>
        <w:t xml:space="preserve">En comparación con el trienio anterior y 2022, el presupuesto </w:t>
      </w:r>
      <w:r w:rsidR="000968E4" w:rsidRPr="00C65E86">
        <w:rPr>
          <w:rFonts w:asciiTheme="minorHAnsi" w:eastAsia="Batang" w:hAnsiTheme="minorHAnsi" w:cs="Times New Roman"/>
          <w:sz w:val="22"/>
          <w:szCs w:val="22"/>
          <w:lang w:val="es-ES"/>
        </w:rPr>
        <w:t xml:space="preserve">propuesto </w:t>
      </w:r>
      <w:r w:rsidR="000968E4">
        <w:rPr>
          <w:rFonts w:asciiTheme="minorHAnsi" w:eastAsia="Batang" w:hAnsiTheme="minorHAnsi" w:cs="Times New Roman"/>
          <w:sz w:val="22"/>
          <w:szCs w:val="22"/>
          <w:lang w:val="es-ES"/>
        </w:rPr>
        <w:t>para</w:t>
      </w:r>
      <w:r w:rsidR="0087563F" w:rsidRPr="00C65E86">
        <w:rPr>
          <w:rFonts w:asciiTheme="minorHAnsi" w:eastAsia="Batang" w:hAnsiTheme="minorHAnsi" w:cs="Times New Roman"/>
          <w:sz w:val="22"/>
          <w:szCs w:val="22"/>
          <w:lang w:val="es-ES"/>
        </w:rPr>
        <w:t xml:space="preserve"> viajes se ha ajustado con una reasignación de 24</w:t>
      </w:r>
      <w:r w:rsidR="00C22D69" w:rsidRPr="00C65E86">
        <w:rPr>
          <w:rFonts w:asciiTheme="minorHAnsi" w:eastAsia="Batang" w:hAnsiTheme="minorHAnsi" w:cs="Times New Roman"/>
          <w:sz w:val="22"/>
          <w:szCs w:val="22"/>
          <w:lang w:val="es-ES"/>
        </w:rPr>
        <w:t xml:space="preserve"> 000 francos suizos,</w:t>
      </w:r>
      <w:r w:rsidR="0087563F" w:rsidRPr="00C65E86">
        <w:rPr>
          <w:rFonts w:asciiTheme="minorHAnsi" w:eastAsia="Batang" w:hAnsiTheme="minorHAnsi" w:cs="Times New Roman"/>
          <w:sz w:val="22"/>
          <w:szCs w:val="22"/>
          <w:lang w:val="es-ES"/>
        </w:rPr>
        <w:t xml:space="preserve"> de la sección presupuestaria C sobre </w:t>
      </w:r>
      <w:r w:rsidR="00C22D69" w:rsidRPr="00C65E86">
        <w:rPr>
          <w:rFonts w:asciiTheme="minorHAnsi" w:eastAsia="Batang" w:hAnsiTheme="minorHAnsi" w:cs="Times New Roman"/>
          <w:sz w:val="22"/>
          <w:szCs w:val="22"/>
          <w:lang w:val="es-ES"/>
        </w:rPr>
        <w:t>a</w:t>
      </w:r>
      <w:r w:rsidR="0087563F" w:rsidRPr="00C65E86">
        <w:rPr>
          <w:rFonts w:asciiTheme="minorHAnsi" w:eastAsia="Batang" w:hAnsiTheme="minorHAnsi" w:cs="Times New Roman"/>
          <w:sz w:val="22"/>
          <w:szCs w:val="22"/>
          <w:lang w:val="es-ES"/>
        </w:rPr>
        <w:t xml:space="preserve">sesoramiento y </w:t>
      </w:r>
      <w:r w:rsidR="00C22D69" w:rsidRPr="00C65E86">
        <w:rPr>
          <w:rFonts w:asciiTheme="minorHAnsi" w:eastAsia="Batang" w:hAnsiTheme="minorHAnsi" w:cs="Times New Roman"/>
          <w:sz w:val="22"/>
          <w:szCs w:val="22"/>
          <w:lang w:val="es-ES"/>
        </w:rPr>
        <w:t>a</w:t>
      </w:r>
      <w:r w:rsidR="0087563F" w:rsidRPr="00C65E86">
        <w:rPr>
          <w:rFonts w:asciiTheme="minorHAnsi" w:eastAsia="Batang" w:hAnsiTheme="minorHAnsi" w:cs="Times New Roman"/>
          <w:sz w:val="22"/>
          <w:szCs w:val="22"/>
          <w:lang w:val="es-ES"/>
        </w:rPr>
        <w:t xml:space="preserve">poyo </w:t>
      </w:r>
      <w:r w:rsidR="00C22D69" w:rsidRPr="00C65E86">
        <w:rPr>
          <w:rFonts w:asciiTheme="minorHAnsi" w:eastAsia="Batang" w:hAnsiTheme="minorHAnsi" w:cs="Times New Roman"/>
          <w:sz w:val="22"/>
          <w:szCs w:val="22"/>
          <w:lang w:val="es-ES"/>
        </w:rPr>
        <w:t>r</w:t>
      </w:r>
      <w:r w:rsidR="0087563F" w:rsidRPr="00C65E86">
        <w:rPr>
          <w:rFonts w:asciiTheme="minorHAnsi" w:eastAsia="Batang" w:hAnsiTheme="minorHAnsi" w:cs="Times New Roman"/>
          <w:sz w:val="22"/>
          <w:szCs w:val="22"/>
          <w:lang w:val="es-ES"/>
        </w:rPr>
        <w:t>egional</w:t>
      </w:r>
      <w:r w:rsidR="00C22D69" w:rsidRPr="00C65E86">
        <w:rPr>
          <w:rFonts w:asciiTheme="minorHAnsi" w:eastAsia="Batang" w:hAnsiTheme="minorHAnsi" w:cs="Times New Roman"/>
          <w:sz w:val="22"/>
          <w:szCs w:val="22"/>
          <w:lang w:val="es-ES"/>
        </w:rPr>
        <w:t>es</w:t>
      </w:r>
      <w:r w:rsidR="000968E4">
        <w:rPr>
          <w:rFonts w:asciiTheme="minorHAnsi" w:eastAsia="Batang" w:hAnsiTheme="minorHAnsi" w:cs="Times New Roman"/>
          <w:sz w:val="22"/>
          <w:szCs w:val="22"/>
          <w:lang w:val="es-ES"/>
        </w:rPr>
        <w:t>,</w:t>
      </w:r>
      <w:r w:rsidR="0087563F" w:rsidRPr="00C65E86">
        <w:rPr>
          <w:rFonts w:asciiTheme="minorHAnsi" w:eastAsia="Batang" w:hAnsiTheme="minorHAnsi" w:cs="Times New Roman"/>
          <w:sz w:val="22"/>
          <w:szCs w:val="22"/>
          <w:lang w:val="es-ES"/>
        </w:rPr>
        <w:t xml:space="preserve"> a la sección presupuestaria E sobre </w:t>
      </w:r>
      <w:r w:rsidR="00C22D69" w:rsidRPr="00C65E86">
        <w:rPr>
          <w:rFonts w:asciiTheme="minorHAnsi" w:eastAsia="Batang" w:hAnsiTheme="minorHAnsi" w:cs="Times New Roman"/>
          <w:sz w:val="22"/>
          <w:szCs w:val="22"/>
          <w:lang w:val="es-ES"/>
        </w:rPr>
        <w:t>c</w:t>
      </w:r>
      <w:r w:rsidR="0087563F" w:rsidRPr="00C65E86">
        <w:rPr>
          <w:rFonts w:asciiTheme="minorHAnsi" w:eastAsia="Batang" w:hAnsiTheme="minorHAnsi" w:cs="Times New Roman"/>
          <w:sz w:val="22"/>
          <w:szCs w:val="22"/>
          <w:lang w:val="es-ES"/>
        </w:rPr>
        <w:t xml:space="preserve">iencia y </w:t>
      </w:r>
      <w:r w:rsidR="00C22D69" w:rsidRPr="00C65E86">
        <w:rPr>
          <w:rFonts w:asciiTheme="minorHAnsi" w:eastAsia="Batang" w:hAnsiTheme="minorHAnsi" w:cs="Times New Roman"/>
          <w:sz w:val="22"/>
          <w:szCs w:val="22"/>
          <w:lang w:val="es-ES"/>
        </w:rPr>
        <w:t>p</w:t>
      </w:r>
      <w:r w:rsidR="0087563F" w:rsidRPr="00C65E86">
        <w:rPr>
          <w:rFonts w:asciiTheme="minorHAnsi" w:eastAsia="Batang" w:hAnsiTheme="minorHAnsi" w:cs="Times New Roman"/>
          <w:sz w:val="22"/>
          <w:szCs w:val="22"/>
          <w:lang w:val="es-ES"/>
        </w:rPr>
        <w:t>olítica</w:t>
      </w:r>
      <w:r w:rsidR="00C22D69" w:rsidRPr="00C65E86">
        <w:rPr>
          <w:rFonts w:asciiTheme="minorHAnsi" w:eastAsia="Batang" w:hAnsiTheme="minorHAnsi" w:cs="Times New Roman"/>
          <w:sz w:val="22"/>
          <w:szCs w:val="22"/>
          <w:lang w:val="es-ES"/>
        </w:rPr>
        <w:t>s</w:t>
      </w:r>
      <w:r w:rsidR="0087563F" w:rsidRPr="00C65E86">
        <w:rPr>
          <w:rFonts w:asciiTheme="minorHAnsi" w:eastAsia="Batang" w:hAnsiTheme="minorHAnsi" w:cs="Times New Roman"/>
          <w:sz w:val="22"/>
          <w:szCs w:val="22"/>
          <w:lang w:val="es-ES"/>
        </w:rPr>
        <w:t xml:space="preserve">, de </w:t>
      </w:r>
      <w:r w:rsidR="000968E4">
        <w:rPr>
          <w:rFonts w:asciiTheme="minorHAnsi" w:eastAsia="Batang" w:hAnsiTheme="minorHAnsi" w:cs="Times New Roman"/>
          <w:sz w:val="22"/>
          <w:szCs w:val="22"/>
          <w:lang w:val="es-ES"/>
        </w:rPr>
        <w:t>conformidad</w:t>
      </w:r>
      <w:r w:rsidR="0087563F" w:rsidRPr="00C65E86">
        <w:rPr>
          <w:rFonts w:asciiTheme="minorHAnsi" w:eastAsia="Batang" w:hAnsiTheme="minorHAnsi" w:cs="Times New Roman"/>
          <w:sz w:val="22"/>
          <w:szCs w:val="22"/>
          <w:lang w:val="es-ES"/>
        </w:rPr>
        <w:t xml:space="preserve"> con los requisitos del plan de trabajo de la Secretaría. El presupuesto general de viajes sigue siendo el mismo que </w:t>
      </w:r>
      <w:r w:rsidR="00C22D69" w:rsidRPr="00C65E86">
        <w:rPr>
          <w:rFonts w:asciiTheme="minorHAnsi" w:eastAsia="Batang" w:hAnsiTheme="minorHAnsi" w:cs="Times New Roman"/>
          <w:sz w:val="22"/>
          <w:szCs w:val="22"/>
          <w:lang w:val="es-ES"/>
        </w:rPr>
        <w:t>el</w:t>
      </w:r>
      <w:r w:rsidR="0087563F" w:rsidRPr="00C65E86">
        <w:rPr>
          <w:rFonts w:asciiTheme="minorHAnsi" w:eastAsia="Batang" w:hAnsiTheme="minorHAnsi" w:cs="Times New Roman"/>
          <w:sz w:val="22"/>
          <w:szCs w:val="22"/>
          <w:lang w:val="es-ES"/>
        </w:rPr>
        <w:t xml:space="preserve"> </w:t>
      </w:r>
      <w:r w:rsidR="00C22D69" w:rsidRPr="00C65E86">
        <w:rPr>
          <w:rFonts w:asciiTheme="minorHAnsi" w:eastAsia="Batang" w:hAnsiTheme="minorHAnsi" w:cs="Times New Roman"/>
          <w:sz w:val="22"/>
          <w:szCs w:val="22"/>
          <w:lang w:val="es-ES"/>
        </w:rPr>
        <w:t>d</w:t>
      </w:r>
      <w:r w:rsidR="0087563F" w:rsidRPr="00C65E86">
        <w:rPr>
          <w:rFonts w:asciiTheme="minorHAnsi" w:eastAsia="Batang" w:hAnsiTheme="minorHAnsi" w:cs="Times New Roman"/>
          <w:sz w:val="22"/>
          <w:szCs w:val="22"/>
          <w:lang w:val="es-ES"/>
        </w:rPr>
        <w:t>el trienio 2019-2021 y representa el 3</w:t>
      </w:r>
      <w:r w:rsidR="00C22D69" w:rsidRPr="00C65E86">
        <w:rPr>
          <w:rFonts w:asciiTheme="minorHAnsi" w:eastAsia="Batang" w:hAnsiTheme="minorHAnsi" w:cs="Times New Roman"/>
          <w:sz w:val="22"/>
          <w:szCs w:val="22"/>
          <w:lang w:val="es-ES"/>
        </w:rPr>
        <w:t xml:space="preserve"> </w:t>
      </w:r>
      <w:r w:rsidR="0087563F" w:rsidRPr="00C65E86">
        <w:rPr>
          <w:rFonts w:asciiTheme="minorHAnsi" w:eastAsia="Batang" w:hAnsiTheme="minorHAnsi" w:cs="Times New Roman"/>
          <w:sz w:val="22"/>
          <w:szCs w:val="22"/>
          <w:lang w:val="es-ES"/>
        </w:rPr>
        <w:t>% del presupuesto básico total.</w:t>
      </w:r>
    </w:p>
    <w:p w14:paraId="4F2E92B5" w14:textId="34165A4E" w:rsidR="001F43AF" w:rsidRPr="00C65E86" w:rsidRDefault="001F43AF" w:rsidP="00C22D69">
      <w:pPr>
        <w:pStyle w:val="MGfulltext"/>
        <w:spacing w:after="0"/>
        <w:rPr>
          <w:rFonts w:asciiTheme="minorHAnsi" w:eastAsia="Batang" w:hAnsiTheme="minorHAnsi" w:cs="Times New Roman"/>
          <w:sz w:val="22"/>
          <w:szCs w:val="22"/>
          <w:lang w:val="es-ES"/>
        </w:rPr>
      </w:pPr>
      <w:r w:rsidRPr="00C65E86">
        <w:rPr>
          <w:rFonts w:asciiTheme="minorHAnsi" w:eastAsia="Batang" w:hAnsiTheme="minorHAnsi" w:cs="Times New Roman"/>
          <w:sz w:val="22"/>
          <w:szCs w:val="22"/>
          <w:lang w:val="es-ES"/>
        </w:rPr>
        <w:tab/>
      </w:r>
    </w:p>
    <w:p w14:paraId="66783230" w14:textId="7A22121B" w:rsidR="00C22D69" w:rsidRPr="00C65E86" w:rsidRDefault="008F6521" w:rsidP="00491283">
      <w:pPr>
        <w:pStyle w:val="MGfulltext"/>
        <w:spacing w:after="0"/>
        <w:ind w:left="850" w:hanging="425"/>
        <w:rPr>
          <w:rFonts w:asciiTheme="minorHAnsi" w:eastAsia="Batang" w:hAnsiTheme="minorHAnsi" w:cs="Times New Roman"/>
          <w:sz w:val="22"/>
          <w:szCs w:val="22"/>
          <w:lang w:val="es-ES"/>
        </w:rPr>
      </w:pPr>
      <w:r w:rsidRPr="00C65E86">
        <w:rPr>
          <w:rFonts w:asciiTheme="minorHAnsi" w:eastAsia="Batang" w:hAnsiTheme="minorHAnsi" w:cs="Times New Roman"/>
          <w:sz w:val="22"/>
          <w:szCs w:val="22"/>
          <w:lang w:val="es-ES"/>
        </w:rPr>
        <w:t>m</w:t>
      </w:r>
      <w:r w:rsidR="00491283" w:rsidRPr="00C65E86">
        <w:rPr>
          <w:rFonts w:asciiTheme="minorHAnsi" w:eastAsia="Batang" w:hAnsiTheme="minorHAnsi" w:cs="Times New Roman"/>
          <w:sz w:val="22"/>
          <w:szCs w:val="22"/>
          <w:lang w:val="es-ES"/>
        </w:rPr>
        <w:t>.</w:t>
      </w:r>
      <w:r w:rsidR="00491283" w:rsidRPr="00C65E86">
        <w:rPr>
          <w:rFonts w:asciiTheme="minorHAnsi" w:eastAsia="Batang" w:hAnsiTheme="minorHAnsi" w:cs="Times New Roman"/>
          <w:sz w:val="22"/>
          <w:szCs w:val="22"/>
          <w:lang w:val="es-ES"/>
        </w:rPr>
        <w:tab/>
      </w:r>
      <w:r w:rsidR="00C22D69" w:rsidRPr="00C65E86">
        <w:rPr>
          <w:rFonts w:asciiTheme="minorHAnsi" w:eastAsia="Batang" w:hAnsiTheme="minorHAnsi" w:cs="Times New Roman"/>
          <w:sz w:val="22"/>
          <w:szCs w:val="22"/>
          <w:lang w:val="es-ES"/>
        </w:rPr>
        <w:t xml:space="preserve">Al igual que en el trienio 2019-2023 y en 2022, se presupuestan 100 000 francos suizos anuales </w:t>
      </w:r>
      <w:r w:rsidR="000968E4">
        <w:rPr>
          <w:rFonts w:asciiTheme="minorHAnsi" w:eastAsia="Batang" w:hAnsiTheme="minorHAnsi" w:cs="Times New Roman"/>
          <w:sz w:val="22"/>
          <w:szCs w:val="22"/>
          <w:lang w:val="es-ES"/>
        </w:rPr>
        <w:t>para financiar</w:t>
      </w:r>
      <w:r w:rsidR="00C22D69" w:rsidRPr="00C65E86">
        <w:rPr>
          <w:rFonts w:asciiTheme="minorHAnsi" w:eastAsia="Batang" w:hAnsiTheme="minorHAnsi" w:cs="Times New Roman"/>
          <w:sz w:val="22"/>
          <w:szCs w:val="22"/>
          <w:lang w:val="es-ES"/>
        </w:rPr>
        <w:t xml:space="preserve"> la puesta en marcha de iniciativas regionales de Ramsar.</w:t>
      </w:r>
    </w:p>
    <w:p w14:paraId="15DF701B" w14:textId="1A3E25E4" w:rsidR="00D4581F" w:rsidRPr="00C65E86" w:rsidRDefault="00D4581F" w:rsidP="00AB66EB">
      <w:pPr>
        <w:pStyle w:val="MGfulltext"/>
        <w:spacing w:after="0"/>
        <w:rPr>
          <w:rFonts w:asciiTheme="minorHAnsi" w:eastAsia="Batang" w:hAnsiTheme="minorHAnsi" w:cs="Times New Roman"/>
          <w:sz w:val="22"/>
          <w:szCs w:val="22"/>
          <w:lang w:val="es-ES"/>
        </w:rPr>
      </w:pPr>
    </w:p>
    <w:p w14:paraId="5D404915" w14:textId="72B0D9F9" w:rsidR="00491283" w:rsidRPr="00C65E86" w:rsidRDefault="00AB66EB" w:rsidP="00D4581F">
      <w:pPr>
        <w:pStyle w:val="MGfulltext"/>
        <w:spacing w:after="0"/>
        <w:ind w:left="850" w:hanging="425"/>
        <w:rPr>
          <w:rFonts w:asciiTheme="minorHAnsi" w:eastAsia="Batang" w:hAnsiTheme="minorHAnsi" w:cs="Times New Roman"/>
          <w:i/>
          <w:sz w:val="22"/>
          <w:szCs w:val="22"/>
          <w:u w:val="single"/>
          <w:lang w:val="es-ES"/>
        </w:rPr>
      </w:pPr>
      <w:r w:rsidRPr="00C65E86">
        <w:rPr>
          <w:rFonts w:asciiTheme="minorHAnsi" w:eastAsia="Batang" w:hAnsiTheme="minorHAnsi" w:cs="Times New Roman"/>
          <w:i/>
          <w:sz w:val="22"/>
          <w:szCs w:val="22"/>
          <w:u w:val="single"/>
          <w:lang w:val="es-ES"/>
        </w:rPr>
        <w:t>Fondo de reserva</w:t>
      </w:r>
    </w:p>
    <w:p w14:paraId="15402A13" w14:textId="77777777" w:rsidR="00491283" w:rsidRPr="00C65E86" w:rsidRDefault="00491283" w:rsidP="00D4581F">
      <w:pPr>
        <w:pStyle w:val="MGfulltext"/>
        <w:spacing w:after="0"/>
        <w:ind w:left="850" w:hanging="425"/>
        <w:rPr>
          <w:rFonts w:asciiTheme="minorHAnsi" w:eastAsia="Batang" w:hAnsiTheme="minorHAnsi" w:cs="Times New Roman"/>
          <w:sz w:val="22"/>
          <w:szCs w:val="22"/>
          <w:lang w:val="es-ES"/>
        </w:rPr>
      </w:pPr>
    </w:p>
    <w:p w14:paraId="1690C90F" w14:textId="071B9E51" w:rsidR="00031A21" w:rsidRPr="00C65E86" w:rsidRDefault="007F2DFF" w:rsidP="00933C52">
      <w:pPr>
        <w:pStyle w:val="MGfulltext"/>
        <w:spacing w:after="0"/>
        <w:ind w:left="850" w:hanging="425"/>
        <w:rPr>
          <w:rFonts w:asciiTheme="minorHAnsi" w:eastAsia="Batang" w:hAnsiTheme="minorHAnsi" w:cs="Times New Roman"/>
          <w:sz w:val="22"/>
          <w:szCs w:val="22"/>
          <w:lang w:val="es-ES"/>
        </w:rPr>
      </w:pPr>
      <w:r w:rsidRPr="00C65E86">
        <w:rPr>
          <w:rFonts w:asciiTheme="minorHAnsi" w:eastAsia="Batang" w:hAnsiTheme="minorHAnsi" w:cs="Times New Roman"/>
          <w:sz w:val="22"/>
          <w:szCs w:val="22"/>
          <w:lang w:val="es-ES"/>
        </w:rPr>
        <w:t>n</w:t>
      </w:r>
      <w:r w:rsidR="00933C52" w:rsidRPr="00C65E86">
        <w:rPr>
          <w:rFonts w:asciiTheme="minorHAnsi" w:eastAsia="Batang" w:hAnsiTheme="minorHAnsi" w:cs="Times New Roman"/>
          <w:sz w:val="22"/>
          <w:szCs w:val="22"/>
          <w:lang w:val="es-ES"/>
        </w:rPr>
        <w:t>.</w:t>
      </w:r>
      <w:r w:rsidR="00933C52" w:rsidRPr="00C65E86">
        <w:rPr>
          <w:rFonts w:asciiTheme="minorHAnsi" w:eastAsia="Batang" w:hAnsiTheme="minorHAnsi" w:cs="Times New Roman"/>
          <w:sz w:val="22"/>
          <w:szCs w:val="22"/>
          <w:lang w:val="es-ES"/>
        </w:rPr>
        <w:tab/>
      </w:r>
      <w:r w:rsidR="00031A21" w:rsidRPr="00C65E86">
        <w:rPr>
          <w:rFonts w:asciiTheme="minorHAnsi" w:eastAsia="Batang" w:hAnsiTheme="minorHAnsi" w:cs="Times New Roman"/>
          <w:sz w:val="22"/>
          <w:szCs w:val="22"/>
          <w:lang w:val="es-ES"/>
        </w:rPr>
        <w:t xml:space="preserve">En la COP11, </w:t>
      </w:r>
      <w:r w:rsidR="008151CD" w:rsidRPr="00C65E86">
        <w:rPr>
          <w:rFonts w:asciiTheme="minorHAnsi" w:eastAsia="Batang" w:hAnsiTheme="minorHAnsi" w:cs="Times New Roman"/>
          <w:sz w:val="22"/>
          <w:szCs w:val="22"/>
          <w:lang w:val="es-ES"/>
        </w:rPr>
        <w:t xml:space="preserve">en el párrafo 21 c) de </w:t>
      </w:r>
      <w:r w:rsidR="00031A21" w:rsidRPr="00C65E86">
        <w:rPr>
          <w:rFonts w:asciiTheme="minorHAnsi" w:eastAsia="Batang" w:hAnsiTheme="minorHAnsi" w:cs="Times New Roman"/>
          <w:sz w:val="22"/>
          <w:szCs w:val="22"/>
          <w:lang w:val="es-ES"/>
        </w:rPr>
        <w:t xml:space="preserve">la Resolución XI.2 sobre </w:t>
      </w:r>
      <w:r w:rsidR="00477D67" w:rsidRPr="00C65E86">
        <w:rPr>
          <w:rFonts w:asciiTheme="minorHAnsi" w:eastAsia="Batang" w:hAnsiTheme="minorHAnsi" w:cs="Times New Roman"/>
          <w:i/>
          <w:iCs/>
          <w:sz w:val="22"/>
          <w:szCs w:val="22"/>
          <w:lang w:val="es-ES"/>
        </w:rPr>
        <w:t>Cuestiones</w:t>
      </w:r>
      <w:r w:rsidR="00031A21" w:rsidRPr="00C65E86">
        <w:rPr>
          <w:rFonts w:asciiTheme="minorHAnsi" w:eastAsia="Batang" w:hAnsiTheme="minorHAnsi" w:cs="Times New Roman"/>
          <w:i/>
          <w:iCs/>
          <w:sz w:val="22"/>
          <w:szCs w:val="22"/>
          <w:lang w:val="es-ES"/>
        </w:rPr>
        <w:t xml:space="preserve"> </w:t>
      </w:r>
      <w:r w:rsidR="00477D67" w:rsidRPr="00C65E86">
        <w:rPr>
          <w:rFonts w:asciiTheme="minorHAnsi" w:eastAsia="Batang" w:hAnsiTheme="minorHAnsi" w:cs="Times New Roman"/>
          <w:i/>
          <w:iCs/>
          <w:sz w:val="22"/>
          <w:szCs w:val="22"/>
          <w:lang w:val="es-ES"/>
        </w:rPr>
        <w:t>f</w:t>
      </w:r>
      <w:r w:rsidR="00031A21" w:rsidRPr="00C65E86">
        <w:rPr>
          <w:rFonts w:asciiTheme="minorHAnsi" w:eastAsia="Batang" w:hAnsiTheme="minorHAnsi" w:cs="Times New Roman"/>
          <w:i/>
          <w:iCs/>
          <w:sz w:val="22"/>
          <w:szCs w:val="22"/>
          <w:lang w:val="es-ES"/>
        </w:rPr>
        <w:t>inancier</w:t>
      </w:r>
      <w:r w:rsidR="00477D67" w:rsidRPr="00C65E86">
        <w:rPr>
          <w:rFonts w:asciiTheme="minorHAnsi" w:eastAsia="Batang" w:hAnsiTheme="minorHAnsi" w:cs="Times New Roman"/>
          <w:i/>
          <w:iCs/>
          <w:sz w:val="22"/>
          <w:szCs w:val="22"/>
          <w:lang w:val="es-ES"/>
        </w:rPr>
        <w:t>as</w:t>
      </w:r>
      <w:r w:rsidR="00031A21" w:rsidRPr="00C65E86">
        <w:rPr>
          <w:rFonts w:asciiTheme="minorHAnsi" w:eastAsia="Batang" w:hAnsiTheme="minorHAnsi" w:cs="Times New Roman"/>
          <w:i/>
          <w:iCs/>
          <w:sz w:val="22"/>
          <w:szCs w:val="22"/>
          <w:lang w:val="es-ES"/>
        </w:rPr>
        <w:t xml:space="preserve"> y </w:t>
      </w:r>
      <w:r w:rsidR="00477D67" w:rsidRPr="00C65E86">
        <w:rPr>
          <w:rFonts w:asciiTheme="minorHAnsi" w:eastAsia="Batang" w:hAnsiTheme="minorHAnsi" w:cs="Times New Roman"/>
          <w:i/>
          <w:iCs/>
          <w:sz w:val="22"/>
          <w:szCs w:val="22"/>
          <w:lang w:val="es-ES"/>
        </w:rPr>
        <w:t>p</w:t>
      </w:r>
      <w:r w:rsidR="00031A21" w:rsidRPr="00C65E86">
        <w:rPr>
          <w:rFonts w:asciiTheme="minorHAnsi" w:eastAsia="Batang" w:hAnsiTheme="minorHAnsi" w:cs="Times New Roman"/>
          <w:i/>
          <w:iCs/>
          <w:sz w:val="22"/>
          <w:szCs w:val="22"/>
          <w:lang w:val="es-ES"/>
        </w:rPr>
        <w:t>resupuestari</w:t>
      </w:r>
      <w:r w:rsidR="00477D67" w:rsidRPr="00C65E86">
        <w:rPr>
          <w:rFonts w:asciiTheme="minorHAnsi" w:eastAsia="Batang" w:hAnsiTheme="minorHAnsi" w:cs="Times New Roman"/>
          <w:i/>
          <w:iCs/>
          <w:sz w:val="22"/>
          <w:szCs w:val="22"/>
          <w:lang w:val="es-ES"/>
        </w:rPr>
        <w:t>a</w:t>
      </w:r>
      <w:r w:rsidR="00031A21" w:rsidRPr="00C65E86">
        <w:rPr>
          <w:rFonts w:asciiTheme="minorHAnsi" w:eastAsia="Batang" w:hAnsiTheme="minorHAnsi" w:cs="Times New Roman"/>
          <w:i/>
          <w:iCs/>
          <w:sz w:val="22"/>
          <w:szCs w:val="22"/>
          <w:lang w:val="es-ES"/>
        </w:rPr>
        <w:t>s</w:t>
      </w:r>
      <w:r w:rsidR="008151CD" w:rsidRPr="00C65E86">
        <w:rPr>
          <w:rFonts w:asciiTheme="minorHAnsi" w:eastAsia="Batang" w:hAnsiTheme="minorHAnsi" w:cs="Times New Roman"/>
          <w:sz w:val="22"/>
          <w:szCs w:val="22"/>
          <w:lang w:val="es-ES"/>
        </w:rPr>
        <w:t xml:space="preserve"> </w:t>
      </w:r>
      <w:r w:rsidR="00031A21" w:rsidRPr="00C65E86">
        <w:rPr>
          <w:rFonts w:asciiTheme="minorHAnsi" w:eastAsia="Batang" w:hAnsiTheme="minorHAnsi" w:cs="Times New Roman"/>
          <w:sz w:val="22"/>
          <w:szCs w:val="22"/>
          <w:lang w:val="es-ES"/>
        </w:rPr>
        <w:t xml:space="preserve">se decidió que los fondos de reserva deben </w:t>
      </w:r>
      <w:r w:rsidR="008151CD" w:rsidRPr="00C65E86">
        <w:rPr>
          <w:rFonts w:asciiTheme="minorHAnsi" w:eastAsia="Batang" w:hAnsiTheme="minorHAnsi" w:cs="Times New Roman"/>
          <w:sz w:val="22"/>
          <w:szCs w:val="22"/>
          <w:lang w:val="es-ES"/>
        </w:rPr>
        <w:t xml:space="preserve">oscilar </w:t>
      </w:r>
      <w:r w:rsidR="00031A21" w:rsidRPr="00C65E86">
        <w:rPr>
          <w:rFonts w:asciiTheme="minorHAnsi" w:eastAsia="Batang" w:hAnsiTheme="minorHAnsi" w:cs="Times New Roman"/>
          <w:sz w:val="22"/>
          <w:szCs w:val="22"/>
          <w:lang w:val="es-ES"/>
        </w:rPr>
        <w:t>entre el 6</w:t>
      </w:r>
      <w:r w:rsidR="008151CD" w:rsidRPr="00C65E86">
        <w:rPr>
          <w:rFonts w:asciiTheme="minorHAnsi" w:eastAsia="Batang" w:hAnsiTheme="minorHAnsi" w:cs="Times New Roman"/>
          <w:sz w:val="22"/>
          <w:szCs w:val="22"/>
          <w:lang w:val="es-ES"/>
        </w:rPr>
        <w:t xml:space="preserve"> </w:t>
      </w:r>
      <w:r w:rsidR="00031A21" w:rsidRPr="00C65E86">
        <w:rPr>
          <w:rFonts w:asciiTheme="minorHAnsi" w:eastAsia="Batang" w:hAnsiTheme="minorHAnsi" w:cs="Times New Roman"/>
          <w:sz w:val="22"/>
          <w:szCs w:val="22"/>
          <w:lang w:val="es-ES"/>
        </w:rPr>
        <w:t>% y el 15</w:t>
      </w:r>
      <w:r w:rsidR="008151CD" w:rsidRPr="00C65E86">
        <w:rPr>
          <w:rFonts w:asciiTheme="minorHAnsi" w:eastAsia="Batang" w:hAnsiTheme="minorHAnsi" w:cs="Times New Roman"/>
          <w:sz w:val="22"/>
          <w:szCs w:val="22"/>
          <w:lang w:val="es-ES"/>
        </w:rPr>
        <w:t xml:space="preserve"> </w:t>
      </w:r>
      <w:r w:rsidR="00031A21" w:rsidRPr="00C65E86">
        <w:rPr>
          <w:rFonts w:asciiTheme="minorHAnsi" w:eastAsia="Batang" w:hAnsiTheme="minorHAnsi" w:cs="Times New Roman"/>
          <w:sz w:val="22"/>
          <w:szCs w:val="22"/>
          <w:lang w:val="es-ES"/>
        </w:rPr>
        <w:t xml:space="preserve">% del presupuesto básico anual. </w:t>
      </w:r>
      <w:r w:rsidR="008151CD" w:rsidRPr="00C65E86">
        <w:rPr>
          <w:rFonts w:asciiTheme="minorHAnsi" w:eastAsia="Batang" w:hAnsiTheme="minorHAnsi" w:cs="Times New Roman"/>
          <w:sz w:val="22"/>
          <w:szCs w:val="22"/>
          <w:lang w:val="es-ES"/>
        </w:rPr>
        <w:t xml:space="preserve">Dado que actualmente </w:t>
      </w:r>
      <w:r w:rsidR="00031A21" w:rsidRPr="00C65E86">
        <w:rPr>
          <w:rFonts w:asciiTheme="minorHAnsi" w:eastAsia="Batang" w:hAnsiTheme="minorHAnsi" w:cs="Times New Roman"/>
          <w:sz w:val="22"/>
          <w:szCs w:val="22"/>
          <w:lang w:val="es-ES"/>
        </w:rPr>
        <w:t xml:space="preserve">el fondo de reserva está en su máximo, es decir, </w:t>
      </w:r>
      <w:r w:rsidR="008151CD" w:rsidRPr="00C65E86">
        <w:rPr>
          <w:rFonts w:asciiTheme="minorHAnsi" w:eastAsia="Batang" w:hAnsiTheme="minorHAnsi" w:cs="Times New Roman"/>
          <w:sz w:val="22"/>
          <w:szCs w:val="22"/>
          <w:lang w:val="es-ES"/>
        </w:rPr>
        <w:t xml:space="preserve">en </w:t>
      </w:r>
      <w:r w:rsidR="00031A21" w:rsidRPr="00C65E86">
        <w:rPr>
          <w:rFonts w:asciiTheme="minorHAnsi" w:eastAsia="Batang" w:hAnsiTheme="minorHAnsi" w:cs="Times New Roman"/>
          <w:sz w:val="22"/>
          <w:szCs w:val="22"/>
          <w:lang w:val="es-ES"/>
        </w:rPr>
        <w:t>el 15</w:t>
      </w:r>
      <w:r w:rsidR="008151CD" w:rsidRPr="00C65E86">
        <w:rPr>
          <w:rFonts w:asciiTheme="minorHAnsi" w:eastAsia="Batang" w:hAnsiTheme="minorHAnsi" w:cs="Times New Roman"/>
          <w:sz w:val="22"/>
          <w:szCs w:val="22"/>
          <w:lang w:val="es-ES"/>
        </w:rPr>
        <w:t xml:space="preserve"> </w:t>
      </w:r>
      <w:r w:rsidR="00031A21" w:rsidRPr="00C65E86">
        <w:rPr>
          <w:rFonts w:asciiTheme="minorHAnsi" w:eastAsia="Batang" w:hAnsiTheme="minorHAnsi" w:cs="Times New Roman"/>
          <w:sz w:val="22"/>
          <w:szCs w:val="22"/>
          <w:lang w:val="es-ES"/>
        </w:rPr>
        <w:t>% del presupuesto básico anual, no hay ninguna provisión de reserva presupuestada para el trienio 2023-2025.</w:t>
      </w:r>
    </w:p>
    <w:p w14:paraId="543BE4F2" w14:textId="7F716E82" w:rsidR="00C4610D" w:rsidRPr="00C65E86" w:rsidRDefault="00C4610D" w:rsidP="008151CD">
      <w:pPr>
        <w:ind w:left="0" w:firstLine="0"/>
        <w:rPr>
          <w:rFonts w:asciiTheme="minorHAnsi" w:eastAsia="Batang" w:hAnsiTheme="minorHAnsi"/>
          <w:lang w:val="es-ES"/>
        </w:rPr>
      </w:pPr>
    </w:p>
    <w:p w14:paraId="3DA9740D" w14:textId="5D9A7BBF" w:rsidR="00491283" w:rsidRPr="00C65E86" w:rsidRDefault="00491283" w:rsidP="00933C52">
      <w:pPr>
        <w:pStyle w:val="ListParagraph"/>
        <w:ind w:left="850"/>
        <w:rPr>
          <w:rFonts w:asciiTheme="minorHAnsi" w:eastAsia="Batang" w:hAnsiTheme="minorHAnsi"/>
          <w:i/>
          <w:u w:val="single"/>
          <w:lang w:val="es-ES"/>
        </w:rPr>
      </w:pPr>
      <w:r w:rsidRPr="00C65E86">
        <w:rPr>
          <w:rFonts w:asciiTheme="minorHAnsi" w:eastAsia="Batang" w:hAnsiTheme="minorHAnsi"/>
          <w:bCs/>
          <w:i/>
          <w:u w:val="single"/>
          <w:lang w:val="es-ES" w:eastAsia="ko-KR"/>
        </w:rPr>
        <w:t>Provision</w:t>
      </w:r>
      <w:r w:rsidR="008151CD" w:rsidRPr="00C65E86">
        <w:rPr>
          <w:rFonts w:asciiTheme="minorHAnsi" w:eastAsia="Batang" w:hAnsiTheme="minorHAnsi"/>
          <w:bCs/>
          <w:i/>
          <w:u w:val="single"/>
          <w:lang w:val="es-ES" w:eastAsia="ko-KR"/>
        </w:rPr>
        <w:t>e</w:t>
      </w:r>
      <w:r w:rsidRPr="00C65E86">
        <w:rPr>
          <w:rFonts w:asciiTheme="minorHAnsi" w:eastAsia="Batang" w:hAnsiTheme="minorHAnsi"/>
          <w:bCs/>
          <w:i/>
          <w:u w:val="single"/>
          <w:lang w:val="es-ES" w:eastAsia="ko-KR"/>
        </w:rPr>
        <w:t>s</w:t>
      </w:r>
    </w:p>
    <w:p w14:paraId="1CDAFF1F" w14:textId="77777777" w:rsidR="00491283" w:rsidRPr="00C65E86" w:rsidRDefault="00491283" w:rsidP="00933C52">
      <w:pPr>
        <w:pStyle w:val="ListParagraph"/>
        <w:ind w:left="850"/>
        <w:rPr>
          <w:rFonts w:asciiTheme="minorHAnsi" w:eastAsia="Batang" w:hAnsiTheme="minorHAnsi"/>
          <w:lang w:val="es-ES"/>
        </w:rPr>
      </w:pPr>
    </w:p>
    <w:p w14:paraId="71CB8404" w14:textId="769E9BD0" w:rsidR="008151CD" w:rsidRPr="00C65E86" w:rsidRDefault="007F2DFF" w:rsidP="00933C52">
      <w:pPr>
        <w:ind w:left="850"/>
        <w:rPr>
          <w:rFonts w:asciiTheme="minorHAnsi" w:eastAsia="Batang" w:hAnsiTheme="minorHAnsi"/>
          <w:bCs/>
          <w:lang w:val="es-ES" w:eastAsia="ko-KR"/>
        </w:rPr>
      </w:pPr>
      <w:r w:rsidRPr="00C65E86">
        <w:rPr>
          <w:rFonts w:asciiTheme="minorHAnsi" w:eastAsia="Batang" w:hAnsiTheme="minorHAnsi"/>
          <w:bCs/>
          <w:lang w:val="es-ES" w:eastAsia="ko-KR"/>
        </w:rPr>
        <w:t>o</w:t>
      </w:r>
      <w:r w:rsidR="00933C52" w:rsidRPr="00C65E86">
        <w:rPr>
          <w:rFonts w:asciiTheme="minorHAnsi" w:eastAsia="Batang" w:hAnsiTheme="minorHAnsi"/>
          <w:bCs/>
          <w:lang w:val="es-ES" w:eastAsia="ko-KR"/>
        </w:rPr>
        <w:t>.</w:t>
      </w:r>
      <w:r w:rsidR="00933C52" w:rsidRPr="00C65E86">
        <w:rPr>
          <w:rFonts w:asciiTheme="minorHAnsi" w:eastAsia="Batang" w:hAnsiTheme="minorHAnsi"/>
          <w:bCs/>
          <w:lang w:val="es-ES" w:eastAsia="ko-KR"/>
        </w:rPr>
        <w:tab/>
      </w:r>
      <w:r w:rsidR="008151CD" w:rsidRPr="00C65E86">
        <w:rPr>
          <w:rFonts w:asciiTheme="minorHAnsi" w:eastAsia="Batang" w:hAnsiTheme="minorHAnsi"/>
          <w:bCs/>
          <w:lang w:val="es-ES" w:eastAsia="ko-KR"/>
        </w:rPr>
        <w:t xml:space="preserve">El monto asignado para provisiones en el trienio anterior se ha mantenido en el proyecto de presupuesto para el trienio 2023-2025. Sin embargo, de conformidad con la Decisión SC58-31 del Comité Permanente, las provisiones se presentan en dos partidas presupuestarias separadas: a) “provisiones de personal”; y b) “provisión para contribuciones pendientes”. Sobre la base de la utilización media de las provisiones de personal en el trienio 2019-2021, el importe de 50 000 francos suizos </w:t>
      </w:r>
      <w:r w:rsidR="00DB3120" w:rsidRPr="00C65E86">
        <w:rPr>
          <w:rFonts w:asciiTheme="minorHAnsi" w:eastAsia="Batang" w:hAnsiTheme="minorHAnsi"/>
          <w:bCs/>
          <w:lang w:val="es-ES" w:eastAsia="ko-KR"/>
        </w:rPr>
        <w:t xml:space="preserve">asignado </w:t>
      </w:r>
      <w:r w:rsidR="008151CD" w:rsidRPr="00C65E86">
        <w:rPr>
          <w:rFonts w:asciiTheme="minorHAnsi" w:eastAsia="Batang" w:hAnsiTheme="minorHAnsi"/>
          <w:bCs/>
          <w:lang w:val="es-ES" w:eastAsia="ko-KR"/>
        </w:rPr>
        <w:t xml:space="preserve">para el nuevo trienio se </w:t>
      </w:r>
      <w:r w:rsidR="00DB3120" w:rsidRPr="00C65E86">
        <w:rPr>
          <w:rFonts w:asciiTheme="minorHAnsi" w:eastAsia="Batang" w:hAnsiTheme="minorHAnsi"/>
          <w:bCs/>
          <w:lang w:val="es-ES" w:eastAsia="ko-KR"/>
        </w:rPr>
        <w:t>desglosa como sigue:</w:t>
      </w:r>
      <w:r w:rsidR="008151CD" w:rsidRPr="00C65E86">
        <w:rPr>
          <w:rFonts w:asciiTheme="minorHAnsi" w:eastAsia="Batang" w:hAnsiTheme="minorHAnsi"/>
          <w:bCs/>
          <w:lang w:val="es-ES" w:eastAsia="ko-KR"/>
        </w:rPr>
        <w:t xml:space="preserve"> 20 000 francos suizos </w:t>
      </w:r>
      <w:r w:rsidR="00003649">
        <w:rPr>
          <w:rFonts w:asciiTheme="minorHAnsi" w:eastAsia="Batang" w:hAnsiTheme="minorHAnsi"/>
          <w:bCs/>
          <w:lang w:val="es-ES" w:eastAsia="ko-KR"/>
        </w:rPr>
        <w:t>de provisión para</w:t>
      </w:r>
      <w:r w:rsidR="008151CD" w:rsidRPr="00C65E86">
        <w:rPr>
          <w:rFonts w:asciiTheme="minorHAnsi" w:eastAsia="Batang" w:hAnsiTheme="minorHAnsi"/>
          <w:bCs/>
          <w:lang w:val="es-ES" w:eastAsia="ko-KR"/>
        </w:rPr>
        <w:t xml:space="preserve"> personal y 30 000 francos suizos </w:t>
      </w:r>
      <w:r w:rsidR="00DB3120" w:rsidRPr="00C65E86">
        <w:rPr>
          <w:rFonts w:asciiTheme="minorHAnsi" w:eastAsia="Batang" w:hAnsiTheme="minorHAnsi"/>
          <w:bCs/>
          <w:lang w:val="es-ES" w:eastAsia="ko-KR"/>
        </w:rPr>
        <w:t>de</w:t>
      </w:r>
      <w:r w:rsidR="008151CD" w:rsidRPr="00C65E86">
        <w:rPr>
          <w:rFonts w:asciiTheme="minorHAnsi" w:eastAsia="Batang" w:hAnsiTheme="minorHAnsi"/>
          <w:bCs/>
          <w:lang w:val="es-ES" w:eastAsia="ko-KR"/>
        </w:rPr>
        <w:t xml:space="preserve"> provisión para contribuciones pendientes.</w:t>
      </w:r>
    </w:p>
    <w:p w14:paraId="40132378" w14:textId="0BF702C5" w:rsidR="00D4581F" w:rsidRPr="00C65E86" w:rsidRDefault="00D4581F" w:rsidP="004F0479">
      <w:pPr>
        <w:pStyle w:val="MGfulltext"/>
        <w:spacing w:after="0"/>
        <w:rPr>
          <w:rFonts w:asciiTheme="minorHAnsi" w:eastAsia="Batang" w:hAnsiTheme="minorHAnsi" w:cs="Times New Roman"/>
          <w:sz w:val="22"/>
          <w:szCs w:val="22"/>
          <w:lang w:val="es-ES"/>
        </w:rPr>
      </w:pPr>
    </w:p>
    <w:p w14:paraId="67478D6A" w14:textId="06C9509C" w:rsidR="004F0479" w:rsidRPr="00C65E86" w:rsidRDefault="007F2DFF" w:rsidP="00491283">
      <w:pPr>
        <w:pStyle w:val="MGfulltext"/>
        <w:spacing w:after="0"/>
        <w:ind w:left="850" w:hanging="424"/>
        <w:rPr>
          <w:rFonts w:asciiTheme="minorHAnsi" w:eastAsia="Batang" w:hAnsiTheme="minorHAnsi" w:cs="Times New Roman"/>
          <w:sz w:val="22"/>
          <w:szCs w:val="22"/>
          <w:lang w:val="es-ES"/>
        </w:rPr>
      </w:pPr>
      <w:r w:rsidRPr="00C65E86">
        <w:rPr>
          <w:rFonts w:asciiTheme="minorHAnsi" w:eastAsia="Batang" w:hAnsiTheme="minorHAnsi" w:cs="Times New Roman"/>
          <w:sz w:val="22"/>
          <w:szCs w:val="22"/>
          <w:lang w:val="es-ES"/>
        </w:rPr>
        <w:t>p</w:t>
      </w:r>
      <w:r w:rsidR="00491283" w:rsidRPr="00C65E86">
        <w:rPr>
          <w:rFonts w:asciiTheme="minorHAnsi" w:eastAsia="Batang" w:hAnsiTheme="minorHAnsi" w:cs="Times New Roman"/>
          <w:sz w:val="22"/>
          <w:szCs w:val="22"/>
          <w:lang w:val="es-ES"/>
        </w:rPr>
        <w:t>.</w:t>
      </w:r>
      <w:r w:rsidR="00491283" w:rsidRPr="00C65E86">
        <w:rPr>
          <w:rFonts w:asciiTheme="minorHAnsi" w:eastAsia="Batang" w:hAnsiTheme="minorHAnsi" w:cs="Times New Roman"/>
          <w:sz w:val="22"/>
          <w:szCs w:val="22"/>
          <w:lang w:val="es-ES"/>
        </w:rPr>
        <w:tab/>
      </w:r>
      <w:r w:rsidR="004F0479" w:rsidRPr="00C65E86">
        <w:rPr>
          <w:rFonts w:asciiTheme="minorHAnsi" w:eastAsia="Batang" w:hAnsiTheme="minorHAnsi" w:cs="Times New Roman"/>
          <w:sz w:val="22"/>
          <w:szCs w:val="22"/>
          <w:lang w:val="es-ES"/>
        </w:rPr>
        <w:t xml:space="preserve">El importe asignado </w:t>
      </w:r>
      <w:r w:rsidR="00CB56B1">
        <w:rPr>
          <w:rFonts w:asciiTheme="minorHAnsi" w:eastAsia="Batang" w:hAnsiTheme="minorHAnsi" w:cs="Times New Roman"/>
          <w:sz w:val="22"/>
          <w:szCs w:val="22"/>
          <w:lang w:val="es-ES"/>
        </w:rPr>
        <w:t xml:space="preserve">a la provisión para </w:t>
      </w:r>
      <w:r w:rsidR="004F0479" w:rsidRPr="00C65E86">
        <w:rPr>
          <w:rFonts w:asciiTheme="minorHAnsi" w:eastAsia="Batang" w:hAnsiTheme="minorHAnsi" w:cs="Times New Roman"/>
          <w:sz w:val="22"/>
          <w:szCs w:val="22"/>
          <w:lang w:val="es-ES"/>
        </w:rPr>
        <w:t xml:space="preserve">personal se ha calculado sobre la base de los costos reales del trienio anterior. Sin embargo, el </w:t>
      </w:r>
      <w:r w:rsidR="00003649">
        <w:rPr>
          <w:rFonts w:asciiTheme="minorHAnsi" w:eastAsia="Batang" w:hAnsiTheme="minorHAnsi" w:cs="Times New Roman"/>
          <w:sz w:val="22"/>
          <w:szCs w:val="22"/>
          <w:lang w:val="es-ES"/>
        </w:rPr>
        <w:t>monto</w:t>
      </w:r>
      <w:r w:rsidR="004F0479" w:rsidRPr="00C65E86">
        <w:rPr>
          <w:rFonts w:asciiTheme="minorHAnsi" w:eastAsia="Batang" w:hAnsiTheme="minorHAnsi" w:cs="Times New Roman"/>
          <w:sz w:val="22"/>
          <w:szCs w:val="22"/>
          <w:lang w:val="es-ES"/>
        </w:rPr>
        <w:t xml:space="preserve"> </w:t>
      </w:r>
      <w:r w:rsidR="00003649">
        <w:rPr>
          <w:rFonts w:asciiTheme="minorHAnsi" w:eastAsia="Batang" w:hAnsiTheme="minorHAnsi" w:cs="Times New Roman"/>
          <w:sz w:val="22"/>
          <w:szCs w:val="22"/>
          <w:lang w:val="es-ES"/>
        </w:rPr>
        <w:t>de</w:t>
      </w:r>
      <w:r w:rsidR="004F0479" w:rsidRPr="00C65E86">
        <w:rPr>
          <w:rFonts w:asciiTheme="minorHAnsi" w:eastAsia="Batang" w:hAnsiTheme="minorHAnsi" w:cs="Times New Roman"/>
          <w:sz w:val="22"/>
          <w:szCs w:val="22"/>
          <w:lang w:val="es-ES"/>
        </w:rPr>
        <w:t xml:space="preserve"> la provisión </w:t>
      </w:r>
      <w:r w:rsidR="00003649">
        <w:rPr>
          <w:rFonts w:asciiTheme="minorHAnsi" w:eastAsia="Batang" w:hAnsiTheme="minorHAnsi" w:cs="Times New Roman"/>
          <w:sz w:val="22"/>
          <w:szCs w:val="22"/>
          <w:lang w:val="es-ES"/>
        </w:rPr>
        <w:t>para</w:t>
      </w:r>
      <w:r w:rsidR="004F0479" w:rsidRPr="00C65E86">
        <w:rPr>
          <w:rFonts w:asciiTheme="minorHAnsi" w:eastAsia="Batang" w:hAnsiTheme="minorHAnsi" w:cs="Times New Roman"/>
          <w:sz w:val="22"/>
          <w:szCs w:val="22"/>
          <w:lang w:val="es-ES"/>
        </w:rPr>
        <w:t xml:space="preserve"> contribuciones pendientes es insuficiente. Por </w:t>
      </w:r>
      <w:r w:rsidR="00003649">
        <w:rPr>
          <w:rFonts w:asciiTheme="minorHAnsi" w:eastAsia="Batang" w:hAnsiTheme="minorHAnsi" w:cs="Times New Roman"/>
          <w:sz w:val="22"/>
          <w:szCs w:val="22"/>
          <w:lang w:val="es-ES"/>
        </w:rPr>
        <w:t>ello</w:t>
      </w:r>
      <w:r w:rsidR="004F0479" w:rsidRPr="00C65E86">
        <w:rPr>
          <w:rFonts w:asciiTheme="minorHAnsi" w:eastAsia="Batang" w:hAnsiTheme="minorHAnsi" w:cs="Times New Roman"/>
          <w:sz w:val="22"/>
          <w:szCs w:val="22"/>
          <w:lang w:val="es-ES"/>
        </w:rPr>
        <w:t xml:space="preserve">, será necesario asignar cada año los ahorros del presupuesto básico </w:t>
      </w:r>
      <w:r w:rsidR="00003649">
        <w:rPr>
          <w:rFonts w:asciiTheme="minorHAnsi" w:eastAsia="Batang" w:hAnsiTheme="minorHAnsi" w:cs="Times New Roman"/>
          <w:sz w:val="22"/>
          <w:szCs w:val="22"/>
          <w:lang w:val="es-ES"/>
        </w:rPr>
        <w:t xml:space="preserve">a partir </w:t>
      </w:r>
      <w:r w:rsidR="004F0479" w:rsidRPr="00C65E86">
        <w:rPr>
          <w:rFonts w:asciiTheme="minorHAnsi" w:eastAsia="Batang" w:hAnsiTheme="minorHAnsi" w:cs="Times New Roman"/>
          <w:sz w:val="22"/>
          <w:szCs w:val="22"/>
          <w:lang w:val="es-ES"/>
        </w:rPr>
        <w:t xml:space="preserve">de los cálculos reales. Esto se debe a que la Convención ha estado aplicando la nueva metodología para el cálculo de </w:t>
      </w:r>
      <w:r w:rsidR="00CB56B1">
        <w:rPr>
          <w:rFonts w:asciiTheme="minorHAnsi" w:eastAsia="Batang" w:hAnsiTheme="minorHAnsi" w:cs="Times New Roman"/>
          <w:sz w:val="22"/>
          <w:szCs w:val="22"/>
          <w:lang w:val="es-ES"/>
        </w:rPr>
        <w:t>la provisión</w:t>
      </w:r>
      <w:r w:rsidR="004F0479" w:rsidRPr="00C65E86">
        <w:rPr>
          <w:rFonts w:asciiTheme="minorHAnsi" w:eastAsia="Batang" w:hAnsiTheme="minorHAnsi" w:cs="Times New Roman"/>
          <w:sz w:val="22"/>
          <w:szCs w:val="22"/>
          <w:lang w:val="es-ES"/>
        </w:rPr>
        <w:t xml:space="preserve"> para</w:t>
      </w:r>
      <w:r w:rsidR="00CB56B1">
        <w:rPr>
          <w:rFonts w:asciiTheme="minorHAnsi" w:eastAsia="Batang" w:hAnsiTheme="minorHAnsi" w:cs="Times New Roman"/>
          <w:sz w:val="22"/>
          <w:szCs w:val="22"/>
          <w:lang w:val="es-ES"/>
        </w:rPr>
        <w:t xml:space="preserve"> las</w:t>
      </w:r>
      <w:r w:rsidR="004F0479" w:rsidRPr="00C65E86">
        <w:rPr>
          <w:rFonts w:asciiTheme="minorHAnsi" w:eastAsia="Batang" w:hAnsiTheme="minorHAnsi" w:cs="Times New Roman"/>
          <w:sz w:val="22"/>
          <w:szCs w:val="22"/>
          <w:lang w:val="es-ES"/>
        </w:rPr>
        <w:t xml:space="preserve"> contribuciones pendientes desde junio de 2019, </w:t>
      </w:r>
      <w:r w:rsidR="00131274" w:rsidRPr="00C65E86">
        <w:rPr>
          <w:rFonts w:asciiTheme="minorHAnsi" w:eastAsia="Batang" w:hAnsiTheme="minorHAnsi" w:cs="Times New Roman"/>
          <w:sz w:val="22"/>
          <w:szCs w:val="22"/>
          <w:lang w:val="es-ES"/>
        </w:rPr>
        <w:t>de conformidad con</w:t>
      </w:r>
      <w:r w:rsidR="004F0479" w:rsidRPr="00C65E86">
        <w:rPr>
          <w:rFonts w:asciiTheme="minorHAnsi" w:eastAsia="Batang" w:hAnsiTheme="minorHAnsi" w:cs="Times New Roman"/>
          <w:sz w:val="22"/>
          <w:szCs w:val="22"/>
          <w:lang w:val="es-ES"/>
        </w:rPr>
        <w:t xml:space="preserve"> la solicitud del auditor externo y la Decisión SC57-39 del Comité Permanente. Mediante la Decisión SC59/2022-41 ii), el Comité Permanente aprobó la asignación del </w:t>
      </w:r>
      <w:r w:rsidR="00143897">
        <w:rPr>
          <w:rFonts w:asciiTheme="minorHAnsi" w:eastAsia="Batang" w:hAnsiTheme="minorHAnsi" w:cs="Times New Roman"/>
          <w:sz w:val="22"/>
          <w:szCs w:val="22"/>
          <w:lang w:val="es-ES"/>
        </w:rPr>
        <w:t>excedente</w:t>
      </w:r>
      <w:r w:rsidR="004F0479" w:rsidRPr="00C65E86">
        <w:rPr>
          <w:rFonts w:asciiTheme="minorHAnsi" w:eastAsia="Batang" w:hAnsiTheme="minorHAnsi" w:cs="Times New Roman"/>
          <w:sz w:val="22"/>
          <w:szCs w:val="22"/>
          <w:lang w:val="es-ES"/>
        </w:rPr>
        <w:t xml:space="preserve"> de 2021 </w:t>
      </w:r>
      <w:r w:rsidR="00131274" w:rsidRPr="00C65E86">
        <w:rPr>
          <w:rFonts w:asciiTheme="minorHAnsi" w:eastAsia="Batang" w:hAnsiTheme="minorHAnsi" w:cs="Times New Roman"/>
          <w:sz w:val="22"/>
          <w:szCs w:val="22"/>
          <w:lang w:val="es-ES"/>
        </w:rPr>
        <w:t xml:space="preserve">por valor </w:t>
      </w:r>
      <w:r w:rsidR="004F0479" w:rsidRPr="00C65E86">
        <w:rPr>
          <w:rFonts w:asciiTheme="minorHAnsi" w:eastAsia="Batang" w:hAnsiTheme="minorHAnsi" w:cs="Times New Roman"/>
          <w:sz w:val="22"/>
          <w:szCs w:val="22"/>
          <w:lang w:val="es-ES"/>
        </w:rPr>
        <w:t>de 360</w:t>
      </w:r>
      <w:r w:rsidR="00131274" w:rsidRPr="00C65E86">
        <w:rPr>
          <w:rFonts w:asciiTheme="minorHAnsi" w:eastAsia="Batang" w:hAnsiTheme="minorHAnsi" w:cs="Times New Roman"/>
          <w:sz w:val="22"/>
          <w:szCs w:val="22"/>
          <w:lang w:val="es-ES"/>
        </w:rPr>
        <w:t xml:space="preserve"> </w:t>
      </w:r>
      <w:r w:rsidR="004F0479" w:rsidRPr="00C65E86">
        <w:rPr>
          <w:rFonts w:asciiTheme="minorHAnsi" w:eastAsia="Batang" w:hAnsiTheme="minorHAnsi" w:cs="Times New Roman"/>
          <w:sz w:val="22"/>
          <w:szCs w:val="22"/>
          <w:lang w:val="es-ES"/>
        </w:rPr>
        <w:t xml:space="preserve">000 francos suizos para el </w:t>
      </w:r>
      <w:r w:rsidR="00131274" w:rsidRPr="00C65E86">
        <w:rPr>
          <w:rFonts w:asciiTheme="minorHAnsi" w:eastAsia="Batang" w:hAnsiTheme="minorHAnsi" w:cs="Times New Roman"/>
          <w:sz w:val="22"/>
          <w:szCs w:val="22"/>
          <w:lang w:val="es-ES"/>
        </w:rPr>
        <w:t>incremento</w:t>
      </w:r>
      <w:r w:rsidR="004F0479" w:rsidRPr="00C65E86">
        <w:rPr>
          <w:rFonts w:asciiTheme="minorHAnsi" w:eastAsia="Batang" w:hAnsiTheme="minorHAnsi" w:cs="Times New Roman"/>
          <w:sz w:val="22"/>
          <w:szCs w:val="22"/>
          <w:lang w:val="es-ES"/>
        </w:rPr>
        <w:t xml:space="preserve"> de las provisiones pendientes en el trienio 2023-2025</w:t>
      </w:r>
      <w:r w:rsidR="00131274" w:rsidRPr="00C65E86">
        <w:rPr>
          <w:rFonts w:asciiTheme="minorHAnsi" w:eastAsia="Batang" w:hAnsiTheme="minorHAnsi" w:cs="Times New Roman"/>
          <w:sz w:val="22"/>
          <w:szCs w:val="22"/>
          <w:lang w:val="es-ES"/>
        </w:rPr>
        <w:t>,</w:t>
      </w:r>
      <w:r w:rsidR="004F0479" w:rsidRPr="00C65E86">
        <w:rPr>
          <w:rFonts w:asciiTheme="minorHAnsi" w:eastAsia="Batang" w:hAnsiTheme="minorHAnsi" w:cs="Times New Roman"/>
          <w:sz w:val="22"/>
          <w:szCs w:val="22"/>
          <w:lang w:val="es-ES"/>
        </w:rPr>
        <w:t xml:space="preserve"> </w:t>
      </w:r>
      <w:r w:rsidR="00131274" w:rsidRPr="00C65E86">
        <w:rPr>
          <w:rFonts w:asciiTheme="minorHAnsi" w:eastAsia="Batang" w:hAnsiTheme="minorHAnsi" w:cs="Times New Roman"/>
          <w:sz w:val="22"/>
          <w:szCs w:val="22"/>
          <w:lang w:val="es-ES"/>
        </w:rPr>
        <w:t xml:space="preserve">a </w:t>
      </w:r>
      <w:r w:rsidR="004F0479" w:rsidRPr="00C65E86">
        <w:rPr>
          <w:rFonts w:asciiTheme="minorHAnsi" w:eastAsia="Batang" w:hAnsiTheme="minorHAnsi" w:cs="Times New Roman"/>
          <w:sz w:val="22"/>
          <w:szCs w:val="22"/>
          <w:lang w:val="es-ES"/>
        </w:rPr>
        <w:t xml:space="preserve">condición de que </w:t>
      </w:r>
      <w:r w:rsidR="00131274" w:rsidRPr="00C65E86">
        <w:rPr>
          <w:rFonts w:asciiTheme="minorHAnsi" w:eastAsia="Batang" w:hAnsiTheme="minorHAnsi" w:cs="Times New Roman"/>
          <w:sz w:val="22"/>
          <w:szCs w:val="22"/>
          <w:lang w:val="es-ES"/>
        </w:rPr>
        <w:t>toda</w:t>
      </w:r>
      <w:r w:rsidR="004F0479" w:rsidRPr="00C65E86">
        <w:rPr>
          <w:rFonts w:asciiTheme="minorHAnsi" w:eastAsia="Batang" w:hAnsiTheme="minorHAnsi" w:cs="Times New Roman"/>
          <w:sz w:val="22"/>
          <w:szCs w:val="22"/>
          <w:lang w:val="es-ES"/>
        </w:rPr>
        <w:t xml:space="preserve"> parte no utilizada se </w:t>
      </w:r>
      <w:r w:rsidR="00CB56B1">
        <w:rPr>
          <w:rFonts w:asciiTheme="minorHAnsi" w:eastAsia="Batang" w:hAnsiTheme="minorHAnsi" w:cs="Times New Roman"/>
          <w:sz w:val="22"/>
          <w:szCs w:val="22"/>
          <w:lang w:val="es-ES"/>
        </w:rPr>
        <w:t>devolviera</w:t>
      </w:r>
      <w:r w:rsidR="004F0479" w:rsidRPr="00C65E86">
        <w:rPr>
          <w:rFonts w:asciiTheme="minorHAnsi" w:eastAsia="Batang" w:hAnsiTheme="minorHAnsi" w:cs="Times New Roman"/>
          <w:sz w:val="22"/>
          <w:szCs w:val="22"/>
          <w:lang w:val="es-ES"/>
        </w:rPr>
        <w:t xml:space="preserve"> al </w:t>
      </w:r>
      <w:r w:rsidR="00143897">
        <w:rPr>
          <w:rFonts w:asciiTheme="minorHAnsi" w:eastAsia="Batang" w:hAnsiTheme="minorHAnsi" w:cs="Times New Roman"/>
          <w:sz w:val="22"/>
          <w:szCs w:val="22"/>
          <w:lang w:val="es-ES"/>
        </w:rPr>
        <w:t>excedente</w:t>
      </w:r>
      <w:r w:rsidR="004F0479" w:rsidRPr="00C65E86">
        <w:rPr>
          <w:rFonts w:asciiTheme="minorHAnsi" w:eastAsia="Batang" w:hAnsiTheme="minorHAnsi" w:cs="Times New Roman"/>
          <w:sz w:val="22"/>
          <w:szCs w:val="22"/>
          <w:lang w:val="es-ES"/>
        </w:rPr>
        <w:t xml:space="preserve"> para su posterior asignación al final de cada año dentro del trienio.</w:t>
      </w:r>
    </w:p>
    <w:p w14:paraId="5C270169" w14:textId="77777777" w:rsidR="001F43AF" w:rsidRPr="00C65E86" w:rsidRDefault="001F43AF" w:rsidP="00131274">
      <w:pPr>
        <w:pStyle w:val="MGfulltext"/>
        <w:spacing w:after="0"/>
        <w:rPr>
          <w:rFonts w:asciiTheme="minorHAnsi" w:eastAsia="Batang" w:hAnsiTheme="minorHAnsi" w:cs="Times New Roman"/>
          <w:sz w:val="22"/>
          <w:szCs w:val="22"/>
          <w:lang w:val="es-ES"/>
        </w:rPr>
      </w:pPr>
    </w:p>
    <w:p w14:paraId="19B95BAB" w14:textId="63FFFCBB" w:rsidR="00131274" w:rsidRPr="00C65E86" w:rsidRDefault="007F2DFF" w:rsidP="00933C52">
      <w:pPr>
        <w:pStyle w:val="MGfulltext"/>
        <w:spacing w:after="0"/>
        <w:ind w:left="850" w:hanging="425"/>
        <w:rPr>
          <w:rFonts w:asciiTheme="minorHAnsi" w:eastAsia="Batang" w:hAnsiTheme="minorHAnsi" w:cs="Times New Roman"/>
          <w:sz w:val="22"/>
          <w:szCs w:val="22"/>
          <w:lang w:val="es-ES"/>
        </w:rPr>
      </w:pPr>
      <w:r w:rsidRPr="00C65E86">
        <w:rPr>
          <w:rFonts w:asciiTheme="minorHAnsi" w:eastAsia="Batang" w:hAnsiTheme="minorHAnsi" w:cs="Times New Roman"/>
          <w:sz w:val="22"/>
          <w:szCs w:val="22"/>
          <w:lang w:val="es-ES"/>
        </w:rPr>
        <w:t>q</w:t>
      </w:r>
      <w:r w:rsidR="00933C52" w:rsidRPr="00C65E86">
        <w:rPr>
          <w:rFonts w:asciiTheme="minorHAnsi" w:eastAsia="Batang" w:hAnsiTheme="minorHAnsi" w:cs="Times New Roman"/>
          <w:sz w:val="22"/>
          <w:szCs w:val="22"/>
          <w:lang w:val="es-ES"/>
        </w:rPr>
        <w:t>.</w:t>
      </w:r>
      <w:r w:rsidR="00933C52" w:rsidRPr="00C65E86">
        <w:rPr>
          <w:rFonts w:asciiTheme="minorHAnsi" w:eastAsia="Batang" w:hAnsiTheme="minorHAnsi" w:cs="Times New Roman"/>
          <w:sz w:val="22"/>
          <w:szCs w:val="22"/>
          <w:lang w:val="es-ES"/>
        </w:rPr>
        <w:tab/>
      </w:r>
      <w:r w:rsidR="00131274" w:rsidRPr="00C65E86">
        <w:rPr>
          <w:rFonts w:asciiTheme="minorHAnsi" w:eastAsia="Batang" w:hAnsiTheme="minorHAnsi" w:cs="Times New Roman"/>
          <w:sz w:val="22"/>
          <w:szCs w:val="22"/>
          <w:lang w:val="es-ES"/>
        </w:rPr>
        <w:t xml:space="preserve">No se asignan fondos con cargo al presupuesto básico para las Misiones Ramsar de Asesoramiento, las reuniones de la Conferencia de las Partes Contratantes y las reuniones regionales previas a la COP, como </w:t>
      </w:r>
      <w:r w:rsidR="00D122F0">
        <w:rPr>
          <w:rFonts w:asciiTheme="minorHAnsi" w:eastAsia="Batang" w:hAnsiTheme="minorHAnsi" w:cs="Times New Roman"/>
          <w:sz w:val="22"/>
          <w:szCs w:val="22"/>
          <w:lang w:val="es-ES"/>
        </w:rPr>
        <w:t>fue en el caso</w:t>
      </w:r>
      <w:r w:rsidR="00131274" w:rsidRPr="00C65E86">
        <w:rPr>
          <w:rFonts w:asciiTheme="minorHAnsi" w:eastAsia="Batang" w:hAnsiTheme="minorHAnsi" w:cs="Times New Roman"/>
          <w:sz w:val="22"/>
          <w:szCs w:val="22"/>
          <w:lang w:val="es-ES"/>
        </w:rPr>
        <w:t xml:space="preserve"> </w:t>
      </w:r>
      <w:r w:rsidR="00D122F0">
        <w:rPr>
          <w:rFonts w:asciiTheme="minorHAnsi" w:eastAsia="Batang" w:hAnsiTheme="minorHAnsi" w:cs="Times New Roman"/>
          <w:sz w:val="22"/>
          <w:szCs w:val="22"/>
          <w:lang w:val="es-ES"/>
        </w:rPr>
        <w:t>d</w:t>
      </w:r>
      <w:r w:rsidR="00131274" w:rsidRPr="00C65E86">
        <w:rPr>
          <w:rFonts w:asciiTheme="minorHAnsi" w:eastAsia="Batang" w:hAnsiTheme="minorHAnsi" w:cs="Times New Roman"/>
          <w:sz w:val="22"/>
          <w:szCs w:val="22"/>
          <w:lang w:val="es-ES"/>
        </w:rPr>
        <w:t>el trienio 2019-2021.</w:t>
      </w:r>
    </w:p>
    <w:p w14:paraId="17B4FA03" w14:textId="77777777" w:rsidR="00D4581F" w:rsidRPr="00C65E86" w:rsidRDefault="00D4581F" w:rsidP="00131274">
      <w:pPr>
        <w:ind w:left="0" w:firstLine="0"/>
        <w:rPr>
          <w:rFonts w:asciiTheme="minorHAnsi" w:hAnsiTheme="minorHAnsi"/>
          <w:lang w:val="es-ES"/>
        </w:rPr>
      </w:pPr>
    </w:p>
    <w:p w14:paraId="7C1B7541" w14:textId="2762490B" w:rsidR="00131274" w:rsidRPr="00C65E86" w:rsidRDefault="00131274" w:rsidP="00A8332C">
      <w:pPr>
        <w:pStyle w:val="MGfulltext"/>
        <w:keepNext/>
        <w:spacing w:after="0"/>
        <w:rPr>
          <w:rFonts w:asciiTheme="minorHAnsi" w:eastAsia="Batang" w:hAnsiTheme="minorHAnsi" w:cs="Times New Roman"/>
          <w:sz w:val="22"/>
          <w:szCs w:val="22"/>
          <w:u w:val="single"/>
          <w:lang w:val="es-ES"/>
        </w:rPr>
      </w:pPr>
      <w:r w:rsidRPr="00C65E86">
        <w:rPr>
          <w:rFonts w:asciiTheme="minorHAnsi" w:eastAsia="Batang" w:hAnsiTheme="minorHAnsi" w:cs="Times New Roman"/>
          <w:sz w:val="22"/>
          <w:szCs w:val="22"/>
          <w:u w:val="single"/>
          <w:lang w:val="es-ES"/>
        </w:rPr>
        <w:t>Estructura del presupuesto básico propuesto para</w:t>
      </w:r>
      <w:r w:rsidR="00EF1581" w:rsidRPr="00C65E86">
        <w:rPr>
          <w:rFonts w:asciiTheme="minorHAnsi" w:eastAsia="Batang" w:hAnsiTheme="minorHAnsi" w:cs="Times New Roman"/>
          <w:sz w:val="22"/>
          <w:szCs w:val="22"/>
          <w:u w:val="single"/>
          <w:lang w:val="es-ES"/>
        </w:rPr>
        <w:t xml:space="preserve"> el trienio</w:t>
      </w:r>
      <w:r w:rsidRPr="00C65E86">
        <w:rPr>
          <w:rFonts w:asciiTheme="minorHAnsi" w:eastAsia="Batang" w:hAnsiTheme="minorHAnsi" w:cs="Times New Roman"/>
          <w:sz w:val="22"/>
          <w:szCs w:val="22"/>
          <w:u w:val="single"/>
          <w:lang w:val="es-ES"/>
        </w:rPr>
        <w:t xml:space="preserve"> 2023-2025</w:t>
      </w:r>
    </w:p>
    <w:p w14:paraId="768D62A4" w14:textId="77777777" w:rsidR="00363CF1" w:rsidRPr="00C65E86" w:rsidRDefault="00363CF1" w:rsidP="00A8332C">
      <w:pPr>
        <w:pStyle w:val="MGfulltext"/>
        <w:keepNext/>
        <w:spacing w:after="0"/>
        <w:ind w:left="425" w:hanging="425"/>
        <w:rPr>
          <w:rFonts w:asciiTheme="minorHAnsi" w:eastAsia="Batang" w:hAnsiTheme="minorHAnsi" w:cs="Times New Roman"/>
          <w:sz w:val="22"/>
          <w:szCs w:val="22"/>
          <w:lang w:val="es-ES"/>
        </w:rPr>
      </w:pPr>
    </w:p>
    <w:p w14:paraId="075BAE70" w14:textId="5BF18F41" w:rsidR="00EF1581" w:rsidRPr="00C65E86" w:rsidRDefault="003231A5" w:rsidP="00C77A51">
      <w:pPr>
        <w:pStyle w:val="MGfulltext"/>
        <w:spacing w:after="0"/>
        <w:ind w:left="425" w:hanging="425"/>
        <w:rPr>
          <w:rFonts w:asciiTheme="minorHAnsi" w:eastAsia="Batang" w:hAnsiTheme="minorHAnsi" w:cs="Times New Roman"/>
          <w:sz w:val="22"/>
          <w:szCs w:val="22"/>
          <w:lang w:val="es-ES"/>
        </w:rPr>
      </w:pPr>
      <w:r w:rsidRPr="00C65E86">
        <w:rPr>
          <w:rFonts w:asciiTheme="minorHAnsi" w:eastAsia="Batang" w:hAnsiTheme="minorHAnsi" w:cs="Times New Roman"/>
          <w:sz w:val="22"/>
          <w:szCs w:val="22"/>
          <w:lang w:val="es-ES"/>
        </w:rPr>
        <w:t>21</w:t>
      </w:r>
      <w:r w:rsidR="00C77A51" w:rsidRPr="00C65E86">
        <w:rPr>
          <w:rFonts w:asciiTheme="minorHAnsi" w:eastAsia="Batang" w:hAnsiTheme="minorHAnsi" w:cs="Times New Roman"/>
          <w:sz w:val="22"/>
          <w:szCs w:val="22"/>
          <w:lang w:val="es-ES"/>
        </w:rPr>
        <w:t>.</w:t>
      </w:r>
      <w:r w:rsidR="00C77A51" w:rsidRPr="00C65E86">
        <w:rPr>
          <w:rFonts w:asciiTheme="minorHAnsi" w:eastAsia="Batang" w:hAnsiTheme="minorHAnsi" w:cs="Times New Roman"/>
          <w:sz w:val="22"/>
          <w:szCs w:val="22"/>
          <w:lang w:val="es-ES"/>
        </w:rPr>
        <w:tab/>
      </w:r>
      <w:r w:rsidR="00EF1581" w:rsidRPr="00C65E86">
        <w:rPr>
          <w:rFonts w:asciiTheme="minorHAnsi" w:eastAsia="Batang" w:hAnsiTheme="minorHAnsi" w:cs="Times New Roman"/>
          <w:sz w:val="22"/>
          <w:szCs w:val="22"/>
          <w:lang w:val="es-ES"/>
        </w:rPr>
        <w:t xml:space="preserve">Para mantener el criterio actual, en el que se muestran los gastos para cada </w:t>
      </w:r>
      <w:r w:rsidR="00CB56B1">
        <w:rPr>
          <w:rFonts w:asciiTheme="minorHAnsi" w:eastAsia="Batang" w:hAnsiTheme="minorHAnsi" w:cs="Times New Roman"/>
          <w:sz w:val="22"/>
          <w:szCs w:val="22"/>
          <w:lang w:val="es-ES"/>
        </w:rPr>
        <w:t>sección</w:t>
      </w:r>
      <w:r w:rsidR="00EF1581" w:rsidRPr="00C65E86">
        <w:rPr>
          <w:rFonts w:asciiTheme="minorHAnsi" w:eastAsia="Batang" w:hAnsiTheme="minorHAnsi" w:cs="Times New Roman"/>
          <w:sz w:val="22"/>
          <w:szCs w:val="22"/>
          <w:lang w:val="es-ES"/>
        </w:rPr>
        <w:t xml:space="preserve"> o categoría, la Secretaría propone que se mantenga la misma estructura general del presupuesto que la del trienio anterior.</w:t>
      </w:r>
    </w:p>
    <w:p w14:paraId="1DA65E82" w14:textId="77777777" w:rsidR="00363CF1" w:rsidRPr="00C65E86" w:rsidRDefault="00363CF1" w:rsidP="00EF1581">
      <w:pPr>
        <w:pStyle w:val="MGfulltext"/>
        <w:spacing w:after="0"/>
        <w:rPr>
          <w:rFonts w:asciiTheme="minorHAnsi" w:eastAsia="Batang" w:hAnsiTheme="minorHAnsi" w:cs="Times New Roman"/>
          <w:sz w:val="22"/>
          <w:szCs w:val="22"/>
          <w:lang w:val="es-ES"/>
        </w:rPr>
      </w:pPr>
    </w:p>
    <w:p w14:paraId="5B48BAE3" w14:textId="720A3398" w:rsidR="00EF1581" w:rsidRPr="00C65E86" w:rsidRDefault="003231A5" w:rsidP="00C77A51">
      <w:pPr>
        <w:pStyle w:val="MGfulltext"/>
        <w:spacing w:after="0"/>
        <w:ind w:left="425" w:hanging="425"/>
        <w:rPr>
          <w:rFonts w:asciiTheme="minorHAnsi" w:eastAsia="Batang" w:hAnsiTheme="minorHAnsi" w:cs="Times New Roman"/>
          <w:sz w:val="22"/>
          <w:szCs w:val="22"/>
          <w:lang w:val="es-ES"/>
        </w:rPr>
      </w:pPr>
      <w:r w:rsidRPr="00C65E86">
        <w:rPr>
          <w:rFonts w:asciiTheme="minorHAnsi" w:eastAsia="Batang" w:hAnsiTheme="minorHAnsi" w:cs="Times New Roman"/>
          <w:sz w:val="22"/>
          <w:szCs w:val="22"/>
          <w:lang w:val="es-ES"/>
        </w:rPr>
        <w:t>22</w:t>
      </w:r>
      <w:r w:rsidR="00C77A51" w:rsidRPr="00C65E86">
        <w:rPr>
          <w:rFonts w:asciiTheme="minorHAnsi" w:eastAsia="Batang" w:hAnsiTheme="minorHAnsi" w:cs="Times New Roman"/>
          <w:sz w:val="22"/>
          <w:szCs w:val="22"/>
          <w:lang w:val="es-ES"/>
        </w:rPr>
        <w:t>.</w:t>
      </w:r>
      <w:r w:rsidR="00C77A51" w:rsidRPr="00C65E86">
        <w:rPr>
          <w:rFonts w:asciiTheme="minorHAnsi" w:eastAsia="Batang" w:hAnsiTheme="minorHAnsi" w:cs="Times New Roman"/>
          <w:sz w:val="22"/>
          <w:szCs w:val="22"/>
          <w:lang w:val="es-ES"/>
        </w:rPr>
        <w:tab/>
      </w:r>
      <w:r w:rsidR="00EF1581" w:rsidRPr="00C65E86">
        <w:rPr>
          <w:rFonts w:asciiTheme="minorHAnsi" w:eastAsia="Batang" w:hAnsiTheme="minorHAnsi" w:cs="Times New Roman"/>
          <w:sz w:val="22"/>
          <w:szCs w:val="22"/>
          <w:lang w:val="es-ES"/>
        </w:rPr>
        <w:t xml:space="preserve">Los principales cambios de presentación derivadas de las decisiones del Comité Permanente son los siguientes: </w:t>
      </w:r>
    </w:p>
    <w:p w14:paraId="7E4FB9E8" w14:textId="77777777" w:rsidR="00363CF1" w:rsidRPr="00C65E86" w:rsidRDefault="00363CF1" w:rsidP="00EF1581">
      <w:pPr>
        <w:pStyle w:val="MGfulltext"/>
        <w:spacing w:after="0"/>
        <w:rPr>
          <w:rFonts w:asciiTheme="minorHAnsi" w:eastAsia="Batang" w:hAnsiTheme="minorHAnsi" w:cs="Times New Roman"/>
          <w:sz w:val="22"/>
          <w:szCs w:val="22"/>
          <w:lang w:val="es-ES"/>
        </w:rPr>
      </w:pPr>
    </w:p>
    <w:p w14:paraId="61C2FFD9" w14:textId="48CFCD6E" w:rsidR="00EF1581" w:rsidRPr="00C65E86" w:rsidRDefault="00EF1581" w:rsidP="00EF1581">
      <w:pPr>
        <w:pStyle w:val="ListParagraph"/>
        <w:numPr>
          <w:ilvl w:val="0"/>
          <w:numId w:val="7"/>
        </w:numPr>
        <w:rPr>
          <w:rFonts w:asciiTheme="minorHAnsi" w:eastAsia="Batang" w:hAnsiTheme="minorHAnsi"/>
          <w:bCs/>
          <w:lang w:val="es-ES" w:eastAsia="ko-KR"/>
        </w:rPr>
      </w:pPr>
      <w:r w:rsidRPr="00C65E86">
        <w:rPr>
          <w:rFonts w:asciiTheme="minorHAnsi" w:eastAsia="Batang" w:hAnsiTheme="minorHAnsi"/>
          <w:bCs/>
          <w:lang w:val="es-ES" w:eastAsia="ko-KR"/>
        </w:rPr>
        <w:t>Como se explicó más arriba, las provisiones se han separado en dos partidas presupuestarias, 1) provisiones de personal y 2) provisi</w:t>
      </w:r>
      <w:r w:rsidR="00D122F0">
        <w:rPr>
          <w:rFonts w:asciiTheme="minorHAnsi" w:eastAsia="Batang" w:hAnsiTheme="minorHAnsi"/>
          <w:bCs/>
          <w:lang w:val="es-ES" w:eastAsia="ko-KR"/>
        </w:rPr>
        <w:t>ones</w:t>
      </w:r>
      <w:r w:rsidRPr="00C65E86">
        <w:rPr>
          <w:rFonts w:asciiTheme="minorHAnsi" w:eastAsia="Batang" w:hAnsiTheme="minorHAnsi"/>
          <w:bCs/>
          <w:lang w:val="es-ES" w:eastAsia="ko-KR"/>
        </w:rPr>
        <w:t xml:space="preserve"> para contribuciones pendientes, a fin de permitir una mejor gestión y transparencia en el uso de las provisiones (de </w:t>
      </w:r>
      <w:r w:rsidR="008565BE" w:rsidRPr="00C65E86">
        <w:rPr>
          <w:rFonts w:asciiTheme="minorHAnsi" w:eastAsia="Batang" w:hAnsiTheme="minorHAnsi"/>
          <w:bCs/>
          <w:lang w:val="es-ES" w:eastAsia="ko-KR"/>
        </w:rPr>
        <w:t>conformidad</w:t>
      </w:r>
      <w:r w:rsidRPr="00C65E86">
        <w:rPr>
          <w:rFonts w:asciiTheme="minorHAnsi" w:eastAsia="Batang" w:hAnsiTheme="minorHAnsi"/>
          <w:bCs/>
          <w:lang w:val="es-ES" w:eastAsia="ko-KR"/>
        </w:rPr>
        <w:t xml:space="preserve"> con la Decisión SC58-31 del Comité Permanente);</w:t>
      </w:r>
    </w:p>
    <w:p w14:paraId="20D04674" w14:textId="77777777" w:rsidR="00363CF1" w:rsidRPr="00C65E86" w:rsidRDefault="00363CF1" w:rsidP="008565BE">
      <w:pPr>
        <w:ind w:left="0" w:firstLine="0"/>
        <w:rPr>
          <w:rFonts w:asciiTheme="minorHAnsi" w:eastAsia="Batang" w:hAnsiTheme="minorHAnsi"/>
          <w:bCs/>
          <w:lang w:val="es-ES" w:eastAsia="ko-KR"/>
        </w:rPr>
      </w:pPr>
    </w:p>
    <w:p w14:paraId="18CE9400" w14:textId="3A78F312" w:rsidR="008565BE" w:rsidRPr="00C65E86" w:rsidRDefault="00363CF1" w:rsidP="00F50F8D">
      <w:pPr>
        <w:ind w:left="850"/>
        <w:rPr>
          <w:rFonts w:asciiTheme="minorHAnsi" w:eastAsia="Batang" w:hAnsiTheme="minorHAnsi"/>
          <w:bCs/>
          <w:lang w:val="es-ES" w:eastAsia="ko-KR"/>
        </w:rPr>
      </w:pPr>
      <w:r w:rsidRPr="00C65E86">
        <w:rPr>
          <w:rFonts w:asciiTheme="minorHAnsi" w:eastAsia="Batang" w:hAnsiTheme="minorHAnsi"/>
          <w:bCs/>
          <w:lang w:val="es-ES" w:eastAsia="ko-KR"/>
        </w:rPr>
        <w:t>b.</w:t>
      </w:r>
      <w:r w:rsidRPr="00C65E86">
        <w:rPr>
          <w:rFonts w:asciiTheme="minorHAnsi" w:eastAsia="Batang" w:hAnsiTheme="minorHAnsi"/>
          <w:bCs/>
          <w:lang w:val="es-ES" w:eastAsia="ko-KR"/>
        </w:rPr>
        <w:tab/>
      </w:r>
      <w:r w:rsidR="008565BE" w:rsidRPr="00C65E86">
        <w:rPr>
          <w:rFonts w:asciiTheme="minorHAnsi" w:eastAsia="Batang" w:hAnsiTheme="minorHAnsi"/>
          <w:bCs/>
          <w:lang w:val="es-ES" w:eastAsia="ko-KR"/>
        </w:rPr>
        <w:t>La partida presupuestaria fusionada “salarios, costos sociales y otras prestaciones” incluye “otras prestaciones” para cada partida presupuestaria</w:t>
      </w:r>
      <w:r w:rsidR="00546D85" w:rsidRPr="00C65E86">
        <w:rPr>
          <w:rFonts w:asciiTheme="minorHAnsi" w:eastAsia="Batang" w:hAnsiTheme="minorHAnsi"/>
          <w:bCs/>
          <w:lang w:val="es-ES" w:eastAsia="ko-KR"/>
        </w:rPr>
        <w:t>. Se reconoce</w:t>
      </w:r>
      <w:r w:rsidR="008565BE" w:rsidRPr="00C65E86">
        <w:rPr>
          <w:rFonts w:asciiTheme="minorHAnsi" w:eastAsia="Batang" w:hAnsiTheme="minorHAnsi"/>
          <w:bCs/>
          <w:lang w:val="es-ES" w:eastAsia="ko-KR"/>
        </w:rPr>
        <w:t xml:space="preserve"> que este cambio no refleja un cambio en los niveles de financiación (de </w:t>
      </w:r>
      <w:r w:rsidR="00546D85" w:rsidRPr="00C65E86">
        <w:rPr>
          <w:rFonts w:asciiTheme="minorHAnsi" w:eastAsia="Batang" w:hAnsiTheme="minorHAnsi"/>
          <w:bCs/>
          <w:lang w:val="es-ES" w:eastAsia="ko-KR"/>
        </w:rPr>
        <w:t>conformidad</w:t>
      </w:r>
      <w:r w:rsidR="008565BE" w:rsidRPr="00C65E86">
        <w:rPr>
          <w:rFonts w:asciiTheme="minorHAnsi" w:eastAsia="Batang" w:hAnsiTheme="minorHAnsi"/>
          <w:bCs/>
          <w:lang w:val="es-ES" w:eastAsia="ko-KR"/>
        </w:rPr>
        <w:t xml:space="preserve"> con la Decisión SC59-27).</w:t>
      </w:r>
    </w:p>
    <w:p w14:paraId="4CF2074E" w14:textId="77777777" w:rsidR="00D10585" w:rsidRPr="00C65E86" w:rsidRDefault="00D10585" w:rsidP="00546D85">
      <w:pPr>
        <w:ind w:left="0" w:firstLine="0"/>
        <w:rPr>
          <w:rFonts w:asciiTheme="minorHAnsi" w:eastAsia="Batang" w:hAnsiTheme="minorHAnsi"/>
          <w:bCs/>
          <w:lang w:val="es-ES" w:eastAsia="ko-KR"/>
        </w:rPr>
      </w:pPr>
    </w:p>
    <w:p w14:paraId="5CE28A07" w14:textId="5068B488" w:rsidR="00D314E5" w:rsidRPr="00C65E86" w:rsidRDefault="00546D85" w:rsidP="00D314E5">
      <w:pPr>
        <w:rPr>
          <w:rFonts w:asciiTheme="minorHAnsi" w:eastAsia="Batang" w:hAnsiTheme="minorHAnsi"/>
          <w:bCs/>
          <w:u w:val="single"/>
          <w:lang w:val="es-ES" w:eastAsia="ko-KR"/>
        </w:rPr>
      </w:pPr>
      <w:r w:rsidRPr="00C65E86">
        <w:rPr>
          <w:rFonts w:asciiTheme="minorHAnsi" w:eastAsia="Batang" w:hAnsiTheme="minorHAnsi"/>
          <w:bCs/>
          <w:u w:val="single"/>
          <w:lang w:val="es-ES" w:eastAsia="ko-KR"/>
        </w:rPr>
        <w:t>Estado de las contribuciones</w:t>
      </w:r>
    </w:p>
    <w:p w14:paraId="79D61E68" w14:textId="77777777" w:rsidR="002D300B" w:rsidRPr="00C65E86" w:rsidRDefault="002D300B" w:rsidP="002D300B">
      <w:pPr>
        <w:pStyle w:val="ListParagraph"/>
        <w:ind w:left="426"/>
        <w:rPr>
          <w:rFonts w:asciiTheme="minorHAnsi" w:eastAsia="Batang" w:hAnsiTheme="minorHAnsi"/>
          <w:bCs/>
          <w:lang w:val="es-ES" w:eastAsia="ko-KR"/>
        </w:rPr>
      </w:pPr>
    </w:p>
    <w:p w14:paraId="5A7C6A70" w14:textId="1CDA4F89" w:rsidR="006E1061" w:rsidRPr="00C65E86" w:rsidRDefault="003231A5" w:rsidP="000F0539">
      <w:pPr>
        <w:rPr>
          <w:rFonts w:asciiTheme="minorHAnsi" w:eastAsia="Batang" w:hAnsiTheme="minorHAnsi"/>
          <w:lang w:val="es-ES"/>
        </w:rPr>
      </w:pPr>
      <w:r w:rsidRPr="00C65E86">
        <w:rPr>
          <w:rFonts w:asciiTheme="minorHAnsi" w:eastAsia="Batang" w:hAnsiTheme="minorHAnsi"/>
          <w:lang w:val="es-ES"/>
        </w:rPr>
        <w:t>23</w:t>
      </w:r>
      <w:r w:rsidR="000F0539" w:rsidRPr="00C65E86">
        <w:rPr>
          <w:rFonts w:asciiTheme="minorHAnsi" w:eastAsia="Batang" w:hAnsiTheme="minorHAnsi"/>
          <w:lang w:val="es-ES"/>
        </w:rPr>
        <w:t>.</w:t>
      </w:r>
      <w:r w:rsidR="000F0539" w:rsidRPr="00C65E86">
        <w:rPr>
          <w:rFonts w:asciiTheme="minorHAnsi" w:eastAsia="Batang" w:hAnsiTheme="minorHAnsi"/>
          <w:lang w:val="es-ES"/>
        </w:rPr>
        <w:tab/>
      </w:r>
      <w:r w:rsidR="00546D85" w:rsidRPr="00C65E86">
        <w:rPr>
          <w:rFonts w:asciiTheme="minorHAnsi" w:eastAsia="Batang" w:hAnsiTheme="minorHAnsi"/>
          <w:lang w:val="es-ES"/>
        </w:rPr>
        <w:t>El compromiso de las Partes Contratantes de liquidar las contribuciones pendientes podría aportar importantes recursos adicionales. A</w:t>
      </w:r>
      <w:r w:rsidR="00D122F0">
        <w:rPr>
          <w:rFonts w:asciiTheme="minorHAnsi" w:eastAsia="Batang" w:hAnsiTheme="minorHAnsi"/>
          <w:lang w:val="es-ES"/>
        </w:rPr>
        <w:t xml:space="preserve"> </w:t>
      </w:r>
      <w:r w:rsidR="00546D85" w:rsidRPr="00C65E86">
        <w:rPr>
          <w:rFonts w:asciiTheme="minorHAnsi" w:eastAsia="Batang" w:hAnsiTheme="minorHAnsi"/>
          <w:lang w:val="es-ES"/>
        </w:rPr>
        <w:t xml:space="preserve">31 de diciembre de 2021, las contribuciones no recibidas para 2021 y años anteriores ascendían a más de 1 536 000 francos suizos, lo que representa el 30 % de los ingresos de ese año, pero supone una disminución del 8,2 % en comparación con 2020. En el anexo 3 se incluye más información sobre las contribuciones pendientes a 31 de diciembre de 2021. A 31 de julio de 2022, </w:t>
      </w:r>
      <w:r w:rsidR="006E1061" w:rsidRPr="00C65E86">
        <w:rPr>
          <w:rFonts w:asciiTheme="minorHAnsi" w:eastAsia="Batang" w:hAnsiTheme="minorHAnsi"/>
          <w:lang w:val="es-ES"/>
        </w:rPr>
        <w:t>la suma</w:t>
      </w:r>
      <w:r w:rsidR="00546D85" w:rsidRPr="00C65E86">
        <w:rPr>
          <w:rFonts w:asciiTheme="minorHAnsi" w:eastAsia="Batang" w:hAnsiTheme="minorHAnsi"/>
          <w:lang w:val="es-ES"/>
        </w:rPr>
        <w:t xml:space="preserve"> pendiente </w:t>
      </w:r>
      <w:r w:rsidR="006E1061" w:rsidRPr="00C65E86">
        <w:rPr>
          <w:rFonts w:asciiTheme="minorHAnsi" w:eastAsia="Batang" w:hAnsiTheme="minorHAnsi"/>
          <w:lang w:val="es-ES"/>
        </w:rPr>
        <w:t>era de</w:t>
      </w:r>
      <w:r w:rsidR="00546D85" w:rsidRPr="00C65E86">
        <w:rPr>
          <w:rFonts w:asciiTheme="minorHAnsi" w:eastAsia="Batang" w:hAnsiTheme="minorHAnsi"/>
          <w:lang w:val="es-ES"/>
        </w:rPr>
        <w:t xml:space="preserve"> 1 266 000 francos suizos para 2021 y años anteriores</w:t>
      </w:r>
      <w:r w:rsidR="00283342">
        <w:rPr>
          <w:rFonts w:asciiTheme="minorHAnsi" w:eastAsia="Batang" w:hAnsiTheme="minorHAnsi"/>
          <w:lang w:val="es-ES"/>
        </w:rPr>
        <w:t>,</w:t>
      </w:r>
      <w:r w:rsidR="00546D85" w:rsidRPr="00C65E86">
        <w:rPr>
          <w:rFonts w:asciiTheme="minorHAnsi" w:eastAsia="Batang" w:hAnsiTheme="minorHAnsi"/>
          <w:lang w:val="es-ES"/>
        </w:rPr>
        <w:t xml:space="preserve"> y de</w:t>
      </w:r>
      <w:r w:rsidR="006E1061" w:rsidRPr="00C65E86">
        <w:rPr>
          <w:rFonts w:asciiTheme="minorHAnsi" w:eastAsia="Batang" w:hAnsiTheme="minorHAnsi"/>
          <w:lang w:val="es-ES"/>
        </w:rPr>
        <w:t xml:space="preserve"> </w:t>
      </w:r>
      <w:r w:rsidR="00546D85" w:rsidRPr="00C65E86">
        <w:rPr>
          <w:rFonts w:asciiTheme="minorHAnsi" w:eastAsia="Batang" w:hAnsiTheme="minorHAnsi"/>
          <w:lang w:val="es-ES"/>
        </w:rPr>
        <w:t>1 938 000 francos suizos para 2022 (de un total de 4 844 000 francos suizos previstos para 2022). A la misma fecha, se habían recibido 201</w:t>
      </w:r>
      <w:r w:rsidR="006E1061" w:rsidRPr="00C65E86">
        <w:rPr>
          <w:rFonts w:asciiTheme="minorHAnsi" w:eastAsia="Batang" w:hAnsiTheme="minorHAnsi"/>
          <w:lang w:val="es-ES"/>
        </w:rPr>
        <w:t xml:space="preserve"> 000 francos suizos</w:t>
      </w:r>
      <w:r w:rsidR="00546D85" w:rsidRPr="00C65E86">
        <w:rPr>
          <w:rFonts w:asciiTheme="minorHAnsi" w:eastAsia="Batang" w:hAnsiTheme="minorHAnsi"/>
          <w:lang w:val="es-ES"/>
        </w:rPr>
        <w:t xml:space="preserve"> para los años </w:t>
      </w:r>
      <w:r w:rsidR="006E1061" w:rsidRPr="00C65E86">
        <w:rPr>
          <w:rFonts w:asciiTheme="minorHAnsi" w:eastAsia="Batang" w:hAnsiTheme="minorHAnsi"/>
          <w:lang w:val="es-ES"/>
        </w:rPr>
        <w:t>siguientes</w:t>
      </w:r>
      <w:r w:rsidR="00546D85" w:rsidRPr="00C65E86">
        <w:rPr>
          <w:rFonts w:asciiTheme="minorHAnsi" w:eastAsia="Batang" w:hAnsiTheme="minorHAnsi"/>
          <w:lang w:val="es-ES"/>
        </w:rPr>
        <w:t xml:space="preserve">. El estado actualizado de las contribuciones puede consultarse en el sitio web de Ramsar: </w:t>
      </w:r>
    </w:p>
    <w:p w14:paraId="2117F925" w14:textId="11A8DA6A" w:rsidR="00546D85" w:rsidRPr="00C65E86" w:rsidRDefault="00C92E5A" w:rsidP="006E1061">
      <w:pPr>
        <w:ind w:firstLine="0"/>
        <w:rPr>
          <w:rFonts w:asciiTheme="minorHAnsi" w:eastAsia="Batang" w:hAnsiTheme="minorHAnsi"/>
          <w:lang w:val="es-ES"/>
        </w:rPr>
      </w:pPr>
      <w:hyperlink r:id="rId11" w:history="1">
        <w:r w:rsidR="00CE17A4" w:rsidRPr="00E34E35">
          <w:rPr>
            <w:rStyle w:val="Hyperlink"/>
            <w:lang w:val="es-ES"/>
          </w:rPr>
          <w:t>https://www.ramsar.org/es/document/convention-on-wetlands-monthly-status-of-assessed-contributions</w:t>
        </w:r>
      </w:hyperlink>
      <w:r w:rsidR="00546D85" w:rsidRPr="00C65E86">
        <w:rPr>
          <w:rFonts w:asciiTheme="minorHAnsi" w:eastAsia="Batang" w:hAnsiTheme="minorHAnsi"/>
          <w:lang w:val="es-ES"/>
        </w:rPr>
        <w:t>.</w:t>
      </w:r>
      <w:r w:rsidR="006E1061" w:rsidRPr="00C65E86">
        <w:rPr>
          <w:rFonts w:asciiTheme="minorHAnsi" w:eastAsia="Batang" w:hAnsiTheme="minorHAnsi"/>
          <w:lang w:val="es-ES"/>
        </w:rPr>
        <w:t xml:space="preserve"> </w:t>
      </w:r>
    </w:p>
    <w:p w14:paraId="6A1A075D" w14:textId="77777777" w:rsidR="006412FD" w:rsidRPr="00C65E86" w:rsidRDefault="006412FD" w:rsidP="000F0539">
      <w:pPr>
        <w:rPr>
          <w:rFonts w:cs="Arial"/>
          <w:b/>
          <w:sz w:val="24"/>
          <w:szCs w:val="24"/>
          <w:lang w:val="es-ES"/>
        </w:rPr>
      </w:pPr>
    </w:p>
    <w:p w14:paraId="51EEDFB3" w14:textId="5CF076A3" w:rsidR="006412FD" w:rsidRPr="00C65E86" w:rsidRDefault="003231A5" w:rsidP="00B27DC2">
      <w:pPr>
        <w:rPr>
          <w:rFonts w:asciiTheme="minorHAnsi" w:eastAsia="Batang" w:hAnsiTheme="minorHAnsi"/>
          <w:lang w:val="es-ES"/>
        </w:rPr>
      </w:pPr>
      <w:r w:rsidRPr="00C65E86">
        <w:rPr>
          <w:rFonts w:asciiTheme="minorHAnsi" w:eastAsia="Batang" w:hAnsiTheme="minorHAnsi"/>
          <w:lang w:val="es-ES"/>
        </w:rPr>
        <w:t>24</w:t>
      </w:r>
      <w:r w:rsidR="00B27DC2" w:rsidRPr="00C65E86">
        <w:rPr>
          <w:rFonts w:asciiTheme="minorHAnsi" w:eastAsia="Batang" w:hAnsiTheme="minorHAnsi"/>
          <w:lang w:val="es-ES"/>
        </w:rPr>
        <w:t>.</w:t>
      </w:r>
      <w:r w:rsidR="00B27DC2" w:rsidRPr="00C65E86">
        <w:rPr>
          <w:rFonts w:asciiTheme="minorHAnsi" w:eastAsia="Batang" w:hAnsiTheme="minorHAnsi"/>
          <w:lang w:val="es-ES"/>
        </w:rPr>
        <w:tab/>
      </w:r>
      <w:r w:rsidR="006E1061" w:rsidRPr="00C65E86">
        <w:rPr>
          <w:rFonts w:asciiTheme="minorHAnsi" w:eastAsia="Batang" w:hAnsiTheme="minorHAnsi"/>
          <w:lang w:val="es-ES"/>
        </w:rPr>
        <w:t xml:space="preserve">En la reunión SC59/2022, el Subgrupo de Finanzas acogió con satisfacción la disminución del total de las contribuciones pendientes desde 2020, y reconoció que ello era excepcional </w:t>
      </w:r>
      <w:r w:rsidR="0098169F" w:rsidRPr="00C65E86">
        <w:rPr>
          <w:rFonts w:asciiTheme="minorHAnsi" w:eastAsia="Batang" w:hAnsiTheme="minorHAnsi"/>
          <w:lang w:val="es-ES"/>
        </w:rPr>
        <w:t>en comparación con otras</w:t>
      </w:r>
      <w:r w:rsidR="006E1061" w:rsidRPr="00C65E86">
        <w:rPr>
          <w:rFonts w:asciiTheme="minorHAnsi" w:eastAsia="Batang" w:hAnsiTheme="minorHAnsi"/>
          <w:lang w:val="es-ES"/>
        </w:rPr>
        <w:t xml:space="preserve"> Convenciones</w:t>
      </w:r>
      <w:r w:rsidR="0098169F" w:rsidRPr="00C65E86">
        <w:rPr>
          <w:rFonts w:asciiTheme="minorHAnsi" w:eastAsia="Batang" w:hAnsiTheme="minorHAnsi"/>
          <w:lang w:val="es-ES"/>
        </w:rPr>
        <w:t>. Agradeció a</w:t>
      </w:r>
      <w:r w:rsidR="006E1061" w:rsidRPr="00C65E86">
        <w:rPr>
          <w:rFonts w:asciiTheme="minorHAnsi" w:eastAsia="Batang" w:hAnsiTheme="minorHAnsi"/>
          <w:lang w:val="es-ES"/>
        </w:rPr>
        <w:t xml:space="preserve"> la Secretaría </w:t>
      </w:r>
      <w:r w:rsidR="0098169F" w:rsidRPr="00C65E86">
        <w:rPr>
          <w:rFonts w:asciiTheme="minorHAnsi" w:eastAsia="Batang" w:hAnsiTheme="minorHAnsi"/>
          <w:lang w:val="es-ES"/>
        </w:rPr>
        <w:t xml:space="preserve">por las gestiones que </w:t>
      </w:r>
      <w:r w:rsidR="006E1061" w:rsidRPr="00C65E86">
        <w:rPr>
          <w:rFonts w:asciiTheme="minorHAnsi" w:eastAsia="Batang" w:hAnsiTheme="minorHAnsi"/>
          <w:lang w:val="es-ES"/>
        </w:rPr>
        <w:t xml:space="preserve">realizó </w:t>
      </w:r>
      <w:r w:rsidR="00283342">
        <w:rPr>
          <w:rFonts w:asciiTheme="minorHAnsi" w:eastAsia="Batang" w:hAnsiTheme="minorHAnsi"/>
          <w:lang w:val="es-ES"/>
        </w:rPr>
        <w:t>en con este objetivo</w:t>
      </w:r>
      <w:r w:rsidR="006E1061" w:rsidRPr="00C65E86">
        <w:rPr>
          <w:rFonts w:asciiTheme="minorHAnsi" w:eastAsia="Batang" w:hAnsiTheme="minorHAnsi"/>
          <w:lang w:val="es-ES"/>
        </w:rPr>
        <w:t xml:space="preserve"> (véase el párrafo 1 del informe del Subgrupo de Finanzas aprobado por la reunión SC59/2022, documento SC59/2022 Com.2 Rev.1</w:t>
      </w:r>
      <w:r w:rsidRPr="00C65E86">
        <w:rPr>
          <w:rStyle w:val="FootnoteReference"/>
          <w:rFonts w:asciiTheme="minorHAnsi" w:eastAsia="Batang" w:hAnsiTheme="minorHAnsi"/>
          <w:color w:val="000000"/>
          <w:lang w:val="es-ES" w:eastAsia="ko-KR"/>
        </w:rPr>
        <w:footnoteReference w:id="6"/>
      </w:r>
      <w:r w:rsidR="005C1B09" w:rsidRPr="00C65E86">
        <w:rPr>
          <w:lang w:val="es-ES"/>
        </w:rPr>
        <w:t>).</w:t>
      </w:r>
    </w:p>
    <w:p w14:paraId="26598341" w14:textId="3293D160" w:rsidR="00EC72C3" w:rsidRPr="007D7B87" w:rsidRDefault="00EC72C3" w:rsidP="00FC2EBB">
      <w:pPr>
        <w:rPr>
          <w:rFonts w:cs="Arial"/>
          <w:b/>
          <w:noProof/>
          <w:sz w:val="24"/>
          <w:szCs w:val="24"/>
          <w:lang w:val="es-ES"/>
        </w:rPr>
      </w:pPr>
      <w:r w:rsidRPr="007D7B87">
        <w:rPr>
          <w:rFonts w:cs="Arial"/>
          <w:b/>
          <w:noProof/>
          <w:sz w:val="24"/>
          <w:szCs w:val="24"/>
          <w:lang w:val="es-ES"/>
        </w:rPr>
        <w:br w:type="page"/>
      </w:r>
    </w:p>
    <w:p w14:paraId="530D17AC" w14:textId="4B181CFD" w:rsidR="00F21A80" w:rsidRPr="007D7B87" w:rsidRDefault="0098169F" w:rsidP="000F0539">
      <w:pPr>
        <w:pStyle w:val="ListParagraph"/>
        <w:ind w:left="0" w:firstLine="0"/>
        <w:contextualSpacing w:val="0"/>
        <w:rPr>
          <w:rFonts w:cs="Arial"/>
          <w:b/>
          <w:noProof/>
          <w:sz w:val="24"/>
          <w:szCs w:val="24"/>
          <w:lang w:val="es-ES"/>
        </w:rPr>
      </w:pPr>
      <w:r>
        <w:rPr>
          <w:rFonts w:cs="Arial"/>
          <w:b/>
          <w:noProof/>
          <w:sz w:val="24"/>
          <w:szCs w:val="24"/>
          <w:lang w:val="es-ES"/>
        </w:rPr>
        <w:lastRenderedPageBreak/>
        <w:t>Anexo 1</w:t>
      </w:r>
    </w:p>
    <w:p w14:paraId="3F67EB31" w14:textId="0A62F9D1" w:rsidR="00F21A80" w:rsidRPr="007D7B87" w:rsidRDefault="00D6776B" w:rsidP="000F0539">
      <w:pPr>
        <w:ind w:left="0" w:firstLine="0"/>
        <w:rPr>
          <w:rFonts w:asciiTheme="minorHAnsi" w:hAnsiTheme="minorHAnsi"/>
          <w:b/>
          <w:bCs/>
          <w:noProof/>
          <w:sz w:val="24"/>
          <w:szCs w:val="24"/>
          <w:lang w:val="es-ES" w:eastAsia="en-GB"/>
        </w:rPr>
      </w:pPr>
      <w:r w:rsidRPr="004C6CC6">
        <w:rPr>
          <w:rFonts w:asciiTheme="minorHAnsi" w:hAnsiTheme="minorHAnsi"/>
          <w:b/>
          <w:bCs/>
          <w:noProof/>
          <w:sz w:val="24"/>
          <w:szCs w:val="24"/>
          <w:lang w:val="es-ES" w:eastAsia="en-GB"/>
        </w:rPr>
        <w:t xml:space="preserve">Sinopsis de los resultados financieros del presupuesto básico de </w:t>
      </w:r>
      <w:r w:rsidR="00A4398B">
        <w:rPr>
          <w:rFonts w:asciiTheme="minorHAnsi" w:hAnsiTheme="minorHAnsi"/>
          <w:b/>
          <w:bCs/>
          <w:noProof/>
          <w:sz w:val="24"/>
          <w:szCs w:val="24"/>
          <w:lang w:val="es-ES" w:eastAsia="en-GB"/>
        </w:rPr>
        <w:t>2019-2021 y el presupuesto aprobado para 2022</w:t>
      </w:r>
    </w:p>
    <w:p w14:paraId="08FE8D70" w14:textId="2884A44E" w:rsidR="002116FA" w:rsidRPr="007D7B87" w:rsidRDefault="002116FA" w:rsidP="000F0539">
      <w:pPr>
        <w:ind w:left="0" w:firstLine="0"/>
        <w:rPr>
          <w:rFonts w:asciiTheme="minorHAnsi" w:hAnsiTheme="minorHAnsi"/>
          <w:b/>
          <w:bCs/>
          <w:noProof/>
          <w:sz w:val="24"/>
          <w:szCs w:val="24"/>
          <w:lang w:val="es-ES" w:eastAsia="en-GB"/>
        </w:rPr>
      </w:pPr>
    </w:p>
    <w:tbl>
      <w:tblPr>
        <w:tblW w:w="9923" w:type="dxa"/>
        <w:tblInd w:w="-431" w:type="dxa"/>
        <w:tblLayout w:type="fixed"/>
        <w:tblCellMar>
          <w:top w:w="28" w:type="dxa"/>
          <w:left w:w="57" w:type="dxa"/>
          <w:bottom w:w="28" w:type="dxa"/>
          <w:right w:w="57" w:type="dxa"/>
        </w:tblCellMar>
        <w:tblLook w:val="04A0" w:firstRow="1" w:lastRow="0" w:firstColumn="1" w:lastColumn="0" w:noHBand="0" w:noVBand="1"/>
      </w:tblPr>
      <w:tblGrid>
        <w:gridCol w:w="2843"/>
        <w:gridCol w:w="887"/>
        <w:gridCol w:w="887"/>
        <w:gridCol w:w="887"/>
        <w:gridCol w:w="1159"/>
        <w:gridCol w:w="982"/>
        <w:gridCol w:w="1188"/>
        <w:gridCol w:w="1090"/>
      </w:tblGrid>
      <w:tr w:rsidR="002866BB" w:rsidRPr="007D7B87" w14:paraId="213528BE" w14:textId="77777777" w:rsidTr="00DA1236">
        <w:tc>
          <w:tcPr>
            <w:tcW w:w="2843"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3104F3C" w14:textId="77141138" w:rsidR="002866BB" w:rsidRPr="007D7B87" w:rsidRDefault="00214BEF" w:rsidP="00DA1236">
            <w:pPr>
              <w:ind w:left="0" w:firstLine="0"/>
              <w:jc w:val="center"/>
              <w:rPr>
                <w:rFonts w:asciiTheme="minorHAnsi" w:eastAsia="Times New Roman" w:hAnsiTheme="minorHAnsi" w:cstheme="minorHAnsi"/>
                <w:b/>
                <w:bCs/>
                <w:noProof/>
                <w:sz w:val="20"/>
                <w:szCs w:val="20"/>
                <w:lang w:val="es-ES" w:eastAsia="en-GB"/>
              </w:rPr>
            </w:pPr>
            <w:r>
              <w:rPr>
                <w:rFonts w:asciiTheme="minorHAnsi" w:eastAsia="Times New Roman" w:hAnsiTheme="minorHAnsi" w:cstheme="minorHAnsi"/>
                <w:b/>
                <w:bCs/>
                <w:noProof/>
                <w:sz w:val="20"/>
                <w:szCs w:val="20"/>
                <w:lang w:val="es-ES" w:eastAsia="en-GB"/>
              </w:rPr>
              <w:t xml:space="preserve">Presupuesto básico para el trienio </w:t>
            </w:r>
            <w:r w:rsidR="002866BB" w:rsidRPr="007D7B87">
              <w:rPr>
                <w:rFonts w:asciiTheme="minorHAnsi" w:eastAsia="Times New Roman" w:hAnsiTheme="minorHAnsi" w:cstheme="minorHAnsi"/>
                <w:b/>
                <w:bCs/>
                <w:noProof/>
                <w:sz w:val="20"/>
                <w:szCs w:val="20"/>
                <w:lang w:val="es-ES" w:eastAsia="en-GB"/>
              </w:rPr>
              <w:t>2019-2021</w:t>
            </w:r>
            <w:r w:rsidR="002866BB" w:rsidRPr="007D7B87">
              <w:rPr>
                <w:rFonts w:asciiTheme="minorHAnsi" w:eastAsia="Times New Roman" w:hAnsiTheme="minorHAnsi" w:cstheme="minorHAnsi"/>
                <w:b/>
                <w:bCs/>
                <w:noProof/>
                <w:sz w:val="20"/>
                <w:szCs w:val="20"/>
                <w:lang w:val="es-ES" w:eastAsia="en-GB"/>
              </w:rPr>
              <w:br/>
            </w:r>
            <w:r w:rsidR="002866BB" w:rsidRPr="007D7B87">
              <w:rPr>
                <w:rFonts w:asciiTheme="minorHAnsi" w:eastAsia="Times New Roman" w:hAnsiTheme="minorHAnsi" w:cstheme="minorHAnsi"/>
                <w:b/>
                <w:bCs/>
                <w:noProof/>
                <w:sz w:val="20"/>
                <w:szCs w:val="20"/>
                <w:lang w:val="es-ES" w:eastAsia="en-GB"/>
              </w:rPr>
              <w:br/>
            </w:r>
            <w:r>
              <w:rPr>
                <w:rFonts w:asciiTheme="minorHAnsi" w:eastAsia="Times New Roman" w:hAnsiTheme="minorHAnsi" w:cstheme="minorHAnsi"/>
                <w:b/>
                <w:bCs/>
                <w:noProof/>
                <w:sz w:val="20"/>
                <w:szCs w:val="20"/>
                <w:lang w:val="es-ES" w:eastAsia="en-GB"/>
              </w:rPr>
              <w:t>en miles de francos suizos</w:t>
            </w:r>
          </w:p>
        </w:tc>
        <w:tc>
          <w:tcPr>
            <w:tcW w:w="887" w:type="dxa"/>
            <w:tcBorders>
              <w:top w:val="single" w:sz="4" w:space="0" w:color="auto"/>
              <w:left w:val="nil"/>
              <w:bottom w:val="single" w:sz="4" w:space="0" w:color="auto"/>
              <w:right w:val="single" w:sz="4" w:space="0" w:color="auto"/>
            </w:tcBorders>
            <w:shd w:val="clear" w:color="000000" w:fill="DDEBF7"/>
            <w:vAlign w:val="center"/>
            <w:hideMark/>
          </w:tcPr>
          <w:p w14:paraId="03BCA29E" w14:textId="33DF6A67" w:rsidR="002866BB" w:rsidRPr="007D7B87" w:rsidRDefault="00214BEF" w:rsidP="00DA1236">
            <w:pPr>
              <w:ind w:left="0" w:firstLine="0"/>
              <w:jc w:val="center"/>
              <w:rPr>
                <w:rFonts w:asciiTheme="minorHAnsi" w:eastAsia="Times New Roman" w:hAnsiTheme="minorHAnsi" w:cstheme="minorHAnsi"/>
                <w:b/>
                <w:bCs/>
                <w:noProof/>
                <w:sz w:val="20"/>
                <w:szCs w:val="20"/>
                <w:lang w:val="es-ES" w:eastAsia="en-GB"/>
              </w:rPr>
            </w:pPr>
            <w:r>
              <w:rPr>
                <w:rFonts w:asciiTheme="minorHAnsi" w:eastAsia="Times New Roman" w:hAnsiTheme="minorHAnsi" w:cstheme="minorHAnsi"/>
                <w:b/>
                <w:bCs/>
                <w:noProof/>
                <w:sz w:val="20"/>
                <w:szCs w:val="20"/>
                <w:lang w:val="es-ES" w:eastAsia="en-GB"/>
              </w:rPr>
              <w:t>Cifras reales</w:t>
            </w:r>
            <w:r w:rsidR="002866BB" w:rsidRPr="007D7B87">
              <w:rPr>
                <w:rFonts w:asciiTheme="minorHAnsi" w:eastAsia="Times New Roman" w:hAnsiTheme="minorHAnsi" w:cstheme="minorHAnsi"/>
                <w:b/>
                <w:bCs/>
                <w:noProof/>
                <w:sz w:val="20"/>
                <w:szCs w:val="20"/>
                <w:lang w:val="es-ES" w:eastAsia="en-GB"/>
              </w:rPr>
              <w:t xml:space="preserve"> </w:t>
            </w:r>
            <w:r w:rsidR="002866BB" w:rsidRPr="007D7B87">
              <w:rPr>
                <w:rFonts w:asciiTheme="minorHAnsi" w:eastAsia="Times New Roman" w:hAnsiTheme="minorHAnsi" w:cstheme="minorHAnsi"/>
                <w:b/>
                <w:bCs/>
                <w:noProof/>
                <w:sz w:val="20"/>
                <w:szCs w:val="20"/>
                <w:lang w:val="es-ES" w:eastAsia="en-GB"/>
              </w:rPr>
              <w:br/>
            </w:r>
            <w:r w:rsidR="002866BB" w:rsidRPr="007D7B87">
              <w:rPr>
                <w:rFonts w:asciiTheme="minorHAnsi" w:eastAsia="Times New Roman" w:hAnsiTheme="minorHAnsi" w:cstheme="minorHAnsi"/>
                <w:b/>
                <w:bCs/>
                <w:noProof/>
                <w:sz w:val="20"/>
                <w:szCs w:val="20"/>
                <w:lang w:val="es-ES" w:eastAsia="en-GB"/>
              </w:rPr>
              <w:br/>
              <w:t>2019</w:t>
            </w:r>
          </w:p>
        </w:tc>
        <w:tc>
          <w:tcPr>
            <w:tcW w:w="887" w:type="dxa"/>
            <w:tcBorders>
              <w:top w:val="single" w:sz="4" w:space="0" w:color="auto"/>
              <w:left w:val="nil"/>
              <w:bottom w:val="single" w:sz="4" w:space="0" w:color="auto"/>
              <w:right w:val="single" w:sz="4" w:space="0" w:color="auto"/>
            </w:tcBorders>
            <w:shd w:val="clear" w:color="000000" w:fill="DDEBF7"/>
            <w:vAlign w:val="center"/>
            <w:hideMark/>
          </w:tcPr>
          <w:p w14:paraId="76B73780" w14:textId="7456D59E" w:rsidR="002866BB" w:rsidRPr="007D7B87" w:rsidRDefault="00214BEF" w:rsidP="00DA1236">
            <w:pPr>
              <w:ind w:left="0" w:firstLine="0"/>
              <w:jc w:val="center"/>
              <w:rPr>
                <w:rFonts w:asciiTheme="minorHAnsi" w:eastAsia="Times New Roman" w:hAnsiTheme="minorHAnsi" w:cstheme="minorHAnsi"/>
                <w:b/>
                <w:bCs/>
                <w:noProof/>
                <w:sz w:val="20"/>
                <w:szCs w:val="20"/>
                <w:lang w:val="es-ES" w:eastAsia="en-GB"/>
              </w:rPr>
            </w:pPr>
            <w:r>
              <w:rPr>
                <w:rFonts w:asciiTheme="minorHAnsi" w:eastAsia="Times New Roman" w:hAnsiTheme="minorHAnsi" w:cstheme="minorHAnsi"/>
                <w:b/>
                <w:bCs/>
                <w:noProof/>
                <w:sz w:val="20"/>
                <w:szCs w:val="20"/>
                <w:lang w:val="es-ES" w:eastAsia="en-GB"/>
              </w:rPr>
              <w:t>Cifras reales</w:t>
            </w:r>
            <w:r w:rsidR="002866BB" w:rsidRPr="007D7B87">
              <w:rPr>
                <w:rFonts w:asciiTheme="minorHAnsi" w:eastAsia="Times New Roman" w:hAnsiTheme="minorHAnsi" w:cstheme="minorHAnsi"/>
                <w:b/>
                <w:bCs/>
                <w:noProof/>
                <w:sz w:val="20"/>
                <w:szCs w:val="20"/>
                <w:lang w:val="es-ES" w:eastAsia="en-GB"/>
              </w:rPr>
              <w:br/>
            </w:r>
            <w:r w:rsidR="002866BB" w:rsidRPr="007D7B87">
              <w:rPr>
                <w:rFonts w:asciiTheme="minorHAnsi" w:eastAsia="Times New Roman" w:hAnsiTheme="minorHAnsi" w:cstheme="minorHAnsi"/>
                <w:b/>
                <w:bCs/>
                <w:noProof/>
                <w:sz w:val="20"/>
                <w:szCs w:val="20"/>
                <w:lang w:val="es-ES" w:eastAsia="en-GB"/>
              </w:rPr>
              <w:br/>
              <w:t>2020</w:t>
            </w:r>
          </w:p>
        </w:tc>
        <w:tc>
          <w:tcPr>
            <w:tcW w:w="887" w:type="dxa"/>
            <w:tcBorders>
              <w:top w:val="single" w:sz="4" w:space="0" w:color="auto"/>
              <w:left w:val="nil"/>
              <w:bottom w:val="single" w:sz="4" w:space="0" w:color="auto"/>
              <w:right w:val="single" w:sz="4" w:space="0" w:color="auto"/>
            </w:tcBorders>
            <w:shd w:val="clear" w:color="000000" w:fill="DDEBF7"/>
            <w:vAlign w:val="center"/>
            <w:hideMark/>
          </w:tcPr>
          <w:p w14:paraId="6DD91ADD" w14:textId="47F4B74B" w:rsidR="002866BB" w:rsidRPr="007D7B87" w:rsidRDefault="00214BEF" w:rsidP="00DA1236">
            <w:pPr>
              <w:ind w:left="0" w:firstLine="0"/>
              <w:jc w:val="center"/>
              <w:rPr>
                <w:rFonts w:asciiTheme="minorHAnsi" w:eastAsia="Times New Roman" w:hAnsiTheme="minorHAnsi" w:cstheme="minorHAnsi"/>
                <w:b/>
                <w:bCs/>
                <w:noProof/>
                <w:sz w:val="20"/>
                <w:szCs w:val="20"/>
                <w:lang w:val="es-ES" w:eastAsia="en-GB"/>
              </w:rPr>
            </w:pPr>
            <w:r>
              <w:rPr>
                <w:rFonts w:asciiTheme="minorHAnsi" w:eastAsia="Times New Roman" w:hAnsiTheme="minorHAnsi" w:cstheme="minorHAnsi"/>
                <w:b/>
                <w:bCs/>
                <w:noProof/>
                <w:sz w:val="20"/>
                <w:szCs w:val="20"/>
                <w:lang w:val="es-ES" w:eastAsia="en-GB"/>
              </w:rPr>
              <w:t>Cifras reales</w:t>
            </w:r>
            <w:r w:rsidR="002866BB" w:rsidRPr="007D7B87">
              <w:rPr>
                <w:rFonts w:asciiTheme="minorHAnsi" w:eastAsia="Times New Roman" w:hAnsiTheme="minorHAnsi" w:cstheme="minorHAnsi"/>
                <w:b/>
                <w:bCs/>
                <w:noProof/>
                <w:sz w:val="20"/>
                <w:szCs w:val="20"/>
                <w:lang w:val="es-ES" w:eastAsia="en-GB"/>
              </w:rPr>
              <w:br/>
            </w:r>
            <w:r w:rsidR="002866BB" w:rsidRPr="007D7B87">
              <w:rPr>
                <w:rFonts w:asciiTheme="minorHAnsi" w:eastAsia="Times New Roman" w:hAnsiTheme="minorHAnsi" w:cstheme="minorHAnsi"/>
                <w:b/>
                <w:bCs/>
                <w:noProof/>
                <w:sz w:val="20"/>
                <w:szCs w:val="20"/>
                <w:lang w:val="es-ES" w:eastAsia="en-GB"/>
              </w:rPr>
              <w:br/>
              <w:t>2021</w:t>
            </w:r>
          </w:p>
        </w:tc>
        <w:tc>
          <w:tcPr>
            <w:tcW w:w="1159" w:type="dxa"/>
            <w:tcBorders>
              <w:top w:val="single" w:sz="4" w:space="0" w:color="auto"/>
              <w:left w:val="nil"/>
              <w:bottom w:val="single" w:sz="4" w:space="0" w:color="auto"/>
              <w:right w:val="single" w:sz="4" w:space="0" w:color="auto"/>
            </w:tcBorders>
            <w:shd w:val="clear" w:color="000000" w:fill="DDEBF7"/>
            <w:vAlign w:val="center"/>
            <w:hideMark/>
          </w:tcPr>
          <w:p w14:paraId="3CE889BF" w14:textId="3777009D" w:rsidR="002866BB" w:rsidRPr="007D7B87" w:rsidRDefault="00214BEF" w:rsidP="00DA1236">
            <w:pPr>
              <w:ind w:left="0" w:firstLine="0"/>
              <w:jc w:val="center"/>
              <w:rPr>
                <w:rFonts w:asciiTheme="minorHAnsi" w:eastAsia="Times New Roman" w:hAnsiTheme="minorHAnsi" w:cstheme="minorHAnsi"/>
                <w:b/>
                <w:bCs/>
                <w:noProof/>
                <w:sz w:val="20"/>
                <w:szCs w:val="20"/>
                <w:lang w:val="es-ES" w:eastAsia="en-GB"/>
              </w:rPr>
            </w:pPr>
            <w:r>
              <w:rPr>
                <w:rFonts w:asciiTheme="minorHAnsi" w:eastAsia="Times New Roman" w:hAnsiTheme="minorHAnsi" w:cstheme="minorHAnsi"/>
                <w:b/>
                <w:bCs/>
                <w:noProof/>
                <w:sz w:val="20"/>
                <w:szCs w:val="20"/>
                <w:lang w:val="es-ES" w:eastAsia="en-GB"/>
              </w:rPr>
              <w:t>Presupuesto</w:t>
            </w:r>
            <w:r w:rsidR="002866BB" w:rsidRPr="007D7B87">
              <w:rPr>
                <w:rFonts w:asciiTheme="minorHAnsi" w:eastAsia="Times New Roman" w:hAnsiTheme="minorHAnsi" w:cstheme="minorHAnsi"/>
                <w:b/>
                <w:bCs/>
                <w:noProof/>
                <w:sz w:val="20"/>
                <w:szCs w:val="20"/>
                <w:lang w:val="es-ES" w:eastAsia="en-GB"/>
              </w:rPr>
              <w:t xml:space="preserve"> </w:t>
            </w:r>
            <w:r>
              <w:rPr>
                <w:rFonts w:asciiTheme="minorHAnsi" w:eastAsia="Times New Roman" w:hAnsiTheme="minorHAnsi" w:cstheme="minorHAnsi"/>
                <w:b/>
                <w:bCs/>
                <w:noProof/>
                <w:sz w:val="20"/>
                <w:szCs w:val="20"/>
                <w:lang w:val="es-ES" w:eastAsia="en-GB"/>
              </w:rPr>
              <w:t>básico</w:t>
            </w:r>
            <w:r w:rsidR="002866BB" w:rsidRPr="007D7B87">
              <w:rPr>
                <w:rFonts w:asciiTheme="minorHAnsi" w:eastAsia="Times New Roman" w:hAnsiTheme="minorHAnsi" w:cstheme="minorHAnsi"/>
                <w:b/>
                <w:bCs/>
                <w:noProof/>
                <w:sz w:val="20"/>
                <w:szCs w:val="20"/>
                <w:lang w:val="es-ES" w:eastAsia="en-GB"/>
              </w:rPr>
              <w:t>*</w:t>
            </w:r>
            <w:r w:rsidR="002866BB" w:rsidRPr="007D7B87">
              <w:rPr>
                <w:rFonts w:asciiTheme="minorHAnsi" w:eastAsia="Times New Roman" w:hAnsiTheme="minorHAnsi" w:cstheme="minorHAnsi"/>
                <w:b/>
                <w:bCs/>
                <w:noProof/>
                <w:sz w:val="20"/>
                <w:szCs w:val="20"/>
                <w:lang w:val="es-ES" w:eastAsia="en-GB"/>
              </w:rPr>
              <w:br/>
            </w:r>
            <w:r w:rsidR="002866BB" w:rsidRPr="007D7B87">
              <w:rPr>
                <w:rFonts w:asciiTheme="minorHAnsi" w:eastAsia="Times New Roman" w:hAnsiTheme="minorHAnsi" w:cstheme="minorHAnsi"/>
                <w:b/>
                <w:bCs/>
                <w:noProof/>
                <w:sz w:val="20"/>
                <w:szCs w:val="20"/>
                <w:lang w:val="es-ES" w:eastAsia="en-GB"/>
              </w:rPr>
              <w:br/>
              <w:t>2022</w:t>
            </w:r>
          </w:p>
        </w:tc>
        <w:tc>
          <w:tcPr>
            <w:tcW w:w="982" w:type="dxa"/>
            <w:tcBorders>
              <w:top w:val="single" w:sz="4" w:space="0" w:color="auto"/>
              <w:left w:val="nil"/>
              <w:bottom w:val="single" w:sz="4" w:space="0" w:color="auto"/>
              <w:right w:val="single" w:sz="4" w:space="0" w:color="auto"/>
            </w:tcBorders>
            <w:shd w:val="clear" w:color="000000" w:fill="DDEBF7"/>
            <w:vAlign w:val="center"/>
            <w:hideMark/>
          </w:tcPr>
          <w:p w14:paraId="3FF928CC" w14:textId="093160DC" w:rsidR="002866BB" w:rsidRPr="007D7B87" w:rsidRDefault="002866BB" w:rsidP="00DA1236">
            <w:pPr>
              <w:ind w:left="0" w:firstLine="0"/>
              <w:jc w:val="center"/>
              <w:rPr>
                <w:rFonts w:asciiTheme="minorHAnsi" w:eastAsia="Times New Roman" w:hAnsiTheme="minorHAnsi" w:cstheme="minorHAnsi"/>
                <w:b/>
                <w:bCs/>
                <w:noProof/>
                <w:sz w:val="20"/>
                <w:szCs w:val="20"/>
                <w:lang w:val="es-ES" w:eastAsia="en-GB"/>
              </w:rPr>
            </w:pPr>
            <w:r w:rsidRPr="007D7B87">
              <w:rPr>
                <w:rFonts w:asciiTheme="minorHAnsi" w:eastAsia="Times New Roman" w:hAnsiTheme="minorHAnsi" w:cstheme="minorHAnsi"/>
                <w:b/>
                <w:bCs/>
                <w:noProof/>
                <w:sz w:val="20"/>
                <w:szCs w:val="20"/>
                <w:lang w:val="es-ES" w:eastAsia="en-GB"/>
              </w:rPr>
              <w:t xml:space="preserve">Total </w:t>
            </w:r>
            <w:r w:rsidR="00214BEF">
              <w:rPr>
                <w:rFonts w:asciiTheme="minorHAnsi" w:eastAsia="Times New Roman" w:hAnsiTheme="minorHAnsi" w:cstheme="minorHAnsi"/>
                <w:b/>
                <w:bCs/>
                <w:noProof/>
                <w:sz w:val="20"/>
                <w:szCs w:val="20"/>
                <w:lang w:val="es-ES" w:eastAsia="en-GB"/>
              </w:rPr>
              <w:t xml:space="preserve">de </w:t>
            </w:r>
            <w:r w:rsidR="00542089">
              <w:rPr>
                <w:rFonts w:asciiTheme="minorHAnsi" w:eastAsia="Times New Roman" w:hAnsiTheme="minorHAnsi" w:cstheme="minorHAnsi"/>
                <w:b/>
                <w:bCs/>
                <w:noProof/>
                <w:sz w:val="20"/>
                <w:szCs w:val="20"/>
                <w:lang w:val="es-ES" w:eastAsia="en-GB"/>
              </w:rPr>
              <w:t>c</w:t>
            </w:r>
            <w:r w:rsidR="00214BEF">
              <w:rPr>
                <w:rFonts w:asciiTheme="minorHAnsi" w:eastAsia="Times New Roman" w:hAnsiTheme="minorHAnsi" w:cstheme="minorHAnsi"/>
                <w:b/>
                <w:bCs/>
                <w:noProof/>
                <w:sz w:val="20"/>
                <w:szCs w:val="20"/>
                <w:lang w:val="es-ES" w:eastAsia="en-GB"/>
              </w:rPr>
              <w:t>ifras reales</w:t>
            </w:r>
            <w:r w:rsidRPr="007D7B87">
              <w:rPr>
                <w:rFonts w:asciiTheme="minorHAnsi" w:eastAsia="Times New Roman" w:hAnsiTheme="minorHAnsi" w:cstheme="minorHAnsi"/>
                <w:b/>
                <w:bCs/>
                <w:noProof/>
                <w:sz w:val="20"/>
                <w:szCs w:val="20"/>
                <w:lang w:val="es-ES" w:eastAsia="en-GB"/>
              </w:rPr>
              <w:t xml:space="preserve"> </w:t>
            </w:r>
            <w:r w:rsidRPr="007D7B87">
              <w:rPr>
                <w:rFonts w:asciiTheme="minorHAnsi" w:eastAsia="Times New Roman" w:hAnsiTheme="minorHAnsi" w:cstheme="minorHAnsi"/>
                <w:b/>
                <w:bCs/>
                <w:noProof/>
                <w:sz w:val="20"/>
                <w:szCs w:val="20"/>
                <w:lang w:val="es-ES" w:eastAsia="en-GB"/>
              </w:rPr>
              <w:br/>
              <w:t>2019-2022</w:t>
            </w:r>
          </w:p>
        </w:tc>
        <w:tc>
          <w:tcPr>
            <w:tcW w:w="1188" w:type="dxa"/>
            <w:tcBorders>
              <w:top w:val="single" w:sz="4" w:space="0" w:color="auto"/>
              <w:left w:val="nil"/>
              <w:bottom w:val="single" w:sz="4" w:space="0" w:color="auto"/>
              <w:right w:val="single" w:sz="4" w:space="0" w:color="auto"/>
            </w:tcBorders>
            <w:shd w:val="clear" w:color="000000" w:fill="DDEBF7"/>
            <w:vAlign w:val="center"/>
            <w:hideMark/>
          </w:tcPr>
          <w:p w14:paraId="549EEDBA" w14:textId="7FC1ED98" w:rsidR="002866BB" w:rsidRPr="007D7B87" w:rsidRDefault="00214BEF" w:rsidP="00DA1236">
            <w:pPr>
              <w:ind w:left="0" w:firstLine="0"/>
              <w:jc w:val="center"/>
              <w:rPr>
                <w:rFonts w:asciiTheme="minorHAnsi" w:eastAsia="Times New Roman" w:hAnsiTheme="minorHAnsi" w:cstheme="minorHAnsi"/>
                <w:b/>
                <w:bCs/>
                <w:noProof/>
                <w:sz w:val="20"/>
                <w:szCs w:val="20"/>
                <w:lang w:val="es-ES" w:eastAsia="en-GB"/>
              </w:rPr>
            </w:pPr>
            <w:r>
              <w:rPr>
                <w:rFonts w:asciiTheme="minorHAnsi" w:eastAsia="Times New Roman" w:hAnsiTheme="minorHAnsi" w:cstheme="minorHAnsi"/>
                <w:b/>
                <w:bCs/>
                <w:noProof/>
                <w:spacing w:val="-6"/>
                <w:sz w:val="20"/>
                <w:szCs w:val="20"/>
                <w:lang w:val="es-ES" w:eastAsia="en-GB"/>
              </w:rPr>
              <w:t xml:space="preserve">Presupuesto aprobado por la </w:t>
            </w:r>
            <w:r w:rsidR="002866BB" w:rsidRPr="007D7B87">
              <w:rPr>
                <w:rFonts w:asciiTheme="minorHAnsi" w:eastAsia="Times New Roman" w:hAnsiTheme="minorHAnsi" w:cstheme="minorHAnsi"/>
                <w:b/>
                <w:bCs/>
                <w:noProof/>
                <w:spacing w:val="-6"/>
                <w:sz w:val="20"/>
                <w:szCs w:val="20"/>
                <w:lang w:val="es-ES" w:eastAsia="en-GB"/>
              </w:rPr>
              <w:t xml:space="preserve">COP13 </w:t>
            </w:r>
            <w:r>
              <w:rPr>
                <w:rFonts w:asciiTheme="minorHAnsi" w:eastAsia="Times New Roman" w:hAnsiTheme="minorHAnsi" w:cstheme="minorHAnsi"/>
                <w:b/>
                <w:bCs/>
                <w:noProof/>
                <w:spacing w:val="-6"/>
                <w:sz w:val="20"/>
                <w:szCs w:val="20"/>
                <w:lang w:val="es-ES" w:eastAsia="en-GB"/>
              </w:rPr>
              <w:t>y la</w:t>
            </w:r>
            <w:r w:rsidR="002866BB" w:rsidRPr="007D7B87">
              <w:rPr>
                <w:rFonts w:asciiTheme="minorHAnsi" w:eastAsia="Times New Roman" w:hAnsiTheme="minorHAnsi" w:cstheme="minorHAnsi"/>
                <w:b/>
                <w:bCs/>
                <w:noProof/>
                <w:sz w:val="20"/>
                <w:szCs w:val="20"/>
                <w:lang w:val="es-ES" w:eastAsia="en-GB"/>
              </w:rPr>
              <w:t xml:space="preserve"> ExCOP3 </w:t>
            </w:r>
            <w:r>
              <w:rPr>
                <w:rFonts w:asciiTheme="minorHAnsi" w:eastAsia="Times New Roman" w:hAnsiTheme="minorHAnsi" w:cstheme="minorHAnsi"/>
                <w:b/>
                <w:bCs/>
                <w:noProof/>
                <w:sz w:val="20"/>
                <w:szCs w:val="20"/>
                <w:lang w:val="es-ES" w:eastAsia="en-GB"/>
              </w:rPr>
              <w:t>para</w:t>
            </w:r>
            <w:r w:rsidR="002866BB" w:rsidRPr="007D7B87">
              <w:rPr>
                <w:rFonts w:asciiTheme="minorHAnsi" w:eastAsia="Times New Roman" w:hAnsiTheme="minorHAnsi" w:cstheme="minorHAnsi"/>
                <w:b/>
                <w:bCs/>
                <w:noProof/>
                <w:sz w:val="20"/>
                <w:szCs w:val="20"/>
                <w:lang w:val="es-ES" w:eastAsia="en-GB"/>
              </w:rPr>
              <w:br/>
              <w:t>2019-2022</w:t>
            </w:r>
          </w:p>
        </w:tc>
        <w:tc>
          <w:tcPr>
            <w:tcW w:w="1090" w:type="dxa"/>
            <w:tcBorders>
              <w:top w:val="single" w:sz="4" w:space="0" w:color="auto"/>
              <w:left w:val="nil"/>
              <w:bottom w:val="single" w:sz="4" w:space="0" w:color="auto"/>
              <w:right w:val="single" w:sz="4" w:space="0" w:color="auto"/>
            </w:tcBorders>
            <w:shd w:val="clear" w:color="000000" w:fill="DDEBF7"/>
            <w:vAlign w:val="center"/>
            <w:hideMark/>
          </w:tcPr>
          <w:p w14:paraId="7012EDAE" w14:textId="05ACFB27" w:rsidR="002866BB" w:rsidRPr="007D7B87" w:rsidRDefault="00214BEF" w:rsidP="00DA1236">
            <w:pPr>
              <w:ind w:left="0" w:firstLine="0"/>
              <w:jc w:val="center"/>
              <w:rPr>
                <w:rFonts w:asciiTheme="minorHAnsi" w:eastAsia="Times New Roman" w:hAnsiTheme="minorHAnsi" w:cstheme="minorHAnsi"/>
                <w:b/>
                <w:bCs/>
                <w:noProof/>
                <w:sz w:val="20"/>
                <w:szCs w:val="20"/>
                <w:lang w:val="es-ES" w:eastAsia="en-GB"/>
              </w:rPr>
            </w:pPr>
            <w:r>
              <w:rPr>
                <w:rFonts w:asciiTheme="minorHAnsi" w:eastAsia="Times New Roman" w:hAnsiTheme="minorHAnsi" w:cstheme="minorHAnsi"/>
                <w:b/>
                <w:bCs/>
                <w:noProof/>
                <w:sz w:val="20"/>
                <w:szCs w:val="20"/>
                <w:lang w:val="es-ES" w:eastAsia="en-GB"/>
              </w:rPr>
              <w:t>Variación:</w:t>
            </w:r>
            <w:r w:rsidR="002866BB" w:rsidRPr="007D7B87">
              <w:rPr>
                <w:rFonts w:asciiTheme="minorHAnsi" w:eastAsia="Times New Roman" w:hAnsiTheme="minorHAnsi" w:cstheme="minorHAnsi"/>
                <w:b/>
                <w:bCs/>
                <w:noProof/>
                <w:sz w:val="20"/>
                <w:szCs w:val="20"/>
                <w:lang w:val="es-ES" w:eastAsia="en-GB"/>
              </w:rPr>
              <w:t xml:space="preserve"> </w:t>
            </w:r>
            <w:r>
              <w:rPr>
                <w:rFonts w:asciiTheme="minorHAnsi" w:eastAsia="Times New Roman" w:hAnsiTheme="minorHAnsi" w:cstheme="minorHAnsi"/>
                <w:b/>
                <w:bCs/>
                <w:noProof/>
                <w:sz w:val="20"/>
                <w:szCs w:val="20"/>
                <w:lang w:val="es-ES" w:eastAsia="en-GB"/>
              </w:rPr>
              <w:t>Excedente</w:t>
            </w:r>
            <w:r w:rsidR="002866BB" w:rsidRPr="007D7B87">
              <w:rPr>
                <w:rFonts w:asciiTheme="minorHAnsi" w:eastAsia="Times New Roman" w:hAnsiTheme="minorHAnsi" w:cstheme="minorHAnsi"/>
                <w:b/>
                <w:bCs/>
                <w:noProof/>
                <w:sz w:val="20"/>
                <w:szCs w:val="20"/>
                <w:lang w:val="es-ES" w:eastAsia="en-GB"/>
              </w:rPr>
              <w:t xml:space="preserve"> / (d</w:t>
            </w:r>
            <w:r>
              <w:rPr>
                <w:rFonts w:asciiTheme="minorHAnsi" w:eastAsia="Times New Roman" w:hAnsiTheme="minorHAnsi" w:cstheme="minorHAnsi"/>
                <w:b/>
                <w:bCs/>
                <w:noProof/>
                <w:sz w:val="20"/>
                <w:szCs w:val="20"/>
                <w:lang w:val="es-ES" w:eastAsia="en-GB"/>
              </w:rPr>
              <w:t>é</w:t>
            </w:r>
            <w:r w:rsidR="002866BB" w:rsidRPr="007D7B87">
              <w:rPr>
                <w:rFonts w:asciiTheme="minorHAnsi" w:eastAsia="Times New Roman" w:hAnsiTheme="minorHAnsi" w:cstheme="minorHAnsi"/>
                <w:b/>
                <w:bCs/>
                <w:noProof/>
                <w:sz w:val="20"/>
                <w:szCs w:val="20"/>
                <w:lang w:val="es-ES" w:eastAsia="en-GB"/>
              </w:rPr>
              <w:t>ficit)</w:t>
            </w:r>
            <w:r w:rsidR="002866BB" w:rsidRPr="007D7B87">
              <w:rPr>
                <w:rFonts w:asciiTheme="minorHAnsi" w:eastAsia="Times New Roman" w:hAnsiTheme="minorHAnsi" w:cstheme="minorHAnsi"/>
                <w:b/>
                <w:bCs/>
                <w:noProof/>
                <w:sz w:val="20"/>
                <w:szCs w:val="20"/>
                <w:lang w:val="es-ES" w:eastAsia="en-GB"/>
              </w:rPr>
              <w:br/>
              <w:t>2019-2022</w:t>
            </w:r>
          </w:p>
        </w:tc>
      </w:tr>
      <w:tr w:rsidR="002866BB" w:rsidRPr="007D7B87" w14:paraId="79B67083" w14:textId="77777777" w:rsidTr="00DA1236">
        <w:tc>
          <w:tcPr>
            <w:tcW w:w="2843" w:type="dxa"/>
            <w:tcBorders>
              <w:top w:val="nil"/>
              <w:left w:val="single" w:sz="4" w:space="0" w:color="auto"/>
              <w:bottom w:val="single" w:sz="4" w:space="0" w:color="auto"/>
              <w:right w:val="single" w:sz="4" w:space="0" w:color="auto"/>
            </w:tcBorders>
            <w:shd w:val="clear" w:color="auto" w:fill="auto"/>
            <w:noWrap/>
            <w:vAlign w:val="bottom"/>
            <w:hideMark/>
          </w:tcPr>
          <w:p w14:paraId="0F68D6AB" w14:textId="43DD2DAA" w:rsidR="002866BB" w:rsidRPr="007D7B87" w:rsidRDefault="00214BEF" w:rsidP="00496214">
            <w:pPr>
              <w:ind w:left="0" w:firstLine="0"/>
              <w:rPr>
                <w:rFonts w:asciiTheme="minorHAnsi" w:eastAsia="Times New Roman" w:hAnsiTheme="minorHAnsi" w:cstheme="minorHAnsi"/>
                <w:b/>
                <w:bCs/>
                <w:noProof/>
                <w:sz w:val="20"/>
                <w:szCs w:val="20"/>
                <w:lang w:val="es-ES" w:eastAsia="en-GB"/>
              </w:rPr>
            </w:pPr>
            <w:r>
              <w:rPr>
                <w:rFonts w:asciiTheme="minorHAnsi" w:eastAsia="Times New Roman" w:hAnsiTheme="minorHAnsi" w:cstheme="minorHAnsi"/>
                <w:b/>
                <w:bCs/>
                <w:noProof/>
                <w:sz w:val="20"/>
                <w:szCs w:val="20"/>
                <w:lang w:val="es-ES" w:eastAsia="en-GB"/>
              </w:rPr>
              <w:t>INGRESOS</w:t>
            </w:r>
          </w:p>
        </w:tc>
        <w:tc>
          <w:tcPr>
            <w:tcW w:w="887" w:type="dxa"/>
            <w:tcBorders>
              <w:top w:val="nil"/>
              <w:left w:val="nil"/>
              <w:bottom w:val="single" w:sz="4" w:space="0" w:color="auto"/>
              <w:right w:val="single" w:sz="4" w:space="0" w:color="auto"/>
            </w:tcBorders>
            <w:shd w:val="clear" w:color="auto" w:fill="auto"/>
            <w:noWrap/>
            <w:hideMark/>
          </w:tcPr>
          <w:p w14:paraId="44002933"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w:t>
            </w:r>
          </w:p>
        </w:tc>
        <w:tc>
          <w:tcPr>
            <w:tcW w:w="887" w:type="dxa"/>
            <w:tcBorders>
              <w:top w:val="nil"/>
              <w:left w:val="nil"/>
              <w:bottom w:val="single" w:sz="4" w:space="0" w:color="auto"/>
              <w:right w:val="single" w:sz="4" w:space="0" w:color="auto"/>
            </w:tcBorders>
            <w:shd w:val="clear" w:color="auto" w:fill="auto"/>
            <w:noWrap/>
            <w:hideMark/>
          </w:tcPr>
          <w:p w14:paraId="55396384"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w:t>
            </w:r>
          </w:p>
        </w:tc>
        <w:tc>
          <w:tcPr>
            <w:tcW w:w="887" w:type="dxa"/>
            <w:tcBorders>
              <w:top w:val="nil"/>
              <w:left w:val="nil"/>
              <w:bottom w:val="single" w:sz="4" w:space="0" w:color="auto"/>
              <w:right w:val="single" w:sz="4" w:space="0" w:color="auto"/>
            </w:tcBorders>
            <w:shd w:val="clear" w:color="auto" w:fill="auto"/>
            <w:noWrap/>
            <w:hideMark/>
          </w:tcPr>
          <w:p w14:paraId="15AB9E91"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w:t>
            </w:r>
          </w:p>
        </w:tc>
        <w:tc>
          <w:tcPr>
            <w:tcW w:w="1159" w:type="dxa"/>
            <w:tcBorders>
              <w:top w:val="nil"/>
              <w:left w:val="nil"/>
              <w:bottom w:val="single" w:sz="4" w:space="0" w:color="auto"/>
              <w:right w:val="single" w:sz="4" w:space="0" w:color="auto"/>
            </w:tcBorders>
            <w:shd w:val="clear" w:color="auto" w:fill="auto"/>
            <w:noWrap/>
            <w:hideMark/>
          </w:tcPr>
          <w:p w14:paraId="73EECB75"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w:t>
            </w:r>
          </w:p>
        </w:tc>
        <w:tc>
          <w:tcPr>
            <w:tcW w:w="982" w:type="dxa"/>
            <w:tcBorders>
              <w:top w:val="nil"/>
              <w:left w:val="nil"/>
              <w:bottom w:val="single" w:sz="4" w:space="0" w:color="auto"/>
              <w:right w:val="single" w:sz="4" w:space="0" w:color="auto"/>
            </w:tcBorders>
            <w:shd w:val="clear" w:color="auto" w:fill="auto"/>
            <w:noWrap/>
            <w:hideMark/>
          </w:tcPr>
          <w:p w14:paraId="2B003CD8"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w:t>
            </w:r>
          </w:p>
        </w:tc>
        <w:tc>
          <w:tcPr>
            <w:tcW w:w="1188" w:type="dxa"/>
            <w:tcBorders>
              <w:top w:val="nil"/>
              <w:left w:val="nil"/>
              <w:bottom w:val="single" w:sz="4" w:space="0" w:color="auto"/>
              <w:right w:val="single" w:sz="4" w:space="0" w:color="auto"/>
            </w:tcBorders>
            <w:shd w:val="clear" w:color="auto" w:fill="auto"/>
            <w:noWrap/>
            <w:hideMark/>
          </w:tcPr>
          <w:p w14:paraId="432AEF54"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w:t>
            </w:r>
          </w:p>
        </w:tc>
        <w:tc>
          <w:tcPr>
            <w:tcW w:w="1090" w:type="dxa"/>
            <w:tcBorders>
              <w:top w:val="nil"/>
              <w:left w:val="nil"/>
              <w:bottom w:val="single" w:sz="4" w:space="0" w:color="auto"/>
              <w:right w:val="single" w:sz="4" w:space="0" w:color="auto"/>
            </w:tcBorders>
            <w:shd w:val="clear" w:color="auto" w:fill="auto"/>
            <w:noWrap/>
            <w:hideMark/>
          </w:tcPr>
          <w:p w14:paraId="612C4095"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w:t>
            </w:r>
          </w:p>
        </w:tc>
      </w:tr>
      <w:tr w:rsidR="002866BB" w:rsidRPr="007D7B87" w14:paraId="22F7464E" w14:textId="77777777" w:rsidTr="00DA1236">
        <w:tc>
          <w:tcPr>
            <w:tcW w:w="2843" w:type="dxa"/>
            <w:tcBorders>
              <w:top w:val="nil"/>
              <w:left w:val="single" w:sz="4" w:space="0" w:color="auto"/>
              <w:bottom w:val="single" w:sz="4" w:space="0" w:color="auto"/>
              <w:right w:val="single" w:sz="4" w:space="0" w:color="auto"/>
            </w:tcBorders>
            <w:shd w:val="clear" w:color="auto" w:fill="auto"/>
            <w:noWrap/>
            <w:vAlign w:val="center"/>
            <w:hideMark/>
          </w:tcPr>
          <w:p w14:paraId="6707505E" w14:textId="4FABCFFE" w:rsidR="002866BB" w:rsidRPr="007D7B87" w:rsidRDefault="00214BEF" w:rsidP="00496214">
            <w:pPr>
              <w:ind w:left="0" w:firstLine="0"/>
              <w:rPr>
                <w:rFonts w:asciiTheme="minorHAnsi" w:eastAsia="Times New Roman" w:hAnsiTheme="minorHAnsi" w:cstheme="minorHAnsi"/>
                <w:noProof/>
                <w:sz w:val="20"/>
                <w:szCs w:val="20"/>
                <w:lang w:val="es-ES" w:eastAsia="en-GB"/>
              </w:rPr>
            </w:pPr>
            <w:r>
              <w:rPr>
                <w:rFonts w:asciiTheme="minorHAnsi" w:eastAsia="Times New Roman" w:hAnsiTheme="minorHAnsi" w:cstheme="minorHAnsi"/>
                <w:noProof/>
                <w:sz w:val="20"/>
                <w:szCs w:val="20"/>
                <w:lang w:val="es-ES" w:eastAsia="en-GB"/>
              </w:rPr>
              <w:t>Contribuciones de las Partes</w:t>
            </w:r>
          </w:p>
        </w:tc>
        <w:tc>
          <w:tcPr>
            <w:tcW w:w="887" w:type="dxa"/>
            <w:tcBorders>
              <w:top w:val="nil"/>
              <w:left w:val="nil"/>
              <w:bottom w:val="single" w:sz="4" w:space="0" w:color="auto"/>
              <w:right w:val="single" w:sz="4" w:space="0" w:color="auto"/>
            </w:tcBorders>
            <w:shd w:val="clear" w:color="auto" w:fill="auto"/>
            <w:noWrap/>
            <w:hideMark/>
          </w:tcPr>
          <w:p w14:paraId="1EA30CE1" w14:textId="3DDB2F63"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3</w:t>
            </w:r>
            <w:r w:rsidR="000339A3">
              <w:rPr>
                <w:rFonts w:asciiTheme="minorHAnsi" w:eastAsia="Times New Roman" w:hAnsiTheme="minorHAnsi" w:cstheme="minorHAnsi"/>
                <w:noProof/>
                <w:sz w:val="20"/>
                <w:szCs w:val="20"/>
                <w:lang w:val="es-ES" w:eastAsia="en-GB"/>
              </w:rPr>
              <w:t xml:space="preserve"> </w:t>
            </w:r>
            <w:r w:rsidRPr="007D7B87">
              <w:rPr>
                <w:rFonts w:asciiTheme="minorHAnsi" w:eastAsia="Times New Roman" w:hAnsiTheme="minorHAnsi" w:cstheme="minorHAnsi"/>
                <w:noProof/>
                <w:sz w:val="20"/>
                <w:szCs w:val="20"/>
                <w:lang w:val="es-ES" w:eastAsia="en-GB"/>
              </w:rPr>
              <w:t xml:space="preserve">779 </w:t>
            </w:r>
          </w:p>
        </w:tc>
        <w:tc>
          <w:tcPr>
            <w:tcW w:w="887" w:type="dxa"/>
            <w:tcBorders>
              <w:top w:val="nil"/>
              <w:left w:val="nil"/>
              <w:bottom w:val="single" w:sz="4" w:space="0" w:color="auto"/>
              <w:right w:val="single" w:sz="4" w:space="0" w:color="auto"/>
            </w:tcBorders>
            <w:shd w:val="clear" w:color="auto" w:fill="auto"/>
            <w:noWrap/>
            <w:hideMark/>
          </w:tcPr>
          <w:p w14:paraId="7031C856" w14:textId="051E9D94"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3</w:t>
            </w:r>
            <w:r w:rsidR="000339A3">
              <w:rPr>
                <w:rFonts w:asciiTheme="minorHAnsi" w:eastAsia="Times New Roman" w:hAnsiTheme="minorHAnsi" w:cstheme="minorHAnsi"/>
                <w:noProof/>
                <w:sz w:val="20"/>
                <w:szCs w:val="20"/>
                <w:lang w:val="es-ES" w:eastAsia="en-GB"/>
              </w:rPr>
              <w:t xml:space="preserve"> </w:t>
            </w:r>
            <w:r w:rsidRPr="007D7B87">
              <w:rPr>
                <w:rFonts w:asciiTheme="minorHAnsi" w:eastAsia="Times New Roman" w:hAnsiTheme="minorHAnsi" w:cstheme="minorHAnsi"/>
                <w:noProof/>
                <w:sz w:val="20"/>
                <w:szCs w:val="20"/>
                <w:lang w:val="es-ES" w:eastAsia="en-GB"/>
              </w:rPr>
              <w:t xml:space="preserve">779 </w:t>
            </w:r>
          </w:p>
        </w:tc>
        <w:tc>
          <w:tcPr>
            <w:tcW w:w="887" w:type="dxa"/>
            <w:tcBorders>
              <w:top w:val="nil"/>
              <w:left w:val="nil"/>
              <w:bottom w:val="single" w:sz="4" w:space="0" w:color="auto"/>
              <w:right w:val="single" w:sz="4" w:space="0" w:color="auto"/>
            </w:tcBorders>
            <w:shd w:val="clear" w:color="auto" w:fill="auto"/>
            <w:noWrap/>
            <w:hideMark/>
          </w:tcPr>
          <w:p w14:paraId="40DF78B6" w14:textId="67844DE6"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3</w:t>
            </w:r>
            <w:r w:rsidR="000339A3">
              <w:rPr>
                <w:rFonts w:asciiTheme="minorHAnsi" w:eastAsia="Times New Roman" w:hAnsiTheme="minorHAnsi" w:cstheme="minorHAnsi"/>
                <w:noProof/>
                <w:sz w:val="20"/>
                <w:szCs w:val="20"/>
                <w:lang w:val="es-ES" w:eastAsia="en-GB"/>
              </w:rPr>
              <w:t xml:space="preserve"> </w:t>
            </w:r>
            <w:r w:rsidRPr="007D7B87">
              <w:rPr>
                <w:rFonts w:asciiTheme="minorHAnsi" w:eastAsia="Times New Roman" w:hAnsiTheme="minorHAnsi" w:cstheme="minorHAnsi"/>
                <w:noProof/>
                <w:sz w:val="20"/>
                <w:szCs w:val="20"/>
                <w:lang w:val="es-ES" w:eastAsia="en-GB"/>
              </w:rPr>
              <w:t xml:space="preserve">779 </w:t>
            </w:r>
          </w:p>
        </w:tc>
        <w:tc>
          <w:tcPr>
            <w:tcW w:w="1159" w:type="dxa"/>
            <w:tcBorders>
              <w:top w:val="nil"/>
              <w:left w:val="nil"/>
              <w:bottom w:val="single" w:sz="4" w:space="0" w:color="auto"/>
              <w:right w:val="single" w:sz="4" w:space="0" w:color="auto"/>
            </w:tcBorders>
            <w:shd w:val="clear" w:color="auto" w:fill="auto"/>
            <w:noWrap/>
            <w:hideMark/>
          </w:tcPr>
          <w:p w14:paraId="5826C67E" w14:textId="6AA6CF5C"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3</w:t>
            </w:r>
            <w:r w:rsidR="000339A3">
              <w:rPr>
                <w:rFonts w:asciiTheme="minorHAnsi" w:eastAsia="Times New Roman" w:hAnsiTheme="minorHAnsi" w:cstheme="minorHAnsi"/>
                <w:noProof/>
                <w:sz w:val="20"/>
                <w:szCs w:val="20"/>
                <w:lang w:val="es-ES" w:eastAsia="en-GB"/>
              </w:rPr>
              <w:t xml:space="preserve"> </w:t>
            </w:r>
            <w:r w:rsidRPr="007D7B87">
              <w:rPr>
                <w:rFonts w:asciiTheme="minorHAnsi" w:eastAsia="Times New Roman" w:hAnsiTheme="minorHAnsi" w:cstheme="minorHAnsi"/>
                <w:noProof/>
                <w:sz w:val="20"/>
                <w:szCs w:val="20"/>
                <w:lang w:val="es-ES" w:eastAsia="en-GB"/>
              </w:rPr>
              <w:t xml:space="preserve">779 </w:t>
            </w:r>
          </w:p>
        </w:tc>
        <w:tc>
          <w:tcPr>
            <w:tcW w:w="982" w:type="dxa"/>
            <w:tcBorders>
              <w:top w:val="nil"/>
              <w:left w:val="nil"/>
              <w:bottom w:val="single" w:sz="4" w:space="0" w:color="auto"/>
              <w:right w:val="single" w:sz="4" w:space="0" w:color="auto"/>
            </w:tcBorders>
            <w:shd w:val="clear" w:color="auto" w:fill="auto"/>
            <w:noWrap/>
            <w:hideMark/>
          </w:tcPr>
          <w:p w14:paraId="6299AA96" w14:textId="4187430C"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15</w:t>
            </w:r>
            <w:r w:rsidR="000339A3">
              <w:rPr>
                <w:rFonts w:asciiTheme="minorHAnsi" w:eastAsia="Times New Roman" w:hAnsiTheme="minorHAnsi" w:cstheme="minorHAnsi"/>
                <w:noProof/>
                <w:sz w:val="20"/>
                <w:szCs w:val="20"/>
                <w:lang w:val="es-ES" w:eastAsia="en-GB"/>
              </w:rPr>
              <w:t xml:space="preserve"> </w:t>
            </w:r>
            <w:r w:rsidRPr="007D7B87">
              <w:rPr>
                <w:rFonts w:asciiTheme="minorHAnsi" w:eastAsia="Times New Roman" w:hAnsiTheme="minorHAnsi" w:cstheme="minorHAnsi"/>
                <w:noProof/>
                <w:sz w:val="20"/>
                <w:szCs w:val="20"/>
                <w:lang w:val="es-ES" w:eastAsia="en-GB"/>
              </w:rPr>
              <w:t xml:space="preserve">116 </w:t>
            </w:r>
          </w:p>
        </w:tc>
        <w:tc>
          <w:tcPr>
            <w:tcW w:w="1188" w:type="dxa"/>
            <w:tcBorders>
              <w:top w:val="nil"/>
              <w:left w:val="nil"/>
              <w:bottom w:val="single" w:sz="4" w:space="0" w:color="auto"/>
              <w:right w:val="single" w:sz="4" w:space="0" w:color="auto"/>
            </w:tcBorders>
            <w:shd w:val="clear" w:color="auto" w:fill="auto"/>
            <w:noWrap/>
            <w:hideMark/>
          </w:tcPr>
          <w:p w14:paraId="3C321C07" w14:textId="6AA0E915"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15</w:t>
            </w:r>
            <w:r w:rsidR="000339A3">
              <w:rPr>
                <w:rFonts w:asciiTheme="minorHAnsi" w:eastAsia="Times New Roman" w:hAnsiTheme="minorHAnsi" w:cstheme="minorHAnsi"/>
                <w:noProof/>
                <w:sz w:val="20"/>
                <w:szCs w:val="20"/>
                <w:lang w:val="es-ES" w:eastAsia="en-GB"/>
              </w:rPr>
              <w:t xml:space="preserve"> </w:t>
            </w:r>
            <w:r w:rsidRPr="007D7B87">
              <w:rPr>
                <w:rFonts w:asciiTheme="minorHAnsi" w:eastAsia="Times New Roman" w:hAnsiTheme="minorHAnsi" w:cstheme="minorHAnsi"/>
                <w:noProof/>
                <w:sz w:val="20"/>
                <w:szCs w:val="20"/>
                <w:lang w:val="es-ES" w:eastAsia="en-GB"/>
              </w:rPr>
              <w:t xml:space="preserve">116 </w:t>
            </w:r>
          </w:p>
        </w:tc>
        <w:tc>
          <w:tcPr>
            <w:tcW w:w="1090" w:type="dxa"/>
            <w:tcBorders>
              <w:top w:val="nil"/>
              <w:left w:val="nil"/>
              <w:bottom w:val="single" w:sz="4" w:space="0" w:color="auto"/>
              <w:right w:val="single" w:sz="4" w:space="0" w:color="auto"/>
            </w:tcBorders>
            <w:shd w:val="clear" w:color="auto" w:fill="auto"/>
            <w:noWrap/>
            <w:hideMark/>
          </w:tcPr>
          <w:p w14:paraId="696A02B8"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0 </w:t>
            </w:r>
          </w:p>
        </w:tc>
      </w:tr>
      <w:tr w:rsidR="002866BB" w:rsidRPr="007D7B87" w14:paraId="127E6D07" w14:textId="77777777" w:rsidTr="00DA1236">
        <w:tc>
          <w:tcPr>
            <w:tcW w:w="2843" w:type="dxa"/>
            <w:tcBorders>
              <w:top w:val="nil"/>
              <w:left w:val="single" w:sz="4" w:space="0" w:color="auto"/>
              <w:bottom w:val="single" w:sz="4" w:space="0" w:color="auto"/>
              <w:right w:val="single" w:sz="4" w:space="0" w:color="auto"/>
            </w:tcBorders>
            <w:shd w:val="clear" w:color="auto" w:fill="auto"/>
            <w:noWrap/>
            <w:vAlign w:val="center"/>
            <w:hideMark/>
          </w:tcPr>
          <w:p w14:paraId="0350E2AD" w14:textId="6D023725" w:rsidR="002866BB" w:rsidRPr="007D7B87" w:rsidRDefault="00214BEF" w:rsidP="00496214">
            <w:pPr>
              <w:ind w:left="0" w:firstLine="0"/>
              <w:rPr>
                <w:rFonts w:asciiTheme="minorHAnsi" w:eastAsia="Times New Roman" w:hAnsiTheme="minorHAnsi" w:cstheme="minorHAnsi"/>
                <w:noProof/>
                <w:sz w:val="20"/>
                <w:szCs w:val="20"/>
                <w:lang w:val="es-ES" w:eastAsia="en-GB"/>
              </w:rPr>
            </w:pPr>
            <w:r>
              <w:rPr>
                <w:rFonts w:asciiTheme="minorHAnsi" w:eastAsia="Times New Roman" w:hAnsiTheme="minorHAnsi" w:cstheme="minorHAnsi"/>
                <w:noProof/>
                <w:sz w:val="20"/>
                <w:szCs w:val="20"/>
                <w:lang w:val="es-ES" w:eastAsia="en-GB"/>
              </w:rPr>
              <w:t>Contribuciones voluntarias</w:t>
            </w:r>
          </w:p>
        </w:tc>
        <w:tc>
          <w:tcPr>
            <w:tcW w:w="887" w:type="dxa"/>
            <w:tcBorders>
              <w:top w:val="nil"/>
              <w:left w:val="nil"/>
              <w:bottom w:val="single" w:sz="4" w:space="0" w:color="auto"/>
              <w:right w:val="single" w:sz="4" w:space="0" w:color="auto"/>
            </w:tcBorders>
            <w:shd w:val="clear" w:color="auto" w:fill="auto"/>
            <w:noWrap/>
            <w:hideMark/>
          </w:tcPr>
          <w:p w14:paraId="5114AD23" w14:textId="2EB67824"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1</w:t>
            </w:r>
            <w:r w:rsidR="000339A3">
              <w:rPr>
                <w:rFonts w:asciiTheme="minorHAnsi" w:eastAsia="Times New Roman" w:hAnsiTheme="minorHAnsi" w:cstheme="minorHAnsi"/>
                <w:noProof/>
                <w:sz w:val="20"/>
                <w:szCs w:val="20"/>
                <w:lang w:val="es-ES" w:eastAsia="en-GB"/>
              </w:rPr>
              <w:t xml:space="preserve"> </w:t>
            </w:r>
            <w:r w:rsidRPr="007D7B87">
              <w:rPr>
                <w:rFonts w:asciiTheme="minorHAnsi" w:eastAsia="Times New Roman" w:hAnsiTheme="minorHAnsi" w:cstheme="minorHAnsi"/>
                <w:noProof/>
                <w:sz w:val="20"/>
                <w:szCs w:val="20"/>
                <w:lang w:val="es-ES" w:eastAsia="en-GB"/>
              </w:rPr>
              <w:t>066</w:t>
            </w:r>
          </w:p>
        </w:tc>
        <w:tc>
          <w:tcPr>
            <w:tcW w:w="887" w:type="dxa"/>
            <w:tcBorders>
              <w:top w:val="nil"/>
              <w:left w:val="nil"/>
              <w:bottom w:val="single" w:sz="4" w:space="0" w:color="auto"/>
              <w:right w:val="single" w:sz="4" w:space="0" w:color="auto"/>
            </w:tcBorders>
            <w:shd w:val="clear" w:color="auto" w:fill="auto"/>
            <w:noWrap/>
            <w:hideMark/>
          </w:tcPr>
          <w:p w14:paraId="2142EA97" w14:textId="10E3D26D"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1</w:t>
            </w:r>
            <w:r w:rsidR="000339A3">
              <w:rPr>
                <w:rFonts w:asciiTheme="minorHAnsi" w:eastAsia="Times New Roman" w:hAnsiTheme="minorHAnsi" w:cstheme="minorHAnsi"/>
                <w:noProof/>
                <w:sz w:val="20"/>
                <w:szCs w:val="20"/>
                <w:lang w:val="es-ES" w:eastAsia="en-GB"/>
              </w:rPr>
              <w:t xml:space="preserve"> </w:t>
            </w:r>
            <w:r w:rsidRPr="007D7B87">
              <w:rPr>
                <w:rFonts w:asciiTheme="minorHAnsi" w:eastAsia="Times New Roman" w:hAnsiTheme="minorHAnsi" w:cstheme="minorHAnsi"/>
                <w:noProof/>
                <w:sz w:val="20"/>
                <w:szCs w:val="20"/>
                <w:lang w:val="es-ES" w:eastAsia="en-GB"/>
              </w:rPr>
              <w:t xml:space="preserve">065 </w:t>
            </w:r>
          </w:p>
        </w:tc>
        <w:tc>
          <w:tcPr>
            <w:tcW w:w="887" w:type="dxa"/>
            <w:tcBorders>
              <w:top w:val="nil"/>
              <w:left w:val="nil"/>
              <w:bottom w:val="single" w:sz="4" w:space="0" w:color="auto"/>
              <w:right w:val="single" w:sz="4" w:space="0" w:color="auto"/>
            </w:tcBorders>
            <w:shd w:val="clear" w:color="auto" w:fill="auto"/>
            <w:noWrap/>
            <w:hideMark/>
          </w:tcPr>
          <w:p w14:paraId="1F2E694A" w14:textId="69657458"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1</w:t>
            </w:r>
            <w:r w:rsidR="000339A3">
              <w:rPr>
                <w:rFonts w:asciiTheme="minorHAnsi" w:eastAsia="Times New Roman" w:hAnsiTheme="minorHAnsi" w:cstheme="minorHAnsi"/>
                <w:noProof/>
                <w:sz w:val="20"/>
                <w:szCs w:val="20"/>
                <w:lang w:val="es-ES" w:eastAsia="en-GB"/>
              </w:rPr>
              <w:t xml:space="preserve"> </w:t>
            </w:r>
            <w:r w:rsidRPr="007D7B87">
              <w:rPr>
                <w:rFonts w:asciiTheme="minorHAnsi" w:eastAsia="Times New Roman" w:hAnsiTheme="minorHAnsi" w:cstheme="minorHAnsi"/>
                <w:noProof/>
                <w:sz w:val="20"/>
                <w:szCs w:val="20"/>
                <w:lang w:val="es-ES" w:eastAsia="en-GB"/>
              </w:rPr>
              <w:t xml:space="preserve">065 </w:t>
            </w:r>
          </w:p>
        </w:tc>
        <w:tc>
          <w:tcPr>
            <w:tcW w:w="1159" w:type="dxa"/>
            <w:tcBorders>
              <w:top w:val="nil"/>
              <w:left w:val="nil"/>
              <w:bottom w:val="single" w:sz="4" w:space="0" w:color="auto"/>
              <w:right w:val="single" w:sz="4" w:space="0" w:color="auto"/>
            </w:tcBorders>
            <w:shd w:val="clear" w:color="auto" w:fill="auto"/>
            <w:noWrap/>
            <w:hideMark/>
          </w:tcPr>
          <w:p w14:paraId="528A0BD5" w14:textId="085980CD"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1</w:t>
            </w:r>
            <w:r w:rsidR="000339A3">
              <w:rPr>
                <w:rFonts w:asciiTheme="minorHAnsi" w:eastAsia="Times New Roman" w:hAnsiTheme="minorHAnsi" w:cstheme="minorHAnsi"/>
                <w:noProof/>
                <w:sz w:val="20"/>
                <w:szCs w:val="20"/>
                <w:lang w:val="es-ES" w:eastAsia="en-GB"/>
              </w:rPr>
              <w:t xml:space="preserve"> </w:t>
            </w:r>
            <w:r w:rsidRPr="007D7B87">
              <w:rPr>
                <w:rFonts w:asciiTheme="minorHAnsi" w:eastAsia="Times New Roman" w:hAnsiTheme="minorHAnsi" w:cstheme="minorHAnsi"/>
                <w:noProof/>
                <w:sz w:val="20"/>
                <w:szCs w:val="20"/>
                <w:lang w:val="es-ES" w:eastAsia="en-GB"/>
              </w:rPr>
              <w:t xml:space="preserve">065 </w:t>
            </w:r>
          </w:p>
        </w:tc>
        <w:tc>
          <w:tcPr>
            <w:tcW w:w="982" w:type="dxa"/>
            <w:tcBorders>
              <w:top w:val="nil"/>
              <w:left w:val="nil"/>
              <w:bottom w:val="single" w:sz="4" w:space="0" w:color="auto"/>
              <w:right w:val="single" w:sz="4" w:space="0" w:color="auto"/>
            </w:tcBorders>
            <w:shd w:val="clear" w:color="auto" w:fill="auto"/>
            <w:noWrap/>
            <w:hideMark/>
          </w:tcPr>
          <w:p w14:paraId="14F4BCF4" w14:textId="0CFDA232"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4</w:t>
            </w:r>
            <w:r w:rsidR="000339A3">
              <w:rPr>
                <w:rFonts w:asciiTheme="minorHAnsi" w:eastAsia="Times New Roman" w:hAnsiTheme="minorHAnsi" w:cstheme="minorHAnsi"/>
                <w:noProof/>
                <w:sz w:val="20"/>
                <w:szCs w:val="20"/>
                <w:lang w:val="es-ES" w:eastAsia="en-GB"/>
              </w:rPr>
              <w:t xml:space="preserve"> </w:t>
            </w:r>
            <w:r w:rsidRPr="007D7B87">
              <w:rPr>
                <w:rFonts w:asciiTheme="minorHAnsi" w:eastAsia="Times New Roman" w:hAnsiTheme="minorHAnsi" w:cstheme="minorHAnsi"/>
                <w:noProof/>
                <w:sz w:val="20"/>
                <w:szCs w:val="20"/>
                <w:lang w:val="es-ES" w:eastAsia="en-GB"/>
              </w:rPr>
              <w:t xml:space="preserve">261 </w:t>
            </w:r>
          </w:p>
        </w:tc>
        <w:tc>
          <w:tcPr>
            <w:tcW w:w="1188" w:type="dxa"/>
            <w:tcBorders>
              <w:top w:val="nil"/>
              <w:left w:val="nil"/>
              <w:bottom w:val="single" w:sz="4" w:space="0" w:color="auto"/>
              <w:right w:val="single" w:sz="4" w:space="0" w:color="auto"/>
            </w:tcBorders>
            <w:shd w:val="clear" w:color="auto" w:fill="auto"/>
            <w:noWrap/>
            <w:hideMark/>
          </w:tcPr>
          <w:p w14:paraId="0C019690" w14:textId="428AE3BC"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4</w:t>
            </w:r>
            <w:r w:rsidR="000339A3">
              <w:rPr>
                <w:rFonts w:asciiTheme="minorHAnsi" w:eastAsia="Times New Roman" w:hAnsiTheme="minorHAnsi" w:cstheme="minorHAnsi"/>
                <w:noProof/>
                <w:sz w:val="20"/>
                <w:szCs w:val="20"/>
                <w:lang w:val="es-ES" w:eastAsia="en-GB"/>
              </w:rPr>
              <w:t xml:space="preserve"> </w:t>
            </w:r>
            <w:r w:rsidRPr="007D7B87">
              <w:rPr>
                <w:rFonts w:asciiTheme="minorHAnsi" w:eastAsia="Times New Roman" w:hAnsiTheme="minorHAnsi" w:cstheme="minorHAnsi"/>
                <w:noProof/>
                <w:sz w:val="20"/>
                <w:szCs w:val="20"/>
                <w:lang w:val="es-ES" w:eastAsia="en-GB"/>
              </w:rPr>
              <w:t xml:space="preserve">260 </w:t>
            </w:r>
          </w:p>
        </w:tc>
        <w:tc>
          <w:tcPr>
            <w:tcW w:w="1090" w:type="dxa"/>
            <w:tcBorders>
              <w:top w:val="nil"/>
              <w:left w:val="nil"/>
              <w:bottom w:val="single" w:sz="4" w:space="0" w:color="auto"/>
              <w:right w:val="single" w:sz="4" w:space="0" w:color="auto"/>
            </w:tcBorders>
            <w:shd w:val="clear" w:color="auto" w:fill="auto"/>
            <w:noWrap/>
            <w:hideMark/>
          </w:tcPr>
          <w:p w14:paraId="33F9D573" w14:textId="79F9876E"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 (1)</w:t>
            </w:r>
          </w:p>
        </w:tc>
      </w:tr>
      <w:tr w:rsidR="002866BB" w:rsidRPr="007D7B87" w14:paraId="1BAFD30D" w14:textId="77777777" w:rsidTr="00DA1236">
        <w:tc>
          <w:tcPr>
            <w:tcW w:w="2843" w:type="dxa"/>
            <w:tcBorders>
              <w:top w:val="nil"/>
              <w:left w:val="single" w:sz="4" w:space="0" w:color="auto"/>
              <w:bottom w:val="single" w:sz="4" w:space="0" w:color="auto"/>
              <w:right w:val="single" w:sz="4" w:space="0" w:color="auto"/>
            </w:tcBorders>
            <w:shd w:val="clear" w:color="auto" w:fill="auto"/>
            <w:noWrap/>
            <w:vAlign w:val="center"/>
            <w:hideMark/>
          </w:tcPr>
          <w:p w14:paraId="17296DA0" w14:textId="3CE7AF47" w:rsidR="002866BB" w:rsidRPr="007D7B87" w:rsidRDefault="00214BEF" w:rsidP="00496214">
            <w:pPr>
              <w:ind w:left="0" w:firstLine="0"/>
              <w:rPr>
                <w:rFonts w:asciiTheme="minorHAnsi" w:eastAsia="Times New Roman" w:hAnsiTheme="minorHAnsi" w:cstheme="minorHAnsi"/>
                <w:noProof/>
                <w:sz w:val="20"/>
                <w:szCs w:val="20"/>
                <w:lang w:val="es-ES" w:eastAsia="en-GB"/>
              </w:rPr>
            </w:pPr>
            <w:r>
              <w:rPr>
                <w:rFonts w:asciiTheme="minorHAnsi" w:eastAsia="Times New Roman" w:hAnsiTheme="minorHAnsi" w:cstheme="minorHAnsi"/>
                <w:noProof/>
                <w:sz w:val="20"/>
                <w:szCs w:val="20"/>
                <w:lang w:val="es-ES" w:eastAsia="en-GB"/>
              </w:rPr>
              <w:t>Impuesto sobre la renta</w:t>
            </w:r>
          </w:p>
        </w:tc>
        <w:tc>
          <w:tcPr>
            <w:tcW w:w="887" w:type="dxa"/>
            <w:tcBorders>
              <w:top w:val="nil"/>
              <w:left w:val="nil"/>
              <w:bottom w:val="single" w:sz="4" w:space="0" w:color="auto"/>
              <w:right w:val="single" w:sz="4" w:space="0" w:color="auto"/>
            </w:tcBorders>
            <w:shd w:val="clear" w:color="auto" w:fill="auto"/>
            <w:noWrap/>
            <w:hideMark/>
          </w:tcPr>
          <w:p w14:paraId="2B5F62ED"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202 </w:t>
            </w:r>
          </w:p>
        </w:tc>
        <w:tc>
          <w:tcPr>
            <w:tcW w:w="887" w:type="dxa"/>
            <w:tcBorders>
              <w:top w:val="nil"/>
              <w:left w:val="nil"/>
              <w:bottom w:val="single" w:sz="4" w:space="0" w:color="auto"/>
              <w:right w:val="single" w:sz="4" w:space="0" w:color="auto"/>
            </w:tcBorders>
            <w:shd w:val="clear" w:color="auto" w:fill="auto"/>
            <w:noWrap/>
            <w:hideMark/>
          </w:tcPr>
          <w:p w14:paraId="0562E2BC"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185 </w:t>
            </w:r>
          </w:p>
        </w:tc>
        <w:tc>
          <w:tcPr>
            <w:tcW w:w="887" w:type="dxa"/>
            <w:tcBorders>
              <w:top w:val="nil"/>
              <w:left w:val="nil"/>
              <w:bottom w:val="single" w:sz="4" w:space="0" w:color="auto"/>
              <w:right w:val="single" w:sz="4" w:space="0" w:color="auto"/>
            </w:tcBorders>
            <w:shd w:val="clear" w:color="auto" w:fill="auto"/>
            <w:noWrap/>
            <w:hideMark/>
          </w:tcPr>
          <w:p w14:paraId="3DA10876"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227 </w:t>
            </w:r>
          </w:p>
        </w:tc>
        <w:tc>
          <w:tcPr>
            <w:tcW w:w="1159" w:type="dxa"/>
            <w:tcBorders>
              <w:top w:val="nil"/>
              <w:left w:val="nil"/>
              <w:bottom w:val="single" w:sz="4" w:space="0" w:color="auto"/>
              <w:right w:val="single" w:sz="4" w:space="0" w:color="auto"/>
            </w:tcBorders>
            <w:shd w:val="clear" w:color="auto" w:fill="auto"/>
            <w:noWrap/>
            <w:hideMark/>
          </w:tcPr>
          <w:p w14:paraId="65CE5940"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225 </w:t>
            </w:r>
          </w:p>
        </w:tc>
        <w:tc>
          <w:tcPr>
            <w:tcW w:w="982" w:type="dxa"/>
            <w:tcBorders>
              <w:top w:val="nil"/>
              <w:left w:val="nil"/>
              <w:bottom w:val="single" w:sz="4" w:space="0" w:color="auto"/>
              <w:right w:val="single" w:sz="4" w:space="0" w:color="auto"/>
            </w:tcBorders>
            <w:shd w:val="clear" w:color="auto" w:fill="auto"/>
            <w:noWrap/>
            <w:hideMark/>
          </w:tcPr>
          <w:p w14:paraId="3842E9E8"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839 </w:t>
            </w:r>
          </w:p>
        </w:tc>
        <w:tc>
          <w:tcPr>
            <w:tcW w:w="1188" w:type="dxa"/>
            <w:tcBorders>
              <w:top w:val="nil"/>
              <w:left w:val="nil"/>
              <w:bottom w:val="single" w:sz="4" w:space="0" w:color="auto"/>
              <w:right w:val="single" w:sz="4" w:space="0" w:color="auto"/>
            </w:tcBorders>
            <w:shd w:val="clear" w:color="auto" w:fill="auto"/>
            <w:noWrap/>
            <w:hideMark/>
          </w:tcPr>
          <w:p w14:paraId="7A143435"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900 </w:t>
            </w:r>
          </w:p>
        </w:tc>
        <w:tc>
          <w:tcPr>
            <w:tcW w:w="1090" w:type="dxa"/>
            <w:tcBorders>
              <w:top w:val="nil"/>
              <w:left w:val="nil"/>
              <w:bottom w:val="single" w:sz="4" w:space="0" w:color="auto"/>
              <w:right w:val="single" w:sz="4" w:space="0" w:color="auto"/>
            </w:tcBorders>
            <w:shd w:val="clear" w:color="auto" w:fill="auto"/>
            <w:noWrap/>
            <w:hideMark/>
          </w:tcPr>
          <w:p w14:paraId="7423C7AB" w14:textId="7B93C089"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61 </w:t>
            </w:r>
          </w:p>
        </w:tc>
      </w:tr>
      <w:tr w:rsidR="002866BB" w:rsidRPr="007D7B87" w14:paraId="7608F02B" w14:textId="77777777" w:rsidTr="00DA1236">
        <w:tc>
          <w:tcPr>
            <w:tcW w:w="2843" w:type="dxa"/>
            <w:tcBorders>
              <w:top w:val="nil"/>
              <w:left w:val="single" w:sz="4" w:space="0" w:color="auto"/>
              <w:bottom w:val="single" w:sz="4" w:space="0" w:color="auto"/>
              <w:right w:val="single" w:sz="4" w:space="0" w:color="auto"/>
            </w:tcBorders>
            <w:shd w:val="clear" w:color="auto" w:fill="auto"/>
            <w:noWrap/>
            <w:vAlign w:val="center"/>
            <w:hideMark/>
          </w:tcPr>
          <w:p w14:paraId="43404ACD" w14:textId="11AF8E06" w:rsidR="002866BB" w:rsidRPr="007D7B87" w:rsidRDefault="00214BEF" w:rsidP="00496214">
            <w:pPr>
              <w:ind w:left="0" w:firstLine="0"/>
              <w:rPr>
                <w:rFonts w:asciiTheme="minorHAnsi" w:eastAsia="Times New Roman" w:hAnsiTheme="minorHAnsi" w:cstheme="minorHAnsi"/>
                <w:noProof/>
                <w:sz w:val="20"/>
                <w:szCs w:val="20"/>
                <w:lang w:val="es-ES" w:eastAsia="en-GB"/>
              </w:rPr>
            </w:pPr>
            <w:r>
              <w:rPr>
                <w:rFonts w:asciiTheme="minorHAnsi" w:eastAsia="Times New Roman" w:hAnsiTheme="minorHAnsi" w:cstheme="minorHAnsi"/>
                <w:noProof/>
                <w:sz w:val="20"/>
                <w:szCs w:val="20"/>
                <w:lang w:val="es-ES" w:eastAsia="en-GB"/>
              </w:rPr>
              <w:t>Otros ingresos</w:t>
            </w:r>
            <w:r w:rsidR="002866BB" w:rsidRPr="007D7B87">
              <w:rPr>
                <w:rFonts w:asciiTheme="minorHAnsi" w:eastAsia="Times New Roman" w:hAnsiTheme="minorHAnsi" w:cstheme="minorHAnsi"/>
                <w:noProof/>
                <w:sz w:val="20"/>
                <w:szCs w:val="20"/>
                <w:lang w:val="es-ES" w:eastAsia="en-GB"/>
              </w:rPr>
              <w:t xml:space="preserve"> (</w:t>
            </w:r>
            <w:r>
              <w:rPr>
                <w:rFonts w:asciiTheme="minorHAnsi" w:eastAsia="Times New Roman" w:hAnsiTheme="minorHAnsi" w:cstheme="minorHAnsi"/>
                <w:noProof/>
                <w:sz w:val="20"/>
                <w:szCs w:val="20"/>
                <w:lang w:val="es-ES" w:eastAsia="en-GB"/>
              </w:rPr>
              <w:t>incluidos los ingresos por intereses</w:t>
            </w:r>
            <w:r w:rsidR="002866BB" w:rsidRPr="007D7B87">
              <w:rPr>
                <w:rFonts w:asciiTheme="minorHAnsi" w:eastAsia="Times New Roman" w:hAnsiTheme="minorHAnsi" w:cstheme="minorHAnsi"/>
                <w:noProof/>
                <w:sz w:val="20"/>
                <w:szCs w:val="20"/>
                <w:lang w:val="es-ES" w:eastAsia="en-GB"/>
              </w:rPr>
              <w:t>)</w:t>
            </w:r>
          </w:p>
        </w:tc>
        <w:tc>
          <w:tcPr>
            <w:tcW w:w="887" w:type="dxa"/>
            <w:tcBorders>
              <w:top w:val="nil"/>
              <w:left w:val="nil"/>
              <w:bottom w:val="single" w:sz="4" w:space="0" w:color="auto"/>
              <w:right w:val="single" w:sz="4" w:space="0" w:color="auto"/>
            </w:tcBorders>
            <w:shd w:val="clear" w:color="auto" w:fill="auto"/>
            <w:noWrap/>
            <w:hideMark/>
          </w:tcPr>
          <w:p w14:paraId="14827357"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15 </w:t>
            </w:r>
          </w:p>
        </w:tc>
        <w:tc>
          <w:tcPr>
            <w:tcW w:w="887" w:type="dxa"/>
            <w:tcBorders>
              <w:top w:val="nil"/>
              <w:left w:val="nil"/>
              <w:bottom w:val="single" w:sz="4" w:space="0" w:color="auto"/>
              <w:right w:val="single" w:sz="4" w:space="0" w:color="auto"/>
            </w:tcBorders>
            <w:shd w:val="clear" w:color="auto" w:fill="auto"/>
            <w:noWrap/>
            <w:hideMark/>
          </w:tcPr>
          <w:p w14:paraId="6B8F946A"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5 </w:t>
            </w:r>
          </w:p>
        </w:tc>
        <w:tc>
          <w:tcPr>
            <w:tcW w:w="887" w:type="dxa"/>
            <w:tcBorders>
              <w:top w:val="nil"/>
              <w:left w:val="nil"/>
              <w:bottom w:val="single" w:sz="4" w:space="0" w:color="auto"/>
              <w:right w:val="single" w:sz="4" w:space="0" w:color="auto"/>
            </w:tcBorders>
            <w:shd w:val="clear" w:color="auto" w:fill="auto"/>
            <w:noWrap/>
            <w:hideMark/>
          </w:tcPr>
          <w:p w14:paraId="7E3D8F1B"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0 </w:t>
            </w:r>
          </w:p>
        </w:tc>
        <w:tc>
          <w:tcPr>
            <w:tcW w:w="1159" w:type="dxa"/>
            <w:tcBorders>
              <w:top w:val="nil"/>
              <w:left w:val="nil"/>
              <w:bottom w:val="single" w:sz="4" w:space="0" w:color="auto"/>
              <w:right w:val="single" w:sz="4" w:space="0" w:color="auto"/>
            </w:tcBorders>
            <w:shd w:val="clear" w:color="auto" w:fill="auto"/>
            <w:noWrap/>
            <w:hideMark/>
          </w:tcPr>
          <w:p w14:paraId="1AA7EE87"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12 </w:t>
            </w:r>
          </w:p>
        </w:tc>
        <w:tc>
          <w:tcPr>
            <w:tcW w:w="982" w:type="dxa"/>
            <w:tcBorders>
              <w:top w:val="nil"/>
              <w:left w:val="nil"/>
              <w:bottom w:val="single" w:sz="4" w:space="0" w:color="auto"/>
              <w:right w:val="single" w:sz="4" w:space="0" w:color="auto"/>
            </w:tcBorders>
            <w:shd w:val="clear" w:color="auto" w:fill="auto"/>
            <w:noWrap/>
            <w:hideMark/>
          </w:tcPr>
          <w:p w14:paraId="3776844A"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32 </w:t>
            </w:r>
          </w:p>
        </w:tc>
        <w:tc>
          <w:tcPr>
            <w:tcW w:w="1188" w:type="dxa"/>
            <w:tcBorders>
              <w:top w:val="nil"/>
              <w:left w:val="nil"/>
              <w:bottom w:val="single" w:sz="4" w:space="0" w:color="auto"/>
              <w:right w:val="single" w:sz="4" w:space="0" w:color="auto"/>
            </w:tcBorders>
            <w:shd w:val="clear" w:color="auto" w:fill="auto"/>
            <w:noWrap/>
            <w:hideMark/>
          </w:tcPr>
          <w:p w14:paraId="58BDDD27"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48 </w:t>
            </w:r>
          </w:p>
        </w:tc>
        <w:tc>
          <w:tcPr>
            <w:tcW w:w="1090" w:type="dxa"/>
            <w:tcBorders>
              <w:top w:val="nil"/>
              <w:left w:val="nil"/>
              <w:bottom w:val="single" w:sz="4" w:space="0" w:color="auto"/>
              <w:right w:val="single" w:sz="4" w:space="0" w:color="auto"/>
            </w:tcBorders>
            <w:shd w:val="clear" w:color="auto" w:fill="auto"/>
            <w:noWrap/>
            <w:hideMark/>
          </w:tcPr>
          <w:p w14:paraId="06DA0BF2" w14:textId="6E4E371C"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16 </w:t>
            </w:r>
          </w:p>
        </w:tc>
      </w:tr>
      <w:tr w:rsidR="002866BB" w:rsidRPr="007D7B87" w14:paraId="72E2650A" w14:textId="77777777" w:rsidTr="00DA1236">
        <w:tc>
          <w:tcPr>
            <w:tcW w:w="2843" w:type="dxa"/>
            <w:tcBorders>
              <w:top w:val="nil"/>
              <w:left w:val="single" w:sz="4" w:space="0" w:color="auto"/>
              <w:bottom w:val="single" w:sz="4" w:space="0" w:color="auto"/>
              <w:right w:val="single" w:sz="4" w:space="0" w:color="auto"/>
            </w:tcBorders>
            <w:shd w:val="clear" w:color="000000" w:fill="DDEBF7"/>
            <w:noWrap/>
            <w:vAlign w:val="bottom"/>
            <w:hideMark/>
          </w:tcPr>
          <w:p w14:paraId="4FF296BC" w14:textId="76250C28" w:rsidR="002866BB" w:rsidRPr="007D7B87" w:rsidRDefault="002866BB" w:rsidP="00496214">
            <w:pPr>
              <w:ind w:left="0" w:firstLine="0"/>
              <w:rPr>
                <w:rFonts w:asciiTheme="minorHAnsi" w:eastAsia="Times New Roman" w:hAnsiTheme="minorHAnsi" w:cstheme="minorHAnsi"/>
                <w:b/>
                <w:bCs/>
                <w:noProof/>
                <w:sz w:val="20"/>
                <w:szCs w:val="20"/>
                <w:lang w:val="es-ES" w:eastAsia="en-GB"/>
              </w:rPr>
            </w:pPr>
            <w:r w:rsidRPr="007D7B87">
              <w:rPr>
                <w:rFonts w:asciiTheme="minorHAnsi" w:eastAsia="Times New Roman" w:hAnsiTheme="minorHAnsi" w:cstheme="minorHAnsi"/>
                <w:b/>
                <w:bCs/>
                <w:noProof/>
                <w:sz w:val="20"/>
                <w:szCs w:val="20"/>
                <w:lang w:val="es-ES" w:eastAsia="en-GB"/>
              </w:rPr>
              <w:t xml:space="preserve">TOTAL </w:t>
            </w:r>
            <w:r w:rsidR="00214BEF">
              <w:rPr>
                <w:rFonts w:asciiTheme="minorHAnsi" w:eastAsia="Times New Roman" w:hAnsiTheme="minorHAnsi" w:cstheme="minorHAnsi"/>
                <w:b/>
                <w:bCs/>
                <w:noProof/>
                <w:sz w:val="20"/>
                <w:szCs w:val="20"/>
                <w:lang w:val="es-ES" w:eastAsia="en-GB"/>
              </w:rPr>
              <w:t>DE INGRESOS</w:t>
            </w:r>
          </w:p>
        </w:tc>
        <w:tc>
          <w:tcPr>
            <w:tcW w:w="887" w:type="dxa"/>
            <w:tcBorders>
              <w:top w:val="nil"/>
              <w:left w:val="nil"/>
              <w:bottom w:val="single" w:sz="4" w:space="0" w:color="auto"/>
              <w:right w:val="single" w:sz="4" w:space="0" w:color="auto"/>
            </w:tcBorders>
            <w:shd w:val="clear" w:color="000000" w:fill="DDEBF7"/>
            <w:noWrap/>
            <w:hideMark/>
          </w:tcPr>
          <w:p w14:paraId="288D808B" w14:textId="32FC965B" w:rsidR="002866BB" w:rsidRPr="007D7B87" w:rsidRDefault="002866BB" w:rsidP="003D145E">
            <w:pPr>
              <w:ind w:left="0" w:firstLine="0"/>
              <w:jc w:val="right"/>
              <w:rPr>
                <w:rFonts w:asciiTheme="minorHAnsi" w:eastAsia="Times New Roman" w:hAnsiTheme="minorHAnsi" w:cstheme="minorHAnsi"/>
                <w:b/>
                <w:bCs/>
                <w:noProof/>
                <w:sz w:val="20"/>
                <w:szCs w:val="20"/>
                <w:lang w:val="es-ES" w:eastAsia="en-GB"/>
              </w:rPr>
            </w:pPr>
            <w:r w:rsidRPr="007D7B87">
              <w:rPr>
                <w:rFonts w:asciiTheme="minorHAnsi" w:eastAsia="Times New Roman" w:hAnsiTheme="minorHAnsi" w:cstheme="minorHAnsi"/>
                <w:b/>
                <w:bCs/>
                <w:noProof/>
                <w:sz w:val="20"/>
                <w:szCs w:val="20"/>
                <w:lang w:val="es-ES" w:eastAsia="en-GB"/>
              </w:rPr>
              <w:t>5</w:t>
            </w:r>
            <w:r w:rsidR="000339A3">
              <w:rPr>
                <w:rFonts w:asciiTheme="minorHAnsi" w:eastAsia="Times New Roman" w:hAnsiTheme="minorHAnsi" w:cstheme="minorHAnsi"/>
                <w:b/>
                <w:bCs/>
                <w:noProof/>
                <w:sz w:val="20"/>
                <w:szCs w:val="20"/>
                <w:lang w:val="es-ES" w:eastAsia="en-GB"/>
              </w:rPr>
              <w:t xml:space="preserve"> </w:t>
            </w:r>
            <w:r w:rsidRPr="007D7B87">
              <w:rPr>
                <w:rFonts w:asciiTheme="minorHAnsi" w:eastAsia="Times New Roman" w:hAnsiTheme="minorHAnsi" w:cstheme="minorHAnsi"/>
                <w:b/>
                <w:bCs/>
                <w:noProof/>
                <w:sz w:val="20"/>
                <w:szCs w:val="20"/>
                <w:lang w:val="es-ES" w:eastAsia="en-GB"/>
              </w:rPr>
              <w:t xml:space="preserve">062 </w:t>
            </w:r>
          </w:p>
        </w:tc>
        <w:tc>
          <w:tcPr>
            <w:tcW w:w="887" w:type="dxa"/>
            <w:tcBorders>
              <w:top w:val="nil"/>
              <w:left w:val="nil"/>
              <w:bottom w:val="single" w:sz="4" w:space="0" w:color="auto"/>
              <w:right w:val="single" w:sz="4" w:space="0" w:color="auto"/>
            </w:tcBorders>
            <w:shd w:val="clear" w:color="000000" w:fill="DDEBF7"/>
            <w:noWrap/>
            <w:hideMark/>
          </w:tcPr>
          <w:p w14:paraId="57890A98" w14:textId="4F90D7DD" w:rsidR="002866BB" w:rsidRPr="007D7B87" w:rsidRDefault="002866BB" w:rsidP="003D145E">
            <w:pPr>
              <w:ind w:left="0" w:firstLine="0"/>
              <w:jc w:val="right"/>
              <w:rPr>
                <w:rFonts w:asciiTheme="minorHAnsi" w:eastAsia="Times New Roman" w:hAnsiTheme="minorHAnsi" w:cstheme="minorHAnsi"/>
                <w:b/>
                <w:bCs/>
                <w:noProof/>
                <w:sz w:val="20"/>
                <w:szCs w:val="20"/>
                <w:lang w:val="es-ES" w:eastAsia="en-GB"/>
              </w:rPr>
            </w:pPr>
            <w:r w:rsidRPr="007D7B87">
              <w:rPr>
                <w:rFonts w:asciiTheme="minorHAnsi" w:eastAsia="Times New Roman" w:hAnsiTheme="minorHAnsi" w:cstheme="minorHAnsi"/>
                <w:b/>
                <w:bCs/>
                <w:noProof/>
                <w:sz w:val="20"/>
                <w:szCs w:val="20"/>
                <w:lang w:val="es-ES" w:eastAsia="en-GB"/>
              </w:rPr>
              <w:t>5</w:t>
            </w:r>
            <w:r w:rsidR="000339A3">
              <w:rPr>
                <w:rFonts w:asciiTheme="minorHAnsi" w:eastAsia="Times New Roman" w:hAnsiTheme="minorHAnsi" w:cstheme="minorHAnsi"/>
                <w:b/>
                <w:bCs/>
                <w:noProof/>
                <w:sz w:val="20"/>
                <w:szCs w:val="20"/>
                <w:lang w:val="es-ES" w:eastAsia="en-GB"/>
              </w:rPr>
              <w:t xml:space="preserve"> </w:t>
            </w:r>
            <w:r w:rsidRPr="007D7B87">
              <w:rPr>
                <w:rFonts w:asciiTheme="minorHAnsi" w:eastAsia="Times New Roman" w:hAnsiTheme="minorHAnsi" w:cstheme="minorHAnsi"/>
                <w:b/>
                <w:bCs/>
                <w:noProof/>
                <w:sz w:val="20"/>
                <w:szCs w:val="20"/>
                <w:lang w:val="es-ES" w:eastAsia="en-GB"/>
              </w:rPr>
              <w:t xml:space="preserve">034 </w:t>
            </w:r>
          </w:p>
        </w:tc>
        <w:tc>
          <w:tcPr>
            <w:tcW w:w="887" w:type="dxa"/>
            <w:tcBorders>
              <w:top w:val="nil"/>
              <w:left w:val="nil"/>
              <w:bottom w:val="single" w:sz="4" w:space="0" w:color="auto"/>
              <w:right w:val="single" w:sz="4" w:space="0" w:color="auto"/>
            </w:tcBorders>
            <w:shd w:val="clear" w:color="000000" w:fill="DDEBF7"/>
            <w:noWrap/>
            <w:hideMark/>
          </w:tcPr>
          <w:p w14:paraId="3F68489A" w14:textId="1F27F75E" w:rsidR="002866BB" w:rsidRPr="007D7B87" w:rsidRDefault="002866BB" w:rsidP="003D145E">
            <w:pPr>
              <w:ind w:left="0" w:firstLine="0"/>
              <w:jc w:val="right"/>
              <w:rPr>
                <w:rFonts w:asciiTheme="minorHAnsi" w:eastAsia="Times New Roman" w:hAnsiTheme="minorHAnsi" w:cstheme="minorHAnsi"/>
                <w:b/>
                <w:bCs/>
                <w:noProof/>
                <w:sz w:val="20"/>
                <w:szCs w:val="20"/>
                <w:lang w:val="es-ES" w:eastAsia="en-GB"/>
              </w:rPr>
            </w:pPr>
            <w:r w:rsidRPr="007D7B87">
              <w:rPr>
                <w:rFonts w:asciiTheme="minorHAnsi" w:eastAsia="Times New Roman" w:hAnsiTheme="minorHAnsi" w:cstheme="minorHAnsi"/>
                <w:b/>
                <w:bCs/>
                <w:noProof/>
                <w:sz w:val="20"/>
                <w:szCs w:val="20"/>
                <w:lang w:val="es-ES" w:eastAsia="en-GB"/>
              </w:rPr>
              <w:t>5</w:t>
            </w:r>
            <w:r w:rsidR="000339A3">
              <w:rPr>
                <w:rFonts w:asciiTheme="minorHAnsi" w:eastAsia="Times New Roman" w:hAnsiTheme="minorHAnsi" w:cstheme="minorHAnsi"/>
                <w:b/>
                <w:bCs/>
                <w:noProof/>
                <w:sz w:val="20"/>
                <w:szCs w:val="20"/>
                <w:lang w:val="es-ES" w:eastAsia="en-GB"/>
              </w:rPr>
              <w:t xml:space="preserve"> </w:t>
            </w:r>
            <w:r w:rsidRPr="007D7B87">
              <w:rPr>
                <w:rFonts w:asciiTheme="minorHAnsi" w:eastAsia="Times New Roman" w:hAnsiTheme="minorHAnsi" w:cstheme="minorHAnsi"/>
                <w:b/>
                <w:bCs/>
                <w:noProof/>
                <w:sz w:val="20"/>
                <w:szCs w:val="20"/>
                <w:lang w:val="es-ES" w:eastAsia="en-GB"/>
              </w:rPr>
              <w:t xml:space="preserve">071 </w:t>
            </w:r>
          </w:p>
        </w:tc>
        <w:tc>
          <w:tcPr>
            <w:tcW w:w="1159" w:type="dxa"/>
            <w:tcBorders>
              <w:top w:val="nil"/>
              <w:left w:val="nil"/>
              <w:bottom w:val="single" w:sz="4" w:space="0" w:color="auto"/>
              <w:right w:val="single" w:sz="4" w:space="0" w:color="auto"/>
            </w:tcBorders>
            <w:shd w:val="clear" w:color="000000" w:fill="DDEBF7"/>
            <w:noWrap/>
            <w:hideMark/>
          </w:tcPr>
          <w:p w14:paraId="1EB61E8E" w14:textId="2FDC0682" w:rsidR="002866BB" w:rsidRPr="007D7B87" w:rsidRDefault="002866BB" w:rsidP="003D145E">
            <w:pPr>
              <w:ind w:left="0" w:firstLine="0"/>
              <w:jc w:val="right"/>
              <w:rPr>
                <w:rFonts w:asciiTheme="minorHAnsi" w:eastAsia="Times New Roman" w:hAnsiTheme="minorHAnsi" w:cstheme="minorHAnsi"/>
                <w:b/>
                <w:bCs/>
                <w:noProof/>
                <w:sz w:val="20"/>
                <w:szCs w:val="20"/>
                <w:lang w:val="es-ES" w:eastAsia="en-GB"/>
              </w:rPr>
            </w:pPr>
            <w:r w:rsidRPr="007D7B87">
              <w:rPr>
                <w:rFonts w:asciiTheme="minorHAnsi" w:eastAsia="Times New Roman" w:hAnsiTheme="minorHAnsi" w:cstheme="minorHAnsi"/>
                <w:b/>
                <w:bCs/>
                <w:noProof/>
                <w:sz w:val="20"/>
                <w:szCs w:val="20"/>
                <w:lang w:val="es-ES" w:eastAsia="en-GB"/>
              </w:rPr>
              <w:t>5</w:t>
            </w:r>
            <w:r w:rsidR="000339A3">
              <w:rPr>
                <w:rFonts w:asciiTheme="minorHAnsi" w:eastAsia="Times New Roman" w:hAnsiTheme="minorHAnsi" w:cstheme="minorHAnsi"/>
                <w:b/>
                <w:bCs/>
                <w:noProof/>
                <w:sz w:val="20"/>
                <w:szCs w:val="20"/>
                <w:lang w:val="es-ES" w:eastAsia="en-GB"/>
              </w:rPr>
              <w:t xml:space="preserve"> </w:t>
            </w:r>
            <w:r w:rsidRPr="007D7B87">
              <w:rPr>
                <w:rFonts w:asciiTheme="minorHAnsi" w:eastAsia="Times New Roman" w:hAnsiTheme="minorHAnsi" w:cstheme="minorHAnsi"/>
                <w:b/>
                <w:bCs/>
                <w:noProof/>
                <w:sz w:val="20"/>
                <w:szCs w:val="20"/>
                <w:lang w:val="es-ES" w:eastAsia="en-GB"/>
              </w:rPr>
              <w:t xml:space="preserve">081 </w:t>
            </w:r>
          </w:p>
        </w:tc>
        <w:tc>
          <w:tcPr>
            <w:tcW w:w="982" w:type="dxa"/>
            <w:tcBorders>
              <w:top w:val="nil"/>
              <w:left w:val="nil"/>
              <w:bottom w:val="single" w:sz="4" w:space="0" w:color="auto"/>
              <w:right w:val="single" w:sz="4" w:space="0" w:color="auto"/>
            </w:tcBorders>
            <w:shd w:val="clear" w:color="000000" w:fill="DDEBF7"/>
            <w:noWrap/>
            <w:hideMark/>
          </w:tcPr>
          <w:p w14:paraId="4BBEE28F" w14:textId="3C1A48B5" w:rsidR="002866BB" w:rsidRPr="007D7B87" w:rsidRDefault="002866BB" w:rsidP="003D145E">
            <w:pPr>
              <w:ind w:left="0" w:firstLine="0"/>
              <w:jc w:val="right"/>
              <w:rPr>
                <w:rFonts w:asciiTheme="minorHAnsi" w:eastAsia="Times New Roman" w:hAnsiTheme="minorHAnsi" w:cstheme="minorHAnsi"/>
                <w:b/>
                <w:bCs/>
                <w:noProof/>
                <w:sz w:val="20"/>
                <w:szCs w:val="20"/>
                <w:lang w:val="es-ES" w:eastAsia="en-GB"/>
              </w:rPr>
            </w:pPr>
            <w:r w:rsidRPr="007D7B87">
              <w:rPr>
                <w:rFonts w:asciiTheme="minorHAnsi" w:eastAsia="Times New Roman" w:hAnsiTheme="minorHAnsi" w:cstheme="minorHAnsi"/>
                <w:b/>
                <w:bCs/>
                <w:noProof/>
                <w:sz w:val="20"/>
                <w:szCs w:val="20"/>
                <w:lang w:val="es-ES" w:eastAsia="en-GB"/>
              </w:rPr>
              <w:t>20</w:t>
            </w:r>
            <w:r w:rsidR="000339A3">
              <w:rPr>
                <w:rFonts w:asciiTheme="minorHAnsi" w:eastAsia="Times New Roman" w:hAnsiTheme="minorHAnsi" w:cstheme="minorHAnsi"/>
                <w:b/>
                <w:bCs/>
                <w:noProof/>
                <w:sz w:val="20"/>
                <w:szCs w:val="20"/>
                <w:lang w:val="es-ES" w:eastAsia="en-GB"/>
              </w:rPr>
              <w:t xml:space="preserve"> </w:t>
            </w:r>
            <w:r w:rsidRPr="007D7B87">
              <w:rPr>
                <w:rFonts w:asciiTheme="minorHAnsi" w:eastAsia="Times New Roman" w:hAnsiTheme="minorHAnsi" w:cstheme="minorHAnsi"/>
                <w:b/>
                <w:bCs/>
                <w:noProof/>
                <w:sz w:val="20"/>
                <w:szCs w:val="20"/>
                <w:lang w:val="es-ES" w:eastAsia="en-GB"/>
              </w:rPr>
              <w:t xml:space="preserve">248 </w:t>
            </w:r>
          </w:p>
        </w:tc>
        <w:tc>
          <w:tcPr>
            <w:tcW w:w="1188" w:type="dxa"/>
            <w:tcBorders>
              <w:top w:val="nil"/>
              <w:left w:val="nil"/>
              <w:bottom w:val="single" w:sz="4" w:space="0" w:color="auto"/>
              <w:right w:val="single" w:sz="4" w:space="0" w:color="auto"/>
            </w:tcBorders>
            <w:shd w:val="clear" w:color="000000" w:fill="DDEBF7"/>
            <w:noWrap/>
            <w:hideMark/>
          </w:tcPr>
          <w:p w14:paraId="750671E5" w14:textId="37C871A0" w:rsidR="002866BB" w:rsidRPr="007D7B87" w:rsidRDefault="002866BB" w:rsidP="003D145E">
            <w:pPr>
              <w:ind w:left="0" w:firstLine="0"/>
              <w:jc w:val="right"/>
              <w:rPr>
                <w:rFonts w:asciiTheme="minorHAnsi" w:eastAsia="Times New Roman" w:hAnsiTheme="minorHAnsi" w:cstheme="minorHAnsi"/>
                <w:b/>
                <w:bCs/>
                <w:noProof/>
                <w:sz w:val="20"/>
                <w:szCs w:val="20"/>
                <w:lang w:val="es-ES" w:eastAsia="en-GB"/>
              </w:rPr>
            </w:pPr>
            <w:r w:rsidRPr="007D7B87">
              <w:rPr>
                <w:rFonts w:asciiTheme="minorHAnsi" w:eastAsia="Times New Roman" w:hAnsiTheme="minorHAnsi" w:cstheme="minorHAnsi"/>
                <w:b/>
                <w:bCs/>
                <w:noProof/>
                <w:sz w:val="20"/>
                <w:szCs w:val="20"/>
                <w:lang w:val="es-ES" w:eastAsia="en-GB"/>
              </w:rPr>
              <w:t>20</w:t>
            </w:r>
            <w:r w:rsidR="000339A3">
              <w:rPr>
                <w:rFonts w:asciiTheme="minorHAnsi" w:eastAsia="Times New Roman" w:hAnsiTheme="minorHAnsi" w:cstheme="minorHAnsi"/>
                <w:b/>
                <w:bCs/>
                <w:noProof/>
                <w:sz w:val="20"/>
                <w:szCs w:val="20"/>
                <w:lang w:val="es-ES" w:eastAsia="en-GB"/>
              </w:rPr>
              <w:t xml:space="preserve"> </w:t>
            </w:r>
            <w:r w:rsidRPr="007D7B87">
              <w:rPr>
                <w:rFonts w:asciiTheme="minorHAnsi" w:eastAsia="Times New Roman" w:hAnsiTheme="minorHAnsi" w:cstheme="minorHAnsi"/>
                <w:b/>
                <w:bCs/>
                <w:noProof/>
                <w:sz w:val="20"/>
                <w:szCs w:val="20"/>
                <w:lang w:val="es-ES" w:eastAsia="en-GB"/>
              </w:rPr>
              <w:t xml:space="preserve">324 </w:t>
            </w:r>
          </w:p>
        </w:tc>
        <w:tc>
          <w:tcPr>
            <w:tcW w:w="1090" w:type="dxa"/>
            <w:tcBorders>
              <w:top w:val="nil"/>
              <w:left w:val="nil"/>
              <w:bottom w:val="single" w:sz="4" w:space="0" w:color="auto"/>
              <w:right w:val="single" w:sz="4" w:space="0" w:color="auto"/>
            </w:tcBorders>
            <w:shd w:val="clear" w:color="000000" w:fill="DDEBF7"/>
            <w:noWrap/>
            <w:hideMark/>
          </w:tcPr>
          <w:p w14:paraId="134C5841" w14:textId="49A52A60" w:rsidR="002866BB" w:rsidRPr="007D7B87" w:rsidRDefault="002866BB" w:rsidP="003D145E">
            <w:pPr>
              <w:ind w:left="0" w:firstLine="0"/>
              <w:jc w:val="right"/>
              <w:rPr>
                <w:rFonts w:asciiTheme="minorHAnsi" w:eastAsia="Times New Roman" w:hAnsiTheme="minorHAnsi" w:cstheme="minorHAnsi"/>
                <w:b/>
                <w:bCs/>
                <w:noProof/>
                <w:sz w:val="20"/>
                <w:szCs w:val="20"/>
                <w:lang w:val="es-ES" w:eastAsia="en-GB"/>
              </w:rPr>
            </w:pPr>
            <w:r w:rsidRPr="007D7B87">
              <w:rPr>
                <w:rFonts w:asciiTheme="minorHAnsi" w:eastAsia="Times New Roman" w:hAnsiTheme="minorHAnsi" w:cstheme="minorHAnsi"/>
                <w:b/>
                <w:bCs/>
                <w:noProof/>
                <w:sz w:val="20"/>
                <w:szCs w:val="20"/>
                <w:lang w:val="es-ES" w:eastAsia="en-GB"/>
              </w:rPr>
              <w:t xml:space="preserve">76 </w:t>
            </w:r>
          </w:p>
        </w:tc>
      </w:tr>
      <w:tr w:rsidR="002866BB" w:rsidRPr="007D7B87" w14:paraId="12DA545F" w14:textId="77777777" w:rsidTr="00DA1236">
        <w:tc>
          <w:tcPr>
            <w:tcW w:w="2843" w:type="dxa"/>
            <w:tcBorders>
              <w:top w:val="nil"/>
              <w:left w:val="single" w:sz="4" w:space="0" w:color="auto"/>
              <w:bottom w:val="single" w:sz="4" w:space="0" w:color="auto"/>
              <w:right w:val="single" w:sz="4" w:space="0" w:color="auto"/>
            </w:tcBorders>
            <w:shd w:val="clear" w:color="auto" w:fill="auto"/>
            <w:noWrap/>
            <w:vAlign w:val="bottom"/>
            <w:hideMark/>
          </w:tcPr>
          <w:p w14:paraId="724B3002" w14:textId="09B06CD4" w:rsidR="002866BB" w:rsidRPr="007D7B87" w:rsidRDefault="00892ED2" w:rsidP="00496214">
            <w:pPr>
              <w:ind w:left="0" w:firstLine="0"/>
              <w:rPr>
                <w:rFonts w:asciiTheme="minorHAnsi" w:eastAsia="Times New Roman" w:hAnsiTheme="minorHAnsi" w:cstheme="minorHAnsi"/>
                <w:b/>
                <w:bCs/>
                <w:noProof/>
                <w:sz w:val="20"/>
                <w:szCs w:val="20"/>
                <w:lang w:val="es-ES" w:eastAsia="en-GB"/>
              </w:rPr>
            </w:pPr>
            <w:r>
              <w:rPr>
                <w:rFonts w:asciiTheme="minorHAnsi" w:eastAsia="Times New Roman" w:hAnsiTheme="minorHAnsi" w:cstheme="minorHAnsi"/>
                <w:b/>
                <w:bCs/>
                <w:noProof/>
                <w:sz w:val="20"/>
                <w:szCs w:val="20"/>
                <w:lang w:val="es-ES" w:eastAsia="en-GB"/>
              </w:rPr>
              <w:t>GASTOS</w:t>
            </w:r>
          </w:p>
        </w:tc>
        <w:tc>
          <w:tcPr>
            <w:tcW w:w="887" w:type="dxa"/>
            <w:tcBorders>
              <w:top w:val="nil"/>
              <w:left w:val="nil"/>
              <w:bottom w:val="single" w:sz="4" w:space="0" w:color="auto"/>
              <w:right w:val="single" w:sz="4" w:space="0" w:color="auto"/>
            </w:tcBorders>
            <w:shd w:val="clear" w:color="auto" w:fill="auto"/>
            <w:noWrap/>
            <w:hideMark/>
          </w:tcPr>
          <w:p w14:paraId="497DB4D6"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w:t>
            </w:r>
          </w:p>
        </w:tc>
        <w:tc>
          <w:tcPr>
            <w:tcW w:w="887" w:type="dxa"/>
            <w:tcBorders>
              <w:top w:val="nil"/>
              <w:left w:val="nil"/>
              <w:bottom w:val="single" w:sz="4" w:space="0" w:color="auto"/>
              <w:right w:val="single" w:sz="4" w:space="0" w:color="auto"/>
            </w:tcBorders>
            <w:shd w:val="clear" w:color="auto" w:fill="auto"/>
            <w:noWrap/>
            <w:hideMark/>
          </w:tcPr>
          <w:p w14:paraId="768F562C"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w:t>
            </w:r>
          </w:p>
        </w:tc>
        <w:tc>
          <w:tcPr>
            <w:tcW w:w="887" w:type="dxa"/>
            <w:tcBorders>
              <w:top w:val="nil"/>
              <w:left w:val="nil"/>
              <w:bottom w:val="single" w:sz="4" w:space="0" w:color="auto"/>
              <w:right w:val="single" w:sz="4" w:space="0" w:color="auto"/>
            </w:tcBorders>
            <w:shd w:val="clear" w:color="auto" w:fill="auto"/>
            <w:noWrap/>
            <w:hideMark/>
          </w:tcPr>
          <w:p w14:paraId="73E9CD6B"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w:t>
            </w:r>
          </w:p>
        </w:tc>
        <w:tc>
          <w:tcPr>
            <w:tcW w:w="1159" w:type="dxa"/>
            <w:tcBorders>
              <w:top w:val="nil"/>
              <w:left w:val="nil"/>
              <w:bottom w:val="single" w:sz="4" w:space="0" w:color="auto"/>
              <w:right w:val="single" w:sz="4" w:space="0" w:color="auto"/>
            </w:tcBorders>
            <w:shd w:val="clear" w:color="auto" w:fill="auto"/>
            <w:noWrap/>
            <w:hideMark/>
          </w:tcPr>
          <w:p w14:paraId="6B7A7063"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w:t>
            </w:r>
          </w:p>
        </w:tc>
        <w:tc>
          <w:tcPr>
            <w:tcW w:w="982" w:type="dxa"/>
            <w:tcBorders>
              <w:top w:val="nil"/>
              <w:left w:val="nil"/>
              <w:bottom w:val="single" w:sz="4" w:space="0" w:color="auto"/>
              <w:right w:val="single" w:sz="4" w:space="0" w:color="auto"/>
            </w:tcBorders>
            <w:shd w:val="clear" w:color="auto" w:fill="auto"/>
            <w:noWrap/>
            <w:hideMark/>
          </w:tcPr>
          <w:p w14:paraId="5336832B"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w:t>
            </w:r>
          </w:p>
        </w:tc>
        <w:tc>
          <w:tcPr>
            <w:tcW w:w="1188" w:type="dxa"/>
            <w:tcBorders>
              <w:top w:val="nil"/>
              <w:left w:val="nil"/>
              <w:bottom w:val="single" w:sz="4" w:space="0" w:color="auto"/>
              <w:right w:val="single" w:sz="4" w:space="0" w:color="auto"/>
            </w:tcBorders>
            <w:shd w:val="clear" w:color="auto" w:fill="auto"/>
            <w:noWrap/>
            <w:hideMark/>
          </w:tcPr>
          <w:p w14:paraId="6D52F68A"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w:t>
            </w:r>
          </w:p>
        </w:tc>
        <w:tc>
          <w:tcPr>
            <w:tcW w:w="1090" w:type="dxa"/>
            <w:tcBorders>
              <w:top w:val="nil"/>
              <w:left w:val="nil"/>
              <w:bottom w:val="single" w:sz="4" w:space="0" w:color="auto"/>
              <w:right w:val="single" w:sz="4" w:space="0" w:color="auto"/>
            </w:tcBorders>
            <w:shd w:val="clear" w:color="auto" w:fill="auto"/>
            <w:noWrap/>
            <w:hideMark/>
          </w:tcPr>
          <w:p w14:paraId="22C8F7E2"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w:t>
            </w:r>
          </w:p>
        </w:tc>
      </w:tr>
      <w:tr w:rsidR="002866BB" w:rsidRPr="007D7B87" w14:paraId="3ED4AA62" w14:textId="77777777" w:rsidTr="00DA1236">
        <w:tc>
          <w:tcPr>
            <w:tcW w:w="2843" w:type="dxa"/>
            <w:tcBorders>
              <w:top w:val="nil"/>
              <w:left w:val="single" w:sz="4" w:space="0" w:color="auto"/>
              <w:bottom w:val="single" w:sz="4" w:space="0" w:color="auto"/>
              <w:right w:val="single" w:sz="4" w:space="0" w:color="auto"/>
            </w:tcBorders>
            <w:shd w:val="clear" w:color="auto" w:fill="auto"/>
            <w:vAlign w:val="center"/>
            <w:hideMark/>
          </w:tcPr>
          <w:p w14:paraId="5CE38DFC" w14:textId="16884C72" w:rsidR="002866BB" w:rsidRPr="007D7B87" w:rsidRDefault="002866BB" w:rsidP="00496214">
            <w:pPr>
              <w:ind w:left="0" w:firstLine="0"/>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A.  </w:t>
            </w:r>
            <w:r w:rsidR="00892ED2">
              <w:rPr>
                <w:rFonts w:asciiTheme="minorHAnsi" w:eastAsia="Times New Roman" w:hAnsiTheme="minorHAnsi" w:cstheme="minorHAnsi"/>
                <w:noProof/>
                <w:sz w:val="20"/>
                <w:szCs w:val="20"/>
                <w:lang w:val="es-ES" w:eastAsia="en-GB"/>
              </w:rPr>
              <w:t>Personal directivo de la Secretaría</w:t>
            </w:r>
            <w:r w:rsidR="005D5282">
              <w:rPr>
                <w:rFonts w:asciiTheme="minorHAnsi" w:eastAsia="Times New Roman" w:hAnsiTheme="minorHAnsi" w:cstheme="minorHAnsi"/>
                <w:noProof/>
                <w:sz w:val="20"/>
                <w:szCs w:val="20"/>
                <w:lang w:val="es-ES" w:eastAsia="en-GB"/>
              </w:rPr>
              <w:t xml:space="preserve"> y </w:t>
            </w:r>
            <w:r w:rsidR="00542089">
              <w:rPr>
                <w:rFonts w:asciiTheme="minorHAnsi" w:eastAsia="Times New Roman" w:hAnsiTheme="minorHAnsi" w:cstheme="minorHAnsi"/>
                <w:noProof/>
                <w:sz w:val="20"/>
                <w:szCs w:val="20"/>
                <w:lang w:val="es-ES" w:eastAsia="en-GB"/>
              </w:rPr>
              <w:t>g</w:t>
            </w:r>
            <w:r w:rsidR="005D5282">
              <w:rPr>
                <w:rFonts w:asciiTheme="minorHAnsi" w:eastAsia="Times New Roman" w:hAnsiTheme="minorHAnsi" w:cstheme="minorHAnsi"/>
                <w:noProof/>
                <w:sz w:val="20"/>
                <w:szCs w:val="20"/>
                <w:lang w:val="es-ES" w:eastAsia="en-GB"/>
              </w:rPr>
              <w:t>obernanza</w:t>
            </w:r>
          </w:p>
        </w:tc>
        <w:tc>
          <w:tcPr>
            <w:tcW w:w="887" w:type="dxa"/>
            <w:tcBorders>
              <w:top w:val="nil"/>
              <w:left w:val="nil"/>
              <w:bottom w:val="single" w:sz="4" w:space="0" w:color="auto"/>
              <w:right w:val="single" w:sz="4" w:space="0" w:color="auto"/>
            </w:tcBorders>
            <w:shd w:val="clear" w:color="auto" w:fill="auto"/>
            <w:noWrap/>
            <w:hideMark/>
          </w:tcPr>
          <w:p w14:paraId="20CAF5B5"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888 </w:t>
            </w:r>
          </w:p>
        </w:tc>
        <w:tc>
          <w:tcPr>
            <w:tcW w:w="887" w:type="dxa"/>
            <w:tcBorders>
              <w:top w:val="nil"/>
              <w:left w:val="nil"/>
              <w:bottom w:val="single" w:sz="4" w:space="0" w:color="auto"/>
              <w:right w:val="single" w:sz="4" w:space="0" w:color="auto"/>
            </w:tcBorders>
            <w:shd w:val="clear" w:color="auto" w:fill="auto"/>
            <w:noWrap/>
            <w:hideMark/>
          </w:tcPr>
          <w:p w14:paraId="2540EF95"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900 </w:t>
            </w:r>
          </w:p>
        </w:tc>
        <w:tc>
          <w:tcPr>
            <w:tcW w:w="887" w:type="dxa"/>
            <w:tcBorders>
              <w:top w:val="nil"/>
              <w:left w:val="nil"/>
              <w:bottom w:val="single" w:sz="4" w:space="0" w:color="auto"/>
              <w:right w:val="single" w:sz="4" w:space="0" w:color="auto"/>
            </w:tcBorders>
            <w:shd w:val="clear" w:color="auto" w:fill="auto"/>
            <w:noWrap/>
            <w:hideMark/>
          </w:tcPr>
          <w:p w14:paraId="4733DDE7"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957 </w:t>
            </w:r>
          </w:p>
        </w:tc>
        <w:tc>
          <w:tcPr>
            <w:tcW w:w="1159" w:type="dxa"/>
            <w:tcBorders>
              <w:top w:val="nil"/>
              <w:left w:val="nil"/>
              <w:bottom w:val="single" w:sz="4" w:space="0" w:color="auto"/>
              <w:right w:val="single" w:sz="4" w:space="0" w:color="auto"/>
            </w:tcBorders>
            <w:shd w:val="clear" w:color="auto" w:fill="auto"/>
            <w:noWrap/>
            <w:hideMark/>
          </w:tcPr>
          <w:p w14:paraId="2BD4B84B" w14:textId="027EFA44"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1</w:t>
            </w:r>
            <w:r w:rsidR="000339A3">
              <w:rPr>
                <w:rFonts w:asciiTheme="minorHAnsi" w:eastAsia="Times New Roman" w:hAnsiTheme="minorHAnsi" w:cstheme="minorHAnsi"/>
                <w:noProof/>
                <w:sz w:val="20"/>
                <w:szCs w:val="20"/>
                <w:lang w:val="es-ES" w:eastAsia="en-GB"/>
              </w:rPr>
              <w:t xml:space="preserve"> </w:t>
            </w:r>
            <w:r w:rsidRPr="007D7B87">
              <w:rPr>
                <w:rFonts w:asciiTheme="minorHAnsi" w:eastAsia="Times New Roman" w:hAnsiTheme="minorHAnsi" w:cstheme="minorHAnsi"/>
                <w:noProof/>
                <w:sz w:val="20"/>
                <w:szCs w:val="20"/>
                <w:lang w:val="es-ES" w:eastAsia="en-GB"/>
              </w:rPr>
              <w:t xml:space="preserve">035 </w:t>
            </w:r>
          </w:p>
        </w:tc>
        <w:tc>
          <w:tcPr>
            <w:tcW w:w="982" w:type="dxa"/>
            <w:tcBorders>
              <w:top w:val="nil"/>
              <w:left w:val="nil"/>
              <w:bottom w:val="single" w:sz="4" w:space="0" w:color="auto"/>
              <w:right w:val="single" w:sz="4" w:space="0" w:color="auto"/>
            </w:tcBorders>
            <w:shd w:val="clear" w:color="auto" w:fill="auto"/>
            <w:noWrap/>
            <w:hideMark/>
          </w:tcPr>
          <w:p w14:paraId="1AAED2C4" w14:textId="10394EA4"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3</w:t>
            </w:r>
            <w:r w:rsidR="000339A3">
              <w:rPr>
                <w:rFonts w:asciiTheme="minorHAnsi" w:eastAsia="Times New Roman" w:hAnsiTheme="minorHAnsi" w:cstheme="minorHAnsi"/>
                <w:noProof/>
                <w:sz w:val="20"/>
                <w:szCs w:val="20"/>
                <w:lang w:val="es-ES" w:eastAsia="en-GB"/>
              </w:rPr>
              <w:t xml:space="preserve"> </w:t>
            </w:r>
            <w:r w:rsidRPr="007D7B87">
              <w:rPr>
                <w:rFonts w:asciiTheme="minorHAnsi" w:eastAsia="Times New Roman" w:hAnsiTheme="minorHAnsi" w:cstheme="minorHAnsi"/>
                <w:noProof/>
                <w:sz w:val="20"/>
                <w:szCs w:val="20"/>
                <w:lang w:val="es-ES" w:eastAsia="en-GB"/>
              </w:rPr>
              <w:t xml:space="preserve">780 </w:t>
            </w:r>
          </w:p>
        </w:tc>
        <w:tc>
          <w:tcPr>
            <w:tcW w:w="1188" w:type="dxa"/>
            <w:tcBorders>
              <w:top w:val="nil"/>
              <w:left w:val="nil"/>
              <w:bottom w:val="single" w:sz="4" w:space="0" w:color="auto"/>
              <w:right w:val="single" w:sz="4" w:space="0" w:color="auto"/>
            </w:tcBorders>
            <w:shd w:val="clear" w:color="auto" w:fill="auto"/>
            <w:noWrap/>
            <w:hideMark/>
          </w:tcPr>
          <w:p w14:paraId="3FD8618D" w14:textId="3FFC99A2"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4</w:t>
            </w:r>
            <w:r w:rsidR="000339A3">
              <w:rPr>
                <w:rFonts w:asciiTheme="minorHAnsi" w:eastAsia="Times New Roman" w:hAnsiTheme="minorHAnsi" w:cstheme="minorHAnsi"/>
                <w:noProof/>
                <w:sz w:val="20"/>
                <w:szCs w:val="20"/>
                <w:lang w:val="es-ES" w:eastAsia="en-GB"/>
              </w:rPr>
              <w:t xml:space="preserve"> </w:t>
            </w:r>
            <w:r w:rsidRPr="007D7B87">
              <w:rPr>
                <w:rFonts w:asciiTheme="minorHAnsi" w:eastAsia="Times New Roman" w:hAnsiTheme="minorHAnsi" w:cstheme="minorHAnsi"/>
                <w:noProof/>
                <w:sz w:val="20"/>
                <w:szCs w:val="20"/>
                <w:lang w:val="es-ES" w:eastAsia="en-GB"/>
              </w:rPr>
              <w:t xml:space="preserve">105 </w:t>
            </w:r>
          </w:p>
        </w:tc>
        <w:tc>
          <w:tcPr>
            <w:tcW w:w="1090" w:type="dxa"/>
            <w:tcBorders>
              <w:top w:val="nil"/>
              <w:left w:val="nil"/>
              <w:bottom w:val="single" w:sz="4" w:space="0" w:color="auto"/>
              <w:right w:val="single" w:sz="4" w:space="0" w:color="auto"/>
            </w:tcBorders>
            <w:shd w:val="clear" w:color="auto" w:fill="auto"/>
            <w:noWrap/>
            <w:hideMark/>
          </w:tcPr>
          <w:p w14:paraId="6B232879" w14:textId="548D1EE9"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 325 </w:t>
            </w:r>
          </w:p>
        </w:tc>
      </w:tr>
      <w:tr w:rsidR="002866BB" w:rsidRPr="007D7B87" w14:paraId="42F77407" w14:textId="77777777" w:rsidTr="00DA1236">
        <w:tc>
          <w:tcPr>
            <w:tcW w:w="2843" w:type="dxa"/>
            <w:tcBorders>
              <w:top w:val="nil"/>
              <w:left w:val="single" w:sz="4" w:space="0" w:color="auto"/>
              <w:bottom w:val="single" w:sz="4" w:space="0" w:color="auto"/>
              <w:right w:val="single" w:sz="4" w:space="0" w:color="auto"/>
            </w:tcBorders>
            <w:shd w:val="clear" w:color="auto" w:fill="auto"/>
            <w:noWrap/>
            <w:vAlign w:val="center"/>
            <w:hideMark/>
          </w:tcPr>
          <w:p w14:paraId="7F995853" w14:textId="6706C288" w:rsidR="002866BB" w:rsidRPr="007D7B87" w:rsidRDefault="002866BB" w:rsidP="00496214">
            <w:pPr>
              <w:ind w:left="0" w:firstLine="0"/>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B.  </w:t>
            </w:r>
            <w:r w:rsidR="00892ED2">
              <w:rPr>
                <w:rFonts w:asciiTheme="minorHAnsi" w:eastAsia="Times New Roman" w:hAnsiTheme="minorHAnsi" w:cstheme="minorHAnsi"/>
                <w:noProof/>
                <w:sz w:val="20"/>
                <w:szCs w:val="20"/>
                <w:lang w:val="es-ES" w:eastAsia="en-GB"/>
              </w:rPr>
              <w:t xml:space="preserve">Movilización de recursos y </w:t>
            </w:r>
            <w:r w:rsidR="00542089">
              <w:rPr>
                <w:rFonts w:asciiTheme="minorHAnsi" w:eastAsia="Times New Roman" w:hAnsiTheme="minorHAnsi" w:cstheme="minorHAnsi"/>
                <w:noProof/>
                <w:sz w:val="20"/>
                <w:szCs w:val="20"/>
                <w:lang w:val="es-ES" w:eastAsia="en-GB"/>
              </w:rPr>
              <w:t>p</w:t>
            </w:r>
            <w:r w:rsidR="007A6EA5">
              <w:rPr>
                <w:rFonts w:asciiTheme="minorHAnsi" w:eastAsia="Times New Roman" w:hAnsiTheme="minorHAnsi" w:cstheme="minorHAnsi"/>
                <w:noProof/>
                <w:sz w:val="20"/>
                <w:szCs w:val="20"/>
                <w:lang w:val="es-ES" w:eastAsia="en-GB"/>
              </w:rPr>
              <w:t>romoción</w:t>
            </w:r>
            <w:r w:rsidR="00892ED2">
              <w:rPr>
                <w:rFonts w:asciiTheme="minorHAnsi" w:eastAsia="Times New Roman" w:hAnsiTheme="minorHAnsi" w:cstheme="minorHAnsi"/>
                <w:noProof/>
                <w:sz w:val="20"/>
                <w:szCs w:val="20"/>
                <w:lang w:val="es-ES" w:eastAsia="en-GB"/>
              </w:rPr>
              <w:t xml:space="preserve"> </w:t>
            </w:r>
          </w:p>
        </w:tc>
        <w:tc>
          <w:tcPr>
            <w:tcW w:w="887" w:type="dxa"/>
            <w:tcBorders>
              <w:top w:val="nil"/>
              <w:left w:val="nil"/>
              <w:bottom w:val="single" w:sz="4" w:space="0" w:color="auto"/>
              <w:right w:val="single" w:sz="4" w:space="0" w:color="auto"/>
            </w:tcBorders>
            <w:shd w:val="clear" w:color="auto" w:fill="auto"/>
            <w:noWrap/>
            <w:hideMark/>
          </w:tcPr>
          <w:p w14:paraId="38DE697B"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380 </w:t>
            </w:r>
          </w:p>
        </w:tc>
        <w:tc>
          <w:tcPr>
            <w:tcW w:w="887" w:type="dxa"/>
            <w:tcBorders>
              <w:top w:val="nil"/>
              <w:left w:val="nil"/>
              <w:bottom w:val="single" w:sz="4" w:space="0" w:color="auto"/>
              <w:right w:val="single" w:sz="4" w:space="0" w:color="auto"/>
            </w:tcBorders>
            <w:shd w:val="clear" w:color="auto" w:fill="auto"/>
            <w:noWrap/>
            <w:hideMark/>
          </w:tcPr>
          <w:p w14:paraId="47815AF1"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474 </w:t>
            </w:r>
          </w:p>
        </w:tc>
        <w:tc>
          <w:tcPr>
            <w:tcW w:w="887" w:type="dxa"/>
            <w:tcBorders>
              <w:top w:val="nil"/>
              <w:left w:val="nil"/>
              <w:bottom w:val="single" w:sz="4" w:space="0" w:color="auto"/>
              <w:right w:val="single" w:sz="4" w:space="0" w:color="auto"/>
            </w:tcBorders>
            <w:shd w:val="clear" w:color="auto" w:fill="auto"/>
            <w:noWrap/>
            <w:hideMark/>
          </w:tcPr>
          <w:p w14:paraId="488A9F6D"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540 </w:t>
            </w:r>
          </w:p>
        </w:tc>
        <w:tc>
          <w:tcPr>
            <w:tcW w:w="1159" w:type="dxa"/>
            <w:tcBorders>
              <w:top w:val="nil"/>
              <w:left w:val="nil"/>
              <w:bottom w:val="single" w:sz="4" w:space="0" w:color="auto"/>
              <w:right w:val="single" w:sz="4" w:space="0" w:color="auto"/>
            </w:tcBorders>
            <w:shd w:val="clear" w:color="auto" w:fill="auto"/>
            <w:noWrap/>
            <w:hideMark/>
          </w:tcPr>
          <w:p w14:paraId="0912E434"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639 </w:t>
            </w:r>
          </w:p>
        </w:tc>
        <w:tc>
          <w:tcPr>
            <w:tcW w:w="982" w:type="dxa"/>
            <w:tcBorders>
              <w:top w:val="nil"/>
              <w:left w:val="nil"/>
              <w:bottom w:val="single" w:sz="4" w:space="0" w:color="auto"/>
              <w:right w:val="single" w:sz="4" w:space="0" w:color="auto"/>
            </w:tcBorders>
            <w:shd w:val="clear" w:color="auto" w:fill="auto"/>
            <w:noWrap/>
            <w:hideMark/>
          </w:tcPr>
          <w:p w14:paraId="34C95CEF" w14:textId="5D56914C"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2</w:t>
            </w:r>
            <w:r w:rsidR="000339A3">
              <w:rPr>
                <w:rFonts w:asciiTheme="minorHAnsi" w:eastAsia="Times New Roman" w:hAnsiTheme="minorHAnsi" w:cstheme="minorHAnsi"/>
                <w:noProof/>
                <w:sz w:val="20"/>
                <w:szCs w:val="20"/>
                <w:lang w:val="es-ES" w:eastAsia="en-GB"/>
              </w:rPr>
              <w:t xml:space="preserve"> </w:t>
            </w:r>
            <w:r w:rsidRPr="007D7B87">
              <w:rPr>
                <w:rFonts w:asciiTheme="minorHAnsi" w:eastAsia="Times New Roman" w:hAnsiTheme="minorHAnsi" w:cstheme="minorHAnsi"/>
                <w:noProof/>
                <w:sz w:val="20"/>
                <w:szCs w:val="20"/>
                <w:lang w:val="es-ES" w:eastAsia="en-GB"/>
              </w:rPr>
              <w:t xml:space="preserve">033 </w:t>
            </w:r>
          </w:p>
        </w:tc>
        <w:tc>
          <w:tcPr>
            <w:tcW w:w="1188" w:type="dxa"/>
            <w:tcBorders>
              <w:top w:val="nil"/>
              <w:left w:val="nil"/>
              <w:bottom w:val="single" w:sz="4" w:space="0" w:color="auto"/>
              <w:right w:val="single" w:sz="4" w:space="0" w:color="auto"/>
            </w:tcBorders>
            <w:shd w:val="clear" w:color="auto" w:fill="auto"/>
            <w:noWrap/>
            <w:hideMark/>
          </w:tcPr>
          <w:p w14:paraId="2BFEFF96" w14:textId="6C4FB756"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2</w:t>
            </w:r>
            <w:r w:rsidR="000339A3">
              <w:rPr>
                <w:rFonts w:asciiTheme="minorHAnsi" w:eastAsia="Times New Roman" w:hAnsiTheme="minorHAnsi" w:cstheme="minorHAnsi"/>
                <w:noProof/>
                <w:sz w:val="20"/>
                <w:szCs w:val="20"/>
                <w:lang w:val="es-ES" w:eastAsia="en-GB"/>
              </w:rPr>
              <w:t xml:space="preserve"> </w:t>
            </w:r>
            <w:r w:rsidRPr="007D7B87">
              <w:rPr>
                <w:rFonts w:asciiTheme="minorHAnsi" w:eastAsia="Times New Roman" w:hAnsiTheme="minorHAnsi" w:cstheme="minorHAnsi"/>
                <w:noProof/>
                <w:sz w:val="20"/>
                <w:szCs w:val="20"/>
                <w:lang w:val="es-ES" w:eastAsia="en-GB"/>
              </w:rPr>
              <w:t xml:space="preserve">495 </w:t>
            </w:r>
          </w:p>
        </w:tc>
        <w:tc>
          <w:tcPr>
            <w:tcW w:w="1090" w:type="dxa"/>
            <w:tcBorders>
              <w:top w:val="nil"/>
              <w:left w:val="nil"/>
              <w:bottom w:val="single" w:sz="4" w:space="0" w:color="auto"/>
              <w:right w:val="single" w:sz="4" w:space="0" w:color="auto"/>
            </w:tcBorders>
            <w:shd w:val="clear" w:color="auto" w:fill="auto"/>
            <w:noWrap/>
            <w:hideMark/>
          </w:tcPr>
          <w:p w14:paraId="709FF142" w14:textId="44E7A5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 462 </w:t>
            </w:r>
          </w:p>
        </w:tc>
      </w:tr>
      <w:tr w:rsidR="002866BB" w:rsidRPr="007D7B87" w14:paraId="349B2800" w14:textId="77777777" w:rsidTr="00DA1236">
        <w:tc>
          <w:tcPr>
            <w:tcW w:w="2843" w:type="dxa"/>
            <w:tcBorders>
              <w:top w:val="nil"/>
              <w:left w:val="single" w:sz="4" w:space="0" w:color="auto"/>
              <w:bottom w:val="single" w:sz="4" w:space="0" w:color="auto"/>
              <w:right w:val="single" w:sz="4" w:space="0" w:color="auto"/>
            </w:tcBorders>
            <w:shd w:val="clear" w:color="auto" w:fill="auto"/>
            <w:noWrap/>
            <w:vAlign w:val="center"/>
            <w:hideMark/>
          </w:tcPr>
          <w:p w14:paraId="2A2AFE8C" w14:textId="70AEE17C" w:rsidR="002866BB" w:rsidRPr="007D7B87" w:rsidRDefault="002866BB" w:rsidP="00496214">
            <w:pPr>
              <w:ind w:left="0" w:firstLine="0"/>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C.  </w:t>
            </w:r>
            <w:r w:rsidR="00892ED2">
              <w:rPr>
                <w:rFonts w:asciiTheme="minorHAnsi" w:eastAsia="Times New Roman" w:hAnsiTheme="minorHAnsi" w:cstheme="minorHAnsi"/>
                <w:noProof/>
                <w:sz w:val="20"/>
                <w:szCs w:val="20"/>
                <w:lang w:val="es-ES" w:eastAsia="en-GB"/>
              </w:rPr>
              <w:t>Asesoramiento y apoyo regionales</w:t>
            </w:r>
          </w:p>
        </w:tc>
        <w:tc>
          <w:tcPr>
            <w:tcW w:w="887" w:type="dxa"/>
            <w:tcBorders>
              <w:top w:val="nil"/>
              <w:left w:val="nil"/>
              <w:bottom w:val="single" w:sz="4" w:space="0" w:color="auto"/>
              <w:right w:val="single" w:sz="4" w:space="0" w:color="auto"/>
            </w:tcBorders>
            <w:shd w:val="clear" w:color="auto" w:fill="auto"/>
            <w:noWrap/>
            <w:hideMark/>
          </w:tcPr>
          <w:p w14:paraId="4E73F7B5" w14:textId="36458B7A"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1</w:t>
            </w:r>
            <w:r w:rsidR="000339A3">
              <w:rPr>
                <w:rFonts w:asciiTheme="minorHAnsi" w:eastAsia="Times New Roman" w:hAnsiTheme="minorHAnsi" w:cstheme="minorHAnsi"/>
                <w:noProof/>
                <w:sz w:val="20"/>
                <w:szCs w:val="20"/>
                <w:lang w:val="es-ES" w:eastAsia="en-GB"/>
              </w:rPr>
              <w:t xml:space="preserve"> </w:t>
            </w:r>
            <w:r w:rsidRPr="007D7B87">
              <w:rPr>
                <w:rFonts w:asciiTheme="minorHAnsi" w:eastAsia="Times New Roman" w:hAnsiTheme="minorHAnsi" w:cstheme="minorHAnsi"/>
                <w:noProof/>
                <w:sz w:val="20"/>
                <w:szCs w:val="20"/>
                <w:lang w:val="es-ES" w:eastAsia="en-GB"/>
              </w:rPr>
              <w:t xml:space="preserve">170 </w:t>
            </w:r>
          </w:p>
        </w:tc>
        <w:tc>
          <w:tcPr>
            <w:tcW w:w="887" w:type="dxa"/>
            <w:tcBorders>
              <w:top w:val="nil"/>
              <w:left w:val="nil"/>
              <w:bottom w:val="single" w:sz="4" w:space="0" w:color="auto"/>
              <w:right w:val="single" w:sz="4" w:space="0" w:color="auto"/>
            </w:tcBorders>
            <w:shd w:val="clear" w:color="auto" w:fill="auto"/>
            <w:noWrap/>
            <w:hideMark/>
          </w:tcPr>
          <w:p w14:paraId="51F2B318" w14:textId="3EFD842D"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1</w:t>
            </w:r>
            <w:r w:rsidR="000339A3">
              <w:rPr>
                <w:rFonts w:asciiTheme="minorHAnsi" w:eastAsia="Times New Roman" w:hAnsiTheme="minorHAnsi" w:cstheme="minorHAnsi"/>
                <w:noProof/>
                <w:sz w:val="20"/>
                <w:szCs w:val="20"/>
                <w:lang w:val="es-ES" w:eastAsia="en-GB"/>
              </w:rPr>
              <w:t xml:space="preserve"> </w:t>
            </w:r>
            <w:r w:rsidRPr="007D7B87">
              <w:rPr>
                <w:rFonts w:asciiTheme="minorHAnsi" w:eastAsia="Times New Roman" w:hAnsiTheme="minorHAnsi" w:cstheme="minorHAnsi"/>
                <w:noProof/>
                <w:sz w:val="20"/>
                <w:szCs w:val="20"/>
                <w:lang w:val="es-ES" w:eastAsia="en-GB"/>
              </w:rPr>
              <w:t xml:space="preserve">056 </w:t>
            </w:r>
          </w:p>
        </w:tc>
        <w:tc>
          <w:tcPr>
            <w:tcW w:w="887" w:type="dxa"/>
            <w:tcBorders>
              <w:top w:val="nil"/>
              <w:left w:val="nil"/>
              <w:bottom w:val="single" w:sz="4" w:space="0" w:color="auto"/>
              <w:right w:val="single" w:sz="4" w:space="0" w:color="auto"/>
            </w:tcBorders>
            <w:shd w:val="clear" w:color="auto" w:fill="auto"/>
            <w:noWrap/>
            <w:hideMark/>
          </w:tcPr>
          <w:p w14:paraId="66CD7F7A" w14:textId="7670B18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1</w:t>
            </w:r>
            <w:r w:rsidR="000339A3">
              <w:rPr>
                <w:rFonts w:asciiTheme="minorHAnsi" w:eastAsia="Times New Roman" w:hAnsiTheme="minorHAnsi" w:cstheme="minorHAnsi"/>
                <w:noProof/>
                <w:sz w:val="20"/>
                <w:szCs w:val="20"/>
                <w:lang w:val="es-ES" w:eastAsia="en-GB"/>
              </w:rPr>
              <w:t xml:space="preserve"> </w:t>
            </w:r>
            <w:r w:rsidRPr="007D7B87">
              <w:rPr>
                <w:rFonts w:asciiTheme="minorHAnsi" w:eastAsia="Times New Roman" w:hAnsiTheme="minorHAnsi" w:cstheme="minorHAnsi"/>
                <w:noProof/>
                <w:sz w:val="20"/>
                <w:szCs w:val="20"/>
                <w:lang w:val="es-ES" w:eastAsia="en-GB"/>
              </w:rPr>
              <w:t xml:space="preserve">086 </w:t>
            </w:r>
          </w:p>
        </w:tc>
        <w:tc>
          <w:tcPr>
            <w:tcW w:w="1159" w:type="dxa"/>
            <w:tcBorders>
              <w:top w:val="nil"/>
              <w:left w:val="nil"/>
              <w:bottom w:val="single" w:sz="4" w:space="0" w:color="auto"/>
              <w:right w:val="single" w:sz="4" w:space="0" w:color="auto"/>
            </w:tcBorders>
            <w:shd w:val="clear" w:color="auto" w:fill="auto"/>
            <w:noWrap/>
            <w:hideMark/>
          </w:tcPr>
          <w:p w14:paraId="74A04A67" w14:textId="23665DFB"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1</w:t>
            </w:r>
            <w:r w:rsidR="000339A3">
              <w:rPr>
                <w:rFonts w:asciiTheme="minorHAnsi" w:eastAsia="Times New Roman" w:hAnsiTheme="minorHAnsi" w:cstheme="minorHAnsi"/>
                <w:noProof/>
                <w:sz w:val="20"/>
                <w:szCs w:val="20"/>
                <w:lang w:val="es-ES" w:eastAsia="en-GB"/>
              </w:rPr>
              <w:t xml:space="preserve"> </w:t>
            </w:r>
            <w:r w:rsidRPr="007D7B87">
              <w:rPr>
                <w:rFonts w:asciiTheme="minorHAnsi" w:eastAsia="Times New Roman" w:hAnsiTheme="minorHAnsi" w:cstheme="minorHAnsi"/>
                <w:noProof/>
                <w:sz w:val="20"/>
                <w:szCs w:val="20"/>
                <w:lang w:val="es-ES" w:eastAsia="en-GB"/>
              </w:rPr>
              <w:t xml:space="preserve">247 </w:t>
            </w:r>
          </w:p>
        </w:tc>
        <w:tc>
          <w:tcPr>
            <w:tcW w:w="982" w:type="dxa"/>
            <w:tcBorders>
              <w:top w:val="nil"/>
              <w:left w:val="nil"/>
              <w:bottom w:val="single" w:sz="4" w:space="0" w:color="auto"/>
              <w:right w:val="single" w:sz="4" w:space="0" w:color="auto"/>
            </w:tcBorders>
            <w:shd w:val="clear" w:color="auto" w:fill="auto"/>
            <w:noWrap/>
            <w:hideMark/>
          </w:tcPr>
          <w:p w14:paraId="44533E83" w14:textId="3763426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4</w:t>
            </w:r>
            <w:r w:rsidR="000339A3">
              <w:rPr>
                <w:rFonts w:asciiTheme="minorHAnsi" w:eastAsia="Times New Roman" w:hAnsiTheme="minorHAnsi" w:cstheme="minorHAnsi"/>
                <w:noProof/>
                <w:sz w:val="20"/>
                <w:szCs w:val="20"/>
                <w:lang w:val="es-ES" w:eastAsia="en-GB"/>
              </w:rPr>
              <w:t xml:space="preserve"> </w:t>
            </w:r>
            <w:r w:rsidRPr="007D7B87">
              <w:rPr>
                <w:rFonts w:asciiTheme="minorHAnsi" w:eastAsia="Times New Roman" w:hAnsiTheme="minorHAnsi" w:cstheme="minorHAnsi"/>
                <w:noProof/>
                <w:sz w:val="20"/>
                <w:szCs w:val="20"/>
                <w:lang w:val="es-ES" w:eastAsia="en-GB"/>
              </w:rPr>
              <w:t xml:space="preserve">559 </w:t>
            </w:r>
          </w:p>
        </w:tc>
        <w:tc>
          <w:tcPr>
            <w:tcW w:w="1188" w:type="dxa"/>
            <w:tcBorders>
              <w:top w:val="nil"/>
              <w:left w:val="nil"/>
              <w:bottom w:val="single" w:sz="4" w:space="0" w:color="auto"/>
              <w:right w:val="single" w:sz="4" w:space="0" w:color="auto"/>
            </w:tcBorders>
            <w:shd w:val="clear" w:color="auto" w:fill="auto"/>
            <w:noWrap/>
            <w:hideMark/>
          </w:tcPr>
          <w:p w14:paraId="48921369" w14:textId="26021902"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5</w:t>
            </w:r>
            <w:r w:rsidR="000339A3">
              <w:rPr>
                <w:rFonts w:asciiTheme="minorHAnsi" w:eastAsia="Times New Roman" w:hAnsiTheme="minorHAnsi" w:cstheme="minorHAnsi"/>
                <w:noProof/>
                <w:sz w:val="20"/>
                <w:szCs w:val="20"/>
                <w:lang w:val="es-ES" w:eastAsia="en-GB"/>
              </w:rPr>
              <w:t xml:space="preserve"> </w:t>
            </w:r>
            <w:r w:rsidRPr="007D7B87">
              <w:rPr>
                <w:rFonts w:asciiTheme="minorHAnsi" w:eastAsia="Times New Roman" w:hAnsiTheme="minorHAnsi" w:cstheme="minorHAnsi"/>
                <w:noProof/>
                <w:sz w:val="20"/>
                <w:szCs w:val="20"/>
                <w:lang w:val="es-ES" w:eastAsia="en-GB"/>
              </w:rPr>
              <w:t xml:space="preserve">280 </w:t>
            </w:r>
          </w:p>
        </w:tc>
        <w:tc>
          <w:tcPr>
            <w:tcW w:w="1090" w:type="dxa"/>
            <w:tcBorders>
              <w:top w:val="nil"/>
              <w:left w:val="nil"/>
              <w:bottom w:val="single" w:sz="4" w:space="0" w:color="auto"/>
              <w:right w:val="single" w:sz="4" w:space="0" w:color="auto"/>
            </w:tcBorders>
            <w:shd w:val="clear" w:color="auto" w:fill="auto"/>
            <w:noWrap/>
            <w:hideMark/>
          </w:tcPr>
          <w:p w14:paraId="26FF8B99" w14:textId="05C39163"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 721 </w:t>
            </w:r>
          </w:p>
        </w:tc>
      </w:tr>
      <w:tr w:rsidR="002866BB" w:rsidRPr="007D7B87" w14:paraId="14D34E23" w14:textId="77777777" w:rsidTr="00DA1236">
        <w:tc>
          <w:tcPr>
            <w:tcW w:w="2843" w:type="dxa"/>
            <w:tcBorders>
              <w:top w:val="nil"/>
              <w:left w:val="single" w:sz="4" w:space="0" w:color="auto"/>
              <w:bottom w:val="single" w:sz="4" w:space="0" w:color="auto"/>
              <w:right w:val="single" w:sz="4" w:space="0" w:color="auto"/>
            </w:tcBorders>
            <w:shd w:val="clear" w:color="auto" w:fill="auto"/>
            <w:noWrap/>
            <w:vAlign w:val="center"/>
            <w:hideMark/>
          </w:tcPr>
          <w:p w14:paraId="3F5A636A" w14:textId="155A254C" w:rsidR="002866BB" w:rsidRPr="007D7B87" w:rsidRDefault="002866BB" w:rsidP="00496214">
            <w:pPr>
              <w:ind w:left="0" w:firstLine="0"/>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D.  </w:t>
            </w:r>
            <w:r w:rsidR="00892ED2">
              <w:rPr>
                <w:rFonts w:asciiTheme="minorHAnsi" w:eastAsia="Times New Roman" w:hAnsiTheme="minorHAnsi" w:cstheme="minorHAnsi"/>
                <w:noProof/>
                <w:sz w:val="20"/>
                <w:szCs w:val="20"/>
                <w:lang w:val="es-ES" w:eastAsia="en-GB"/>
              </w:rPr>
              <w:t>Apoyo a iniciativas regionales</w:t>
            </w:r>
          </w:p>
        </w:tc>
        <w:tc>
          <w:tcPr>
            <w:tcW w:w="887" w:type="dxa"/>
            <w:tcBorders>
              <w:top w:val="nil"/>
              <w:left w:val="nil"/>
              <w:bottom w:val="single" w:sz="4" w:space="0" w:color="auto"/>
              <w:right w:val="single" w:sz="4" w:space="0" w:color="auto"/>
            </w:tcBorders>
            <w:shd w:val="clear" w:color="auto" w:fill="auto"/>
            <w:noWrap/>
            <w:hideMark/>
          </w:tcPr>
          <w:p w14:paraId="09A4A411"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82 </w:t>
            </w:r>
          </w:p>
        </w:tc>
        <w:tc>
          <w:tcPr>
            <w:tcW w:w="887" w:type="dxa"/>
            <w:tcBorders>
              <w:top w:val="nil"/>
              <w:left w:val="nil"/>
              <w:bottom w:val="single" w:sz="4" w:space="0" w:color="auto"/>
              <w:right w:val="single" w:sz="4" w:space="0" w:color="auto"/>
            </w:tcBorders>
            <w:shd w:val="clear" w:color="auto" w:fill="auto"/>
            <w:noWrap/>
            <w:hideMark/>
          </w:tcPr>
          <w:p w14:paraId="0C36C964"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70 </w:t>
            </w:r>
          </w:p>
        </w:tc>
        <w:tc>
          <w:tcPr>
            <w:tcW w:w="887" w:type="dxa"/>
            <w:tcBorders>
              <w:top w:val="nil"/>
              <w:left w:val="nil"/>
              <w:bottom w:val="single" w:sz="4" w:space="0" w:color="auto"/>
              <w:right w:val="single" w:sz="4" w:space="0" w:color="auto"/>
            </w:tcBorders>
            <w:shd w:val="clear" w:color="auto" w:fill="auto"/>
            <w:noWrap/>
            <w:hideMark/>
          </w:tcPr>
          <w:p w14:paraId="2CD8B10F"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140 </w:t>
            </w:r>
          </w:p>
        </w:tc>
        <w:tc>
          <w:tcPr>
            <w:tcW w:w="1159" w:type="dxa"/>
            <w:tcBorders>
              <w:top w:val="nil"/>
              <w:left w:val="nil"/>
              <w:bottom w:val="single" w:sz="4" w:space="0" w:color="auto"/>
              <w:right w:val="single" w:sz="4" w:space="0" w:color="auto"/>
            </w:tcBorders>
            <w:shd w:val="clear" w:color="auto" w:fill="auto"/>
            <w:noWrap/>
            <w:hideMark/>
          </w:tcPr>
          <w:p w14:paraId="100D5AFA"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100 </w:t>
            </w:r>
          </w:p>
        </w:tc>
        <w:tc>
          <w:tcPr>
            <w:tcW w:w="982" w:type="dxa"/>
            <w:tcBorders>
              <w:top w:val="nil"/>
              <w:left w:val="nil"/>
              <w:bottom w:val="single" w:sz="4" w:space="0" w:color="auto"/>
              <w:right w:val="single" w:sz="4" w:space="0" w:color="auto"/>
            </w:tcBorders>
            <w:shd w:val="clear" w:color="auto" w:fill="auto"/>
            <w:noWrap/>
            <w:hideMark/>
          </w:tcPr>
          <w:p w14:paraId="6B67EA15"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392 </w:t>
            </w:r>
          </w:p>
        </w:tc>
        <w:tc>
          <w:tcPr>
            <w:tcW w:w="1188" w:type="dxa"/>
            <w:tcBorders>
              <w:top w:val="nil"/>
              <w:left w:val="nil"/>
              <w:bottom w:val="single" w:sz="4" w:space="0" w:color="auto"/>
              <w:right w:val="single" w:sz="4" w:space="0" w:color="auto"/>
            </w:tcBorders>
            <w:shd w:val="clear" w:color="auto" w:fill="auto"/>
            <w:noWrap/>
            <w:hideMark/>
          </w:tcPr>
          <w:p w14:paraId="0C8C097D"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400 </w:t>
            </w:r>
          </w:p>
        </w:tc>
        <w:tc>
          <w:tcPr>
            <w:tcW w:w="1090" w:type="dxa"/>
            <w:tcBorders>
              <w:top w:val="nil"/>
              <w:left w:val="nil"/>
              <w:bottom w:val="single" w:sz="4" w:space="0" w:color="auto"/>
              <w:right w:val="single" w:sz="4" w:space="0" w:color="auto"/>
            </w:tcBorders>
            <w:shd w:val="clear" w:color="auto" w:fill="auto"/>
            <w:noWrap/>
            <w:hideMark/>
          </w:tcPr>
          <w:p w14:paraId="7354BC93" w14:textId="605792CB"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  8 </w:t>
            </w:r>
          </w:p>
        </w:tc>
      </w:tr>
      <w:tr w:rsidR="002866BB" w:rsidRPr="007D7B87" w14:paraId="7574802E" w14:textId="77777777" w:rsidTr="00DA1236">
        <w:tc>
          <w:tcPr>
            <w:tcW w:w="2843" w:type="dxa"/>
            <w:tcBorders>
              <w:top w:val="nil"/>
              <w:left w:val="single" w:sz="4" w:space="0" w:color="auto"/>
              <w:bottom w:val="single" w:sz="4" w:space="0" w:color="auto"/>
              <w:right w:val="single" w:sz="4" w:space="0" w:color="auto"/>
            </w:tcBorders>
            <w:shd w:val="clear" w:color="auto" w:fill="auto"/>
            <w:noWrap/>
            <w:vAlign w:val="center"/>
            <w:hideMark/>
          </w:tcPr>
          <w:p w14:paraId="09695C93" w14:textId="770172F7" w:rsidR="002866BB" w:rsidRPr="007D7B87" w:rsidRDefault="002866BB" w:rsidP="00496214">
            <w:pPr>
              <w:ind w:left="0" w:firstLine="0"/>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E.  </w:t>
            </w:r>
            <w:r w:rsidR="00892ED2">
              <w:rPr>
                <w:rFonts w:asciiTheme="minorHAnsi" w:eastAsia="Times New Roman" w:hAnsiTheme="minorHAnsi" w:cstheme="minorHAnsi"/>
                <w:noProof/>
                <w:sz w:val="20"/>
                <w:szCs w:val="20"/>
                <w:lang w:val="es-ES" w:eastAsia="en-GB"/>
              </w:rPr>
              <w:t>Ciencia y políticas</w:t>
            </w:r>
          </w:p>
        </w:tc>
        <w:tc>
          <w:tcPr>
            <w:tcW w:w="887" w:type="dxa"/>
            <w:tcBorders>
              <w:top w:val="nil"/>
              <w:left w:val="nil"/>
              <w:bottom w:val="single" w:sz="4" w:space="0" w:color="auto"/>
              <w:right w:val="single" w:sz="4" w:space="0" w:color="auto"/>
            </w:tcBorders>
            <w:shd w:val="clear" w:color="auto" w:fill="auto"/>
            <w:noWrap/>
            <w:hideMark/>
          </w:tcPr>
          <w:p w14:paraId="2A112E4C"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669 </w:t>
            </w:r>
          </w:p>
        </w:tc>
        <w:tc>
          <w:tcPr>
            <w:tcW w:w="887" w:type="dxa"/>
            <w:tcBorders>
              <w:top w:val="nil"/>
              <w:left w:val="nil"/>
              <w:bottom w:val="single" w:sz="4" w:space="0" w:color="auto"/>
              <w:right w:val="single" w:sz="4" w:space="0" w:color="auto"/>
            </w:tcBorders>
            <w:shd w:val="clear" w:color="auto" w:fill="auto"/>
            <w:noWrap/>
            <w:hideMark/>
          </w:tcPr>
          <w:p w14:paraId="7029EA9B"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564 </w:t>
            </w:r>
          </w:p>
        </w:tc>
        <w:tc>
          <w:tcPr>
            <w:tcW w:w="887" w:type="dxa"/>
            <w:tcBorders>
              <w:top w:val="nil"/>
              <w:left w:val="nil"/>
              <w:bottom w:val="single" w:sz="4" w:space="0" w:color="auto"/>
              <w:right w:val="single" w:sz="4" w:space="0" w:color="auto"/>
            </w:tcBorders>
            <w:shd w:val="clear" w:color="auto" w:fill="auto"/>
            <w:noWrap/>
            <w:hideMark/>
          </w:tcPr>
          <w:p w14:paraId="131A23B6"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633 </w:t>
            </w:r>
          </w:p>
        </w:tc>
        <w:tc>
          <w:tcPr>
            <w:tcW w:w="1159" w:type="dxa"/>
            <w:tcBorders>
              <w:top w:val="nil"/>
              <w:left w:val="nil"/>
              <w:bottom w:val="single" w:sz="4" w:space="0" w:color="auto"/>
              <w:right w:val="single" w:sz="4" w:space="0" w:color="auto"/>
            </w:tcBorders>
            <w:shd w:val="clear" w:color="auto" w:fill="auto"/>
            <w:noWrap/>
            <w:hideMark/>
          </w:tcPr>
          <w:p w14:paraId="6CD8CA11"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844 </w:t>
            </w:r>
          </w:p>
        </w:tc>
        <w:tc>
          <w:tcPr>
            <w:tcW w:w="982" w:type="dxa"/>
            <w:tcBorders>
              <w:top w:val="nil"/>
              <w:left w:val="nil"/>
              <w:bottom w:val="single" w:sz="4" w:space="0" w:color="auto"/>
              <w:right w:val="single" w:sz="4" w:space="0" w:color="auto"/>
            </w:tcBorders>
            <w:shd w:val="clear" w:color="auto" w:fill="auto"/>
            <w:noWrap/>
            <w:hideMark/>
          </w:tcPr>
          <w:p w14:paraId="53CCDCEB" w14:textId="6CB68635"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2</w:t>
            </w:r>
            <w:r w:rsidR="000339A3">
              <w:rPr>
                <w:rFonts w:asciiTheme="minorHAnsi" w:eastAsia="Times New Roman" w:hAnsiTheme="minorHAnsi" w:cstheme="minorHAnsi"/>
                <w:noProof/>
                <w:sz w:val="20"/>
                <w:szCs w:val="20"/>
                <w:lang w:val="es-ES" w:eastAsia="en-GB"/>
              </w:rPr>
              <w:t xml:space="preserve"> </w:t>
            </w:r>
            <w:r w:rsidRPr="007D7B87">
              <w:rPr>
                <w:rFonts w:asciiTheme="minorHAnsi" w:eastAsia="Times New Roman" w:hAnsiTheme="minorHAnsi" w:cstheme="minorHAnsi"/>
                <w:noProof/>
                <w:sz w:val="20"/>
                <w:szCs w:val="20"/>
                <w:lang w:val="es-ES" w:eastAsia="en-GB"/>
              </w:rPr>
              <w:t xml:space="preserve">710 </w:t>
            </w:r>
          </w:p>
        </w:tc>
        <w:tc>
          <w:tcPr>
            <w:tcW w:w="1188" w:type="dxa"/>
            <w:tcBorders>
              <w:top w:val="nil"/>
              <w:left w:val="nil"/>
              <w:bottom w:val="single" w:sz="4" w:space="0" w:color="auto"/>
              <w:right w:val="single" w:sz="4" w:space="0" w:color="auto"/>
            </w:tcBorders>
            <w:shd w:val="clear" w:color="auto" w:fill="auto"/>
            <w:noWrap/>
            <w:hideMark/>
          </w:tcPr>
          <w:p w14:paraId="75440F31" w14:textId="23CE5C7A"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3</w:t>
            </w:r>
            <w:r w:rsidR="000339A3">
              <w:rPr>
                <w:rFonts w:asciiTheme="minorHAnsi" w:eastAsia="Times New Roman" w:hAnsiTheme="minorHAnsi" w:cstheme="minorHAnsi"/>
                <w:noProof/>
                <w:sz w:val="20"/>
                <w:szCs w:val="20"/>
                <w:lang w:val="es-ES" w:eastAsia="en-GB"/>
              </w:rPr>
              <w:t xml:space="preserve"> </w:t>
            </w:r>
            <w:r w:rsidRPr="007D7B87">
              <w:rPr>
                <w:rFonts w:asciiTheme="minorHAnsi" w:eastAsia="Times New Roman" w:hAnsiTheme="minorHAnsi" w:cstheme="minorHAnsi"/>
                <w:noProof/>
                <w:sz w:val="20"/>
                <w:szCs w:val="20"/>
                <w:lang w:val="es-ES" w:eastAsia="en-GB"/>
              </w:rPr>
              <w:t xml:space="preserve">053 </w:t>
            </w:r>
          </w:p>
        </w:tc>
        <w:tc>
          <w:tcPr>
            <w:tcW w:w="1090" w:type="dxa"/>
            <w:tcBorders>
              <w:top w:val="nil"/>
              <w:left w:val="nil"/>
              <w:bottom w:val="single" w:sz="4" w:space="0" w:color="auto"/>
              <w:right w:val="single" w:sz="4" w:space="0" w:color="auto"/>
            </w:tcBorders>
            <w:shd w:val="clear" w:color="auto" w:fill="auto"/>
            <w:noWrap/>
            <w:hideMark/>
          </w:tcPr>
          <w:p w14:paraId="4F07B340" w14:textId="3AAD3D8F"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 343 </w:t>
            </w:r>
          </w:p>
        </w:tc>
      </w:tr>
      <w:tr w:rsidR="002866BB" w:rsidRPr="007D7B87" w14:paraId="3F66FCD7" w14:textId="77777777" w:rsidTr="00DA1236">
        <w:tc>
          <w:tcPr>
            <w:tcW w:w="2843" w:type="dxa"/>
            <w:tcBorders>
              <w:top w:val="nil"/>
              <w:left w:val="single" w:sz="4" w:space="0" w:color="auto"/>
              <w:bottom w:val="single" w:sz="4" w:space="0" w:color="auto"/>
              <w:right w:val="single" w:sz="4" w:space="0" w:color="auto"/>
            </w:tcBorders>
            <w:shd w:val="clear" w:color="auto" w:fill="auto"/>
            <w:noWrap/>
            <w:vAlign w:val="center"/>
            <w:hideMark/>
          </w:tcPr>
          <w:p w14:paraId="11664E10" w14:textId="59A61DF3" w:rsidR="002866BB" w:rsidRPr="007D7B87" w:rsidRDefault="002866BB" w:rsidP="00496214">
            <w:pPr>
              <w:ind w:left="0" w:firstLine="0"/>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G.  Administra</w:t>
            </w:r>
            <w:r w:rsidR="00892ED2">
              <w:rPr>
                <w:rFonts w:asciiTheme="minorHAnsi" w:eastAsia="Times New Roman" w:hAnsiTheme="minorHAnsi" w:cstheme="minorHAnsi"/>
                <w:noProof/>
                <w:sz w:val="20"/>
                <w:szCs w:val="20"/>
                <w:lang w:val="es-ES" w:eastAsia="en-GB"/>
              </w:rPr>
              <w:t>ció</w:t>
            </w:r>
            <w:r w:rsidRPr="007D7B87">
              <w:rPr>
                <w:rFonts w:asciiTheme="minorHAnsi" w:eastAsia="Times New Roman" w:hAnsiTheme="minorHAnsi" w:cstheme="minorHAnsi"/>
                <w:noProof/>
                <w:sz w:val="20"/>
                <w:szCs w:val="20"/>
                <w:lang w:val="es-ES" w:eastAsia="en-GB"/>
              </w:rPr>
              <w:t>n</w:t>
            </w:r>
          </w:p>
        </w:tc>
        <w:tc>
          <w:tcPr>
            <w:tcW w:w="887" w:type="dxa"/>
            <w:tcBorders>
              <w:top w:val="nil"/>
              <w:left w:val="nil"/>
              <w:bottom w:val="single" w:sz="4" w:space="0" w:color="auto"/>
              <w:right w:val="single" w:sz="4" w:space="0" w:color="auto"/>
            </w:tcBorders>
            <w:shd w:val="clear" w:color="auto" w:fill="auto"/>
            <w:noWrap/>
            <w:hideMark/>
          </w:tcPr>
          <w:p w14:paraId="1CCD7E47"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355 </w:t>
            </w:r>
          </w:p>
        </w:tc>
        <w:tc>
          <w:tcPr>
            <w:tcW w:w="887" w:type="dxa"/>
            <w:tcBorders>
              <w:top w:val="nil"/>
              <w:left w:val="nil"/>
              <w:bottom w:val="single" w:sz="4" w:space="0" w:color="auto"/>
              <w:right w:val="single" w:sz="4" w:space="0" w:color="auto"/>
            </w:tcBorders>
            <w:shd w:val="clear" w:color="auto" w:fill="auto"/>
            <w:noWrap/>
            <w:hideMark/>
          </w:tcPr>
          <w:p w14:paraId="127221B1"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447 </w:t>
            </w:r>
          </w:p>
        </w:tc>
        <w:tc>
          <w:tcPr>
            <w:tcW w:w="887" w:type="dxa"/>
            <w:tcBorders>
              <w:top w:val="nil"/>
              <w:left w:val="nil"/>
              <w:bottom w:val="single" w:sz="4" w:space="0" w:color="auto"/>
              <w:right w:val="single" w:sz="4" w:space="0" w:color="auto"/>
            </w:tcBorders>
            <w:shd w:val="clear" w:color="auto" w:fill="auto"/>
            <w:noWrap/>
            <w:hideMark/>
          </w:tcPr>
          <w:p w14:paraId="3F834A1C"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505 </w:t>
            </w:r>
          </w:p>
        </w:tc>
        <w:tc>
          <w:tcPr>
            <w:tcW w:w="1159" w:type="dxa"/>
            <w:tcBorders>
              <w:top w:val="nil"/>
              <w:left w:val="nil"/>
              <w:bottom w:val="single" w:sz="4" w:space="0" w:color="auto"/>
              <w:right w:val="single" w:sz="4" w:space="0" w:color="auto"/>
            </w:tcBorders>
            <w:shd w:val="clear" w:color="auto" w:fill="auto"/>
            <w:noWrap/>
            <w:hideMark/>
          </w:tcPr>
          <w:p w14:paraId="2ABEE09A"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492 </w:t>
            </w:r>
          </w:p>
        </w:tc>
        <w:tc>
          <w:tcPr>
            <w:tcW w:w="982" w:type="dxa"/>
            <w:tcBorders>
              <w:top w:val="nil"/>
              <w:left w:val="nil"/>
              <w:bottom w:val="single" w:sz="4" w:space="0" w:color="auto"/>
              <w:right w:val="single" w:sz="4" w:space="0" w:color="auto"/>
            </w:tcBorders>
            <w:shd w:val="clear" w:color="auto" w:fill="auto"/>
            <w:noWrap/>
            <w:hideMark/>
          </w:tcPr>
          <w:p w14:paraId="77BB31E8" w14:textId="2CA60BFE"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1</w:t>
            </w:r>
            <w:r w:rsidR="000339A3">
              <w:rPr>
                <w:rFonts w:asciiTheme="minorHAnsi" w:eastAsia="Times New Roman" w:hAnsiTheme="minorHAnsi" w:cstheme="minorHAnsi"/>
                <w:noProof/>
                <w:sz w:val="20"/>
                <w:szCs w:val="20"/>
                <w:lang w:val="es-ES" w:eastAsia="en-GB"/>
              </w:rPr>
              <w:t xml:space="preserve"> </w:t>
            </w:r>
            <w:r w:rsidRPr="007D7B87">
              <w:rPr>
                <w:rFonts w:asciiTheme="minorHAnsi" w:eastAsia="Times New Roman" w:hAnsiTheme="minorHAnsi" w:cstheme="minorHAnsi"/>
                <w:noProof/>
                <w:sz w:val="20"/>
                <w:szCs w:val="20"/>
                <w:lang w:val="es-ES" w:eastAsia="en-GB"/>
              </w:rPr>
              <w:t xml:space="preserve">799 </w:t>
            </w:r>
          </w:p>
        </w:tc>
        <w:tc>
          <w:tcPr>
            <w:tcW w:w="1188" w:type="dxa"/>
            <w:tcBorders>
              <w:top w:val="nil"/>
              <w:left w:val="nil"/>
              <w:bottom w:val="single" w:sz="4" w:space="0" w:color="auto"/>
              <w:right w:val="single" w:sz="4" w:space="0" w:color="auto"/>
            </w:tcBorders>
            <w:shd w:val="clear" w:color="auto" w:fill="auto"/>
            <w:noWrap/>
            <w:hideMark/>
          </w:tcPr>
          <w:p w14:paraId="637699CC" w14:textId="6550E920"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1</w:t>
            </w:r>
            <w:r w:rsidR="000339A3">
              <w:rPr>
                <w:rFonts w:asciiTheme="minorHAnsi" w:eastAsia="Times New Roman" w:hAnsiTheme="minorHAnsi" w:cstheme="minorHAnsi"/>
                <w:noProof/>
                <w:sz w:val="20"/>
                <w:szCs w:val="20"/>
                <w:lang w:val="es-ES" w:eastAsia="en-GB"/>
              </w:rPr>
              <w:t xml:space="preserve"> </w:t>
            </w:r>
            <w:r w:rsidRPr="007D7B87">
              <w:rPr>
                <w:rFonts w:asciiTheme="minorHAnsi" w:eastAsia="Times New Roman" w:hAnsiTheme="minorHAnsi" w:cstheme="minorHAnsi"/>
                <w:noProof/>
                <w:sz w:val="20"/>
                <w:szCs w:val="20"/>
                <w:lang w:val="es-ES" w:eastAsia="en-GB"/>
              </w:rPr>
              <w:t xml:space="preserve">812 </w:t>
            </w:r>
          </w:p>
        </w:tc>
        <w:tc>
          <w:tcPr>
            <w:tcW w:w="1090" w:type="dxa"/>
            <w:tcBorders>
              <w:top w:val="nil"/>
              <w:left w:val="nil"/>
              <w:bottom w:val="single" w:sz="4" w:space="0" w:color="auto"/>
              <w:right w:val="single" w:sz="4" w:space="0" w:color="auto"/>
            </w:tcBorders>
            <w:shd w:val="clear" w:color="auto" w:fill="auto"/>
            <w:noWrap/>
            <w:hideMark/>
          </w:tcPr>
          <w:p w14:paraId="57F72583" w14:textId="1AA7617F"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13 </w:t>
            </w:r>
          </w:p>
        </w:tc>
      </w:tr>
      <w:tr w:rsidR="002866BB" w:rsidRPr="007D7B87" w14:paraId="2E694569" w14:textId="77777777" w:rsidTr="00DA1236">
        <w:tc>
          <w:tcPr>
            <w:tcW w:w="2843" w:type="dxa"/>
            <w:tcBorders>
              <w:top w:val="nil"/>
              <w:left w:val="single" w:sz="4" w:space="0" w:color="auto"/>
              <w:bottom w:val="single" w:sz="4" w:space="0" w:color="auto"/>
              <w:right w:val="single" w:sz="4" w:space="0" w:color="auto"/>
            </w:tcBorders>
            <w:shd w:val="clear" w:color="auto" w:fill="auto"/>
            <w:noWrap/>
            <w:vAlign w:val="center"/>
            <w:hideMark/>
          </w:tcPr>
          <w:p w14:paraId="6CFE8D4F" w14:textId="5F87D2C0" w:rsidR="002866BB" w:rsidRPr="007D7B87" w:rsidRDefault="002866BB" w:rsidP="00496214">
            <w:pPr>
              <w:ind w:left="0" w:firstLine="0"/>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H. </w:t>
            </w:r>
            <w:r w:rsidR="00892ED2">
              <w:rPr>
                <w:rFonts w:asciiTheme="minorHAnsi" w:eastAsia="Times New Roman" w:hAnsiTheme="minorHAnsi" w:cstheme="minorHAnsi"/>
                <w:noProof/>
                <w:sz w:val="20"/>
                <w:szCs w:val="20"/>
                <w:lang w:val="es-ES" w:eastAsia="en-GB"/>
              </w:rPr>
              <w:t>Servicios del Comité Permanente</w:t>
            </w:r>
          </w:p>
        </w:tc>
        <w:tc>
          <w:tcPr>
            <w:tcW w:w="887" w:type="dxa"/>
            <w:tcBorders>
              <w:top w:val="nil"/>
              <w:left w:val="nil"/>
              <w:bottom w:val="single" w:sz="4" w:space="0" w:color="auto"/>
              <w:right w:val="single" w:sz="4" w:space="0" w:color="auto"/>
            </w:tcBorders>
            <w:shd w:val="clear" w:color="auto" w:fill="auto"/>
            <w:noWrap/>
            <w:hideMark/>
          </w:tcPr>
          <w:p w14:paraId="7C7FFB4B"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150 </w:t>
            </w:r>
          </w:p>
        </w:tc>
        <w:tc>
          <w:tcPr>
            <w:tcW w:w="887" w:type="dxa"/>
            <w:tcBorders>
              <w:top w:val="nil"/>
              <w:left w:val="nil"/>
              <w:bottom w:val="single" w:sz="4" w:space="0" w:color="auto"/>
              <w:right w:val="single" w:sz="4" w:space="0" w:color="auto"/>
            </w:tcBorders>
            <w:shd w:val="clear" w:color="auto" w:fill="auto"/>
            <w:noWrap/>
            <w:hideMark/>
          </w:tcPr>
          <w:p w14:paraId="54D86627"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146 </w:t>
            </w:r>
          </w:p>
        </w:tc>
        <w:tc>
          <w:tcPr>
            <w:tcW w:w="887" w:type="dxa"/>
            <w:tcBorders>
              <w:top w:val="nil"/>
              <w:left w:val="nil"/>
              <w:bottom w:val="single" w:sz="4" w:space="0" w:color="auto"/>
              <w:right w:val="single" w:sz="4" w:space="0" w:color="auto"/>
            </w:tcBorders>
            <w:shd w:val="clear" w:color="auto" w:fill="auto"/>
            <w:noWrap/>
            <w:hideMark/>
          </w:tcPr>
          <w:p w14:paraId="0CD3D464"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168 </w:t>
            </w:r>
          </w:p>
        </w:tc>
        <w:tc>
          <w:tcPr>
            <w:tcW w:w="1159" w:type="dxa"/>
            <w:tcBorders>
              <w:top w:val="nil"/>
              <w:left w:val="nil"/>
              <w:bottom w:val="single" w:sz="4" w:space="0" w:color="auto"/>
              <w:right w:val="single" w:sz="4" w:space="0" w:color="auto"/>
            </w:tcBorders>
            <w:shd w:val="clear" w:color="auto" w:fill="auto"/>
            <w:noWrap/>
            <w:hideMark/>
          </w:tcPr>
          <w:p w14:paraId="3587BB39"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150 </w:t>
            </w:r>
          </w:p>
        </w:tc>
        <w:tc>
          <w:tcPr>
            <w:tcW w:w="982" w:type="dxa"/>
            <w:tcBorders>
              <w:top w:val="nil"/>
              <w:left w:val="nil"/>
              <w:bottom w:val="single" w:sz="4" w:space="0" w:color="auto"/>
              <w:right w:val="single" w:sz="4" w:space="0" w:color="auto"/>
            </w:tcBorders>
            <w:shd w:val="clear" w:color="auto" w:fill="auto"/>
            <w:noWrap/>
            <w:hideMark/>
          </w:tcPr>
          <w:p w14:paraId="33264AB5"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614 </w:t>
            </w:r>
          </w:p>
        </w:tc>
        <w:tc>
          <w:tcPr>
            <w:tcW w:w="1188" w:type="dxa"/>
            <w:tcBorders>
              <w:top w:val="nil"/>
              <w:left w:val="nil"/>
              <w:bottom w:val="single" w:sz="4" w:space="0" w:color="auto"/>
              <w:right w:val="single" w:sz="4" w:space="0" w:color="auto"/>
            </w:tcBorders>
            <w:shd w:val="clear" w:color="auto" w:fill="auto"/>
            <w:noWrap/>
            <w:hideMark/>
          </w:tcPr>
          <w:p w14:paraId="5F0CC2CA"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600 </w:t>
            </w:r>
          </w:p>
        </w:tc>
        <w:tc>
          <w:tcPr>
            <w:tcW w:w="1090" w:type="dxa"/>
            <w:tcBorders>
              <w:top w:val="nil"/>
              <w:left w:val="nil"/>
              <w:bottom w:val="single" w:sz="4" w:space="0" w:color="auto"/>
              <w:right w:val="single" w:sz="4" w:space="0" w:color="auto"/>
            </w:tcBorders>
            <w:shd w:val="clear" w:color="auto" w:fill="auto"/>
            <w:noWrap/>
            <w:hideMark/>
          </w:tcPr>
          <w:p w14:paraId="0799B2B4" w14:textId="231F7270"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 (14)</w:t>
            </w:r>
          </w:p>
        </w:tc>
      </w:tr>
      <w:tr w:rsidR="002866BB" w:rsidRPr="007D7B87" w14:paraId="136AC482" w14:textId="77777777" w:rsidTr="00DA1236">
        <w:tc>
          <w:tcPr>
            <w:tcW w:w="2843" w:type="dxa"/>
            <w:tcBorders>
              <w:top w:val="nil"/>
              <w:left w:val="single" w:sz="4" w:space="0" w:color="auto"/>
              <w:bottom w:val="single" w:sz="4" w:space="0" w:color="auto"/>
              <w:right w:val="single" w:sz="4" w:space="0" w:color="auto"/>
            </w:tcBorders>
            <w:shd w:val="clear" w:color="auto" w:fill="auto"/>
            <w:vAlign w:val="center"/>
            <w:hideMark/>
          </w:tcPr>
          <w:p w14:paraId="17989275" w14:textId="3AD4A74E" w:rsidR="002866BB" w:rsidRPr="007D7B87" w:rsidRDefault="002866BB" w:rsidP="00496214">
            <w:pPr>
              <w:ind w:left="0" w:firstLine="0"/>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I.  </w:t>
            </w:r>
            <w:r w:rsidR="00892ED2">
              <w:rPr>
                <w:rFonts w:asciiTheme="minorHAnsi" w:eastAsia="Times New Roman" w:hAnsiTheme="minorHAnsi" w:cstheme="minorHAnsi"/>
                <w:noProof/>
                <w:sz w:val="20"/>
                <w:szCs w:val="20"/>
                <w:lang w:val="es-ES" w:eastAsia="en-GB"/>
              </w:rPr>
              <w:t xml:space="preserve">Gastos por servicios administrativos de la UICN (máximo) </w:t>
            </w:r>
          </w:p>
        </w:tc>
        <w:tc>
          <w:tcPr>
            <w:tcW w:w="887" w:type="dxa"/>
            <w:tcBorders>
              <w:top w:val="nil"/>
              <w:left w:val="nil"/>
              <w:bottom w:val="single" w:sz="4" w:space="0" w:color="auto"/>
              <w:right w:val="single" w:sz="4" w:space="0" w:color="auto"/>
            </w:tcBorders>
            <w:shd w:val="clear" w:color="auto" w:fill="auto"/>
            <w:noWrap/>
            <w:hideMark/>
          </w:tcPr>
          <w:p w14:paraId="533746A7"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524 </w:t>
            </w:r>
          </w:p>
        </w:tc>
        <w:tc>
          <w:tcPr>
            <w:tcW w:w="887" w:type="dxa"/>
            <w:tcBorders>
              <w:top w:val="nil"/>
              <w:left w:val="nil"/>
              <w:bottom w:val="single" w:sz="4" w:space="0" w:color="auto"/>
              <w:right w:val="single" w:sz="4" w:space="0" w:color="auto"/>
            </w:tcBorders>
            <w:shd w:val="clear" w:color="auto" w:fill="auto"/>
            <w:noWrap/>
            <w:hideMark/>
          </w:tcPr>
          <w:p w14:paraId="0A9E5EB2"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529 </w:t>
            </w:r>
          </w:p>
        </w:tc>
        <w:tc>
          <w:tcPr>
            <w:tcW w:w="887" w:type="dxa"/>
            <w:tcBorders>
              <w:top w:val="nil"/>
              <w:left w:val="nil"/>
              <w:bottom w:val="single" w:sz="4" w:space="0" w:color="auto"/>
              <w:right w:val="single" w:sz="4" w:space="0" w:color="auto"/>
            </w:tcBorders>
            <w:shd w:val="clear" w:color="auto" w:fill="auto"/>
            <w:noWrap/>
            <w:hideMark/>
          </w:tcPr>
          <w:p w14:paraId="78A386F6"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513 </w:t>
            </w:r>
          </w:p>
        </w:tc>
        <w:tc>
          <w:tcPr>
            <w:tcW w:w="1159" w:type="dxa"/>
            <w:tcBorders>
              <w:top w:val="nil"/>
              <w:left w:val="nil"/>
              <w:bottom w:val="single" w:sz="4" w:space="0" w:color="auto"/>
              <w:right w:val="single" w:sz="4" w:space="0" w:color="auto"/>
            </w:tcBorders>
            <w:shd w:val="clear" w:color="auto" w:fill="auto"/>
            <w:noWrap/>
            <w:hideMark/>
          </w:tcPr>
          <w:p w14:paraId="347D8354"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541 </w:t>
            </w:r>
          </w:p>
        </w:tc>
        <w:tc>
          <w:tcPr>
            <w:tcW w:w="982" w:type="dxa"/>
            <w:tcBorders>
              <w:top w:val="nil"/>
              <w:left w:val="nil"/>
              <w:bottom w:val="single" w:sz="4" w:space="0" w:color="auto"/>
              <w:right w:val="single" w:sz="4" w:space="0" w:color="auto"/>
            </w:tcBorders>
            <w:shd w:val="clear" w:color="auto" w:fill="auto"/>
            <w:noWrap/>
            <w:hideMark/>
          </w:tcPr>
          <w:p w14:paraId="4E240003" w14:textId="33FB0A91"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2</w:t>
            </w:r>
            <w:r w:rsidR="000339A3">
              <w:rPr>
                <w:rFonts w:asciiTheme="minorHAnsi" w:eastAsia="Times New Roman" w:hAnsiTheme="minorHAnsi" w:cstheme="minorHAnsi"/>
                <w:noProof/>
                <w:sz w:val="20"/>
                <w:szCs w:val="20"/>
                <w:lang w:val="es-ES" w:eastAsia="en-GB"/>
              </w:rPr>
              <w:t xml:space="preserve"> </w:t>
            </w:r>
            <w:r w:rsidRPr="007D7B87">
              <w:rPr>
                <w:rFonts w:asciiTheme="minorHAnsi" w:eastAsia="Times New Roman" w:hAnsiTheme="minorHAnsi" w:cstheme="minorHAnsi"/>
                <w:noProof/>
                <w:sz w:val="20"/>
                <w:szCs w:val="20"/>
                <w:lang w:val="es-ES" w:eastAsia="en-GB"/>
              </w:rPr>
              <w:t xml:space="preserve">107 </w:t>
            </w:r>
          </w:p>
        </w:tc>
        <w:tc>
          <w:tcPr>
            <w:tcW w:w="1188" w:type="dxa"/>
            <w:tcBorders>
              <w:top w:val="nil"/>
              <w:left w:val="nil"/>
              <w:bottom w:val="single" w:sz="4" w:space="0" w:color="auto"/>
              <w:right w:val="single" w:sz="4" w:space="0" w:color="auto"/>
            </w:tcBorders>
            <w:shd w:val="clear" w:color="auto" w:fill="auto"/>
            <w:noWrap/>
            <w:hideMark/>
          </w:tcPr>
          <w:p w14:paraId="56214C67" w14:textId="365BA9A9"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2</w:t>
            </w:r>
            <w:r w:rsidR="000339A3">
              <w:rPr>
                <w:rFonts w:asciiTheme="minorHAnsi" w:eastAsia="Times New Roman" w:hAnsiTheme="minorHAnsi" w:cstheme="minorHAnsi"/>
                <w:noProof/>
                <w:sz w:val="20"/>
                <w:szCs w:val="20"/>
                <w:lang w:val="es-ES" w:eastAsia="en-GB"/>
              </w:rPr>
              <w:t xml:space="preserve"> </w:t>
            </w:r>
            <w:r w:rsidRPr="007D7B87">
              <w:rPr>
                <w:rFonts w:asciiTheme="minorHAnsi" w:eastAsia="Times New Roman" w:hAnsiTheme="minorHAnsi" w:cstheme="minorHAnsi"/>
                <w:noProof/>
                <w:sz w:val="20"/>
                <w:szCs w:val="20"/>
                <w:lang w:val="es-ES" w:eastAsia="en-GB"/>
              </w:rPr>
              <w:t xml:space="preserve">221 </w:t>
            </w:r>
          </w:p>
        </w:tc>
        <w:tc>
          <w:tcPr>
            <w:tcW w:w="1090" w:type="dxa"/>
            <w:tcBorders>
              <w:top w:val="nil"/>
              <w:left w:val="nil"/>
              <w:bottom w:val="single" w:sz="4" w:space="0" w:color="auto"/>
              <w:right w:val="single" w:sz="4" w:space="0" w:color="auto"/>
            </w:tcBorders>
            <w:shd w:val="clear" w:color="auto" w:fill="auto"/>
            <w:noWrap/>
            <w:hideMark/>
          </w:tcPr>
          <w:p w14:paraId="567CF909" w14:textId="0876043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 114 </w:t>
            </w:r>
          </w:p>
        </w:tc>
      </w:tr>
      <w:tr w:rsidR="002866BB" w:rsidRPr="007D7B87" w14:paraId="7040FEE1" w14:textId="77777777" w:rsidTr="00DA1236">
        <w:tc>
          <w:tcPr>
            <w:tcW w:w="2843" w:type="dxa"/>
            <w:tcBorders>
              <w:top w:val="nil"/>
              <w:left w:val="single" w:sz="4" w:space="0" w:color="auto"/>
              <w:bottom w:val="single" w:sz="4" w:space="0" w:color="auto"/>
              <w:right w:val="single" w:sz="4" w:space="0" w:color="auto"/>
            </w:tcBorders>
            <w:shd w:val="clear" w:color="auto" w:fill="auto"/>
            <w:noWrap/>
            <w:vAlign w:val="center"/>
            <w:hideMark/>
          </w:tcPr>
          <w:p w14:paraId="02017AD5" w14:textId="50758A27" w:rsidR="002866BB" w:rsidRPr="007D7B87" w:rsidRDefault="002866BB" w:rsidP="00496214">
            <w:pPr>
              <w:ind w:left="0" w:firstLine="0"/>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J.  </w:t>
            </w:r>
            <w:r w:rsidR="00892ED2">
              <w:rPr>
                <w:rFonts w:asciiTheme="minorHAnsi" w:eastAsia="Times New Roman" w:hAnsiTheme="minorHAnsi" w:cstheme="minorHAnsi"/>
                <w:noProof/>
                <w:sz w:val="20"/>
                <w:szCs w:val="20"/>
                <w:lang w:val="es-ES" w:eastAsia="en-GB"/>
              </w:rPr>
              <w:t>Varios, Fondo de reserva</w:t>
            </w:r>
          </w:p>
        </w:tc>
        <w:tc>
          <w:tcPr>
            <w:tcW w:w="887" w:type="dxa"/>
            <w:tcBorders>
              <w:top w:val="nil"/>
              <w:left w:val="nil"/>
              <w:bottom w:val="single" w:sz="4" w:space="0" w:color="auto"/>
              <w:right w:val="single" w:sz="4" w:space="0" w:color="auto"/>
            </w:tcBorders>
            <w:shd w:val="clear" w:color="auto" w:fill="auto"/>
            <w:noWrap/>
            <w:hideMark/>
          </w:tcPr>
          <w:p w14:paraId="0DD1FB6C"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282 </w:t>
            </w:r>
          </w:p>
        </w:tc>
        <w:tc>
          <w:tcPr>
            <w:tcW w:w="887" w:type="dxa"/>
            <w:tcBorders>
              <w:top w:val="nil"/>
              <w:left w:val="nil"/>
              <w:bottom w:val="single" w:sz="4" w:space="0" w:color="auto"/>
              <w:right w:val="single" w:sz="4" w:space="0" w:color="auto"/>
            </w:tcBorders>
            <w:shd w:val="clear" w:color="auto" w:fill="auto"/>
            <w:noWrap/>
            <w:hideMark/>
          </w:tcPr>
          <w:p w14:paraId="4BA720FF"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176 </w:t>
            </w:r>
          </w:p>
        </w:tc>
        <w:tc>
          <w:tcPr>
            <w:tcW w:w="887" w:type="dxa"/>
            <w:tcBorders>
              <w:top w:val="nil"/>
              <w:left w:val="nil"/>
              <w:bottom w:val="single" w:sz="4" w:space="0" w:color="auto"/>
              <w:right w:val="single" w:sz="4" w:space="0" w:color="auto"/>
            </w:tcBorders>
            <w:shd w:val="clear" w:color="auto" w:fill="auto"/>
            <w:noWrap/>
            <w:hideMark/>
          </w:tcPr>
          <w:p w14:paraId="65A9C168"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109 </w:t>
            </w:r>
          </w:p>
        </w:tc>
        <w:tc>
          <w:tcPr>
            <w:tcW w:w="1159" w:type="dxa"/>
            <w:tcBorders>
              <w:top w:val="nil"/>
              <w:left w:val="nil"/>
              <w:bottom w:val="single" w:sz="4" w:space="0" w:color="auto"/>
              <w:right w:val="single" w:sz="4" w:space="0" w:color="auto"/>
            </w:tcBorders>
            <w:shd w:val="clear" w:color="auto" w:fill="auto"/>
            <w:noWrap/>
            <w:hideMark/>
          </w:tcPr>
          <w:p w14:paraId="3C6DACC4"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229 </w:t>
            </w:r>
          </w:p>
        </w:tc>
        <w:tc>
          <w:tcPr>
            <w:tcW w:w="982" w:type="dxa"/>
            <w:tcBorders>
              <w:top w:val="nil"/>
              <w:left w:val="nil"/>
              <w:bottom w:val="single" w:sz="4" w:space="0" w:color="auto"/>
              <w:right w:val="single" w:sz="4" w:space="0" w:color="auto"/>
            </w:tcBorders>
            <w:shd w:val="clear" w:color="auto" w:fill="auto"/>
            <w:noWrap/>
            <w:hideMark/>
          </w:tcPr>
          <w:p w14:paraId="5689A9F4"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796 </w:t>
            </w:r>
          </w:p>
        </w:tc>
        <w:tc>
          <w:tcPr>
            <w:tcW w:w="1188" w:type="dxa"/>
            <w:tcBorders>
              <w:top w:val="nil"/>
              <w:left w:val="nil"/>
              <w:bottom w:val="single" w:sz="4" w:space="0" w:color="auto"/>
              <w:right w:val="single" w:sz="4" w:space="0" w:color="auto"/>
            </w:tcBorders>
            <w:shd w:val="clear" w:color="auto" w:fill="auto"/>
            <w:noWrap/>
            <w:hideMark/>
          </w:tcPr>
          <w:p w14:paraId="7A49CBCE"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555 </w:t>
            </w:r>
          </w:p>
        </w:tc>
        <w:tc>
          <w:tcPr>
            <w:tcW w:w="1090" w:type="dxa"/>
            <w:tcBorders>
              <w:top w:val="nil"/>
              <w:left w:val="nil"/>
              <w:bottom w:val="single" w:sz="4" w:space="0" w:color="auto"/>
              <w:right w:val="single" w:sz="4" w:space="0" w:color="auto"/>
            </w:tcBorders>
            <w:shd w:val="clear" w:color="auto" w:fill="auto"/>
            <w:noWrap/>
            <w:hideMark/>
          </w:tcPr>
          <w:p w14:paraId="7C1C99B0" w14:textId="347B60A0"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xml:space="preserve">  (241)</w:t>
            </w:r>
          </w:p>
        </w:tc>
      </w:tr>
      <w:tr w:rsidR="002866BB" w:rsidRPr="007D7B87" w14:paraId="0FF9CFC8" w14:textId="77777777" w:rsidTr="00DA1236">
        <w:tc>
          <w:tcPr>
            <w:tcW w:w="2843" w:type="dxa"/>
            <w:tcBorders>
              <w:top w:val="nil"/>
              <w:left w:val="single" w:sz="4" w:space="0" w:color="auto"/>
              <w:bottom w:val="single" w:sz="4" w:space="0" w:color="auto"/>
              <w:right w:val="single" w:sz="4" w:space="0" w:color="auto"/>
            </w:tcBorders>
            <w:shd w:val="clear" w:color="000000" w:fill="DDEBF7"/>
            <w:noWrap/>
            <w:vAlign w:val="bottom"/>
            <w:hideMark/>
          </w:tcPr>
          <w:p w14:paraId="087EE704" w14:textId="32F0738A" w:rsidR="002866BB" w:rsidRPr="007D7B87" w:rsidRDefault="002866BB" w:rsidP="00496214">
            <w:pPr>
              <w:ind w:left="0" w:firstLine="0"/>
              <w:rPr>
                <w:rFonts w:asciiTheme="minorHAnsi" w:eastAsia="Times New Roman" w:hAnsiTheme="minorHAnsi" w:cstheme="minorHAnsi"/>
                <w:b/>
                <w:bCs/>
                <w:noProof/>
                <w:sz w:val="20"/>
                <w:szCs w:val="20"/>
                <w:lang w:val="es-ES" w:eastAsia="en-GB"/>
              </w:rPr>
            </w:pPr>
            <w:r w:rsidRPr="007D7B87">
              <w:rPr>
                <w:rFonts w:asciiTheme="minorHAnsi" w:eastAsia="Times New Roman" w:hAnsiTheme="minorHAnsi" w:cstheme="minorHAnsi"/>
                <w:b/>
                <w:bCs/>
                <w:noProof/>
                <w:sz w:val="20"/>
                <w:szCs w:val="20"/>
                <w:lang w:val="es-ES" w:eastAsia="en-GB"/>
              </w:rPr>
              <w:t xml:space="preserve">TOTAL </w:t>
            </w:r>
            <w:r w:rsidR="00892ED2">
              <w:rPr>
                <w:rFonts w:asciiTheme="minorHAnsi" w:eastAsia="Times New Roman" w:hAnsiTheme="minorHAnsi" w:cstheme="minorHAnsi"/>
                <w:b/>
                <w:bCs/>
                <w:noProof/>
                <w:sz w:val="20"/>
                <w:szCs w:val="20"/>
                <w:lang w:val="es-ES" w:eastAsia="en-GB"/>
              </w:rPr>
              <w:t>DE GASTOS</w:t>
            </w:r>
          </w:p>
        </w:tc>
        <w:tc>
          <w:tcPr>
            <w:tcW w:w="887" w:type="dxa"/>
            <w:tcBorders>
              <w:top w:val="nil"/>
              <w:left w:val="nil"/>
              <w:bottom w:val="single" w:sz="4" w:space="0" w:color="auto"/>
              <w:right w:val="single" w:sz="4" w:space="0" w:color="auto"/>
            </w:tcBorders>
            <w:shd w:val="clear" w:color="000000" w:fill="DDEBF7"/>
            <w:noWrap/>
            <w:hideMark/>
          </w:tcPr>
          <w:p w14:paraId="07713FE0" w14:textId="0FD84215" w:rsidR="002866BB" w:rsidRPr="007D7B87" w:rsidRDefault="002866BB" w:rsidP="003D145E">
            <w:pPr>
              <w:ind w:left="0" w:firstLine="0"/>
              <w:jc w:val="right"/>
              <w:rPr>
                <w:rFonts w:asciiTheme="minorHAnsi" w:eastAsia="Times New Roman" w:hAnsiTheme="minorHAnsi" w:cstheme="minorHAnsi"/>
                <w:b/>
                <w:bCs/>
                <w:noProof/>
                <w:sz w:val="20"/>
                <w:szCs w:val="20"/>
                <w:lang w:val="es-ES" w:eastAsia="en-GB"/>
              </w:rPr>
            </w:pPr>
            <w:r w:rsidRPr="007D7B87">
              <w:rPr>
                <w:rFonts w:asciiTheme="minorHAnsi" w:eastAsia="Times New Roman" w:hAnsiTheme="minorHAnsi" w:cstheme="minorHAnsi"/>
                <w:b/>
                <w:bCs/>
                <w:noProof/>
                <w:sz w:val="20"/>
                <w:szCs w:val="20"/>
                <w:lang w:val="es-ES" w:eastAsia="en-GB"/>
              </w:rPr>
              <w:t>4</w:t>
            </w:r>
            <w:r w:rsidR="000339A3">
              <w:rPr>
                <w:rFonts w:asciiTheme="minorHAnsi" w:eastAsia="Times New Roman" w:hAnsiTheme="minorHAnsi" w:cstheme="minorHAnsi"/>
                <w:b/>
                <w:bCs/>
                <w:noProof/>
                <w:sz w:val="20"/>
                <w:szCs w:val="20"/>
                <w:lang w:val="es-ES" w:eastAsia="en-GB"/>
              </w:rPr>
              <w:t xml:space="preserve"> </w:t>
            </w:r>
            <w:r w:rsidRPr="007D7B87">
              <w:rPr>
                <w:rFonts w:asciiTheme="minorHAnsi" w:eastAsia="Times New Roman" w:hAnsiTheme="minorHAnsi" w:cstheme="minorHAnsi"/>
                <w:b/>
                <w:bCs/>
                <w:noProof/>
                <w:sz w:val="20"/>
                <w:szCs w:val="20"/>
                <w:lang w:val="es-ES" w:eastAsia="en-GB"/>
              </w:rPr>
              <w:t xml:space="preserve">500 </w:t>
            </w:r>
          </w:p>
        </w:tc>
        <w:tc>
          <w:tcPr>
            <w:tcW w:w="887" w:type="dxa"/>
            <w:tcBorders>
              <w:top w:val="nil"/>
              <w:left w:val="nil"/>
              <w:bottom w:val="single" w:sz="4" w:space="0" w:color="auto"/>
              <w:right w:val="single" w:sz="4" w:space="0" w:color="auto"/>
            </w:tcBorders>
            <w:shd w:val="clear" w:color="000000" w:fill="DDEBF7"/>
            <w:noWrap/>
            <w:hideMark/>
          </w:tcPr>
          <w:p w14:paraId="1EAC296D" w14:textId="1FF0971B" w:rsidR="002866BB" w:rsidRPr="007D7B87" w:rsidRDefault="002866BB" w:rsidP="003D145E">
            <w:pPr>
              <w:ind w:left="0" w:firstLine="0"/>
              <w:jc w:val="right"/>
              <w:rPr>
                <w:rFonts w:asciiTheme="minorHAnsi" w:eastAsia="Times New Roman" w:hAnsiTheme="minorHAnsi" w:cstheme="minorHAnsi"/>
                <w:b/>
                <w:bCs/>
                <w:noProof/>
                <w:sz w:val="20"/>
                <w:szCs w:val="20"/>
                <w:lang w:val="es-ES" w:eastAsia="en-GB"/>
              </w:rPr>
            </w:pPr>
            <w:r w:rsidRPr="007D7B87">
              <w:rPr>
                <w:rFonts w:asciiTheme="minorHAnsi" w:eastAsia="Times New Roman" w:hAnsiTheme="minorHAnsi" w:cstheme="minorHAnsi"/>
                <w:b/>
                <w:bCs/>
                <w:noProof/>
                <w:sz w:val="20"/>
                <w:szCs w:val="20"/>
                <w:lang w:val="es-ES" w:eastAsia="en-GB"/>
              </w:rPr>
              <w:t>4</w:t>
            </w:r>
            <w:r w:rsidR="000339A3">
              <w:rPr>
                <w:rFonts w:asciiTheme="minorHAnsi" w:eastAsia="Times New Roman" w:hAnsiTheme="minorHAnsi" w:cstheme="minorHAnsi"/>
                <w:b/>
                <w:bCs/>
                <w:noProof/>
                <w:sz w:val="20"/>
                <w:szCs w:val="20"/>
                <w:lang w:val="es-ES" w:eastAsia="en-GB"/>
              </w:rPr>
              <w:t xml:space="preserve"> </w:t>
            </w:r>
            <w:r w:rsidRPr="007D7B87">
              <w:rPr>
                <w:rFonts w:asciiTheme="minorHAnsi" w:eastAsia="Times New Roman" w:hAnsiTheme="minorHAnsi" w:cstheme="minorHAnsi"/>
                <w:b/>
                <w:bCs/>
                <w:noProof/>
                <w:sz w:val="20"/>
                <w:szCs w:val="20"/>
                <w:lang w:val="es-ES" w:eastAsia="en-GB"/>
              </w:rPr>
              <w:t xml:space="preserve">363 </w:t>
            </w:r>
          </w:p>
        </w:tc>
        <w:tc>
          <w:tcPr>
            <w:tcW w:w="887" w:type="dxa"/>
            <w:tcBorders>
              <w:top w:val="nil"/>
              <w:left w:val="nil"/>
              <w:bottom w:val="single" w:sz="4" w:space="0" w:color="auto"/>
              <w:right w:val="single" w:sz="4" w:space="0" w:color="auto"/>
            </w:tcBorders>
            <w:shd w:val="clear" w:color="000000" w:fill="DDEBF7"/>
            <w:noWrap/>
            <w:hideMark/>
          </w:tcPr>
          <w:p w14:paraId="4DBE0527" w14:textId="4B8F15AC" w:rsidR="002866BB" w:rsidRPr="007D7B87" w:rsidRDefault="002866BB" w:rsidP="003D145E">
            <w:pPr>
              <w:ind w:left="0" w:firstLine="0"/>
              <w:jc w:val="right"/>
              <w:rPr>
                <w:rFonts w:asciiTheme="minorHAnsi" w:eastAsia="Times New Roman" w:hAnsiTheme="minorHAnsi" w:cstheme="minorHAnsi"/>
                <w:b/>
                <w:bCs/>
                <w:noProof/>
                <w:sz w:val="20"/>
                <w:szCs w:val="20"/>
                <w:lang w:val="es-ES" w:eastAsia="en-GB"/>
              </w:rPr>
            </w:pPr>
            <w:r w:rsidRPr="007D7B87">
              <w:rPr>
                <w:rFonts w:asciiTheme="minorHAnsi" w:eastAsia="Times New Roman" w:hAnsiTheme="minorHAnsi" w:cstheme="minorHAnsi"/>
                <w:b/>
                <w:bCs/>
                <w:noProof/>
                <w:sz w:val="20"/>
                <w:szCs w:val="20"/>
                <w:lang w:val="es-ES" w:eastAsia="en-GB"/>
              </w:rPr>
              <w:t>4</w:t>
            </w:r>
            <w:r w:rsidR="000339A3">
              <w:rPr>
                <w:rFonts w:asciiTheme="minorHAnsi" w:eastAsia="Times New Roman" w:hAnsiTheme="minorHAnsi" w:cstheme="minorHAnsi"/>
                <w:b/>
                <w:bCs/>
                <w:noProof/>
                <w:sz w:val="20"/>
                <w:szCs w:val="20"/>
                <w:lang w:val="es-ES" w:eastAsia="en-GB"/>
              </w:rPr>
              <w:t xml:space="preserve"> </w:t>
            </w:r>
            <w:r w:rsidRPr="007D7B87">
              <w:rPr>
                <w:rFonts w:asciiTheme="minorHAnsi" w:eastAsia="Times New Roman" w:hAnsiTheme="minorHAnsi" w:cstheme="minorHAnsi"/>
                <w:b/>
                <w:bCs/>
                <w:noProof/>
                <w:sz w:val="20"/>
                <w:szCs w:val="20"/>
                <w:lang w:val="es-ES" w:eastAsia="en-GB"/>
              </w:rPr>
              <w:t xml:space="preserve">651 </w:t>
            </w:r>
          </w:p>
        </w:tc>
        <w:tc>
          <w:tcPr>
            <w:tcW w:w="1159" w:type="dxa"/>
            <w:tcBorders>
              <w:top w:val="nil"/>
              <w:left w:val="nil"/>
              <w:bottom w:val="single" w:sz="4" w:space="0" w:color="auto"/>
              <w:right w:val="single" w:sz="4" w:space="0" w:color="auto"/>
            </w:tcBorders>
            <w:shd w:val="clear" w:color="000000" w:fill="DDEBF7"/>
            <w:noWrap/>
            <w:hideMark/>
          </w:tcPr>
          <w:p w14:paraId="0DD878BF" w14:textId="52A8F69F" w:rsidR="002866BB" w:rsidRPr="007D7B87" w:rsidRDefault="002866BB" w:rsidP="003D145E">
            <w:pPr>
              <w:ind w:left="0" w:firstLine="0"/>
              <w:jc w:val="right"/>
              <w:rPr>
                <w:rFonts w:asciiTheme="minorHAnsi" w:eastAsia="Times New Roman" w:hAnsiTheme="minorHAnsi" w:cstheme="minorHAnsi"/>
                <w:b/>
                <w:bCs/>
                <w:noProof/>
                <w:sz w:val="20"/>
                <w:szCs w:val="20"/>
                <w:lang w:val="es-ES" w:eastAsia="en-GB"/>
              </w:rPr>
            </w:pPr>
            <w:r w:rsidRPr="007D7B87">
              <w:rPr>
                <w:rFonts w:asciiTheme="minorHAnsi" w:eastAsia="Times New Roman" w:hAnsiTheme="minorHAnsi" w:cstheme="minorHAnsi"/>
                <w:b/>
                <w:bCs/>
                <w:noProof/>
                <w:sz w:val="20"/>
                <w:szCs w:val="20"/>
                <w:lang w:val="es-ES" w:eastAsia="en-GB"/>
              </w:rPr>
              <w:t>5</w:t>
            </w:r>
            <w:r w:rsidR="000339A3">
              <w:rPr>
                <w:rFonts w:asciiTheme="minorHAnsi" w:eastAsia="Times New Roman" w:hAnsiTheme="minorHAnsi" w:cstheme="minorHAnsi"/>
                <w:b/>
                <w:bCs/>
                <w:noProof/>
                <w:sz w:val="20"/>
                <w:szCs w:val="20"/>
                <w:lang w:val="es-ES" w:eastAsia="en-GB"/>
              </w:rPr>
              <w:t xml:space="preserve"> </w:t>
            </w:r>
            <w:r w:rsidRPr="007D7B87">
              <w:rPr>
                <w:rFonts w:asciiTheme="minorHAnsi" w:eastAsia="Times New Roman" w:hAnsiTheme="minorHAnsi" w:cstheme="minorHAnsi"/>
                <w:b/>
                <w:bCs/>
                <w:noProof/>
                <w:sz w:val="20"/>
                <w:szCs w:val="20"/>
                <w:lang w:val="es-ES" w:eastAsia="en-GB"/>
              </w:rPr>
              <w:t xml:space="preserve">277 </w:t>
            </w:r>
          </w:p>
        </w:tc>
        <w:tc>
          <w:tcPr>
            <w:tcW w:w="982" w:type="dxa"/>
            <w:tcBorders>
              <w:top w:val="nil"/>
              <w:left w:val="nil"/>
              <w:bottom w:val="single" w:sz="4" w:space="0" w:color="auto"/>
              <w:right w:val="single" w:sz="4" w:space="0" w:color="auto"/>
            </w:tcBorders>
            <w:shd w:val="clear" w:color="000000" w:fill="DDEBF7"/>
            <w:noWrap/>
            <w:hideMark/>
          </w:tcPr>
          <w:p w14:paraId="449CE71E" w14:textId="1601B4EA" w:rsidR="002866BB" w:rsidRPr="007D7B87" w:rsidRDefault="002866BB" w:rsidP="003D145E">
            <w:pPr>
              <w:ind w:left="0" w:firstLine="0"/>
              <w:jc w:val="right"/>
              <w:rPr>
                <w:rFonts w:asciiTheme="minorHAnsi" w:eastAsia="Times New Roman" w:hAnsiTheme="minorHAnsi" w:cstheme="minorHAnsi"/>
                <w:b/>
                <w:bCs/>
                <w:noProof/>
                <w:sz w:val="20"/>
                <w:szCs w:val="20"/>
                <w:lang w:val="es-ES" w:eastAsia="en-GB"/>
              </w:rPr>
            </w:pPr>
            <w:r w:rsidRPr="007D7B87">
              <w:rPr>
                <w:rFonts w:asciiTheme="minorHAnsi" w:eastAsia="Times New Roman" w:hAnsiTheme="minorHAnsi" w:cstheme="minorHAnsi"/>
                <w:b/>
                <w:bCs/>
                <w:noProof/>
                <w:sz w:val="20"/>
                <w:szCs w:val="20"/>
                <w:lang w:val="es-ES" w:eastAsia="en-GB"/>
              </w:rPr>
              <w:t>18</w:t>
            </w:r>
            <w:r w:rsidR="000339A3">
              <w:rPr>
                <w:rFonts w:asciiTheme="minorHAnsi" w:eastAsia="Times New Roman" w:hAnsiTheme="minorHAnsi" w:cstheme="minorHAnsi"/>
                <w:b/>
                <w:bCs/>
                <w:noProof/>
                <w:sz w:val="20"/>
                <w:szCs w:val="20"/>
                <w:lang w:val="es-ES" w:eastAsia="en-GB"/>
              </w:rPr>
              <w:t xml:space="preserve"> </w:t>
            </w:r>
            <w:r w:rsidRPr="007D7B87">
              <w:rPr>
                <w:rFonts w:asciiTheme="minorHAnsi" w:eastAsia="Times New Roman" w:hAnsiTheme="minorHAnsi" w:cstheme="minorHAnsi"/>
                <w:b/>
                <w:bCs/>
                <w:noProof/>
                <w:sz w:val="20"/>
                <w:szCs w:val="20"/>
                <w:lang w:val="es-ES" w:eastAsia="en-GB"/>
              </w:rPr>
              <w:t xml:space="preserve">791 </w:t>
            </w:r>
          </w:p>
        </w:tc>
        <w:tc>
          <w:tcPr>
            <w:tcW w:w="1188" w:type="dxa"/>
            <w:tcBorders>
              <w:top w:val="nil"/>
              <w:left w:val="nil"/>
              <w:bottom w:val="single" w:sz="4" w:space="0" w:color="auto"/>
              <w:right w:val="single" w:sz="4" w:space="0" w:color="auto"/>
            </w:tcBorders>
            <w:shd w:val="clear" w:color="000000" w:fill="DDEBF7"/>
            <w:noWrap/>
            <w:hideMark/>
          </w:tcPr>
          <w:p w14:paraId="525B386C" w14:textId="6ACE4C0F" w:rsidR="002866BB" w:rsidRPr="007D7B87" w:rsidRDefault="002866BB" w:rsidP="003D145E">
            <w:pPr>
              <w:ind w:left="0" w:firstLine="0"/>
              <w:jc w:val="right"/>
              <w:rPr>
                <w:rFonts w:asciiTheme="minorHAnsi" w:eastAsia="Times New Roman" w:hAnsiTheme="minorHAnsi" w:cstheme="minorHAnsi"/>
                <w:b/>
                <w:bCs/>
                <w:noProof/>
                <w:sz w:val="20"/>
                <w:szCs w:val="20"/>
                <w:lang w:val="es-ES" w:eastAsia="en-GB"/>
              </w:rPr>
            </w:pPr>
            <w:r w:rsidRPr="007D7B87">
              <w:rPr>
                <w:rFonts w:asciiTheme="minorHAnsi" w:eastAsia="Times New Roman" w:hAnsiTheme="minorHAnsi" w:cstheme="minorHAnsi"/>
                <w:b/>
                <w:bCs/>
                <w:noProof/>
                <w:sz w:val="20"/>
                <w:szCs w:val="20"/>
                <w:lang w:val="es-ES" w:eastAsia="en-GB"/>
              </w:rPr>
              <w:t>20</w:t>
            </w:r>
            <w:r w:rsidR="000339A3">
              <w:rPr>
                <w:rFonts w:asciiTheme="minorHAnsi" w:eastAsia="Times New Roman" w:hAnsiTheme="minorHAnsi" w:cstheme="minorHAnsi"/>
                <w:b/>
                <w:bCs/>
                <w:noProof/>
                <w:sz w:val="20"/>
                <w:szCs w:val="20"/>
                <w:lang w:val="es-ES" w:eastAsia="en-GB"/>
              </w:rPr>
              <w:t xml:space="preserve"> </w:t>
            </w:r>
            <w:r w:rsidRPr="007D7B87">
              <w:rPr>
                <w:rFonts w:asciiTheme="minorHAnsi" w:eastAsia="Times New Roman" w:hAnsiTheme="minorHAnsi" w:cstheme="minorHAnsi"/>
                <w:b/>
                <w:bCs/>
                <w:noProof/>
                <w:sz w:val="20"/>
                <w:szCs w:val="20"/>
                <w:lang w:val="es-ES" w:eastAsia="en-GB"/>
              </w:rPr>
              <w:t xml:space="preserve">520 </w:t>
            </w:r>
          </w:p>
        </w:tc>
        <w:tc>
          <w:tcPr>
            <w:tcW w:w="1090" w:type="dxa"/>
            <w:tcBorders>
              <w:top w:val="nil"/>
              <w:left w:val="nil"/>
              <w:bottom w:val="single" w:sz="4" w:space="0" w:color="auto"/>
              <w:right w:val="single" w:sz="4" w:space="0" w:color="auto"/>
            </w:tcBorders>
            <w:shd w:val="clear" w:color="000000" w:fill="DDEBF7"/>
            <w:noWrap/>
            <w:hideMark/>
          </w:tcPr>
          <w:p w14:paraId="10906EDD" w14:textId="0C84DC71" w:rsidR="002866BB" w:rsidRPr="007D7B87" w:rsidRDefault="002866BB" w:rsidP="003D145E">
            <w:pPr>
              <w:ind w:left="0" w:firstLine="0"/>
              <w:jc w:val="right"/>
              <w:rPr>
                <w:rFonts w:asciiTheme="minorHAnsi" w:eastAsia="Times New Roman" w:hAnsiTheme="minorHAnsi" w:cstheme="minorHAnsi"/>
                <w:b/>
                <w:bCs/>
                <w:noProof/>
                <w:sz w:val="20"/>
                <w:szCs w:val="20"/>
                <w:lang w:val="es-ES" w:eastAsia="en-GB"/>
              </w:rPr>
            </w:pPr>
            <w:r w:rsidRPr="007D7B87">
              <w:rPr>
                <w:rFonts w:asciiTheme="minorHAnsi" w:eastAsia="Times New Roman" w:hAnsiTheme="minorHAnsi" w:cstheme="minorHAnsi"/>
                <w:b/>
                <w:bCs/>
                <w:noProof/>
                <w:sz w:val="20"/>
                <w:szCs w:val="20"/>
                <w:lang w:val="es-ES" w:eastAsia="en-GB"/>
              </w:rPr>
              <w:t xml:space="preserve"> 1</w:t>
            </w:r>
            <w:r w:rsidR="000339A3">
              <w:rPr>
                <w:rFonts w:asciiTheme="minorHAnsi" w:eastAsia="Times New Roman" w:hAnsiTheme="minorHAnsi" w:cstheme="minorHAnsi"/>
                <w:b/>
                <w:bCs/>
                <w:noProof/>
                <w:sz w:val="20"/>
                <w:szCs w:val="20"/>
                <w:lang w:val="es-ES" w:eastAsia="en-GB"/>
              </w:rPr>
              <w:t xml:space="preserve"> </w:t>
            </w:r>
            <w:r w:rsidRPr="007D7B87">
              <w:rPr>
                <w:rFonts w:asciiTheme="minorHAnsi" w:eastAsia="Times New Roman" w:hAnsiTheme="minorHAnsi" w:cstheme="minorHAnsi"/>
                <w:b/>
                <w:bCs/>
                <w:noProof/>
                <w:sz w:val="20"/>
                <w:szCs w:val="20"/>
                <w:lang w:val="es-ES" w:eastAsia="en-GB"/>
              </w:rPr>
              <w:t xml:space="preserve">729 </w:t>
            </w:r>
          </w:p>
        </w:tc>
      </w:tr>
      <w:tr w:rsidR="002866BB" w:rsidRPr="007D7B87" w14:paraId="2671CC80" w14:textId="77777777" w:rsidTr="00DA1236">
        <w:tc>
          <w:tcPr>
            <w:tcW w:w="2843" w:type="dxa"/>
            <w:tcBorders>
              <w:top w:val="nil"/>
              <w:left w:val="single" w:sz="4" w:space="0" w:color="auto"/>
              <w:bottom w:val="single" w:sz="4" w:space="0" w:color="auto"/>
              <w:right w:val="single" w:sz="4" w:space="0" w:color="auto"/>
            </w:tcBorders>
            <w:shd w:val="clear" w:color="auto" w:fill="auto"/>
            <w:noWrap/>
            <w:vAlign w:val="bottom"/>
            <w:hideMark/>
          </w:tcPr>
          <w:p w14:paraId="7DA4E7AC" w14:textId="77777777" w:rsidR="002866BB" w:rsidRPr="007D7B87" w:rsidRDefault="002866BB" w:rsidP="00496214">
            <w:pPr>
              <w:ind w:left="0" w:firstLine="0"/>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w:t>
            </w:r>
          </w:p>
        </w:tc>
        <w:tc>
          <w:tcPr>
            <w:tcW w:w="887" w:type="dxa"/>
            <w:tcBorders>
              <w:top w:val="nil"/>
              <w:left w:val="nil"/>
              <w:bottom w:val="single" w:sz="4" w:space="0" w:color="auto"/>
              <w:right w:val="single" w:sz="4" w:space="0" w:color="auto"/>
            </w:tcBorders>
            <w:shd w:val="clear" w:color="auto" w:fill="auto"/>
            <w:noWrap/>
            <w:hideMark/>
          </w:tcPr>
          <w:p w14:paraId="3A589E48"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w:t>
            </w:r>
          </w:p>
        </w:tc>
        <w:tc>
          <w:tcPr>
            <w:tcW w:w="887" w:type="dxa"/>
            <w:tcBorders>
              <w:top w:val="nil"/>
              <w:left w:val="nil"/>
              <w:bottom w:val="single" w:sz="4" w:space="0" w:color="auto"/>
              <w:right w:val="single" w:sz="4" w:space="0" w:color="auto"/>
            </w:tcBorders>
            <w:shd w:val="clear" w:color="auto" w:fill="auto"/>
            <w:noWrap/>
            <w:hideMark/>
          </w:tcPr>
          <w:p w14:paraId="74BD001A"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w:t>
            </w:r>
          </w:p>
        </w:tc>
        <w:tc>
          <w:tcPr>
            <w:tcW w:w="887" w:type="dxa"/>
            <w:tcBorders>
              <w:top w:val="nil"/>
              <w:left w:val="nil"/>
              <w:bottom w:val="single" w:sz="4" w:space="0" w:color="auto"/>
              <w:right w:val="single" w:sz="4" w:space="0" w:color="auto"/>
            </w:tcBorders>
            <w:shd w:val="clear" w:color="auto" w:fill="auto"/>
            <w:noWrap/>
            <w:hideMark/>
          </w:tcPr>
          <w:p w14:paraId="11B9DE62"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w:t>
            </w:r>
          </w:p>
        </w:tc>
        <w:tc>
          <w:tcPr>
            <w:tcW w:w="1159" w:type="dxa"/>
            <w:tcBorders>
              <w:top w:val="nil"/>
              <w:left w:val="nil"/>
              <w:bottom w:val="single" w:sz="4" w:space="0" w:color="auto"/>
              <w:right w:val="single" w:sz="4" w:space="0" w:color="auto"/>
            </w:tcBorders>
            <w:shd w:val="clear" w:color="auto" w:fill="auto"/>
            <w:noWrap/>
            <w:hideMark/>
          </w:tcPr>
          <w:p w14:paraId="22950FAC"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w:t>
            </w:r>
          </w:p>
        </w:tc>
        <w:tc>
          <w:tcPr>
            <w:tcW w:w="982" w:type="dxa"/>
            <w:tcBorders>
              <w:top w:val="nil"/>
              <w:left w:val="nil"/>
              <w:bottom w:val="single" w:sz="4" w:space="0" w:color="auto"/>
              <w:right w:val="single" w:sz="4" w:space="0" w:color="auto"/>
            </w:tcBorders>
            <w:shd w:val="clear" w:color="auto" w:fill="auto"/>
            <w:noWrap/>
            <w:hideMark/>
          </w:tcPr>
          <w:p w14:paraId="4B870A8E"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w:t>
            </w:r>
          </w:p>
        </w:tc>
        <w:tc>
          <w:tcPr>
            <w:tcW w:w="1188" w:type="dxa"/>
            <w:tcBorders>
              <w:top w:val="nil"/>
              <w:left w:val="nil"/>
              <w:bottom w:val="single" w:sz="4" w:space="0" w:color="auto"/>
              <w:right w:val="single" w:sz="4" w:space="0" w:color="auto"/>
            </w:tcBorders>
            <w:shd w:val="clear" w:color="auto" w:fill="auto"/>
            <w:noWrap/>
            <w:hideMark/>
          </w:tcPr>
          <w:p w14:paraId="16ACD7F5"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w:t>
            </w:r>
          </w:p>
        </w:tc>
        <w:tc>
          <w:tcPr>
            <w:tcW w:w="1090" w:type="dxa"/>
            <w:tcBorders>
              <w:top w:val="nil"/>
              <w:left w:val="nil"/>
              <w:bottom w:val="single" w:sz="4" w:space="0" w:color="auto"/>
              <w:right w:val="single" w:sz="4" w:space="0" w:color="auto"/>
            </w:tcBorders>
            <w:shd w:val="clear" w:color="auto" w:fill="auto"/>
            <w:noWrap/>
            <w:hideMark/>
          </w:tcPr>
          <w:p w14:paraId="7FE59AD5" w14:textId="77777777" w:rsidR="002866BB" w:rsidRPr="007D7B87" w:rsidRDefault="002866BB" w:rsidP="003D145E">
            <w:pPr>
              <w:ind w:left="0" w:firstLine="0"/>
              <w:jc w:val="right"/>
              <w:rPr>
                <w:rFonts w:asciiTheme="minorHAnsi" w:eastAsia="Times New Roman" w:hAnsiTheme="minorHAnsi" w:cstheme="minorHAnsi"/>
                <w:noProof/>
                <w:sz w:val="20"/>
                <w:szCs w:val="20"/>
                <w:lang w:val="es-ES" w:eastAsia="en-GB"/>
              </w:rPr>
            </w:pPr>
            <w:r w:rsidRPr="007D7B87">
              <w:rPr>
                <w:rFonts w:asciiTheme="minorHAnsi" w:eastAsia="Times New Roman" w:hAnsiTheme="minorHAnsi" w:cstheme="minorHAnsi"/>
                <w:noProof/>
                <w:sz w:val="20"/>
                <w:szCs w:val="20"/>
                <w:lang w:val="es-ES" w:eastAsia="en-GB"/>
              </w:rPr>
              <w:t> </w:t>
            </w:r>
          </w:p>
        </w:tc>
      </w:tr>
      <w:tr w:rsidR="002866BB" w:rsidRPr="007D7B87" w14:paraId="10362817" w14:textId="77777777" w:rsidTr="00DA1236">
        <w:tc>
          <w:tcPr>
            <w:tcW w:w="2843" w:type="dxa"/>
            <w:tcBorders>
              <w:top w:val="nil"/>
              <w:left w:val="single" w:sz="4" w:space="0" w:color="auto"/>
              <w:bottom w:val="single" w:sz="4" w:space="0" w:color="auto"/>
              <w:right w:val="single" w:sz="4" w:space="0" w:color="auto"/>
            </w:tcBorders>
            <w:shd w:val="clear" w:color="000000" w:fill="DDEBF7"/>
            <w:vAlign w:val="bottom"/>
            <w:hideMark/>
          </w:tcPr>
          <w:p w14:paraId="76BF0C5C" w14:textId="67C99E0B" w:rsidR="002866BB" w:rsidRPr="007D7B87" w:rsidRDefault="00892ED2" w:rsidP="00496214">
            <w:pPr>
              <w:ind w:left="0" w:firstLine="0"/>
              <w:rPr>
                <w:rFonts w:asciiTheme="minorHAnsi" w:eastAsia="Times New Roman" w:hAnsiTheme="minorHAnsi" w:cstheme="minorHAnsi"/>
                <w:b/>
                <w:bCs/>
                <w:noProof/>
                <w:sz w:val="20"/>
                <w:szCs w:val="20"/>
                <w:lang w:val="es-ES" w:eastAsia="en-GB"/>
              </w:rPr>
            </w:pPr>
            <w:r>
              <w:rPr>
                <w:rFonts w:asciiTheme="minorHAnsi" w:eastAsia="Times New Roman" w:hAnsiTheme="minorHAnsi" w:cstheme="minorHAnsi"/>
                <w:b/>
                <w:bCs/>
                <w:noProof/>
                <w:sz w:val="20"/>
                <w:szCs w:val="20"/>
                <w:lang w:val="es-ES" w:eastAsia="en-GB"/>
              </w:rPr>
              <w:t>EXCEDENTE</w:t>
            </w:r>
            <w:r w:rsidR="002866BB" w:rsidRPr="007D7B87">
              <w:rPr>
                <w:rFonts w:asciiTheme="minorHAnsi" w:eastAsia="Times New Roman" w:hAnsiTheme="minorHAnsi" w:cstheme="minorHAnsi"/>
                <w:b/>
                <w:bCs/>
                <w:noProof/>
                <w:sz w:val="20"/>
                <w:szCs w:val="20"/>
                <w:lang w:val="es-ES" w:eastAsia="en-GB"/>
              </w:rPr>
              <w:t xml:space="preserve"> / (</w:t>
            </w:r>
            <w:r>
              <w:rPr>
                <w:rFonts w:asciiTheme="minorHAnsi" w:eastAsia="Times New Roman" w:hAnsiTheme="minorHAnsi" w:cstheme="minorHAnsi"/>
                <w:b/>
                <w:bCs/>
                <w:noProof/>
                <w:sz w:val="20"/>
                <w:szCs w:val="20"/>
                <w:lang w:val="es-ES" w:eastAsia="en-GB"/>
              </w:rPr>
              <w:t>USO AUTORIZADO DE EXCEDENTE</w:t>
            </w:r>
            <w:r w:rsidR="002866BB" w:rsidRPr="007D7B87">
              <w:rPr>
                <w:rFonts w:asciiTheme="minorHAnsi" w:eastAsia="Times New Roman" w:hAnsiTheme="minorHAnsi" w:cstheme="minorHAnsi"/>
                <w:b/>
                <w:bCs/>
                <w:noProof/>
                <w:sz w:val="20"/>
                <w:szCs w:val="20"/>
                <w:lang w:val="es-ES" w:eastAsia="en-GB"/>
              </w:rPr>
              <w:t>)</w:t>
            </w:r>
            <w:r w:rsidR="002866BB" w:rsidRPr="007D7B87">
              <w:rPr>
                <w:rFonts w:asciiTheme="minorHAnsi" w:eastAsia="Times New Roman" w:hAnsiTheme="minorHAnsi" w:cstheme="minorHAnsi"/>
                <w:b/>
                <w:bCs/>
                <w:noProof/>
                <w:sz w:val="20"/>
                <w:szCs w:val="20"/>
                <w:vertAlign w:val="superscript"/>
                <w:lang w:val="es-ES" w:eastAsia="en-GB"/>
              </w:rPr>
              <w:t>1</w:t>
            </w:r>
          </w:p>
        </w:tc>
        <w:tc>
          <w:tcPr>
            <w:tcW w:w="887" w:type="dxa"/>
            <w:tcBorders>
              <w:top w:val="nil"/>
              <w:left w:val="nil"/>
              <w:bottom w:val="single" w:sz="4" w:space="0" w:color="auto"/>
              <w:right w:val="single" w:sz="4" w:space="0" w:color="auto"/>
            </w:tcBorders>
            <w:shd w:val="clear" w:color="000000" w:fill="DDEBF7"/>
            <w:noWrap/>
            <w:vAlign w:val="bottom"/>
            <w:hideMark/>
          </w:tcPr>
          <w:p w14:paraId="1A4A18AA" w14:textId="77777777" w:rsidR="002866BB" w:rsidRPr="007D7B87" w:rsidRDefault="002866BB" w:rsidP="002866BB">
            <w:pPr>
              <w:ind w:left="0" w:firstLine="0"/>
              <w:jc w:val="right"/>
              <w:rPr>
                <w:rFonts w:asciiTheme="minorHAnsi" w:eastAsia="Times New Roman" w:hAnsiTheme="minorHAnsi" w:cstheme="minorHAnsi"/>
                <w:b/>
                <w:bCs/>
                <w:noProof/>
                <w:sz w:val="20"/>
                <w:szCs w:val="20"/>
                <w:lang w:val="es-ES" w:eastAsia="en-GB"/>
              </w:rPr>
            </w:pPr>
            <w:r w:rsidRPr="007D7B87">
              <w:rPr>
                <w:rFonts w:asciiTheme="minorHAnsi" w:eastAsia="Times New Roman" w:hAnsiTheme="minorHAnsi" w:cstheme="minorHAnsi"/>
                <w:b/>
                <w:bCs/>
                <w:noProof/>
                <w:sz w:val="20"/>
                <w:szCs w:val="20"/>
                <w:lang w:val="es-ES" w:eastAsia="en-GB"/>
              </w:rPr>
              <w:t xml:space="preserve">562 </w:t>
            </w:r>
          </w:p>
        </w:tc>
        <w:tc>
          <w:tcPr>
            <w:tcW w:w="887" w:type="dxa"/>
            <w:tcBorders>
              <w:top w:val="nil"/>
              <w:left w:val="nil"/>
              <w:bottom w:val="single" w:sz="4" w:space="0" w:color="auto"/>
              <w:right w:val="single" w:sz="4" w:space="0" w:color="auto"/>
            </w:tcBorders>
            <w:shd w:val="clear" w:color="000000" w:fill="DDEBF7"/>
            <w:noWrap/>
            <w:vAlign w:val="bottom"/>
            <w:hideMark/>
          </w:tcPr>
          <w:p w14:paraId="27A0F352" w14:textId="77777777" w:rsidR="002866BB" w:rsidRPr="007D7B87" w:rsidRDefault="002866BB" w:rsidP="002866BB">
            <w:pPr>
              <w:ind w:left="0" w:firstLine="0"/>
              <w:jc w:val="right"/>
              <w:rPr>
                <w:rFonts w:asciiTheme="minorHAnsi" w:eastAsia="Times New Roman" w:hAnsiTheme="minorHAnsi" w:cstheme="minorHAnsi"/>
                <w:b/>
                <w:bCs/>
                <w:noProof/>
                <w:sz w:val="20"/>
                <w:szCs w:val="20"/>
                <w:lang w:val="es-ES" w:eastAsia="en-GB"/>
              </w:rPr>
            </w:pPr>
            <w:r w:rsidRPr="007D7B87">
              <w:rPr>
                <w:rFonts w:asciiTheme="minorHAnsi" w:eastAsia="Times New Roman" w:hAnsiTheme="minorHAnsi" w:cstheme="minorHAnsi"/>
                <w:b/>
                <w:bCs/>
                <w:noProof/>
                <w:sz w:val="20"/>
                <w:szCs w:val="20"/>
                <w:lang w:val="es-ES" w:eastAsia="en-GB"/>
              </w:rPr>
              <w:t xml:space="preserve">671 </w:t>
            </w:r>
          </w:p>
        </w:tc>
        <w:tc>
          <w:tcPr>
            <w:tcW w:w="887" w:type="dxa"/>
            <w:tcBorders>
              <w:top w:val="nil"/>
              <w:left w:val="nil"/>
              <w:bottom w:val="single" w:sz="4" w:space="0" w:color="auto"/>
              <w:right w:val="single" w:sz="4" w:space="0" w:color="auto"/>
            </w:tcBorders>
            <w:shd w:val="clear" w:color="000000" w:fill="DDEBF7"/>
            <w:noWrap/>
            <w:vAlign w:val="bottom"/>
            <w:hideMark/>
          </w:tcPr>
          <w:p w14:paraId="64A36827" w14:textId="77777777" w:rsidR="002866BB" w:rsidRPr="007D7B87" w:rsidRDefault="002866BB" w:rsidP="002866BB">
            <w:pPr>
              <w:ind w:left="0" w:firstLine="0"/>
              <w:jc w:val="right"/>
              <w:rPr>
                <w:rFonts w:asciiTheme="minorHAnsi" w:eastAsia="Times New Roman" w:hAnsiTheme="minorHAnsi" w:cstheme="minorHAnsi"/>
                <w:b/>
                <w:bCs/>
                <w:noProof/>
                <w:sz w:val="20"/>
                <w:szCs w:val="20"/>
                <w:lang w:val="es-ES" w:eastAsia="en-GB"/>
              </w:rPr>
            </w:pPr>
            <w:r w:rsidRPr="007D7B87">
              <w:rPr>
                <w:rFonts w:asciiTheme="minorHAnsi" w:eastAsia="Times New Roman" w:hAnsiTheme="minorHAnsi" w:cstheme="minorHAnsi"/>
                <w:b/>
                <w:bCs/>
                <w:noProof/>
                <w:sz w:val="20"/>
                <w:szCs w:val="20"/>
                <w:lang w:val="es-ES" w:eastAsia="en-GB"/>
              </w:rPr>
              <w:t xml:space="preserve">420 </w:t>
            </w:r>
          </w:p>
        </w:tc>
        <w:tc>
          <w:tcPr>
            <w:tcW w:w="1159" w:type="dxa"/>
            <w:tcBorders>
              <w:top w:val="nil"/>
              <w:left w:val="nil"/>
              <w:bottom w:val="single" w:sz="4" w:space="0" w:color="auto"/>
              <w:right w:val="single" w:sz="4" w:space="0" w:color="auto"/>
            </w:tcBorders>
            <w:shd w:val="clear" w:color="000000" w:fill="DDEBF7"/>
            <w:noWrap/>
            <w:vAlign w:val="bottom"/>
            <w:hideMark/>
          </w:tcPr>
          <w:p w14:paraId="6BDF986D" w14:textId="77777777" w:rsidR="002866BB" w:rsidRPr="007D7B87" w:rsidRDefault="002866BB" w:rsidP="00542089">
            <w:pPr>
              <w:ind w:left="0" w:firstLine="0"/>
              <w:jc w:val="right"/>
              <w:rPr>
                <w:rFonts w:asciiTheme="minorHAnsi" w:eastAsia="Times New Roman" w:hAnsiTheme="minorHAnsi" w:cstheme="minorHAnsi"/>
                <w:b/>
                <w:bCs/>
                <w:noProof/>
                <w:sz w:val="20"/>
                <w:szCs w:val="20"/>
                <w:lang w:val="es-ES" w:eastAsia="en-GB"/>
              </w:rPr>
            </w:pPr>
            <w:r w:rsidRPr="007D7B87">
              <w:rPr>
                <w:rFonts w:asciiTheme="minorHAnsi" w:eastAsia="Times New Roman" w:hAnsiTheme="minorHAnsi" w:cstheme="minorHAnsi"/>
                <w:b/>
                <w:bCs/>
                <w:noProof/>
                <w:sz w:val="20"/>
                <w:szCs w:val="20"/>
                <w:lang w:val="es-ES" w:eastAsia="en-GB"/>
              </w:rPr>
              <w:t xml:space="preserve">       (196)</w:t>
            </w:r>
          </w:p>
        </w:tc>
        <w:tc>
          <w:tcPr>
            <w:tcW w:w="982" w:type="dxa"/>
            <w:tcBorders>
              <w:top w:val="nil"/>
              <w:left w:val="nil"/>
              <w:bottom w:val="single" w:sz="4" w:space="0" w:color="auto"/>
              <w:right w:val="single" w:sz="4" w:space="0" w:color="auto"/>
            </w:tcBorders>
            <w:shd w:val="clear" w:color="000000" w:fill="DDEBF7"/>
            <w:noWrap/>
            <w:vAlign w:val="bottom"/>
            <w:hideMark/>
          </w:tcPr>
          <w:p w14:paraId="7BE77BE4" w14:textId="6AE6F49E" w:rsidR="002866BB" w:rsidRPr="007D7B87" w:rsidRDefault="002866BB" w:rsidP="002866BB">
            <w:pPr>
              <w:ind w:left="0" w:firstLine="0"/>
              <w:jc w:val="right"/>
              <w:rPr>
                <w:rFonts w:asciiTheme="minorHAnsi" w:eastAsia="Times New Roman" w:hAnsiTheme="minorHAnsi" w:cstheme="minorHAnsi"/>
                <w:b/>
                <w:bCs/>
                <w:noProof/>
                <w:sz w:val="20"/>
                <w:szCs w:val="20"/>
                <w:lang w:val="es-ES" w:eastAsia="en-GB"/>
              </w:rPr>
            </w:pPr>
            <w:r w:rsidRPr="007D7B87">
              <w:rPr>
                <w:rFonts w:asciiTheme="minorHAnsi" w:eastAsia="Times New Roman" w:hAnsiTheme="minorHAnsi" w:cstheme="minorHAnsi"/>
                <w:b/>
                <w:bCs/>
                <w:noProof/>
                <w:sz w:val="20"/>
                <w:szCs w:val="20"/>
                <w:lang w:val="es-ES" w:eastAsia="en-GB"/>
              </w:rPr>
              <w:t>1</w:t>
            </w:r>
            <w:r w:rsidR="000339A3">
              <w:rPr>
                <w:rFonts w:asciiTheme="minorHAnsi" w:eastAsia="Times New Roman" w:hAnsiTheme="minorHAnsi" w:cstheme="minorHAnsi"/>
                <w:b/>
                <w:bCs/>
                <w:noProof/>
                <w:sz w:val="20"/>
                <w:szCs w:val="20"/>
                <w:lang w:val="es-ES" w:eastAsia="en-GB"/>
              </w:rPr>
              <w:t xml:space="preserve"> </w:t>
            </w:r>
            <w:r w:rsidRPr="007D7B87">
              <w:rPr>
                <w:rFonts w:asciiTheme="minorHAnsi" w:eastAsia="Times New Roman" w:hAnsiTheme="minorHAnsi" w:cstheme="minorHAnsi"/>
                <w:b/>
                <w:bCs/>
                <w:noProof/>
                <w:sz w:val="20"/>
                <w:szCs w:val="20"/>
                <w:lang w:val="es-ES" w:eastAsia="en-GB"/>
              </w:rPr>
              <w:t xml:space="preserve">457 </w:t>
            </w:r>
          </w:p>
        </w:tc>
        <w:tc>
          <w:tcPr>
            <w:tcW w:w="1188" w:type="dxa"/>
            <w:tcBorders>
              <w:top w:val="nil"/>
              <w:left w:val="nil"/>
              <w:bottom w:val="single" w:sz="4" w:space="0" w:color="auto"/>
              <w:right w:val="single" w:sz="4" w:space="0" w:color="auto"/>
            </w:tcBorders>
            <w:shd w:val="clear" w:color="000000" w:fill="DDEBF7"/>
            <w:noWrap/>
            <w:vAlign w:val="bottom"/>
            <w:hideMark/>
          </w:tcPr>
          <w:p w14:paraId="7A88C20D" w14:textId="77777777" w:rsidR="002866BB" w:rsidRPr="007D7B87" w:rsidRDefault="002866BB" w:rsidP="002866BB">
            <w:pPr>
              <w:ind w:left="0" w:firstLine="0"/>
              <w:rPr>
                <w:rFonts w:asciiTheme="minorHAnsi" w:eastAsia="Times New Roman" w:hAnsiTheme="minorHAnsi" w:cstheme="minorHAnsi"/>
                <w:b/>
                <w:bCs/>
                <w:noProof/>
                <w:sz w:val="20"/>
                <w:szCs w:val="20"/>
                <w:lang w:val="es-ES" w:eastAsia="en-GB"/>
              </w:rPr>
            </w:pPr>
            <w:r w:rsidRPr="007D7B87">
              <w:rPr>
                <w:rFonts w:asciiTheme="minorHAnsi" w:eastAsia="Times New Roman" w:hAnsiTheme="minorHAnsi" w:cstheme="minorHAnsi"/>
                <w:b/>
                <w:bCs/>
                <w:noProof/>
                <w:sz w:val="20"/>
                <w:szCs w:val="20"/>
                <w:lang w:val="es-ES" w:eastAsia="en-GB"/>
              </w:rPr>
              <w:t> </w:t>
            </w:r>
          </w:p>
        </w:tc>
        <w:tc>
          <w:tcPr>
            <w:tcW w:w="1090" w:type="dxa"/>
            <w:tcBorders>
              <w:top w:val="nil"/>
              <w:left w:val="nil"/>
              <w:bottom w:val="single" w:sz="4" w:space="0" w:color="auto"/>
              <w:right w:val="single" w:sz="4" w:space="0" w:color="auto"/>
            </w:tcBorders>
            <w:shd w:val="clear" w:color="000000" w:fill="DDEBF7"/>
            <w:noWrap/>
            <w:vAlign w:val="bottom"/>
            <w:hideMark/>
          </w:tcPr>
          <w:p w14:paraId="6B896009" w14:textId="77777777" w:rsidR="002866BB" w:rsidRPr="007D7B87" w:rsidRDefault="002866BB" w:rsidP="002866BB">
            <w:pPr>
              <w:ind w:left="0" w:firstLine="0"/>
              <w:rPr>
                <w:rFonts w:asciiTheme="minorHAnsi" w:eastAsia="Times New Roman" w:hAnsiTheme="minorHAnsi" w:cstheme="minorHAnsi"/>
                <w:b/>
                <w:bCs/>
                <w:noProof/>
                <w:sz w:val="20"/>
                <w:szCs w:val="20"/>
                <w:lang w:val="es-ES" w:eastAsia="en-GB"/>
              </w:rPr>
            </w:pPr>
            <w:r w:rsidRPr="007D7B87">
              <w:rPr>
                <w:rFonts w:asciiTheme="minorHAnsi" w:eastAsia="Times New Roman" w:hAnsiTheme="minorHAnsi" w:cstheme="minorHAnsi"/>
                <w:b/>
                <w:bCs/>
                <w:noProof/>
                <w:sz w:val="20"/>
                <w:szCs w:val="20"/>
                <w:lang w:val="es-ES" w:eastAsia="en-GB"/>
              </w:rPr>
              <w:t> </w:t>
            </w:r>
          </w:p>
        </w:tc>
      </w:tr>
    </w:tbl>
    <w:p w14:paraId="03A01B08" w14:textId="419F7C4D" w:rsidR="002116FA" w:rsidRPr="007D7B87" w:rsidRDefault="002116FA" w:rsidP="000F0539">
      <w:pPr>
        <w:ind w:left="0" w:firstLine="0"/>
        <w:rPr>
          <w:rFonts w:asciiTheme="minorHAnsi" w:hAnsiTheme="minorHAnsi"/>
          <w:b/>
          <w:bCs/>
          <w:noProof/>
          <w:sz w:val="24"/>
          <w:szCs w:val="24"/>
          <w:lang w:val="es-ES" w:eastAsia="en-GB"/>
        </w:rPr>
      </w:pPr>
    </w:p>
    <w:p w14:paraId="45E33BC2" w14:textId="49D16F0C" w:rsidR="006E140C" w:rsidRPr="007D7B87" w:rsidRDefault="00F21A80" w:rsidP="00F21A80">
      <w:pPr>
        <w:pStyle w:val="ListParagraph"/>
        <w:ind w:left="0" w:firstLine="0"/>
        <w:contextualSpacing w:val="0"/>
        <w:rPr>
          <w:rFonts w:asciiTheme="minorHAnsi" w:eastAsia="Times New Roman" w:hAnsiTheme="minorHAnsi" w:cs="Arial"/>
          <w:bCs/>
          <w:noProof/>
          <w:color w:val="000000"/>
          <w:sz w:val="20"/>
          <w:szCs w:val="20"/>
          <w:lang w:val="es-ES" w:eastAsia="en-GB"/>
        </w:rPr>
      </w:pPr>
      <w:r w:rsidRPr="007D7B87">
        <w:rPr>
          <w:rFonts w:asciiTheme="minorHAnsi" w:eastAsia="Times New Roman" w:hAnsiTheme="minorHAnsi" w:cs="Arial"/>
          <w:bCs/>
          <w:noProof/>
          <w:color w:val="000000"/>
          <w:sz w:val="20"/>
          <w:szCs w:val="20"/>
          <w:lang w:val="es-ES" w:eastAsia="en-GB"/>
        </w:rPr>
        <w:t xml:space="preserve">* </w:t>
      </w:r>
      <w:r w:rsidR="00892ED2">
        <w:rPr>
          <w:rFonts w:asciiTheme="minorHAnsi" w:eastAsia="Times New Roman" w:hAnsiTheme="minorHAnsi" w:cs="Arial"/>
          <w:bCs/>
          <w:noProof/>
          <w:color w:val="000000"/>
          <w:sz w:val="20"/>
          <w:szCs w:val="20"/>
          <w:lang w:val="es-ES" w:eastAsia="en-GB"/>
        </w:rPr>
        <w:t xml:space="preserve">Aprobado por la tercera reunión extraordinaria de la Conferencia de las Partes Contratante </w:t>
      </w:r>
      <w:r w:rsidR="00922386" w:rsidRPr="007D7B87">
        <w:rPr>
          <w:rFonts w:asciiTheme="minorHAnsi" w:eastAsia="Times New Roman" w:hAnsiTheme="minorHAnsi" w:cs="Arial"/>
          <w:bCs/>
          <w:noProof/>
          <w:color w:val="000000"/>
          <w:sz w:val="20"/>
          <w:szCs w:val="20"/>
          <w:lang w:val="es-ES" w:eastAsia="en-GB"/>
        </w:rPr>
        <w:t>(</w:t>
      </w:r>
      <w:r w:rsidR="002116FA" w:rsidRPr="007D7B87">
        <w:rPr>
          <w:rFonts w:asciiTheme="minorHAnsi" w:eastAsia="Times New Roman" w:hAnsiTheme="minorHAnsi" w:cs="Arial"/>
          <w:bCs/>
          <w:noProof/>
          <w:color w:val="000000"/>
          <w:sz w:val="20"/>
          <w:szCs w:val="20"/>
          <w:lang w:val="es-ES" w:eastAsia="en-GB"/>
        </w:rPr>
        <w:t>ExCOP3</w:t>
      </w:r>
      <w:r w:rsidR="00922386" w:rsidRPr="007D7B87">
        <w:rPr>
          <w:rFonts w:asciiTheme="minorHAnsi" w:eastAsia="Times New Roman" w:hAnsiTheme="minorHAnsi" w:cs="Arial"/>
          <w:bCs/>
          <w:noProof/>
          <w:color w:val="000000"/>
          <w:sz w:val="20"/>
          <w:szCs w:val="20"/>
          <w:lang w:val="es-ES" w:eastAsia="en-GB"/>
        </w:rPr>
        <w:t>).</w:t>
      </w:r>
    </w:p>
    <w:p w14:paraId="4AF1067F" w14:textId="1DDC50F5" w:rsidR="00F21A80" w:rsidRPr="007D7B87" w:rsidRDefault="006E140C" w:rsidP="00F21A80">
      <w:pPr>
        <w:pStyle w:val="ListParagraph"/>
        <w:ind w:left="0" w:firstLine="0"/>
        <w:contextualSpacing w:val="0"/>
        <w:rPr>
          <w:rFonts w:cs="Arial"/>
          <w:noProof/>
          <w:sz w:val="20"/>
          <w:szCs w:val="20"/>
          <w:lang w:val="es-ES"/>
        </w:rPr>
      </w:pPr>
      <w:r w:rsidRPr="007D7B87">
        <w:rPr>
          <w:rFonts w:cs="Arial"/>
          <w:noProof/>
          <w:sz w:val="20"/>
          <w:szCs w:val="20"/>
          <w:vertAlign w:val="superscript"/>
          <w:lang w:val="es-ES"/>
        </w:rPr>
        <w:t>1</w:t>
      </w:r>
      <w:r w:rsidR="00922386" w:rsidRPr="007D7B87">
        <w:rPr>
          <w:rFonts w:cs="Arial"/>
          <w:noProof/>
          <w:sz w:val="20"/>
          <w:szCs w:val="20"/>
          <w:vertAlign w:val="superscript"/>
          <w:lang w:val="es-ES"/>
        </w:rPr>
        <w:t xml:space="preserve"> </w:t>
      </w:r>
      <w:r w:rsidR="00F72310">
        <w:rPr>
          <w:rFonts w:cs="Arial"/>
          <w:noProof/>
          <w:sz w:val="20"/>
          <w:szCs w:val="20"/>
          <w:vertAlign w:val="superscript"/>
          <w:lang w:val="es-ES"/>
        </w:rPr>
        <w:t xml:space="preserve"> </w:t>
      </w:r>
      <w:r w:rsidR="00892ED2">
        <w:rPr>
          <w:rFonts w:cs="Arial"/>
          <w:noProof/>
          <w:sz w:val="20"/>
          <w:szCs w:val="20"/>
          <w:lang w:val="es-ES"/>
        </w:rPr>
        <w:t xml:space="preserve">En la reanudación de su 59ª reunión (SC59/2022), el Comité Permanente examinó el excedente </w:t>
      </w:r>
      <w:r w:rsidR="00F72310">
        <w:rPr>
          <w:rFonts w:cs="Arial"/>
          <w:noProof/>
          <w:sz w:val="20"/>
          <w:szCs w:val="20"/>
          <w:lang w:val="es-ES"/>
        </w:rPr>
        <w:t>y formuló</w:t>
      </w:r>
      <w:r w:rsidR="00892ED2">
        <w:rPr>
          <w:rFonts w:cs="Arial"/>
          <w:noProof/>
          <w:sz w:val="20"/>
          <w:szCs w:val="20"/>
          <w:lang w:val="es-ES"/>
        </w:rPr>
        <w:t xml:space="preserve"> sugerencias para su </w:t>
      </w:r>
      <w:r w:rsidR="00F72310">
        <w:rPr>
          <w:rFonts w:cs="Arial"/>
          <w:noProof/>
          <w:sz w:val="20"/>
          <w:szCs w:val="20"/>
          <w:lang w:val="es-ES"/>
        </w:rPr>
        <w:t>uso</w:t>
      </w:r>
      <w:r w:rsidR="00892ED2">
        <w:rPr>
          <w:rFonts w:cs="Arial"/>
          <w:noProof/>
          <w:sz w:val="20"/>
          <w:szCs w:val="20"/>
          <w:lang w:val="es-ES"/>
        </w:rPr>
        <w:t xml:space="preserve"> (véase el cuadro 3 de</w:t>
      </w:r>
      <w:r w:rsidR="00F72310">
        <w:rPr>
          <w:rFonts w:cs="Arial"/>
          <w:noProof/>
          <w:sz w:val="20"/>
          <w:szCs w:val="20"/>
          <w:lang w:val="es-ES"/>
        </w:rPr>
        <w:t xml:space="preserve">l documento </w:t>
      </w:r>
      <w:r w:rsidR="00F72310" w:rsidRPr="007D7B87">
        <w:rPr>
          <w:rFonts w:cs="Arial"/>
          <w:noProof/>
          <w:sz w:val="20"/>
          <w:szCs w:val="20"/>
          <w:lang w:val="es-ES"/>
        </w:rPr>
        <w:t>SC59/2022 Com2.Rev.1</w:t>
      </w:r>
      <w:r w:rsidR="00F72310">
        <w:rPr>
          <w:rFonts w:cs="Arial"/>
          <w:noProof/>
          <w:sz w:val="20"/>
          <w:szCs w:val="20"/>
          <w:lang w:val="es-ES"/>
        </w:rPr>
        <w:t>)</w:t>
      </w:r>
      <w:r w:rsidR="00F21A80" w:rsidRPr="007D7B87">
        <w:rPr>
          <w:rFonts w:cs="Arial"/>
          <w:noProof/>
          <w:sz w:val="20"/>
          <w:szCs w:val="20"/>
          <w:lang w:val="es-ES"/>
        </w:rPr>
        <w:br w:type="page"/>
      </w:r>
    </w:p>
    <w:p w14:paraId="1B931C91" w14:textId="08F33784" w:rsidR="00ED2630" w:rsidRPr="007D7B87" w:rsidRDefault="00F72310" w:rsidP="00A217FF">
      <w:pPr>
        <w:pStyle w:val="ListParagraph"/>
        <w:ind w:left="0" w:firstLine="0"/>
        <w:contextualSpacing w:val="0"/>
        <w:rPr>
          <w:rFonts w:cs="Arial"/>
          <w:b/>
          <w:noProof/>
          <w:sz w:val="24"/>
          <w:szCs w:val="24"/>
          <w:lang w:val="es-ES"/>
        </w:rPr>
      </w:pPr>
      <w:r>
        <w:rPr>
          <w:rFonts w:cs="Arial"/>
          <w:b/>
          <w:noProof/>
          <w:sz w:val="24"/>
          <w:szCs w:val="24"/>
          <w:lang w:val="es-ES"/>
        </w:rPr>
        <w:lastRenderedPageBreak/>
        <w:t>Anexo</w:t>
      </w:r>
      <w:r w:rsidR="0049707C" w:rsidRPr="007D7B87">
        <w:rPr>
          <w:rFonts w:cs="Arial"/>
          <w:b/>
          <w:noProof/>
          <w:sz w:val="24"/>
          <w:szCs w:val="24"/>
          <w:lang w:val="es-ES"/>
        </w:rPr>
        <w:t xml:space="preserve"> </w:t>
      </w:r>
      <w:r w:rsidR="00F21A80" w:rsidRPr="007D7B87">
        <w:rPr>
          <w:rFonts w:cs="Arial"/>
          <w:b/>
          <w:noProof/>
          <w:sz w:val="24"/>
          <w:szCs w:val="24"/>
          <w:lang w:val="es-ES"/>
        </w:rPr>
        <w:t>2</w:t>
      </w:r>
      <w:r w:rsidR="00832664" w:rsidRPr="007D7B87">
        <w:rPr>
          <w:rStyle w:val="FootnoteReference"/>
          <w:rFonts w:cs="Arial"/>
          <w:b/>
          <w:noProof/>
          <w:sz w:val="24"/>
          <w:szCs w:val="24"/>
          <w:lang w:val="es-ES"/>
        </w:rPr>
        <w:footnoteReference w:id="7"/>
      </w:r>
    </w:p>
    <w:p w14:paraId="3AD327CC" w14:textId="29A07F06" w:rsidR="0049707C" w:rsidRPr="007D7B87" w:rsidRDefault="00F72310" w:rsidP="00A217FF">
      <w:pPr>
        <w:pStyle w:val="ListParagraph"/>
        <w:ind w:left="0" w:firstLine="0"/>
        <w:contextualSpacing w:val="0"/>
        <w:rPr>
          <w:rFonts w:cs="Arial"/>
          <w:b/>
          <w:noProof/>
          <w:sz w:val="24"/>
          <w:szCs w:val="24"/>
          <w:lang w:val="es-ES"/>
        </w:rPr>
      </w:pPr>
      <w:r>
        <w:rPr>
          <w:rFonts w:cs="Arial"/>
          <w:b/>
          <w:noProof/>
          <w:sz w:val="24"/>
          <w:szCs w:val="24"/>
          <w:lang w:val="es-ES"/>
        </w:rPr>
        <w:t>Presupuesto propuesto para el trienio 2023-2025</w:t>
      </w:r>
    </w:p>
    <w:p w14:paraId="51AA7D9F" w14:textId="77777777" w:rsidR="00A217FF" w:rsidRPr="007D7B87" w:rsidRDefault="00A217FF" w:rsidP="00A217FF">
      <w:pPr>
        <w:pStyle w:val="ListParagraph"/>
        <w:ind w:left="0" w:firstLine="0"/>
        <w:contextualSpacing w:val="0"/>
        <w:rPr>
          <w:rFonts w:cs="Arial"/>
          <w:b/>
          <w:noProof/>
          <w:lang w:val="es-ES"/>
        </w:rPr>
      </w:pPr>
    </w:p>
    <w:tbl>
      <w:tblPr>
        <w:tblW w:w="9981" w:type="dxa"/>
        <w:tblInd w:w="-431" w:type="dxa"/>
        <w:tblLook w:val="04A0" w:firstRow="1" w:lastRow="0" w:firstColumn="1" w:lastColumn="0" w:noHBand="0" w:noVBand="1"/>
      </w:tblPr>
      <w:tblGrid>
        <w:gridCol w:w="3690"/>
        <w:gridCol w:w="1254"/>
        <w:gridCol w:w="1254"/>
        <w:gridCol w:w="1254"/>
        <w:gridCol w:w="1254"/>
        <w:gridCol w:w="1275"/>
      </w:tblGrid>
      <w:tr w:rsidR="005D0A19" w:rsidRPr="007D7B87" w14:paraId="1F6A0E3D" w14:textId="77777777" w:rsidTr="00CE17A4">
        <w:tc>
          <w:tcPr>
            <w:tcW w:w="3690" w:type="dxa"/>
            <w:tcBorders>
              <w:top w:val="single" w:sz="4" w:space="0" w:color="auto"/>
              <w:left w:val="single" w:sz="4" w:space="0" w:color="auto"/>
              <w:bottom w:val="nil"/>
              <w:right w:val="single" w:sz="4" w:space="0" w:color="auto"/>
            </w:tcBorders>
            <w:shd w:val="clear" w:color="000000" w:fill="EBF1DE"/>
            <w:vAlign w:val="center"/>
          </w:tcPr>
          <w:p w14:paraId="58E2B35F" w14:textId="20FB3AC7" w:rsidR="005D0A19" w:rsidRPr="007D7B87" w:rsidRDefault="00DE185F" w:rsidP="00483E42">
            <w:pPr>
              <w:ind w:left="0" w:firstLine="0"/>
              <w:rPr>
                <w:rFonts w:asciiTheme="minorHAnsi" w:eastAsia="Times New Roman" w:hAnsiTheme="minorHAnsi" w:cs="Arial"/>
                <w:b/>
                <w:bCs/>
                <w:noProof/>
                <w:color w:val="1F497D"/>
                <w:sz w:val="24"/>
                <w:szCs w:val="24"/>
                <w:lang w:val="es-ES" w:eastAsia="en-GB"/>
              </w:rPr>
            </w:pPr>
            <w:r>
              <w:rPr>
                <w:rFonts w:asciiTheme="minorHAnsi" w:eastAsia="Times New Roman" w:hAnsiTheme="minorHAnsi" w:cs="Arial"/>
                <w:b/>
                <w:bCs/>
                <w:noProof/>
                <w:color w:val="1F497D"/>
                <w:sz w:val="24"/>
                <w:szCs w:val="24"/>
                <w:lang w:val="es-ES" w:eastAsia="en-GB"/>
              </w:rPr>
              <w:t>Presupuesto básico de la Convención para</w:t>
            </w:r>
            <w:r w:rsidR="005D0A19" w:rsidRPr="007D7B87">
              <w:rPr>
                <w:rFonts w:asciiTheme="minorHAnsi" w:eastAsia="Times New Roman" w:hAnsiTheme="minorHAnsi" w:cs="Arial"/>
                <w:b/>
                <w:bCs/>
                <w:noProof/>
                <w:color w:val="1F497D"/>
                <w:sz w:val="24"/>
                <w:szCs w:val="24"/>
                <w:lang w:val="es-ES" w:eastAsia="en-GB"/>
              </w:rPr>
              <w:t xml:space="preserve"> 2023-2025</w:t>
            </w:r>
          </w:p>
        </w:tc>
        <w:tc>
          <w:tcPr>
            <w:tcW w:w="1254" w:type="dxa"/>
            <w:tcBorders>
              <w:top w:val="single" w:sz="4" w:space="0" w:color="auto"/>
              <w:left w:val="nil"/>
              <w:bottom w:val="nil"/>
              <w:right w:val="single" w:sz="4" w:space="0" w:color="auto"/>
            </w:tcBorders>
            <w:shd w:val="clear" w:color="000000" w:fill="EBF1DE"/>
          </w:tcPr>
          <w:p w14:paraId="6764F7BB" w14:textId="6F6DE08B" w:rsidR="005D0A19" w:rsidRPr="007D7B87" w:rsidRDefault="00DE185F" w:rsidP="00483E42">
            <w:pPr>
              <w:ind w:left="0" w:firstLine="0"/>
              <w:jc w:val="center"/>
              <w:rPr>
                <w:rFonts w:asciiTheme="minorHAnsi" w:eastAsia="Times New Roman" w:hAnsiTheme="minorHAnsi" w:cs="Arial"/>
                <w:b/>
                <w:bCs/>
                <w:noProof/>
                <w:color w:val="1F497D"/>
                <w:sz w:val="20"/>
                <w:szCs w:val="20"/>
                <w:lang w:val="es-ES" w:eastAsia="en-GB"/>
              </w:rPr>
            </w:pPr>
            <w:r>
              <w:rPr>
                <w:rFonts w:asciiTheme="minorHAnsi" w:eastAsia="Times New Roman" w:hAnsiTheme="minorHAnsi" w:cs="Arial"/>
                <w:b/>
                <w:bCs/>
                <w:noProof/>
                <w:color w:val="1F497D"/>
                <w:sz w:val="20"/>
                <w:szCs w:val="20"/>
                <w:lang w:val="es-ES" w:eastAsia="en-GB"/>
              </w:rPr>
              <w:t>Presupuesto</w:t>
            </w:r>
            <w:r w:rsidR="00261307" w:rsidRPr="007D7B87">
              <w:rPr>
                <w:rFonts w:asciiTheme="minorHAnsi" w:eastAsia="Times New Roman" w:hAnsiTheme="minorHAnsi" w:cs="Arial"/>
                <w:b/>
                <w:bCs/>
                <w:noProof/>
                <w:color w:val="1F497D"/>
                <w:sz w:val="20"/>
                <w:szCs w:val="20"/>
                <w:lang w:val="es-ES" w:eastAsia="en-GB"/>
              </w:rPr>
              <w:t xml:space="preserve"> (</w:t>
            </w:r>
            <w:r>
              <w:rPr>
                <w:rFonts w:asciiTheme="minorHAnsi" w:eastAsia="Times New Roman" w:hAnsiTheme="minorHAnsi" w:cs="Arial"/>
                <w:b/>
                <w:bCs/>
                <w:noProof/>
                <w:color w:val="1F497D"/>
                <w:sz w:val="20"/>
                <w:szCs w:val="20"/>
                <w:lang w:val="es-ES" w:eastAsia="en-GB"/>
              </w:rPr>
              <w:t xml:space="preserve">aprobado por la </w:t>
            </w:r>
            <w:r w:rsidR="00261307" w:rsidRPr="007D7B87">
              <w:rPr>
                <w:rFonts w:asciiTheme="minorHAnsi" w:eastAsia="Times New Roman" w:hAnsiTheme="minorHAnsi" w:cs="Arial"/>
                <w:b/>
                <w:bCs/>
                <w:noProof/>
                <w:color w:val="1F497D"/>
                <w:sz w:val="20"/>
                <w:szCs w:val="20"/>
                <w:lang w:val="es-ES" w:eastAsia="en-GB"/>
              </w:rPr>
              <w:t>ExCOP3)</w:t>
            </w:r>
          </w:p>
          <w:p w14:paraId="41502B3D" w14:textId="4B0FB5A2" w:rsidR="005D0A19" w:rsidRPr="007D7B87" w:rsidRDefault="005D0A19" w:rsidP="00483E42">
            <w:pPr>
              <w:ind w:left="0" w:firstLine="0"/>
              <w:jc w:val="center"/>
              <w:rPr>
                <w:rFonts w:asciiTheme="minorHAnsi" w:eastAsia="Times New Roman" w:hAnsiTheme="minorHAnsi" w:cs="Arial"/>
                <w:b/>
                <w:bCs/>
                <w:noProof/>
                <w:color w:val="1F497D"/>
                <w:sz w:val="20"/>
                <w:szCs w:val="20"/>
                <w:lang w:val="es-ES" w:eastAsia="en-GB"/>
              </w:rPr>
            </w:pPr>
            <w:r w:rsidRPr="007D7B87">
              <w:rPr>
                <w:rFonts w:asciiTheme="minorHAnsi" w:eastAsia="Times New Roman" w:hAnsiTheme="minorHAnsi" w:cs="Arial"/>
                <w:b/>
                <w:bCs/>
                <w:noProof/>
                <w:color w:val="1F497D"/>
                <w:sz w:val="20"/>
                <w:szCs w:val="20"/>
                <w:lang w:val="es-ES" w:eastAsia="en-GB"/>
              </w:rPr>
              <w:t>2022</w:t>
            </w:r>
          </w:p>
        </w:tc>
        <w:tc>
          <w:tcPr>
            <w:tcW w:w="1254" w:type="dxa"/>
            <w:tcBorders>
              <w:top w:val="single" w:sz="4" w:space="0" w:color="auto"/>
              <w:left w:val="single" w:sz="4" w:space="0" w:color="auto"/>
              <w:bottom w:val="nil"/>
              <w:right w:val="single" w:sz="4" w:space="0" w:color="auto"/>
            </w:tcBorders>
            <w:shd w:val="clear" w:color="000000" w:fill="EBF1DE"/>
            <w:vAlign w:val="center"/>
          </w:tcPr>
          <w:p w14:paraId="0C082C31" w14:textId="326BC140" w:rsidR="005D0A19" w:rsidRPr="007D7B87" w:rsidRDefault="00DE185F" w:rsidP="00483E42">
            <w:pPr>
              <w:ind w:left="0" w:firstLine="0"/>
              <w:jc w:val="center"/>
              <w:rPr>
                <w:rFonts w:asciiTheme="minorHAnsi" w:eastAsia="Times New Roman" w:hAnsiTheme="minorHAnsi" w:cs="Arial"/>
                <w:b/>
                <w:bCs/>
                <w:noProof/>
                <w:color w:val="1F497D"/>
                <w:sz w:val="20"/>
                <w:szCs w:val="20"/>
                <w:lang w:val="es-ES" w:eastAsia="en-GB"/>
              </w:rPr>
            </w:pPr>
            <w:r>
              <w:rPr>
                <w:rFonts w:asciiTheme="minorHAnsi" w:eastAsia="Times New Roman" w:hAnsiTheme="minorHAnsi" w:cs="Arial"/>
                <w:b/>
                <w:bCs/>
                <w:noProof/>
                <w:color w:val="1F497D"/>
                <w:sz w:val="20"/>
                <w:szCs w:val="20"/>
                <w:lang w:val="es-ES" w:eastAsia="en-GB"/>
              </w:rPr>
              <w:t>Presupuesto</w:t>
            </w:r>
            <w:r w:rsidR="005D0A19" w:rsidRPr="007D7B87">
              <w:rPr>
                <w:rFonts w:asciiTheme="minorHAnsi" w:eastAsia="Times New Roman" w:hAnsiTheme="minorHAnsi" w:cs="Arial"/>
                <w:b/>
                <w:bCs/>
                <w:noProof/>
                <w:color w:val="1F497D"/>
                <w:sz w:val="20"/>
                <w:szCs w:val="20"/>
                <w:lang w:val="es-ES" w:eastAsia="en-GB"/>
              </w:rPr>
              <w:t xml:space="preserve"> 2023</w:t>
            </w:r>
          </w:p>
        </w:tc>
        <w:tc>
          <w:tcPr>
            <w:tcW w:w="1254" w:type="dxa"/>
            <w:tcBorders>
              <w:top w:val="single" w:sz="4" w:space="0" w:color="auto"/>
              <w:left w:val="nil"/>
              <w:bottom w:val="nil"/>
              <w:right w:val="single" w:sz="4" w:space="0" w:color="auto"/>
            </w:tcBorders>
            <w:shd w:val="clear" w:color="000000" w:fill="EBF1DE"/>
            <w:vAlign w:val="center"/>
          </w:tcPr>
          <w:p w14:paraId="3093FDC3" w14:textId="3B69E852" w:rsidR="005D0A19" w:rsidRPr="007D7B87" w:rsidRDefault="00DE185F" w:rsidP="00483E42">
            <w:pPr>
              <w:ind w:left="0" w:firstLine="0"/>
              <w:jc w:val="center"/>
              <w:rPr>
                <w:rFonts w:asciiTheme="minorHAnsi" w:eastAsia="Times New Roman" w:hAnsiTheme="minorHAnsi" w:cs="Arial"/>
                <w:b/>
                <w:bCs/>
                <w:noProof/>
                <w:color w:val="1F497D"/>
                <w:sz w:val="20"/>
                <w:szCs w:val="20"/>
                <w:lang w:val="es-ES" w:eastAsia="en-GB"/>
              </w:rPr>
            </w:pPr>
            <w:r>
              <w:rPr>
                <w:rFonts w:asciiTheme="minorHAnsi" w:eastAsia="Times New Roman" w:hAnsiTheme="minorHAnsi" w:cs="Arial"/>
                <w:b/>
                <w:bCs/>
                <w:noProof/>
                <w:color w:val="1F497D"/>
                <w:sz w:val="20"/>
                <w:szCs w:val="20"/>
                <w:lang w:val="es-ES" w:eastAsia="en-GB"/>
              </w:rPr>
              <w:t>Presupuesto</w:t>
            </w:r>
            <w:r w:rsidRPr="007D7B87">
              <w:rPr>
                <w:rFonts w:asciiTheme="minorHAnsi" w:eastAsia="Times New Roman" w:hAnsiTheme="minorHAnsi" w:cs="Arial"/>
                <w:b/>
                <w:bCs/>
                <w:noProof/>
                <w:color w:val="1F497D"/>
                <w:sz w:val="20"/>
                <w:szCs w:val="20"/>
                <w:lang w:val="es-ES" w:eastAsia="en-GB"/>
              </w:rPr>
              <w:t xml:space="preserve"> </w:t>
            </w:r>
            <w:r w:rsidR="005D0A19" w:rsidRPr="007D7B87">
              <w:rPr>
                <w:rFonts w:asciiTheme="minorHAnsi" w:eastAsia="Times New Roman" w:hAnsiTheme="minorHAnsi" w:cs="Arial"/>
                <w:b/>
                <w:bCs/>
                <w:noProof/>
                <w:color w:val="1F497D"/>
                <w:sz w:val="20"/>
                <w:szCs w:val="20"/>
                <w:lang w:val="es-ES" w:eastAsia="en-GB"/>
              </w:rPr>
              <w:t>2024</w:t>
            </w:r>
          </w:p>
        </w:tc>
        <w:tc>
          <w:tcPr>
            <w:tcW w:w="1254" w:type="dxa"/>
            <w:tcBorders>
              <w:top w:val="single" w:sz="4" w:space="0" w:color="auto"/>
              <w:left w:val="nil"/>
              <w:bottom w:val="nil"/>
              <w:right w:val="single" w:sz="4" w:space="0" w:color="auto"/>
            </w:tcBorders>
            <w:shd w:val="clear" w:color="000000" w:fill="EBF1DE"/>
            <w:vAlign w:val="center"/>
          </w:tcPr>
          <w:p w14:paraId="387AF0E4" w14:textId="196419A4" w:rsidR="005D0A19" w:rsidRPr="007D7B87" w:rsidRDefault="00DE185F" w:rsidP="00483E42">
            <w:pPr>
              <w:ind w:left="0" w:firstLine="0"/>
              <w:jc w:val="center"/>
              <w:rPr>
                <w:rFonts w:asciiTheme="minorHAnsi" w:eastAsia="Times New Roman" w:hAnsiTheme="minorHAnsi" w:cs="Arial"/>
                <w:b/>
                <w:bCs/>
                <w:noProof/>
                <w:color w:val="1F497D"/>
                <w:sz w:val="20"/>
                <w:szCs w:val="20"/>
                <w:lang w:val="es-ES" w:eastAsia="en-GB"/>
              </w:rPr>
            </w:pPr>
            <w:r>
              <w:rPr>
                <w:rFonts w:asciiTheme="minorHAnsi" w:eastAsia="Times New Roman" w:hAnsiTheme="minorHAnsi" w:cs="Arial"/>
                <w:b/>
                <w:bCs/>
                <w:noProof/>
                <w:color w:val="1F497D"/>
                <w:sz w:val="20"/>
                <w:szCs w:val="20"/>
                <w:lang w:val="es-ES" w:eastAsia="en-GB"/>
              </w:rPr>
              <w:t>Presupuesto</w:t>
            </w:r>
            <w:r w:rsidRPr="007D7B87">
              <w:rPr>
                <w:rFonts w:asciiTheme="minorHAnsi" w:eastAsia="Times New Roman" w:hAnsiTheme="minorHAnsi" w:cs="Arial"/>
                <w:b/>
                <w:bCs/>
                <w:noProof/>
                <w:color w:val="1F497D"/>
                <w:sz w:val="20"/>
                <w:szCs w:val="20"/>
                <w:lang w:val="es-ES" w:eastAsia="en-GB"/>
              </w:rPr>
              <w:t xml:space="preserve"> </w:t>
            </w:r>
            <w:r w:rsidR="005D0A19" w:rsidRPr="007D7B87">
              <w:rPr>
                <w:rFonts w:asciiTheme="minorHAnsi" w:eastAsia="Times New Roman" w:hAnsiTheme="minorHAnsi" w:cs="Arial"/>
                <w:b/>
                <w:bCs/>
                <w:noProof/>
                <w:color w:val="1F497D"/>
                <w:sz w:val="20"/>
                <w:szCs w:val="20"/>
                <w:lang w:val="es-ES" w:eastAsia="en-GB"/>
              </w:rPr>
              <w:t>2025</w:t>
            </w:r>
          </w:p>
        </w:tc>
        <w:tc>
          <w:tcPr>
            <w:tcW w:w="1275" w:type="dxa"/>
            <w:tcBorders>
              <w:top w:val="single" w:sz="4" w:space="0" w:color="auto"/>
              <w:left w:val="nil"/>
              <w:bottom w:val="nil"/>
              <w:right w:val="single" w:sz="4" w:space="0" w:color="auto"/>
            </w:tcBorders>
            <w:shd w:val="clear" w:color="000000" w:fill="EBF1DE"/>
            <w:vAlign w:val="center"/>
          </w:tcPr>
          <w:p w14:paraId="5F782681" w14:textId="00B40E48" w:rsidR="005D0A19" w:rsidRPr="007D7B87" w:rsidRDefault="005D0A19" w:rsidP="00483E42">
            <w:pPr>
              <w:ind w:left="0" w:firstLine="0"/>
              <w:jc w:val="center"/>
              <w:rPr>
                <w:rFonts w:asciiTheme="minorHAnsi" w:eastAsia="Times New Roman" w:hAnsiTheme="minorHAnsi" w:cs="Arial"/>
                <w:b/>
                <w:bCs/>
                <w:noProof/>
                <w:color w:val="1F497D"/>
                <w:sz w:val="20"/>
                <w:szCs w:val="20"/>
                <w:lang w:val="es-ES" w:eastAsia="en-GB"/>
              </w:rPr>
            </w:pPr>
            <w:r w:rsidRPr="007D7B87">
              <w:rPr>
                <w:rFonts w:asciiTheme="minorHAnsi" w:eastAsia="Times New Roman" w:hAnsiTheme="minorHAnsi" w:cs="Arial"/>
                <w:b/>
                <w:bCs/>
                <w:noProof/>
                <w:color w:val="1F497D"/>
                <w:sz w:val="20"/>
                <w:szCs w:val="20"/>
                <w:lang w:val="es-ES" w:eastAsia="en-GB"/>
              </w:rPr>
              <w:t xml:space="preserve">Total </w:t>
            </w:r>
            <w:r w:rsidR="00DE185F">
              <w:rPr>
                <w:rFonts w:asciiTheme="minorHAnsi" w:eastAsia="Times New Roman" w:hAnsiTheme="minorHAnsi" w:cs="Arial"/>
                <w:b/>
                <w:bCs/>
                <w:noProof/>
                <w:color w:val="1F497D"/>
                <w:sz w:val="20"/>
                <w:szCs w:val="20"/>
                <w:lang w:val="es-ES" w:eastAsia="en-GB"/>
              </w:rPr>
              <w:t>Presupuesto</w:t>
            </w:r>
            <w:r w:rsidR="00DE185F" w:rsidRPr="007D7B87">
              <w:rPr>
                <w:rFonts w:asciiTheme="minorHAnsi" w:eastAsia="Times New Roman" w:hAnsiTheme="minorHAnsi" w:cs="Arial"/>
                <w:b/>
                <w:bCs/>
                <w:noProof/>
                <w:color w:val="1F497D"/>
                <w:sz w:val="20"/>
                <w:szCs w:val="20"/>
                <w:lang w:val="es-ES" w:eastAsia="en-GB"/>
              </w:rPr>
              <w:t xml:space="preserve"> </w:t>
            </w:r>
            <w:r w:rsidRPr="007D7B87">
              <w:rPr>
                <w:rFonts w:asciiTheme="minorHAnsi" w:eastAsia="Times New Roman" w:hAnsiTheme="minorHAnsi" w:cs="Arial"/>
                <w:b/>
                <w:bCs/>
                <w:noProof/>
                <w:color w:val="1F497D"/>
                <w:sz w:val="20"/>
                <w:szCs w:val="20"/>
                <w:lang w:val="es-ES" w:eastAsia="en-GB"/>
              </w:rPr>
              <w:t>2023-2025</w:t>
            </w:r>
          </w:p>
        </w:tc>
      </w:tr>
      <w:tr w:rsidR="005D0A19" w:rsidRPr="00C92E5A" w14:paraId="14FD79D7" w14:textId="77777777" w:rsidTr="00CE17A4">
        <w:tc>
          <w:tcPr>
            <w:tcW w:w="3690" w:type="dxa"/>
            <w:tcBorders>
              <w:top w:val="nil"/>
              <w:left w:val="single" w:sz="4" w:space="0" w:color="auto"/>
              <w:bottom w:val="single" w:sz="4" w:space="0" w:color="auto"/>
              <w:right w:val="single" w:sz="4" w:space="0" w:color="auto"/>
            </w:tcBorders>
            <w:shd w:val="clear" w:color="000000" w:fill="EBF1DE"/>
            <w:noWrap/>
            <w:vAlign w:val="center"/>
          </w:tcPr>
          <w:p w14:paraId="42B0F8CD" w14:textId="6C67482B" w:rsidR="005D0A19" w:rsidRPr="007D7B87" w:rsidRDefault="00DE185F" w:rsidP="00483E42">
            <w:pPr>
              <w:ind w:left="0" w:firstLine="0"/>
              <w:rPr>
                <w:rFonts w:asciiTheme="minorHAnsi" w:eastAsia="Times New Roman" w:hAnsiTheme="minorHAnsi" w:cs="Arial"/>
                <w:b/>
                <w:bCs/>
                <w:noProof/>
                <w:color w:val="1F497D"/>
                <w:sz w:val="20"/>
                <w:szCs w:val="20"/>
                <w:lang w:val="es-ES" w:eastAsia="en-GB"/>
              </w:rPr>
            </w:pPr>
            <w:r>
              <w:rPr>
                <w:rFonts w:asciiTheme="minorHAnsi" w:eastAsia="Times New Roman" w:hAnsiTheme="minorHAnsi" w:cs="Arial"/>
                <w:b/>
                <w:bCs/>
                <w:noProof/>
                <w:color w:val="1F497D"/>
                <w:sz w:val="20"/>
                <w:szCs w:val="20"/>
                <w:lang w:val="es-ES" w:eastAsia="en-GB"/>
              </w:rPr>
              <w:t>en miles de francos suizos</w:t>
            </w:r>
          </w:p>
        </w:tc>
        <w:tc>
          <w:tcPr>
            <w:tcW w:w="1254" w:type="dxa"/>
            <w:tcBorders>
              <w:top w:val="nil"/>
              <w:left w:val="nil"/>
              <w:bottom w:val="single" w:sz="4" w:space="0" w:color="auto"/>
              <w:right w:val="single" w:sz="4" w:space="0" w:color="auto"/>
            </w:tcBorders>
            <w:shd w:val="clear" w:color="000000" w:fill="EBF1DE"/>
          </w:tcPr>
          <w:p w14:paraId="3F49FEE2" w14:textId="77777777" w:rsidR="005D0A19" w:rsidRPr="007D7B87" w:rsidRDefault="005D0A19" w:rsidP="00483E42">
            <w:pPr>
              <w:ind w:left="0" w:firstLine="0"/>
              <w:jc w:val="center"/>
              <w:rPr>
                <w:rFonts w:asciiTheme="minorHAnsi" w:eastAsia="Times New Roman" w:hAnsiTheme="minorHAnsi" w:cs="Arial"/>
                <w:noProof/>
                <w:color w:val="1F497D"/>
                <w:sz w:val="20"/>
                <w:szCs w:val="20"/>
                <w:lang w:val="es-ES" w:eastAsia="en-GB"/>
              </w:rPr>
            </w:pPr>
          </w:p>
        </w:tc>
        <w:tc>
          <w:tcPr>
            <w:tcW w:w="1254" w:type="dxa"/>
            <w:tcBorders>
              <w:top w:val="nil"/>
              <w:left w:val="single" w:sz="4" w:space="0" w:color="auto"/>
              <w:bottom w:val="single" w:sz="4" w:space="0" w:color="auto"/>
              <w:right w:val="single" w:sz="4" w:space="0" w:color="auto"/>
            </w:tcBorders>
            <w:shd w:val="clear" w:color="000000" w:fill="EBF1DE"/>
            <w:vAlign w:val="center"/>
          </w:tcPr>
          <w:p w14:paraId="1A45A49F" w14:textId="3B978805" w:rsidR="005D0A19" w:rsidRPr="007D7B87" w:rsidRDefault="005D0A19" w:rsidP="00483E42">
            <w:pPr>
              <w:ind w:left="0" w:firstLine="0"/>
              <w:jc w:val="center"/>
              <w:rPr>
                <w:rFonts w:asciiTheme="minorHAnsi" w:eastAsia="Times New Roman" w:hAnsiTheme="minorHAnsi" w:cs="Arial"/>
                <w:noProof/>
                <w:color w:val="1F497D"/>
                <w:sz w:val="20"/>
                <w:szCs w:val="20"/>
                <w:lang w:val="es-ES" w:eastAsia="en-GB"/>
              </w:rPr>
            </w:pPr>
            <w:r w:rsidRPr="007D7B87">
              <w:rPr>
                <w:rFonts w:asciiTheme="minorHAnsi" w:eastAsia="Times New Roman" w:hAnsiTheme="minorHAnsi" w:cs="Arial"/>
                <w:noProof/>
                <w:color w:val="1F497D"/>
                <w:sz w:val="20"/>
                <w:szCs w:val="20"/>
                <w:lang w:val="es-ES" w:eastAsia="en-GB"/>
              </w:rPr>
              <w:t> </w:t>
            </w:r>
          </w:p>
        </w:tc>
        <w:tc>
          <w:tcPr>
            <w:tcW w:w="1254" w:type="dxa"/>
            <w:tcBorders>
              <w:top w:val="nil"/>
              <w:left w:val="nil"/>
              <w:bottom w:val="single" w:sz="4" w:space="0" w:color="auto"/>
              <w:right w:val="single" w:sz="4" w:space="0" w:color="auto"/>
            </w:tcBorders>
            <w:shd w:val="clear" w:color="000000" w:fill="EBF1DE"/>
            <w:vAlign w:val="center"/>
          </w:tcPr>
          <w:p w14:paraId="7CC91A8F" w14:textId="77777777" w:rsidR="005D0A19" w:rsidRPr="007D7B87" w:rsidRDefault="005D0A19" w:rsidP="00483E42">
            <w:pPr>
              <w:ind w:left="0" w:firstLine="0"/>
              <w:jc w:val="center"/>
              <w:rPr>
                <w:rFonts w:asciiTheme="minorHAnsi" w:eastAsia="Times New Roman" w:hAnsiTheme="minorHAnsi" w:cs="Arial"/>
                <w:noProof/>
                <w:color w:val="1F497D"/>
                <w:sz w:val="20"/>
                <w:szCs w:val="20"/>
                <w:lang w:val="es-ES" w:eastAsia="en-GB"/>
              </w:rPr>
            </w:pPr>
            <w:r w:rsidRPr="007D7B87">
              <w:rPr>
                <w:rFonts w:asciiTheme="minorHAnsi" w:eastAsia="Times New Roman" w:hAnsiTheme="minorHAnsi" w:cs="Arial"/>
                <w:noProof/>
                <w:color w:val="1F497D"/>
                <w:sz w:val="20"/>
                <w:szCs w:val="20"/>
                <w:lang w:val="es-ES" w:eastAsia="en-GB"/>
              </w:rPr>
              <w:t> </w:t>
            </w:r>
          </w:p>
        </w:tc>
        <w:tc>
          <w:tcPr>
            <w:tcW w:w="1254" w:type="dxa"/>
            <w:tcBorders>
              <w:top w:val="nil"/>
              <w:left w:val="nil"/>
              <w:bottom w:val="single" w:sz="4" w:space="0" w:color="auto"/>
              <w:right w:val="single" w:sz="4" w:space="0" w:color="auto"/>
            </w:tcBorders>
            <w:shd w:val="clear" w:color="000000" w:fill="EBF1DE"/>
            <w:vAlign w:val="center"/>
          </w:tcPr>
          <w:p w14:paraId="4A0CE5FF" w14:textId="77777777" w:rsidR="005D0A19" w:rsidRPr="007D7B87" w:rsidRDefault="005D0A19" w:rsidP="00483E42">
            <w:pPr>
              <w:ind w:left="0" w:firstLine="0"/>
              <w:jc w:val="center"/>
              <w:rPr>
                <w:rFonts w:asciiTheme="minorHAnsi" w:eastAsia="Times New Roman" w:hAnsiTheme="minorHAnsi" w:cs="Arial"/>
                <w:b/>
                <w:bCs/>
                <w:noProof/>
                <w:color w:val="1F497D"/>
                <w:sz w:val="20"/>
                <w:szCs w:val="20"/>
                <w:lang w:val="es-ES" w:eastAsia="en-GB"/>
              </w:rPr>
            </w:pPr>
            <w:r w:rsidRPr="007D7B87">
              <w:rPr>
                <w:rFonts w:asciiTheme="minorHAnsi" w:eastAsia="Times New Roman" w:hAnsiTheme="minorHAnsi" w:cs="Arial"/>
                <w:b/>
                <w:bCs/>
                <w:noProof/>
                <w:color w:val="1F497D"/>
                <w:sz w:val="20"/>
                <w:szCs w:val="20"/>
                <w:lang w:val="es-ES" w:eastAsia="en-GB"/>
              </w:rPr>
              <w:t> </w:t>
            </w:r>
          </w:p>
        </w:tc>
        <w:tc>
          <w:tcPr>
            <w:tcW w:w="1275" w:type="dxa"/>
            <w:tcBorders>
              <w:top w:val="nil"/>
              <w:left w:val="nil"/>
              <w:bottom w:val="single" w:sz="4" w:space="0" w:color="auto"/>
              <w:right w:val="single" w:sz="4" w:space="0" w:color="auto"/>
            </w:tcBorders>
            <w:shd w:val="clear" w:color="000000" w:fill="EBF1DE"/>
            <w:vAlign w:val="center"/>
          </w:tcPr>
          <w:p w14:paraId="6BE03FD3" w14:textId="77777777" w:rsidR="005D0A19" w:rsidRPr="007D7B87" w:rsidRDefault="005D0A19" w:rsidP="00483E42">
            <w:pPr>
              <w:ind w:left="0" w:firstLine="0"/>
              <w:jc w:val="center"/>
              <w:rPr>
                <w:rFonts w:asciiTheme="minorHAnsi" w:eastAsia="Times New Roman" w:hAnsiTheme="minorHAnsi" w:cs="Arial"/>
                <w:b/>
                <w:bCs/>
                <w:noProof/>
                <w:sz w:val="20"/>
                <w:szCs w:val="20"/>
                <w:lang w:val="es-ES" w:eastAsia="en-GB"/>
              </w:rPr>
            </w:pPr>
            <w:r w:rsidRPr="007D7B87">
              <w:rPr>
                <w:rFonts w:asciiTheme="minorHAnsi" w:eastAsia="Times New Roman" w:hAnsiTheme="minorHAnsi" w:cs="Arial"/>
                <w:b/>
                <w:bCs/>
                <w:noProof/>
                <w:sz w:val="20"/>
                <w:szCs w:val="20"/>
                <w:lang w:val="es-ES" w:eastAsia="en-GB"/>
              </w:rPr>
              <w:t> </w:t>
            </w:r>
          </w:p>
        </w:tc>
      </w:tr>
      <w:tr w:rsidR="005D0A19" w:rsidRPr="007D7B87" w14:paraId="3B31561B" w14:textId="77777777" w:rsidTr="00CE17A4">
        <w:tc>
          <w:tcPr>
            <w:tcW w:w="3690" w:type="dxa"/>
            <w:tcBorders>
              <w:top w:val="nil"/>
              <w:left w:val="single" w:sz="4" w:space="0" w:color="auto"/>
              <w:bottom w:val="single" w:sz="4" w:space="0" w:color="auto"/>
              <w:right w:val="single" w:sz="4" w:space="0" w:color="auto"/>
            </w:tcBorders>
            <w:shd w:val="clear" w:color="auto" w:fill="auto"/>
            <w:noWrap/>
            <w:vAlign w:val="center"/>
          </w:tcPr>
          <w:p w14:paraId="0563969E" w14:textId="77777777" w:rsidR="00EF4718" w:rsidRPr="00CE17A4" w:rsidRDefault="00EF4718" w:rsidP="00483E42">
            <w:pPr>
              <w:ind w:left="0" w:firstLine="0"/>
              <w:rPr>
                <w:rFonts w:asciiTheme="minorHAnsi" w:eastAsia="Times New Roman" w:hAnsiTheme="minorHAnsi" w:cstheme="minorHAnsi"/>
                <w:b/>
                <w:bCs/>
                <w:noProof/>
                <w:sz w:val="20"/>
                <w:szCs w:val="20"/>
                <w:lang w:val="es-ES" w:eastAsia="en-GB"/>
              </w:rPr>
            </w:pPr>
          </w:p>
          <w:p w14:paraId="5B37EE11" w14:textId="63F83FC1" w:rsidR="005D0A19" w:rsidRPr="00CE17A4" w:rsidRDefault="00DE185F" w:rsidP="00483E42">
            <w:pPr>
              <w:ind w:left="0" w:firstLine="0"/>
              <w:rPr>
                <w:rFonts w:asciiTheme="minorHAnsi" w:eastAsia="Times New Roman" w:hAnsiTheme="minorHAnsi" w:cstheme="minorHAnsi"/>
                <w:b/>
                <w:bCs/>
                <w:noProof/>
                <w:color w:val="1F497D"/>
                <w:sz w:val="20"/>
                <w:szCs w:val="20"/>
                <w:lang w:val="es-ES" w:eastAsia="en-GB"/>
              </w:rPr>
            </w:pPr>
            <w:r w:rsidRPr="00CE17A4">
              <w:rPr>
                <w:rFonts w:asciiTheme="minorHAnsi" w:eastAsia="Times New Roman" w:hAnsiTheme="minorHAnsi" w:cstheme="minorHAnsi"/>
                <w:b/>
                <w:bCs/>
                <w:noProof/>
                <w:color w:val="1F497D"/>
                <w:sz w:val="20"/>
                <w:szCs w:val="20"/>
                <w:lang w:val="es-ES" w:eastAsia="en-GB"/>
              </w:rPr>
              <w:t>INGRESOS</w:t>
            </w:r>
          </w:p>
        </w:tc>
        <w:tc>
          <w:tcPr>
            <w:tcW w:w="1254" w:type="dxa"/>
            <w:tcBorders>
              <w:top w:val="nil"/>
              <w:left w:val="nil"/>
              <w:bottom w:val="single" w:sz="4" w:space="0" w:color="auto"/>
              <w:right w:val="single" w:sz="4" w:space="0" w:color="auto"/>
            </w:tcBorders>
            <w:vAlign w:val="center"/>
          </w:tcPr>
          <w:p w14:paraId="3E5393D3" w14:textId="77777777" w:rsidR="005D0A19" w:rsidRPr="00CE17A4" w:rsidRDefault="005D0A19" w:rsidP="00CE17A4">
            <w:pPr>
              <w:ind w:left="0" w:firstLine="0"/>
              <w:jc w:val="right"/>
              <w:rPr>
                <w:rFonts w:asciiTheme="minorHAnsi" w:eastAsia="Times New Roman" w:hAnsiTheme="minorHAnsi" w:cstheme="minorHAnsi"/>
                <w:b/>
                <w:bCs/>
                <w:noProof/>
                <w:color w:val="000000"/>
                <w:sz w:val="20"/>
                <w:szCs w:val="20"/>
                <w:lang w:val="es-ES" w:eastAsia="en-GB"/>
              </w:rPr>
            </w:pP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0BB4EE87" w14:textId="14C4007E" w:rsidR="005D0A19" w:rsidRPr="00CE17A4" w:rsidRDefault="005D0A19"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 </w:t>
            </w:r>
          </w:p>
        </w:tc>
        <w:tc>
          <w:tcPr>
            <w:tcW w:w="1254" w:type="dxa"/>
            <w:tcBorders>
              <w:top w:val="nil"/>
              <w:left w:val="nil"/>
              <w:bottom w:val="single" w:sz="4" w:space="0" w:color="auto"/>
              <w:right w:val="single" w:sz="4" w:space="0" w:color="auto"/>
            </w:tcBorders>
            <w:shd w:val="clear" w:color="auto" w:fill="auto"/>
            <w:noWrap/>
            <w:vAlign w:val="center"/>
          </w:tcPr>
          <w:p w14:paraId="372F572F" w14:textId="77777777" w:rsidR="005D0A19" w:rsidRPr="00CE17A4" w:rsidRDefault="005D0A19"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 </w:t>
            </w:r>
          </w:p>
        </w:tc>
        <w:tc>
          <w:tcPr>
            <w:tcW w:w="1254" w:type="dxa"/>
            <w:tcBorders>
              <w:top w:val="nil"/>
              <w:left w:val="nil"/>
              <w:bottom w:val="single" w:sz="4" w:space="0" w:color="auto"/>
              <w:right w:val="single" w:sz="4" w:space="0" w:color="auto"/>
            </w:tcBorders>
            <w:shd w:val="clear" w:color="auto" w:fill="auto"/>
            <w:noWrap/>
            <w:vAlign w:val="center"/>
          </w:tcPr>
          <w:p w14:paraId="2E306B02" w14:textId="77777777" w:rsidR="005D0A19" w:rsidRPr="00CE17A4" w:rsidRDefault="005D0A19"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 </w:t>
            </w:r>
          </w:p>
        </w:tc>
        <w:tc>
          <w:tcPr>
            <w:tcW w:w="1275" w:type="dxa"/>
            <w:tcBorders>
              <w:top w:val="nil"/>
              <w:left w:val="nil"/>
              <w:bottom w:val="single" w:sz="4" w:space="0" w:color="auto"/>
              <w:right w:val="single" w:sz="4" w:space="0" w:color="auto"/>
            </w:tcBorders>
            <w:shd w:val="clear" w:color="auto" w:fill="auto"/>
            <w:noWrap/>
            <w:vAlign w:val="center"/>
          </w:tcPr>
          <w:p w14:paraId="128609C4" w14:textId="77777777" w:rsidR="005D0A19" w:rsidRPr="00CE17A4" w:rsidRDefault="005D0A19"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 </w:t>
            </w:r>
          </w:p>
        </w:tc>
      </w:tr>
      <w:tr w:rsidR="00DE185F" w:rsidRPr="007D7B87" w14:paraId="2B06AD4B" w14:textId="77777777" w:rsidTr="00CE17A4">
        <w:tc>
          <w:tcPr>
            <w:tcW w:w="3690" w:type="dxa"/>
            <w:tcBorders>
              <w:top w:val="nil"/>
              <w:left w:val="single" w:sz="4" w:space="0" w:color="auto"/>
              <w:bottom w:val="single" w:sz="4" w:space="0" w:color="auto"/>
              <w:right w:val="single" w:sz="4" w:space="0" w:color="auto"/>
            </w:tcBorders>
            <w:shd w:val="clear" w:color="auto" w:fill="auto"/>
            <w:noWrap/>
            <w:vAlign w:val="center"/>
          </w:tcPr>
          <w:p w14:paraId="6EC12299" w14:textId="490BB0AB" w:rsidR="00DE185F" w:rsidRPr="00CE17A4" w:rsidRDefault="00DE185F" w:rsidP="00DE185F">
            <w:pPr>
              <w:ind w:left="0" w:firstLine="0"/>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sz w:val="20"/>
                <w:szCs w:val="20"/>
                <w:lang w:val="es-ES" w:eastAsia="en-GB"/>
              </w:rPr>
              <w:t>Contribuciones de las Partes</w:t>
            </w:r>
          </w:p>
        </w:tc>
        <w:tc>
          <w:tcPr>
            <w:tcW w:w="1254" w:type="dxa"/>
            <w:tcBorders>
              <w:top w:val="nil"/>
              <w:left w:val="nil"/>
              <w:bottom w:val="single" w:sz="4" w:space="0" w:color="auto"/>
              <w:right w:val="single" w:sz="4" w:space="0" w:color="auto"/>
            </w:tcBorders>
            <w:vAlign w:val="center"/>
          </w:tcPr>
          <w:p w14:paraId="662B2033" w14:textId="6279A27D" w:rsidR="00DE185F" w:rsidRPr="00CE17A4" w:rsidRDefault="00DE185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3</w:t>
            </w:r>
            <w:r w:rsidR="000339A3" w:rsidRPr="00CE17A4">
              <w:rPr>
                <w:rFonts w:asciiTheme="minorHAnsi" w:eastAsia="Times New Roman" w:hAnsiTheme="minorHAnsi" w:cstheme="minorHAnsi"/>
                <w:noProof/>
                <w:sz w:val="20"/>
                <w:szCs w:val="20"/>
                <w:lang w:val="es-ES" w:eastAsia="en-GB"/>
              </w:rPr>
              <w:t xml:space="preserve"> </w:t>
            </w:r>
            <w:r w:rsidRPr="00CE17A4">
              <w:rPr>
                <w:rFonts w:asciiTheme="minorHAnsi" w:eastAsia="Times New Roman" w:hAnsiTheme="minorHAnsi" w:cstheme="minorHAnsi"/>
                <w:noProof/>
                <w:sz w:val="20"/>
                <w:szCs w:val="20"/>
                <w:lang w:val="es-ES" w:eastAsia="en-GB"/>
              </w:rPr>
              <w:t>779</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02592ACB" w14:textId="21B95C92" w:rsidR="00DE185F" w:rsidRPr="00CE17A4" w:rsidRDefault="00DE185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3</w:t>
            </w:r>
            <w:r w:rsidR="000339A3" w:rsidRPr="00CE17A4">
              <w:rPr>
                <w:rFonts w:asciiTheme="minorHAnsi" w:eastAsia="Times New Roman" w:hAnsiTheme="minorHAnsi" w:cstheme="minorHAnsi"/>
                <w:noProof/>
                <w:sz w:val="20"/>
                <w:szCs w:val="20"/>
                <w:lang w:val="es-ES" w:eastAsia="en-GB"/>
              </w:rPr>
              <w:t xml:space="preserve"> </w:t>
            </w:r>
            <w:r w:rsidRPr="00CE17A4">
              <w:rPr>
                <w:rFonts w:asciiTheme="minorHAnsi" w:eastAsia="Times New Roman" w:hAnsiTheme="minorHAnsi" w:cstheme="minorHAnsi"/>
                <w:noProof/>
                <w:sz w:val="20"/>
                <w:szCs w:val="20"/>
                <w:lang w:val="es-ES" w:eastAsia="en-GB"/>
              </w:rPr>
              <w:t>778</w:t>
            </w:r>
          </w:p>
        </w:tc>
        <w:tc>
          <w:tcPr>
            <w:tcW w:w="1254" w:type="dxa"/>
            <w:tcBorders>
              <w:top w:val="nil"/>
              <w:left w:val="nil"/>
              <w:bottom w:val="single" w:sz="4" w:space="0" w:color="auto"/>
              <w:right w:val="single" w:sz="4" w:space="0" w:color="auto"/>
            </w:tcBorders>
            <w:shd w:val="clear" w:color="auto" w:fill="auto"/>
            <w:noWrap/>
            <w:vAlign w:val="center"/>
          </w:tcPr>
          <w:p w14:paraId="31CB4DBE" w14:textId="1325B6B6" w:rsidR="00DE185F" w:rsidRPr="00CE17A4" w:rsidRDefault="00DE185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3</w:t>
            </w:r>
            <w:r w:rsidR="000339A3" w:rsidRPr="00CE17A4">
              <w:rPr>
                <w:rFonts w:asciiTheme="minorHAnsi" w:eastAsia="Times New Roman" w:hAnsiTheme="minorHAnsi" w:cstheme="minorHAnsi"/>
                <w:noProof/>
                <w:sz w:val="20"/>
                <w:szCs w:val="20"/>
                <w:lang w:val="es-ES" w:eastAsia="en-GB"/>
              </w:rPr>
              <w:t xml:space="preserve"> </w:t>
            </w:r>
            <w:r w:rsidRPr="00CE17A4">
              <w:rPr>
                <w:rFonts w:asciiTheme="minorHAnsi" w:eastAsia="Times New Roman" w:hAnsiTheme="minorHAnsi" w:cstheme="minorHAnsi"/>
                <w:noProof/>
                <w:sz w:val="20"/>
                <w:szCs w:val="20"/>
                <w:lang w:val="es-ES" w:eastAsia="en-GB"/>
              </w:rPr>
              <w:t>778</w:t>
            </w:r>
          </w:p>
        </w:tc>
        <w:tc>
          <w:tcPr>
            <w:tcW w:w="1254" w:type="dxa"/>
            <w:tcBorders>
              <w:top w:val="nil"/>
              <w:left w:val="nil"/>
              <w:bottom w:val="single" w:sz="4" w:space="0" w:color="auto"/>
              <w:right w:val="single" w:sz="4" w:space="0" w:color="auto"/>
            </w:tcBorders>
            <w:shd w:val="clear" w:color="auto" w:fill="auto"/>
            <w:noWrap/>
            <w:vAlign w:val="center"/>
          </w:tcPr>
          <w:p w14:paraId="5F723B01" w14:textId="1181F4EE" w:rsidR="00DE185F" w:rsidRPr="00CE17A4" w:rsidRDefault="00DE185F"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3</w:t>
            </w:r>
            <w:r w:rsidR="000339A3" w:rsidRPr="00CE17A4">
              <w:rPr>
                <w:rFonts w:asciiTheme="minorHAnsi" w:eastAsia="Times New Roman" w:hAnsiTheme="minorHAnsi" w:cstheme="minorHAnsi"/>
                <w:noProof/>
                <w:color w:val="000000"/>
                <w:sz w:val="20"/>
                <w:szCs w:val="20"/>
                <w:lang w:val="es-ES" w:eastAsia="en-GB"/>
              </w:rPr>
              <w:t xml:space="preserve"> </w:t>
            </w:r>
            <w:r w:rsidRPr="00CE17A4">
              <w:rPr>
                <w:rFonts w:asciiTheme="minorHAnsi" w:eastAsia="Times New Roman" w:hAnsiTheme="minorHAnsi" w:cstheme="minorHAnsi"/>
                <w:noProof/>
                <w:color w:val="000000"/>
                <w:sz w:val="20"/>
                <w:szCs w:val="20"/>
                <w:lang w:val="es-ES" w:eastAsia="en-GB"/>
              </w:rPr>
              <w:t>778</w:t>
            </w:r>
          </w:p>
        </w:tc>
        <w:tc>
          <w:tcPr>
            <w:tcW w:w="1275" w:type="dxa"/>
            <w:tcBorders>
              <w:top w:val="nil"/>
              <w:left w:val="nil"/>
              <w:bottom w:val="single" w:sz="4" w:space="0" w:color="auto"/>
              <w:right w:val="single" w:sz="4" w:space="0" w:color="auto"/>
            </w:tcBorders>
            <w:shd w:val="clear" w:color="auto" w:fill="auto"/>
            <w:noWrap/>
            <w:vAlign w:val="center"/>
          </w:tcPr>
          <w:p w14:paraId="3C4E830F" w14:textId="64DCEFF2" w:rsidR="00DE185F" w:rsidRPr="00CE17A4" w:rsidRDefault="00DE185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11</w:t>
            </w:r>
            <w:r w:rsidR="000339A3" w:rsidRPr="00CE17A4">
              <w:rPr>
                <w:rFonts w:asciiTheme="minorHAnsi" w:eastAsia="Times New Roman" w:hAnsiTheme="minorHAnsi" w:cstheme="minorHAnsi"/>
                <w:noProof/>
                <w:sz w:val="20"/>
                <w:szCs w:val="20"/>
                <w:lang w:val="es-ES" w:eastAsia="en-GB"/>
              </w:rPr>
              <w:t xml:space="preserve"> </w:t>
            </w:r>
            <w:r w:rsidRPr="00CE17A4">
              <w:rPr>
                <w:rFonts w:asciiTheme="minorHAnsi" w:eastAsia="Times New Roman" w:hAnsiTheme="minorHAnsi" w:cstheme="minorHAnsi"/>
                <w:noProof/>
                <w:sz w:val="20"/>
                <w:szCs w:val="20"/>
                <w:lang w:val="es-ES" w:eastAsia="en-GB"/>
              </w:rPr>
              <w:t>334</w:t>
            </w:r>
          </w:p>
        </w:tc>
      </w:tr>
      <w:tr w:rsidR="00DE185F" w:rsidRPr="007D7B87" w14:paraId="21EA594C" w14:textId="77777777" w:rsidTr="00CE17A4">
        <w:tc>
          <w:tcPr>
            <w:tcW w:w="3690" w:type="dxa"/>
            <w:tcBorders>
              <w:top w:val="nil"/>
              <w:left w:val="single" w:sz="4" w:space="0" w:color="auto"/>
              <w:bottom w:val="single" w:sz="4" w:space="0" w:color="auto"/>
              <w:right w:val="single" w:sz="4" w:space="0" w:color="auto"/>
            </w:tcBorders>
            <w:shd w:val="clear" w:color="auto" w:fill="auto"/>
            <w:noWrap/>
            <w:vAlign w:val="center"/>
          </w:tcPr>
          <w:p w14:paraId="3A32DDBA" w14:textId="6A3161E2" w:rsidR="00DE185F" w:rsidRPr="00CE17A4" w:rsidRDefault="00DE185F" w:rsidP="00DE185F">
            <w:pPr>
              <w:ind w:left="0" w:firstLine="0"/>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sz w:val="20"/>
                <w:szCs w:val="20"/>
                <w:lang w:val="es-ES" w:eastAsia="en-GB"/>
              </w:rPr>
              <w:t>Contribuciones voluntarias</w:t>
            </w:r>
          </w:p>
        </w:tc>
        <w:tc>
          <w:tcPr>
            <w:tcW w:w="1254" w:type="dxa"/>
            <w:tcBorders>
              <w:top w:val="nil"/>
              <w:left w:val="nil"/>
              <w:bottom w:val="single" w:sz="4" w:space="0" w:color="auto"/>
              <w:right w:val="single" w:sz="4" w:space="0" w:color="auto"/>
            </w:tcBorders>
            <w:vAlign w:val="center"/>
          </w:tcPr>
          <w:p w14:paraId="6DADEBEF" w14:textId="67565578" w:rsidR="00DE185F" w:rsidRPr="00CE17A4" w:rsidRDefault="00DE185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w:t>
            </w:r>
            <w:r w:rsidR="000339A3" w:rsidRPr="00CE17A4">
              <w:rPr>
                <w:rFonts w:asciiTheme="minorHAnsi" w:eastAsia="Times New Roman" w:hAnsiTheme="minorHAnsi" w:cstheme="minorHAnsi"/>
                <w:noProof/>
                <w:sz w:val="20"/>
                <w:szCs w:val="20"/>
                <w:lang w:val="es-ES" w:eastAsia="en-GB"/>
              </w:rPr>
              <w:t xml:space="preserve"> </w:t>
            </w:r>
            <w:r w:rsidRPr="00CE17A4">
              <w:rPr>
                <w:rFonts w:asciiTheme="minorHAnsi" w:eastAsia="Times New Roman" w:hAnsiTheme="minorHAnsi" w:cstheme="minorHAnsi"/>
                <w:noProof/>
                <w:sz w:val="20"/>
                <w:szCs w:val="20"/>
                <w:lang w:val="es-ES" w:eastAsia="en-GB"/>
              </w:rPr>
              <w:t>065</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4C710D59" w14:textId="58079D7D" w:rsidR="00DE185F" w:rsidRPr="00CE17A4" w:rsidRDefault="00DE185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w:t>
            </w:r>
            <w:r w:rsidR="000339A3" w:rsidRPr="00CE17A4">
              <w:rPr>
                <w:rFonts w:asciiTheme="minorHAnsi" w:eastAsia="Times New Roman" w:hAnsiTheme="minorHAnsi" w:cstheme="minorHAnsi"/>
                <w:noProof/>
                <w:sz w:val="20"/>
                <w:szCs w:val="20"/>
                <w:lang w:val="es-ES" w:eastAsia="en-GB"/>
              </w:rPr>
              <w:t xml:space="preserve"> </w:t>
            </w:r>
            <w:r w:rsidRPr="00CE17A4">
              <w:rPr>
                <w:rFonts w:asciiTheme="minorHAnsi" w:eastAsia="Times New Roman" w:hAnsiTheme="minorHAnsi" w:cstheme="minorHAnsi"/>
                <w:noProof/>
                <w:sz w:val="20"/>
                <w:szCs w:val="20"/>
                <w:lang w:val="es-ES" w:eastAsia="en-GB"/>
              </w:rPr>
              <w:t>066</w:t>
            </w:r>
          </w:p>
        </w:tc>
        <w:tc>
          <w:tcPr>
            <w:tcW w:w="1254" w:type="dxa"/>
            <w:tcBorders>
              <w:top w:val="nil"/>
              <w:left w:val="nil"/>
              <w:bottom w:val="single" w:sz="4" w:space="0" w:color="auto"/>
              <w:right w:val="single" w:sz="4" w:space="0" w:color="auto"/>
            </w:tcBorders>
            <w:shd w:val="clear" w:color="auto" w:fill="auto"/>
            <w:noWrap/>
            <w:vAlign w:val="center"/>
          </w:tcPr>
          <w:p w14:paraId="2819F4F0" w14:textId="07B8B618" w:rsidR="00DE185F" w:rsidRPr="00CE17A4" w:rsidRDefault="00DE185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w:t>
            </w:r>
            <w:r w:rsidR="000339A3" w:rsidRPr="00CE17A4">
              <w:rPr>
                <w:rFonts w:asciiTheme="minorHAnsi" w:eastAsia="Times New Roman" w:hAnsiTheme="minorHAnsi" w:cstheme="minorHAnsi"/>
                <w:noProof/>
                <w:sz w:val="20"/>
                <w:szCs w:val="20"/>
                <w:lang w:val="es-ES" w:eastAsia="en-GB"/>
              </w:rPr>
              <w:t xml:space="preserve"> </w:t>
            </w:r>
            <w:r w:rsidRPr="00CE17A4">
              <w:rPr>
                <w:rFonts w:asciiTheme="minorHAnsi" w:eastAsia="Times New Roman" w:hAnsiTheme="minorHAnsi" w:cstheme="minorHAnsi"/>
                <w:noProof/>
                <w:sz w:val="20"/>
                <w:szCs w:val="20"/>
                <w:lang w:val="es-ES" w:eastAsia="en-GB"/>
              </w:rPr>
              <w:t>066</w:t>
            </w:r>
          </w:p>
        </w:tc>
        <w:tc>
          <w:tcPr>
            <w:tcW w:w="1254" w:type="dxa"/>
            <w:tcBorders>
              <w:top w:val="nil"/>
              <w:left w:val="nil"/>
              <w:bottom w:val="single" w:sz="4" w:space="0" w:color="auto"/>
              <w:right w:val="single" w:sz="4" w:space="0" w:color="auto"/>
            </w:tcBorders>
            <w:shd w:val="clear" w:color="auto" w:fill="auto"/>
            <w:noWrap/>
            <w:vAlign w:val="center"/>
          </w:tcPr>
          <w:p w14:paraId="06D65A5B" w14:textId="15C379C9" w:rsidR="00DE185F" w:rsidRPr="00CE17A4" w:rsidRDefault="00DE185F"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1</w:t>
            </w:r>
            <w:r w:rsidR="000339A3" w:rsidRPr="00CE17A4">
              <w:rPr>
                <w:rFonts w:asciiTheme="minorHAnsi" w:eastAsia="Times New Roman" w:hAnsiTheme="minorHAnsi" w:cstheme="minorHAnsi"/>
                <w:noProof/>
                <w:color w:val="000000"/>
                <w:sz w:val="20"/>
                <w:szCs w:val="20"/>
                <w:lang w:val="es-ES" w:eastAsia="en-GB"/>
              </w:rPr>
              <w:t xml:space="preserve"> </w:t>
            </w:r>
            <w:r w:rsidRPr="00CE17A4">
              <w:rPr>
                <w:rFonts w:asciiTheme="minorHAnsi" w:eastAsia="Times New Roman" w:hAnsiTheme="minorHAnsi" w:cstheme="minorHAnsi"/>
                <w:noProof/>
                <w:color w:val="000000"/>
                <w:sz w:val="20"/>
                <w:szCs w:val="20"/>
                <w:lang w:val="es-ES" w:eastAsia="en-GB"/>
              </w:rPr>
              <w:t>066</w:t>
            </w:r>
          </w:p>
        </w:tc>
        <w:tc>
          <w:tcPr>
            <w:tcW w:w="1275" w:type="dxa"/>
            <w:tcBorders>
              <w:top w:val="nil"/>
              <w:left w:val="nil"/>
              <w:bottom w:val="single" w:sz="4" w:space="0" w:color="auto"/>
              <w:right w:val="single" w:sz="4" w:space="0" w:color="auto"/>
            </w:tcBorders>
            <w:shd w:val="clear" w:color="auto" w:fill="auto"/>
            <w:noWrap/>
            <w:vAlign w:val="center"/>
          </w:tcPr>
          <w:p w14:paraId="68550D41" w14:textId="02B4A44C" w:rsidR="00DE185F" w:rsidRPr="00CE17A4" w:rsidRDefault="00DE185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3</w:t>
            </w:r>
            <w:r w:rsidR="000339A3" w:rsidRPr="00CE17A4">
              <w:rPr>
                <w:rFonts w:asciiTheme="minorHAnsi" w:eastAsia="Times New Roman" w:hAnsiTheme="minorHAnsi" w:cstheme="minorHAnsi"/>
                <w:noProof/>
                <w:sz w:val="20"/>
                <w:szCs w:val="20"/>
                <w:lang w:val="es-ES" w:eastAsia="en-GB"/>
              </w:rPr>
              <w:t xml:space="preserve"> </w:t>
            </w:r>
            <w:r w:rsidRPr="00CE17A4">
              <w:rPr>
                <w:rFonts w:asciiTheme="minorHAnsi" w:eastAsia="Times New Roman" w:hAnsiTheme="minorHAnsi" w:cstheme="minorHAnsi"/>
                <w:noProof/>
                <w:sz w:val="20"/>
                <w:szCs w:val="20"/>
                <w:lang w:val="es-ES" w:eastAsia="en-GB"/>
              </w:rPr>
              <w:t>198</w:t>
            </w:r>
          </w:p>
        </w:tc>
      </w:tr>
      <w:tr w:rsidR="00DE185F" w:rsidRPr="007D7B87" w14:paraId="54E7B5CC" w14:textId="77777777" w:rsidTr="00CE17A4">
        <w:tc>
          <w:tcPr>
            <w:tcW w:w="3690" w:type="dxa"/>
            <w:tcBorders>
              <w:top w:val="nil"/>
              <w:left w:val="single" w:sz="4" w:space="0" w:color="auto"/>
              <w:bottom w:val="single" w:sz="4" w:space="0" w:color="auto"/>
              <w:right w:val="single" w:sz="4" w:space="0" w:color="auto"/>
            </w:tcBorders>
            <w:shd w:val="clear" w:color="auto" w:fill="auto"/>
            <w:noWrap/>
            <w:vAlign w:val="center"/>
          </w:tcPr>
          <w:p w14:paraId="3670748E" w14:textId="68242C73" w:rsidR="00DE185F" w:rsidRPr="00CE17A4" w:rsidRDefault="00DE185F" w:rsidP="00DE185F">
            <w:pPr>
              <w:ind w:left="0" w:firstLine="0"/>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sz w:val="20"/>
                <w:szCs w:val="20"/>
                <w:lang w:val="es-ES" w:eastAsia="en-GB"/>
              </w:rPr>
              <w:t>Impuesto sobre la renta</w:t>
            </w:r>
          </w:p>
        </w:tc>
        <w:tc>
          <w:tcPr>
            <w:tcW w:w="1254" w:type="dxa"/>
            <w:tcBorders>
              <w:top w:val="nil"/>
              <w:left w:val="nil"/>
              <w:bottom w:val="single" w:sz="4" w:space="0" w:color="auto"/>
              <w:right w:val="single" w:sz="4" w:space="0" w:color="auto"/>
            </w:tcBorders>
            <w:vAlign w:val="center"/>
          </w:tcPr>
          <w:p w14:paraId="12F658A4" w14:textId="5423F685" w:rsidR="00DE185F" w:rsidRPr="00CE17A4" w:rsidRDefault="00DE185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225</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13342B0E" w14:textId="44412A08" w:rsidR="00DE185F" w:rsidRPr="00CE17A4" w:rsidRDefault="00DE185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225</w:t>
            </w:r>
          </w:p>
        </w:tc>
        <w:tc>
          <w:tcPr>
            <w:tcW w:w="1254" w:type="dxa"/>
            <w:tcBorders>
              <w:top w:val="nil"/>
              <w:left w:val="nil"/>
              <w:bottom w:val="single" w:sz="4" w:space="0" w:color="auto"/>
              <w:right w:val="single" w:sz="4" w:space="0" w:color="auto"/>
            </w:tcBorders>
            <w:shd w:val="clear" w:color="auto" w:fill="auto"/>
            <w:noWrap/>
            <w:vAlign w:val="center"/>
          </w:tcPr>
          <w:p w14:paraId="536465CB" w14:textId="77777777" w:rsidR="00DE185F" w:rsidRPr="00CE17A4" w:rsidRDefault="00DE185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225</w:t>
            </w:r>
          </w:p>
        </w:tc>
        <w:tc>
          <w:tcPr>
            <w:tcW w:w="1254" w:type="dxa"/>
            <w:tcBorders>
              <w:top w:val="nil"/>
              <w:left w:val="nil"/>
              <w:bottom w:val="single" w:sz="4" w:space="0" w:color="auto"/>
              <w:right w:val="single" w:sz="4" w:space="0" w:color="auto"/>
            </w:tcBorders>
            <w:shd w:val="clear" w:color="auto" w:fill="auto"/>
            <w:noWrap/>
            <w:vAlign w:val="center"/>
          </w:tcPr>
          <w:p w14:paraId="4DA1EEF1" w14:textId="77777777" w:rsidR="00DE185F" w:rsidRPr="00CE17A4" w:rsidRDefault="00DE185F"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225</w:t>
            </w:r>
          </w:p>
        </w:tc>
        <w:tc>
          <w:tcPr>
            <w:tcW w:w="1275" w:type="dxa"/>
            <w:tcBorders>
              <w:top w:val="nil"/>
              <w:left w:val="nil"/>
              <w:bottom w:val="single" w:sz="4" w:space="0" w:color="auto"/>
              <w:right w:val="single" w:sz="4" w:space="0" w:color="auto"/>
            </w:tcBorders>
            <w:shd w:val="clear" w:color="auto" w:fill="auto"/>
            <w:noWrap/>
            <w:vAlign w:val="center"/>
          </w:tcPr>
          <w:p w14:paraId="5858775B" w14:textId="77777777" w:rsidR="00DE185F" w:rsidRPr="00CE17A4" w:rsidRDefault="00DE185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675</w:t>
            </w:r>
          </w:p>
        </w:tc>
      </w:tr>
      <w:tr w:rsidR="00DE185F" w:rsidRPr="007D7B87" w14:paraId="1817D989" w14:textId="77777777" w:rsidTr="00CE17A4">
        <w:tc>
          <w:tcPr>
            <w:tcW w:w="3690" w:type="dxa"/>
            <w:tcBorders>
              <w:top w:val="nil"/>
              <w:left w:val="single" w:sz="4" w:space="0" w:color="auto"/>
              <w:bottom w:val="nil"/>
              <w:right w:val="single" w:sz="4" w:space="0" w:color="auto"/>
            </w:tcBorders>
            <w:shd w:val="clear" w:color="auto" w:fill="auto"/>
            <w:noWrap/>
            <w:vAlign w:val="center"/>
          </w:tcPr>
          <w:p w14:paraId="583647D9" w14:textId="487ACAC6" w:rsidR="00DE185F" w:rsidRPr="00CE17A4" w:rsidRDefault="00DE185F" w:rsidP="00DE185F">
            <w:pPr>
              <w:ind w:left="0" w:firstLine="0"/>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sz w:val="20"/>
                <w:szCs w:val="20"/>
                <w:lang w:val="es-ES" w:eastAsia="en-GB"/>
              </w:rPr>
              <w:t>Ingresos por intereses</w:t>
            </w:r>
          </w:p>
        </w:tc>
        <w:tc>
          <w:tcPr>
            <w:tcW w:w="1254" w:type="dxa"/>
            <w:tcBorders>
              <w:top w:val="nil"/>
              <w:left w:val="nil"/>
              <w:bottom w:val="single" w:sz="4" w:space="0" w:color="auto"/>
              <w:right w:val="single" w:sz="4" w:space="0" w:color="auto"/>
            </w:tcBorders>
            <w:vAlign w:val="center"/>
          </w:tcPr>
          <w:p w14:paraId="692AFD67" w14:textId="7D42FEA5" w:rsidR="00DE185F" w:rsidRPr="00CE17A4" w:rsidRDefault="00DE185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12</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356F2986" w14:textId="0FB335FE" w:rsidR="00DE185F" w:rsidRPr="00CE17A4" w:rsidRDefault="00DE185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12</w:t>
            </w:r>
          </w:p>
        </w:tc>
        <w:tc>
          <w:tcPr>
            <w:tcW w:w="1254" w:type="dxa"/>
            <w:tcBorders>
              <w:top w:val="nil"/>
              <w:left w:val="nil"/>
              <w:bottom w:val="single" w:sz="4" w:space="0" w:color="auto"/>
              <w:right w:val="single" w:sz="4" w:space="0" w:color="auto"/>
            </w:tcBorders>
            <w:shd w:val="clear" w:color="auto" w:fill="auto"/>
            <w:noWrap/>
            <w:vAlign w:val="center"/>
          </w:tcPr>
          <w:p w14:paraId="0498BD6B" w14:textId="77777777" w:rsidR="00DE185F" w:rsidRPr="00CE17A4" w:rsidRDefault="00DE185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12</w:t>
            </w:r>
          </w:p>
        </w:tc>
        <w:tc>
          <w:tcPr>
            <w:tcW w:w="1254" w:type="dxa"/>
            <w:tcBorders>
              <w:top w:val="nil"/>
              <w:left w:val="nil"/>
              <w:bottom w:val="single" w:sz="4" w:space="0" w:color="auto"/>
              <w:right w:val="single" w:sz="4" w:space="0" w:color="auto"/>
            </w:tcBorders>
            <w:shd w:val="clear" w:color="auto" w:fill="auto"/>
            <w:noWrap/>
            <w:vAlign w:val="center"/>
          </w:tcPr>
          <w:p w14:paraId="72A76D23" w14:textId="77777777" w:rsidR="00DE185F" w:rsidRPr="00CE17A4" w:rsidRDefault="00DE185F"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12</w:t>
            </w:r>
          </w:p>
        </w:tc>
        <w:tc>
          <w:tcPr>
            <w:tcW w:w="1275" w:type="dxa"/>
            <w:tcBorders>
              <w:top w:val="nil"/>
              <w:left w:val="nil"/>
              <w:bottom w:val="single" w:sz="4" w:space="0" w:color="auto"/>
              <w:right w:val="single" w:sz="4" w:space="0" w:color="auto"/>
            </w:tcBorders>
            <w:shd w:val="clear" w:color="auto" w:fill="auto"/>
            <w:noWrap/>
            <w:vAlign w:val="center"/>
          </w:tcPr>
          <w:p w14:paraId="1C12CB8E" w14:textId="77777777" w:rsidR="00DE185F" w:rsidRPr="00CE17A4" w:rsidRDefault="00DE185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36</w:t>
            </w:r>
          </w:p>
        </w:tc>
      </w:tr>
      <w:tr w:rsidR="00DE185F" w:rsidRPr="007D7B87" w14:paraId="25AC74AF" w14:textId="77777777" w:rsidTr="00CE17A4">
        <w:tc>
          <w:tcPr>
            <w:tcW w:w="3690"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6601132A" w14:textId="36761D46" w:rsidR="00DE185F" w:rsidRPr="00CE17A4" w:rsidRDefault="00DE185F" w:rsidP="00DE185F">
            <w:pPr>
              <w:ind w:left="0" w:firstLine="0"/>
              <w:rPr>
                <w:rFonts w:asciiTheme="minorHAnsi" w:eastAsia="Times New Roman" w:hAnsiTheme="minorHAnsi" w:cstheme="minorHAnsi"/>
                <w:b/>
                <w:bCs/>
                <w:noProof/>
                <w:color w:val="1F497D"/>
                <w:sz w:val="20"/>
                <w:szCs w:val="20"/>
                <w:lang w:val="es-ES" w:eastAsia="en-GB"/>
              </w:rPr>
            </w:pPr>
            <w:r w:rsidRPr="00CE17A4">
              <w:rPr>
                <w:rFonts w:asciiTheme="minorHAnsi" w:eastAsia="Times New Roman" w:hAnsiTheme="minorHAnsi" w:cstheme="minorHAnsi"/>
                <w:b/>
                <w:bCs/>
                <w:noProof/>
                <w:color w:val="1F497D"/>
                <w:sz w:val="20"/>
                <w:szCs w:val="20"/>
                <w:lang w:val="es-ES" w:eastAsia="en-GB"/>
              </w:rPr>
              <w:t xml:space="preserve">TOTAL </w:t>
            </w:r>
            <w:r w:rsidR="005D5282" w:rsidRPr="00CE17A4">
              <w:rPr>
                <w:rFonts w:asciiTheme="minorHAnsi" w:eastAsia="Times New Roman" w:hAnsiTheme="minorHAnsi" w:cstheme="minorHAnsi"/>
                <w:b/>
                <w:bCs/>
                <w:noProof/>
                <w:color w:val="1F497D"/>
                <w:sz w:val="20"/>
                <w:szCs w:val="20"/>
                <w:lang w:val="es-ES" w:eastAsia="en-GB"/>
              </w:rPr>
              <w:t>DE INGRESOS</w:t>
            </w:r>
          </w:p>
        </w:tc>
        <w:tc>
          <w:tcPr>
            <w:tcW w:w="1254" w:type="dxa"/>
            <w:tcBorders>
              <w:top w:val="single" w:sz="4" w:space="0" w:color="auto"/>
              <w:left w:val="nil"/>
              <w:bottom w:val="single" w:sz="4" w:space="0" w:color="auto"/>
              <w:right w:val="single" w:sz="4" w:space="0" w:color="auto"/>
            </w:tcBorders>
            <w:shd w:val="clear" w:color="000000" w:fill="C4D79B"/>
            <w:vAlign w:val="center"/>
          </w:tcPr>
          <w:p w14:paraId="3F687E57" w14:textId="5C9999E5" w:rsidR="00DE185F" w:rsidRPr="00CE17A4" w:rsidRDefault="00DE185F"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5</w:t>
            </w:r>
            <w:r w:rsidR="000339A3" w:rsidRPr="00CE17A4">
              <w:rPr>
                <w:rFonts w:asciiTheme="minorHAnsi" w:eastAsia="Times New Roman" w:hAnsiTheme="minorHAnsi" w:cstheme="minorHAnsi"/>
                <w:b/>
                <w:bCs/>
                <w:noProof/>
                <w:color w:val="000000"/>
                <w:sz w:val="20"/>
                <w:szCs w:val="20"/>
                <w:lang w:val="es-ES" w:eastAsia="en-GB"/>
              </w:rPr>
              <w:t xml:space="preserve"> </w:t>
            </w:r>
            <w:r w:rsidRPr="00CE17A4">
              <w:rPr>
                <w:rFonts w:asciiTheme="minorHAnsi" w:eastAsia="Times New Roman" w:hAnsiTheme="minorHAnsi" w:cstheme="minorHAnsi"/>
                <w:b/>
                <w:bCs/>
                <w:noProof/>
                <w:color w:val="000000"/>
                <w:sz w:val="20"/>
                <w:szCs w:val="20"/>
                <w:lang w:val="es-ES" w:eastAsia="en-GB"/>
              </w:rPr>
              <w:t>081</w:t>
            </w:r>
          </w:p>
        </w:tc>
        <w:tc>
          <w:tcPr>
            <w:tcW w:w="1254"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52492D84" w14:textId="3C5A6D81" w:rsidR="00DE185F" w:rsidRPr="00CE17A4" w:rsidRDefault="00DE185F"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5</w:t>
            </w:r>
            <w:r w:rsidR="000339A3" w:rsidRPr="00CE17A4">
              <w:rPr>
                <w:rFonts w:asciiTheme="minorHAnsi" w:eastAsia="Times New Roman" w:hAnsiTheme="minorHAnsi" w:cstheme="minorHAnsi"/>
                <w:b/>
                <w:bCs/>
                <w:noProof/>
                <w:color w:val="000000"/>
                <w:sz w:val="20"/>
                <w:szCs w:val="20"/>
                <w:lang w:val="es-ES" w:eastAsia="en-GB"/>
              </w:rPr>
              <w:t xml:space="preserve"> </w:t>
            </w:r>
            <w:r w:rsidRPr="00CE17A4">
              <w:rPr>
                <w:rFonts w:asciiTheme="minorHAnsi" w:eastAsia="Times New Roman" w:hAnsiTheme="minorHAnsi" w:cstheme="minorHAnsi"/>
                <w:b/>
                <w:bCs/>
                <w:noProof/>
                <w:color w:val="000000"/>
                <w:sz w:val="20"/>
                <w:szCs w:val="20"/>
                <w:lang w:val="es-ES" w:eastAsia="en-GB"/>
              </w:rPr>
              <w:t>081</w:t>
            </w:r>
          </w:p>
        </w:tc>
        <w:tc>
          <w:tcPr>
            <w:tcW w:w="1254" w:type="dxa"/>
            <w:tcBorders>
              <w:top w:val="single" w:sz="4" w:space="0" w:color="auto"/>
              <w:left w:val="nil"/>
              <w:bottom w:val="single" w:sz="4" w:space="0" w:color="auto"/>
              <w:right w:val="single" w:sz="4" w:space="0" w:color="auto"/>
            </w:tcBorders>
            <w:shd w:val="clear" w:color="000000" w:fill="C4D79B"/>
            <w:noWrap/>
            <w:vAlign w:val="center"/>
          </w:tcPr>
          <w:p w14:paraId="5C63F313" w14:textId="31B29DC4" w:rsidR="00DE185F" w:rsidRPr="00CE17A4" w:rsidRDefault="00DE185F"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5</w:t>
            </w:r>
            <w:r w:rsidR="000339A3" w:rsidRPr="00CE17A4">
              <w:rPr>
                <w:rFonts w:asciiTheme="minorHAnsi" w:eastAsia="Times New Roman" w:hAnsiTheme="minorHAnsi" w:cstheme="minorHAnsi"/>
                <w:b/>
                <w:bCs/>
                <w:noProof/>
                <w:color w:val="000000"/>
                <w:sz w:val="20"/>
                <w:szCs w:val="20"/>
                <w:lang w:val="es-ES" w:eastAsia="en-GB"/>
              </w:rPr>
              <w:t xml:space="preserve"> </w:t>
            </w:r>
            <w:r w:rsidRPr="00CE17A4">
              <w:rPr>
                <w:rFonts w:asciiTheme="minorHAnsi" w:eastAsia="Times New Roman" w:hAnsiTheme="minorHAnsi" w:cstheme="minorHAnsi"/>
                <w:b/>
                <w:bCs/>
                <w:noProof/>
                <w:color w:val="000000"/>
                <w:sz w:val="20"/>
                <w:szCs w:val="20"/>
                <w:lang w:val="es-ES" w:eastAsia="en-GB"/>
              </w:rPr>
              <w:t>081</w:t>
            </w:r>
          </w:p>
        </w:tc>
        <w:tc>
          <w:tcPr>
            <w:tcW w:w="1254" w:type="dxa"/>
            <w:tcBorders>
              <w:top w:val="single" w:sz="4" w:space="0" w:color="auto"/>
              <w:left w:val="nil"/>
              <w:bottom w:val="single" w:sz="4" w:space="0" w:color="auto"/>
              <w:right w:val="single" w:sz="4" w:space="0" w:color="auto"/>
            </w:tcBorders>
            <w:shd w:val="clear" w:color="000000" w:fill="C4D79B"/>
            <w:noWrap/>
            <w:vAlign w:val="center"/>
          </w:tcPr>
          <w:p w14:paraId="0170FCBE" w14:textId="43D373BD" w:rsidR="00DE185F" w:rsidRPr="00CE17A4" w:rsidRDefault="00DE185F"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5</w:t>
            </w:r>
            <w:r w:rsidR="000339A3" w:rsidRPr="00CE17A4">
              <w:rPr>
                <w:rFonts w:asciiTheme="minorHAnsi" w:eastAsia="Times New Roman" w:hAnsiTheme="minorHAnsi" w:cstheme="minorHAnsi"/>
                <w:b/>
                <w:bCs/>
                <w:noProof/>
                <w:color w:val="000000"/>
                <w:sz w:val="20"/>
                <w:szCs w:val="20"/>
                <w:lang w:val="es-ES" w:eastAsia="en-GB"/>
              </w:rPr>
              <w:t xml:space="preserve"> </w:t>
            </w:r>
            <w:r w:rsidRPr="00CE17A4">
              <w:rPr>
                <w:rFonts w:asciiTheme="minorHAnsi" w:eastAsia="Times New Roman" w:hAnsiTheme="minorHAnsi" w:cstheme="minorHAnsi"/>
                <w:b/>
                <w:bCs/>
                <w:noProof/>
                <w:color w:val="000000"/>
                <w:sz w:val="20"/>
                <w:szCs w:val="20"/>
                <w:lang w:val="es-ES" w:eastAsia="en-GB"/>
              </w:rPr>
              <w:t>081</w:t>
            </w:r>
          </w:p>
        </w:tc>
        <w:tc>
          <w:tcPr>
            <w:tcW w:w="1275" w:type="dxa"/>
            <w:tcBorders>
              <w:top w:val="single" w:sz="4" w:space="0" w:color="auto"/>
              <w:left w:val="nil"/>
              <w:bottom w:val="single" w:sz="4" w:space="0" w:color="auto"/>
              <w:right w:val="single" w:sz="4" w:space="0" w:color="auto"/>
            </w:tcBorders>
            <w:shd w:val="clear" w:color="000000" w:fill="C4D79B"/>
            <w:noWrap/>
            <w:vAlign w:val="center"/>
          </w:tcPr>
          <w:p w14:paraId="669CBA85" w14:textId="3DDA1A92" w:rsidR="00DE185F" w:rsidRPr="00CE17A4" w:rsidRDefault="00DE185F"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15</w:t>
            </w:r>
            <w:r w:rsidR="000339A3" w:rsidRPr="00CE17A4">
              <w:rPr>
                <w:rFonts w:asciiTheme="minorHAnsi" w:eastAsia="Times New Roman" w:hAnsiTheme="minorHAnsi" w:cstheme="minorHAnsi"/>
                <w:b/>
                <w:bCs/>
                <w:noProof/>
                <w:color w:val="000000"/>
                <w:sz w:val="20"/>
                <w:szCs w:val="20"/>
                <w:lang w:val="es-ES" w:eastAsia="en-GB"/>
              </w:rPr>
              <w:t xml:space="preserve"> </w:t>
            </w:r>
            <w:r w:rsidRPr="00CE17A4">
              <w:rPr>
                <w:rFonts w:asciiTheme="minorHAnsi" w:eastAsia="Times New Roman" w:hAnsiTheme="minorHAnsi" w:cstheme="minorHAnsi"/>
                <w:b/>
                <w:bCs/>
                <w:noProof/>
                <w:color w:val="000000"/>
                <w:sz w:val="20"/>
                <w:szCs w:val="20"/>
                <w:lang w:val="es-ES" w:eastAsia="en-GB"/>
              </w:rPr>
              <w:t>243</w:t>
            </w:r>
          </w:p>
        </w:tc>
      </w:tr>
      <w:tr w:rsidR="00DE185F" w:rsidRPr="007D7B87" w14:paraId="11800998" w14:textId="77777777" w:rsidTr="00CE17A4">
        <w:trPr>
          <w:trHeight w:val="397"/>
        </w:trPr>
        <w:tc>
          <w:tcPr>
            <w:tcW w:w="3690" w:type="dxa"/>
            <w:tcBorders>
              <w:top w:val="nil"/>
              <w:left w:val="single" w:sz="4" w:space="0" w:color="auto"/>
              <w:bottom w:val="single" w:sz="4" w:space="0" w:color="auto"/>
              <w:right w:val="single" w:sz="4" w:space="0" w:color="auto"/>
            </w:tcBorders>
            <w:shd w:val="clear" w:color="auto" w:fill="auto"/>
            <w:noWrap/>
            <w:vAlign w:val="bottom"/>
          </w:tcPr>
          <w:p w14:paraId="64051FE2" w14:textId="03EBE614" w:rsidR="00DE185F" w:rsidRPr="00CE17A4" w:rsidRDefault="005D5282" w:rsidP="00DE185F">
            <w:pPr>
              <w:ind w:left="0" w:firstLine="0"/>
              <w:rPr>
                <w:rFonts w:asciiTheme="minorHAnsi" w:eastAsia="Times New Roman" w:hAnsiTheme="minorHAnsi" w:cstheme="minorHAnsi"/>
                <w:b/>
                <w:bCs/>
                <w:noProof/>
                <w:color w:val="1F497D"/>
                <w:sz w:val="20"/>
                <w:szCs w:val="20"/>
                <w:lang w:val="es-ES" w:eastAsia="en-GB"/>
              </w:rPr>
            </w:pPr>
            <w:r w:rsidRPr="00CE17A4">
              <w:rPr>
                <w:rFonts w:asciiTheme="minorHAnsi" w:eastAsia="Times New Roman" w:hAnsiTheme="minorHAnsi" w:cstheme="minorHAnsi"/>
                <w:b/>
                <w:bCs/>
                <w:noProof/>
                <w:color w:val="1F497D"/>
                <w:sz w:val="20"/>
                <w:szCs w:val="20"/>
                <w:lang w:val="es-ES" w:eastAsia="en-GB"/>
              </w:rPr>
              <w:t>GASTOS</w:t>
            </w:r>
          </w:p>
        </w:tc>
        <w:tc>
          <w:tcPr>
            <w:tcW w:w="1254" w:type="dxa"/>
            <w:tcBorders>
              <w:top w:val="nil"/>
              <w:left w:val="nil"/>
              <w:bottom w:val="single" w:sz="4" w:space="0" w:color="auto"/>
              <w:right w:val="single" w:sz="4" w:space="0" w:color="auto"/>
            </w:tcBorders>
            <w:vAlign w:val="center"/>
          </w:tcPr>
          <w:p w14:paraId="39C9FD49" w14:textId="77777777" w:rsidR="00DE185F" w:rsidRPr="00CE17A4" w:rsidRDefault="00DE185F" w:rsidP="00CE17A4">
            <w:pPr>
              <w:ind w:left="0" w:firstLine="0"/>
              <w:jc w:val="right"/>
              <w:rPr>
                <w:rFonts w:asciiTheme="minorHAnsi" w:eastAsia="Times New Roman" w:hAnsiTheme="minorHAnsi" w:cstheme="minorHAnsi"/>
                <w:noProof/>
                <w:color w:val="000000"/>
                <w:sz w:val="20"/>
                <w:szCs w:val="20"/>
                <w:lang w:val="es-ES" w:eastAsia="en-GB"/>
              </w:rPr>
            </w:pP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33A517CA" w14:textId="26C39F7B" w:rsidR="00DE185F" w:rsidRPr="00CE17A4" w:rsidRDefault="00DE185F"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 </w:t>
            </w:r>
          </w:p>
        </w:tc>
        <w:tc>
          <w:tcPr>
            <w:tcW w:w="1254" w:type="dxa"/>
            <w:tcBorders>
              <w:top w:val="nil"/>
              <w:left w:val="nil"/>
              <w:bottom w:val="single" w:sz="4" w:space="0" w:color="auto"/>
              <w:right w:val="single" w:sz="4" w:space="0" w:color="auto"/>
            </w:tcBorders>
            <w:shd w:val="clear" w:color="auto" w:fill="auto"/>
            <w:noWrap/>
            <w:vAlign w:val="center"/>
          </w:tcPr>
          <w:p w14:paraId="5F8E6F6E" w14:textId="77777777" w:rsidR="00DE185F" w:rsidRPr="00CE17A4" w:rsidRDefault="00DE185F"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 </w:t>
            </w:r>
          </w:p>
        </w:tc>
        <w:tc>
          <w:tcPr>
            <w:tcW w:w="1254" w:type="dxa"/>
            <w:tcBorders>
              <w:top w:val="nil"/>
              <w:left w:val="nil"/>
              <w:bottom w:val="single" w:sz="4" w:space="0" w:color="auto"/>
              <w:right w:val="single" w:sz="4" w:space="0" w:color="auto"/>
            </w:tcBorders>
            <w:shd w:val="clear" w:color="auto" w:fill="auto"/>
            <w:noWrap/>
            <w:vAlign w:val="center"/>
          </w:tcPr>
          <w:p w14:paraId="7655C100" w14:textId="77777777" w:rsidR="00DE185F" w:rsidRPr="00CE17A4" w:rsidRDefault="00DE185F"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 </w:t>
            </w:r>
          </w:p>
        </w:tc>
        <w:tc>
          <w:tcPr>
            <w:tcW w:w="1275" w:type="dxa"/>
            <w:tcBorders>
              <w:top w:val="nil"/>
              <w:left w:val="nil"/>
              <w:bottom w:val="single" w:sz="4" w:space="0" w:color="auto"/>
              <w:right w:val="single" w:sz="4" w:space="0" w:color="auto"/>
            </w:tcBorders>
            <w:shd w:val="clear" w:color="auto" w:fill="auto"/>
            <w:noWrap/>
            <w:vAlign w:val="center"/>
          </w:tcPr>
          <w:p w14:paraId="52DA085F" w14:textId="77777777" w:rsidR="00DE185F" w:rsidRPr="00CE17A4" w:rsidRDefault="00DE185F" w:rsidP="00CE17A4">
            <w:pPr>
              <w:ind w:left="0" w:firstLine="0"/>
              <w:jc w:val="right"/>
              <w:rPr>
                <w:rFonts w:asciiTheme="minorHAnsi" w:eastAsia="Times New Roman" w:hAnsiTheme="minorHAnsi" w:cstheme="minorHAnsi"/>
                <w:b/>
                <w:bCs/>
                <w:noProof/>
                <w:sz w:val="20"/>
                <w:szCs w:val="20"/>
                <w:lang w:val="es-ES" w:eastAsia="en-GB"/>
              </w:rPr>
            </w:pPr>
            <w:r w:rsidRPr="00CE17A4">
              <w:rPr>
                <w:rFonts w:asciiTheme="minorHAnsi" w:eastAsia="Times New Roman" w:hAnsiTheme="minorHAnsi" w:cstheme="minorHAnsi"/>
                <w:b/>
                <w:bCs/>
                <w:noProof/>
                <w:sz w:val="20"/>
                <w:szCs w:val="20"/>
                <w:lang w:val="es-ES" w:eastAsia="en-GB"/>
              </w:rPr>
              <w:t> </w:t>
            </w:r>
          </w:p>
        </w:tc>
      </w:tr>
      <w:tr w:rsidR="005D5282" w:rsidRPr="007D7B87" w14:paraId="5E38A625" w14:textId="77777777" w:rsidTr="00CE17A4">
        <w:tc>
          <w:tcPr>
            <w:tcW w:w="3690" w:type="dxa"/>
            <w:tcBorders>
              <w:top w:val="nil"/>
              <w:left w:val="single" w:sz="4" w:space="0" w:color="auto"/>
              <w:bottom w:val="single" w:sz="4" w:space="0" w:color="auto"/>
              <w:right w:val="single" w:sz="4" w:space="0" w:color="auto"/>
            </w:tcBorders>
            <w:shd w:val="clear" w:color="000000" w:fill="C4D79B"/>
            <w:noWrap/>
            <w:vAlign w:val="center"/>
          </w:tcPr>
          <w:p w14:paraId="77FCC0F7" w14:textId="06AC29F5" w:rsidR="005D5282" w:rsidRPr="00CE17A4" w:rsidRDefault="005D5282" w:rsidP="005D5282">
            <w:pPr>
              <w:ind w:left="0" w:firstLine="0"/>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sz w:val="20"/>
                <w:szCs w:val="20"/>
                <w:lang w:val="es-ES" w:eastAsia="en-GB"/>
              </w:rPr>
              <w:t xml:space="preserve">A. Personal directivo de la Secretaría y </w:t>
            </w:r>
            <w:r w:rsidR="00542089" w:rsidRPr="00CE17A4">
              <w:rPr>
                <w:rFonts w:asciiTheme="minorHAnsi" w:eastAsia="Times New Roman" w:hAnsiTheme="minorHAnsi" w:cstheme="minorHAnsi"/>
                <w:b/>
                <w:bCs/>
                <w:noProof/>
                <w:sz w:val="20"/>
                <w:szCs w:val="20"/>
                <w:lang w:val="es-ES" w:eastAsia="en-GB"/>
              </w:rPr>
              <w:t>g</w:t>
            </w:r>
            <w:r w:rsidRPr="00CE17A4">
              <w:rPr>
                <w:rFonts w:asciiTheme="minorHAnsi" w:eastAsia="Times New Roman" w:hAnsiTheme="minorHAnsi" w:cstheme="minorHAnsi"/>
                <w:b/>
                <w:bCs/>
                <w:noProof/>
                <w:sz w:val="20"/>
                <w:szCs w:val="20"/>
                <w:lang w:val="es-ES" w:eastAsia="en-GB"/>
              </w:rPr>
              <w:t>obernanza</w:t>
            </w:r>
          </w:p>
        </w:tc>
        <w:tc>
          <w:tcPr>
            <w:tcW w:w="1254" w:type="dxa"/>
            <w:tcBorders>
              <w:top w:val="nil"/>
              <w:left w:val="nil"/>
              <w:bottom w:val="single" w:sz="4" w:space="0" w:color="auto"/>
              <w:right w:val="single" w:sz="4" w:space="0" w:color="auto"/>
            </w:tcBorders>
            <w:shd w:val="clear" w:color="000000" w:fill="C4D79B"/>
            <w:vAlign w:val="center"/>
          </w:tcPr>
          <w:p w14:paraId="3EB0EFDC" w14:textId="1A6DFEB0" w:rsidR="005D5282" w:rsidRPr="00CE17A4" w:rsidRDefault="005D5282"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1</w:t>
            </w:r>
            <w:r w:rsidR="000339A3" w:rsidRPr="00CE17A4">
              <w:rPr>
                <w:rFonts w:asciiTheme="minorHAnsi" w:eastAsia="Times New Roman" w:hAnsiTheme="minorHAnsi" w:cstheme="minorHAnsi"/>
                <w:b/>
                <w:bCs/>
                <w:noProof/>
                <w:color w:val="000000"/>
                <w:sz w:val="20"/>
                <w:szCs w:val="20"/>
                <w:lang w:val="es-ES" w:eastAsia="en-GB"/>
              </w:rPr>
              <w:t xml:space="preserve"> </w:t>
            </w:r>
            <w:r w:rsidRPr="00CE17A4">
              <w:rPr>
                <w:rFonts w:asciiTheme="minorHAnsi" w:eastAsia="Times New Roman" w:hAnsiTheme="minorHAnsi" w:cstheme="minorHAnsi"/>
                <w:b/>
                <w:bCs/>
                <w:noProof/>
                <w:color w:val="000000"/>
                <w:sz w:val="20"/>
                <w:szCs w:val="20"/>
                <w:lang w:val="es-ES" w:eastAsia="en-GB"/>
              </w:rPr>
              <w:t>030</w:t>
            </w:r>
          </w:p>
        </w:tc>
        <w:tc>
          <w:tcPr>
            <w:tcW w:w="1254" w:type="dxa"/>
            <w:tcBorders>
              <w:top w:val="nil"/>
              <w:left w:val="single" w:sz="4" w:space="0" w:color="auto"/>
              <w:bottom w:val="single" w:sz="4" w:space="0" w:color="auto"/>
              <w:right w:val="single" w:sz="4" w:space="0" w:color="auto"/>
            </w:tcBorders>
            <w:shd w:val="clear" w:color="000000" w:fill="C4D79B"/>
            <w:noWrap/>
            <w:vAlign w:val="center"/>
          </w:tcPr>
          <w:p w14:paraId="3683BF23" w14:textId="3E58EE48" w:rsidR="005D5282" w:rsidRPr="00CE17A4" w:rsidRDefault="005D5282"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1</w:t>
            </w:r>
            <w:r w:rsidR="000339A3" w:rsidRPr="00CE17A4">
              <w:rPr>
                <w:rFonts w:asciiTheme="minorHAnsi" w:eastAsia="Times New Roman" w:hAnsiTheme="minorHAnsi" w:cstheme="minorHAnsi"/>
                <w:b/>
                <w:bCs/>
                <w:noProof/>
                <w:color w:val="000000"/>
                <w:sz w:val="20"/>
                <w:szCs w:val="20"/>
                <w:lang w:val="es-ES" w:eastAsia="en-GB"/>
              </w:rPr>
              <w:t xml:space="preserve"> </w:t>
            </w:r>
            <w:r w:rsidRPr="00CE17A4">
              <w:rPr>
                <w:rFonts w:asciiTheme="minorHAnsi" w:eastAsia="Times New Roman" w:hAnsiTheme="minorHAnsi" w:cstheme="minorHAnsi"/>
                <w:b/>
                <w:bCs/>
                <w:noProof/>
                <w:color w:val="000000"/>
                <w:sz w:val="20"/>
                <w:szCs w:val="20"/>
                <w:lang w:val="es-ES" w:eastAsia="en-GB"/>
              </w:rPr>
              <w:t>050</w:t>
            </w:r>
          </w:p>
        </w:tc>
        <w:tc>
          <w:tcPr>
            <w:tcW w:w="1254" w:type="dxa"/>
            <w:tcBorders>
              <w:top w:val="nil"/>
              <w:left w:val="nil"/>
              <w:bottom w:val="single" w:sz="4" w:space="0" w:color="auto"/>
              <w:right w:val="single" w:sz="4" w:space="0" w:color="auto"/>
            </w:tcBorders>
            <w:shd w:val="clear" w:color="000000" w:fill="C4D79B"/>
            <w:noWrap/>
            <w:vAlign w:val="center"/>
          </w:tcPr>
          <w:p w14:paraId="774881D8" w14:textId="2078F4D9" w:rsidR="005D5282" w:rsidRPr="00CE17A4" w:rsidRDefault="005D5282"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1</w:t>
            </w:r>
            <w:r w:rsidR="000339A3" w:rsidRPr="00CE17A4">
              <w:rPr>
                <w:rFonts w:asciiTheme="minorHAnsi" w:eastAsia="Times New Roman" w:hAnsiTheme="minorHAnsi" w:cstheme="minorHAnsi"/>
                <w:b/>
                <w:bCs/>
                <w:noProof/>
                <w:color w:val="000000"/>
                <w:sz w:val="20"/>
                <w:szCs w:val="20"/>
                <w:lang w:val="es-ES" w:eastAsia="en-GB"/>
              </w:rPr>
              <w:t xml:space="preserve"> </w:t>
            </w:r>
            <w:r w:rsidRPr="00CE17A4">
              <w:rPr>
                <w:rFonts w:asciiTheme="minorHAnsi" w:eastAsia="Times New Roman" w:hAnsiTheme="minorHAnsi" w:cstheme="minorHAnsi"/>
                <w:b/>
                <w:bCs/>
                <w:noProof/>
                <w:color w:val="000000"/>
                <w:sz w:val="20"/>
                <w:szCs w:val="20"/>
                <w:lang w:val="es-ES" w:eastAsia="en-GB"/>
              </w:rPr>
              <w:t>062</w:t>
            </w:r>
          </w:p>
        </w:tc>
        <w:tc>
          <w:tcPr>
            <w:tcW w:w="1254" w:type="dxa"/>
            <w:tcBorders>
              <w:top w:val="nil"/>
              <w:left w:val="nil"/>
              <w:bottom w:val="single" w:sz="4" w:space="0" w:color="auto"/>
              <w:right w:val="single" w:sz="4" w:space="0" w:color="auto"/>
            </w:tcBorders>
            <w:shd w:val="clear" w:color="000000" w:fill="C4D79B"/>
            <w:noWrap/>
            <w:vAlign w:val="center"/>
          </w:tcPr>
          <w:p w14:paraId="33AA3D65" w14:textId="0B0AF0AE" w:rsidR="005D5282" w:rsidRPr="00CE17A4" w:rsidRDefault="005D5282"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1</w:t>
            </w:r>
            <w:r w:rsidR="000339A3" w:rsidRPr="00CE17A4">
              <w:rPr>
                <w:rFonts w:asciiTheme="minorHAnsi" w:eastAsia="Times New Roman" w:hAnsiTheme="minorHAnsi" w:cstheme="minorHAnsi"/>
                <w:b/>
                <w:bCs/>
                <w:noProof/>
                <w:color w:val="000000"/>
                <w:sz w:val="20"/>
                <w:szCs w:val="20"/>
                <w:lang w:val="es-ES" w:eastAsia="en-GB"/>
              </w:rPr>
              <w:t xml:space="preserve"> </w:t>
            </w:r>
            <w:r w:rsidRPr="00CE17A4">
              <w:rPr>
                <w:rFonts w:asciiTheme="minorHAnsi" w:eastAsia="Times New Roman" w:hAnsiTheme="minorHAnsi" w:cstheme="minorHAnsi"/>
                <w:b/>
                <w:bCs/>
                <w:noProof/>
                <w:color w:val="000000"/>
                <w:sz w:val="20"/>
                <w:szCs w:val="20"/>
                <w:lang w:val="es-ES" w:eastAsia="en-GB"/>
              </w:rPr>
              <w:t>057</w:t>
            </w:r>
          </w:p>
        </w:tc>
        <w:tc>
          <w:tcPr>
            <w:tcW w:w="1275" w:type="dxa"/>
            <w:tcBorders>
              <w:top w:val="nil"/>
              <w:left w:val="nil"/>
              <w:bottom w:val="single" w:sz="4" w:space="0" w:color="auto"/>
              <w:right w:val="single" w:sz="4" w:space="0" w:color="auto"/>
            </w:tcBorders>
            <w:shd w:val="clear" w:color="000000" w:fill="C4D79B"/>
            <w:noWrap/>
            <w:vAlign w:val="center"/>
          </w:tcPr>
          <w:p w14:paraId="25022455" w14:textId="0A5BB91C" w:rsidR="005D5282" w:rsidRPr="00CE17A4" w:rsidRDefault="005D5282"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3</w:t>
            </w:r>
            <w:r w:rsidR="000339A3" w:rsidRPr="00CE17A4">
              <w:rPr>
                <w:rFonts w:asciiTheme="minorHAnsi" w:eastAsia="Times New Roman" w:hAnsiTheme="minorHAnsi" w:cstheme="minorHAnsi"/>
                <w:b/>
                <w:bCs/>
                <w:noProof/>
                <w:color w:val="000000"/>
                <w:sz w:val="20"/>
                <w:szCs w:val="20"/>
                <w:lang w:val="es-ES" w:eastAsia="en-GB"/>
              </w:rPr>
              <w:t xml:space="preserve"> </w:t>
            </w:r>
            <w:r w:rsidRPr="00CE17A4">
              <w:rPr>
                <w:rFonts w:asciiTheme="minorHAnsi" w:eastAsia="Times New Roman" w:hAnsiTheme="minorHAnsi" w:cstheme="minorHAnsi"/>
                <w:b/>
                <w:bCs/>
                <w:noProof/>
                <w:color w:val="000000"/>
                <w:sz w:val="20"/>
                <w:szCs w:val="20"/>
                <w:lang w:val="es-ES" w:eastAsia="en-GB"/>
              </w:rPr>
              <w:t>169</w:t>
            </w:r>
          </w:p>
        </w:tc>
      </w:tr>
      <w:tr w:rsidR="005D5282" w:rsidRPr="007D7B87" w14:paraId="67BD2A88" w14:textId="77777777" w:rsidTr="00CE17A4">
        <w:tc>
          <w:tcPr>
            <w:tcW w:w="3690" w:type="dxa"/>
            <w:tcBorders>
              <w:top w:val="nil"/>
              <w:left w:val="single" w:sz="4" w:space="0" w:color="auto"/>
              <w:bottom w:val="single" w:sz="4" w:space="0" w:color="auto"/>
              <w:right w:val="single" w:sz="4" w:space="0" w:color="auto"/>
            </w:tcBorders>
            <w:shd w:val="clear" w:color="auto" w:fill="auto"/>
            <w:noWrap/>
            <w:vAlign w:val="center"/>
          </w:tcPr>
          <w:p w14:paraId="3E4ACE68" w14:textId="0E9DCCEC" w:rsidR="005D5282" w:rsidRPr="00CE17A4" w:rsidRDefault="005D5282" w:rsidP="005D5282">
            <w:pPr>
              <w:ind w:left="0" w:firstLine="0"/>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Salarios, gastos sociales y otras prestaciones laborales</w:t>
            </w:r>
          </w:p>
        </w:tc>
        <w:tc>
          <w:tcPr>
            <w:tcW w:w="1254" w:type="dxa"/>
            <w:tcBorders>
              <w:top w:val="nil"/>
              <w:left w:val="nil"/>
              <w:bottom w:val="single" w:sz="4" w:space="0" w:color="auto"/>
              <w:right w:val="single" w:sz="4" w:space="0" w:color="auto"/>
            </w:tcBorders>
            <w:vAlign w:val="center"/>
          </w:tcPr>
          <w:p w14:paraId="714AC8FC" w14:textId="409B8826" w:rsidR="005D5282" w:rsidRPr="00CE17A4" w:rsidRDefault="005D5282"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990</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56DD3403" w14:textId="54951051" w:rsidR="005D5282" w:rsidRPr="00CE17A4" w:rsidRDefault="005D5282"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w:t>
            </w:r>
            <w:r w:rsidR="000339A3" w:rsidRPr="00CE17A4">
              <w:rPr>
                <w:rFonts w:asciiTheme="minorHAnsi" w:eastAsia="Times New Roman" w:hAnsiTheme="minorHAnsi" w:cstheme="minorHAnsi"/>
                <w:noProof/>
                <w:sz w:val="20"/>
                <w:szCs w:val="20"/>
                <w:lang w:val="es-ES" w:eastAsia="en-GB"/>
              </w:rPr>
              <w:t xml:space="preserve"> </w:t>
            </w:r>
            <w:r w:rsidRPr="00CE17A4">
              <w:rPr>
                <w:rFonts w:asciiTheme="minorHAnsi" w:eastAsia="Times New Roman" w:hAnsiTheme="minorHAnsi" w:cstheme="minorHAnsi"/>
                <w:noProof/>
                <w:sz w:val="20"/>
                <w:szCs w:val="20"/>
                <w:lang w:val="es-ES" w:eastAsia="en-GB"/>
              </w:rPr>
              <w:t>010</w:t>
            </w:r>
          </w:p>
        </w:tc>
        <w:tc>
          <w:tcPr>
            <w:tcW w:w="1254" w:type="dxa"/>
            <w:tcBorders>
              <w:top w:val="nil"/>
              <w:left w:val="nil"/>
              <w:bottom w:val="single" w:sz="4" w:space="0" w:color="auto"/>
              <w:right w:val="single" w:sz="4" w:space="0" w:color="auto"/>
            </w:tcBorders>
            <w:shd w:val="clear" w:color="auto" w:fill="auto"/>
            <w:noWrap/>
            <w:vAlign w:val="center"/>
          </w:tcPr>
          <w:p w14:paraId="7F2134D2" w14:textId="1263CF68" w:rsidR="005D5282" w:rsidRPr="00CE17A4" w:rsidRDefault="005D5282"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w:t>
            </w:r>
            <w:r w:rsidR="000339A3" w:rsidRPr="00CE17A4">
              <w:rPr>
                <w:rFonts w:asciiTheme="minorHAnsi" w:eastAsia="Times New Roman" w:hAnsiTheme="minorHAnsi" w:cstheme="minorHAnsi"/>
                <w:noProof/>
                <w:sz w:val="20"/>
                <w:szCs w:val="20"/>
                <w:lang w:val="es-ES" w:eastAsia="en-GB"/>
              </w:rPr>
              <w:t xml:space="preserve"> </w:t>
            </w:r>
            <w:r w:rsidRPr="00CE17A4">
              <w:rPr>
                <w:rFonts w:asciiTheme="minorHAnsi" w:eastAsia="Times New Roman" w:hAnsiTheme="minorHAnsi" w:cstheme="minorHAnsi"/>
                <w:noProof/>
                <w:sz w:val="20"/>
                <w:szCs w:val="20"/>
                <w:lang w:val="es-ES" w:eastAsia="en-GB"/>
              </w:rPr>
              <w:t>022</w:t>
            </w:r>
          </w:p>
        </w:tc>
        <w:tc>
          <w:tcPr>
            <w:tcW w:w="1254" w:type="dxa"/>
            <w:tcBorders>
              <w:top w:val="nil"/>
              <w:left w:val="nil"/>
              <w:bottom w:val="single" w:sz="4" w:space="0" w:color="auto"/>
              <w:right w:val="single" w:sz="4" w:space="0" w:color="auto"/>
            </w:tcBorders>
            <w:shd w:val="clear" w:color="auto" w:fill="auto"/>
            <w:noWrap/>
            <w:vAlign w:val="center"/>
          </w:tcPr>
          <w:p w14:paraId="37F46569" w14:textId="3B15A29C" w:rsidR="005D5282" w:rsidRPr="00CE17A4" w:rsidRDefault="005D5282"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1</w:t>
            </w:r>
            <w:r w:rsidR="000339A3" w:rsidRPr="00CE17A4">
              <w:rPr>
                <w:rFonts w:asciiTheme="minorHAnsi" w:eastAsia="Times New Roman" w:hAnsiTheme="minorHAnsi" w:cstheme="minorHAnsi"/>
                <w:noProof/>
                <w:color w:val="000000"/>
                <w:sz w:val="20"/>
                <w:szCs w:val="20"/>
                <w:lang w:val="es-ES" w:eastAsia="en-GB"/>
              </w:rPr>
              <w:t xml:space="preserve"> </w:t>
            </w:r>
            <w:r w:rsidRPr="00CE17A4">
              <w:rPr>
                <w:rFonts w:asciiTheme="minorHAnsi" w:eastAsia="Times New Roman" w:hAnsiTheme="minorHAnsi" w:cstheme="minorHAnsi"/>
                <w:noProof/>
                <w:color w:val="000000"/>
                <w:sz w:val="20"/>
                <w:szCs w:val="20"/>
                <w:lang w:val="es-ES" w:eastAsia="en-GB"/>
              </w:rPr>
              <w:t>017</w:t>
            </w:r>
          </w:p>
        </w:tc>
        <w:tc>
          <w:tcPr>
            <w:tcW w:w="1275" w:type="dxa"/>
            <w:tcBorders>
              <w:top w:val="nil"/>
              <w:left w:val="nil"/>
              <w:bottom w:val="single" w:sz="4" w:space="0" w:color="auto"/>
              <w:right w:val="single" w:sz="4" w:space="0" w:color="auto"/>
            </w:tcBorders>
            <w:shd w:val="clear" w:color="auto" w:fill="auto"/>
            <w:noWrap/>
            <w:vAlign w:val="center"/>
          </w:tcPr>
          <w:p w14:paraId="35E33035" w14:textId="13AC698E" w:rsidR="005D5282" w:rsidRPr="00CE17A4" w:rsidRDefault="005D5282"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3</w:t>
            </w:r>
            <w:r w:rsidR="000339A3" w:rsidRPr="00CE17A4">
              <w:rPr>
                <w:rFonts w:asciiTheme="minorHAnsi" w:eastAsia="Times New Roman" w:hAnsiTheme="minorHAnsi" w:cstheme="minorHAnsi"/>
                <w:noProof/>
                <w:sz w:val="20"/>
                <w:szCs w:val="20"/>
                <w:lang w:val="es-ES" w:eastAsia="en-GB"/>
              </w:rPr>
              <w:t xml:space="preserve"> </w:t>
            </w:r>
            <w:r w:rsidRPr="00CE17A4">
              <w:rPr>
                <w:rFonts w:asciiTheme="minorHAnsi" w:eastAsia="Times New Roman" w:hAnsiTheme="minorHAnsi" w:cstheme="minorHAnsi"/>
                <w:noProof/>
                <w:sz w:val="20"/>
                <w:szCs w:val="20"/>
                <w:lang w:val="es-ES" w:eastAsia="en-GB"/>
              </w:rPr>
              <w:t>049</w:t>
            </w:r>
          </w:p>
        </w:tc>
      </w:tr>
      <w:tr w:rsidR="005D5282" w:rsidRPr="007D7B87" w14:paraId="1FDF6B75" w14:textId="77777777" w:rsidTr="00CE17A4">
        <w:tc>
          <w:tcPr>
            <w:tcW w:w="3690" w:type="dxa"/>
            <w:tcBorders>
              <w:top w:val="nil"/>
              <w:left w:val="single" w:sz="4" w:space="0" w:color="auto"/>
              <w:bottom w:val="single" w:sz="4" w:space="0" w:color="auto"/>
              <w:right w:val="single" w:sz="4" w:space="0" w:color="auto"/>
            </w:tcBorders>
            <w:shd w:val="clear" w:color="auto" w:fill="auto"/>
            <w:noWrap/>
            <w:vAlign w:val="center"/>
          </w:tcPr>
          <w:p w14:paraId="5F1595F8" w14:textId="705524CB" w:rsidR="005D5282" w:rsidRPr="00CE17A4" w:rsidRDefault="005D5282" w:rsidP="005D5282">
            <w:pPr>
              <w:ind w:left="0" w:firstLine="0"/>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Viajes</w:t>
            </w:r>
          </w:p>
        </w:tc>
        <w:tc>
          <w:tcPr>
            <w:tcW w:w="1254" w:type="dxa"/>
            <w:tcBorders>
              <w:top w:val="nil"/>
              <w:left w:val="nil"/>
              <w:bottom w:val="single" w:sz="4" w:space="0" w:color="auto"/>
              <w:right w:val="single" w:sz="4" w:space="0" w:color="auto"/>
            </w:tcBorders>
            <w:vAlign w:val="center"/>
          </w:tcPr>
          <w:p w14:paraId="65226AFC" w14:textId="33F0764F" w:rsidR="005D5282" w:rsidRPr="00CE17A4" w:rsidRDefault="005D5282"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40</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5A2740E1" w14:textId="5D0D5FD6" w:rsidR="005D5282" w:rsidRPr="00CE17A4" w:rsidRDefault="005D5282"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40</w:t>
            </w:r>
          </w:p>
        </w:tc>
        <w:tc>
          <w:tcPr>
            <w:tcW w:w="1254" w:type="dxa"/>
            <w:tcBorders>
              <w:top w:val="nil"/>
              <w:left w:val="nil"/>
              <w:bottom w:val="single" w:sz="4" w:space="0" w:color="auto"/>
              <w:right w:val="single" w:sz="4" w:space="0" w:color="auto"/>
            </w:tcBorders>
            <w:shd w:val="clear" w:color="auto" w:fill="auto"/>
            <w:noWrap/>
            <w:vAlign w:val="center"/>
          </w:tcPr>
          <w:p w14:paraId="2EF0E642" w14:textId="77777777" w:rsidR="005D5282" w:rsidRPr="00CE17A4" w:rsidRDefault="005D5282"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40</w:t>
            </w:r>
          </w:p>
        </w:tc>
        <w:tc>
          <w:tcPr>
            <w:tcW w:w="1254" w:type="dxa"/>
            <w:tcBorders>
              <w:top w:val="nil"/>
              <w:left w:val="nil"/>
              <w:bottom w:val="single" w:sz="4" w:space="0" w:color="auto"/>
              <w:right w:val="single" w:sz="4" w:space="0" w:color="auto"/>
            </w:tcBorders>
            <w:shd w:val="clear" w:color="auto" w:fill="auto"/>
            <w:noWrap/>
            <w:vAlign w:val="center"/>
          </w:tcPr>
          <w:p w14:paraId="6ABE48BE" w14:textId="77777777" w:rsidR="005D5282" w:rsidRPr="00CE17A4" w:rsidRDefault="005D5282"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40</w:t>
            </w:r>
          </w:p>
        </w:tc>
        <w:tc>
          <w:tcPr>
            <w:tcW w:w="1275" w:type="dxa"/>
            <w:tcBorders>
              <w:top w:val="nil"/>
              <w:left w:val="nil"/>
              <w:bottom w:val="single" w:sz="4" w:space="0" w:color="auto"/>
              <w:right w:val="single" w:sz="4" w:space="0" w:color="auto"/>
            </w:tcBorders>
            <w:shd w:val="clear" w:color="auto" w:fill="auto"/>
            <w:noWrap/>
            <w:vAlign w:val="center"/>
          </w:tcPr>
          <w:p w14:paraId="20F987E7" w14:textId="77777777" w:rsidR="005D5282" w:rsidRPr="00CE17A4" w:rsidRDefault="005D5282"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120</w:t>
            </w:r>
          </w:p>
        </w:tc>
      </w:tr>
      <w:tr w:rsidR="005D5282" w:rsidRPr="007D7B87" w14:paraId="6378FD3A" w14:textId="77777777" w:rsidTr="00CE17A4">
        <w:tc>
          <w:tcPr>
            <w:tcW w:w="3690" w:type="dxa"/>
            <w:tcBorders>
              <w:top w:val="nil"/>
              <w:left w:val="single" w:sz="4" w:space="0" w:color="auto"/>
              <w:bottom w:val="single" w:sz="4" w:space="0" w:color="auto"/>
              <w:right w:val="single" w:sz="4" w:space="0" w:color="auto"/>
            </w:tcBorders>
            <w:shd w:val="clear" w:color="000000" w:fill="C4D79B"/>
            <w:noWrap/>
            <w:vAlign w:val="center"/>
          </w:tcPr>
          <w:p w14:paraId="592A265E" w14:textId="3EFAB193" w:rsidR="005D5282" w:rsidRPr="00CE17A4" w:rsidRDefault="005D5282" w:rsidP="005D5282">
            <w:pPr>
              <w:ind w:left="0" w:firstLine="0"/>
              <w:rPr>
                <w:rFonts w:asciiTheme="minorHAnsi" w:eastAsia="Times New Roman" w:hAnsiTheme="minorHAnsi" w:cstheme="minorHAnsi"/>
                <w:b/>
                <w:bCs/>
                <w:noProof/>
                <w:sz w:val="20"/>
                <w:szCs w:val="20"/>
                <w:lang w:val="es-ES" w:eastAsia="en-GB"/>
              </w:rPr>
            </w:pPr>
            <w:r w:rsidRPr="00CE17A4">
              <w:rPr>
                <w:rFonts w:asciiTheme="minorHAnsi" w:eastAsia="Times New Roman" w:hAnsiTheme="minorHAnsi" w:cstheme="minorHAnsi"/>
                <w:b/>
                <w:bCs/>
                <w:noProof/>
                <w:sz w:val="20"/>
                <w:szCs w:val="20"/>
                <w:lang w:val="es-ES" w:eastAsia="en-GB"/>
              </w:rPr>
              <w:t xml:space="preserve">B. </w:t>
            </w:r>
            <w:r w:rsidR="007A6EA5" w:rsidRPr="00CE17A4">
              <w:rPr>
                <w:rFonts w:asciiTheme="minorHAnsi" w:eastAsia="Times New Roman" w:hAnsiTheme="minorHAnsi" w:cstheme="minorHAnsi"/>
                <w:b/>
                <w:bCs/>
                <w:noProof/>
                <w:color w:val="000000"/>
                <w:sz w:val="20"/>
                <w:szCs w:val="20"/>
                <w:lang w:val="es-ES" w:eastAsia="en-GB"/>
              </w:rPr>
              <w:t xml:space="preserve">Movilización de recursos y </w:t>
            </w:r>
            <w:r w:rsidR="00A84F0F" w:rsidRPr="00CE17A4">
              <w:rPr>
                <w:rFonts w:asciiTheme="minorHAnsi" w:eastAsia="Times New Roman" w:hAnsiTheme="minorHAnsi" w:cstheme="minorHAnsi"/>
                <w:b/>
                <w:bCs/>
                <w:noProof/>
                <w:color w:val="000000"/>
                <w:sz w:val="20"/>
                <w:szCs w:val="20"/>
                <w:lang w:val="es-ES" w:eastAsia="en-GB"/>
              </w:rPr>
              <w:t>p</w:t>
            </w:r>
            <w:r w:rsidR="007A6EA5" w:rsidRPr="00CE17A4">
              <w:rPr>
                <w:rFonts w:asciiTheme="minorHAnsi" w:eastAsia="Times New Roman" w:hAnsiTheme="minorHAnsi" w:cstheme="minorHAnsi"/>
                <w:b/>
                <w:bCs/>
                <w:noProof/>
                <w:color w:val="000000"/>
                <w:sz w:val="20"/>
                <w:szCs w:val="20"/>
                <w:lang w:val="es-ES" w:eastAsia="en-GB"/>
              </w:rPr>
              <w:t>romoción</w:t>
            </w:r>
          </w:p>
        </w:tc>
        <w:tc>
          <w:tcPr>
            <w:tcW w:w="1254" w:type="dxa"/>
            <w:tcBorders>
              <w:top w:val="nil"/>
              <w:left w:val="nil"/>
              <w:bottom w:val="single" w:sz="4" w:space="0" w:color="auto"/>
              <w:right w:val="single" w:sz="4" w:space="0" w:color="auto"/>
            </w:tcBorders>
            <w:shd w:val="clear" w:color="000000" w:fill="C4D79B"/>
            <w:vAlign w:val="center"/>
          </w:tcPr>
          <w:p w14:paraId="6678861C" w14:textId="423C6990" w:rsidR="005D5282" w:rsidRPr="00CE17A4" w:rsidRDefault="005D5282"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594</w:t>
            </w:r>
          </w:p>
        </w:tc>
        <w:tc>
          <w:tcPr>
            <w:tcW w:w="1254" w:type="dxa"/>
            <w:tcBorders>
              <w:top w:val="nil"/>
              <w:left w:val="single" w:sz="4" w:space="0" w:color="auto"/>
              <w:bottom w:val="single" w:sz="4" w:space="0" w:color="auto"/>
              <w:right w:val="single" w:sz="4" w:space="0" w:color="auto"/>
            </w:tcBorders>
            <w:shd w:val="clear" w:color="000000" w:fill="C4D79B"/>
            <w:noWrap/>
            <w:vAlign w:val="center"/>
          </w:tcPr>
          <w:p w14:paraId="410ECD33" w14:textId="746F2201" w:rsidR="005D5282" w:rsidRPr="00CE17A4" w:rsidRDefault="005D5282"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508</w:t>
            </w:r>
          </w:p>
        </w:tc>
        <w:tc>
          <w:tcPr>
            <w:tcW w:w="1254" w:type="dxa"/>
            <w:tcBorders>
              <w:top w:val="nil"/>
              <w:left w:val="nil"/>
              <w:bottom w:val="single" w:sz="4" w:space="0" w:color="auto"/>
              <w:right w:val="single" w:sz="4" w:space="0" w:color="auto"/>
            </w:tcBorders>
            <w:shd w:val="clear" w:color="000000" w:fill="C4D79B"/>
            <w:noWrap/>
            <w:vAlign w:val="center"/>
          </w:tcPr>
          <w:p w14:paraId="6FE2EA54" w14:textId="77777777" w:rsidR="005D5282" w:rsidRPr="00CE17A4" w:rsidRDefault="005D5282"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508</w:t>
            </w:r>
          </w:p>
        </w:tc>
        <w:tc>
          <w:tcPr>
            <w:tcW w:w="1254" w:type="dxa"/>
            <w:tcBorders>
              <w:top w:val="nil"/>
              <w:left w:val="nil"/>
              <w:bottom w:val="single" w:sz="4" w:space="0" w:color="auto"/>
              <w:right w:val="single" w:sz="4" w:space="0" w:color="auto"/>
            </w:tcBorders>
            <w:shd w:val="clear" w:color="000000" w:fill="C4D79B"/>
            <w:noWrap/>
            <w:vAlign w:val="center"/>
          </w:tcPr>
          <w:p w14:paraId="6F447952" w14:textId="77777777" w:rsidR="005D5282" w:rsidRPr="00CE17A4" w:rsidRDefault="005D5282"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508</w:t>
            </w:r>
          </w:p>
        </w:tc>
        <w:tc>
          <w:tcPr>
            <w:tcW w:w="1275" w:type="dxa"/>
            <w:tcBorders>
              <w:top w:val="nil"/>
              <w:left w:val="nil"/>
              <w:bottom w:val="single" w:sz="4" w:space="0" w:color="auto"/>
              <w:right w:val="single" w:sz="4" w:space="0" w:color="auto"/>
            </w:tcBorders>
            <w:shd w:val="clear" w:color="000000" w:fill="C4D79B"/>
            <w:noWrap/>
            <w:vAlign w:val="center"/>
          </w:tcPr>
          <w:p w14:paraId="30EF32B4" w14:textId="18022FA8" w:rsidR="005D5282" w:rsidRPr="00CE17A4" w:rsidRDefault="005D5282"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1</w:t>
            </w:r>
            <w:r w:rsidR="000339A3" w:rsidRPr="00CE17A4">
              <w:rPr>
                <w:rFonts w:asciiTheme="minorHAnsi" w:eastAsia="Times New Roman" w:hAnsiTheme="minorHAnsi" w:cstheme="minorHAnsi"/>
                <w:b/>
                <w:bCs/>
                <w:noProof/>
                <w:color w:val="000000"/>
                <w:sz w:val="20"/>
                <w:szCs w:val="20"/>
                <w:lang w:val="es-ES" w:eastAsia="en-GB"/>
              </w:rPr>
              <w:t xml:space="preserve"> </w:t>
            </w:r>
            <w:r w:rsidRPr="00CE17A4">
              <w:rPr>
                <w:rFonts w:asciiTheme="minorHAnsi" w:eastAsia="Times New Roman" w:hAnsiTheme="minorHAnsi" w:cstheme="minorHAnsi"/>
                <w:b/>
                <w:bCs/>
                <w:noProof/>
                <w:color w:val="000000"/>
                <w:sz w:val="20"/>
                <w:szCs w:val="20"/>
                <w:lang w:val="es-ES" w:eastAsia="en-GB"/>
              </w:rPr>
              <w:t>524</w:t>
            </w:r>
          </w:p>
        </w:tc>
      </w:tr>
      <w:tr w:rsidR="00A84F0F" w:rsidRPr="007D7B87" w14:paraId="440AB302" w14:textId="77777777" w:rsidTr="00CE17A4">
        <w:tc>
          <w:tcPr>
            <w:tcW w:w="3690" w:type="dxa"/>
            <w:tcBorders>
              <w:top w:val="nil"/>
              <w:left w:val="single" w:sz="4" w:space="0" w:color="auto"/>
              <w:bottom w:val="single" w:sz="4" w:space="0" w:color="auto"/>
              <w:right w:val="single" w:sz="4" w:space="0" w:color="auto"/>
            </w:tcBorders>
            <w:shd w:val="clear" w:color="auto" w:fill="auto"/>
            <w:noWrap/>
            <w:vAlign w:val="center"/>
          </w:tcPr>
          <w:p w14:paraId="3397921B" w14:textId="4FD52D7E" w:rsidR="00A84F0F" w:rsidRPr="00CE17A4" w:rsidRDefault="00A84F0F" w:rsidP="00A84F0F">
            <w:pPr>
              <w:ind w:left="0" w:firstLine="0"/>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Salarios, gastos sociales y otras prestaciones laborales</w:t>
            </w:r>
          </w:p>
        </w:tc>
        <w:tc>
          <w:tcPr>
            <w:tcW w:w="1254" w:type="dxa"/>
            <w:tcBorders>
              <w:top w:val="nil"/>
              <w:left w:val="nil"/>
              <w:bottom w:val="single" w:sz="4" w:space="0" w:color="auto"/>
              <w:right w:val="single" w:sz="4" w:space="0" w:color="auto"/>
            </w:tcBorders>
            <w:vAlign w:val="center"/>
          </w:tcPr>
          <w:p w14:paraId="62E90780" w14:textId="30FE100E"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438</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58CCEF32" w14:textId="38BDC2DA"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352</w:t>
            </w:r>
          </w:p>
        </w:tc>
        <w:tc>
          <w:tcPr>
            <w:tcW w:w="1254" w:type="dxa"/>
            <w:tcBorders>
              <w:top w:val="nil"/>
              <w:left w:val="nil"/>
              <w:bottom w:val="single" w:sz="4" w:space="0" w:color="auto"/>
              <w:right w:val="single" w:sz="4" w:space="0" w:color="auto"/>
            </w:tcBorders>
            <w:shd w:val="clear" w:color="auto" w:fill="auto"/>
            <w:noWrap/>
            <w:vAlign w:val="center"/>
          </w:tcPr>
          <w:p w14:paraId="490145C1" w14:textId="77777777"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352</w:t>
            </w:r>
          </w:p>
        </w:tc>
        <w:tc>
          <w:tcPr>
            <w:tcW w:w="1254" w:type="dxa"/>
            <w:tcBorders>
              <w:top w:val="nil"/>
              <w:left w:val="nil"/>
              <w:bottom w:val="single" w:sz="4" w:space="0" w:color="auto"/>
              <w:right w:val="single" w:sz="4" w:space="0" w:color="auto"/>
            </w:tcBorders>
            <w:shd w:val="clear" w:color="auto" w:fill="auto"/>
            <w:noWrap/>
            <w:vAlign w:val="center"/>
          </w:tcPr>
          <w:p w14:paraId="50DDC8DD" w14:textId="77777777" w:rsidR="00A84F0F" w:rsidRPr="00CE17A4" w:rsidRDefault="00A84F0F"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352</w:t>
            </w:r>
          </w:p>
        </w:tc>
        <w:tc>
          <w:tcPr>
            <w:tcW w:w="1275" w:type="dxa"/>
            <w:tcBorders>
              <w:top w:val="nil"/>
              <w:left w:val="nil"/>
              <w:bottom w:val="single" w:sz="4" w:space="0" w:color="auto"/>
              <w:right w:val="single" w:sz="4" w:space="0" w:color="auto"/>
            </w:tcBorders>
            <w:shd w:val="clear" w:color="auto" w:fill="auto"/>
            <w:noWrap/>
            <w:vAlign w:val="center"/>
          </w:tcPr>
          <w:p w14:paraId="676FB8A0" w14:textId="1DFCDA5E"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w:t>
            </w:r>
            <w:r w:rsidR="000339A3" w:rsidRPr="00CE17A4">
              <w:rPr>
                <w:rFonts w:asciiTheme="minorHAnsi" w:eastAsia="Times New Roman" w:hAnsiTheme="minorHAnsi" w:cstheme="minorHAnsi"/>
                <w:noProof/>
                <w:sz w:val="20"/>
                <w:szCs w:val="20"/>
                <w:lang w:val="es-ES" w:eastAsia="en-GB"/>
              </w:rPr>
              <w:t xml:space="preserve"> </w:t>
            </w:r>
            <w:r w:rsidRPr="00CE17A4">
              <w:rPr>
                <w:rFonts w:asciiTheme="minorHAnsi" w:eastAsia="Times New Roman" w:hAnsiTheme="minorHAnsi" w:cstheme="minorHAnsi"/>
                <w:noProof/>
                <w:sz w:val="20"/>
                <w:szCs w:val="20"/>
                <w:lang w:val="es-ES" w:eastAsia="en-GB"/>
              </w:rPr>
              <w:t>056</w:t>
            </w:r>
          </w:p>
        </w:tc>
      </w:tr>
      <w:tr w:rsidR="00A84F0F" w:rsidRPr="007D7B87" w14:paraId="598811E2" w14:textId="77777777" w:rsidTr="00CE17A4">
        <w:tc>
          <w:tcPr>
            <w:tcW w:w="3690" w:type="dxa"/>
            <w:tcBorders>
              <w:top w:val="nil"/>
              <w:left w:val="single" w:sz="4" w:space="0" w:color="auto"/>
              <w:bottom w:val="single" w:sz="4" w:space="0" w:color="auto"/>
              <w:right w:val="single" w:sz="4" w:space="0" w:color="auto"/>
            </w:tcBorders>
            <w:shd w:val="clear" w:color="auto" w:fill="auto"/>
            <w:noWrap/>
            <w:vAlign w:val="center"/>
          </w:tcPr>
          <w:p w14:paraId="6982283E" w14:textId="1103F6A6" w:rsidR="00A84F0F" w:rsidRPr="00CE17A4" w:rsidRDefault="00A84F0F" w:rsidP="00A84F0F">
            <w:pPr>
              <w:ind w:left="0" w:firstLine="0"/>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Programa de CECoP</w:t>
            </w:r>
          </w:p>
        </w:tc>
        <w:tc>
          <w:tcPr>
            <w:tcW w:w="1254" w:type="dxa"/>
            <w:tcBorders>
              <w:top w:val="nil"/>
              <w:left w:val="nil"/>
              <w:bottom w:val="single" w:sz="4" w:space="0" w:color="auto"/>
              <w:right w:val="single" w:sz="4" w:space="0" w:color="auto"/>
            </w:tcBorders>
            <w:vAlign w:val="center"/>
          </w:tcPr>
          <w:p w14:paraId="24DA2D96" w14:textId="2178A866"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30</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414ECE88" w14:textId="20D19F54"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30</w:t>
            </w:r>
          </w:p>
        </w:tc>
        <w:tc>
          <w:tcPr>
            <w:tcW w:w="1254" w:type="dxa"/>
            <w:tcBorders>
              <w:top w:val="nil"/>
              <w:left w:val="nil"/>
              <w:bottom w:val="single" w:sz="4" w:space="0" w:color="auto"/>
              <w:right w:val="single" w:sz="4" w:space="0" w:color="auto"/>
            </w:tcBorders>
            <w:shd w:val="clear" w:color="auto" w:fill="auto"/>
            <w:noWrap/>
            <w:vAlign w:val="center"/>
          </w:tcPr>
          <w:p w14:paraId="0756027D" w14:textId="77777777"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30</w:t>
            </w:r>
          </w:p>
        </w:tc>
        <w:tc>
          <w:tcPr>
            <w:tcW w:w="1254" w:type="dxa"/>
            <w:tcBorders>
              <w:top w:val="nil"/>
              <w:left w:val="nil"/>
              <w:bottom w:val="single" w:sz="4" w:space="0" w:color="auto"/>
              <w:right w:val="single" w:sz="4" w:space="0" w:color="auto"/>
            </w:tcBorders>
            <w:shd w:val="clear" w:color="auto" w:fill="auto"/>
            <w:noWrap/>
            <w:vAlign w:val="center"/>
          </w:tcPr>
          <w:p w14:paraId="09AA290A" w14:textId="77777777" w:rsidR="00A84F0F" w:rsidRPr="00CE17A4" w:rsidRDefault="00A84F0F"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30</w:t>
            </w:r>
          </w:p>
        </w:tc>
        <w:tc>
          <w:tcPr>
            <w:tcW w:w="1275" w:type="dxa"/>
            <w:tcBorders>
              <w:top w:val="nil"/>
              <w:left w:val="nil"/>
              <w:bottom w:val="single" w:sz="4" w:space="0" w:color="auto"/>
              <w:right w:val="single" w:sz="4" w:space="0" w:color="auto"/>
            </w:tcBorders>
            <w:shd w:val="clear" w:color="auto" w:fill="auto"/>
            <w:noWrap/>
            <w:vAlign w:val="center"/>
          </w:tcPr>
          <w:p w14:paraId="5FF51DE0" w14:textId="77777777"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90</w:t>
            </w:r>
          </w:p>
        </w:tc>
      </w:tr>
      <w:tr w:rsidR="00A84F0F" w:rsidRPr="007D7B87" w14:paraId="7932CEEE" w14:textId="77777777" w:rsidTr="00CE17A4">
        <w:tc>
          <w:tcPr>
            <w:tcW w:w="3690" w:type="dxa"/>
            <w:tcBorders>
              <w:top w:val="nil"/>
              <w:left w:val="single" w:sz="4" w:space="0" w:color="auto"/>
              <w:bottom w:val="single" w:sz="4" w:space="0" w:color="auto"/>
              <w:right w:val="single" w:sz="4" w:space="0" w:color="auto"/>
            </w:tcBorders>
            <w:shd w:val="clear" w:color="auto" w:fill="auto"/>
            <w:noWrap/>
            <w:vAlign w:val="center"/>
          </w:tcPr>
          <w:p w14:paraId="54230070" w14:textId="08939B14" w:rsidR="00A84F0F" w:rsidRPr="00CE17A4" w:rsidRDefault="00A84F0F" w:rsidP="00A84F0F">
            <w:pPr>
              <w:ind w:left="0" w:firstLine="0"/>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Comunicaciones, traducción, publicaciones e informes sobre la aplicación</w:t>
            </w:r>
          </w:p>
        </w:tc>
        <w:tc>
          <w:tcPr>
            <w:tcW w:w="1254" w:type="dxa"/>
            <w:tcBorders>
              <w:top w:val="nil"/>
              <w:left w:val="nil"/>
              <w:bottom w:val="single" w:sz="4" w:space="0" w:color="auto"/>
              <w:right w:val="single" w:sz="4" w:space="0" w:color="auto"/>
            </w:tcBorders>
            <w:vAlign w:val="center"/>
          </w:tcPr>
          <w:p w14:paraId="49C834BE" w14:textId="54710DC9"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60</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5DD4B3C2" w14:textId="6113A5B0"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60</w:t>
            </w:r>
          </w:p>
        </w:tc>
        <w:tc>
          <w:tcPr>
            <w:tcW w:w="1254" w:type="dxa"/>
            <w:tcBorders>
              <w:top w:val="nil"/>
              <w:left w:val="nil"/>
              <w:bottom w:val="single" w:sz="4" w:space="0" w:color="auto"/>
              <w:right w:val="single" w:sz="4" w:space="0" w:color="auto"/>
            </w:tcBorders>
            <w:shd w:val="clear" w:color="auto" w:fill="auto"/>
            <w:noWrap/>
            <w:vAlign w:val="center"/>
          </w:tcPr>
          <w:p w14:paraId="440108F8" w14:textId="77777777"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60</w:t>
            </w:r>
          </w:p>
        </w:tc>
        <w:tc>
          <w:tcPr>
            <w:tcW w:w="1254" w:type="dxa"/>
            <w:tcBorders>
              <w:top w:val="nil"/>
              <w:left w:val="nil"/>
              <w:bottom w:val="single" w:sz="4" w:space="0" w:color="auto"/>
              <w:right w:val="single" w:sz="4" w:space="0" w:color="auto"/>
            </w:tcBorders>
            <w:shd w:val="clear" w:color="auto" w:fill="auto"/>
            <w:noWrap/>
            <w:vAlign w:val="center"/>
          </w:tcPr>
          <w:p w14:paraId="76C1F6B8" w14:textId="77777777" w:rsidR="00A84F0F" w:rsidRPr="00CE17A4" w:rsidRDefault="00A84F0F"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60</w:t>
            </w:r>
          </w:p>
        </w:tc>
        <w:tc>
          <w:tcPr>
            <w:tcW w:w="1275" w:type="dxa"/>
            <w:tcBorders>
              <w:top w:val="nil"/>
              <w:left w:val="nil"/>
              <w:bottom w:val="single" w:sz="4" w:space="0" w:color="auto"/>
              <w:right w:val="single" w:sz="4" w:space="0" w:color="auto"/>
            </w:tcBorders>
            <w:shd w:val="clear" w:color="auto" w:fill="auto"/>
            <w:noWrap/>
            <w:vAlign w:val="center"/>
          </w:tcPr>
          <w:p w14:paraId="0A22EEE0" w14:textId="77777777"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180</w:t>
            </w:r>
          </w:p>
        </w:tc>
      </w:tr>
      <w:tr w:rsidR="00A84F0F" w:rsidRPr="007D7B87" w14:paraId="6BD53FAA" w14:textId="77777777" w:rsidTr="00CE17A4">
        <w:tc>
          <w:tcPr>
            <w:tcW w:w="3690" w:type="dxa"/>
            <w:tcBorders>
              <w:top w:val="nil"/>
              <w:left w:val="single" w:sz="4" w:space="0" w:color="auto"/>
              <w:bottom w:val="single" w:sz="4" w:space="0" w:color="auto"/>
              <w:right w:val="single" w:sz="4" w:space="0" w:color="auto"/>
            </w:tcBorders>
            <w:shd w:val="clear" w:color="auto" w:fill="auto"/>
            <w:noWrap/>
            <w:vAlign w:val="center"/>
          </w:tcPr>
          <w:p w14:paraId="2D396C36" w14:textId="622962F5" w:rsidR="00A84F0F" w:rsidRPr="00CE17A4" w:rsidRDefault="00A84F0F" w:rsidP="00A84F0F">
            <w:pPr>
              <w:ind w:left="0" w:firstLine="0"/>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Apoyo y desarrollo del sitio web/tecnologías de la información</w:t>
            </w:r>
          </w:p>
        </w:tc>
        <w:tc>
          <w:tcPr>
            <w:tcW w:w="1254" w:type="dxa"/>
            <w:tcBorders>
              <w:top w:val="nil"/>
              <w:left w:val="nil"/>
              <w:bottom w:val="single" w:sz="4" w:space="0" w:color="auto"/>
              <w:right w:val="single" w:sz="4" w:space="0" w:color="auto"/>
            </w:tcBorders>
            <w:vAlign w:val="center"/>
          </w:tcPr>
          <w:p w14:paraId="23A11195" w14:textId="6193DA3C"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56</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0EF90EE4" w14:textId="209C34C4"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56</w:t>
            </w:r>
          </w:p>
        </w:tc>
        <w:tc>
          <w:tcPr>
            <w:tcW w:w="1254" w:type="dxa"/>
            <w:tcBorders>
              <w:top w:val="nil"/>
              <w:left w:val="nil"/>
              <w:bottom w:val="single" w:sz="4" w:space="0" w:color="auto"/>
              <w:right w:val="single" w:sz="4" w:space="0" w:color="auto"/>
            </w:tcBorders>
            <w:shd w:val="clear" w:color="auto" w:fill="auto"/>
            <w:noWrap/>
            <w:vAlign w:val="center"/>
          </w:tcPr>
          <w:p w14:paraId="03BCE7F2" w14:textId="77777777"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56</w:t>
            </w:r>
          </w:p>
        </w:tc>
        <w:tc>
          <w:tcPr>
            <w:tcW w:w="1254" w:type="dxa"/>
            <w:tcBorders>
              <w:top w:val="nil"/>
              <w:left w:val="nil"/>
              <w:bottom w:val="single" w:sz="4" w:space="0" w:color="auto"/>
              <w:right w:val="single" w:sz="4" w:space="0" w:color="auto"/>
            </w:tcBorders>
            <w:shd w:val="clear" w:color="auto" w:fill="auto"/>
            <w:noWrap/>
            <w:vAlign w:val="center"/>
          </w:tcPr>
          <w:p w14:paraId="011ADB5A" w14:textId="77777777" w:rsidR="00A84F0F" w:rsidRPr="00CE17A4" w:rsidRDefault="00A84F0F"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56</w:t>
            </w:r>
          </w:p>
        </w:tc>
        <w:tc>
          <w:tcPr>
            <w:tcW w:w="1275" w:type="dxa"/>
            <w:tcBorders>
              <w:top w:val="nil"/>
              <w:left w:val="nil"/>
              <w:bottom w:val="single" w:sz="4" w:space="0" w:color="auto"/>
              <w:right w:val="single" w:sz="4" w:space="0" w:color="auto"/>
            </w:tcBorders>
            <w:shd w:val="clear" w:color="auto" w:fill="auto"/>
            <w:noWrap/>
            <w:vAlign w:val="center"/>
          </w:tcPr>
          <w:p w14:paraId="7E5DB427" w14:textId="77777777"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168</w:t>
            </w:r>
          </w:p>
        </w:tc>
      </w:tr>
      <w:tr w:rsidR="00A84F0F" w:rsidRPr="007D7B87" w14:paraId="0D76CE64" w14:textId="77777777" w:rsidTr="00CE17A4">
        <w:tc>
          <w:tcPr>
            <w:tcW w:w="3690" w:type="dxa"/>
            <w:tcBorders>
              <w:top w:val="nil"/>
              <w:left w:val="single" w:sz="4" w:space="0" w:color="auto"/>
              <w:bottom w:val="single" w:sz="4" w:space="0" w:color="auto"/>
              <w:right w:val="single" w:sz="4" w:space="0" w:color="auto"/>
            </w:tcBorders>
            <w:shd w:val="clear" w:color="auto" w:fill="auto"/>
            <w:noWrap/>
            <w:vAlign w:val="center"/>
          </w:tcPr>
          <w:p w14:paraId="6EF8601B" w14:textId="0C42795A" w:rsidR="00A84F0F" w:rsidRPr="00CE17A4" w:rsidRDefault="00A84F0F" w:rsidP="00A84F0F">
            <w:pPr>
              <w:ind w:left="0" w:firstLine="0"/>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Viajes</w:t>
            </w:r>
          </w:p>
        </w:tc>
        <w:tc>
          <w:tcPr>
            <w:tcW w:w="1254" w:type="dxa"/>
            <w:tcBorders>
              <w:top w:val="nil"/>
              <w:left w:val="nil"/>
              <w:bottom w:val="single" w:sz="4" w:space="0" w:color="auto"/>
              <w:right w:val="single" w:sz="4" w:space="0" w:color="auto"/>
            </w:tcBorders>
            <w:vAlign w:val="center"/>
          </w:tcPr>
          <w:p w14:paraId="3BE5303D" w14:textId="1EA41A3F"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10</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498BD5AF" w14:textId="752C3474" w:rsidR="00A84F0F" w:rsidRPr="00CE17A4" w:rsidDel="00A6664E"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10</w:t>
            </w:r>
          </w:p>
        </w:tc>
        <w:tc>
          <w:tcPr>
            <w:tcW w:w="1254" w:type="dxa"/>
            <w:tcBorders>
              <w:top w:val="nil"/>
              <w:left w:val="nil"/>
              <w:bottom w:val="single" w:sz="4" w:space="0" w:color="auto"/>
              <w:right w:val="single" w:sz="4" w:space="0" w:color="auto"/>
            </w:tcBorders>
            <w:shd w:val="clear" w:color="auto" w:fill="auto"/>
            <w:noWrap/>
            <w:vAlign w:val="center"/>
          </w:tcPr>
          <w:p w14:paraId="14916761" w14:textId="77777777" w:rsidR="00A84F0F" w:rsidRPr="00CE17A4" w:rsidDel="00A6664E"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10</w:t>
            </w:r>
          </w:p>
        </w:tc>
        <w:tc>
          <w:tcPr>
            <w:tcW w:w="1254" w:type="dxa"/>
            <w:tcBorders>
              <w:top w:val="nil"/>
              <w:left w:val="nil"/>
              <w:bottom w:val="single" w:sz="4" w:space="0" w:color="auto"/>
              <w:right w:val="single" w:sz="4" w:space="0" w:color="auto"/>
            </w:tcBorders>
            <w:shd w:val="clear" w:color="auto" w:fill="auto"/>
            <w:noWrap/>
            <w:vAlign w:val="center"/>
          </w:tcPr>
          <w:p w14:paraId="2937AEAF" w14:textId="77777777" w:rsidR="00A84F0F" w:rsidRPr="00CE17A4" w:rsidDel="00A6664E" w:rsidRDefault="00A84F0F"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10</w:t>
            </w:r>
          </w:p>
        </w:tc>
        <w:tc>
          <w:tcPr>
            <w:tcW w:w="1275" w:type="dxa"/>
            <w:tcBorders>
              <w:top w:val="nil"/>
              <w:left w:val="nil"/>
              <w:bottom w:val="single" w:sz="4" w:space="0" w:color="auto"/>
              <w:right w:val="single" w:sz="4" w:space="0" w:color="auto"/>
            </w:tcBorders>
            <w:shd w:val="clear" w:color="auto" w:fill="auto"/>
            <w:noWrap/>
            <w:vAlign w:val="center"/>
          </w:tcPr>
          <w:p w14:paraId="58353D20" w14:textId="77777777" w:rsidR="00A84F0F" w:rsidRPr="00CE17A4" w:rsidDel="00A6664E"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30</w:t>
            </w:r>
          </w:p>
        </w:tc>
      </w:tr>
      <w:tr w:rsidR="00A84F0F" w:rsidRPr="007D7B87" w14:paraId="20EC21B7" w14:textId="77777777" w:rsidTr="00CE17A4">
        <w:tc>
          <w:tcPr>
            <w:tcW w:w="3690" w:type="dxa"/>
            <w:tcBorders>
              <w:top w:val="nil"/>
              <w:left w:val="single" w:sz="4" w:space="0" w:color="auto"/>
              <w:bottom w:val="single" w:sz="4" w:space="0" w:color="auto"/>
              <w:right w:val="single" w:sz="4" w:space="0" w:color="auto"/>
            </w:tcBorders>
            <w:shd w:val="clear" w:color="000000" w:fill="C4D79B"/>
            <w:noWrap/>
            <w:vAlign w:val="center"/>
          </w:tcPr>
          <w:p w14:paraId="21D89D09" w14:textId="75614556" w:rsidR="00A84F0F" w:rsidRPr="00CE17A4" w:rsidRDefault="00A84F0F" w:rsidP="00A84F0F">
            <w:pPr>
              <w:ind w:left="0" w:firstLine="0"/>
              <w:rPr>
                <w:rFonts w:asciiTheme="minorHAnsi" w:eastAsia="Times New Roman" w:hAnsiTheme="minorHAnsi" w:cstheme="minorHAnsi"/>
                <w:b/>
                <w:bCs/>
                <w:noProof/>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 xml:space="preserve">C.  </w:t>
            </w:r>
            <w:r w:rsidRPr="00CE17A4">
              <w:rPr>
                <w:rFonts w:asciiTheme="minorHAnsi" w:eastAsia="Times New Roman" w:hAnsiTheme="minorHAnsi" w:cstheme="minorHAnsi"/>
                <w:b/>
                <w:bCs/>
                <w:noProof/>
                <w:sz w:val="20"/>
                <w:szCs w:val="20"/>
                <w:lang w:val="es-ES" w:eastAsia="en-GB"/>
              </w:rPr>
              <w:t>Asesoramiento y apoyo regionales</w:t>
            </w:r>
          </w:p>
        </w:tc>
        <w:tc>
          <w:tcPr>
            <w:tcW w:w="1254" w:type="dxa"/>
            <w:tcBorders>
              <w:top w:val="nil"/>
              <w:left w:val="nil"/>
              <w:bottom w:val="single" w:sz="4" w:space="0" w:color="auto"/>
              <w:right w:val="single" w:sz="4" w:space="0" w:color="auto"/>
            </w:tcBorders>
            <w:shd w:val="clear" w:color="000000" w:fill="C4D79B"/>
            <w:vAlign w:val="center"/>
          </w:tcPr>
          <w:p w14:paraId="424BBA39" w14:textId="389A3B33" w:rsidR="00A84F0F" w:rsidRPr="00CE17A4" w:rsidRDefault="00A84F0F"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1</w:t>
            </w:r>
            <w:r w:rsidR="001A764A" w:rsidRPr="00CE17A4">
              <w:rPr>
                <w:rFonts w:asciiTheme="minorHAnsi" w:eastAsia="Times New Roman" w:hAnsiTheme="minorHAnsi" w:cstheme="minorHAnsi"/>
                <w:b/>
                <w:bCs/>
                <w:noProof/>
                <w:color w:val="000000"/>
                <w:sz w:val="20"/>
                <w:szCs w:val="20"/>
                <w:lang w:val="es-ES" w:eastAsia="en-GB"/>
              </w:rPr>
              <w:t xml:space="preserve"> </w:t>
            </w:r>
            <w:r w:rsidRPr="00CE17A4">
              <w:rPr>
                <w:rFonts w:asciiTheme="minorHAnsi" w:eastAsia="Times New Roman" w:hAnsiTheme="minorHAnsi" w:cstheme="minorHAnsi"/>
                <w:b/>
                <w:bCs/>
                <w:noProof/>
                <w:color w:val="000000"/>
                <w:sz w:val="20"/>
                <w:szCs w:val="20"/>
                <w:lang w:val="es-ES" w:eastAsia="en-GB"/>
              </w:rPr>
              <w:t>237</w:t>
            </w:r>
          </w:p>
        </w:tc>
        <w:tc>
          <w:tcPr>
            <w:tcW w:w="1254" w:type="dxa"/>
            <w:tcBorders>
              <w:top w:val="nil"/>
              <w:left w:val="single" w:sz="4" w:space="0" w:color="auto"/>
              <w:bottom w:val="single" w:sz="4" w:space="0" w:color="auto"/>
              <w:right w:val="single" w:sz="4" w:space="0" w:color="auto"/>
            </w:tcBorders>
            <w:shd w:val="clear" w:color="000000" w:fill="C4D79B"/>
            <w:noWrap/>
            <w:vAlign w:val="center"/>
          </w:tcPr>
          <w:p w14:paraId="0E0D196C" w14:textId="4E473392" w:rsidR="00A84F0F" w:rsidRPr="00CE17A4" w:rsidRDefault="00A84F0F"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1</w:t>
            </w:r>
            <w:r w:rsidR="001A764A" w:rsidRPr="00CE17A4">
              <w:rPr>
                <w:rFonts w:asciiTheme="minorHAnsi" w:eastAsia="Times New Roman" w:hAnsiTheme="minorHAnsi" w:cstheme="minorHAnsi"/>
                <w:b/>
                <w:bCs/>
                <w:noProof/>
                <w:color w:val="000000"/>
                <w:sz w:val="20"/>
                <w:szCs w:val="20"/>
                <w:lang w:val="es-ES" w:eastAsia="en-GB"/>
              </w:rPr>
              <w:t xml:space="preserve"> </w:t>
            </w:r>
            <w:r w:rsidRPr="00CE17A4">
              <w:rPr>
                <w:rFonts w:asciiTheme="minorHAnsi" w:eastAsia="Times New Roman" w:hAnsiTheme="minorHAnsi" w:cstheme="minorHAnsi"/>
                <w:b/>
                <w:bCs/>
                <w:noProof/>
                <w:color w:val="000000"/>
                <w:sz w:val="20"/>
                <w:szCs w:val="20"/>
                <w:lang w:val="es-ES" w:eastAsia="en-GB"/>
              </w:rPr>
              <w:t>309</w:t>
            </w:r>
          </w:p>
        </w:tc>
        <w:tc>
          <w:tcPr>
            <w:tcW w:w="1254" w:type="dxa"/>
            <w:tcBorders>
              <w:top w:val="nil"/>
              <w:left w:val="nil"/>
              <w:bottom w:val="single" w:sz="4" w:space="0" w:color="auto"/>
              <w:right w:val="single" w:sz="4" w:space="0" w:color="auto"/>
            </w:tcBorders>
            <w:shd w:val="clear" w:color="000000" w:fill="C4D79B"/>
            <w:noWrap/>
            <w:vAlign w:val="center"/>
          </w:tcPr>
          <w:p w14:paraId="2794EBB9" w14:textId="3534E109" w:rsidR="00A84F0F" w:rsidRPr="00CE17A4" w:rsidRDefault="00A84F0F"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1</w:t>
            </w:r>
            <w:r w:rsidR="001A764A" w:rsidRPr="00CE17A4">
              <w:rPr>
                <w:rFonts w:asciiTheme="minorHAnsi" w:eastAsia="Times New Roman" w:hAnsiTheme="minorHAnsi" w:cstheme="minorHAnsi"/>
                <w:b/>
                <w:bCs/>
                <w:noProof/>
                <w:color w:val="000000"/>
                <w:sz w:val="20"/>
                <w:szCs w:val="20"/>
                <w:lang w:val="es-ES" w:eastAsia="en-GB"/>
              </w:rPr>
              <w:t xml:space="preserve"> </w:t>
            </w:r>
            <w:r w:rsidRPr="00CE17A4">
              <w:rPr>
                <w:rFonts w:asciiTheme="minorHAnsi" w:eastAsia="Times New Roman" w:hAnsiTheme="minorHAnsi" w:cstheme="minorHAnsi"/>
                <w:b/>
                <w:bCs/>
                <w:noProof/>
                <w:color w:val="000000"/>
                <w:sz w:val="20"/>
                <w:szCs w:val="20"/>
                <w:lang w:val="es-ES" w:eastAsia="en-GB"/>
              </w:rPr>
              <w:t>316</w:t>
            </w:r>
          </w:p>
        </w:tc>
        <w:tc>
          <w:tcPr>
            <w:tcW w:w="1254" w:type="dxa"/>
            <w:tcBorders>
              <w:top w:val="nil"/>
              <w:left w:val="nil"/>
              <w:bottom w:val="single" w:sz="4" w:space="0" w:color="auto"/>
              <w:right w:val="single" w:sz="4" w:space="0" w:color="auto"/>
            </w:tcBorders>
            <w:shd w:val="clear" w:color="000000" w:fill="C4D79B"/>
            <w:noWrap/>
            <w:vAlign w:val="center"/>
          </w:tcPr>
          <w:p w14:paraId="1723E77C" w14:textId="3A19D798" w:rsidR="00A84F0F" w:rsidRPr="00CE17A4" w:rsidRDefault="00A84F0F"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1</w:t>
            </w:r>
            <w:r w:rsidR="001A764A" w:rsidRPr="00CE17A4">
              <w:rPr>
                <w:rFonts w:asciiTheme="minorHAnsi" w:eastAsia="Times New Roman" w:hAnsiTheme="minorHAnsi" w:cstheme="minorHAnsi"/>
                <w:b/>
                <w:bCs/>
                <w:noProof/>
                <w:color w:val="000000"/>
                <w:sz w:val="20"/>
                <w:szCs w:val="20"/>
                <w:lang w:val="es-ES" w:eastAsia="en-GB"/>
              </w:rPr>
              <w:t xml:space="preserve"> </w:t>
            </w:r>
            <w:r w:rsidRPr="00CE17A4">
              <w:rPr>
                <w:rFonts w:asciiTheme="minorHAnsi" w:eastAsia="Times New Roman" w:hAnsiTheme="minorHAnsi" w:cstheme="minorHAnsi"/>
                <w:b/>
                <w:bCs/>
                <w:noProof/>
                <w:color w:val="000000"/>
                <w:sz w:val="20"/>
                <w:szCs w:val="20"/>
                <w:lang w:val="es-ES" w:eastAsia="en-GB"/>
              </w:rPr>
              <w:t>318</w:t>
            </w:r>
          </w:p>
        </w:tc>
        <w:tc>
          <w:tcPr>
            <w:tcW w:w="1275" w:type="dxa"/>
            <w:tcBorders>
              <w:top w:val="nil"/>
              <w:left w:val="nil"/>
              <w:bottom w:val="single" w:sz="4" w:space="0" w:color="auto"/>
              <w:right w:val="single" w:sz="4" w:space="0" w:color="auto"/>
            </w:tcBorders>
            <w:shd w:val="clear" w:color="000000" w:fill="C4D79B"/>
            <w:noWrap/>
            <w:vAlign w:val="center"/>
          </w:tcPr>
          <w:p w14:paraId="57743A44" w14:textId="5C83B644" w:rsidR="00A84F0F" w:rsidRPr="00CE17A4" w:rsidRDefault="00A84F0F"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3</w:t>
            </w:r>
            <w:r w:rsidR="001A764A" w:rsidRPr="00CE17A4">
              <w:rPr>
                <w:rFonts w:asciiTheme="minorHAnsi" w:eastAsia="Times New Roman" w:hAnsiTheme="minorHAnsi" w:cstheme="minorHAnsi"/>
                <w:b/>
                <w:bCs/>
                <w:noProof/>
                <w:color w:val="000000"/>
                <w:sz w:val="20"/>
                <w:szCs w:val="20"/>
                <w:lang w:val="es-ES" w:eastAsia="en-GB"/>
              </w:rPr>
              <w:t xml:space="preserve"> </w:t>
            </w:r>
            <w:r w:rsidRPr="00CE17A4">
              <w:rPr>
                <w:rFonts w:asciiTheme="minorHAnsi" w:eastAsia="Times New Roman" w:hAnsiTheme="minorHAnsi" w:cstheme="minorHAnsi"/>
                <w:b/>
                <w:bCs/>
                <w:noProof/>
                <w:color w:val="000000"/>
                <w:sz w:val="20"/>
                <w:szCs w:val="20"/>
                <w:lang w:val="es-ES" w:eastAsia="en-GB"/>
              </w:rPr>
              <w:t>943</w:t>
            </w:r>
          </w:p>
        </w:tc>
      </w:tr>
      <w:tr w:rsidR="00A84F0F" w:rsidRPr="007D7B87" w14:paraId="7EE18C79" w14:textId="77777777" w:rsidTr="00CE17A4">
        <w:tc>
          <w:tcPr>
            <w:tcW w:w="3690" w:type="dxa"/>
            <w:tcBorders>
              <w:top w:val="nil"/>
              <w:left w:val="single" w:sz="4" w:space="0" w:color="auto"/>
              <w:bottom w:val="single" w:sz="4" w:space="0" w:color="auto"/>
              <w:right w:val="single" w:sz="4" w:space="0" w:color="auto"/>
            </w:tcBorders>
            <w:shd w:val="clear" w:color="auto" w:fill="auto"/>
            <w:noWrap/>
            <w:vAlign w:val="center"/>
          </w:tcPr>
          <w:p w14:paraId="1DD6293F" w14:textId="6928CC03" w:rsidR="00A84F0F" w:rsidRPr="00CE17A4" w:rsidRDefault="00A84F0F" w:rsidP="00A84F0F">
            <w:pPr>
              <w:ind w:left="0" w:firstLine="0"/>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Salarios, gastos sociales y otras prestaciones laborales</w:t>
            </w:r>
          </w:p>
        </w:tc>
        <w:tc>
          <w:tcPr>
            <w:tcW w:w="1254" w:type="dxa"/>
            <w:tcBorders>
              <w:top w:val="nil"/>
              <w:left w:val="nil"/>
              <w:bottom w:val="single" w:sz="4" w:space="0" w:color="auto"/>
              <w:right w:val="single" w:sz="4" w:space="0" w:color="auto"/>
            </w:tcBorders>
            <w:vAlign w:val="center"/>
          </w:tcPr>
          <w:p w14:paraId="5977F6B0" w14:textId="0A763AA5"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w:t>
            </w:r>
            <w:r w:rsidR="001A764A" w:rsidRPr="00CE17A4">
              <w:rPr>
                <w:rFonts w:asciiTheme="minorHAnsi" w:eastAsia="Times New Roman" w:hAnsiTheme="minorHAnsi" w:cstheme="minorHAnsi"/>
                <w:noProof/>
                <w:sz w:val="20"/>
                <w:szCs w:val="20"/>
                <w:lang w:val="es-ES" w:eastAsia="en-GB"/>
              </w:rPr>
              <w:t xml:space="preserve"> </w:t>
            </w:r>
            <w:r w:rsidRPr="00CE17A4">
              <w:rPr>
                <w:rFonts w:asciiTheme="minorHAnsi" w:eastAsia="Times New Roman" w:hAnsiTheme="minorHAnsi" w:cstheme="minorHAnsi"/>
                <w:noProof/>
                <w:sz w:val="20"/>
                <w:szCs w:val="20"/>
                <w:lang w:val="es-ES" w:eastAsia="en-GB"/>
              </w:rPr>
              <w:t>170</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3BF91F78" w14:textId="4A32ECEF"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w:t>
            </w:r>
            <w:r w:rsidR="001A764A" w:rsidRPr="00CE17A4">
              <w:rPr>
                <w:rFonts w:asciiTheme="minorHAnsi" w:eastAsia="Times New Roman" w:hAnsiTheme="minorHAnsi" w:cstheme="minorHAnsi"/>
                <w:noProof/>
                <w:sz w:val="20"/>
                <w:szCs w:val="20"/>
                <w:lang w:val="es-ES" w:eastAsia="en-GB"/>
              </w:rPr>
              <w:t xml:space="preserve"> </w:t>
            </w:r>
            <w:r w:rsidRPr="00CE17A4">
              <w:rPr>
                <w:rFonts w:asciiTheme="minorHAnsi" w:eastAsia="Times New Roman" w:hAnsiTheme="minorHAnsi" w:cstheme="minorHAnsi"/>
                <w:noProof/>
                <w:sz w:val="20"/>
                <w:szCs w:val="20"/>
                <w:lang w:val="es-ES" w:eastAsia="en-GB"/>
              </w:rPr>
              <w:t>242</w:t>
            </w:r>
          </w:p>
        </w:tc>
        <w:tc>
          <w:tcPr>
            <w:tcW w:w="1254" w:type="dxa"/>
            <w:tcBorders>
              <w:top w:val="nil"/>
              <w:left w:val="nil"/>
              <w:bottom w:val="single" w:sz="4" w:space="0" w:color="auto"/>
              <w:right w:val="single" w:sz="4" w:space="0" w:color="auto"/>
            </w:tcBorders>
            <w:shd w:val="clear" w:color="auto" w:fill="auto"/>
            <w:noWrap/>
            <w:vAlign w:val="center"/>
          </w:tcPr>
          <w:p w14:paraId="5F39004E" w14:textId="21F9E86F"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w:t>
            </w:r>
            <w:r w:rsidR="001A764A" w:rsidRPr="00CE17A4">
              <w:rPr>
                <w:rFonts w:asciiTheme="minorHAnsi" w:eastAsia="Times New Roman" w:hAnsiTheme="minorHAnsi" w:cstheme="minorHAnsi"/>
                <w:noProof/>
                <w:sz w:val="20"/>
                <w:szCs w:val="20"/>
                <w:lang w:val="es-ES" w:eastAsia="en-GB"/>
              </w:rPr>
              <w:t xml:space="preserve"> </w:t>
            </w:r>
            <w:r w:rsidRPr="00CE17A4">
              <w:rPr>
                <w:rFonts w:asciiTheme="minorHAnsi" w:eastAsia="Times New Roman" w:hAnsiTheme="minorHAnsi" w:cstheme="minorHAnsi"/>
                <w:noProof/>
                <w:sz w:val="20"/>
                <w:szCs w:val="20"/>
                <w:lang w:val="es-ES" w:eastAsia="en-GB"/>
              </w:rPr>
              <w:t>249</w:t>
            </w:r>
          </w:p>
        </w:tc>
        <w:tc>
          <w:tcPr>
            <w:tcW w:w="1254" w:type="dxa"/>
            <w:tcBorders>
              <w:top w:val="nil"/>
              <w:left w:val="nil"/>
              <w:bottom w:val="single" w:sz="4" w:space="0" w:color="auto"/>
              <w:right w:val="single" w:sz="4" w:space="0" w:color="auto"/>
            </w:tcBorders>
            <w:shd w:val="clear" w:color="auto" w:fill="auto"/>
            <w:noWrap/>
            <w:vAlign w:val="center"/>
          </w:tcPr>
          <w:p w14:paraId="28CD95A4" w14:textId="1785B567" w:rsidR="00A84F0F" w:rsidRPr="00CE17A4" w:rsidRDefault="00A84F0F"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1</w:t>
            </w:r>
            <w:r w:rsidR="001A764A" w:rsidRPr="00CE17A4">
              <w:rPr>
                <w:rFonts w:asciiTheme="minorHAnsi" w:eastAsia="Times New Roman" w:hAnsiTheme="minorHAnsi" w:cstheme="minorHAnsi"/>
                <w:noProof/>
                <w:color w:val="000000"/>
                <w:sz w:val="20"/>
                <w:szCs w:val="20"/>
                <w:lang w:val="es-ES" w:eastAsia="en-GB"/>
              </w:rPr>
              <w:t xml:space="preserve"> </w:t>
            </w:r>
            <w:r w:rsidRPr="00CE17A4">
              <w:rPr>
                <w:rFonts w:asciiTheme="minorHAnsi" w:eastAsia="Times New Roman" w:hAnsiTheme="minorHAnsi" w:cstheme="minorHAnsi"/>
                <w:noProof/>
                <w:color w:val="000000"/>
                <w:sz w:val="20"/>
                <w:szCs w:val="20"/>
                <w:lang w:val="es-ES" w:eastAsia="en-GB"/>
              </w:rPr>
              <w:t>251</w:t>
            </w:r>
          </w:p>
        </w:tc>
        <w:tc>
          <w:tcPr>
            <w:tcW w:w="1275" w:type="dxa"/>
            <w:tcBorders>
              <w:top w:val="nil"/>
              <w:left w:val="nil"/>
              <w:bottom w:val="single" w:sz="4" w:space="0" w:color="auto"/>
              <w:right w:val="single" w:sz="4" w:space="0" w:color="auto"/>
            </w:tcBorders>
            <w:shd w:val="clear" w:color="auto" w:fill="auto"/>
            <w:noWrap/>
            <w:vAlign w:val="center"/>
          </w:tcPr>
          <w:p w14:paraId="71F27E3B" w14:textId="5CAD873D"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3</w:t>
            </w:r>
            <w:r w:rsidR="001A764A" w:rsidRPr="00CE17A4">
              <w:rPr>
                <w:rFonts w:asciiTheme="minorHAnsi" w:eastAsia="Times New Roman" w:hAnsiTheme="minorHAnsi" w:cstheme="minorHAnsi"/>
                <w:noProof/>
                <w:sz w:val="20"/>
                <w:szCs w:val="20"/>
                <w:lang w:val="es-ES" w:eastAsia="en-GB"/>
              </w:rPr>
              <w:t xml:space="preserve"> </w:t>
            </w:r>
            <w:r w:rsidRPr="00CE17A4">
              <w:rPr>
                <w:rFonts w:asciiTheme="minorHAnsi" w:eastAsia="Times New Roman" w:hAnsiTheme="minorHAnsi" w:cstheme="minorHAnsi"/>
                <w:noProof/>
                <w:sz w:val="20"/>
                <w:szCs w:val="20"/>
                <w:lang w:val="es-ES" w:eastAsia="en-GB"/>
              </w:rPr>
              <w:t>742</w:t>
            </w:r>
          </w:p>
        </w:tc>
      </w:tr>
      <w:tr w:rsidR="00A84F0F" w:rsidRPr="007D7B87" w14:paraId="277C56FA" w14:textId="77777777" w:rsidTr="00CE17A4">
        <w:tc>
          <w:tcPr>
            <w:tcW w:w="3690" w:type="dxa"/>
            <w:tcBorders>
              <w:top w:val="nil"/>
              <w:left w:val="single" w:sz="4" w:space="0" w:color="auto"/>
              <w:bottom w:val="single" w:sz="4" w:space="0" w:color="auto"/>
              <w:right w:val="single" w:sz="4" w:space="0" w:color="auto"/>
            </w:tcBorders>
            <w:shd w:val="clear" w:color="auto" w:fill="auto"/>
            <w:noWrap/>
            <w:vAlign w:val="center"/>
          </w:tcPr>
          <w:p w14:paraId="2DD705A7" w14:textId="194CF36D" w:rsidR="00A84F0F" w:rsidRPr="00CE17A4" w:rsidRDefault="00A84F0F" w:rsidP="00A84F0F">
            <w:pPr>
              <w:ind w:left="0" w:firstLine="0"/>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Viajes</w:t>
            </w:r>
          </w:p>
        </w:tc>
        <w:tc>
          <w:tcPr>
            <w:tcW w:w="1254" w:type="dxa"/>
            <w:tcBorders>
              <w:top w:val="nil"/>
              <w:left w:val="nil"/>
              <w:bottom w:val="single" w:sz="4" w:space="0" w:color="auto"/>
              <w:right w:val="single" w:sz="4" w:space="0" w:color="auto"/>
            </w:tcBorders>
            <w:vAlign w:val="center"/>
          </w:tcPr>
          <w:p w14:paraId="252CF947" w14:textId="569DA31C"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67</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2D00AFB6" w14:textId="6A3F9B12"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67</w:t>
            </w:r>
          </w:p>
        </w:tc>
        <w:tc>
          <w:tcPr>
            <w:tcW w:w="1254" w:type="dxa"/>
            <w:tcBorders>
              <w:top w:val="nil"/>
              <w:left w:val="nil"/>
              <w:bottom w:val="single" w:sz="4" w:space="0" w:color="auto"/>
              <w:right w:val="single" w:sz="4" w:space="0" w:color="auto"/>
            </w:tcBorders>
            <w:shd w:val="clear" w:color="auto" w:fill="auto"/>
            <w:noWrap/>
            <w:vAlign w:val="center"/>
          </w:tcPr>
          <w:p w14:paraId="0E619D01" w14:textId="77777777"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67</w:t>
            </w:r>
          </w:p>
        </w:tc>
        <w:tc>
          <w:tcPr>
            <w:tcW w:w="1254" w:type="dxa"/>
            <w:tcBorders>
              <w:top w:val="nil"/>
              <w:left w:val="nil"/>
              <w:bottom w:val="single" w:sz="4" w:space="0" w:color="auto"/>
              <w:right w:val="single" w:sz="4" w:space="0" w:color="auto"/>
            </w:tcBorders>
            <w:shd w:val="clear" w:color="auto" w:fill="auto"/>
            <w:noWrap/>
            <w:vAlign w:val="center"/>
          </w:tcPr>
          <w:p w14:paraId="51D0F891" w14:textId="77777777" w:rsidR="00A84F0F" w:rsidRPr="00CE17A4" w:rsidRDefault="00A84F0F"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67</w:t>
            </w:r>
          </w:p>
        </w:tc>
        <w:tc>
          <w:tcPr>
            <w:tcW w:w="1275" w:type="dxa"/>
            <w:tcBorders>
              <w:top w:val="nil"/>
              <w:left w:val="nil"/>
              <w:bottom w:val="single" w:sz="4" w:space="0" w:color="auto"/>
              <w:right w:val="single" w:sz="4" w:space="0" w:color="auto"/>
            </w:tcBorders>
            <w:shd w:val="clear" w:color="auto" w:fill="auto"/>
            <w:noWrap/>
            <w:vAlign w:val="center"/>
          </w:tcPr>
          <w:p w14:paraId="58DCBE46" w14:textId="77777777"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201</w:t>
            </w:r>
          </w:p>
        </w:tc>
      </w:tr>
      <w:tr w:rsidR="00A84F0F" w:rsidRPr="007D7B87" w14:paraId="20CA2729" w14:textId="77777777" w:rsidTr="00CE17A4">
        <w:tc>
          <w:tcPr>
            <w:tcW w:w="3690" w:type="dxa"/>
            <w:tcBorders>
              <w:top w:val="nil"/>
              <w:left w:val="single" w:sz="4" w:space="0" w:color="auto"/>
              <w:bottom w:val="single" w:sz="4" w:space="0" w:color="auto"/>
              <w:right w:val="single" w:sz="4" w:space="0" w:color="auto"/>
            </w:tcBorders>
            <w:shd w:val="clear" w:color="000000" w:fill="C4D79B"/>
            <w:noWrap/>
            <w:vAlign w:val="center"/>
          </w:tcPr>
          <w:p w14:paraId="68217C99" w14:textId="7298533E" w:rsidR="00A84F0F" w:rsidRPr="00CE17A4" w:rsidRDefault="00A84F0F" w:rsidP="00A84F0F">
            <w:pPr>
              <w:ind w:left="0" w:firstLine="0"/>
              <w:rPr>
                <w:rFonts w:asciiTheme="minorHAnsi" w:eastAsia="Times New Roman" w:hAnsiTheme="minorHAnsi" w:cstheme="minorHAnsi"/>
                <w:b/>
                <w:bCs/>
                <w:noProof/>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D.  Apoyo a las iniciativas regionales</w:t>
            </w:r>
          </w:p>
        </w:tc>
        <w:tc>
          <w:tcPr>
            <w:tcW w:w="1254" w:type="dxa"/>
            <w:tcBorders>
              <w:top w:val="nil"/>
              <w:left w:val="nil"/>
              <w:bottom w:val="single" w:sz="4" w:space="0" w:color="auto"/>
              <w:right w:val="single" w:sz="4" w:space="0" w:color="auto"/>
            </w:tcBorders>
            <w:shd w:val="clear" w:color="000000" w:fill="C4D79B"/>
            <w:vAlign w:val="center"/>
          </w:tcPr>
          <w:p w14:paraId="16217369" w14:textId="3E908685" w:rsidR="00A84F0F" w:rsidRPr="00CE17A4" w:rsidRDefault="00A84F0F"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100</w:t>
            </w:r>
          </w:p>
        </w:tc>
        <w:tc>
          <w:tcPr>
            <w:tcW w:w="1254" w:type="dxa"/>
            <w:tcBorders>
              <w:top w:val="nil"/>
              <w:left w:val="single" w:sz="4" w:space="0" w:color="auto"/>
              <w:bottom w:val="single" w:sz="4" w:space="0" w:color="auto"/>
              <w:right w:val="single" w:sz="4" w:space="0" w:color="auto"/>
            </w:tcBorders>
            <w:shd w:val="clear" w:color="000000" w:fill="C4D79B"/>
            <w:noWrap/>
            <w:vAlign w:val="center"/>
          </w:tcPr>
          <w:p w14:paraId="67B5FA3B" w14:textId="4963D64F" w:rsidR="00A84F0F" w:rsidRPr="00CE17A4" w:rsidRDefault="00A84F0F"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100</w:t>
            </w:r>
          </w:p>
        </w:tc>
        <w:tc>
          <w:tcPr>
            <w:tcW w:w="1254" w:type="dxa"/>
            <w:tcBorders>
              <w:top w:val="nil"/>
              <w:left w:val="nil"/>
              <w:bottom w:val="single" w:sz="4" w:space="0" w:color="auto"/>
              <w:right w:val="single" w:sz="4" w:space="0" w:color="auto"/>
            </w:tcBorders>
            <w:shd w:val="clear" w:color="000000" w:fill="C4D79B"/>
            <w:noWrap/>
            <w:vAlign w:val="center"/>
          </w:tcPr>
          <w:p w14:paraId="4B4DA4EA" w14:textId="77777777" w:rsidR="00A84F0F" w:rsidRPr="00CE17A4" w:rsidRDefault="00A84F0F"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100</w:t>
            </w:r>
          </w:p>
        </w:tc>
        <w:tc>
          <w:tcPr>
            <w:tcW w:w="1254" w:type="dxa"/>
            <w:tcBorders>
              <w:top w:val="nil"/>
              <w:left w:val="nil"/>
              <w:bottom w:val="single" w:sz="4" w:space="0" w:color="auto"/>
              <w:right w:val="single" w:sz="4" w:space="0" w:color="auto"/>
            </w:tcBorders>
            <w:shd w:val="clear" w:color="000000" w:fill="C4D79B"/>
            <w:noWrap/>
            <w:vAlign w:val="center"/>
          </w:tcPr>
          <w:p w14:paraId="7CBC8C08" w14:textId="77777777" w:rsidR="00A84F0F" w:rsidRPr="00CE17A4" w:rsidRDefault="00A84F0F"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100</w:t>
            </w:r>
          </w:p>
        </w:tc>
        <w:tc>
          <w:tcPr>
            <w:tcW w:w="1275" w:type="dxa"/>
            <w:tcBorders>
              <w:top w:val="nil"/>
              <w:left w:val="nil"/>
              <w:bottom w:val="single" w:sz="4" w:space="0" w:color="auto"/>
              <w:right w:val="single" w:sz="4" w:space="0" w:color="auto"/>
            </w:tcBorders>
            <w:shd w:val="clear" w:color="000000" w:fill="C4D79B"/>
            <w:noWrap/>
            <w:vAlign w:val="center"/>
          </w:tcPr>
          <w:p w14:paraId="685505BE" w14:textId="77777777" w:rsidR="00A84F0F" w:rsidRPr="00CE17A4" w:rsidRDefault="00A84F0F"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300</w:t>
            </w:r>
          </w:p>
        </w:tc>
      </w:tr>
      <w:tr w:rsidR="00A84F0F" w:rsidRPr="007D7B87" w14:paraId="02161FC7" w14:textId="77777777" w:rsidTr="00CE17A4">
        <w:tc>
          <w:tcPr>
            <w:tcW w:w="3690" w:type="dxa"/>
            <w:tcBorders>
              <w:top w:val="nil"/>
              <w:left w:val="single" w:sz="4" w:space="0" w:color="auto"/>
              <w:bottom w:val="single" w:sz="4" w:space="0" w:color="auto"/>
              <w:right w:val="single" w:sz="4" w:space="0" w:color="auto"/>
            </w:tcBorders>
            <w:shd w:val="clear" w:color="auto" w:fill="auto"/>
            <w:noWrap/>
            <w:vAlign w:val="center"/>
          </w:tcPr>
          <w:p w14:paraId="064D2145" w14:textId="5F3A150E" w:rsidR="00A84F0F" w:rsidRPr="00CE17A4" w:rsidRDefault="00A84F0F" w:rsidP="00A84F0F">
            <w:pPr>
              <w:ind w:left="0" w:firstLine="0"/>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Redes y centros regionales</w:t>
            </w:r>
          </w:p>
        </w:tc>
        <w:tc>
          <w:tcPr>
            <w:tcW w:w="1254" w:type="dxa"/>
            <w:tcBorders>
              <w:top w:val="nil"/>
              <w:left w:val="nil"/>
              <w:bottom w:val="single" w:sz="4" w:space="0" w:color="auto"/>
              <w:right w:val="single" w:sz="4" w:space="0" w:color="auto"/>
            </w:tcBorders>
            <w:vAlign w:val="center"/>
          </w:tcPr>
          <w:p w14:paraId="0F871C1F" w14:textId="684AB067"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100</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58021195" w14:textId="1C554D67"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100</w:t>
            </w:r>
          </w:p>
        </w:tc>
        <w:tc>
          <w:tcPr>
            <w:tcW w:w="1254" w:type="dxa"/>
            <w:tcBorders>
              <w:top w:val="nil"/>
              <w:left w:val="nil"/>
              <w:bottom w:val="single" w:sz="4" w:space="0" w:color="auto"/>
              <w:right w:val="single" w:sz="4" w:space="0" w:color="auto"/>
            </w:tcBorders>
            <w:shd w:val="clear" w:color="auto" w:fill="auto"/>
            <w:noWrap/>
            <w:vAlign w:val="center"/>
          </w:tcPr>
          <w:p w14:paraId="62695FD6" w14:textId="77777777"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100</w:t>
            </w:r>
          </w:p>
        </w:tc>
        <w:tc>
          <w:tcPr>
            <w:tcW w:w="1254" w:type="dxa"/>
            <w:tcBorders>
              <w:top w:val="nil"/>
              <w:left w:val="nil"/>
              <w:bottom w:val="single" w:sz="4" w:space="0" w:color="auto"/>
              <w:right w:val="single" w:sz="4" w:space="0" w:color="auto"/>
            </w:tcBorders>
            <w:shd w:val="clear" w:color="auto" w:fill="auto"/>
            <w:noWrap/>
            <w:vAlign w:val="center"/>
          </w:tcPr>
          <w:p w14:paraId="7F8E855B" w14:textId="77777777" w:rsidR="00A84F0F" w:rsidRPr="00CE17A4" w:rsidRDefault="00A84F0F"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100</w:t>
            </w:r>
          </w:p>
        </w:tc>
        <w:tc>
          <w:tcPr>
            <w:tcW w:w="1275" w:type="dxa"/>
            <w:tcBorders>
              <w:top w:val="nil"/>
              <w:left w:val="nil"/>
              <w:bottom w:val="single" w:sz="4" w:space="0" w:color="auto"/>
              <w:right w:val="single" w:sz="4" w:space="0" w:color="auto"/>
            </w:tcBorders>
            <w:shd w:val="clear" w:color="auto" w:fill="auto"/>
            <w:noWrap/>
            <w:vAlign w:val="center"/>
          </w:tcPr>
          <w:p w14:paraId="199EF47D" w14:textId="77777777"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300</w:t>
            </w:r>
          </w:p>
        </w:tc>
      </w:tr>
      <w:tr w:rsidR="00A84F0F" w:rsidRPr="007D7B87" w14:paraId="29B7993B" w14:textId="77777777" w:rsidTr="00CE17A4">
        <w:tc>
          <w:tcPr>
            <w:tcW w:w="3690" w:type="dxa"/>
            <w:tcBorders>
              <w:top w:val="nil"/>
              <w:left w:val="single" w:sz="4" w:space="0" w:color="auto"/>
              <w:bottom w:val="single" w:sz="4" w:space="0" w:color="auto"/>
              <w:right w:val="single" w:sz="4" w:space="0" w:color="auto"/>
            </w:tcBorders>
            <w:shd w:val="clear" w:color="000000" w:fill="C4D79B"/>
            <w:noWrap/>
            <w:vAlign w:val="center"/>
          </w:tcPr>
          <w:p w14:paraId="25CDC9E5" w14:textId="07DE423D" w:rsidR="00A84F0F" w:rsidRPr="00CE17A4" w:rsidRDefault="00A84F0F" w:rsidP="00A84F0F">
            <w:pPr>
              <w:ind w:left="0" w:firstLine="0"/>
              <w:rPr>
                <w:rFonts w:asciiTheme="minorHAnsi" w:eastAsia="Times New Roman" w:hAnsiTheme="minorHAnsi" w:cstheme="minorHAnsi"/>
                <w:b/>
                <w:bCs/>
                <w:noProof/>
                <w:sz w:val="20"/>
                <w:szCs w:val="20"/>
                <w:lang w:val="es-ES" w:eastAsia="en-GB"/>
              </w:rPr>
            </w:pPr>
            <w:r w:rsidRPr="00CE17A4">
              <w:rPr>
                <w:rFonts w:asciiTheme="minorHAnsi" w:eastAsia="Times New Roman" w:hAnsiTheme="minorHAnsi" w:cstheme="minorHAnsi"/>
                <w:b/>
                <w:bCs/>
                <w:noProof/>
                <w:sz w:val="20"/>
                <w:szCs w:val="20"/>
                <w:lang w:val="es-ES" w:eastAsia="en-GB"/>
              </w:rPr>
              <w:t xml:space="preserve">E. </w:t>
            </w:r>
            <w:r w:rsidR="00680A82" w:rsidRPr="00CE17A4">
              <w:rPr>
                <w:rFonts w:asciiTheme="minorHAnsi" w:eastAsia="Times New Roman" w:hAnsiTheme="minorHAnsi" w:cstheme="minorHAnsi"/>
                <w:b/>
                <w:bCs/>
                <w:noProof/>
                <w:sz w:val="20"/>
                <w:szCs w:val="20"/>
                <w:lang w:val="es-ES" w:eastAsia="en-GB"/>
              </w:rPr>
              <w:t>Ciencia y políticas</w:t>
            </w:r>
          </w:p>
        </w:tc>
        <w:tc>
          <w:tcPr>
            <w:tcW w:w="1254" w:type="dxa"/>
            <w:tcBorders>
              <w:top w:val="nil"/>
              <w:left w:val="nil"/>
              <w:bottom w:val="single" w:sz="4" w:space="0" w:color="auto"/>
              <w:right w:val="single" w:sz="4" w:space="0" w:color="auto"/>
            </w:tcBorders>
            <w:shd w:val="clear" w:color="000000" w:fill="C4D79B"/>
            <w:vAlign w:val="center"/>
          </w:tcPr>
          <w:p w14:paraId="5A2FC258" w14:textId="11811547" w:rsidR="00A84F0F" w:rsidRPr="00CE17A4" w:rsidRDefault="00A84F0F"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839</w:t>
            </w:r>
          </w:p>
        </w:tc>
        <w:tc>
          <w:tcPr>
            <w:tcW w:w="1254" w:type="dxa"/>
            <w:tcBorders>
              <w:top w:val="nil"/>
              <w:left w:val="single" w:sz="4" w:space="0" w:color="auto"/>
              <w:bottom w:val="single" w:sz="4" w:space="0" w:color="auto"/>
              <w:right w:val="single" w:sz="4" w:space="0" w:color="auto"/>
            </w:tcBorders>
            <w:shd w:val="clear" w:color="000000" w:fill="C4D79B"/>
            <w:noWrap/>
            <w:vAlign w:val="center"/>
          </w:tcPr>
          <w:p w14:paraId="62C71D4D" w14:textId="4D4E917A" w:rsidR="00A84F0F" w:rsidRPr="00CE17A4" w:rsidRDefault="00A84F0F"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840</w:t>
            </w:r>
          </w:p>
        </w:tc>
        <w:tc>
          <w:tcPr>
            <w:tcW w:w="1254" w:type="dxa"/>
            <w:tcBorders>
              <w:top w:val="nil"/>
              <w:left w:val="nil"/>
              <w:bottom w:val="single" w:sz="4" w:space="0" w:color="auto"/>
              <w:right w:val="single" w:sz="4" w:space="0" w:color="auto"/>
            </w:tcBorders>
            <w:shd w:val="clear" w:color="000000" w:fill="C4D79B"/>
            <w:noWrap/>
            <w:vAlign w:val="center"/>
          </w:tcPr>
          <w:p w14:paraId="0BBBEBEB" w14:textId="77777777" w:rsidR="00A84F0F" w:rsidRPr="00CE17A4" w:rsidRDefault="00A84F0F"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817</w:t>
            </w:r>
          </w:p>
        </w:tc>
        <w:tc>
          <w:tcPr>
            <w:tcW w:w="1254" w:type="dxa"/>
            <w:tcBorders>
              <w:top w:val="nil"/>
              <w:left w:val="nil"/>
              <w:bottom w:val="single" w:sz="4" w:space="0" w:color="auto"/>
              <w:right w:val="single" w:sz="4" w:space="0" w:color="auto"/>
            </w:tcBorders>
            <w:shd w:val="clear" w:color="000000" w:fill="C4D79B"/>
            <w:noWrap/>
            <w:vAlign w:val="center"/>
          </w:tcPr>
          <w:p w14:paraId="43563AC9" w14:textId="77777777" w:rsidR="00A84F0F" w:rsidRPr="00CE17A4" w:rsidRDefault="00A84F0F"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820</w:t>
            </w:r>
          </w:p>
        </w:tc>
        <w:tc>
          <w:tcPr>
            <w:tcW w:w="1275" w:type="dxa"/>
            <w:tcBorders>
              <w:top w:val="nil"/>
              <w:left w:val="nil"/>
              <w:bottom w:val="single" w:sz="4" w:space="0" w:color="auto"/>
              <w:right w:val="single" w:sz="4" w:space="0" w:color="auto"/>
            </w:tcBorders>
            <w:shd w:val="clear" w:color="000000" w:fill="C4D79B"/>
            <w:noWrap/>
            <w:vAlign w:val="center"/>
          </w:tcPr>
          <w:p w14:paraId="5E1A157F" w14:textId="52AA7403" w:rsidR="00A84F0F" w:rsidRPr="00CE17A4" w:rsidRDefault="00A84F0F"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2</w:t>
            </w:r>
            <w:r w:rsidR="001A764A" w:rsidRPr="00CE17A4">
              <w:rPr>
                <w:rFonts w:asciiTheme="minorHAnsi" w:eastAsia="Times New Roman" w:hAnsiTheme="minorHAnsi" w:cstheme="minorHAnsi"/>
                <w:b/>
                <w:bCs/>
                <w:noProof/>
                <w:color w:val="000000"/>
                <w:sz w:val="20"/>
                <w:szCs w:val="20"/>
                <w:lang w:val="es-ES" w:eastAsia="en-GB"/>
              </w:rPr>
              <w:t xml:space="preserve"> </w:t>
            </w:r>
            <w:r w:rsidRPr="00CE17A4">
              <w:rPr>
                <w:rFonts w:asciiTheme="minorHAnsi" w:eastAsia="Times New Roman" w:hAnsiTheme="minorHAnsi" w:cstheme="minorHAnsi"/>
                <w:b/>
                <w:bCs/>
                <w:noProof/>
                <w:color w:val="000000"/>
                <w:sz w:val="20"/>
                <w:szCs w:val="20"/>
                <w:lang w:val="es-ES" w:eastAsia="en-GB"/>
              </w:rPr>
              <w:t>477</w:t>
            </w:r>
          </w:p>
        </w:tc>
      </w:tr>
      <w:tr w:rsidR="00A84F0F" w:rsidRPr="007D7B87" w14:paraId="681EE089" w14:textId="77777777" w:rsidTr="00CE17A4">
        <w:tc>
          <w:tcPr>
            <w:tcW w:w="3690" w:type="dxa"/>
            <w:tcBorders>
              <w:top w:val="nil"/>
              <w:left w:val="single" w:sz="4" w:space="0" w:color="auto"/>
              <w:bottom w:val="single" w:sz="4" w:space="0" w:color="auto"/>
              <w:right w:val="single" w:sz="4" w:space="0" w:color="auto"/>
            </w:tcBorders>
            <w:shd w:val="clear" w:color="auto" w:fill="auto"/>
            <w:noWrap/>
            <w:vAlign w:val="center"/>
          </w:tcPr>
          <w:p w14:paraId="037E3C16" w14:textId="13E16137" w:rsidR="00A84F0F" w:rsidRPr="00CE17A4" w:rsidRDefault="00A84F0F" w:rsidP="00A84F0F">
            <w:pPr>
              <w:ind w:left="0" w:firstLine="0"/>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Salarios, gastos sociales y otras prestaciones laborales</w:t>
            </w:r>
          </w:p>
        </w:tc>
        <w:tc>
          <w:tcPr>
            <w:tcW w:w="1254" w:type="dxa"/>
            <w:tcBorders>
              <w:top w:val="nil"/>
              <w:left w:val="nil"/>
              <w:bottom w:val="single" w:sz="4" w:space="0" w:color="auto"/>
              <w:right w:val="single" w:sz="4" w:space="0" w:color="auto"/>
            </w:tcBorders>
            <w:vAlign w:val="center"/>
          </w:tcPr>
          <w:p w14:paraId="24DDBDC4" w14:textId="3ACE62AF"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651</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1CD3CEB1" w14:textId="753F9FAE"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652</w:t>
            </w:r>
          </w:p>
        </w:tc>
        <w:tc>
          <w:tcPr>
            <w:tcW w:w="1254" w:type="dxa"/>
            <w:tcBorders>
              <w:top w:val="nil"/>
              <w:left w:val="nil"/>
              <w:bottom w:val="single" w:sz="4" w:space="0" w:color="auto"/>
              <w:right w:val="single" w:sz="4" w:space="0" w:color="auto"/>
            </w:tcBorders>
            <w:shd w:val="clear" w:color="auto" w:fill="auto"/>
            <w:noWrap/>
            <w:vAlign w:val="center"/>
          </w:tcPr>
          <w:p w14:paraId="04AD26B5" w14:textId="77777777"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649</w:t>
            </w:r>
          </w:p>
        </w:tc>
        <w:tc>
          <w:tcPr>
            <w:tcW w:w="1254" w:type="dxa"/>
            <w:tcBorders>
              <w:top w:val="nil"/>
              <w:left w:val="nil"/>
              <w:bottom w:val="single" w:sz="4" w:space="0" w:color="auto"/>
              <w:right w:val="single" w:sz="4" w:space="0" w:color="auto"/>
            </w:tcBorders>
            <w:shd w:val="clear" w:color="auto" w:fill="auto"/>
            <w:noWrap/>
            <w:vAlign w:val="center"/>
          </w:tcPr>
          <w:p w14:paraId="01B2AF65" w14:textId="77777777" w:rsidR="00A84F0F" w:rsidRPr="00CE17A4" w:rsidRDefault="00A84F0F"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652</w:t>
            </w:r>
          </w:p>
        </w:tc>
        <w:tc>
          <w:tcPr>
            <w:tcW w:w="1275" w:type="dxa"/>
            <w:tcBorders>
              <w:top w:val="nil"/>
              <w:left w:val="nil"/>
              <w:bottom w:val="single" w:sz="4" w:space="0" w:color="auto"/>
              <w:right w:val="single" w:sz="4" w:space="0" w:color="auto"/>
            </w:tcBorders>
            <w:shd w:val="clear" w:color="auto" w:fill="auto"/>
            <w:noWrap/>
            <w:vAlign w:val="center"/>
          </w:tcPr>
          <w:p w14:paraId="3EFF6DAA" w14:textId="34EB5EF1"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w:t>
            </w:r>
            <w:r w:rsidR="001A764A" w:rsidRPr="00CE17A4">
              <w:rPr>
                <w:rFonts w:asciiTheme="minorHAnsi" w:eastAsia="Times New Roman" w:hAnsiTheme="minorHAnsi" w:cstheme="minorHAnsi"/>
                <w:noProof/>
                <w:sz w:val="20"/>
                <w:szCs w:val="20"/>
                <w:lang w:val="es-ES" w:eastAsia="en-GB"/>
              </w:rPr>
              <w:t xml:space="preserve"> </w:t>
            </w:r>
            <w:r w:rsidRPr="00CE17A4">
              <w:rPr>
                <w:rFonts w:asciiTheme="minorHAnsi" w:eastAsia="Times New Roman" w:hAnsiTheme="minorHAnsi" w:cstheme="minorHAnsi"/>
                <w:noProof/>
                <w:sz w:val="20"/>
                <w:szCs w:val="20"/>
                <w:lang w:val="es-ES" w:eastAsia="en-GB"/>
              </w:rPr>
              <w:t>953</w:t>
            </w:r>
          </w:p>
        </w:tc>
      </w:tr>
      <w:tr w:rsidR="00C64755" w:rsidRPr="007D7B87" w14:paraId="3926D699" w14:textId="77777777" w:rsidTr="00CE17A4">
        <w:tc>
          <w:tcPr>
            <w:tcW w:w="3690" w:type="dxa"/>
            <w:tcBorders>
              <w:top w:val="nil"/>
              <w:left w:val="single" w:sz="4" w:space="0" w:color="auto"/>
              <w:bottom w:val="single" w:sz="4" w:space="0" w:color="auto"/>
              <w:right w:val="single" w:sz="4" w:space="0" w:color="auto"/>
            </w:tcBorders>
            <w:shd w:val="clear" w:color="auto" w:fill="auto"/>
            <w:noWrap/>
            <w:vAlign w:val="center"/>
          </w:tcPr>
          <w:p w14:paraId="0398C715" w14:textId="145DC375" w:rsidR="00C64755" w:rsidRPr="00CE17A4" w:rsidRDefault="00C64755" w:rsidP="00C64755">
            <w:pPr>
              <w:ind w:left="0" w:firstLine="0"/>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Ejecución del GECT</w:t>
            </w:r>
          </w:p>
        </w:tc>
        <w:tc>
          <w:tcPr>
            <w:tcW w:w="1254" w:type="dxa"/>
            <w:tcBorders>
              <w:top w:val="nil"/>
              <w:left w:val="nil"/>
              <w:bottom w:val="single" w:sz="4" w:space="0" w:color="auto"/>
              <w:right w:val="single" w:sz="4" w:space="0" w:color="auto"/>
            </w:tcBorders>
            <w:vAlign w:val="center"/>
          </w:tcPr>
          <w:p w14:paraId="61EBD1D0" w14:textId="6D4EEFA2"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35</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171A25E8" w14:textId="69C5BCE0"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35</w:t>
            </w:r>
          </w:p>
        </w:tc>
        <w:tc>
          <w:tcPr>
            <w:tcW w:w="1254" w:type="dxa"/>
            <w:tcBorders>
              <w:top w:val="nil"/>
              <w:left w:val="nil"/>
              <w:bottom w:val="single" w:sz="4" w:space="0" w:color="auto"/>
              <w:right w:val="single" w:sz="4" w:space="0" w:color="auto"/>
            </w:tcBorders>
            <w:shd w:val="clear" w:color="auto" w:fill="auto"/>
            <w:noWrap/>
            <w:vAlign w:val="center"/>
          </w:tcPr>
          <w:p w14:paraId="612CEE60" w14:textId="77777777"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35</w:t>
            </w:r>
          </w:p>
        </w:tc>
        <w:tc>
          <w:tcPr>
            <w:tcW w:w="1254" w:type="dxa"/>
            <w:tcBorders>
              <w:top w:val="nil"/>
              <w:left w:val="nil"/>
              <w:bottom w:val="single" w:sz="4" w:space="0" w:color="auto"/>
              <w:right w:val="single" w:sz="4" w:space="0" w:color="auto"/>
            </w:tcBorders>
            <w:shd w:val="clear" w:color="auto" w:fill="auto"/>
            <w:noWrap/>
            <w:vAlign w:val="center"/>
          </w:tcPr>
          <w:p w14:paraId="13C1C274" w14:textId="77777777" w:rsidR="00C64755" w:rsidRPr="00CE17A4" w:rsidRDefault="00C64755"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35</w:t>
            </w:r>
          </w:p>
        </w:tc>
        <w:tc>
          <w:tcPr>
            <w:tcW w:w="1275" w:type="dxa"/>
            <w:tcBorders>
              <w:top w:val="nil"/>
              <w:left w:val="nil"/>
              <w:bottom w:val="single" w:sz="4" w:space="0" w:color="auto"/>
              <w:right w:val="single" w:sz="4" w:space="0" w:color="auto"/>
            </w:tcBorders>
            <w:shd w:val="clear" w:color="auto" w:fill="auto"/>
            <w:noWrap/>
            <w:vAlign w:val="center"/>
          </w:tcPr>
          <w:p w14:paraId="0B4D8CFF" w14:textId="77777777"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105</w:t>
            </w:r>
          </w:p>
        </w:tc>
      </w:tr>
      <w:tr w:rsidR="00C64755" w:rsidRPr="007D7B87" w14:paraId="107A1310" w14:textId="77777777" w:rsidTr="00CE17A4">
        <w:tc>
          <w:tcPr>
            <w:tcW w:w="3690" w:type="dxa"/>
            <w:tcBorders>
              <w:top w:val="nil"/>
              <w:left w:val="single" w:sz="4" w:space="0" w:color="auto"/>
              <w:bottom w:val="single" w:sz="4" w:space="0" w:color="auto"/>
              <w:right w:val="single" w:sz="4" w:space="0" w:color="auto"/>
            </w:tcBorders>
            <w:shd w:val="clear" w:color="auto" w:fill="auto"/>
            <w:noWrap/>
            <w:vAlign w:val="center"/>
          </w:tcPr>
          <w:p w14:paraId="22037BC2" w14:textId="2864D7C0" w:rsidR="00C64755" w:rsidRPr="00CE17A4" w:rsidRDefault="00C64755" w:rsidP="00C64755">
            <w:pPr>
              <w:ind w:left="0" w:firstLine="0"/>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color w:val="000000"/>
                <w:sz w:val="20"/>
                <w:szCs w:val="20"/>
                <w:lang w:val="es-ES" w:eastAsia="en-GB"/>
              </w:rPr>
              <w:t>Viajes de la Presidencia del GECT</w:t>
            </w:r>
          </w:p>
        </w:tc>
        <w:tc>
          <w:tcPr>
            <w:tcW w:w="1254" w:type="dxa"/>
            <w:tcBorders>
              <w:top w:val="nil"/>
              <w:left w:val="nil"/>
              <w:bottom w:val="single" w:sz="4" w:space="0" w:color="auto"/>
              <w:right w:val="single" w:sz="4" w:space="0" w:color="auto"/>
            </w:tcBorders>
            <w:vAlign w:val="center"/>
          </w:tcPr>
          <w:p w14:paraId="6ED8D93E" w14:textId="084C1B2E"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5</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7AAF8296" w14:textId="2EDCFCBE" w:rsidR="00C64755" w:rsidRPr="00CE17A4" w:rsidDel="00A6664E"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5</w:t>
            </w:r>
          </w:p>
        </w:tc>
        <w:tc>
          <w:tcPr>
            <w:tcW w:w="1254" w:type="dxa"/>
            <w:tcBorders>
              <w:top w:val="nil"/>
              <w:left w:val="nil"/>
              <w:bottom w:val="single" w:sz="4" w:space="0" w:color="auto"/>
              <w:right w:val="single" w:sz="4" w:space="0" w:color="auto"/>
            </w:tcBorders>
            <w:shd w:val="clear" w:color="auto" w:fill="auto"/>
            <w:noWrap/>
            <w:vAlign w:val="center"/>
          </w:tcPr>
          <w:p w14:paraId="3A31AEC7" w14:textId="77777777" w:rsidR="00C64755" w:rsidRPr="00CE17A4" w:rsidDel="00A6664E"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5</w:t>
            </w:r>
          </w:p>
        </w:tc>
        <w:tc>
          <w:tcPr>
            <w:tcW w:w="1254" w:type="dxa"/>
            <w:tcBorders>
              <w:top w:val="nil"/>
              <w:left w:val="nil"/>
              <w:bottom w:val="single" w:sz="4" w:space="0" w:color="auto"/>
              <w:right w:val="single" w:sz="4" w:space="0" w:color="auto"/>
            </w:tcBorders>
            <w:shd w:val="clear" w:color="auto" w:fill="auto"/>
            <w:noWrap/>
            <w:vAlign w:val="center"/>
          </w:tcPr>
          <w:p w14:paraId="1F0ACC8E" w14:textId="77777777" w:rsidR="00C64755" w:rsidRPr="00CE17A4" w:rsidDel="00A6664E" w:rsidRDefault="00C64755"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5</w:t>
            </w:r>
          </w:p>
        </w:tc>
        <w:tc>
          <w:tcPr>
            <w:tcW w:w="1275" w:type="dxa"/>
            <w:tcBorders>
              <w:top w:val="nil"/>
              <w:left w:val="nil"/>
              <w:bottom w:val="single" w:sz="4" w:space="0" w:color="auto"/>
              <w:right w:val="single" w:sz="4" w:space="0" w:color="auto"/>
            </w:tcBorders>
            <w:shd w:val="clear" w:color="auto" w:fill="auto"/>
            <w:noWrap/>
            <w:vAlign w:val="center"/>
          </w:tcPr>
          <w:p w14:paraId="7C562944" w14:textId="77777777" w:rsidR="00C64755" w:rsidRPr="00CE17A4" w:rsidDel="00A6664E"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15</w:t>
            </w:r>
          </w:p>
        </w:tc>
      </w:tr>
      <w:tr w:rsidR="00C64755" w:rsidRPr="007D7B87" w14:paraId="3E6568F0" w14:textId="77777777" w:rsidTr="00CE17A4">
        <w:tc>
          <w:tcPr>
            <w:tcW w:w="3690" w:type="dxa"/>
            <w:tcBorders>
              <w:top w:val="nil"/>
              <w:left w:val="single" w:sz="4" w:space="0" w:color="auto"/>
              <w:bottom w:val="single" w:sz="4" w:space="0" w:color="auto"/>
              <w:right w:val="single" w:sz="4" w:space="0" w:color="auto"/>
            </w:tcBorders>
            <w:shd w:val="clear" w:color="auto" w:fill="auto"/>
            <w:noWrap/>
            <w:vAlign w:val="center"/>
          </w:tcPr>
          <w:p w14:paraId="3639FBF1" w14:textId="36D8A627" w:rsidR="00C64755" w:rsidRPr="00CE17A4" w:rsidRDefault="00C64755" w:rsidP="00C64755">
            <w:pPr>
              <w:ind w:left="0" w:firstLine="0"/>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Reuniones del GECT</w:t>
            </w:r>
          </w:p>
        </w:tc>
        <w:tc>
          <w:tcPr>
            <w:tcW w:w="1254" w:type="dxa"/>
            <w:tcBorders>
              <w:top w:val="nil"/>
              <w:left w:val="nil"/>
              <w:bottom w:val="single" w:sz="4" w:space="0" w:color="auto"/>
              <w:right w:val="single" w:sz="4" w:space="0" w:color="auto"/>
            </w:tcBorders>
            <w:vAlign w:val="center"/>
          </w:tcPr>
          <w:p w14:paraId="43E6ABAB" w14:textId="35694BF8"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50</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6983300E" w14:textId="1012FFA9"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50</w:t>
            </w:r>
          </w:p>
        </w:tc>
        <w:tc>
          <w:tcPr>
            <w:tcW w:w="1254" w:type="dxa"/>
            <w:tcBorders>
              <w:top w:val="nil"/>
              <w:left w:val="nil"/>
              <w:bottom w:val="single" w:sz="4" w:space="0" w:color="auto"/>
              <w:right w:val="single" w:sz="4" w:space="0" w:color="auto"/>
            </w:tcBorders>
            <w:shd w:val="clear" w:color="auto" w:fill="auto"/>
            <w:noWrap/>
            <w:vAlign w:val="center"/>
          </w:tcPr>
          <w:p w14:paraId="68D76B51" w14:textId="77777777"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50</w:t>
            </w:r>
          </w:p>
        </w:tc>
        <w:tc>
          <w:tcPr>
            <w:tcW w:w="1254" w:type="dxa"/>
            <w:tcBorders>
              <w:top w:val="nil"/>
              <w:left w:val="nil"/>
              <w:bottom w:val="single" w:sz="4" w:space="0" w:color="auto"/>
              <w:right w:val="single" w:sz="4" w:space="0" w:color="auto"/>
            </w:tcBorders>
            <w:shd w:val="clear" w:color="auto" w:fill="auto"/>
            <w:noWrap/>
            <w:vAlign w:val="center"/>
          </w:tcPr>
          <w:p w14:paraId="2B3CE149" w14:textId="77777777" w:rsidR="00C64755" w:rsidRPr="00CE17A4" w:rsidRDefault="00C64755"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50</w:t>
            </w:r>
          </w:p>
        </w:tc>
        <w:tc>
          <w:tcPr>
            <w:tcW w:w="1275" w:type="dxa"/>
            <w:tcBorders>
              <w:top w:val="nil"/>
              <w:left w:val="nil"/>
              <w:bottom w:val="single" w:sz="4" w:space="0" w:color="auto"/>
              <w:right w:val="single" w:sz="4" w:space="0" w:color="auto"/>
            </w:tcBorders>
            <w:shd w:val="clear" w:color="auto" w:fill="auto"/>
            <w:noWrap/>
            <w:vAlign w:val="center"/>
          </w:tcPr>
          <w:p w14:paraId="599B85B5" w14:textId="77777777"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150</w:t>
            </w:r>
          </w:p>
        </w:tc>
      </w:tr>
      <w:tr w:rsidR="00C64755" w:rsidRPr="007D7B87" w14:paraId="291ECFA5" w14:textId="77777777" w:rsidTr="00CE17A4">
        <w:tc>
          <w:tcPr>
            <w:tcW w:w="3690" w:type="dxa"/>
            <w:tcBorders>
              <w:top w:val="nil"/>
              <w:left w:val="single" w:sz="4" w:space="0" w:color="auto"/>
              <w:bottom w:val="single" w:sz="4" w:space="0" w:color="auto"/>
              <w:right w:val="single" w:sz="4" w:space="0" w:color="auto"/>
            </w:tcBorders>
            <w:shd w:val="clear" w:color="auto" w:fill="auto"/>
            <w:noWrap/>
            <w:vAlign w:val="center"/>
          </w:tcPr>
          <w:p w14:paraId="5377A683" w14:textId="137363D5" w:rsidR="00C64755" w:rsidRPr="00CE17A4" w:rsidRDefault="00C64755" w:rsidP="00C64755">
            <w:pPr>
              <w:ind w:left="0" w:firstLine="0"/>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Servicio de Información sobre Sitios Ramsar (mantenimiento y desarrollo)</w:t>
            </w:r>
          </w:p>
        </w:tc>
        <w:tc>
          <w:tcPr>
            <w:tcW w:w="1254" w:type="dxa"/>
            <w:tcBorders>
              <w:top w:val="nil"/>
              <w:left w:val="nil"/>
              <w:bottom w:val="single" w:sz="4" w:space="0" w:color="auto"/>
              <w:right w:val="single" w:sz="4" w:space="0" w:color="auto"/>
            </w:tcBorders>
            <w:vAlign w:val="center"/>
          </w:tcPr>
          <w:p w14:paraId="60547D57" w14:textId="07B67512"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80</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303BDBF0" w14:textId="03549E95"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80</w:t>
            </w:r>
          </w:p>
        </w:tc>
        <w:tc>
          <w:tcPr>
            <w:tcW w:w="1254" w:type="dxa"/>
            <w:tcBorders>
              <w:top w:val="nil"/>
              <w:left w:val="nil"/>
              <w:bottom w:val="single" w:sz="4" w:space="0" w:color="auto"/>
              <w:right w:val="single" w:sz="4" w:space="0" w:color="auto"/>
            </w:tcBorders>
            <w:shd w:val="clear" w:color="auto" w:fill="auto"/>
            <w:noWrap/>
            <w:vAlign w:val="center"/>
          </w:tcPr>
          <w:p w14:paraId="037152B1" w14:textId="77777777"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60</w:t>
            </w:r>
          </w:p>
        </w:tc>
        <w:tc>
          <w:tcPr>
            <w:tcW w:w="1254" w:type="dxa"/>
            <w:tcBorders>
              <w:top w:val="nil"/>
              <w:left w:val="nil"/>
              <w:bottom w:val="single" w:sz="4" w:space="0" w:color="auto"/>
              <w:right w:val="single" w:sz="4" w:space="0" w:color="auto"/>
            </w:tcBorders>
            <w:shd w:val="clear" w:color="auto" w:fill="auto"/>
            <w:noWrap/>
            <w:vAlign w:val="center"/>
          </w:tcPr>
          <w:p w14:paraId="2D7E153C" w14:textId="77777777" w:rsidR="00C64755" w:rsidRPr="00CE17A4" w:rsidRDefault="00C64755"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60</w:t>
            </w:r>
          </w:p>
        </w:tc>
        <w:tc>
          <w:tcPr>
            <w:tcW w:w="1275" w:type="dxa"/>
            <w:tcBorders>
              <w:top w:val="nil"/>
              <w:left w:val="nil"/>
              <w:bottom w:val="single" w:sz="4" w:space="0" w:color="auto"/>
              <w:right w:val="single" w:sz="4" w:space="0" w:color="auto"/>
            </w:tcBorders>
            <w:shd w:val="clear" w:color="auto" w:fill="auto"/>
            <w:noWrap/>
            <w:vAlign w:val="center"/>
          </w:tcPr>
          <w:p w14:paraId="59017CD5" w14:textId="77777777"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200</w:t>
            </w:r>
          </w:p>
        </w:tc>
      </w:tr>
      <w:tr w:rsidR="00C64755" w:rsidRPr="007D7B87" w14:paraId="73374A79" w14:textId="77777777" w:rsidTr="00CE17A4">
        <w:tc>
          <w:tcPr>
            <w:tcW w:w="3690" w:type="dxa"/>
            <w:tcBorders>
              <w:top w:val="nil"/>
              <w:left w:val="single" w:sz="4" w:space="0" w:color="auto"/>
              <w:bottom w:val="single" w:sz="4" w:space="0" w:color="auto"/>
              <w:right w:val="single" w:sz="4" w:space="0" w:color="auto"/>
            </w:tcBorders>
            <w:shd w:val="clear" w:color="auto" w:fill="auto"/>
            <w:noWrap/>
            <w:vAlign w:val="center"/>
          </w:tcPr>
          <w:p w14:paraId="1E10C5BC" w14:textId="6F66A31F" w:rsidR="00C64755" w:rsidRPr="00CE17A4" w:rsidRDefault="00C64755" w:rsidP="00C64755">
            <w:pPr>
              <w:ind w:left="0" w:firstLine="0"/>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color w:val="000000"/>
                <w:sz w:val="20"/>
                <w:szCs w:val="20"/>
                <w:lang w:val="es-ES" w:eastAsia="en-GB"/>
              </w:rPr>
              <w:t>Viajes</w:t>
            </w:r>
          </w:p>
        </w:tc>
        <w:tc>
          <w:tcPr>
            <w:tcW w:w="1254" w:type="dxa"/>
            <w:tcBorders>
              <w:top w:val="nil"/>
              <w:left w:val="nil"/>
              <w:bottom w:val="single" w:sz="4" w:space="0" w:color="auto"/>
              <w:right w:val="single" w:sz="4" w:space="0" w:color="auto"/>
            </w:tcBorders>
            <w:vAlign w:val="center"/>
          </w:tcPr>
          <w:p w14:paraId="1071FE9E" w14:textId="48B6BBBE"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18</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047E7A25" w14:textId="245949D4" w:rsidR="00C64755" w:rsidRPr="00CE17A4" w:rsidDel="00A6664E"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18</w:t>
            </w:r>
          </w:p>
        </w:tc>
        <w:tc>
          <w:tcPr>
            <w:tcW w:w="1254" w:type="dxa"/>
            <w:tcBorders>
              <w:top w:val="nil"/>
              <w:left w:val="nil"/>
              <w:bottom w:val="single" w:sz="4" w:space="0" w:color="auto"/>
              <w:right w:val="single" w:sz="4" w:space="0" w:color="auto"/>
            </w:tcBorders>
            <w:shd w:val="clear" w:color="auto" w:fill="auto"/>
            <w:noWrap/>
            <w:vAlign w:val="center"/>
          </w:tcPr>
          <w:p w14:paraId="03207D71" w14:textId="77777777" w:rsidR="00C64755" w:rsidRPr="00CE17A4" w:rsidDel="00A6664E"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18</w:t>
            </w:r>
          </w:p>
        </w:tc>
        <w:tc>
          <w:tcPr>
            <w:tcW w:w="1254" w:type="dxa"/>
            <w:tcBorders>
              <w:top w:val="nil"/>
              <w:left w:val="nil"/>
              <w:bottom w:val="single" w:sz="4" w:space="0" w:color="auto"/>
              <w:right w:val="single" w:sz="4" w:space="0" w:color="auto"/>
            </w:tcBorders>
            <w:shd w:val="clear" w:color="auto" w:fill="auto"/>
            <w:noWrap/>
            <w:vAlign w:val="center"/>
          </w:tcPr>
          <w:p w14:paraId="1078FAAC" w14:textId="77777777" w:rsidR="00C64755" w:rsidRPr="00CE17A4" w:rsidDel="00A6664E" w:rsidRDefault="00C64755"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18</w:t>
            </w:r>
          </w:p>
        </w:tc>
        <w:tc>
          <w:tcPr>
            <w:tcW w:w="1275" w:type="dxa"/>
            <w:tcBorders>
              <w:top w:val="nil"/>
              <w:left w:val="nil"/>
              <w:bottom w:val="single" w:sz="4" w:space="0" w:color="auto"/>
              <w:right w:val="single" w:sz="4" w:space="0" w:color="auto"/>
            </w:tcBorders>
            <w:shd w:val="clear" w:color="auto" w:fill="auto"/>
            <w:noWrap/>
            <w:vAlign w:val="center"/>
          </w:tcPr>
          <w:p w14:paraId="0C3548D2" w14:textId="77777777" w:rsidR="00C64755" w:rsidRPr="00CE17A4" w:rsidDel="00A6664E"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54</w:t>
            </w:r>
          </w:p>
        </w:tc>
      </w:tr>
      <w:tr w:rsidR="00A84F0F" w:rsidRPr="007D7B87" w14:paraId="0454F1D9" w14:textId="77777777" w:rsidTr="00CE17A4">
        <w:tc>
          <w:tcPr>
            <w:tcW w:w="3690"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2B30E7EA" w14:textId="7C2B75D3" w:rsidR="00A84F0F" w:rsidRPr="00CE17A4" w:rsidRDefault="00A84F0F" w:rsidP="00CE17A4">
            <w:pPr>
              <w:keepNext/>
              <w:ind w:left="0" w:firstLine="0"/>
              <w:rPr>
                <w:rFonts w:asciiTheme="minorHAnsi" w:eastAsia="Times New Roman" w:hAnsiTheme="minorHAnsi" w:cstheme="minorHAnsi"/>
                <w:b/>
                <w:bCs/>
                <w:noProof/>
                <w:sz w:val="20"/>
                <w:szCs w:val="20"/>
                <w:lang w:val="es-ES" w:eastAsia="en-GB"/>
              </w:rPr>
            </w:pPr>
            <w:r w:rsidRPr="00CE17A4">
              <w:rPr>
                <w:rFonts w:asciiTheme="minorHAnsi" w:eastAsia="Times New Roman" w:hAnsiTheme="minorHAnsi" w:cstheme="minorHAnsi"/>
                <w:b/>
                <w:bCs/>
                <w:noProof/>
                <w:sz w:val="20"/>
                <w:szCs w:val="20"/>
                <w:lang w:val="es-ES" w:eastAsia="en-GB"/>
              </w:rPr>
              <w:lastRenderedPageBreak/>
              <w:t>G. Administra</w:t>
            </w:r>
            <w:r w:rsidR="00C64755" w:rsidRPr="00CE17A4">
              <w:rPr>
                <w:rFonts w:asciiTheme="minorHAnsi" w:eastAsia="Times New Roman" w:hAnsiTheme="minorHAnsi" w:cstheme="minorHAnsi"/>
                <w:b/>
                <w:bCs/>
                <w:noProof/>
                <w:sz w:val="20"/>
                <w:szCs w:val="20"/>
                <w:lang w:val="es-ES" w:eastAsia="en-GB"/>
              </w:rPr>
              <w:t>ció</w:t>
            </w:r>
            <w:r w:rsidRPr="00CE17A4">
              <w:rPr>
                <w:rFonts w:asciiTheme="minorHAnsi" w:eastAsia="Times New Roman" w:hAnsiTheme="minorHAnsi" w:cstheme="minorHAnsi"/>
                <w:b/>
                <w:bCs/>
                <w:noProof/>
                <w:sz w:val="20"/>
                <w:szCs w:val="20"/>
                <w:lang w:val="es-ES" w:eastAsia="en-GB"/>
              </w:rPr>
              <w:t>n</w:t>
            </w:r>
          </w:p>
        </w:tc>
        <w:tc>
          <w:tcPr>
            <w:tcW w:w="1254" w:type="dxa"/>
            <w:tcBorders>
              <w:top w:val="single" w:sz="4" w:space="0" w:color="auto"/>
              <w:left w:val="nil"/>
              <w:bottom w:val="single" w:sz="4" w:space="0" w:color="auto"/>
              <w:right w:val="single" w:sz="4" w:space="0" w:color="auto"/>
            </w:tcBorders>
            <w:shd w:val="clear" w:color="000000" w:fill="C4D79B"/>
            <w:vAlign w:val="center"/>
          </w:tcPr>
          <w:p w14:paraId="749CCF29" w14:textId="5900F805" w:rsidR="00A84F0F" w:rsidRPr="00CE17A4" w:rsidRDefault="00A84F0F" w:rsidP="00CE17A4">
            <w:pPr>
              <w:keepNext/>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481</w:t>
            </w:r>
          </w:p>
        </w:tc>
        <w:tc>
          <w:tcPr>
            <w:tcW w:w="1254"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0E3DBB7A" w14:textId="0041BA82" w:rsidR="00A84F0F" w:rsidRPr="00CE17A4" w:rsidRDefault="00A84F0F" w:rsidP="00CE17A4">
            <w:pPr>
              <w:keepNext/>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474</w:t>
            </w:r>
          </w:p>
        </w:tc>
        <w:tc>
          <w:tcPr>
            <w:tcW w:w="1254" w:type="dxa"/>
            <w:tcBorders>
              <w:top w:val="single" w:sz="4" w:space="0" w:color="auto"/>
              <w:left w:val="nil"/>
              <w:bottom w:val="single" w:sz="4" w:space="0" w:color="auto"/>
              <w:right w:val="single" w:sz="4" w:space="0" w:color="auto"/>
            </w:tcBorders>
            <w:shd w:val="clear" w:color="000000" w:fill="C4D79B"/>
            <w:noWrap/>
            <w:vAlign w:val="center"/>
          </w:tcPr>
          <w:p w14:paraId="714DE506" w14:textId="77777777" w:rsidR="00A84F0F" w:rsidRPr="00CE17A4" w:rsidRDefault="00A84F0F" w:rsidP="00CE17A4">
            <w:pPr>
              <w:keepNext/>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478</w:t>
            </w:r>
          </w:p>
        </w:tc>
        <w:tc>
          <w:tcPr>
            <w:tcW w:w="1254" w:type="dxa"/>
            <w:tcBorders>
              <w:top w:val="single" w:sz="4" w:space="0" w:color="auto"/>
              <w:left w:val="nil"/>
              <w:bottom w:val="single" w:sz="4" w:space="0" w:color="auto"/>
              <w:right w:val="single" w:sz="4" w:space="0" w:color="auto"/>
            </w:tcBorders>
            <w:shd w:val="clear" w:color="000000" w:fill="C4D79B"/>
            <w:noWrap/>
            <w:vAlign w:val="center"/>
          </w:tcPr>
          <w:p w14:paraId="54580FBD" w14:textId="77777777" w:rsidR="00A84F0F" w:rsidRPr="00CE17A4" w:rsidRDefault="00A84F0F" w:rsidP="00CE17A4">
            <w:pPr>
              <w:keepNext/>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478</w:t>
            </w:r>
          </w:p>
        </w:tc>
        <w:tc>
          <w:tcPr>
            <w:tcW w:w="1275" w:type="dxa"/>
            <w:tcBorders>
              <w:top w:val="single" w:sz="4" w:space="0" w:color="auto"/>
              <w:left w:val="nil"/>
              <w:bottom w:val="single" w:sz="4" w:space="0" w:color="auto"/>
              <w:right w:val="single" w:sz="4" w:space="0" w:color="auto"/>
            </w:tcBorders>
            <w:shd w:val="clear" w:color="000000" w:fill="C4D79B"/>
            <w:noWrap/>
            <w:vAlign w:val="center"/>
          </w:tcPr>
          <w:p w14:paraId="5160A98A" w14:textId="33F054EF" w:rsidR="00A84F0F" w:rsidRPr="00CE17A4" w:rsidRDefault="00A84F0F" w:rsidP="00CE17A4">
            <w:pPr>
              <w:keepNext/>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1</w:t>
            </w:r>
            <w:r w:rsidR="001A764A" w:rsidRPr="00CE17A4">
              <w:rPr>
                <w:rFonts w:asciiTheme="minorHAnsi" w:eastAsia="Times New Roman" w:hAnsiTheme="minorHAnsi" w:cstheme="minorHAnsi"/>
                <w:b/>
                <w:bCs/>
                <w:noProof/>
                <w:color w:val="000000"/>
                <w:sz w:val="20"/>
                <w:szCs w:val="20"/>
                <w:lang w:val="es-ES" w:eastAsia="en-GB"/>
              </w:rPr>
              <w:t xml:space="preserve"> </w:t>
            </w:r>
            <w:r w:rsidRPr="00CE17A4">
              <w:rPr>
                <w:rFonts w:asciiTheme="minorHAnsi" w:eastAsia="Times New Roman" w:hAnsiTheme="minorHAnsi" w:cstheme="minorHAnsi"/>
                <w:b/>
                <w:bCs/>
                <w:noProof/>
                <w:color w:val="000000"/>
                <w:sz w:val="20"/>
                <w:szCs w:val="20"/>
                <w:lang w:val="es-ES" w:eastAsia="en-GB"/>
              </w:rPr>
              <w:t>430</w:t>
            </w:r>
          </w:p>
        </w:tc>
      </w:tr>
      <w:tr w:rsidR="00C64755" w:rsidRPr="007D7B87" w14:paraId="624A46AD" w14:textId="77777777" w:rsidTr="00CE17A4">
        <w:tc>
          <w:tcPr>
            <w:tcW w:w="3690" w:type="dxa"/>
            <w:tcBorders>
              <w:top w:val="nil"/>
              <w:left w:val="single" w:sz="4" w:space="0" w:color="auto"/>
              <w:bottom w:val="single" w:sz="4" w:space="0" w:color="auto"/>
              <w:right w:val="single" w:sz="4" w:space="0" w:color="auto"/>
            </w:tcBorders>
            <w:shd w:val="clear" w:color="auto" w:fill="auto"/>
            <w:noWrap/>
            <w:vAlign w:val="center"/>
          </w:tcPr>
          <w:p w14:paraId="49CEB5B9" w14:textId="284A9AEB" w:rsidR="00C64755" w:rsidRPr="00CE17A4" w:rsidRDefault="00C64755" w:rsidP="00C64755">
            <w:pPr>
              <w:ind w:left="0" w:firstLine="0"/>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Salarios, gastos sociales y otras prestaciones laborales</w:t>
            </w:r>
          </w:p>
        </w:tc>
        <w:tc>
          <w:tcPr>
            <w:tcW w:w="1254" w:type="dxa"/>
            <w:tcBorders>
              <w:top w:val="nil"/>
              <w:left w:val="nil"/>
              <w:bottom w:val="single" w:sz="4" w:space="0" w:color="auto"/>
              <w:right w:val="single" w:sz="4" w:space="0" w:color="auto"/>
            </w:tcBorders>
            <w:vAlign w:val="center"/>
          </w:tcPr>
          <w:p w14:paraId="0C8EA191" w14:textId="5370AEDC"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337</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1A1E5446" w14:textId="3EC4521B"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331</w:t>
            </w:r>
          </w:p>
        </w:tc>
        <w:tc>
          <w:tcPr>
            <w:tcW w:w="1254" w:type="dxa"/>
            <w:tcBorders>
              <w:top w:val="nil"/>
              <w:left w:val="nil"/>
              <w:bottom w:val="single" w:sz="4" w:space="0" w:color="auto"/>
              <w:right w:val="single" w:sz="4" w:space="0" w:color="auto"/>
            </w:tcBorders>
            <w:shd w:val="clear" w:color="auto" w:fill="auto"/>
            <w:noWrap/>
            <w:vAlign w:val="center"/>
          </w:tcPr>
          <w:p w14:paraId="1893C1A5" w14:textId="77777777"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331</w:t>
            </w:r>
          </w:p>
        </w:tc>
        <w:tc>
          <w:tcPr>
            <w:tcW w:w="1254" w:type="dxa"/>
            <w:tcBorders>
              <w:top w:val="nil"/>
              <w:left w:val="nil"/>
              <w:bottom w:val="single" w:sz="4" w:space="0" w:color="auto"/>
              <w:right w:val="single" w:sz="4" w:space="0" w:color="auto"/>
            </w:tcBorders>
            <w:shd w:val="clear" w:color="auto" w:fill="auto"/>
            <w:noWrap/>
            <w:vAlign w:val="center"/>
          </w:tcPr>
          <w:p w14:paraId="7778A3F7" w14:textId="77777777" w:rsidR="00C64755" w:rsidRPr="00CE17A4" w:rsidRDefault="00C64755"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331</w:t>
            </w:r>
          </w:p>
        </w:tc>
        <w:tc>
          <w:tcPr>
            <w:tcW w:w="1275" w:type="dxa"/>
            <w:tcBorders>
              <w:top w:val="nil"/>
              <w:left w:val="nil"/>
              <w:bottom w:val="single" w:sz="4" w:space="0" w:color="auto"/>
              <w:right w:val="single" w:sz="4" w:space="0" w:color="auto"/>
            </w:tcBorders>
            <w:shd w:val="clear" w:color="auto" w:fill="auto"/>
            <w:noWrap/>
            <w:vAlign w:val="center"/>
          </w:tcPr>
          <w:p w14:paraId="6A373071" w14:textId="77777777"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993</w:t>
            </w:r>
          </w:p>
        </w:tc>
      </w:tr>
      <w:tr w:rsidR="00A84F0F" w:rsidRPr="007D7B87" w14:paraId="48A9F315" w14:textId="77777777" w:rsidTr="00CE17A4">
        <w:tc>
          <w:tcPr>
            <w:tcW w:w="3690" w:type="dxa"/>
            <w:tcBorders>
              <w:top w:val="nil"/>
              <w:left w:val="single" w:sz="4" w:space="0" w:color="auto"/>
              <w:bottom w:val="single" w:sz="4" w:space="0" w:color="auto"/>
              <w:right w:val="single" w:sz="4" w:space="0" w:color="auto"/>
            </w:tcBorders>
            <w:shd w:val="clear" w:color="auto" w:fill="auto"/>
            <w:noWrap/>
            <w:vAlign w:val="center"/>
          </w:tcPr>
          <w:p w14:paraId="56863CB4" w14:textId="173A566F" w:rsidR="00A84F0F" w:rsidRPr="00CE17A4" w:rsidRDefault="00C64755" w:rsidP="00A84F0F">
            <w:pPr>
              <w:ind w:left="0" w:firstLine="0"/>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Costos de contratación y separación del personal</w:t>
            </w:r>
          </w:p>
        </w:tc>
        <w:tc>
          <w:tcPr>
            <w:tcW w:w="1254" w:type="dxa"/>
            <w:tcBorders>
              <w:top w:val="nil"/>
              <w:left w:val="nil"/>
              <w:bottom w:val="single" w:sz="4" w:space="0" w:color="auto"/>
              <w:right w:val="single" w:sz="4" w:space="0" w:color="auto"/>
            </w:tcBorders>
            <w:vAlign w:val="center"/>
          </w:tcPr>
          <w:p w14:paraId="58AE40C4" w14:textId="4E8CCC75"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49</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76D3A7C5" w14:textId="56D8DD4A"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48</w:t>
            </w:r>
          </w:p>
        </w:tc>
        <w:tc>
          <w:tcPr>
            <w:tcW w:w="1254" w:type="dxa"/>
            <w:tcBorders>
              <w:top w:val="nil"/>
              <w:left w:val="nil"/>
              <w:bottom w:val="single" w:sz="4" w:space="0" w:color="auto"/>
              <w:right w:val="single" w:sz="4" w:space="0" w:color="auto"/>
            </w:tcBorders>
            <w:shd w:val="clear" w:color="auto" w:fill="auto"/>
            <w:noWrap/>
            <w:vAlign w:val="center"/>
          </w:tcPr>
          <w:p w14:paraId="30D81D5D" w14:textId="77777777"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52</w:t>
            </w:r>
          </w:p>
        </w:tc>
        <w:tc>
          <w:tcPr>
            <w:tcW w:w="1254" w:type="dxa"/>
            <w:tcBorders>
              <w:top w:val="nil"/>
              <w:left w:val="nil"/>
              <w:bottom w:val="single" w:sz="4" w:space="0" w:color="auto"/>
              <w:right w:val="single" w:sz="4" w:space="0" w:color="auto"/>
            </w:tcBorders>
            <w:shd w:val="clear" w:color="auto" w:fill="auto"/>
            <w:noWrap/>
            <w:vAlign w:val="center"/>
          </w:tcPr>
          <w:p w14:paraId="6DEB48BB" w14:textId="77777777" w:rsidR="00A84F0F" w:rsidRPr="00CE17A4" w:rsidRDefault="00A84F0F"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52</w:t>
            </w:r>
          </w:p>
        </w:tc>
        <w:tc>
          <w:tcPr>
            <w:tcW w:w="1275" w:type="dxa"/>
            <w:tcBorders>
              <w:top w:val="nil"/>
              <w:left w:val="nil"/>
              <w:bottom w:val="single" w:sz="4" w:space="0" w:color="auto"/>
              <w:right w:val="single" w:sz="4" w:space="0" w:color="auto"/>
            </w:tcBorders>
            <w:shd w:val="clear" w:color="auto" w:fill="auto"/>
            <w:noWrap/>
            <w:vAlign w:val="center"/>
          </w:tcPr>
          <w:p w14:paraId="765226DD" w14:textId="77777777"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152</w:t>
            </w:r>
          </w:p>
        </w:tc>
      </w:tr>
      <w:tr w:rsidR="00A84F0F" w:rsidRPr="007D7B87" w14:paraId="650A00F3" w14:textId="77777777" w:rsidTr="00CE17A4">
        <w:tc>
          <w:tcPr>
            <w:tcW w:w="3690" w:type="dxa"/>
            <w:tcBorders>
              <w:top w:val="nil"/>
              <w:left w:val="single" w:sz="4" w:space="0" w:color="auto"/>
              <w:bottom w:val="single" w:sz="4" w:space="0" w:color="auto"/>
              <w:right w:val="single" w:sz="4" w:space="0" w:color="auto"/>
            </w:tcBorders>
            <w:shd w:val="clear" w:color="auto" w:fill="auto"/>
            <w:noWrap/>
            <w:vAlign w:val="center"/>
          </w:tcPr>
          <w:p w14:paraId="3ADF3DC7" w14:textId="5E07AB44" w:rsidR="00A84F0F" w:rsidRPr="00CE17A4" w:rsidRDefault="00C64755" w:rsidP="00A84F0F">
            <w:pPr>
              <w:ind w:left="0" w:firstLine="0"/>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Equipo/suministros de oficina</w:t>
            </w:r>
          </w:p>
        </w:tc>
        <w:tc>
          <w:tcPr>
            <w:tcW w:w="1254" w:type="dxa"/>
            <w:tcBorders>
              <w:top w:val="nil"/>
              <w:left w:val="nil"/>
              <w:bottom w:val="single" w:sz="4" w:space="0" w:color="auto"/>
              <w:right w:val="single" w:sz="4" w:space="0" w:color="auto"/>
            </w:tcBorders>
            <w:vAlign w:val="center"/>
          </w:tcPr>
          <w:p w14:paraId="431F55DA" w14:textId="27B3A3FC"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95</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2151CA45" w14:textId="2FF773B9"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95</w:t>
            </w:r>
          </w:p>
        </w:tc>
        <w:tc>
          <w:tcPr>
            <w:tcW w:w="1254" w:type="dxa"/>
            <w:tcBorders>
              <w:top w:val="nil"/>
              <w:left w:val="nil"/>
              <w:bottom w:val="single" w:sz="4" w:space="0" w:color="auto"/>
              <w:right w:val="single" w:sz="4" w:space="0" w:color="auto"/>
            </w:tcBorders>
            <w:shd w:val="clear" w:color="auto" w:fill="auto"/>
            <w:noWrap/>
            <w:vAlign w:val="center"/>
          </w:tcPr>
          <w:p w14:paraId="59C97DC6" w14:textId="77777777"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95</w:t>
            </w:r>
          </w:p>
        </w:tc>
        <w:tc>
          <w:tcPr>
            <w:tcW w:w="1254" w:type="dxa"/>
            <w:tcBorders>
              <w:top w:val="nil"/>
              <w:left w:val="nil"/>
              <w:bottom w:val="single" w:sz="4" w:space="0" w:color="auto"/>
              <w:right w:val="single" w:sz="4" w:space="0" w:color="auto"/>
            </w:tcBorders>
            <w:shd w:val="clear" w:color="auto" w:fill="auto"/>
            <w:noWrap/>
            <w:vAlign w:val="center"/>
          </w:tcPr>
          <w:p w14:paraId="21EB046D" w14:textId="77777777" w:rsidR="00A84F0F" w:rsidRPr="00CE17A4" w:rsidRDefault="00A84F0F"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95</w:t>
            </w:r>
          </w:p>
        </w:tc>
        <w:tc>
          <w:tcPr>
            <w:tcW w:w="1275" w:type="dxa"/>
            <w:tcBorders>
              <w:top w:val="nil"/>
              <w:left w:val="nil"/>
              <w:bottom w:val="single" w:sz="4" w:space="0" w:color="auto"/>
              <w:right w:val="single" w:sz="4" w:space="0" w:color="auto"/>
            </w:tcBorders>
            <w:shd w:val="clear" w:color="auto" w:fill="auto"/>
            <w:noWrap/>
            <w:vAlign w:val="center"/>
          </w:tcPr>
          <w:p w14:paraId="501587DD" w14:textId="77777777"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285</w:t>
            </w:r>
          </w:p>
        </w:tc>
      </w:tr>
      <w:tr w:rsidR="00C64755" w:rsidRPr="007D7B87" w14:paraId="5A9D91E4" w14:textId="77777777" w:rsidTr="00CE17A4">
        <w:tc>
          <w:tcPr>
            <w:tcW w:w="3690" w:type="dxa"/>
            <w:tcBorders>
              <w:top w:val="nil"/>
              <w:left w:val="single" w:sz="4" w:space="0" w:color="auto"/>
              <w:bottom w:val="single" w:sz="4" w:space="0" w:color="auto"/>
              <w:right w:val="single" w:sz="4" w:space="0" w:color="auto"/>
            </w:tcBorders>
            <w:shd w:val="clear" w:color="auto" w:fill="auto"/>
            <w:noWrap/>
            <w:vAlign w:val="center"/>
          </w:tcPr>
          <w:p w14:paraId="4BD3580C" w14:textId="01D02111" w:rsidR="00C64755" w:rsidRPr="00CE17A4" w:rsidRDefault="00C64755" w:rsidP="00C64755">
            <w:pPr>
              <w:ind w:left="0" w:firstLine="0"/>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 xml:space="preserve">Planificación y </w:t>
            </w:r>
            <w:r w:rsidR="00680A82" w:rsidRPr="00CE17A4">
              <w:rPr>
                <w:rFonts w:asciiTheme="minorHAnsi" w:eastAsia="Times New Roman" w:hAnsiTheme="minorHAnsi" w:cstheme="minorHAnsi"/>
                <w:noProof/>
                <w:sz w:val="20"/>
                <w:szCs w:val="20"/>
                <w:lang w:val="es-ES" w:eastAsia="en-GB"/>
              </w:rPr>
              <w:t>creación de capacidad</w:t>
            </w:r>
          </w:p>
        </w:tc>
        <w:tc>
          <w:tcPr>
            <w:tcW w:w="1254" w:type="dxa"/>
            <w:tcBorders>
              <w:top w:val="nil"/>
              <w:left w:val="nil"/>
              <w:bottom w:val="single" w:sz="4" w:space="0" w:color="auto"/>
              <w:right w:val="single" w:sz="4" w:space="0" w:color="auto"/>
            </w:tcBorders>
            <w:vAlign w:val="center"/>
          </w:tcPr>
          <w:p w14:paraId="7A79F26A" w14:textId="31A6C51A"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0</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05E5A22C" w14:textId="242D5747"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0</w:t>
            </w:r>
          </w:p>
        </w:tc>
        <w:tc>
          <w:tcPr>
            <w:tcW w:w="1254" w:type="dxa"/>
            <w:tcBorders>
              <w:top w:val="nil"/>
              <w:left w:val="nil"/>
              <w:bottom w:val="single" w:sz="4" w:space="0" w:color="auto"/>
              <w:right w:val="single" w:sz="4" w:space="0" w:color="auto"/>
            </w:tcBorders>
            <w:shd w:val="clear" w:color="auto" w:fill="auto"/>
            <w:noWrap/>
            <w:vAlign w:val="center"/>
          </w:tcPr>
          <w:p w14:paraId="558B3558" w14:textId="77777777"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 0</w:t>
            </w:r>
          </w:p>
        </w:tc>
        <w:tc>
          <w:tcPr>
            <w:tcW w:w="1254" w:type="dxa"/>
            <w:tcBorders>
              <w:top w:val="nil"/>
              <w:left w:val="nil"/>
              <w:bottom w:val="single" w:sz="4" w:space="0" w:color="auto"/>
              <w:right w:val="single" w:sz="4" w:space="0" w:color="auto"/>
            </w:tcBorders>
            <w:shd w:val="clear" w:color="auto" w:fill="auto"/>
            <w:noWrap/>
            <w:vAlign w:val="center"/>
          </w:tcPr>
          <w:p w14:paraId="588A561F" w14:textId="77777777" w:rsidR="00C64755" w:rsidRPr="00CE17A4" w:rsidRDefault="00C64755"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0</w:t>
            </w:r>
          </w:p>
        </w:tc>
        <w:tc>
          <w:tcPr>
            <w:tcW w:w="1275" w:type="dxa"/>
            <w:tcBorders>
              <w:top w:val="nil"/>
              <w:left w:val="nil"/>
              <w:bottom w:val="single" w:sz="4" w:space="0" w:color="auto"/>
              <w:right w:val="single" w:sz="4" w:space="0" w:color="auto"/>
            </w:tcBorders>
            <w:shd w:val="clear" w:color="auto" w:fill="auto"/>
            <w:noWrap/>
            <w:vAlign w:val="center"/>
          </w:tcPr>
          <w:p w14:paraId="4E16C558" w14:textId="77777777"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0</w:t>
            </w:r>
          </w:p>
        </w:tc>
      </w:tr>
      <w:tr w:rsidR="00C64755" w:rsidRPr="007D7B87" w14:paraId="3DE51273" w14:textId="77777777" w:rsidTr="00CE17A4">
        <w:tc>
          <w:tcPr>
            <w:tcW w:w="3690" w:type="dxa"/>
            <w:tcBorders>
              <w:top w:val="nil"/>
              <w:left w:val="single" w:sz="4" w:space="0" w:color="auto"/>
              <w:bottom w:val="single" w:sz="4" w:space="0" w:color="auto"/>
              <w:right w:val="single" w:sz="4" w:space="0" w:color="auto"/>
            </w:tcBorders>
            <w:shd w:val="clear" w:color="000000" w:fill="C4D79B"/>
            <w:noWrap/>
            <w:vAlign w:val="center"/>
          </w:tcPr>
          <w:p w14:paraId="69F2B842" w14:textId="4D02157C" w:rsidR="00C64755" w:rsidRPr="00CE17A4" w:rsidRDefault="00C64755" w:rsidP="00C64755">
            <w:pPr>
              <w:ind w:left="0" w:firstLine="0"/>
              <w:rPr>
                <w:rFonts w:asciiTheme="minorHAnsi" w:eastAsia="Times New Roman" w:hAnsiTheme="minorHAnsi" w:cstheme="minorHAnsi"/>
                <w:b/>
                <w:bCs/>
                <w:noProof/>
                <w:sz w:val="20"/>
                <w:szCs w:val="20"/>
                <w:lang w:val="es-ES" w:eastAsia="en-GB"/>
              </w:rPr>
            </w:pPr>
            <w:r w:rsidRPr="00CE17A4">
              <w:rPr>
                <w:rFonts w:asciiTheme="minorHAnsi" w:eastAsia="Times New Roman" w:hAnsiTheme="minorHAnsi" w:cstheme="minorHAnsi"/>
                <w:b/>
                <w:bCs/>
                <w:noProof/>
                <w:sz w:val="20"/>
                <w:szCs w:val="20"/>
                <w:lang w:val="es-ES" w:eastAsia="en-GB"/>
              </w:rPr>
              <w:t>H. Servicios del Comité Permanente</w:t>
            </w:r>
          </w:p>
        </w:tc>
        <w:tc>
          <w:tcPr>
            <w:tcW w:w="1254" w:type="dxa"/>
            <w:tcBorders>
              <w:top w:val="nil"/>
              <w:left w:val="nil"/>
              <w:bottom w:val="single" w:sz="4" w:space="0" w:color="auto"/>
              <w:right w:val="single" w:sz="4" w:space="0" w:color="auto"/>
            </w:tcBorders>
            <w:shd w:val="clear" w:color="000000" w:fill="C4D79B"/>
            <w:vAlign w:val="center"/>
          </w:tcPr>
          <w:p w14:paraId="7E7889D4" w14:textId="3525D02C" w:rsidR="00C64755" w:rsidRPr="00CE17A4" w:rsidRDefault="00C64755"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150</w:t>
            </w:r>
          </w:p>
        </w:tc>
        <w:tc>
          <w:tcPr>
            <w:tcW w:w="1254" w:type="dxa"/>
            <w:tcBorders>
              <w:top w:val="nil"/>
              <w:left w:val="single" w:sz="4" w:space="0" w:color="auto"/>
              <w:bottom w:val="single" w:sz="4" w:space="0" w:color="auto"/>
              <w:right w:val="single" w:sz="4" w:space="0" w:color="auto"/>
            </w:tcBorders>
            <w:shd w:val="clear" w:color="000000" w:fill="C4D79B"/>
            <w:noWrap/>
            <w:vAlign w:val="center"/>
          </w:tcPr>
          <w:p w14:paraId="1F93B36A" w14:textId="3355D27B" w:rsidR="00C64755" w:rsidRPr="00CE17A4" w:rsidRDefault="00C64755"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150</w:t>
            </w:r>
          </w:p>
        </w:tc>
        <w:tc>
          <w:tcPr>
            <w:tcW w:w="1254" w:type="dxa"/>
            <w:tcBorders>
              <w:top w:val="nil"/>
              <w:left w:val="nil"/>
              <w:bottom w:val="single" w:sz="4" w:space="0" w:color="auto"/>
              <w:right w:val="single" w:sz="4" w:space="0" w:color="auto"/>
            </w:tcBorders>
            <w:shd w:val="clear" w:color="000000" w:fill="C4D79B"/>
            <w:noWrap/>
            <w:vAlign w:val="center"/>
          </w:tcPr>
          <w:p w14:paraId="0056B185" w14:textId="77777777" w:rsidR="00C64755" w:rsidRPr="00CE17A4" w:rsidRDefault="00C64755"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150</w:t>
            </w:r>
          </w:p>
        </w:tc>
        <w:tc>
          <w:tcPr>
            <w:tcW w:w="1254" w:type="dxa"/>
            <w:tcBorders>
              <w:top w:val="nil"/>
              <w:left w:val="nil"/>
              <w:bottom w:val="single" w:sz="4" w:space="0" w:color="auto"/>
              <w:right w:val="single" w:sz="4" w:space="0" w:color="auto"/>
            </w:tcBorders>
            <w:shd w:val="clear" w:color="000000" w:fill="C4D79B"/>
            <w:noWrap/>
            <w:vAlign w:val="center"/>
          </w:tcPr>
          <w:p w14:paraId="18E4DDC9" w14:textId="77777777" w:rsidR="00C64755" w:rsidRPr="00CE17A4" w:rsidRDefault="00C64755"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150</w:t>
            </w:r>
          </w:p>
        </w:tc>
        <w:tc>
          <w:tcPr>
            <w:tcW w:w="1275" w:type="dxa"/>
            <w:tcBorders>
              <w:top w:val="nil"/>
              <w:left w:val="nil"/>
              <w:bottom w:val="single" w:sz="4" w:space="0" w:color="auto"/>
              <w:right w:val="single" w:sz="4" w:space="0" w:color="auto"/>
            </w:tcBorders>
            <w:shd w:val="clear" w:color="000000" w:fill="C4D79B"/>
            <w:noWrap/>
            <w:vAlign w:val="center"/>
          </w:tcPr>
          <w:p w14:paraId="1F1D30C7" w14:textId="77777777" w:rsidR="00C64755" w:rsidRPr="00CE17A4" w:rsidRDefault="00C64755"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450</w:t>
            </w:r>
          </w:p>
        </w:tc>
      </w:tr>
      <w:tr w:rsidR="00C64755" w:rsidRPr="007D7B87" w14:paraId="4197F454" w14:textId="77777777" w:rsidTr="00CE17A4">
        <w:tc>
          <w:tcPr>
            <w:tcW w:w="3690" w:type="dxa"/>
            <w:tcBorders>
              <w:top w:val="nil"/>
              <w:left w:val="single" w:sz="4" w:space="0" w:color="auto"/>
              <w:bottom w:val="single" w:sz="4" w:space="0" w:color="auto"/>
              <w:right w:val="single" w:sz="4" w:space="0" w:color="auto"/>
            </w:tcBorders>
            <w:shd w:val="clear" w:color="auto" w:fill="auto"/>
            <w:noWrap/>
            <w:vAlign w:val="center"/>
          </w:tcPr>
          <w:p w14:paraId="18018EC3" w14:textId="18E53DC1" w:rsidR="00C64755" w:rsidRPr="00CE17A4" w:rsidRDefault="00C64755" w:rsidP="00C64755">
            <w:pPr>
              <w:ind w:left="0" w:firstLine="0"/>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Apoyo a los delegados del Comité Permanente</w:t>
            </w:r>
          </w:p>
        </w:tc>
        <w:tc>
          <w:tcPr>
            <w:tcW w:w="1254" w:type="dxa"/>
            <w:tcBorders>
              <w:top w:val="nil"/>
              <w:left w:val="nil"/>
              <w:bottom w:val="single" w:sz="4" w:space="0" w:color="auto"/>
              <w:right w:val="single" w:sz="4" w:space="0" w:color="auto"/>
            </w:tcBorders>
            <w:vAlign w:val="center"/>
          </w:tcPr>
          <w:p w14:paraId="1EBE8AEC" w14:textId="2594033F"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45</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0ECE7F2C" w14:textId="714C7F5A"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45</w:t>
            </w:r>
          </w:p>
        </w:tc>
        <w:tc>
          <w:tcPr>
            <w:tcW w:w="1254" w:type="dxa"/>
            <w:tcBorders>
              <w:top w:val="nil"/>
              <w:left w:val="nil"/>
              <w:bottom w:val="single" w:sz="4" w:space="0" w:color="auto"/>
              <w:right w:val="single" w:sz="4" w:space="0" w:color="auto"/>
            </w:tcBorders>
            <w:shd w:val="clear" w:color="auto" w:fill="auto"/>
            <w:noWrap/>
            <w:vAlign w:val="center"/>
          </w:tcPr>
          <w:p w14:paraId="22F17488" w14:textId="77777777"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45</w:t>
            </w:r>
          </w:p>
        </w:tc>
        <w:tc>
          <w:tcPr>
            <w:tcW w:w="1254" w:type="dxa"/>
            <w:tcBorders>
              <w:top w:val="nil"/>
              <w:left w:val="nil"/>
              <w:bottom w:val="single" w:sz="4" w:space="0" w:color="auto"/>
              <w:right w:val="single" w:sz="4" w:space="0" w:color="auto"/>
            </w:tcBorders>
            <w:shd w:val="clear" w:color="auto" w:fill="auto"/>
            <w:noWrap/>
            <w:vAlign w:val="center"/>
          </w:tcPr>
          <w:p w14:paraId="24104C11" w14:textId="77777777" w:rsidR="00C64755" w:rsidRPr="00CE17A4" w:rsidRDefault="00C64755"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45</w:t>
            </w:r>
          </w:p>
        </w:tc>
        <w:tc>
          <w:tcPr>
            <w:tcW w:w="1275" w:type="dxa"/>
            <w:tcBorders>
              <w:top w:val="nil"/>
              <w:left w:val="nil"/>
              <w:bottom w:val="single" w:sz="4" w:space="0" w:color="auto"/>
              <w:right w:val="single" w:sz="4" w:space="0" w:color="auto"/>
            </w:tcBorders>
            <w:shd w:val="clear" w:color="auto" w:fill="auto"/>
            <w:noWrap/>
            <w:vAlign w:val="center"/>
          </w:tcPr>
          <w:p w14:paraId="2042E6AB" w14:textId="77777777"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135</w:t>
            </w:r>
          </w:p>
        </w:tc>
      </w:tr>
      <w:tr w:rsidR="00C64755" w:rsidRPr="007D7B87" w14:paraId="3F47C0E5" w14:textId="77777777" w:rsidTr="00CE17A4">
        <w:tc>
          <w:tcPr>
            <w:tcW w:w="3690" w:type="dxa"/>
            <w:tcBorders>
              <w:top w:val="nil"/>
              <w:left w:val="single" w:sz="4" w:space="0" w:color="auto"/>
              <w:bottom w:val="single" w:sz="4" w:space="0" w:color="auto"/>
              <w:right w:val="single" w:sz="4" w:space="0" w:color="auto"/>
            </w:tcBorders>
            <w:shd w:val="clear" w:color="auto" w:fill="auto"/>
            <w:noWrap/>
            <w:vAlign w:val="center"/>
          </w:tcPr>
          <w:p w14:paraId="7D851BEB" w14:textId="785FE6CB" w:rsidR="00C64755" w:rsidRPr="00CE17A4" w:rsidRDefault="00C64755" w:rsidP="00C64755">
            <w:pPr>
              <w:ind w:left="0" w:firstLine="0"/>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Reuniones del Comité Permanente</w:t>
            </w:r>
          </w:p>
        </w:tc>
        <w:tc>
          <w:tcPr>
            <w:tcW w:w="1254" w:type="dxa"/>
            <w:tcBorders>
              <w:top w:val="nil"/>
              <w:left w:val="nil"/>
              <w:bottom w:val="single" w:sz="4" w:space="0" w:color="auto"/>
              <w:right w:val="single" w:sz="4" w:space="0" w:color="auto"/>
            </w:tcBorders>
            <w:vAlign w:val="center"/>
          </w:tcPr>
          <w:p w14:paraId="6325F4F1" w14:textId="4364D86E"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10</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768D0BAA" w14:textId="0EE43084"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10</w:t>
            </w:r>
          </w:p>
        </w:tc>
        <w:tc>
          <w:tcPr>
            <w:tcW w:w="1254" w:type="dxa"/>
            <w:tcBorders>
              <w:top w:val="nil"/>
              <w:left w:val="nil"/>
              <w:bottom w:val="single" w:sz="4" w:space="0" w:color="auto"/>
              <w:right w:val="single" w:sz="4" w:space="0" w:color="auto"/>
            </w:tcBorders>
            <w:shd w:val="clear" w:color="auto" w:fill="auto"/>
            <w:noWrap/>
            <w:vAlign w:val="center"/>
          </w:tcPr>
          <w:p w14:paraId="1C057E5C" w14:textId="77777777"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10</w:t>
            </w:r>
          </w:p>
        </w:tc>
        <w:tc>
          <w:tcPr>
            <w:tcW w:w="1254" w:type="dxa"/>
            <w:tcBorders>
              <w:top w:val="nil"/>
              <w:left w:val="nil"/>
              <w:bottom w:val="single" w:sz="4" w:space="0" w:color="auto"/>
              <w:right w:val="single" w:sz="4" w:space="0" w:color="auto"/>
            </w:tcBorders>
            <w:shd w:val="clear" w:color="auto" w:fill="auto"/>
            <w:noWrap/>
            <w:vAlign w:val="center"/>
          </w:tcPr>
          <w:p w14:paraId="19CD3DCE" w14:textId="77777777" w:rsidR="00C64755" w:rsidRPr="00CE17A4" w:rsidRDefault="00C64755"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10</w:t>
            </w:r>
          </w:p>
        </w:tc>
        <w:tc>
          <w:tcPr>
            <w:tcW w:w="1275" w:type="dxa"/>
            <w:tcBorders>
              <w:top w:val="nil"/>
              <w:left w:val="nil"/>
              <w:bottom w:val="single" w:sz="4" w:space="0" w:color="auto"/>
              <w:right w:val="single" w:sz="4" w:space="0" w:color="auto"/>
            </w:tcBorders>
            <w:shd w:val="clear" w:color="auto" w:fill="auto"/>
            <w:noWrap/>
            <w:vAlign w:val="center"/>
          </w:tcPr>
          <w:p w14:paraId="71C8CC05" w14:textId="77777777"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30</w:t>
            </w:r>
          </w:p>
        </w:tc>
      </w:tr>
      <w:tr w:rsidR="00C64755" w:rsidRPr="007D7B87" w14:paraId="44431FBA" w14:textId="77777777" w:rsidTr="00CE17A4">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FEC61" w14:textId="560F6FBB" w:rsidR="00C64755" w:rsidRPr="00CE17A4" w:rsidRDefault="00C64755" w:rsidP="00C64755">
            <w:pPr>
              <w:ind w:left="0" w:firstLine="0"/>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Traducción en las reuniones del Comité Permanente</w:t>
            </w:r>
          </w:p>
        </w:tc>
        <w:tc>
          <w:tcPr>
            <w:tcW w:w="1254" w:type="dxa"/>
            <w:tcBorders>
              <w:top w:val="single" w:sz="4" w:space="0" w:color="auto"/>
              <w:left w:val="nil"/>
              <w:bottom w:val="single" w:sz="4" w:space="0" w:color="auto"/>
              <w:right w:val="single" w:sz="4" w:space="0" w:color="auto"/>
            </w:tcBorders>
            <w:vAlign w:val="center"/>
          </w:tcPr>
          <w:p w14:paraId="2F6B245B" w14:textId="66582D48"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60</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C2140" w14:textId="4232BC35"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60</w:t>
            </w:r>
          </w:p>
        </w:tc>
        <w:tc>
          <w:tcPr>
            <w:tcW w:w="1254" w:type="dxa"/>
            <w:tcBorders>
              <w:top w:val="single" w:sz="4" w:space="0" w:color="auto"/>
              <w:left w:val="nil"/>
              <w:bottom w:val="single" w:sz="4" w:space="0" w:color="auto"/>
              <w:right w:val="single" w:sz="4" w:space="0" w:color="auto"/>
            </w:tcBorders>
            <w:shd w:val="clear" w:color="auto" w:fill="auto"/>
            <w:noWrap/>
            <w:vAlign w:val="center"/>
          </w:tcPr>
          <w:p w14:paraId="0EF47031" w14:textId="77777777"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60</w:t>
            </w:r>
          </w:p>
        </w:tc>
        <w:tc>
          <w:tcPr>
            <w:tcW w:w="1254" w:type="dxa"/>
            <w:tcBorders>
              <w:top w:val="single" w:sz="4" w:space="0" w:color="auto"/>
              <w:left w:val="nil"/>
              <w:bottom w:val="single" w:sz="4" w:space="0" w:color="auto"/>
              <w:right w:val="single" w:sz="4" w:space="0" w:color="auto"/>
            </w:tcBorders>
            <w:shd w:val="clear" w:color="auto" w:fill="auto"/>
            <w:noWrap/>
            <w:vAlign w:val="center"/>
          </w:tcPr>
          <w:p w14:paraId="5280B668" w14:textId="77777777" w:rsidR="00C64755" w:rsidRPr="00CE17A4" w:rsidRDefault="00C64755"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60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EE28CDF" w14:textId="77777777"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180</w:t>
            </w:r>
          </w:p>
        </w:tc>
      </w:tr>
      <w:tr w:rsidR="00C64755" w:rsidRPr="007D7B87" w14:paraId="741D1B4A" w14:textId="77777777" w:rsidTr="00CE17A4">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4FECE" w14:textId="52BB8144" w:rsidR="00C64755" w:rsidRPr="00CE17A4" w:rsidRDefault="00C64755" w:rsidP="00C64755">
            <w:pPr>
              <w:ind w:left="0" w:firstLine="0"/>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Interpretación simultánea en las reuniones del Comité Permanente</w:t>
            </w:r>
          </w:p>
        </w:tc>
        <w:tc>
          <w:tcPr>
            <w:tcW w:w="1254" w:type="dxa"/>
            <w:tcBorders>
              <w:top w:val="single" w:sz="4" w:space="0" w:color="auto"/>
              <w:left w:val="nil"/>
              <w:bottom w:val="single" w:sz="4" w:space="0" w:color="auto"/>
              <w:right w:val="single" w:sz="4" w:space="0" w:color="auto"/>
            </w:tcBorders>
            <w:vAlign w:val="center"/>
          </w:tcPr>
          <w:p w14:paraId="128D9D5E" w14:textId="7D8667C3"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35</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015AD" w14:textId="3C5E8E80"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35</w:t>
            </w:r>
          </w:p>
        </w:tc>
        <w:tc>
          <w:tcPr>
            <w:tcW w:w="1254" w:type="dxa"/>
            <w:tcBorders>
              <w:top w:val="single" w:sz="4" w:space="0" w:color="auto"/>
              <w:left w:val="nil"/>
              <w:bottom w:val="single" w:sz="4" w:space="0" w:color="auto"/>
              <w:right w:val="single" w:sz="4" w:space="0" w:color="auto"/>
            </w:tcBorders>
            <w:shd w:val="clear" w:color="auto" w:fill="auto"/>
            <w:noWrap/>
            <w:vAlign w:val="center"/>
          </w:tcPr>
          <w:p w14:paraId="375C7CD1" w14:textId="77777777"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35</w:t>
            </w:r>
          </w:p>
        </w:tc>
        <w:tc>
          <w:tcPr>
            <w:tcW w:w="1254" w:type="dxa"/>
            <w:tcBorders>
              <w:top w:val="single" w:sz="4" w:space="0" w:color="auto"/>
              <w:left w:val="nil"/>
              <w:bottom w:val="single" w:sz="4" w:space="0" w:color="auto"/>
              <w:right w:val="single" w:sz="4" w:space="0" w:color="auto"/>
            </w:tcBorders>
            <w:shd w:val="clear" w:color="auto" w:fill="auto"/>
            <w:noWrap/>
            <w:vAlign w:val="center"/>
          </w:tcPr>
          <w:p w14:paraId="722D3823" w14:textId="77777777" w:rsidR="00C64755" w:rsidRPr="00CE17A4" w:rsidRDefault="00C64755"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35</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BCF8B3A" w14:textId="77777777" w:rsidR="00C64755" w:rsidRPr="00CE17A4" w:rsidRDefault="00C64755"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105</w:t>
            </w:r>
          </w:p>
        </w:tc>
      </w:tr>
      <w:tr w:rsidR="00C64755" w:rsidRPr="007D7B87" w14:paraId="04D32294" w14:textId="77777777" w:rsidTr="00CE17A4">
        <w:tc>
          <w:tcPr>
            <w:tcW w:w="3690" w:type="dxa"/>
            <w:tcBorders>
              <w:top w:val="nil"/>
              <w:left w:val="single" w:sz="4" w:space="0" w:color="auto"/>
              <w:bottom w:val="single" w:sz="4" w:space="0" w:color="auto"/>
              <w:right w:val="single" w:sz="4" w:space="0" w:color="auto"/>
            </w:tcBorders>
            <w:shd w:val="clear" w:color="000000" w:fill="C4D79B"/>
            <w:vAlign w:val="center"/>
          </w:tcPr>
          <w:p w14:paraId="1BACE351" w14:textId="45371C69" w:rsidR="00C64755" w:rsidRPr="00CE17A4" w:rsidRDefault="00C64755" w:rsidP="00C64755">
            <w:pPr>
              <w:ind w:left="0" w:firstLine="0"/>
              <w:rPr>
                <w:rFonts w:asciiTheme="minorHAnsi" w:eastAsia="Times New Roman" w:hAnsiTheme="minorHAnsi" w:cstheme="minorHAnsi"/>
                <w:b/>
                <w:bCs/>
                <w:noProof/>
                <w:sz w:val="20"/>
                <w:szCs w:val="20"/>
                <w:lang w:val="es-ES" w:eastAsia="en-GB"/>
              </w:rPr>
            </w:pPr>
            <w:r w:rsidRPr="00CE17A4">
              <w:rPr>
                <w:rFonts w:asciiTheme="minorHAnsi" w:eastAsia="Times New Roman" w:hAnsiTheme="minorHAnsi" w:cstheme="minorHAnsi"/>
                <w:b/>
                <w:bCs/>
                <w:noProof/>
                <w:sz w:val="20"/>
                <w:szCs w:val="20"/>
                <w:lang w:val="es-ES" w:eastAsia="en-GB"/>
              </w:rPr>
              <w:t>I.  Gastos por servicios administrativos de la UICN (máximo)</w:t>
            </w:r>
          </w:p>
        </w:tc>
        <w:tc>
          <w:tcPr>
            <w:tcW w:w="1254" w:type="dxa"/>
            <w:tcBorders>
              <w:top w:val="nil"/>
              <w:left w:val="nil"/>
              <w:bottom w:val="single" w:sz="4" w:space="0" w:color="auto"/>
              <w:right w:val="single" w:sz="4" w:space="0" w:color="auto"/>
            </w:tcBorders>
            <w:shd w:val="clear" w:color="000000" w:fill="C4D79B"/>
            <w:vAlign w:val="center"/>
          </w:tcPr>
          <w:p w14:paraId="3141B99B" w14:textId="42A1CE6A" w:rsidR="00C64755" w:rsidRPr="00CE17A4" w:rsidRDefault="00C64755"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541</w:t>
            </w:r>
          </w:p>
        </w:tc>
        <w:tc>
          <w:tcPr>
            <w:tcW w:w="1254" w:type="dxa"/>
            <w:tcBorders>
              <w:top w:val="nil"/>
              <w:left w:val="single" w:sz="4" w:space="0" w:color="auto"/>
              <w:bottom w:val="single" w:sz="4" w:space="0" w:color="auto"/>
              <w:right w:val="single" w:sz="4" w:space="0" w:color="auto"/>
            </w:tcBorders>
            <w:shd w:val="clear" w:color="000000" w:fill="C4D79B"/>
            <w:noWrap/>
            <w:vAlign w:val="center"/>
          </w:tcPr>
          <w:p w14:paraId="52995099" w14:textId="5DDAE2F5" w:rsidR="00C64755" w:rsidRPr="00CE17A4" w:rsidRDefault="00C64755"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541</w:t>
            </w:r>
          </w:p>
        </w:tc>
        <w:tc>
          <w:tcPr>
            <w:tcW w:w="1254" w:type="dxa"/>
            <w:tcBorders>
              <w:top w:val="nil"/>
              <w:left w:val="nil"/>
              <w:bottom w:val="single" w:sz="4" w:space="0" w:color="auto"/>
              <w:right w:val="single" w:sz="4" w:space="0" w:color="auto"/>
            </w:tcBorders>
            <w:shd w:val="clear" w:color="000000" w:fill="C4D79B"/>
            <w:noWrap/>
            <w:vAlign w:val="center"/>
          </w:tcPr>
          <w:p w14:paraId="5EB5E3EF" w14:textId="77777777" w:rsidR="00C64755" w:rsidRPr="00CE17A4" w:rsidRDefault="00C64755"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541</w:t>
            </w:r>
          </w:p>
        </w:tc>
        <w:tc>
          <w:tcPr>
            <w:tcW w:w="1254" w:type="dxa"/>
            <w:tcBorders>
              <w:top w:val="nil"/>
              <w:left w:val="nil"/>
              <w:bottom w:val="single" w:sz="4" w:space="0" w:color="auto"/>
              <w:right w:val="single" w:sz="4" w:space="0" w:color="auto"/>
            </w:tcBorders>
            <w:shd w:val="clear" w:color="000000" w:fill="C4D79B"/>
            <w:noWrap/>
            <w:vAlign w:val="center"/>
          </w:tcPr>
          <w:p w14:paraId="02F62650" w14:textId="77777777" w:rsidR="00C64755" w:rsidRPr="00CE17A4" w:rsidRDefault="00C64755"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541</w:t>
            </w:r>
          </w:p>
        </w:tc>
        <w:tc>
          <w:tcPr>
            <w:tcW w:w="1275" w:type="dxa"/>
            <w:tcBorders>
              <w:top w:val="nil"/>
              <w:left w:val="nil"/>
              <w:bottom w:val="single" w:sz="4" w:space="0" w:color="auto"/>
              <w:right w:val="single" w:sz="4" w:space="0" w:color="auto"/>
            </w:tcBorders>
            <w:shd w:val="clear" w:color="000000" w:fill="C4D79B"/>
            <w:noWrap/>
            <w:vAlign w:val="center"/>
          </w:tcPr>
          <w:p w14:paraId="3828806A" w14:textId="1292F1CD" w:rsidR="00C64755" w:rsidRPr="00CE17A4" w:rsidRDefault="00C64755"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1</w:t>
            </w:r>
            <w:r w:rsidR="001A764A" w:rsidRPr="00CE17A4">
              <w:rPr>
                <w:rFonts w:asciiTheme="minorHAnsi" w:eastAsia="Times New Roman" w:hAnsiTheme="minorHAnsi" w:cstheme="minorHAnsi"/>
                <w:b/>
                <w:bCs/>
                <w:noProof/>
                <w:color w:val="000000"/>
                <w:sz w:val="20"/>
                <w:szCs w:val="20"/>
                <w:lang w:val="es-ES" w:eastAsia="en-GB"/>
              </w:rPr>
              <w:t xml:space="preserve"> </w:t>
            </w:r>
            <w:r w:rsidRPr="00CE17A4">
              <w:rPr>
                <w:rFonts w:asciiTheme="minorHAnsi" w:eastAsia="Times New Roman" w:hAnsiTheme="minorHAnsi" w:cstheme="minorHAnsi"/>
                <w:b/>
                <w:bCs/>
                <w:noProof/>
                <w:color w:val="000000"/>
                <w:sz w:val="20"/>
                <w:szCs w:val="20"/>
                <w:lang w:val="es-ES" w:eastAsia="en-GB"/>
              </w:rPr>
              <w:t>623</w:t>
            </w:r>
          </w:p>
        </w:tc>
      </w:tr>
      <w:tr w:rsidR="00CA483A" w:rsidRPr="007D7B87" w14:paraId="7A794414" w14:textId="77777777" w:rsidTr="00CE17A4">
        <w:tc>
          <w:tcPr>
            <w:tcW w:w="3690" w:type="dxa"/>
            <w:tcBorders>
              <w:top w:val="nil"/>
              <w:left w:val="single" w:sz="4" w:space="0" w:color="auto"/>
              <w:bottom w:val="single" w:sz="4" w:space="0" w:color="auto"/>
              <w:right w:val="single" w:sz="4" w:space="0" w:color="auto"/>
            </w:tcBorders>
            <w:shd w:val="clear" w:color="auto" w:fill="auto"/>
            <w:noWrap/>
            <w:vAlign w:val="center"/>
          </w:tcPr>
          <w:p w14:paraId="32E2377F" w14:textId="58224661" w:rsidR="00CA483A" w:rsidRPr="00CE17A4" w:rsidRDefault="00CA483A" w:rsidP="00CA483A">
            <w:pPr>
              <w:ind w:left="0" w:firstLine="0"/>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Administración, RR.HH., finanzas y servicios de tecnologías de la información</w:t>
            </w:r>
          </w:p>
        </w:tc>
        <w:tc>
          <w:tcPr>
            <w:tcW w:w="1254" w:type="dxa"/>
            <w:tcBorders>
              <w:top w:val="single" w:sz="4" w:space="0" w:color="auto"/>
              <w:left w:val="nil"/>
              <w:bottom w:val="single" w:sz="4" w:space="0" w:color="auto"/>
              <w:right w:val="single" w:sz="4" w:space="0" w:color="auto"/>
            </w:tcBorders>
            <w:vAlign w:val="center"/>
          </w:tcPr>
          <w:p w14:paraId="08DCA4EF" w14:textId="1B9AD39B" w:rsidR="00CA483A" w:rsidRPr="00CE17A4" w:rsidRDefault="00CA483A"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541</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2B77D1AA" w14:textId="417A38AA" w:rsidR="00CA483A" w:rsidRPr="00CE17A4" w:rsidRDefault="00CA483A"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541</w:t>
            </w:r>
          </w:p>
        </w:tc>
        <w:tc>
          <w:tcPr>
            <w:tcW w:w="1254" w:type="dxa"/>
            <w:tcBorders>
              <w:top w:val="nil"/>
              <w:left w:val="nil"/>
              <w:bottom w:val="single" w:sz="4" w:space="0" w:color="auto"/>
              <w:right w:val="single" w:sz="4" w:space="0" w:color="auto"/>
            </w:tcBorders>
            <w:shd w:val="clear" w:color="auto" w:fill="auto"/>
            <w:noWrap/>
            <w:vAlign w:val="center"/>
          </w:tcPr>
          <w:p w14:paraId="2EB32806" w14:textId="77777777" w:rsidR="00CA483A" w:rsidRPr="00CE17A4" w:rsidRDefault="00CA483A"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541</w:t>
            </w:r>
          </w:p>
        </w:tc>
        <w:tc>
          <w:tcPr>
            <w:tcW w:w="1254" w:type="dxa"/>
            <w:tcBorders>
              <w:top w:val="nil"/>
              <w:left w:val="nil"/>
              <w:bottom w:val="single" w:sz="4" w:space="0" w:color="auto"/>
              <w:right w:val="single" w:sz="4" w:space="0" w:color="auto"/>
            </w:tcBorders>
            <w:shd w:val="clear" w:color="auto" w:fill="auto"/>
            <w:noWrap/>
            <w:vAlign w:val="center"/>
          </w:tcPr>
          <w:p w14:paraId="2A1329AD" w14:textId="77777777" w:rsidR="00CA483A" w:rsidRPr="00CE17A4" w:rsidRDefault="00CA483A"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541</w:t>
            </w:r>
          </w:p>
        </w:tc>
        <w:tc>
          <w:tcPr>
            <w:tcW w:w="1275" w:type="dxa"/>
            <w:tcBorders>
              <w:top w:val="nil"/>
              <w:left w:val="nil"/>
              <w:bottom w:val="single" w:sz="4" w:space="0" w:color="auto"/>
              <w:right w:val="single" w:sz="4" w:space="0" w:color="auto"/>
            </w:tcBorders>
            <w:shd w:val="clear" w:color="auto" w:fill="auto"/>
            <w:noWrap/>
            <w:vAlign w:val="center"/>
          </w:tcPr>
          <w:p w14:paraId="3C328DDE" w14:textId="4D16C916" w:rsidR="00CA483A" w:rsidRPr="00CE17A4" w:rsidRDefault="00CA483A"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w:t>
            </w:r>
            <w:r w:rsidR="001A764A" w:rsidRPr="00CE17A4">
              <w:rPr>
                <w:rFonts w:asciiTheme="minorHAnsi" w:eastAsia="Times New Roman" w:hAnsiTheme="minorHAnsi" w:cstheme="minorHAnsi"/>
                <w:noProof/>
                <w:sz w:val="20"/>
                <w:szCs w:val="20"/>
                <w:lang w:val="es-ES" w:eastAsia="en-GB"/>
              </w:rPr>
              <w:t xml:space="preserve"> </w:t>
            </w:r>
            <w:r w:rsidRPr="00CE17A4">
              <w:rPr>
                <w:rFonts w:asciiTheme="minorHAnsi" w:eastAsia="Times New Roman" w:hAnsiTheme="minorHAnsi" w:cstheme="minorHAnsi"/>
                <w:noProof/>
                <w:sz w:val="20"/>
                <w:szCs w:val="20"/>
                <w:lang w:val="es-ES" w:eastAsia="en-GB"/>
              </w:rPr>
              <w:t>623</w:t>
            </w:r>
          </w:p>
        </w:tc>
      </w:tr>
      <w:tr w:rsidR="00CA483A" w:rsidRPr="007D7B87" w14:paraId="495592D1" w14:textId="77777777" w:rsidTr="00CE17A4">
        <w:tc>
          <w:tcPr>
            <w:tcW w:w="3690" w:type="dxa"/>
            <w:tcBorders>
              <w:top w:val="nil"/>
              <w:left w:val="single" w:sz="4" w:space="0" w:color="auto"/>
              <w:bottom w:val="single" w:sz="4" w:space="0" w:color="auto"/>
              <w:right w:val="single" w:sz="4" w:space="0" w:color="auto"/>
            </w:tcBorders>
            <w:shd w:val="clear" w:color="000000" w:fill="C4D79B"/>
            <w:noWrap/>
            <w:vAlign w:val="center"/>
          </w:tcPr>
          <w:p w14:paraId="1935A995" w14:textId="049B62CD" w:rsidR="00CA483A" w:rsidRPr="00CE17A4" w:rsidRDefault="00CA483A" w:rsidP="00CA483A">
            <w:pPr>
              <w:ind w:left="0" w:firstLine="0"/>
              <w:rPr>
                <w:rFonts w:asciiTheme="minorHAnsi" w:eastAsia="Times New Roman" w:hAnsiTheme="minorHAnsi" w:cstheme="minorHAnsi"/>
                <w:b/>
                <w:bCs/>
                <w:noProof/>
                <w:sz w:val="20"/>
                <w:szCs w:val="20"/>
                <w:lang w:val="es-ES" w:eastAsia="en-GB"/>
              </w:rPr>
            </w:pPr>
            <w:r w:rsidRPr="00CE17A4">
              <w:rPr>
                <w:rFonts w:asciiTheme="minorHAnsi" w:eastAsia="Times New Roman" w:hAnsiTheme="minorHAnsi" w:cstheme="minorHAnsi"/>
                <w:b/>
                <w:bCs/>
                <w:noProof/>
                <w:sz w:val="20"/>
                <w:szCs w:val="20"/>
                <w:lang w:val="es-ES" w:eastAsia="en-GB"/>
              </w:rPr>
              <w:t>J.  Varios – Fondo de reserva</w:t>
            </w:r>
          </w:p>
        </w:tc>
        <w:tc>
          <w:tcPr>
            <w:tcW w:w="1254" w:type="dxa"/>
            <w:tcBorders>
              <w:top w:val="single" w:sz="4" w:space="0" w:color="auto"/>
              <w:left w:val="nil"/>
              <w:bottom w:val="single" w:sz="4" w:space="0" w:color="auto"/>
              <w:right w:val="single" w:sz="4" w:space="0" w:color="auto"/>
            </w:tcBorders>
            <w:shd w:val="clear" w:color="000000" w:fill="C4D79B"/>
            <w:vAlign w:val="center"/>
          </w:tcPr>
          <w:p w14:paraId="63736CBB" w14:textId="20422FDF" w:rsidR="00CA483A" w:rsidRPr="00CE17A4" w:rsidRDefault="00CA483A"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109</w:t>
            </w:r>
          </w:p>
        </w:tc>
        <w:tc>
          <w:tcPr>
            <w:tcW w:w="1254" w:type="dxa"/>
            <w:tcBorders>
              <w:top w:val="nil"/>
              <w:left w:val="single" w:sz="4" w:space="0" w:color="auto"/>
              <w:bottom w:val="single" w:sz="4" w:space="0" w:color="auto"/>
              <w:right w:val="single" w:sz="4" w:space="0" w:color="auto"/>
            </w:tcBorders>
            <w:shd w:val="clear" w:color="000000" w:fill="C4D79B"/>
            <w:noWrap/>
            <w:vAlign w:val="center"/>
          </w:tcPr>
          <w:p w14:paraId="3AB7656A" w14:textId="13B009C4" w:rsidR="00CA483A" w:rsidRPr="00CE17A4" w:rsidRDefault="00CA483A"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109</w:t>
            </w:r>
          </w:p>
        </w:tc>
        <w:tc>
          <w:tcPr>
            <w:tcW w:w="1254" w:type="dxa"/>
            <w:tcBorders>
              <w:top w:val="nil"/>
              <w:left w:val="nil"/>
              <w:bottom w:val="single" w:sz="4" w:space="0" w:color="auto"/>
              <w:right w:val="single" w:sz="4" w:space="0" w:color="auto"/>
            </w:tcBorders>
            <w:shd w:val="clear" w:color="000000" w:fill="C4D79B"/>
            <w:noWrap/>
            <w:vAlign w:val="center"/>
          </w:tcPr>
          <w:p w14:paraId="28BA5466" w14:textId="77777777" w:rsidR="00CA483A" w:rsidRPr="00CE17A4" w:rsidRDefault="00CA483A"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109</w:t>
            </w:r>
          </w:p>
        </w:tc>
        <w:tc>
          <w:tcPr>
            <w:tcW w:w="1254" w:type="dxa"/>
            <w:tcBorders>
              <w:top w:val="nil"/>
              <w:left w:val="nil"/>
              <w:bottom w:val="single" w:sz="4" w:space="0" w:color="auto"/>
              <w:right w:val="single" w:sz="4" w:space="0" w:color="auto"/>
            </w:tcBorders>
            <w:shd w:val="clear" w:color="000000" w:fill="C4D79B"/>
            <w:noWrap/>
            <w:vAlign w:val="center"/>
          </w:tcPr>
          <w:p w14:paraId="0F448C13" w14:textId="77777777" w:rsidR="00CA483A" w:rsidRPr="00CE17A4" w:rsidRDefault="00CA483A"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109</w:t>
            </w:r>
          </w:p>
        </w:tc>
        <w:tc>
          <w:tcPr>
            <w:tcW w:w="1275" w:type="dxa"/>
            <w:tcBorders>
              <w:top w:val="nil"/>
              <w:left w:val="nil"/>
              <w:bottom w:val="single" w:sz="4" w:space="0" w:color="auto"/>
              <w:right w:val="single" w:sz="4" w:space="0" w:color="auto"/>
            </w:tcBorders>
            <w:shd w:val="clear" w:color="000000" w:fill="C4D79B"/>
            <w:noWrap/>
            <w:vAlign w:val="center"/>
          </w:tcPr>
          <w:p w14:paraId="53BE5F29" w14:textId="77777777" w:rsidR="00CA483A" w:rsidRPr="00CE17A4" w:rsidRDefault="00CA483A"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327</w:t>
            </w:r>
          </w:p>
        </w:tc>
      </w:tr>
      <w:tr w:rsidR="00A84F0F" w:rsidRPr="007D7B87" w14:paraId="2708E707" w14:textId="77777777" w:rsidTr="00CE17A4">
        <w:tc>
          <w:tcPr>
            <w:tcW w:w="3690" w:type="dxa"/>
            <w:tcBorders>
              <w:top w:val="nil"/>
              <w:left w:val="single" w:sz="4" w:space="0" w:color="auto"/>
              <w:bottom w:val="single" w:sz="4" w:space="0" w:color="auto"/>
              <w:right w:val="single" w:sz="4" w:space="0" w:color="auto"/>
            </w:tcBorders>
            <w:shd w:val="clear" w:color="auto" w:fill="auto"/>
            <w:noWrap/>
            <w:vAlign w:val="center"/>
          </w:tcPr>
          <w:p w14:paraId="72EE3D7B" w14:textId="2D1B58EC" w:rsidR="00A84F0F" w:rsidRPr="00CE17A4" w:rsidRDefault="00A84F0F" w:rsidP="00A84F0F">
            <w:pPr>
              <w:ind w:left="0" w:firstLine="0"/>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Provision</w:t>
            </w:r>
            <w:r w:rsidR="00CA483A" w:rsidRPr="00CE17A4">
              <w:rPr>
                <w:rFonts w:asciiTheme="minorHAnsi" w:eastAsia="Times New Roman" w:hAnsiTheme="minorHAnsi" w:cstheme="minorHAnsi"/>
                <w:noProof/>
                <w:sz w:val="20"/>
                <w:szCs w:val="20"/>
                <w:lang w:val="es-ES" w:eastAsia="en-GB"/>
              </w:rPr>
              <w:t>es de personal</w:t>
            </w:r>
          </w:p>
        </w:tc>
        <w:tc>
          <w:tcPr>
            <w:tcW w:w="1254" w:type="dxa"/>
            <w:tcBorders>
              <w:top w:val="single" w:sz="4" w:space="0" w:color="auto"/>
              <w:left w:val="nil"/>
              <w:bottom w:val="single" w:sz="4" w:space="0" w:color="auto"/>
              <w:right w:val="single" w:sz="4" w:space="0" w:color="auto"/>
            </w:tcBorders>
            <w:vAlign w:val="center"/>
          </w:tcPr>
          <w:p w14:paraId="6F3C15C4" w14:textId="16A7C6F2"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20</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38B9848E" w14:textId="5E1F3B8A"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20</w:t>
            </w:r>
          </w:p>
        </w:tc>
        <w:tc>
          <w:tcPr>
            <w:tcW w:w="1254" w:type="dxa"/>
            <w:tcBorders>
              <w:top w:val="nil"/>
              <w:left w:val="nil"/>
              <w:bottom w:val="single" w:sz="4" w:space="0" w:color="auto"/>
              <w:right w:val="single" w:sz="4" w:space="0" w:color="auto"/>
            </w:tcBorders>
            <w:shd w:val="clear" w:color="auto" w:fill="auto"/>
            <w:noWrap/>
            <w:vAlign w:val="center"/>
          </w:tcPr>
          <w:p w14:paraId="401F1294" w14:textId="77777777"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20</w:t>
            </w:r>
          </w:p>
        </w:tc>
        <w:tc>
          <w:tcPr>
            <w:tcW w:w="1254" w:type="dxa"/>
            <w:tcBorders>
              <w:top w:val="nil"/>
              <w:left w:val="nil"/>
              <w:bottom w:val="single" w:sz="4" w:space="0" w:color="auto"/>
              <w:right w:val="single" w:sz="4" w:space="0" w:color="auto"/>
            </w:tcBorders>
            <w:shd w:val="clear" w:color="auto" w:fill="auto"/>
            <w:noWrap/>
            <w:vAlign w:val="center"/>
          </w:tcPr>
          <w:p w14:paraId="03188D30" w14:textId="77777777" w:rsidR="00A84F0F" w:rsidRPr="00CE17A4" w:rsidRDefault="00A84F0F"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20</w:t>
            </w:r>
          </w:p>
        </w:tc>
        <w:tc>
          <w:tcPr>
            <w:tcW w:w="1275" w:type="dxa"/>
            <w:tcBorders>
              <w:top w:val="nil"/>
              <w:left w:val="nil"/>
              <w:bottom w:val="single" w:sz="4" w:space="0" w:color="auto"/>
              <w:right w:val="single" w:sz="4" w:space="0" w:color="auto"/>
            </w:tcBorders>
            <w:shd w:val="clear" w:color="auto" w:fill="auto"/>
            <w:noWrap/>
            <w:vAlign w:val="center"/>
          </w:tcPr>
          <w:p w14:paraId="5FED209C" w14:textId="77777777"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60</w:t>
            </w:r>
          </w:p>
        </w:tc>
      </w:tr>
      <w:tr w:rsidR="00A84F0F" w:rsidRPr="007D7B87" w14:paraId="3475651C" w14:textId="77777777" w:rsidTr="00CE17A4">
        <w:tc>
          <w:tcPr>
            <w:tcW w:w="3690" w:type="dxa"/>
            <w:tcBorders>
              <w:top w:val="nil"/>
              <w:left w:val="single" w:sz="4" w:space="0" w:color="auto"/>
              <w:bottom w:val="single" w:sz="4" w:space="0" w:color="auto"/>
              <w:right w:val="single" w:sz="4" w:space="0" w:color="auto"/>
            </w:tcBorders>
            <w:shd w:val="clear" w:color="auto" w:fill="auto"/>
            <w:noWrap/>
            <w:vAlign w:val="center"/>
          </w:tcPr>
          <w:p w14:paraId="1B93C6AB" w14:textId="04650D96" w:rsidR="00A84F0F" w:rsidRPr="00CE17A4" w:rsidRDefault="00A84F0F" w:rsidP="00A84F0F">
            <w:pPr>
              <w:ind w:left="0" w:firstLine="0"/>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Provision</w:t>
            </w:r>
            <w:r w:rsidR="00CA483A" w:rsidRPr="00CE17A4">
              <w:rPr>
                <w:rFonts w:asciiTheme="minorHAnsi" w:eastAsia="Times New Roman" w:hAnsiTheme="minorHAnsi" w:cstheme="minorHAnsi"/>
                <w:noProof/>
                <w:sz w:val="20"/>
                <w:szCs w:val="20"/>
                <w:lang w:val="es-ES" w:eastAsia="en-GB"/>
              </w:rPr>
              <w:t>e</w:t>
            </w:r>
            <w:r w:rsidRPr="00CE17A4">
              <w:rPr>
                <w:rFonts w:asciiTheme="minorHAnsi" w:eastAsia="Times New Roman" w:hAnsiTheme="minorHAnsi" w:cstheme="minorHAnsi"/>
                <w:noProof/>
                <w:sz w:val="20"/>
                <w:szCs w:val="20"/>
                <w:lang w:val="es-ES" w:eastAsia="en-GB"/>
              </w:rPr>
              <w:t xml:space="preserve">s </w:t>
            </w:r>
            <w:r w:rsidR="00CA483A" w:rsidRPr="00CE17A4">
              <w:rPr>
                <w:rFonts w:asciiTheme="minorHAnsi" w:eastAsia="Times New Roman" w:hAnsiTheme="minorHAnsi" w:cstheme="minorHAnsi"/>
                <w:noProof/>
                <w:sz w:val="20"/>
                <w:szCs w:val="20"/>
                <w:lang w:val="es-ES" w:eastAsia="en-GB"/>
              </w:rPr>
              <w:t>para contribuciones pendientes</w:t>
            </w:r>
          </w:p>
        </w:tc>
        <w:tc>
          <w:tcPr>
            <w:tcW w:w="1254" w:type="dxa"/>
            <w:tcBorders>
              <w:top w:val="single" w:sz="4" w:space="0" w:color="auto"/>
              <w:left w:val="nil"/>
              <w:bottom w:val="single" w:sz="4" w:space="0" w:color="auto"/>
              <w:right w:val="single" w:sz="4" w:space="0" w:color="auto"/>
            </w:tcBorders>
            <w:vAlign w:val="center"/>
          </w:tcPr>
          <w:p w14:paraId="1D124C85" w14:textId="21FC390E"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30</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0F3960C5" w14:textId="6F1BEAF9"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30</w:t>
            </w:r>
          </w:p>
        </w:tc>
        <w:tc>
          <w:tcPr>
            <w:tcW w:w="1254" w:type="dxa"/>
            <w:tcBorders>
              <w:top w:val="nil"/>
              <w:left w:val="nil"/>
              <w:bottom w:val="single" w:sz="4" w:space="0" w:color="auto"/>
              <w:right w:val="single" w:sz="4" w:space="0" w:color="auto"/>
            </w:tcBorders>
            <w:shd w:val="clear" w:color="auto" w:fill="auto"/>
            <w:noWrap/>
            <w:vAlign w:val="center"/>
          </w:tcPr>
          <w:p w14:paraId="27422675" w14:textId="77777777"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30</w:t>
            </w:r>
          </w:p>
        </w:tc>
        <w:tc>
          <w:tcPr>
            <w:tcW w:w="1254" w:type="dxa"/>
            <w:tcBorders>
              <w:top w:val="nil"/>
              <w:left w:val="nil"/>
              <w:bottom w:val="single" w:sz="4" w:space="0" w:color="auto"/>
              <w:right w:val="single" w:sz="4" w:space="0" w:color="auto"/>
            </w:tcBorders>
            <w:shd w:val="clear" w:color="auto" w:fill="auto"/>
            <w:noWrap/>
            <w:vAlign w:val="center"/>
          </w:tcPr>
          <w:p w14:paraId="2FCA1585" w14:textId="77777777" w:rsidR="00A84F0F" w:rsidRPr="00CE17A4" w:rsidRDefault="00A84F0F"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30</w:t>
            </w:r>
          </w:p>
        </w:tc>
        <w:tc>
          <w:tcPr>
            <w:tcW w:w="1275" w:type="dxa"/>
            <w:tcBorders>
              <w:top w:val="nil"/>
              <w:left w:val="nil"/>
              <w:bottom w:val="single" w:sz="4" w:space="0" w:color="auto"/>
              <w:right w:val="single" w:sz="4" w:space="0" w:color="auto"/>
            </w:tcBorders>
            <w:shd w:val="clear" w:color="auto" w:fill="auto"/>
            <w:noWrap/>
            <w:vAlign w:val="center"/>
          </w:tcPr>
          <w:p w14:paraId="76A85FF0" w14:textId="77777777"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90</w:t>
            </w:r>
          </w:p>
        </w:tc>
      </w:tr>
      <w:tr w:rsidR="00A84F0F" w:rsidRPr="007D7B87" w14:paraId="4212530D" w14:textId="77777777" w:rsidTr="00CE17A4">
        <w:tc>
          <w:tcPr>
            <w:tcW w:w="3690" w:type="dxa"/>
            <w:tcBorders>
              <w:top w:val="single" w:sz="4" w:space="0" w:color="auto"/>
              <w:left w:val="single" w:sz="4" w:space="0" w:color="auto"/>
              <w:bottom w:val="nil"/>
              <w:right w:val="single" w:sz="4" w:space="0" w:color="auto"/>
            </w:tcBorders>
            <w:shd w:val="clear" w:color="auto" w:fill="auto"/>
            <w:noWrap/>
            <w:vAlign w:val="center"/>
          </w:tcPr>
          <w:p w14:paraId="16B4C4CE" w14:textId="6ED07ACB" w:rsidR="00A84F0F" w:rsidRPr="00CE17A4" w:rsidRDefault="00CA483A" w:rsidP="00A84F0F">
            <w:pPr>
              <w:ind w:left="0" w:firstLine="0"/>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Servicios jurídicos</w:t>
            </w:r>
          </w:p>
        </w:tc>
        <w:tc>
          <w:tcPr>
            <w:tcW w:w="1254" w:type="dxa"/>
            <w:tcBorders>
              <w:top w:val="single" w:sz="4" w:space="0" w:color="auto"/>
              <w:left w:val="nil"/>
              <w:bottom w:val="single" w:sz="4" w:space="0" w:color="auto"/>
              <w:right w:val="single" w:sz="4" w:space="0" w:color="auto"/>
            </w:tcBorders>
            <w:vAlign w:val="center"/>
          </w:tcPr>
          <w:p w14:paraId="56CA2D67" w14:textId="0E2D3FE2"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59</w:t>
            </w:r>
          </w:p>
        </w:tc>
        <w:tc>
          <w:tcPr>
            <w:tcW w:w="1254" w:type="dxa"/>
            <w:tcBorders>
              <w:top w:val="nil"/>
              <w:left w:val="single" w:sz="4" w:space="0" w:color="auto"/>
              <w:bottom w:val="single" w:sz="4" w:space="0" w:color="auto"/>
              <w:right w:val="single" w:sz="4" w:space="0" w:color="auto"/>
            </w:tcBorders>
            <w:shd w:val="clear" w:color="auto" w:fill="auto"/>
            <w:noWrap/>
            <w:vAlign w:val="center"/>
          </w:tcPr>
          <w:p w14:paraId="2FEEE050" w14:textId="620E39BF"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59</w:t>
            </w:r>
          </w:p>
        </w:tc>
        <w:tc>
          <w:tcPr>
            <w:tcW w:w="1254" w:type="dxa"/>
            <w:tcBorders>
              <w:top w:val="nil"/>
              <w:left w:val="nil"/>
              <w:bottom w:val="single" w:sz="4" w:space="0" w:color="auto"/>
              <w:right w:val="single" w:sz="4" w:space="0" w:color="auto"/>
            </w:tcBorders>
            <w:shd w:val="clear" w:color="auto" w:fill="auto"/>
            <w:noWrap/>
            <w:vAlign w:val="center"/>
          </w:tcPr>
          <w:p w14:paraId="7A202FDB" w14:textId="77777777"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59</w:t>
            </w:r>
          </w:p>
        </w:tc>
        <w:tc>
          <w:tcPr>
            <w:tcW w:w="1254" w:type="dxa"/>
            <w:tcBorders>
              <w:top w:val="single" w:sz="4" w:space="0" w:color="auto"/>
              <w:left w:val="nil"/>
              <w:bottom w:val="nil"/>
              <w:right w:val="single" w:sz="4" w:space="0" w:color="auto"/>
            </w:tcBorders>
            <w:shd w:val="clear" w:color="auto" w:fill="auto"/>
            <w:noWrap/>
            <w:vAlign w:val="center"/>
          </w:tcPr>
          <w:p w14:paraId="3FD8D9BF" w14:textId="77777777" w:rsidR="00A84F0F" w:rsidRPr="00CE17A4" w:rsidRDefault="00A84F0F" w:rsidP="00CE17A4">
            <w:pPr>
              <w:ind w:left="0" w:firstLine="0"/>
              <w:jc w:val="right"/>
              <w:rPr>
                <w:rFonts w:asciiTheme="minorHAnsi" w:eastAsia="Times New Roman" w:hAnsiTheme="minorHAnsi" w:cstheme="minorHAnsi"/>
                <w:noProof/>
                <w:color w:val="000000"/>
                <w:sz w:val="20"/>
                <w:szCs w:val="20"/>
                <w:lang w:val="es-ES" w:eastAsia="en-GB"/>
              </w:rPr>
            </w:pPr>
            <w:r w:rsidRPr="00CE17A4">
              <w:rPr>
                <w:rFonts w:asciiTheme="minorHAnsi" w:eastAsia="Times New Roman" w:hAnsiTheme="minorHAnsi" w:cstheme="minorHAnsi"/>
                <w:noProof/>
                <w:color w:val="000000"/>
                <w:sz w:val="20"/>
                <w:szCs w:val="20"/>
                <w:lang w:val="es-ES" w:eastAsia="en-GB"/>
              </w:rPr>
              <w:t>59</w:t>
            </w:r>
          </w:p>
        </w:tc>
        <w:tc>
          <w:tcPr>
            <w:tcW w:w="1275" w:type="dxa"/>
            <w:tcBorders>
              <w:top w:val="nil"/>
              <w:left w:val="nil"/>
              <w:bottom w:val="single" w:sz="4" w:space="0" w:color="auto"/>
              <w:right w:val="single" w:sz="4" w:space="0" w:color="auto"/>
            </w:tcBorders>
            <w:shd w:val="clear" w:color="auto" w:fill="auto"/>
            <w:noWrap/>
            <w:vAlign w:val="center"/>
          </w:tcPr>
          <w:p w14:paraId="7D265185" w14:textId="77777777" w:rsidR="00A84F0F" w:rsidRPr="00CE17A4" w:rsidRDefault="00A84F0F" w:rsidP="00CE17A4">
            <w:pPr>
              <w:ind w:left="0" w:firstLine="0"/>
              <w:jc w:val="right"/>
              <w:rPr>
                <w:rFonts w:asciiTheme="minorHAnsi" w:eastAsia="Times New Roman" w:hAnsiTheme="minorHAnsi" w:cstheme="minorHAnsi"/>
                <w:noProof/>
                <w:sz w:val="20"/>
                <w:szCs w:val="20"/>
                <w:lang w:val="es-ES" w:eastAsia="en-GB"/>
              </w:rPr>
            </w:pPr>
            <w:r w:rsidRPr="00CE17A4">
              <w:rPr>
                <w:rFonts w:asciiTheme="minorHAnsi" w:eastAsia="Times New Roman" w:hAnsiTheme="minorHAnsi" w:cstheme="minorHAnsi"/>
                <w:noProof/>
                <w:sz w:val="20"/>
                <w:szCs w:val="20"/>
                <w:lang w:val="es-ES" w:eastAsia="en-GB"/>
              </w:rPr>
              <w:t>177</w:t>
            </w:r>
          </w:p>
        </w:tc>
      </w:tr>
      <w:tr w:rsidR="00A84F0F" w:rsidRPr="007D7B87" w14:paraId="3CFD267C" w14:textId="77777777" w:rsidTr="00CE17A4">
        <w:tc>
          <w:tcPr>
            <w:tcW w:w="3690"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5408FDC0" w14:textId="2F5AF065" w:rsidR="00A84F0F" w:rsidRPr="00CE17A4" w:rsidRDefault="00CA483A" w:rsidP="00A84F0F">
            <w:pPr>
              <w:ind w:left="0" w:firstLine="0"/>
              <w:rPr>
                <w:rFonts w:asciiTheme="minorHAnsi" w:eastAsia="Times New Roman" w:hAnsiTheme="minorHAnsi" w:cstheme="minorHAnsi"/>
                <w:b/>
                <w:bCs/>
                <w:noProof/>
                <w:color w:val="1F497D"/>
                <w:sz w:val="20"/>
                <w:szCs w:val="20"/>
                <w:lang w:val="es-ES" w:eastAsia="en-GB"/>
              </w:rPr>
            </w:pPr>
            <w:r w:rsidRPr="00CE17A4">
              <w:rPr>
                <w:rFonts w:asciiTheme="minorHAnsi" w:eastAsia="Times New Roman" w:hAnsiTheme="minorHAnsi" w:cstheme="minorHAnsi"/>
                <w:b/>
                <w:bCs/>
                <w:noProof/>
                <w:color w:val="1F497D"/>
                <w:sz w:val="20"/>
                <w:szCs w:val="20"/>
                <w:lang w:val="es-ES" w:eastAsia="en-GB"/>
              </w:rPr>
              <w:t>TOTAL DE GASTOS</w:t>
            </w:r>
          </w:p>
        </w:tc>
        <w:tc>
          <w:tcPr>
            <w:tcW w:w="1254" w:type="dxa"/>
            <w:tcBorders>
              <w:top w:val="single" w:sz="4" w:space="0" w:color="auto"/>
              <w:left w:val="nil"/>
              <w:bottom w:val="single" w:sz="4" w:space="0" w:color="auto"/>
              <w:right w:val="single" w:sz="4" w:space="0" w:color="auto"/>
            </w:tcBorders>
            <w:shd w:val="clear" w:color="000000" w:fill="C4D79B"/>
            <w:vAlign w:val="center"/>
          </w:tcPr>
          <w:p w14:paraId="20F31D9E" w14:textId="259D4161" w:rsidR="00A84F0F" w:rsidRPr="00CE17A4" w:rsidRDefault="00A84F0F"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5</w:t>
            </w:r>
            <w:r w:rsidR="001A764A" w:rsidRPr="00CE17A4">
              <w:rPr>
                <w:rFonts w:asciiTheme="minorHAnsi" w:eastAsia="Times New Roman" w:hAnsiTheme="minorHAnsi" w:cstheme="minorHAnsi"/>
                <w:b/>
                <w:bCs/>
                <w:noProof/>
                <w:color w:val="000000"/>
                <w:sz w:val="20"/>
                <w:szCs w:val="20"/>
                <w:lang w:val="es-ES" w:eastAsia="en-GB"/>
              </w:rPr>
              <w:t xml:space="preserve"> </w:t>
            </w:r>
            <w:r w:rsidRPr="00CE17A4">
              <w:rPr>
                <w:rFonts w:asciiTheme="minorHAnsi" w:eastAsia="Times New Roman" w:hAnsiTheme="minorHAnsi" w:cstheme="minorHAnsi"/>
                <w:b/>
                <w:bCs/>
                <w:noProof/>
                <w:color w:val="000000"/>
                <w:sz w:val="20"/>
                <w:szCs w:val="20"/>
                <w:lang w:val="es-ES" w:eastAsia="en-GB"/>
              </w:rPr>
              <w:t>081</w:t>
            </w:r>
          </w:p>
        </w:tc>
        <w:tc>
          <w:tcPr>
            <w:tcW w:w="1254"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77FB9B65" w14:textId="24B6D61D" w:rsidR="00A84F0F" w:rsidRPr="00CE17A4" w:rsidRDefault="00A84F0F"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5</w:t>
            </w:r>
            <w:r w:rsidR="001A764A" w:rsidRPr="00CE17A4">
              <w:rPr>
                <w:rFonts w:asciiTheme="minorHAnsi" w:eastAsia="Times New Roman" w:hAnsiTheme="minorHAnsi" w:cstheme="minorHAnsi"/>
                <w:b/>
                <w:bCs/>
                <w:noProof/>
                <w:color w:val="000000"/>
                <w:sz w:val="20"/>
                <w:szCs w:val="20"/>
                <w:lang w:val="es-ES" w:eastAsia="en-GB"/>
              </w:rPr>
              <w:t xml:space="preserve"> </w:t>
            </w:r>
            <w:r w:rsidRPr="00CE17A4">
              <w:rPr>
                <w:rFonts w:asciiTheme="minorHAnsi" w:eastAsia="Times New Roman" w:hAnsiTheme="minorHAnsi" w:cstheme="minorHAnsi"/>
                <w:b/>
                <w:bCs/>
                <w:noProof/>
                <w:color w:val="000000"/>
                <w:sz w:val="20"/>
                <w:szCs w:val="20"/>
                <w:lang w:val="es-ES" w:eastAsia="en-GB"/>
              </w:rPr>
              <w:t>081</w:t>
            </w:r>
          </w:p>
        </w:tc>
        <w:tc>
          <w:tcPr>
            <w:tcW w:w="1254" w:type="dxa"/>
            <w:tcBorders>
              <w:top w:val="single" w:sz="4" w:space="0" w:color="auto"/>
              <w:left w:val="nil"/>
              <w:bottom w:val="single" w:sz="4" w:space="0" w:color="auto"/>
              <w:right w:val="single" w:sz="4" w:space="0" w:color="auto"/>
            </w:tcBorders>
            <w:shd w:val="clear" w:color="000000" w:fill="C4D79B"/>
            <w:noWrap/>
            <w:vAlign w:val="center"/>
          </w:tcPr>
          <w:p w14:paraId="0A855A12" w14:textId="733653E1" w:rsidR="00A84F0F" w:rsidRPr="00CE17A4" w:rsidRDefault="00A84F0F"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5</w:t>
            </w:r>
            <w:r w:rsidR="001A764A" w:rsidRPr="00CE17A4">
              <w:rPr>
                <w:rFonts w:asciiTheme="minorHAnsi" w:eastAsia="Times New Roman" w:hAnsiTheme="minorHAnsi" w:cstheme="minorHAnsi"/>
                <w:b/>
                <w:bCs/>
                <w:noProof/>
                <w:color w:val="000000"/>
                <w:sz w:val="20"/>
                <w:szCs w:val="20"/>
                <w:lang w:val="es-ES" w:eastAsia="en-GB"/>
              </w:rPr>
              <w:t xml:space="preserve"> </w:t>
            </w:r>
            <w:r w:rsidRPr="00CE17A4">
              <w:rPr>
                <w:rFonts w:asciiTheme="minorHAnsi" w:eastAsia="Times New Roman" w:hAnsiTheme="minorHAnsi" w:cstheme="minorHAnsi"/>
                <w:b/>
                <w:bCs/>
                <w:noProof/>
                <w:color w:val="000000"/>
                <w:sz w:val="20"/>
                <w:szCs w:val="20"/>
                <w:lang w:val="es-ES" w:eastAsia="en-GB"/>
              </w:rPr>
              <w:t>081</w:t>
            </w:r>
          </w:p>
        </w:tc>
        <w:tc>
          <w:tcPr>
            <w:tcW w:w="1254" w:type="dxa"/>
            <w:tcBorders>
              <w:top w:val="single" w:sz="4" w:space="0" w:color="auto"/>
              <w:left w:val="nil"/>
              <w:bottom w:val="single" w:sz="4" w:space="0" w:color="auto"/>
              <w:right w:val="single" w:sz="4" w:space="0" w:color="auto"/>
            </w:tcBorders>
            <w:shd w:val="clear" w:color="000000" w:fill="C4D79B"/>
            <w:noWrap/>
            <w:vAlign w:val="center"/>
          </w:tcPr>
          <w:p w14:paraId="38DD1911" w14:textId="64424356" w:rsidR="00A84F0F" w:rsidRPr="00CE17A4" w:rsidRDefault="00A84F0F"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5</w:t>
            </w:r>
            <w:r w:rsidR="001A764A" w:rsidRPr="00CE17A4">
              <w:rPr>
                <w:rFonts w:asciiTheme="minorHAnsi" w:eastAsia="Times New Roman" w:hAnsiTheme="minorHAnsi" w:cstheme="minorHAnsi"/>
                <w:b/>
                <w:bCs/>
                <w:noProof/>
                <w:color w:val="000000"/>
                <w:sz w:val="20"/>
                <w:szCs w:val="20"/>
                <w:lang w:val="es-ES" w:eastAsia="en-GB"/>
              </w:rPr>
              <w:t xml:space="preserve"> </w:t>
            </w:r>
            <w:r w:rsidRPr="00CE17A4">
              <w:rPr>
                <w:rFonts w:asciiTheme="minorHAnsi" w:eastAsia="Times New Roman" w:hAnsiTheme="minorHAnsi" w:cstheme="minorHAnsi"/>
                <w:b/>
                <w:bCs/>
                <w:noProof/>
                <w:color w:val="000000"/>
                <w:sz w:val="20"/>
                <w:szCs w:val="20"/>
                <w:lang w:val="es-ES" w:eastAsia="en-GB"/>
              </w:rPr>
              <w:t>081</w:t>
            </w:r>
          </w:p>
        </w:tc>
        <w:tc>
          <w:tcPr>
            <w:tcW w:w="1275" w:type="dxa"/>
            <w:tcBorders>
              <w:top w:val="nil"/>
              <w:left w:val="nil"/>
              <w:bottom w:val="single" w:sz="4" w:space="0" w:color="auto"/>
              <w:right w:val="single" w:sz="4" w:space="0" w:color="auto"/>
            </w:tcBorders>
            <w:shd w:val="clear" w:color="000000" w:fill="C4D79B"/>
            <w:noWrap/>
            <w:vAlign w:val="center"/>
          </w:tcPr>
          <w:p w14:paraId="15176151" w14:textId="6853C003" w:rsidR="00A84F0F" w:rsidRPr="00CE17A4" w:rsidRDefault="00A84F0F"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15</w:t>
            </w:r>
            <w:r w:rsidR="001A764A" w:rsidRPr="00CE17A4">
              <w:rPr>
                <w:rFonts w:asciiTheme="minorHAnsi" w:eastAsia="Times New Roman" w:hAnsiTheme="minorHAnsi" w:cstheme="minorHAnsi"/>
                <w:b/>
                <w:bCs/>
                <w:noProof/>
                <w:color w:val="000000"/>
                <w:sz w:val="20"/>
                <w:szCs w:val="20"/>
                <w:lang w:val="es-ES" w:eastAsia="en-GB"/>
              </w:rPr>
              <w:t xml:space="preserve"> </w:t>
            </w:r>
            <w:r w:rsidRPr="00CE17A4">
              <w:rPr>
                <w:rFonts w:asciiTheme="minorHAnsi" w:eastAsia="Times New Roman" w:hAnsiTheme="minorHAnsi" w:cstheme="minorHAnsi"/>
                <w:b/>
                <w:bCs/>
                <w:noProof/>
                <w:color w:val="000000"/>
                <w:sz w:val="20"/>
                <w:szCs w:val="20"/>
                <w:lang w:val="es-ES" w:eastAsia="en-GB"/>
              </w:rPr>
              <w:t>243</w:t>
            </w:r>
          </w:p>
        </w:tc>
      </w:tr>
      <w:tr w:rsidR="00A84F0F" w:rsidRPr="007D7B87" w14:paraId="4FF060F6" w14:textId="77777777" w:rsidTr="00CE17A4">
        <w:tc>
          <w:tcPr>
            <w:tcW w:w="369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CBC449E" w14:textId="77777777" w:rsidR="00A84F0F" w:rsidRPr="00CE17A4" w:rsidRDefault="00A84F0F" w:rsidP="00A84F0F">
            <w:pPr>
              <w:ind w:left="0" w:firstLine="0"/>
              <w:rPr>
                <w:rFonts w:asciiTheme="minorHAnsi" w:eastAsia="Times New Roman" w:hAnsiTheme="minorHAnsi" w:cstheme="minorHAnsi"/>
                <w:b/>
                <w:bCs/>
                <w:noProof/>
                <w:color w:val="1F497D"/>
                <w:sz w:val="20"/>
                <w:szCs w:val="20"/>
                <w:lang w:val="es-ES" w:eastAsia="en-GB"/>
              </w:rPr>
            </w:pPr>
          </w:p>
        </w:tc>
        <w:tc>
          <w:tcPr>
            <w:tcW w:w="1254" w:type="dxa"/>
            <w:tcBorders>
              <w:top w:val="single" w:sz="4" w:space="0" w:color="auto"/>
              <w:left w:val="nil"/>
              <w:bottom w:val="single" w:sz="4" w:space="0" w:color="auto"/>
              <w:right w:val="single" w:sz="4" w:space="0" w:color="auto"/>
            </w:tcBorders>
            <w:shd w:val="clear" w:color="000000" w:fill="auto"/>
            <w:vAlign w:val="center"/>
          </w:tcPr>
          <w:p w14:paraId="3DA1420E" w14:textId="77777777" w:rsidR="00A84F0F" w:rsidRPr="00CE17A4" w:rsidRDefault="00A84F0F" w:rsidP="00CE17A4">
            <w:pPr>
              <w:ind w:left="0" w:firstLine="0"/>
              <w:jc w:val="right"/>
              <w:rPr>
                <w:rFonts w:asciiTheme="minorHAnsi" w:eastAsia="Times New Roman" w:hAnsiTheme="minorHAnsi" w:cstheme="minorHAnsi"/>
                <w:b/>
                <w:bCs/>
                <w:noProof/>
                <w:color w:val="000000"/>
                <w:sz w:val="20"/>
                <w:szCs w:val="20"/>
                <w:lang w:val="es-ES" w:eastAsia="en-GB"/>
              </w:rPr>
            </w:pPr>
          </w:p>
        </w:tc>
        <w:tc>
          <w:tcPr>
            <w:tcW w:w="125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E6FF910" w14:textId="77777777" w:rsidR="00A84F0F" w:rsidRPr="00CE17A4" w:rsidRDefault="00A84F0F" w:rsidP="00CE17A4">
            <w:pPr>
              <w:ind w:left="0" w:firstLine="0"/>
              <w:jc w:val="right"/>
              <w:rPr>
                <w:rFonts w:asciiTheme="minorHAnsi" w:eastAsia="Times New Roman" w:hAnsiTheme="minorHAnsi" w:cstheme="minorHAnsi"/>
                <w:b/>
                <w:bCs/>
                <w:noProof/>
                <w:color w:val="000000"/>
                <w:sz w:val="20"/>
                <w:szCs w:val="20"/>
                <w:lang w:val="es-ES" w:eastAsia="en-GB"/>
              </w:rPr>
            </w:pPr>
          </w:p>
        </w:tc>
        <w:tc>
          <w:tcPr>
            <w:tcW w:w="1254" w:type="dxa"/>
            <w:tcBorders>
              <w:top w:val="single" w:sz="4" w:space="0" w:color="auto"/>
              <w:left w:val="nil"/>
              <w:bottom w:val="single" w:sz="4" w:space="0" w:color="auto"/>
              <w:right w:val="single" w:sz="4" w:space="0" w:color="auto"/>
            </w:tcBorders>
            <w:shd w:val="clear" w:color="000000" w:fill="auto"/>
            <w:noWrap/>
            <w:vAlign w:val="center"/>
          </w:tcPr>
          <w:p w14:paraId="58B2BCD1" w14:textId="77777777" w:rsidR="00A84F0F" w:rsidRPr="00CE17A4" w:rsidRDefault="00A84F0F" w:rsidP="00CE17A4">
            <w:pPr>
              <w:ind w:left="0" w:firstLine="0"/>
              <w:jc w:val="right"/>
              <w:rPr>
                <w:rFonts w:asciiTheme="minorHAnsi" w:eastAsia="Times New Roman" w:hAnsiTheme="minorHAnsi" w:cstheme="minorHAnsi"/>
                <w:b/>
                <w:bCs/>
                <w:noProof/>
                <w:color w:val="000000"/>
                <w:sz w:val="20"/>
                <w:szCs w:val="20"/>
                <w:lang w:val="es-ES" w:eastAsia="en-GB"/>
              </w:rPr>
            </w:pPr>
          </w:p>
        </w:tc>
        <w:tc>
          <w:tcPr>
            <w:tcW w:w="1254" w:type="dxa"/>
            <w:tcBorders>
              <w:top w:val="single" w:sz="4" w:space="0" w:color="auto"/>
              <w:left w:val="nil"/>
              <w:bottom w:val="single" w:sz="4" w:space="0" w:color="auto"/>
              <w:right w:val="single" w:sz="4" w:space="0" w:color="auto"/>
            </w:tcBorders>
            <w:shd w:val="clear" w:color="000000" w:fill="auto"/>
            <w:noWrap/>
            <w:vAlign w:val="center"/>
          </w:tcPr>
          <w:p w14:paraId="5C028E3E" w14:textId="77777777" w:rsidR="00A84F0F" w:rsidRPr="00CE17A4" w:rsidRDefault="00A84F0F" w:rsidP="00CE17A4">
            <w:pPr>
              <w:ind w:left="0" w:firstLine="0"/>
              <w:jc w:val="right"/>
              <w:rPr>
                <w:rFonts w:asciiTheme="minorHAnsi" w:eastAsia="Times New Roman" w:hAnsiTheme="minorHAnsi" w:cstheme="minorHAnsi"/>
                <w:b/>
                <w:bCs/>
                <w:noProof/>
                <w:color w:val="000000"/>
                <w:sz w:val="20"/>
                <w:szCs w:val="20"/>
                <w:lang w:val="es-ES" w:eastAsia="en-GB"/>
              </w:rPr>
            </w:pP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6917C513" w14:textId="77777777" w:rsidR="00A84F0F" w:rsidRPr="00CE17A4" w:rsidRDefault="00A84F0F" w:rsidP="00CE17A4">
            <w:pPr>
              <w:ind w:left="0" w:firstLine="0"/>
              <w:jc w:val="right"/>
              <w:rPr>
                <w:rFonts w:asciiTheme="minorHAnsi" w:eastAsia="Times New Roman" w:hAnsiTheme="minorHAnsi" w:cstheme="minorHAnsi"/>
                <w:b/>
                <w:bCs/>
                <w:noProof/>
                <w:color w:val="000000"/>
                <w:sz w:val="20"/>
                <w:szCs w:val="20"/>
                <w:lang w:val="es-ES" w:eastAsia="en-GB"/>
              </w:rPr>
            </w:pPr>
          </w:p>
        </w:tc>
      </w:tr>
      <w:tr w:rsidR="00CA483A" w:rsidRPr="007D7B87" w14:paraId="39864485" w14:textId="77777777" w:rsidTr="00CE17A4">
        <w:tc>
          <w:tcPr>
            <w:tcW w:w="369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5635BAF" w14:textId="307F2782" w:rsidR="00CA483A" w:rsidRPr="00CE17A4" w:rsidRDefault="00CA483A" w:rsidP="00CA483A">
            <w:pPr>
              <w:ind w:left="0" w:firstLine="0"/>
              <w:rPr>
                <w:rFonts w:asciiTheme="minorHAnsi" w:eastAsia="Times New Roman" w:hAnsiTheme="minorHAnsi" w:cstheme="minorHAnsi"/>
                <w:b/>
                <w:bCs/>
                <w:noProof/>
                <w:sz w:val="20"/>
                <w:szCs w:val="20"/>
                <w:lang w:val="es-ES" w:eastAsia="en-GB"/>
              </w:rPr>
            </w:pPr>
            <w:r w:rsidRPr="00CE17A4">
              <w:rPr>
                <w:rFonts w:asciiTheme="minorHAnsi" w:eastAsia="Times New Roman" w:hAnsiTheme="minorHAnsi" w:cstheme="minorHAnsi"/>
                <w:b/>
                <w:bCs/>
                <w:noProof/>
                <w:sz w:val="20"/>
                <w:szCs w:val="20"/>
                <w:lang w:val="es-ES" w:eastAsia="en-GB"/>
              </w:rPr>
              <w:t>TOTAL DE SALARIOS Y GASTOS CONEXOS</w:t>
            </w:r>
          </w:p>
        </w:tc>
        <w:tc>
          <w:tcPr>
            <w:tcW w:w="1254" w:type="dxa"/>
            <w:tcBorders>
              <w:top w:val="single" w:sz="4" w:space="0" w:color="auto"/>
              <w:left w:val="nil"/>
              <w:bottom w:val="single" w:sz="4" w:space="0" w:color="auto"/>
              <w:right w:val="single" w:sz="4" w:space="0" w:color="auto"/>
            </w:tcBorders>
            <w:shd w:val="clear" w:color="000000" w:fill="auto"/>
            <w:vAlign w:val="center"/>
          </w:tcPr>
          <w:p w14:paraId="4FC10078" w14:textId="68A922CB" w:rsidR="00CA483A" w:rsidRPr="00CE17A4" w:rsidRDefault="00CA483A"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3</w:t>
            </w:r>
            <w:r w:rsidR="001A764A" w:rsidRPr="00CE17A4">
              <w:rPr>
                <w:rFonts w:asciiTheme="minorHAnsi" w:eastAsia="Times New Roman" w:hAnsiTheme="minorHAnsi" w:cstheme="minorHAnsi"/>
                <w:b/>
                <w:bCs/>
                <w:noProof/>
                <w:color w:val="000000"/>
                <w:sz w:val="20"/>
                <w:szCs w:val="20"/>
                <w:lang w:val="es-ES" w:eastAsia="en-GB"/>
              </w:rPr>
              <w:t xml:space="preserve"> </w:t>
            </w:r>
            <w:r w:rsidRPr="00CE17A4">
              <w:rPr>
                <w:rFonts w:asciiTheme="minorHAnsi" w:eastAsia="Times New Roman" w:hAnsiTheme="minorHAnsi" w:cstheme="minorHAnsi"/>
                <w:b/>
                <w:bCs/>
                <w:noProof/>
                <w:color w:val="000000"/>
                <w:sz w:val="20"/>
                <w:szCs w:val="20"/>
                <w:lang w:val="es-ES" w:eastAsia="en-GB"/>
              </w:rPr>
              <w:t>586</w:t>
            </w:r>
          </w:p>
        </w:tc>
        <w:tc>
          <w:tcPr>
            <w:tcW w:w="125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A3BE8C4" w14:textId="5085FD93" w:rsidR="00CA483A" w:rsidRPr="00CE17A4" w:rsidRDefault="00CA483A"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3</w:t>
            </w:r>
            <w:r w:rsidR="001A764A" w:rsidRPr="00CE17A4">
              <w:rPr>
                <w:rFonts w:asciiTheme="minorHAnsi" w:eastAsia="Times New Roman" w:hAnsiTheme="minorHAnsi" w:cstheme="minorHAnsi"/>
                <w:b/>
                <w:bCs/>
                <w:noProof/>
                <w:color w:val="000000"/>
                <w:sz w:val="20"/>
                <w:szCs w:val="20"/>
                <w:lang w:val="es-ES" w:eastAsia="en-GB"/>
              </w:rPr>
              <w:t xml:space="preserve"> </w:t>
            </w:r>
            <w:r w:rsidRPr="00CE17A4">
              <w:rPr>
                <w:rFonts w:asciiTheme="minorHAnsi" w:eastAsia="Times New Roman" w:hAnsiTheme="minorHAnsi" w:cstheme="minorHAnsi"/>
                <w:b/>
                <w:bCs/>
                <w:noProof/>
                <w:color w:val="000000"/>
                <w:sz w:val="20"/>
                <w:szCs w:val="20"/>
                <w:lang w:val="es-ES" w:eastAsia="en-GB"/>
              </w:rPr>
              <w:t>586</w:t>
            </w:r>
          </w:p>
        </w:tc>
        <w:tc>
          <w:tcPr>
            <w:tcW w:w="1254" w:type="dxa"/>
            <w:tcBorders>
              <w:top w:val="single" w:sz="4" w:space="0" w:color="auto"/>
              <w:left w:val="nil"/>
              <w:bottom w:val="single" w:sz="4" w:space="0" w:color="auto"/>
              <w:right w:val="single" w:sz="4" w:space="0" w:color="auto"/>
            </w:tcBorders>
            <w:shd w:val="clear" w:color="000000" w:fill="auto"/>
            <w:noWrap/>
            <w:vAlign w:val="center"/>
          </w:tcPr>
          <w:p w14:paraId="275D73A2" w14:textId="0E52251C" w:rsidR="00CA483A" w:rsidRPr="00CE17A4" w:rsidRDefault="00CA483A"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3</w:t>
            </w:r>
            <w:r w:rsidR="001A764A" w:rsidRPr="00CE17A4">
              <w:rPr>
                <w:rFonts w:asciiTheme="minorHAnsi" w:eastAsia="Times New Roman" w:hAnsiTheme="minorHAnsi" w:cstheme="minorHAnsi"/>
                <w:b/>
                <w:bCs/>
                <w:noProof/>
                <w:color w:val="000000"/>
                <w:sz w:val="20"/>
                <w:szCs w:val="20"/>
                <w:lang w:val="es-ES" w:eastAsia="en-GB"/>
              </w:rPr>
              <w:t xml:space="preserve"> </w:t>
            </w:r>
            <w:r w:rsidRPr="00CE17A4">
              <w:rPr>
                <w:rFonts w:asciiTheme="minorHAnsi" w:eastAsia="Times New Roman" w:hAnsiTheme="minorHAnsi" w:cstheme="minorHAnsi"/>
                <w:b/>
                <w:bCs/>
                <w:noProof/>
                <w:color w:val="000000"/>
                <w:sz w:val="20"/>
                <w:szCs w:val="20"/>
                <w:lang w:val="es-ES" w:eastAsia="en-GB"/>
              </w:rPr>
              <w:t>603</w:t>
            </w:r>
          </w:p>
        </w:tc>
        <w:tc>
          <w:tcPr>
            <w:tcW w:w="1254" w:type="dxa"/>
            <w:tcBorders>
              <w:top w:val="single" w:sz="4" w:space="0" w:color="auto"/>
              <w:left w:val="nil"/>
              <w:bottom w:val="single" w:sz="4" w:space="0" w:color="auto"/>
              <w:right w:val="single" w:sz="4" w:space="0" w:color="auto"/>
            </w:tcBorders>
            <w:shd w:val="clear" w:color="000000" w:fill="auto"/>
            <w:noWrap/>
            <w:vAlign w:val="center"/>
          </w:tcPr>
          <w:p w14:paraId="4729CBD1" w14:textId="71F16625" w:rsidR="00CA483A" w:rsidRPr="00CE17A4" w:rsidRDefault="00CA483A"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3</w:t>
            </w:r>
            <w:r w:rsidR="001A764A" w:rsidRPr="00CE17A4">
              <w:rPr>
                <w:rFonts w:asciiTheme="minorHAnsi" w:eastAsia="Times New Roman" w:hAnsiTheme="minorHAnsi" w:cstheme="minorHAnsi"/>
                <w:b/>
                <w:bCs/>
                <w:noProof/>
                <w:color w:val="000000"/>
                <w:sz w:val="20"/>
                <w:szCs w:val="20"/>
                <w:lang w:val="es-ES" w:eastAsia="en-GB"/>
              </w:rPr>
              <w:t xml:space="preserve"> </w:t>
            </w:r>
            <w:r w:rsidRPr="00CE17A4">
              <w:rPr>
                <w:rFonts w:asciiTheme="minorHAnsi" w:eastAsia="Times New Roman" w:hAnsiTheme="minorHAnsi" w:cstheme="minorHAnsi"/>
                <w:b/>
                <w:bCs/>
                <w:noProof/>
                <w:color w:val="000000"/>
                <w:sz w:val="20"/>
                <w:szCs w:val="20"/>
                <w:lang w:val="es-ES" w:eastAsia="en-GB"/>
              </w:rPr>
              <w:t>603</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297CF315" w14:textId="79587AB6" w:rsidR="00CA483A" w:rsidRPr="00CE17A4" w:rsidRDefault="00CA483A"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10</w:t>
            </w:r>
            <w:r w:rsidR="001A764A" w:rsidRPr="00CE17A4">
              <w:rPr>
                <w:rFonts w:asciiTheme="minorHAnsi" w:eastAsia="Times New Roman" w:hAnsiTheme="minorHAnsi" w:cstheme="minorHAnsi"/>
                <w:b/>
                <w:bCs/>
                <w:noProof/>
                <w:color w:val="000000"/>
                <w:sz w:val="20"/>
                <w:szCs w:val="20"/>
                <w:lang w:val="es-ES" w:eastAsia="en-GB"/>
              </w:rPr>
              <w:t xml:space="preserve"> </w:t>
            </w:r>
            <w:r w:rsidRPr="00CE17A4">
              <w:rPr>
                <w:rFonts w:asciiTheme="minorHAnsi" w:eastAsia="Times New Roman" w:hAnsiTheme="minorHAnsi" w:cstheme="minorHAnsi"/>
                <w:b/>
                <w:bCs/>
                <w:noProof/>
                <w:color w:val="000000"/>
                <w:sz w:val="20"/>
                <w:szCs w:val="20"/>
                <w:lang w:val="es-ES" w:eastAsia="en-GB"/>
              </w:rPr>
              <w:t>792</w:t>
            </w:r>
          </w:p>
        </w:tc>
      </w:tr>
      <w:tr w:rsidR="00A84F0F" w:rsidRPr="007D7B87" w14:paraId="16E6A848" w14:textId="77777777" w:rsidTr="00CE17A4">
        <w:tc>
          <w:tcPr>
            <w:tcW w:w="369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9B29D13" w14:textId="3438A249" w:rsidR="00A84F0F" w:rsidRPr="00CE17A4" w:rsidRDefault="00CA483A" w:rsidP="00A84F0F">
            <w:pPr>
              <w:ind w:left="0" w:firstLine="0"/>
              <w:rPr>
                <w:rFonts w:asciiTheme="minorHAnsi" w:eastAsia="Times New Roman" w:hAnsiTheme="minorHAnsi" w:cstheme="minorHAnsi"/>
                <w:bCs/>
                <w:noProof/>
                <w:sz w:val="20"/>
                <w:szCs w:val="20"/>
                <w:lang w:val="es-ES" w:eastAsia="en-GB"/>
              </w:rPr>
            </w:pPr>
            <w:r w:rsidRPr="00CE17A4">
              <w:rPr>
                <w:rFonts w:asciiTheme="minorHAnsi" w:eastAsia="Times New Roman" w:hAnsiTheme="minorHAnsi" w:cstheme="minorHAnsi"/>
                <w:bCs/>
                <w:noProof/>
                <w:sz w:val="20"/>
                <w:szCs w:val="20"/>
                <w:lang w:val="es-ES" w:eastAsia="en-GB"/>
              </w:rPr>
              <w:t>Porcentaje del total de gastos salariales y afines en el presupuesto total</w:t>
            </w:r>
          </w:p>
        </w:tc>
        <w:tc>
          <w:tcPr>
            <w:tcW w:w="1254" w:type="dxa"/>
            <w:tcBorders>
              <w:top w:val="single" w:sz="4" w:space="0" w:color="auto"/>
              <w:left w:val="nil"/>
              <w:bottom w:val="single" w:sz="4" w:space="0" w:color="auto"/>
              <w:right w:val="single" w:sz="4" w:space="0" w:color="auto"/>
            </w:tcBorders>
            <w:shd w:val="clear" w:color="000000" w:fill="auto"/>
            <w:vAlign w:val="center"/>
          </w:tcPr>
          <w:p w14:paraId="7440AA0E" w14:textId="52688D4E" w:rsidR="00A84F0F" w:rsidRPr="00CE17A4" w:rsidRDefault="00A84F0F" w:rsidP="00CE17A4">
            <w:pPr>
              <w:ind w:left="0" w:firstLine="0"/>
              <w:jc w:val="right"/>
              <w:rPr>
                <w:rFonts w:asciiTheme="minorHAnsi" w:eastAsia="Times New Roman" w:hAnsiTheme="minorHAnsi" w:cstheme="minorHAnsi"/>
                <w:bCs/>
                <w:noProof/>
                <w:color w:val="000000"/>
                <w:sz w:val="20"/>
                <w:szCs w:val="20"/>
                <w:lang w:val="es-ES" w:eastAsia="en-GB"/>
              </w:rPr>
            </w:pPr>
            <w:r w:rsidRPr="00CE17A4">
              <w:rPr>
                <w:rFonts w:asciiTheme="minorHAnsi" w:eastAsia="Times New Roman" w:hAnsiTheme="minorHAnsi" w:cstheme="minorHAnsi"/>
                <w:bCs/>
                <w:noProof/>
                <w:color w:val="000000"/>
                <w:sz w:val="20"/>
                <w:szCs w:val="20"/>
                <w:lang w:val="es-ES" w:eastAsia="en-GB"/>
              </w:rPr>
              <w:t>71</w:t>
            </w:r>
            <w:r w:rsidR="001A764A" w:rsidRPr="00CE17A4">
              <w:rPr>
                <w:rFonts w:asciiTheme="minorHAnsi" w:eastAsia="Times New Roman" w:hAnsiTheme="minorHAnsi" w:cstheme="minorHAnsi"/>
                <w:bCs/>
                <w:noProof/>
                <w:color w:val="000000"/>
                <w:sz w:val="20"/>
                <w:szCs w:val="20"/>
                <w:lang w:val="es-ES" w:eastAsia="en-GB"/>
              </w:rPr>
              <w:t xml:space="preserve"> </w:t>
            </w:r>
            <w:r w:rsidRPr="00CE17A4">
              <w:rPr>
                <w:rFonts w:asciiTheme="minorHAnsi" w:eastAsia="Times New Roman" w:hAnsiTheme="minorHAnsi" w:cstheme="minorHAnsi"/>
                <w:bCs/>
                <w:noProof/>
                <w:color w:val="000000"/>
                <w:sz w:val="20"/>
                <w:szCs w:val="20"/>
                <w:lang w:val="es-ES" w:eastAsia="en-GB"/>
              </w:rPr>
              <w:t>%</w:t>
            </w:r>
          </w:p>
        </w:tc>
        <w:tc>
          <w:tcPr>
            <w:tcW w:w="125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FC8D837" w14:textId="1001C67A" w:rsidR="00A84F0F" w:rsidRPr="00CE17A4" w:rsidRDefault="00A84F0F" w:rsidP="00CE17A4">
            <w:pPr>
              <w:ind w:left="0" w:firstLine="0"/>
              <w:jc w:val="right"/>
              <w:rPr>
                <w:rFonts w:asciiTheme="minorHAnsi" w:eastAsia="Times New Roman" w:hAnsiTheme="minorHAnsi" w:cstheme="minorHAnsi"/>
                <w:bCs/>
                <w:noProof/>
                <w:color w:val="000000"/>
                <w:sz w:val="20"/>
                <w:szCs w:val="20"/>
                <w:lang w:val="es-ES" w:eastAsia="en-GB"/>
              </w:rPr>
            </w:pPr>
            <w:r w:rsidRPr="00CE17A4">
              <w:rPr>
                <w:rFonts w:asciiTheme="minorHAnsi" w:eastAsia="Times New Roman" w:hAnsiTheme="minorHAnsi" w:cstheme="minorHAnsi"/>
                <w:bCs/>
                <w:noProof/>
                <w:color w:val="000000"/>
                <w:sz w:val="20"/>
                <w:szCs w:val="20"/>
                <w:lang w:val="es-ES" w:eastAsia="en-GB"/>
              </w:rPr>
              <w:t>71</w:t>
            </w:r>
            <w:r w:rsidR="001A764A" w:rsidRPr="00CE17A4">
              <w:rPr>
                <w:rFonts w:asciiTheme="minorHAnsi" w:eastAsia="Times New Roman" w:hAnsiTheme="minorHAnsi" w:cstheme="minorHAnsi"/>
                <w:bCs/>
                <w:noProof/>
                <w:color w:val="000000"/>
                <w:sz w:val="20"/>
                <w:szCs w:val="20"/>
                <w:lang w:val="es-ES" w:eastAsia="en-GB"/>
              </w:rPr>
              <w:t xml:space="preserve"> </w:t>
            </w:r>
            <w:r w:rsidRPr="00CE17A4">
              <w:rPr>
                <w:rFonts w:asciiTheme="minorHAnsi" w:eastAsia="Times New Roman" w:hAnsiTheme="minorHAnsi" w:cstheme="minorHAnsi"/>
                <w:bCs/>
                <w:noProof/>
                <w:color w:val="000000"/>
                <w:sz w:val="20"/>
                <w:szCs w:val="20"/>
                <w:lang w:val="es-ES" w:eastAsia="en-GB"/>
              </w:rPr>
              <w:t>%</w:t>
            </w:r>
          </w:p>
        </w:tc>
        <w:tc>
          <w:tcPr>
            <w:tcW w:w="1254" w:type="dxa"/>
            <w:tcBorders>
              <w:top w:val="single" w:sz="4" w:space="0" w:color="auto"/>
              <w:left w:val="nil"/>
              <w:bottom w:val="single" w:sz="4" w:space="0" w:color="auto"/>
              <w:right w:val="single" w:sz="4" w:space="0" w:color="auto"/>
            </w:tcBorders>
            <w:shd w:val="clear" w:color="000000" w:fill="auto"/>
            <w:noWrap/>
            <w:vAlign w:val="center"/>
          </w:tcPr>
          <w:p w14:paraId="071B9D03" w14:textId="2F27E155" w:rsidR="00A84F0F" w:rsidRPr="00CE17A4" w:rsidRDefault="00A84F0F" w:rsidP="00CE17A4">
            <w:pPr>
              <w:ind w:left="0" w:firstLine="0"/>
              <w:jc w:val="right"/>
              <w:rPr>
                <w:rFonts w:asciiTheme="minorHAnsi" w:eastAsia="Times New Roman" w:hAnsiTheme="minorHAnsi" w:cstheme="minorHAnsi"/>
                <w:bCs/>
                <w:noProof/>
                <w:color w:val="000000"/>
                <w:sz w:val="20"/>
                <w:szCs w:val="20"/>
                <w:lang w:val="es-ES" w:eastAsia="en-GB"/>
              </w:rPr>
            </w:pPr>
            <w:r w:rsidRPr="00CE17A4">
              <w:rPr>
                <w:rFonts w:asciiTheme="minorHAnsi" w:eastAsia="Times New Roman" w:hAnsiTheme="minorHAnsi" w:cstheme="minorHAnsi"/>
                <w:bCs/>
                <w:noProof/>
                <w:color w:val="000000"/>
                <w:sz w:val="20"/>
                <w:szCs w:val="20"/>
                <w:lang w:val="es-ES" w:eastAsia="en-GB"/>
              </w:rPr>
              <w:t>71</w:t>
            </w:r>
            <w:r w:rsidR="001A764A" w:rsidRPr="00CE17A4">
              <w:rPr>
                <w:rFonts w:asciiTheme="minorHAnsi" w:eastAsia="Times New Roman" w:hAnsiTheme="minorHAnsi" w:cstheme="minorHAnsi"/>
                <w:bCs/>
                <w:noProof/>
                <w:color w:val="000000"/>
                <w:sz w:val="20"/>
                <w:szCs w:val="20"/>
                <w:lang w:val="es-ES" w:eastAsia="en-GB"/>
              </w:rPr>
              <w:t xml:space="preserve"> </w:t>
            </w:r>
            <w:r w:rsidRPr="00CE17A4">
              <w:rPr>
                <w:rFonts w:asciiTheme="minorHAnsi" w:eastAsia="Times New Roman" w:hAnsiTheme="minorHAnsi" w:cstheme="minorHAnsi"/>
                <w:bCs/>
                <w:noProof/>
                <w:color w:val="000000"/>
                <w:sz w:val="20"/>
                <w:szCs w:val="20"/>
                <w:lang w:val="es-ES" w:eastAsia="en-GB"/>
              </w:rPr>
              <w:t>%</w:t>
            </w:r>
          </w:p>
        </w:tc>
        <w:tc>
          <w:tcPr>
            <w:tcW w:w="1254" w:type="dxa"/>
            <w:tcBorders>
              <w:top w:val="single" w:sz="4" w:space="0" w:color="auto"/>
              <w:left w:val="nil"/>
              <w:bottom w:val="single" w:sz="4" w:space="0" w:color="auto"/>
              <w:right w:val="single" w:sz="4" w:space="0" w:color="auto"/>
            </w:tcBorders>
            <w:shd w:val="clear" w:color="000000" w:fill="auto"/>
            <w:noWrap/>
            <w:vAlign w:val="center"/>
          </w:tcPr>
          <w:p w14:paraId="49632646" w14:textId="27FC3766" w:rsidR="00A84F0F" w:rsidRPr="00CE17A4" w:rsidRDefault="00A84F0F" w:rsidP="00CE17A4">
            <w:pPr>
              <w:ind w:left="0" w:firstLine="0"/>
              <w:jc w:val="right"/>
              <w:rPr>
                <w:rFonts w:asciiTheme="minorHAnsi" w:eastAsia="Times New Roman" w:hAnsiTheme="minorHAnsi" w:cstheme="minorHAnsi"/>
                <w:bCs/>
                <w:noProof/>
                <w:color w:val="000000"/>
                <w:sz w:val="20"/>
                <w:szCs w:val="20"/>
                <w:lang w:val="es-ES" w:eastAsia="en-GB"/>
              </w:rPr>
            </w:pPr>
            <w:r w:rsidRPr="00CE17A4">
              <w:rPr>
                <w:rFonts w:asciiTheme="minorHAnsi" w:eastAsia="Times New Roman" w:hAnsiTheme="minorHAnsi" w:cstheme="minorHAnsi"/>
                <w:bCs/>
                <w:noProof/>
                <w:color w:val="000000"/>
                <w:sz w:val="20"/>
                <w:szCs w:val="20"/>
                <w:lang w:val="es-ES" w:eastAsia="en-GB"/>
              </w:rPr>
              <w:t>71</w:t>
            </w:r>
            <w:r w:rsidR="001A764A" w:rsidRPr="00CE17A4">
              <w:rPr>
                <w:rFonts w:asciiTheme="minorHAnsi" w:eastAsia="Times New Roman" w:hAnsiTheme="minorHAnsi" w:cstheme="minorHAnsi"/>
                <w:bCs/>
                <w:noProof/>
                <w:color w:val="000000"/>
                <w:sz w:val="20"/>
                <w:szCs w:val="20"/>
                <w:lang w:val="es-ES" w:eastAsia="en-GB"/>
              </w:rPr>
              <w:t xml:space="preserve"> </w:t>
            </w:r>
            <w:r w:rsidRPr="00CE17A4">
              <w:rPr>
                <w:rFonts w:asciiTheme="minorHAnsi" w:eastAsia="Times New Roman" w:hAnsiTheme="minorHAnsi" w:cstheme="minorHAnsi"/>
                <w:bCs/>
                <w:noProof/>
                <w:color w:val="000000"/>
                <w:sz w:val="20"/>
                <w:szCs w:val="20"/>
                <w:lang w:val="es-ES" w:eastAsia="en-GB"/>
              </w:rPr>
              <w:t>%</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7BC02F61" w14:textId="11E5FC67" w:rsidR="00A84F0F" w:rsidRPr="00CE17A4" w:rsidRDefault="00A84F0F" w:rsidP="00CE17A4">
            <w:pPr>
              <w:ind w:left="0" w:firstLine="0"/>
              <w:jc w:val="right"/>
              <w:rPr>
                <w:rFonts w:asciiTheme="minorHAnsi" w:eastAsia="Times New Roman" w:hAnsiTheme="minorHAnsi" w:cstheme="minorHAnsi"/>
                <w:bCs/>
                <w:noProof/>
                <w:color w:val="000000"/>
                <w:sz w:val="20"/>
                <w:szCs w:val="20"/>
                <w:lang w:val="es-ES" w:eastAsia="en-GB"/>
              </w:rPr>
            </w:pPr>
            <w:r w:rsidRPr="00CE17A4">
              <w:rPr>
                <w:rFonts w:asciiTheme="minorHAnsi" w:eastAsia="Times New Roman" w:hAnsiTheme="minorHAnsi" w:cstheme="minorHAnsi"/>
                <w:bCs/>
                <w:noProof/>
                <w:color w:val="000000"/>
                <w:sz w:val="20"/>
                <w:szCs w:val="20"/>
                <w:lang w:val="es-ES" w:eastAsia="en-GB"/>
              </w:rPr>
              <w:t>71</w:t>
            </w:r>
            <w:r w:rsidR="001A764A" w:rsidRPr="00CE17A4">
              <w:rPr>
                <w:rFonts w:asciiTheme="minorHAnsi" w:eastAsia="Times New Roman" w:hAnsiTheme="minorHAnsi" w:cstheme="minorHAnsi"/>
                <w:bCs/>
                <w:noProof/>
                <w:color w:val="000000"/>
                <w:sz w:val="20"/>
                <w:szCs w:val="20"/>
                <w:lang w:val="es-ES" w:eastAsia="en-GB"/>
              </w:rPr>
              <w:t xml:space="preserve"> </w:t>
            </w:r>
            <w:r w:rsidRPr="00CE17A4">
              <w:rPr>
                <w:rFonts w:asciiTheme="minorHAnsi" w:eastAsia="Times New Roman" w:hAnsiTheme="minorHAnsi" w:cstheme="minorHAnsi"/>
                <w:bCs/>
                <w:noProof/>
                <w:color w:val="000000"/>
                <w:sz w:val="20"/>
                <w:szCs w:val="20"/>
                <w:lang w:val="es-ES" w:eastAsia="en-GB"/>
              </w:rPr>
              <w:t>%</w:t>
            </w:r>
          </w:p>
        </w:tc>
      </w:tr>
      <w:tr w:rsidR="00CA483A" w:rsidRPr="007D7B87" w14:paraId="2D97BC45" w14:textId="77777777" w:rsidTr="00CE17A4">
        <w:tc>
          <w:tcPr>
            <w:tcW w:w="369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7CDE0D0" w14:textId="4D009037" w:rsidR="00CA483A" w:rsidRPr="00CE17A4" w:rsidRDefault="00CA483A" w:rsidP="00CA483A">
            <w:pPr>
              <w:ind w:left="0" w:firstLine="0"/>
              <w:rPr>
                <w:rFonts w:asciiTheme="minorHAnsi" w:eastAsia="Times New Roman" w:hAnsiTheme="minorHAnsi" w:cstheme="minorHAnsi"/>
                <w:b/>
                <w:bCs/>
                <w:noProof/>
                <w:sz w:val="20"/>
                <w:szCs w:val="20"/>
                <w:lang w:val="es-ES" w:eastAsia="en-GB"/>
              </w:rPr>
            </w:pPr>
            <w:r w:rsidRPr="00CE17A4">
              <w:rPr>
                <w:rFonts w:asciiTheme="minorHAnsi" w:eastAsia="Times New Roman" w:hAnsiTheme="minorHAnsi" w:cstheme="minorHAnsi"/>
                <w:b/>
                <w:bCs/>
                <w:noProof/>
                <w:sz w:val="20"/>
                <w:szCs w:val="20"/>
                <w:lang w:val="es-ES" w:eastAsia="en-GB"/>
              </w:rPr>
              <w:t>TOTAL DE GASTOS DE VIAJE</w:t>
            </w:r>
          </w:p>
        </w:tc>
        <w:tc>
          <w:tcPr>
            <w:tcW w:w="1254" w:type="dxa"/>
            <w:tcBorders>
              <w:top w:val="single" w:sz="4" w:space="0" w:color="auto"/>
              <w:left w:val="nil"/>
              <w:bottom w:val="single" w:sz="4" w:space="0" w:color="auto"/>
              <w:right w:val="single" w:sz="4" w:space="0" w:color="auto"/>
            </w:tcBorders>
            <w:shd w:val="clear" w:color="000000" w:fill="auto"/>
            <w:vAlign w:val="center"/>
          </w:tcPr>
          <w:p w14:paraId="1036657B" w14:textId="35A3FDF4" w:rsidR="00CA483A" w:rsidRPr="00CE17A4" w:rsidRDefault="00CA483A"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135</w:t>
            </w:r>
          </w:p>
        </w:tc>
        <w:tc>
          <w:tcPr>
            <w:tcW w:w="125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1DFD1F7" w14:textId="0E8C5A2E" w:rsidR="00CA483A" w:rsidRPr="00CE17A4" w:rsidRDefault="00CA483A"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135</w:t>
            </w:r>
          </w:p>
        </w:tc>
        <w:tc>
          <w:tcPr>
            <w:tcW w:w="1254" w:type="dxa"/>
            <w:tcBorders>
              <w:top w:val="single" w:sz="4" w:space="0" w:color="auto"/>
              <w:left w:val="nil"/>
              <w:bottom w:val="single" w:sz="4" w:space="0" w:color="auto"/>
              <w:right w:val="single" w:sz="4" w:space="0" w:color="auto"/>
            </w:tcBorders>
            <w:shd w:val="clear" w:color="000000" w:fill="auto"/>
            <w:noWrap/>
            <w:vAlign w:val="center"/>
          </w:tcPr>
          <w:p w14:paraId="52869FA3" w14:textId="675DAD6C" w:rsidR="00CA483A" w:rsidRPr="00CE17A4" w:rsidRDefault="00CA483A"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135</w:t>
            </w:r>
          </w:p>
        </w:tc>
        <w:tc>
          <w:tcPr>
            <w:tcW w:w="1254" w:type="dxa"/>
            <w:tcBorders>
              <w:top w:val="single" w:sz="4" w:space="0" w:color="auto"/>
              <w:left w:val="nil"/>
              <w:bottom w:val="single" w:sz="4" w:space="0" w:color="auto"/>
              <w:right w:val="single" w:sz="4" w:space="0" w:color="auto"/>
            </w:tcBorders>
            <w:shd w:val="clear" w:color="000000" w:fill="auto"/>
            <w:noWrap/>
            <w:vAlign w:val="center"/>
          </w:tcPr>
          <w:p w14:paraId="11A6FED1" w14:textId="747E2C0B" w:rsidR="00CA483A" w:rsidRPr="00CE17A4" w:rsidRDefault="00CA483A"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135</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4E8A6028" w14:textId="01F72646" w:rsidR="00CA483A" w:rsidRPr="00CE17A4" w:rsidRDefault="00CA483A" w:rsidP="00CE17A4">
            <w:pPr>
              <w:ind w:left="0" w:firstLine="0"/>
              <w:jc w:val="right"/>
              <w:rPr>
                <w:rFonts w:asciiTheme="minorHAnsi" w:eastAsia="Times New Roman" w:hAnsiTheme="minorHAnsi" w:cstheme="minorHAnsi"/>
                <w:b/>
                <w:bCs/>
                <w:noProof/>
                <w:color w:val="000000"/>
                <w:sz w:val="20"/>
                <w:szCs w:val="20"/>
                <w:lang w:val="es-ES" w:eastAsia="en-GB"/>
              </w:rPr>
            </w:pPr>
            <w:r w:rsidRPr="00CE17A4">
              <w:rPr>
                <w:rFonts w:asciiTheme="minorHAnsi" w:eastAsia="Times New Roman" w:hAnsiTheme="minorHAnsi" w:cstheme="minorHAnsi"/>
                <w:b/>
                <w:bCs/>
                <w:noProof/>
                <w:color w:val="000000"/>
                <w:sz w:val="20"/>
                <w:szCs w:val="20"/>
                <w:lang w:val="es-ES" w:eastAsia="en-GB"/>
              </w:rPr>
              <w:t>405</w:t>
            </w:r>
          </w:p>
        </w:tc>
      </w:tr>
      <w:tr w:rsidR="00A84F0F" w:rsidRPr="007D7B87" w14:paraId="56B875C4" w14:textId="77777777" w:rsidTr="00CE17A4">
        <w:tc>
          <w:tcPr>
            <w:tcW w:w="369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84D3366" w14:textId="0F09097A" w:rsidR="00A84F0F" w:rsidRPr="00CE17A4" w:rsidRDefault="00CA483A" w:rsidP="00A84F0F">
            <w:pPr>
              <w:ind w:left="0" w:firstLine="0"/>
              <w:rPr>
                <w:rFonts w:asciiTheme="minorHAnsi" w:eastAsia="Times New Roman" w:hAnsiTheme="minorHAnsi" w:cstheme="minorHAnsi"/>
                <w:bCs/>
                <w:noProof/>
                <w:sz w:val="20"/>
                <w:szCs w:val="20"/>
                <w:lang w:val="es-ES" w:eastAsia="en-GB"/>
              </w:rPr>
            </w:pPr>
            <w:r w:rsidRPr="00CE17A4">
              <w:rPr>
                <w:rFonts w:asciiTheme="minorHAnsi" w:eastAsia="Times New Roman" w:hAnsiTheme="minorHAnsi" w:cstheme="minorHAnsi"/>
                <w:bCs/>
                <w:noProof/>
                <w:sz w:val="20"/>
                <w:szCs w:val="20"/>
                <w:lang w:val="es-ES" w:eastAsia="en-GB"/>
              </w:rPr>
              <w:t>Porcentaje del total de gastos de viaje del presupuesto</w:t>
            </w:r>
          </w:p>
        </w:tc>
        <w:tc>
          <w:tcPr>
            <w:tcW w:w="1254" w:type="dxa"/>
            <w:tcBorders>
              <w:top w:val="single" w:sz="4" w:space="0" w:color="auto"/>
              <w:left w:val="nil"/>
              <w:bottom w:val="single" w:sz="4" w:space="0" w:color="auto"/>
              <w:right w:val="single" w:sz="4" w:space="0" w:color="auto"/>
            </w:tcBorders>
            <w:shd w:val="clear" w:color="000000" w:fill="auto"/>
            <w:vAlign w:val="center"/>
          </w:tcPr>
          <w:p w14:paraId="04B9A2C8" w14:textId="3F10C5AC" w:rsidR="00A84F0F" w:rsidRPr="00CE17A4" w:rsidRDefault="00A84F0F" w:rsidP="00CE17A4">
            <w:pPr>
              <w:ind w:left="0" w:firstLine="0"/>
              <w:jc w:val="right"/>
              <w:rPr>
                <w:rFonts w:asciiTheme="minorHAnsi" w:eastAsia="Times New Roman" w:hAnsiTheme="minorHAnsi" w:cstheme="minorHAnsi"/>
                <w:bCs/>
                <w:noProof/>
                <w:color w:val="000000"/>
                <w:sz w:val="20"/>
                <w:szCs w:val="20"/>
                <w:lang w:val="es-ES" w:eastAsia="en-GB"/>
              </w:rPr>
            </w:pPr>
            <w:r w:rsidRPr="00CE17A4">
              <w:rPr>
                <w:rFonts w:asciiTheme="minorHAnsi" w:eastAsia="Times New Roman" w:hAnsiTheme="minorHAnsi" w:cstheme="minorHAnsi"/>
                <w:bCs/>
                <w:noProof/>
                <w:color w:val="000000"/>
                <w:sz w:val="20"/>
                <w:szCs w:val="20"/>
                <w:lang w:val="es-ES" w:eastAsia="en-GB"/>
              </w:rPr>
              <w:t>3</w:t>
            </w:r>
            <w:r w:rsidR="001A764A" w:rsidRPr="00CE17A4">
              <w:rPr>
                <w:rFonts w:asciiTheme="minorHAnsi" w:eastAsia="Times New Roman" w:hAnsiTheme="minorHAnsi" w:cstheme="minorHAnsi"/>
                <w:bCs/>
                <w:noProof/>
                <w:color w:val="000000"/>
                <w:sz w:val="20"/>
                <w:szCs w:val="20"/>
                <w:lang w:val="es-ES" w:eastAsia="en-GB"/>
              </w:rPr>
              <w:t xml:space="preserve"> </w:t>
            </w:r>
            <w:r w:rsidRPr="00CE17A4">
              <w:rPr>
                <w:rFonts w:asciiTheme="minorHAnsi" w:eastAsia="Times New Roman" w:hAnsiTheme="minorHAnsi" w:cstheme="minorHAnsi"/>
                <w:bCs/>
                <w:noProof/>
                <w:color w:val="000000"/>
                <w:sz w:val="20"/>
                <w:szCs w:val="20"/>
                <w:lang w:val="es-ES" w:eastAsia="en-GB"/>
              </w:rPr>
              <w:t>%</w:t>
            </w:r>
          </w:p>
        </w:tc>
        <w:tc>
          <w:tcPr>
            <w:tcW w:w="125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0A67426" w14:textId="017C318D" w:rsidR="00A84F0F" w:rsidRPr="00CE17A4" w:rsidRDefault="00A84F0F" w:rsidP="00CE17A4">
            <w:pPr>
              <w:ind w:left="0" w:firstLine="0"/>
              <w:jc w:val="right"/>
              <w:rPr>
                <w:rFonts w:asciiTheme="minorHAnsi" w:eastAsia="Times New Roman" w:hAnsiTheme="minorHAnsi" w:cstheme="minorHAnsi"/>
                <w:bCs/>
                <w:noProof/>
                <w:color w:val="000000"/>
                <w:sz w:val="20"/>
                <w:szCs w:val="20"/>
                <w:lang w:val="es-ES" w:eastAsia="en-GB"/>
              </w:rPr>
            </w:pPr>
            <w:r w:rsidRPr="00CE17A4">
              <w:rPr>
                <w:rFonts w:asciiTheme="minorHAnsi" w:eastAsia="Times New Roman" w:hAnsiTheme="minorHAnsi" w:cstheme="minorHAnsi"/>
                <w:bCs/>
                <w:noProof/>
                <w:color w:val="000000"/>
                <w:sz w:val="20"/>
                <w:szCs w:val="20"/>
                <w:lang w:val="es-ES" w:eastAsia="en-GB"/>
              </w:rPr>
              <w:t>3</w:t>
            </w:r>
            <w:r w:rsidR="001A764A" w:rsidRPr="00CE17A4">
              <w:rPr>
                <w:rFonts w:asciiTheme="minorHAnsi" w:eastAsia="Times New Roman" w:hAnsiTheme="minorHAnsi" w:cstheme="minorHAnsi"/>
                <w:bCs/>
                <w:noProof/>
                <w:color w:val="000000"/>
                <w:sz w:val="20"/>
                <w:szCs w:val="20"/>
                <w:lang w:val="es-ES" w:eastAsia="en-GB"/>
              </w:rPr>
              <w:t xml:space="preserve"> </w:t>
            </w:r>
            <w:r w:rsidRPr="00CE17A4">
              <w:rPr>
                <w:rFonts w:asciiTheme="minorHAnsi" w:eastAsia="Times New Roman" w:hAnsiTheme="minorHAnsi" w:cstheme="minorHAnsi"/>
                <w:bCs/>
                <w:noProof/>
                <w:color w:val="000000"/>
                <w:sz w:val="20"/>
                <w:szCs w:val="20"/>
                <w:lang w:val="es-ES" w:eastAsia="en-GB"/>
              </w:rPr>
              <w:t>%</w:t>
            </w:r>
          </w:p>
        </w:tc>
        <w:tc>
          <w:tcPr>
            <w:tcW w:w="1254" w:type="dxa"/>
            <w:tcBorders>
              <w:top w:val="single" w:sz="4" w:space="0" w:color="auto"/>
              <w:left w:val="nil"/>
              <w:bottom w:val="single" w:sz="4" w:space="0" w:color="auto"/>
              <w:right w:val="single" w:sz="4" w:space="0" w:color="auto"/>
            </w:tcBorders>
            <w:shd w:val="clear" w:color="000000" w:fill="auto"/>
            <w:noWrap/>
            <w:vAlign w:val="center"/>
          </w:tcPr>
          <w:p w14:paraId="6CC2B70F" w14:textId="1485AE70" w:rsidR="00A84F0F" w:rsidRPr="00CE17A4" w:rsidRDefault="00A84F0F" w:rsidP="00CE17A4">
            <w:pPr>
              <w:ind w:left="0" w:firstLine="0"/>
              <w:jc w:val="right"/>
              <w:rPr>
                <w:rFonts w:asciiTheme="minorHAnsi" w:eastAsia="Times New Roman" w:hAnsiTheme="minorHAnsi" w:cstheme="minorHAnsi"/>
                <w:bCs/>
                <w:noProof/>
                <w:color w:val="000000"/>
                <w:sz w:val="20"/>
                <w:szCs w:val="20"/>
                <w:lang w:val="es-ES" w:eastAsia="en-GB"/>
              </w:rPr>
            </w:pPr>
            <w:r w:rsidRPr="00CE17A4">
              <w:rPr>
                <w:rFonts w:asciiTheme="minorHAnsi" w:eastAsia="Times New Roman" w:hAnsiTheme="minorHAnsi" w:cstheme="minorHAnsi"/>
                <w:bCs/>
                <w:noProof/>
                <w:color w:val="000000"/>
                <w:sz w:val="20"/>
                <w:szCs w:val="20"/>
                <w:lang w:val="es-ES" w:eastAsia="en-GB"/>
              </w:rPr>
              <w:t>3</w:t>
            </w:r>
            <w:r w:rsidR="001A764A" w:rsidRPr="00CE17A4">
              <w:rPr>
                <w:rFonts w:asciiTheme="minorHAnsi" w:eastAsia="Times New Roman" w:hAnsiTheme="minorHAnsi" w:cstheme="minorHAnsi"/>
                <w:bCs/>
                <w:noProof/>
                <w:color w:val="000000"/>
                <w:sz w:val="20"/>
                <w:szCs w:val="20"/>
                <w:lang w:val="es-ES" w:eastAsia="en-GB"/>
              </w:rPr>
              <w:t xml:space="preserve"> </w:t>
            </w:r>
            <w:r w:rsidRPr="00CE17A4">
              <w:rPr>
                <w:rFonts w:asciiTheme="minorHAnsi" w:eastAsia="Times New Roman" w:hAnsiTheme="minorHAnsi" w:cstheme="minorHAnsi"/>
                <w:bCs/>
                <w:noProof/>
                <w:color w:val="000000"/>
                <w:sz w:val="20"/>
                <w:szCs w:val="20"/>
                <w:lang w:val="es-ES" w:eastAsia="en-GB"/>
              </w:rPr>
              <w:t>%</w:t>
            </w:r>
          </w:p>
        </w:tc>
        <w:tc>
          <w:tcPr>
            <w:tcW w:w="1254" w:type="dxa"/>
            <w:tcBorders>
              <w:top w:val="single" w:sz="4" w:space="0" w:color="auto"/>
              <w:left w:val="nil"/>
              <w:bottom w:val="single" w:sz="4" w:space="0" w:color="auto"/>
              <w:right w:val="single" w:sz="4" w:space="0" w:color="auto"/>
            </w:tcBorders>
            <w:shd w:val="clear" w:color="000000" w:fill="auto"/>
            <w:noWrap/>
            <w:vAlign w:val="center"/>
          </w:tcPr>
          <w:p w14:paraId="04F5B1D0" w14:textId="6781CBB6" w:rsidR="00A84F0F" w:rsidRPr="00CE17A4" w:rsidRDefault="00A84F0F" w:rsidP="00CE17A4">
            <w:pPr>
              <w:ind w:left="0" w:firstLine="0"/>
              <w:jc w:val="right"/>
              <w:rPr>
                <w:rFonts w:asciiTheme="minorHAnsi" w:eastAsia="Times New Roman" w:hAnsiTheme="minorHAnsi" w:cstheme="minorHAnsi"/>
                <w:bCs/>
                <w:noProof/>
                <w:color w:val="000000"/>
                <w:sz w:val="20"/>
                <w:szCs w:val="20"/>
                <w:lang w:val="es-ES" w:eastAsia="en-GB"/>
              </w:rPr>
            </w:pPr>
            <w:r w:rsidRPr="00CE17A4">
              <w:rPr>
                <w:rFonts w:asciiTheme="minorHAnsi" w:eastAsia="Times New Roman" w:hAnsiTheme="minorHAnsi" w:cstheme="minorHAnsi"/>
                <w:bCs/>
                <w:noProof/>
                <w:color w:val="000000"/>
                <w:sz w:val="20"/>
                <w:szCs w:val="20"/>
                <w:lang w:val="es-ES" w:eastAsia="en-GB"/>
              </w:rPr>
              <w:t>3</w:t>
            </w:r>
            <w:r w:rsidR="001A764A" w:rsidRPr="00CE17A4">
              <w:rPr>
                <w:rFonts w:asciiTheme="minorHAnsi" w:eastAsia="Times New Roman" w:hAnsiTheme="minorHAnsi" w:cstheme="minorHAnsi"/>
                <w:bCs/>
                <w:noProof/>
                <w:color w:val="000000"/>
                <w:sz w:val="20"/>
                <w:szCs w:val="20"/>
                <w:lang w:val="es-ES" w:eastAsia="en-GB"/>
              </w:rPr>
              <w:t xml:space="preserve"> </w:t>
            </w:r>
            <w:r w:rsidRPr="00CE17A4">
              <w:rPr>
                <w:rFonts w:asciiTheme="minorHAnsi" w:eastAsia="Times New Roman" w:hAnsiTheme="minorHAnsi" w:cstheme="minorHAnsi"/>
                <w:bCs/>
                <w:noProof/>
                <w:color w:val="000000"/>
                <w:sz w:val="20"/>
                <w:szCs w:val="20"/>
                <w:lang w:val="es-ES" w:eastAsia="en-GB"/>
              </w:rPr>
              <w:t>%</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60B339AC" w14:textId="79710654" w:rsidR="00A84F0F" w:rsidRPr="00CE17A4" w:rsidRDefault="00A84F0F" w:rsidP="00CE17A4">
            <w:pPr>
              <w:ind w:left="0" w:firstLine="0"/>
              <w:jc w:val="right"/>
              <w:rPr>
                <w:rFonts w:asciiTheme="minorHAnsi" w:eastAsia="Times New Roman" w:hAnsiTheme="minorHAnsi" w:cstheme="minorHAnsi"/>
                <w:bCs/>
                <w:noProof/>
                <w:color w:val="000000"/>
                <w:sz w:val="20"/>
                <w:szCs w:val="20"/>
                <w:lang w:val="es-ES" w:eastAsia="en-GB"/>
              </w:rPr>
            </w:pPr>
            <w:r w:rsidRPr="00CE17A4">
              <w:rPr>
                <w:rFonts w:asciiTheme="minorHAnsi" w:eastAsia="Times New Roman" w:hAnsiTheme="minorHAnsi" w:cstheme="minorHAnsi"/>
                <w:bCs/>
                <w:noProof/>
                <w:color w:val="000000"/>
                <w:sz w:val="20"/>
                <w:szCs w:val="20"/>
                <w:lang w:val="es-ES" w:eastAsia="en-GB"/>
              </w:rPr>
              <w:t>3</w:t>
            </w:r>
            <w:r w:rsidR="001A764A" w:rsidRPr="00CE17A4">
              <w:rPr>
                <w:rFonts w:asciiTheme="minorHAnsi" w:eastAsia="Times New Roman" w:hAnsiTheme="minorHAnsi" w:cstheme="minorHAnsi"/>
                <w:bCs/>
                <w:noProof/>
                <w:color w:val="000000"/>
                <w:sz w:val="20"/>
                <w:szCs w:val="20"/>
                <w:lang w:val="es-ES" w:eastAsia="en-GB"/>
              </w:rPr>
              <w:t xml:space="preserve"> </w:t>
            </w:r>
            <w:r w:rsidRPr="00CE17A4">
              <w:rPr>
                <w:rFonts w:asciiTheme="minorHAnsi" w:eastAsia="Times New Roman" w:hAnsiTheme="minorHAnsi" w:cstheme="minorHAnsi"/>
                <w:bCs/>
                <w:noProof/>
                <w:color w:val="000000"/>
                <w:sz w:val="20"/>
                <w:szCs w:val="20"/>
                <w:lang w:val="es-ES" w:eastAsia="en-GB"/>
              </w:rPr>
              <w:t>%</w:t>
            </w:r>
          </w:p>
        </w:tc>
      </w:tr>
    </w:tbl>
    <w:p w14:paraId="56BA3684" w14:textId="77777777" w:rsidR="005C1B09" w:rsidRPr="007D7B87" w:rsidRDefault="005C1B09" w:rsidP="005C1B09">
      <w:pPr>
        <w:rPr>
          <w:rFonts w:cs="Arial"/>
          <w:b/>
          <w:noProof/>
          <w:lang w:val="es-ES"/>
        </w:rPr>
      </w:pPr>
    </w:p>
    <w:p w14:paraId="2DDF452D" w14:textId="77777777" w:rsidR="005C1B09" w:rsidRPr="007D7B87" w:rsidRDefault="005C1B09" w:rsidP="00A217FF">
      <w:pPr>
        <w:pStyle w:val="ListParagraph"/>
        <w:ind w:left="0" w:firstLine="0"/>
        <w:contextualSpacing w:val="0"/>
        <w:rPr>
          <w:rFonts w:cs="Arial"/>
          <w:b/>
          <w:noProof/>
          <w:lang w:val="es-ES"/>
        </w:rPr>
      </w:pPr>
    </w:p>
    <w:p w14:paraId="2B8BA9A0" w14:textId="77777777" w:rsidR="007E63D8" w:rsidRPr="007D7B87" w:rsidRDefault="007E63D8" w:rsidP="00A217FF">
      <w:pPr>
        <w:pStyle w:val="ListParagraph"/>
        <w:ind w:left="0" w:firstLine="0"/>
        <w:contextualSpacing w:val="0"/>
        <w:rPr>
          <w:rFonts w:cs="Arial"/>
          <w:b/>
          <w:noProof/>
          <w:lang w:val="es-ES"/>
        </w:rPr>
      </w:pPr>
    </w:p>
    <w:p w14:paraId="68DA7208" w14:textId="77777777" w:rsidR="007E63D8" w:rsidRPr="007D7B87" w:rsidRDefault="007E63D8" w:rsidP="006C5088">
      <w:pPr>
        <w:pStyle w:val="ListParagraph"/>
        <w:ind w:left="0" w:firstLine="0"/>
        <w:contextualSpacing w:val="0"/>
        <w:rPr>
          <w:rFonts w:cs="Arial"/>
          <w:b/>
          <w:noProof/>
          <w:lang w:val="es-ES"/>
        </w:rPr>
      </w:pPr>
    </w:p>
    <w:p w14:paraId="33A40573" w14:textId="77777777" w:rsidR="00F96963" w:rsidRPr="007D7B87" w:rsidRDefault="00F96963">
      <w:pPr>
        <w:rPr>
          <w:rFonts w:cs="Arial"/>
          <w:b/>
          <w:noProof/>
          <w:lang w:val="es-ES"/>
        </w:rPr>
      </w:pPr>
      <w:r w:rsidRPr="007D7B87">
        <w:rPr>
          <w:rFonts w:cs="Arial"/>
          <w:b/>
          <w:noProof/>
          <w:lang w:val="es-ES"/>
        </w:rPr>
        <w:br w:type="page"/>
      </w:r>
    </w:p>
    <w:p w14:paraId="3E58B650" w14:textId="0ACDDB1C" w:rsidR="00CE1F5D" w:rsidRPr="007D7B87" w:rsidRDefault="007B69D3" w:rsidP="00CE1F5D">
      <w:pPr>
        <w:rPr>
          <w:rFonts w:asciiTheme="minorHAnsi" w:eastAsia="Times New Roman" w:hAnsiTheme="minorHAnsi" w:cs="Arial"/>
          <w:b/>
          <w:bCs/>
          <w:noProof/>
          <w:color w:val="000000"/>
          <w:sz w:val="24"/>
          <w:szCs w:val="24"/>
          <w:lang w:val="es-ES" w:eastAsia="en-GB"/>
        </w:rPr>
      </w:pPr>
      <w:r>
        <w:rPr>
          <w:rFonts w:asciiTheme="minorHAnsi" w:eastAsia="Times New Roman" w:hAnsiTheme="minorHAnsi" w:cs="Arial"/>
          <w:b/>
          <w:bCs/>
          <w:noProof/>
          <w:color w:val="000000"/>
          <w:sz w:val="24"/>
          <w:szCs w:val="24"/>
          <w:lang w:val="es-ES" w:eastAsia="en-GB"/>
        </w:rPr>
        <w:lastRenderedPageBreak/>
        <w:t>Anexo</w:t>
      </w:r>
      <w:r w:rsidR="00E0612A" w:rsidRPr="007D7B87">
        <w:rPr>
          <w:rFonts w:asciiTheme="minorHAnsi" w:eastAsia="Times New Roman" w:hAnsiTheme="minorHAnsi" w:cs="Arial"/>
          <w:b/>
          <w:bCs/>
          <w:noProof/>
          <w:color w:val="000000"/>
          <w:sz w:val="24"/>
          <w:szCs w:val="24"/>
          <w:lang w:val="es-ES" w:eastAsia="en-GB"/>
        </w:rPr>
        <w:t xml:space="preserve"> 3</w:t>
      </w:r>
    </w:p>
    <w:p w14:paraId="7702EB96" w14:textId="0ECA6564" w:rsidR="007B69D3" w:rsidRPr="004C6CC6" w:rsidRDefault="007B69D3" w:rsidP="007B69D3">
      <w:pPr>
        <w:rPr>
          <w:rFonts w:asciiTheme="minorHAnsi" w:eastAsia="Times New Roman" w:hAnsiTheme="minorHAnsi" w:cs="Arial"/>
          <w:b/>
          <w:bCs/>
          <w:noProof/>
          <w:color w:val="000000"/>
          <w:sz w:val="24"/>
          <w:szCs w:val="24"/>
          <w:lang w:val="es-ES" w:eastAsia="en-GB"/>
        </w:rPr>
      </w:pPr>
      <w:r w:rsidRPr="004C6CC6">
        <w:rPr>
          <w:rFonts w:asciiTheme="minorHAnsi" w:eastAsia="Times New Roman" w:hAnsiTheme="minorHAnsi" w:cs="Arial"/>
          <w:b/>
          <w:bCs/>
          <w:noProof/>
          <w:color w:val="000000"/>
          <w:sz w:val="24"/>
          <w:szCs w:val="24"/>
          <w:lang w:val="es-ES" w:eastAsia="en-GB"/>
        </w:rPr>
        <w:t>Estado de las contribuciones a 31 de diciembre de 20</w:t>
      </w:r>
      <w:r>
        <w:rPr>
          <w:rFonts w:asciiTheme="minorHAnsi" w:eastAsia="Times New Roman" w:hAnsiTheme="minorHAnsi" w:cs="Arial"/>
          <w:b/>
          <w:bCs/>
          <w:noProof/>
          <w:color w:val="000000"/>
          <w:sz w:val="24"/>
          <w:szCs w:val="24"/>
          <w:lang w:val="es-ES" w:eastAsia="en-GB"/>
        </w:rPr>
        <w:t>21</w:t>
      </w:r>
      <w:r w:rsidRPr="004C6CC6">
        <w:rPr>
          <w:rFonts w:asciiTheme="minorHAnsi" w:eastAsia="Times New Roman" w:hAnsiTheme="minorHAnsi" w:cs="Arial"/>
          <w:b/>
          <w:bCs/>
          <w:noProof/>
          <w:color w:val="000000"/>
          <w:sz w:val="24"/>
          <w:szCs w:val="24"/>
          <w:lang w:val="es-ES" w:eastAsia="en-GB"/>
        </w:rPr>
        <w:t xml:space="preserve"> (en francos suizos) </w:t>
      </w:r>
    </w:p>
    <w:p w14:paraId="1B28B9D6" w14:textId="7E41EA2A" w:rsidR="00CE1F5D" w:rsidRPr="007D7B87" w:rsidRDefault="00CE1F5D" w:rsidP="00CE1F5D">
      <w:pPr>
        <w:rPr>
          <w:rFonts w:cs="Arial"/>
          <w:noProof/>
          <w:lang w:val="es-ES"/>
        </w:rPr>
      </w:pPr>
    </w:p>
    <w:tbl>
      <w:tblPr>
        <w:tblStyle w:val="PlainTable1"/>
        <w:tblW w:w="102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86"/>
        <w:gridCol w:w="901"/>
        <w:gridCol w:w="901"/>
        <w:gridCol w:w="901"/>
        <w:gridCol w:w="902"/>
        <w:gridCol w:w="902"/>
        <w:gridCol w:w="902"/>
        <w:gridCol w:w="902"/>
        <w:gridCol w:w="902"/>
        <w:gridCol w:w="902"/>
      </w:tblGrid>
      <w:tr w:rsidR="005C1B09" w:rsidRPr="00C92E5A" w14:paraId="5F1739AA" w14:textId="77777777" w:rsidTr="007B69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86" w:type="dxa"/>
            <w:vMerge w:val="restart"/>
            <w:shd w:val="clear" w:color="auto" w:fill="DBE5F1" w:themeFill="accent1" w:themeFillTint="33"/>
            <w:noWrap/>
            <w:vAlign w:val="center"/>
            <w:hideMark/>
          </w:tcPr>
          <w:p w14:paraId="10A03DDD" w14:textId="06322C57" w:rsidR="005C1B09" w:rsidRPr="007D7B87" w:rsidRDefault="007B69D3" w:rsidP="00483E42">
            <w:pPr>
              <w:ind w:left="0" w:firstLine="0"/>
              <w:jc w:val="center"/>
              <w:rPr>
                <w:rFonts w:asciiTheme="minorHAnsi" w:eastAsia="Times New Roman" w:hAnsiTheme="minorHAnsi" w:cstheme="minorHAnsi"/>
                <w:bCs w:val="0"/>
                <w:noProof/>
                <w:color w:val="000000"/>
                <w:sz w:val="20"/>
                <w:szCs w:val="20"/>
                <w:lang w:val="es-ES" w:eastAsia="en-GB"/>
              </w:rPr>
            </w:pPr>
            <w:r>
              <w:rPr>
                <w:rFonts w:asciiTheme="minorHAnsi" w:eastAsia="Times New Roman" w:hAnsiTheme="minorHAnsi" w:cstheme="minorHAnsi"/>
                <w:bCs w:val="0"/>
                <w:noProof/>
                <w:color w:val="000000"/>
                <w:sz w:val="20"/>
                <w:szCs w:val="20"/>
                <w:lang w:val="es-ES" w:eastAsia="en-GB"/>
              </w:rPr>
              <w:t>País</w:t>
            </w:r>
          </w:p>
        </w:tc>
        <w:tc>
          <w:tcPr>
            <w:tcW w:w="2703" w:type="dxa"/>
            <w:gridSpan w:val="3"/>
            <w:shd w:val="clear" w:color="auto" w:fill="DBE5F1" w:themeFill="accent1" w:themeFillTint="33"/>
            <w:vAlign w:val="center"/>
            <w:hideMark/>
          </w:tcPr>
          <w:p w14:paraId="6E71F4FD" w14:textId="59176DB2" w:rsidR="005C1B09" w:rsidRPr="007D7B87" w:rsidRDefault="007B69D3" w:rsidP="00483E42">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noProof/>
                <w:color w:val="000000"/>
                <w:sz w:val="20"/>
                <w:szCs w:val="20"/>
                <w:lang w:val="es-ES" w:eastAsia="en-GB"/>
              </w:rPr>
            </w:pPr>
            <w:r>
              <w:rPr>
                <w:rFonts w:asciiTheme="minorHAnsi" w:eastAsia="Times New Roman" w:hAnsiTheme="minorHAnsi" w:cstheme="minorHAnsi"/>
                <w:bCs w:val="0"/>
                <w:noProof/>
                <w:color w:val="000000"/>
                <w:sz w:val="20"/>
                <w:szCs w:val="20"/>
                <w:lang w:val="es-ES" w:eastAsia="en-GB"/>
              </w:rPr>
              <w:t>Estado a 1 de enero de</w:t>
            </w:r>
            <w:r w:rsidR="005C1B09" w:rsidRPr="007D7B87">
              <w:rPr>
                <w:rFonts w:asciiTheme="minorHAnsi" w:eastAsia="Times New Roman" w:hAnsiTheme="minorHAnsi" w:cstheme="minorHAnsi"/>
                <w:bCs w:val="0"/>
                <w:noProof/>
                <w:color w:val="000000"/>
                <w:sz w:val="20"/>
                <w:szCs w:val="20"/>
                <w:lang w:val="es-ES" w:eastAsia="en-GB"/>
              </w:rPr>
              <w:t xml:space="preserve"> 2021</w:t>
            </w:r>
          </w:p>
        </w:tc>
        <w:tc>
          <w:tcPr>
            <w:tcW w:w="2706" w:type="dxa"/>
            <w:gridSpan w:val="3"/>
            <w:shd w:val="clear" w:color="auto" w:fill="DBE5F1" w:themeFill="accent1" w:themeFillTint="33"/>
            <w:vAlign w:val="center"/>
            <w:hideMark/>
          </w:tcPr>
          <w:p w14:paraId="24D08679" w14:textId="71B85C33" w:rsidR="005C1B09" w:rsidRPr="007D7B87" w:rsidRDefault="007B69D3" w:rsidP="00483E42">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noProof/>
                <w:color w:val="000000"/>
                <w:sz w:val="20"/>
                <w:szCs w:val="20"/>
                <w:lang w:val="es-ES" w:eastAsia="en-GB"/>
              </w:rPr>
            </w:pPr>
            <w:r>
              <w:rPr>
                <w:rFonts w:asciiTheme="minorHAnsi" w:eastAsia="Times New Roman" w:hAnsiTheme="minorHAnsi" w:cstheme="minorHAnsi"/>
                <w:bCs w:val="0"/>
                <w:noProof/>
                <w:color w:val="000000"/>
                <w:sz w:val="20"/>
                <w:szCs w:val="20"/>
                <w:lang w:val="es-ES" w:eastAsia="en-GB"/>
              </w:rPr>
              <w:t>Pagadas en</w:t>
            </w:r>
            <w:r w:rsidR="005C1B09" w:rsidRPr="007D7B87">
              <w:rPr>
                <w:rFonts w:asciiTheme="minorHAnsi" w:eastAsia="Times New Roman" w:hAnsiTheme="minorHAnsi" w:cstheme="minorHAnsi"/>
                <w:bCs w:val="0"/>
                <w:noProof/>
                <w:color w:val="000000"/>
                <w:sz w:val="20"/>
                <w:szCs w:val="20"/>
                <w:lang w:val="es-ES" w:eastAsia="en-GB"/>
              </w:rPr>
              <w:t xml:space="preserve"> 2021</w:t>
            </w:r>
          </w:p>
        </w:tc>
        <w:tc>
          <w:tcPr>
            <w:tcW w:w="2706" w:type="dxa"/>
            <w:gridSpan w:val="3"/>
            <w:shd w:val="clear" w:color="auto" w:fill="DBE5F1" w:themeFill="accent1" w:themeFillTint="33"/>
            <w:vAlign w:val="center"/>
            <w:hideMark/>
          </w:tcPr>
          <w:p w14:paraId="6EC38D78" w14:textId="05A0702B" w:rsidR="005C1B09" w:rsidRPr="007D7B87" w:rsidRDefault="007B69D3" w:rsidP="00483E42">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noProof/>
                <w:color w:val="000000"/>
                <w:sz w:val="20"/>
                <w:szCs w:val="20"/>
                <w:lang w:val="es-ES" w:eastAsia="en-GB"/>
              </w:rPr>
            </w:pPr>
            <w:r>
              <w:rPr>
                <w:rFonts w:asciiTheme="minorHAnsi" w:eastAsia="Times New Roman" w:hAnsiTheme="minorHAnsi" w:cstheme="minorHAnsi"/>
                <w:bCs w:val="0"/>
                <w:noProof/>
                <w:color w:val="000000"/>
                <w:sz w:val="20"/>
                <w:szCs w:val="20"/>
                <w:lang w:val="es-ES" w:eastAsia="en-GB"/>
              </w:rPr>
              <w:t>Estado a 31 de diciembre de</w:t>
            </w:r>
            <w:r w:rsidR="005C1B09" w:rsidRPr="007D7B87">
              <w:rPr>
                <w:rFonts w:asciiTheme="minorHAnsi" w:eastAsia="Times New Roman" w:hAnsiTheme="minorHAnsi" w:cstheme="minorHAnsi"/>
                <w:bCs w:val="0"/>
                <w:noProof/>
                <w:color w:val="000000"/>
                <w:sz w:val="20"/>
                <w:szCs w:val="20"/>
                <w:lang w:val="es-ES" w:eastAsia="en-GB"/>
              </w:rPr>
              <w:t xml:space="preserve"> 2021</w:t>
            </w:r>
          </w:p>
        </w:tc>
      </w:tr>
      <w:tr w:rsidR="007B69D3" w:rsidRPr="00C92E5A" w14:paraId="1659E22A" w14:textId="77777777" w:rsidTr="007B69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86" w:type="dxa"/>
            <w:vMerge/>
            <w:shd w:val="clear" w:color="auto" w:fill="DBE5F1" w:themeFill="accent1" w:themeFillTint="33"/>
            <w:hideMark/>
          </w:tcPr>
          <w:p w14:paraId="190C1F61" w14:textId="77777777" w:rsidR="007B69D3" w:rsidRPr="007D7B87" w:rsidRDefault="007B69D3" w:rsidP="007B69D3">
            <w:pPr>
              <w:ind w:left="0" w:firstLine="0"/>
              <w:jc w:val="center"/>
              <w:rPr>
                <w:rFonts w:asciiTheme="minorHAnsi" w:eastAsia="Times New Roman" w:hAnsiTheme="minorHAnsi" w:cstheme="minorHAnsi"/>
                <w:bCs w:val="0"/>
                <w:noProof/>
                <w:color w:val="000000"/>
                <w:sz w:val="20"/>
                <w:szCs w:val="20"/>
                <w:lang w:val="es-ES" w:eastAsia="en-GB"/>
              </w:rPr>
            </w:pPr>
          </w:p>
        </w:tc>
        <w:tc>
          <w:tcPr>
            <w:tcW w:w="901" w:type="dxa"/>
            <w:shd w:val="clear" w:color="auto" w:fill="DBE5F1" w:themeFill="accent1" w:themeFillTint="33"/>
            <w:hideMark/>
          </w:tcPr>
          <w:p w14:paraId="011C7FF1" w14:textId="287FA22D" w:rsidR="007B69D3" w:rsidRPr="00801E87" w:rsidRDefault="007B69D3" w:rsidP="007B69D3">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noProof/>
                <w:color w:val="000000"/>
                <w:spacing w:val="-8"/>
                <w:sz w:val="18"/>
                <w:szCs w:val="18"/>
                <w:lang w:val="es-ES" w:eastAsia="en-GB"/>
              </w:rPr>
            </w:pPr>
            <w:r w:rsidRPr="00801E87">
              <w:rPr>
                <w:rFonts w:asciiTheme="minorHAnsi" w:eastAsia="Times New Roman" w:hAnsiTheme="minorHAnsi" w:cs="Arial"/>
                <w:bCs w:val="0"/>
                <w:noProof/>
                <w:color w:val="000000"/>
                <w:sz w:val="18"/>
                <w:szCs w:val="18"/>
                <w:lang w:val="es-ES" w:eastAsia="en-GB"/>
              </w:rPr>
              <w:t xml:space="preserve">Pendientes de pago de años anteriores </w:t>
            </w:r>
          </w:p>
        </w:tc>
        <w:tc>
          <w:tcPr>
            <w:tcW w:w="901" w:type="dxa"/>
            <w:shd w:val="clear" w:color="auto" w:fill="DBE5F1" w:themeFill="accent1" w:themeFillTint="33"/>
            <w:vAlign w:val="center"/>
            <w:hideMark/>
          </w:tcPr>
          <w:p w14:paraId="3D6500C4" w14:textId="6568E7A1" w:rsidR="007B69D3" w:rsidRPr="00801E87" w:rsidRDefault="007B69D3" w:rsidP="007B69D3">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noProof/>
                <w:color w:val="000000"/>
                <w:spacing w:val="-8"/>
                <w:sz w:val="18"/>
                <w:szCs w:val="18"/>
                <w:lang w:val="es-ES" w:eastAsia="en-GB"/>
              </w:rPr>
            </w:pPr>
            <w:r w:rsidRPr="00801E87">
              <w:rPr>
                <w:rFonts w:asciiTheme="minorHAnsi" w:eastAsia="Times New Roman" w:hAnsiTheme="minorHAnsi" w:cstheme="minorHAnsi"/>
                <w:bCs w:val="0"/>
                <w:noProof/>
                <w:color w:val="000000"/>
                <w:spacing w:val="-8"/>
                <w:sz w:val="18"/>
                <w:szCs w:val="18"/>
                <w:lang w:val="es-ES" w:eastAsia="en-GB"/>
              </w:rPr>
              <w:t>Previstas para 2021</w:t>
            </w:r>
          </w:p>
        </w:tc>
        <w:tc>
          <w:tcPr>
            <w:tcW w:w="901" w:type="dxa"/>
            <w:shd w:val="clear" w:color="auto" w:fill="DBE5F1" w:themeFill="accent1" w:themeFillTint="33"/>
            <w:vAlign w:val="center"/>
            <w:hideMark/>
          </w:tcPr>
          <w:p w14:paraId="66DB2C3B" w14:textId="4D3EC888" w:rsidR="007B69D3" w:rsidRPr="00801E87" w:rsidRDefault="007B69D3" w:rsidP="007B69D3">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noProof/>
                <w:color w:val="000000"/>
                <w:spacing w:val="-8"/>
                <w:sz w:val="18"/>
                <w:szCs w:val="18"/>
                <w:lang w:val="es-ES" w:eastAsia="en-GB"/>
              </w:rPr>
            </w:pPr>
            <w:r w:rsidRPr="00801E87">
              <w:rPr>
                <w:rFonts w:asciiTheme="minorHAnsi" w:eastAsia="Times New Roman" w:hAnsiTheme="minorHAnsi" w:cs="Arial"/>
                <w:bCs w:val="0"/>
                <w:noProof/>
                <w:color w:val="000000"/>
                <w:sz w:val="18"/>
                <w:szCs w:val="18"/>
                <w:lang w:val="es-ES" w:eastAsia="en-GB"/>
              </w:rPr>
              <w:t>Pagadas a cuenta de años futuros</w:t>
            </w:r>
          </w:p>
        </w:tc>
        <w:tc>
          <w:tcPr>
            <w:tcW w:w="902" w:type="dxa"/>
            <w:shd w:val="clear" w:color="auto" w:fill="DBE5F1" w:themeFill="accent1" w:themeFillTint="33"/>
            <w:vAlign w:val="center"/>
            <w:hideMark/>
          </w:tcPr>
          <w:p w14:paraId="013CAE40" w14:textId="01A9FDBA" w:rsidR="007B69D3" w:rsidRPr="00801E87" w:rsidRDefault="007B69D3" w:rsidP="007B69D3">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noProof/>
                <w:color w:val="000000"/>
                <w:spacing w:val="-8"/>
                <w:sz w:val="18"/>
                <w:szCs w:val="18"/>
                <w:lang w:val="es-ES" w:eastAsia="en-GB"/>
              </w:rPr>
            </w:pPr>
            <w:r w:rsidRPr="00801E87">
              <w:rPr>
                <w:rFonts w:asciiTheme="minorHAnsi" w:eastAsia="Times New Roman" w:hAnsiTheme="minorHAnsi" w:cstheme="minorHAnsi"/>
                <w:bCs w:val="0"/>
                <w:noProof/>
                <w:color w:val="000000"/>
                <w:spacing w:val="-8"/>
                <w:sz w:val="18"/>
                <w:szCs w:val="18"/>
                <w:lang w:val="es-ES" w:eastAsia="en-GB"/>
              </w:rPr>
              <w:t>De años anteriores</w:t>
            </w:r>
          </w:p>
        </w:tc>
        <w:tc>
          <w:tcPr>
            <w:tcW w:w="902" w:type="dxa"/>
            <w:shd w:val="clear" w:color="auto" w:fill="DBE5F1" w:themeFill="accent1" w:themeFillTint="33"/>
            <w:vAlign w:val="center"/>
            <w:hideMark/>
          </w:tcPr>
          <w:p w14:paraId="0FF5866C" w14:textId="3E0EA180" w:rsidR="007B69D3" w:rsidRPr="00801E87" w:rsidRDefault="000D1E19" w:rsidP="007B69D3">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noProof/>
                <w:color w:val="000000"/>
                <w:spacing w:val="-8"/>
                <w:sz w:val="18"/>
                <w:szCs w:val="18"/>
                <w:lang w:val="es-ES" w:eastAsia="en-GB"/>
              </w:rPr>
            </w:pPr>
            <w:r w:rsidRPr="00801E87">
              <w:rPr>
                <w:rFonts w:asciiTheme="minorHAnsi" w:eastAsia="Times New Roman" w:hAnsiTheme="minorHAnsi" w:cstheme="minorHAnsi"/>
                <w:bCs w:val="0"/>
                <w:noProof/>
                <w:color w:val="000000"/>
                <w:spacing w:val="-8"/>
                <w:sz w:val="18"/>
                <w:szCs w:val="18"/>
                <w:lang w:val="es-ES" w:eastAsia="en-GB"/>
              </w:rPr>
              <w:t>De</w:t>
            </w:r>
            <w:r w:rsidR="007B69D3" w:rsidRPr="00801E87">
              <w:rPr>
                <w:rFonts w:asciiTheme="minorHAnsi" w:eastAsia="Times New Roman" w:hAnsiTheme="minorHAnsi" w:cstheme="minorHAnsi"/>
                <w:bCs w:val="0"/>
                <w:noProof/>
                <w:color w:val="000000"/>
                <w:spacing w:val="-8"/>
                <w:sz w:val="18"/>
                <w:szCs w:val="18"/>
                <w:lang w:val="es-ES" w:eastAsia="en-GB"/>
              </w:rPr>
              <w:t xml:space="preserve"> 2021</w:t>
            </w:r>
          </w:p>
        </w:tc>
        <w:tc>
          <w:tcPr>
            <w:tcW w:w="902" w:type="dxa"/>
            <w:shd w:val="clear" w:color="auto" w:fill="DBE5F1" w:themeFill="accent1" w:themeFillTint="33"/>
            <w:vAlign w:val="center"/>
            <w:hideMark/>
          </w:tcPr>
          <w:p w14:paraId="5932A76A" w14:textId="44FFA34B" w:rsidR="007B69D3" w:rsidRPr="00801E87" w:rsidRDefault="000D1E19" w:rsidP="007B69D3">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noProof/>
                <w:color w:val="000000"/>
                <w:spacing w:val="-8"/>
                <w:sz w:val="18"/>
                <w:szCs w:val="18"/>
                <w:lang w:val="es-ES" w:eastAsia="en-GB"/>
              </w:rPr>
            </w:pPr>
            <w:r w:rsidRPr="00801E87">
              <w:rPr>
                <w:rFonts w:asciiTheme="minorHAnsi" w:eastAsia="Times New Roman" w:hAnsiTheme="minorHAnsi" w:cs="Arial"/>
                <w:bCs w:val="0"/>
                <w:noProof/>
                <w:color w:val="000000"/>
                <w:sz w:val="18"/>
                <w:szCs w:val="18"/>
                <w:lang w:val="es-ES" w:eastAsia="en-GB"/>
              </w:rPr>
              <w:t>Pagadas a cuenta de años futuros</w:t>
            </w:r>
          </w:p>
        </w:tc>
        <w:tc>
          <w:tcPr>
            <w:tcW w:w="902" w:type="dxa"/>
            <w:shd w:val="clear" w:color="auto" w:fill="DBE5F1" w:themeFill="accent1" w:themeFillTint="33"/>
            <w:vAlign w:val="center"/>
            <w:hideMark/>
          </w:tcPr>
          <w:p w14:paraId="074D6C1C" w14:textId="2E6AA04E" w:rsidR="007B69D3" w:rsidRPr="00801E87" w:rsidRDefault="000D1E19" w:rsidP="007B69D3">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noProof/>
                <w:color w:val="000000"/>
                <w:spacing w:val="-8"/>
                <w:sz w:val="18"/>
                <w:szCs w:val="18"/>
                <w:lang w:val="es-ES" w:eastAsia="en-GB"/>
              </w:rPr>
            </w:pPr>
            <w:r w:rsidRPr="00801E87">
              <w:rPr>
                <w:rFonts w:asciiTheme="minorHAnsi" w:eastAsia="Times New Roman" w:hAnsiTheme="minorHAnsi" w:cs="Arial"/>
                <w:bCs w:val="0"/>
                <w:noProof/>
                <w:color w:val="000000"/>
                <w:sz w:val="18"/>
                <w:szCs w:val="18"/>
                <w:lang w:val="es-ES" w:eastAsia="en-GB"/>
              </w:rPr>
              <w:t>Pendientes de pago de años anteriores</w:t>
            </w:r>
          </w:p>
        </w:tc>
        <w:tc>
          <w:tcPr>
            <w:tcW w:w="902" w:type="dxa"/>
            <w:shd w:val="clear" w:color="auto" w:fill="DBE5F1" w:themeFill="accent1" w:themeFillTint="33"/>
            <w:vAlign w:val="center"/>
            <w:hideMark/>
          </w:tcPr>
          <w:p w14:paraId="40391AD4" w14:textId="01AF91EC" w:rsidR="007B69D3" w:rsidRPr="00801E87" w:rsidRDefault="000D1E19" w:rsidP="007B69D3">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noProof/>
                <w:color w:val="000000"/>
                <w:spacing w:val="-8"/>
                <w:sz w:val="18"/>
                <w:szCs w:val="18"/>
                <w:lang w:val="es-ES" w:eastAsia="en-GB"/>
              </w:rPr>
            </w:pPr>
            <w:r w:rsidRPr="00801E87">
              <w:rPr>
                <w:rFonts w:asciiTheme="minorHAnsi" w:eastAsia="Times New Roman" w:hAnsiTheme="minorHAnsi" w:cstheme="minorHAnsi"/>
                <w:bCs w:val="0"/>
                <w:noProof/>
                <w:color w:val="000000"/>
                <w:spacing w:val="-8"/>
                <w:sz w:val="18"/>
                <w:szCs w:val="18"/>
                <w:lang w:val="es-ES" w:eastAsia="en-GB"/>
              </w:rPr>
              <w:t>Pendientes de pago de</w:t>
            </w:r>
            <w:r w:rsidR="007B69D3" w:rsidRPr="00801E87">
              <w:rPr>
                <w:rFonts w:asciiTheme="minorHAnsi" w:eastAsia="Times New Roman" w:hAnsiTheme="minorHAnsi" w:cstheme="minorHAnsi"/>
                <w:bCs w:val="0"/>
                <w:noProof/>
                <w:color w:val="000000"/>
                <w:spacing w:val="-8"/>
                <w:sz w:val="18"/>
                <w:szCs w:val="18"/>
                <w:lang w:val="es-ES" w:eastAsia="en-GB"/>
              </w:rPr>
              <w:t xml:space="preserve"> 2021</w:t>
            </w:r>
          </w:p>
        </w:tc>
        <w:tc>
          <w:tcPr>
            <w:tcW w:w="902" w:type="dxa"/>
            <w:shd w:val="clear" w:color="auto" w:fill="DBE5F1" w:themeFill="accent1" w:themeFillTint="33"/>
            <w:vAlign w:val="center"/>
            <w:hideMark/>
          </w:tcPr>
          <w:p w14:paraId="69C71ABE" w14:textId="230E9305" w:rsidR="007B69D3" w:rsidRPr="00801E87" w:rsidRDefault="000D1E19" w:rsidP="007B69D3">
            <w:pPr>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noProof/>
                <w:color w:val="000000"/>
                <w:spacing w:val="-8"/>
                <w:sz w:val="18"/>
                <w:szCs w:val="18"/>
                <w:lang w:val="es-ES" w:eastAsia="en-GB"/>
              </w:rPr>
            </w:pPr>
            <w:r w:rsidRPr="00801E87">
              <w:rPr>
                <w:rFonts w:asciiTheme="minorHAnsi" w:eastAsia="Times New Roman" w:hAnsiTheme="minorHAnsi" w:cstheme="minorHAnsi"/>
                <w:bCs w:val="0"/>
                <w:noProof/>
                <w:color w:val="000000"/>
                <w:spacing w:val="-8"/>
                <w:sz w:val="18"/>
                <w:szCs w:val="18"/>
                <w:lang w:val="es-ES" w:eastAsia="en-GB"/>
              </w:rPr>
              <w:t>Pagadas a cuenta de años futuros</w:t>
            </w:r>
          </w:p>
        </w:tc>
      </w:tr>
      <w:tr w:rsidR="00237543" w:rsidRPr="007D7B87" w14:paraId="3F0A353E"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39B80CA0"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Albania</w:t>
            </w:r>
          </w:p>
        </w:tc>
        <w:tc>
          <w:tcPr>
            <w:tcW w:w="901" w:type="dxa"/>
            <w:vAlign w:val="center"/>
            <w:hideMark/>
          </w:tcPr>
          <w:p w14:paraId="64C92420"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67 </w:t>
            </w:r>
          </w:p>
        </w:tc>
        <w:tc>
          <w:tcPr>
            <w:tcW w:w="901" w:type="dxa"/>
            <w:vAlign w:val="center"/>
            <w:hideMark/>
          </w:tcPr>
          <w:p w14:paraId="137BBCD7" w14:textId="28764A23"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0D083616"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F0FA364"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67 </w:t>
            </w:r>
          </w:p>
        </w:tc>
        <w:tc>
          <w:tcPr>
            <w:tcW w:w="902" w:type="dxa"/>
            <w:vAlign w:val="center"/>
            <w:hideMark/>
          </w:tcPr>
          <w:p w14:paraId="65FBEC0C" w14:textId="6DE400FB"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0C9B757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2F5CEF6"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B119BD1"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1D9382B6"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205E4D75"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05A95D0D"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Alemania</w:t>
            </w:r>
          </w:p>
        </w:tc>
        <w:tc>
          <w:tcPr>
            <w:tcW w:w="901" w:type="dxa"/>
            <w:vAlign w:val="center"/>
            <w:hideMark/>
          </w:tcPr>
          <w:p w14:paraId="4D6360D0"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7885E207" w14:textId="1C046E63"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298</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081 </w:t>
            </w:r>
          </w:p>
        </w:tc>
        <w:tc>
          <w:tcPr>
            <w:tcW w:w="901" w:type="dxa"/>
            <w:vAlign w:val="center"/>
            <w:hideMark/>
          </w:tcPr>
          <w:p w14:paraId="433D17E9"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9CB18BE"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F80F55C" w14:textId="6280B413"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298</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081 </w:t>
            </w:r>
          </w:p>
        </w:tc>
        <w:tc>
          <w:tcPr>
            <w:tcW w:w="902" w:type="dxa"/>
            <w:vAlign w:val="center"/>
            <w:hideMark/>
          </w:tcPr>
          <w:p w14:paraId="3151971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21D86C6"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1C82FB9"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57DBA539"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5DFC8652"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5CCE3B7F"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Andorra</w:t>
            </w:r>
          </w:p>
        </w:tc>
        <w:tc>
          <w:tcPr>
            <w:tcW w:w="901" w:type="dxa"/>
            <w:vAlign w:val="center"/>
            <w:hideMark/>
          </w:tcPr>
          <w:p w14:paraId="6ECD679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590C716F" w14:textId="6C2EC936"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4D689E2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187BDB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F86123D" w14:textId="020D9C52"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2576723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C07BF4E"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042F6B0"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03FEB89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7690F7B0"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3BB9CF3B"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 xml:space="preserve">Antigua </w:t>
            </w:r>
            <w:r>
              <w:rPr>
                <w:rFonts w:asciiTheme="minorHAnsi" w:eastAsia="Times New Roman" w:hAnsiTheme="minorHAnsi" w:cstheme="minorHAnsi"/>
                <w:b w:val="0"/>
                <w:bCs w:val="0"/>
                <w:noProof/>
                <w:color w:val="000000"/>
                <w:sz w:val="20"/>
                <w:szCs w:val="20"/>
                <w:lang w:val="es-ES" w:eastAsia="en-GB"/>
              </w:rPr>
              <w:t>y</w:t>
            </w:r>
            <w:r w:rsidRPr="007D7B87">
              <w:rPr>
                <w:rFonts w:asciiTheme="minorHAnsi" w:eastAsia="Times New Roman" w:hAnsiTheme="minorHAnsi" w:cstheme="minorHAnsi"/>
                <w:b w:val="0"/>
                <w:bCs w:val="0"/>
                <w:noProof/>
                <w:color w:val="000000"/>
                <w:sz w:val="20"/>
                <w:szCs w:val="20"/>
                <w:lang w:val="es-ES" w:eastAsia="en-GB"/>
              </w:rPr>
              <w:t xml:space="preserve"> Barbuda</w:t>
            </w:r>
          </w:p>
        </w:tc>
        <w:tc>
          <w:tcPr>
            <w:tcW w:w="901" w:type="dxa"/>
            <w:vAlign w:val="center"/>
            <w:hideMark/>
          </w:tcPr>
          <w:p w14:paraId="624FE34C" w14:textId="35638994"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13</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2DCFC4C9" w14:textId="44D4CEC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16BD1542"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EE54E5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DFAE60C"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D584C2D"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F6F30E4" w14:textId="298255CD"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13</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77B36CCC" w14:textId="27EBCC92"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3961C35F"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35DB0EF7"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327B1585"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Argelia</w:t>
            </w:r>
          </w:p>
        </w:tc>
        <w:tc>
          <w:tcPr>
            <w:tcW w:w="901" w:type="dxa"/>
            <w:hideMark/>
          </w:tcPr>
          <w:p w14:paraId="36F56F73"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1" w:type="dxa"/>
            <w:hideMark/>
          </w:tcPr>
          <w:p w14:paraId="00C16A58" w14:textId="3D7B2631"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6</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755 </w:t>
            </w:r>
          </w:p>
        </w:tc>
        <w:tc>
          <w:tcPr>
            <w:tcW w:w="901" w:type="dxa"/>
            <w:hideMark/>
          </w:tcPr>
          <w:p w14:paraId="1719641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hideMark/>
          </w:tcPr>
          <w:p w14:paraId="4421DA6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hideMark/>
          </w:tcPr>
          <w:p w14:paraId="61C4F6D9" w14:textId="78F0A5BC"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6</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755 </w:t>
            </w:r>
          </w:p>
        </w:tc>
        <w:tc>
          <w:tcPr>
            <w:tcW w:w="902" w:type="dxa"/>
            <w:hideMark/>
          </w:tcPr>
          <w:p w14:paraId="5C3EDF5D"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hideMark/>
          </w:tcPr>
          <w:p w14:paraId="730BC847"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hideMark/>
          </w:tcPr>
          <w:p w14:paraId="260F2F4D"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hideMark/>
          </w:tcPr>
          <w:p w14:paraId="2F9658D7"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r>
      <w:tr w:rsidR="00237543" w:rsidRPr="007D7B87" w14:paraId="7D822195"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2FD9F1EC"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Argentina</w:t>
            </w:r>
          </w:p>
        </w:tc>
        <w:tc>
          <w:tcPr>
            <w:tcW w:w="901" w:type="dxa"/>
            <w:vAlign w:val="center"/>
            <w:hideMark/>
          </w:tcPr>
          <w:p w14:paraId="5722BC8E" w14:textId="4C62EBA6"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89</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584 </w:t>
            </w:r>
          </w:p>
        </w:tc>
        <w:tc>
          <w:tcPr>
            <w:tcW w:w="901" w:type="dxa"/>
            <w:vAlign w:val="center"/>
            <w:hideMark/>
          </w:tcPr>
          <w:p w14:paraId="6AA87AE9" w14:textId="6613E30E"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44</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786 </w:t>
            </w:r>
          </w:p>
        </w:tc>
        <w:tc>
          <w:tcPr>
            <w:tcW w:w="901" w:type="dxa"/>
            <w:vAlign w:val="center"/>
            <w:hideMark/>
          </w:tcPr>
          <w:p w14:paraId="5C8028FD"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BB164C7" w14:textId="591796C2"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44</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798 </w:t>
            </w:r>
          </w:p>
        </w:tc>
        <w:tc>
          <w:tcPr>
            <w:tcW w:w="902" w:type="dxa"/>
            <w:vAlign w:val="center"/>
            <w:hideMark/>
          </w:tcPr>
          <w:p w14:paraId="1F73EB3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D13EE1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0A25A13" w14:textId="7D672B83"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44</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786 </w:t>
            </w:r>
          </w:p>
        </w:tc>
        <w:tc>
          <w:tcPr>
            <w:tcW w:w="902" w:type="dxa"/>
            <w:vAlign w:val="center"/>
            <w:hideMark/>
          </w:tcPr>
          <w:p w14:paraId="2F6663B2" w14:textId="02750B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44</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786 </w:t>
            </w:r>
          </w:p>
        </w:tc>
        <w:tc>
          <w:tcPr>
            <w:tcW w:w="902" w:type="dxa"/>
            <w:vAlign w:val="center"/>
            <w:hideMark/>
          </w:tcPr>
          <w:p w14:paraId="060B6082"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50D38378"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044F407A"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Armenia</w:t>
            </w:r>
          </w:p>
        </w:tc>
        <w:tc>
          <w:tcPr>
            <w:tcW w:w="901" w:type="dxa"/>
            <w:vAlign w:val="center"/>
            <w:hideMark/>
          </w:tcPr>
          <w:p w14:paraId="6F6938CC"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32B4D7F5" w14:textId="08268B6F"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5ECD9091"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F2FFE3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F386144" w14:textId="5F9B6AE9"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70F84D0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0AF47BB"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F5F8A1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6F41F7FC"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72F5DA3F"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5D67756C"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Australia</w:t>
            </w:r>
          </w:p>
        </w:tc>
        <w:tc>
          <w:tcPr>
            <w:tcW w:w="901" w:type="dxa"/>
            <w:vAlign w:val="center"/>
            <w:hideMark/>
          </w:tcPr>
          <w:p w14:paraId="6510A07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49E945E8" w14:textId="789760AC"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108</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171 </w:t>
            </w:r>
          </w:p>
        </w:tc>
        <w:tc>
          <w:tcPr>
            <w:tcW w:w="901" w:type="dxa"/>
            <w:vAlign w:val="center"/>
            <w:hideMark/>
          </w:tcPr>
          <w:p w14:paraId="152BAA1A" w14:textId="468D0B73"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108</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171 </w:t>
            </w:r>
          </w:p>
        </w:tc>
        <w:tc>
          <w:tcPr>
            <w:tcW w:w="902" w:type="dxa"/>
            <w:vAlign w:val="center"/>
            <w:hideMark/>
          </w:tcPr>
          <w:p w14:paraId="47297299"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C1E388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E6BE19F" w14:textId="295FC84D"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108</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071 </w:t>
            </w:r>
          </w:p>
        </w:tc>
        <w:tc>
          <w:tcPr>
            <w:tcW w:w="902" w:type="dxa"/>
            <w:vAlign w:val="center"/>
            <w:hideMark/>
          </w:tcPr>
          <w:p w14:paraId="1BBB6249"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EB655F8"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340D07ED" w14:textId="7B28ECA8"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108</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071 </w:t>
            </w:r>
          </w:p>
        </w:tc>
      </w:tr>
      <w:tr w:rsidR="00237543" w:rsidRPr="007D7B87" w14:paraId="43B4A4CE"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5CC2AA35"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Austria</w:t>
            </w:r>
          </w:p>
        </w:tc>
        <w:tc>
          <w:tcPr>
            <w:tcW w:w="901" w:type="dxa"/>
            <w:vAlign w:val="center"/>
            <w:hideMark/>
          </w:tcPr>
          <w:p w14:paraId="33088EE4"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6A5EA049" w14:textId="1DE02D10"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33</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136 </w:t>
            </w:r>
          </w:p>
        </w:tc>
        <w:tc>
          <w:tcPr>
            <w:tcW w:w="901" w:type="dxa"/>
            <w:vAlign w:val="center"/>
            <w:hideMark/>
          </w:tcPr>
          <w:p w14:paraId="4B37FA1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D8241F0"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9285826" w14:textId="3A4C271A"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33</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136 </w:t>
            </w:r>
          </w:p>
        </w:tc>
        <w:tc>
          <w:tcPr>
            <w:tcW w:w="902" w:type="dxa"/>
            <w:vAlign w:val="center"/>
            <w:hideMark/>
          </w:tcPr>
          <w:p w14:paraId="2BCA79FB"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1B6534D"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AA65E8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7B854BA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42B1C0DA" w14:textId="77777777" w:rsidTr="007B69D3">
        <w:trPr>
          <w:trHeight w:val="71"/>
        </w:trPr>
        <w:tc>
          <w:tcPr>
            <w:cnfStyle w:val="001000000000" w:firstRow="0" w:lastRow="0" w:firstColumn="1" w:lastColumn="0" w:oddVBand="0" w:evenVBand="0" w:oddHBand="0" w:evenHBand="0" w:firstRowFirstColumn="0" w:firstRowLastColumn="0" w:lastRowFirstColumn="0" w:lastRowLastColumn="0"/>
            <w:tcW w:w="2086" w:type="dxa"/>
            <w:noWrap/>
            <w:hideMark/>
          </w:tcPr>
          <w:p w14:paraId="042349FB"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Azerbai</w:t>
            </w:r>
            <w:r>
              <w:rPr>
                <w:rFonts w:asciiTheme="minorHAnsi" w:eastAsia="Times New Roman" w:hAnsiTheme="minorHAnsi" w:cstheme="minorHAnsi"/>
                <w:b w:val="0"/>
                <w:bCs w:val="0"/>
                <w:noProof/>
                <w:color w:val="000000"/>
                <w:sz w:val="20"/>
                <w:szCs w:val="20"/>
                <w:lang w:val="es-ES" w:eastAsia="en-GB"/>
              </w:rPr>
              <w:t>yá</w:t>
            </w:r>
            <w:r w:rsidRPr="007D7B87">
              <w:rPr>
                <w:rFonts w:asciiTheme="minorHAnsi" w:eastAsia="Times New Roman" w:hAnsiTheme="minorHAnsi" w:cstheme="minorHAnsi"/>
                <w:b w:val="0"/>
                <w:bCs w:val="0"/>
                <w:noProof/>
                <w:color w:val="000000"/>
                <w:sz w:val="20"/>
                <w:szCs w:val="20"/>
                <w:lang w:val="es-ES" w:eastAsia="en-GB"/>
              </w:rPr>
              <w:t>n</w:t>
            </w:r>
          </w:p>
        </w:tc>
        <w:tc>
          <w:tcPr>
            <w:tcW w:w="901" w:type="dxa"/>
            <w:vAlign w:val="center"/>
            <w:hideMark/>
          </w:tcPr>
          <w:p w14:paraId="58D9DF2D"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395395A5" w14:textId="03818B2E"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398 </w:t>
            </w:r>
          </w:p>
        </w:tc>
        <w:tc>
          <w:tcPr>
            <w:tcW w:w="901" w:type="dxa"/>
            <w:vAlign w:val="center"/>
            <w:hideMark/>
          </w:tcPr>
          <w:p w14:paraId="56A09BAE"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A8139A6"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A8D9488" w14:textId="71E0EC13"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398 </w:t>
            </w:r>
          </w:p>
        </w:tc>
        <w:tc>
          <w:tcPr>
            <w:tcW w:w="902" w:type="dxa"/>
            <w:vAlign w:val="center"/>
            <w:hideMark/>
          </w:tcPr>
          <w:p w14:paraId="24880F95"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2CA8972"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F07845F"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5E6E25EC"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03D8948D"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3840372C"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Bahamas</w:t>
            </w:r>
          </w:p>
        </w:tc>
        <w:tc>
          <w:tcPr>
            <w:tcW w:w="901" w:type="dxa"/>
            <w:vAlign w:val="center"/>
            <w:hideMark/>
          </w:tcPr>
          <w:p w14:paraId="129173DF" w14:textId="538259B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058 </w:t>
            </w:r>
          </w:p>
        </w:tc>
        <w:tc>
          <w:tcPr>
            <w:tcW w:w="901" w:type="dxa"/>
            <w:vAlign w:val="center"/>
            <w:hideMark/>
          </w:tcPr>
          <w:p w14:paraId="7116E02A" w14:textId="259BDC70"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15A2A744"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BF7A6DC" w14:textId="1746C805"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058 </w:t>
            </w:r>
          </w:p>
        </w:tc>
        <w:tc>
          <w:tcPr>
            <w:tcW w:w="902" w:type="dxa"/>
            <w:vAlign w:val="center"/>
            <w:hideMark/>
          </w:tcPr>
          <w:p w14:paraId="06C9008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825A370"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6FBF794"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B558DDC" w14:textId="3089A3ED"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6C2FE106"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11AD8AB4"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26C791F5"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Bahr</w:t>
            </w:r>
            <w:r>
              <w:rPr>
                <w:rFonts w:asciiTheme="minorHAnsi" w:eastAsia="Times New Roman" w:hAnsiTheme="minorHAnsi" w:cstheme="minorHAnsi"/>
                <w:b w:val="0"/>
                <w:bCs w:val="0"/>
                <w:noProof/>
                <w:color w:val="000000"/>
                <w:sz w:val="20"/>
                <w:szCs w:val="20"/>
                <w:lang w:val="es-ES" w:eastAsia="en-GB"/>
              </w:rPr>
              <w:t>e</w:t>
            </w:r>
            <w:r w:rsidRPr="007D7B87">
              <w:rPr>
                <w:rFonts w:asciiTheme="minorHAnsi" w:eastAsia="Times New Roman" w:hAnsiTheme="minorHAnsi" w:cstheme="minorHAnsi"/>
                <w:b w:val="0"/>
                <w:bCs w:val="0"/>
                <w:noProof/>
                <w:color w:val="000000"/>
                <w:sz w:val="20"/>
                <w:szCs w:val="20"/>
                <w:lang w:val="es-ES" w:eastAsia="en-GB"/>
              </w:rPr>
              <w:t>in</w:t>
            </w:r>
          </w:p>
        </w:tc>
        <w:tc>
          <w:tcPr>
            <w:tcW w:w="901" w:type="dxa"/>
            <w:vAlign w:val="center"/>
            <w:hideMark/>
          </w:tcPr>
          <w:p w14:paraId="51372856" w14:textId="7C8054D1"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447 </w:t>
            </w:r>
          </w:p>
        </w:tc>
        <w:tc>
          <w:tcPr>
            <w:tcW w:w="901" w:type="dxa"/>
            <w:vAlign w:val="center"/>
            <w:hideMark/>
          </w:tcPr>
          <w:p w14:paraId="4C135E42" w14:textId="3A28D5A2"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447 </w:t>
            </w:r>
          </w:p>
        </w:tc>
        <w:tc>
          <w:tcPr>
            <w:tcW w:w="901" w:type="dxa"/>
            <w:vAlign w:val="center"/>
            <w:hideMark/>
          </w:tcPr>
          <w:p w14:paraId="1E13DCD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B0C469F" w14:textId="34B1551A"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447 </w:t>
            </w:r>
          </w:p>
        </w:tc>
        <w:tc>
          <w:tcPr>
            <w:tcW w:w="902" w:type="dxa"/>
            <w:vAlign w:val="center"/>
            <w:hideMark/>
          </w:tcPr>
          <w:p w14:paraId="20FE4124" w14:textId="2310BBDB"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247 </w:t>
            </w:r>
          </w:p>
        </w:tc>
        <w:tc>
          <w:tcPr>
            <w:tcW w:w="902" w:type="dxa"/>
            <w:vAlign w:val="center"/>
            <w:hideMark/>
          </w:tcPr>
          <w:p w14:paraId="5515D3D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16C260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CFB0B31"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200 </w:t>
            </w:r>
          </w:p>
        </w:tc>
        <w:tc>
          <w:tcPr>
            <w:tcW w:w="902" w:type="dxa"/>
            <w:vAlign w:val="center"/>
            <w:hideMark/>
          </w:tcPr>
          <w:p w14:paraId="75E9494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601A4BEE"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49AEE7BE"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Bangladesh</w:t>
            </w:r>
          </w:p>
        </w:tc>
        <w:tc>
          <w:tcPr>
            <w:tcW w:w="901" w:type="dxa"/>
            <w:vAlign w:val="center"/>
            <w:hideMark/>
          </w:tcPr>
          <w:p w14:paraId="55FD4162" w14:textId="27B1BEF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6FC232E0" w14:textId="03E8C302"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0826B94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09DD27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19F4577"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638CF34"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C71EA17" w14:textId="4115F3A0"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292E32EC" w14:textId="0C3F139E"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6C6454E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77DF7DA8"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6BDFC8D8"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Barbados</w:t>
            </w:r>
          </w:p>
        </w:tc>
        <w:tc>
          <w:tcPr>
            <w:tcW w:w="901" w:type="dxa"/>
            <w:vAlign w:val="center"/>
            <w:hideMark/>
          </w:tcPr>
          <w:p w14:paraId="0328E91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5382593D" w14:textId="3C5FC071"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4AA6631C"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C3513DE"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B481EAA" w14:textId="385F2759"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28CD32B5"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31F0026"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755AD10"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6CDD10EE"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45196618"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53E49855"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Belar</w:t>
            </w:r>
            <w:r>
              <w:rPr>
                <w:rFonts w:asciiTheme="minorHAnsi" w:eastAsia="Times New Roman" w:hAnsiTheme="minorHAnsi" w:cstheme="minorHAnsi"/>
                <w:b w:val="0"/>
                <w:bCs w:val="0"/>
                <w:noProof/>
                <w:color w:val="000000"/>
                <w:sz w:val="20"/>
                <w:szCs w:val="20"/>
                <w:lang w:val="es-ES" w:eastAsia="en-GB"/>
              </w:rPr>
              <w:t>ús</w:t>
            </w:r>
          </w:p>
        </w:tc>
        <w:tc>
          <w:tcPr>
            <w:tcW w:w="901" w:type="dxa"/>
            <w:vAlign w:val="center"/>
            <w:hideMark/>
          </w:tcPr>
          <w:p w14:paraId="03B4C9ED"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49B342CB" w14:textId="6E7D239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398 </w:t>
            </w:r>
          </w:p>
        </w:tc>
        <w:tc>
          <w:tcPr>
            <w:tcW w:w="901" w:type="dxa"/>
            <w:vAlign w:val="center"/>
            <w:hideMark/>
          </w:tcPr>
          <w:p w14:paraId="7D163A56"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8C8F837"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0E7434D" w14:textId="7EFE6036"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398 </w:t>
            </w:r>
          </w:p>
        </w:tc>
        <w:tc>
          <w:tcPr>
            <w:tcW w:w="902" w:type="dxa"/>
            <w:vAlign w:val="center"/>
            <w:hideMark/>
          </w:tcPr>
          <w:p w14:paraId="330DBB56"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0D8AE5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3A4AF6D"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5FEA931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69EB073F"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7A6E7BE9"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Bélgica</w:t>
            </w:r>
          </w:p>
        </w:tc>
        <w:tc>
          <w:tcPr>
            <w:tcW w:w="901" w:type="dxa"/>
            <w:vAlign w:val="center"/>
            <w:hideMark/>
          </w:tcPr>
          <w:p w14:paraId="7B9487A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0C246AEF" w14:textId="378551B1"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40</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185 </w:t>
            </w:r>
          </w:p>
        </w:tc>
        <w:tc>
          <w:tcPr>
            <w:tcW w:w="901" w:type="dxa"/>
            <w:vAlign w:val="center"/>
            <w:hideMark/>
          </w:tcPr>
          <w:p w14:paraId="6C2709E5"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0B38370"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1C6333B" w14:textId="4402B0C9"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40</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185 </w:t>
            </w:r>
          </w:p>
        </w:tc>
        <w:tc>
          <w:tcPr>
            <w:tcW w:w="902" w:type="dxa"/>
            <w:vAlign w:val="center"/>
            <w:hideMark/>
          </w:tcPr>
          <w:p w14:paraId="5BA84C9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28EA43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53E41F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1074BFB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4D977F74"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7881F831"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Beli</w:t>
            </w:r>
            <w:r>
              <w:rPr>
                <w:rFonts w:asciiTheme="minorHAnsi" w:eastAsia="Times New Roman" w:hAnsiTheme="minorHAnsi" w:cstheme="minorHAnsi"/>
                <w:b w:val="0"/>
                <w:bCs w:val="0"/>
                <w:noProof/>
                <w:color w:val="000000"/>
                <w:sz w:val="20"/>
                <w:szCs w:val="20"/>
                <w:lang w:val="es-ES" w:eastAsia="en-GB"/>
              </w:rPr>
              <w:t>c</w:t>
            </w:r>
            <w:r w:rsidRPr="007D7B87">
              <w:rPr>
                <w:rFonts w:asciiTheme="minorHAnsi" w:eastAsia="Times New Roman" w:hAnsiTheme="minorHAnsi" w:cstheme="minorHAnsi"/>
                <w:b w:val="0"/>
                <w:bCs w:val="0"/>
                <w:noProof/>
                <w:color w:val="000000"/>
                <w:sz w:val="20"/>
                <w:szCs w:val="20"/>
                <w:lang w:val="es-ES" w:eastAsia="en-GB"/>
              </w:rPr>
              <w:t>e</w:t>
            </w:r>
          </w:p>
        </w:tc>
        <w:tc>
          <w:tcPr>
            <w:tcW w:w="901" w:type="dxa"/>
            <w:vAlign w:val="center"/>
            <w:hideMark/>
          </w:tcPr>
          <w:p w14:paraId="2D1B56C1" w14:textId="0BC5DBAF"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9</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0CDBF3C5" w14:textId="77853814"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6D23953F"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9217313"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34843A4"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657DD11"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3C8C3FE" w14:textId="4888B60D"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9</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5813D9EA" w14:textId="4AF2E55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0C9BBC67"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52DB80DB"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48015C48"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Benin</w:t>
            </w:r>
          </w:p>
        </w:tc>
        <w:tc>
          <w:tcPr>
            <w:tcW w:w="901" w:type="dxa"/>
            <w:vAlign w:val="center"/>
            <w:hideMark/>
          </w:tcPr>
          <w:p w14:paraId="773E1982" w14:textId="54233262"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24658AE3" w14:textId="66B5888E"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668DE74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CEE6D3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1E038A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1E98979"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74BD301" w14:textId="29EB85AD"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12EAA45C" w14:textId="3CEC0D12"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4EB00C7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295EB971"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49EB37E9"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Bhut</w:t>
            </w:r>
            <w:r>
              <w:rPr>
                <w:rFonts w:asciiTheme="minorHAnsi" w:eastAsia="Times New Roman" w:hAnsiTheme="minorHAnsi" w:cstheme="minorHAnsi"/>
                <w:b w:val="0"/>
                <w:bCs w:val="0"/>
                <w:noProof/>
                <w:color w:val="000000"/>
                <w:sz w:val="20"/>
                <w:szCs w:val="20"/>
                <w:lang w:val="es-ES" w:eastAsia="en-GB"/>
              </w:rPr>
              <w:t>á</w:t>
            </w:r>
            <w:r w:rsidRPr="007D7B87">
              <w:rPr>
                <w:rFonts w:asciiTheme="minorHAnsi" w:eastAsia="Times New Roman" w:hAnsiTheme="minorHAnsi" w:cstheme="minorHAnsi"/>
                <w:b w:val="0"/>
                <w:bCs w:val="0"/>
                <w:noProof/>
                <w:color w:val="000000"/>
                <w:sz w:val="20"/>
                <w:szCs w:val="20"/>
                <w:lang w:val="es-ES" w:eastAsia="en-GB"/>
              </w:rPr>
              <w:t>n</w:t>
            </w:r>
          </w:p>
        </w:tc>
        <w:tc>
          <w:tcPr>
            <w:tcW w:w="901" w:type="dxa"/>
            <w:vAlign w:val="center"/>
            <w:hideMark/>
          </w:tcPr>
          <w:p w14:paraId="5FCCC421" w14:textId="0C308F26"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4D8D01B3" w14:textId="4697896D"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3587167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A754599" w14:textId="4D66E325"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1FFBAFD0" w14:textId="43ECEA49"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15947F01"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CD904EE"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C9F07D0"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6BFB7906"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273B3BCE"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31FCEB02"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Bolivia (</w:t>
            </w:r>
            <w:r>
              <w:rPr>
                <w:rFonts w:asciiTheme="minorHAnsi" w:eastAsia="Times New Roman" w:hAnsiTheme="minorHAnsi" w:cstheme="minorHAnsi"/>
                <w:b w:val="0"/>
                <w:bCs w:val="0"/>
                <w:noProof/>
                <w:color w:val="000000"/>
                <w:sz w:val="20"/>
                <w:szCs w:val="20"/>
                <w:lang w:val="es-ES" w:eastAsia="en-GB"/>
              </w:rPr>
              <w:t>Estados Plurinacional de</w:t>
            </w:r>
            <w:r w:rsidRPr="007D7B87">
              <w:rPr>
                <w:rFonts w:asciiTheme="minorHAnsi" w:eastAsia="Times New Roman" w:hAnsiTheme="minorHAnsi" w:cstheme="minorHAnsi"/>
                <w:b w:val="0"/>
                <w:bCs w:val="0"/>
                <w:noProof/>
                <w:color w:val="000000"/>
                <w:sz w:val="20"/>
                <w:szCs w:val="20"/>
                <w:lang w:val="es-ES" w:eastAsia="en-GB"/>
              </w:rPr>
              <w:t>)</w:t>
            </w:r>
          </w:p>
        </w:tc>
        <w:tc>
          <w:tcPr>
            <w:tcW w:w="901" w:type="dxa"/>
            <w:vAlign w:val="center"/>
            <w:hideMark/>
          </w:tcPr>
          <w:p w14:paraId="4ED08617" w14:textId="4EAEB506"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30B4FC72" w14:textId="48EBDC62"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2A455DF5"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23250DA" w14:textId="10C5851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1F5494A9"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AD7EC9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89C247D" w14:textId="0D8CA98A"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39309BC3" w14:textId="1E4B6A62"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18D4653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72B3C0C1"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2672255B"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 xml:space="preserve">Bosnia </w:t>
            </w:r>
            <w:r>
              <w:rPr>
                <w:rFonts w:asciiTheme="minorHAnsi" w:eastAsia="Times New Roman" w:hAnsiTheme="minorHAnsi" w:cstheme="minorHAnsi"/>
                <w:b w:val="0"/>
                <w:bCs w:val="0"/>
                <w:noProof/>
                <w:color w:val="000000"/>
                <w:sz w:val="20"/>
                <w:szCs w:val="20"/>
                <w:lang w:val="es-ES" w:eastAsia="en-GB"/>
              </w:rPr>
              <w:t>y</w:t>
            </w:r>
            <w:r w:rsidRPr="007D7B87">
              <w:rPr>
                <w:rFonts w:asciiTheme="minorHAnsi" w:eastAsia="Times New Roman" w:hAnsiTheme="minorHAnsi" w:cstheme="minorHAnsi"/>
                <w:b w:val="0"/>
                <w:bCs w:val="0"/>
                <w:noProof/>
                <w:color w:val="000000"/>
                <w:sz w:val="20"/>
                <w:szCs w:val="20"/>
                <w:lang w:val="es-ES" w:eastAsia="en-GB"/>
              </w:rPr>
              <w:t xml:space="preserve"> Herzegovina</w:t>
            </w:r>
          </w:p>
        </w:tc>
        <w:tc>
          <w:tcPr>
            <w:tcW w:w="901" w:type="dxa"/>
            <w:vAlign w:val="center"/>
            <w:hideMark/>
          </w:tcPr>
          <w:p w14:paraId="040FCD8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6D4C9A18" w14:textId="7EF7EEDD"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2EC073B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8233993"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A6481EF"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CD99D3E"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372312F"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ED5B3DD" w14:textId="21FEE25D"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2761EC5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41D5F8DB"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74F6AA71"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Botswana</w:t>
            </w:r>
          </w:p>
        </w:tc>
        <w:tc>
          <w:tcPr>
            <w:tcW w:w="901" w:type="dxa"/>
            <w:vAlign w:val="center"/>
            <w:hideMark/>
          </w:tcPr>
          <w:p w14:paraId="35F5947B" w14:textId="63ECA524"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294E0E06" w14:textId="6C2FF5B4"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327CBFC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6D595E5" w14:textId="0A921D4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7AE46E45" w14:textId="3B7A87C3"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2867457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CE12F4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5DF044C"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57B47AC0"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253D3FF3"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48B8D2FC"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Bra</w:t>
            </w:r>
            <w:r>
              <w:rPr>
                <w:rFonts w:asciiTheme="minorHAnsi" w:eastAsia="Times New Roman" w:hAnsiTheme="minorHAnsi" w:cstheme="minorHAnsi"/>
                <w:b w:val="0"/>
                <w:bCs w:val="0"/>
                <w:noProof/>
                <w:color w:val="000000"/>
                <w:sz w:val="20"/>
                <w:szCs w:val="20"/>
                <w:lang w:val="es-ES" w:eastAsia="en-GB"/>
              </w:rPr>
              <w:t>s</w:t>
            </w:r>
            <w:r w:rsidRPr="007D7B87">
              <w:rPr>
                <w:rFonts w:asciiTheme="minorHAnsi" w:eastAsia="Times New Roman" w:hAnsiTheme="minorHAnsi" w:cstheme="minorHAnsi"/>
                <w:b w:val="0"/>
                <w:bCs w:val="0"/>
                <w:noProof/>
                <w:color w:val="000000"/>
                <w:sz w:val="20"/>
                <w:szCs w:val="20"/>
                <w:lang w:val="es-ES" w:eastAsia="en-GB"/>
              </w:rPr>
              <w:t>il</w:t>
            </w:r>
          </w:p>
        </w:tc>
        <w:tc>
          <w:tcPr>
            <w:tcW w:w="901" w:type="dxa"/>
            <w:vAlign w:val="center"/>
            <w:hideMark/>
          </w:tcPr>
          <w:p w14:paraId="7582D6D3" w14:textId="17A768A8"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288</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625 </w:t>
            </w:r>
          </w:p>
        </w:tc>
        <w:tc>
          <w:tcPr>
            <w:tcW w:w="901" w:type="dxa"/>
            <w:vAlign w:val="center"/>
            <w:hideMark/>
          </w:tcPr>
          <w:p w14:paraId="37784F38" w14:textId="5AA5E606"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144</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293 </w:t>
            </w:r>
          </w:p>
        </w:tc>
        <w:tc>
          <w:tcPr>
            <w:tcW w:w="901" w:type="dxa"/>
            <w:vAlign w:val="center"/>
            <w:hideMark/>
          </w:tcPr>
          <w:p w14:paraId="1D83E6D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83BBB97" w14:textId="3E421D75"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288</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625 </w:t>
            </w:r>
          </w:p>
        </w:tc>
        <w:tc>
          <w:tcPr>
            <w:tcW w:w="902" w:type="dxa"/>
            <w:vAlign w:val="center"/>
            <w:hideMark/>
          </w:tcPr>
          <w:p w14:paraId="569888DD"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4C76D8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1C2062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B72B06D" w14:textId="4C717B99"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144</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293 </w:t>
            </w:r>
          </w:p>
        </w:tc>
        <w:tc>
          <w:tcPr>
            <w:tcW w:w="902" w:type="dxa"/>
            <w:vAlign w:val="center"/>
            <w:hideMark/>
          </w:tcPr>
          <w:p w14:paraId="29E73086"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4ECF7221"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39CB1AC1"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Bulgaria</w:t>
            </w:r>
          </w:p>
        </w:tc>
        <w:tc>
          <w:tcPr>
            <w:tcW w:w="901" w:type="dxa"/>
            <w:vAlign w:val="center"/>
            <w:hideMark/>
          </w:tcPr>
          <w:p w14:paraId="3FCE30E9"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64372978" w14:textId="5766CC3A"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252 </w:t>
            </w:r>
          </w:p>
        </w:tc>
        <w:tc>
          <w:tcPr>
            <w:tcW w:w="901" w:type="dxa"/>
            <w:vAlign w:val="center"/>
            <w:hideMark/>
          </w:tcPr>
          <w:p w14:paraId="333EBDB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901804F"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9A41438" w14:textId="5D1EA6D3"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252 </w:t>
            </w:r>
          </w:p>
        </w:tc>
        <w:tc>
          <w:tcPr>
            <w:tcW w:w="902" w:type="dxa"/>
            <w:vAlign w:val="center"/>
            <w:hideMark/>
          </w:tcPr>
          <w:p w14:paraId="46A860B1"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492308E"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75D91A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1BA973E2"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5BED30D6"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075A2B57"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Burkina Faso</w:t>
            </w:r>
          </w:p>
        </w:tc>
        <w:tc>
          <w:tcPr>
            <w:tcW w:w="901" w:type="dxa"/>
            <w:vAlign w:val="center"/>
            <w:hideMark/>
          </w:tcPr>
          <w:p w14:paraId="293D69CB" w14:textId="2C36FBA1"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824 </w:t>
            </w:r>
          </w:p>
        </w:tc>
        <w:tc>
          <w:tcPr>
            <w:tcW w:w="901" w:type="dxa"/>
            <w:vAlign w:val="center"/>
            <w:hideMark/>
          </w:tcPr>
          <w:p w14:paraId="34106BA3" w14:textId="0344850F"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74FE0C5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12CC51E"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D92E37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72C543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AA6DC75" w14:textId="0BCC52A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824 </w:t>
            </w:r>
          </w:p>
        </w:tc>
        <w:tc>
          <w:tcPr>
            <w:tcW w:w="902" w:type="dxa"/>
            <w:vAlign w:val="center"/>
            <w:hideMark/>
          </w:tcPr>
          <w:p w14:paraId="3E642342" w14:textId="5AB8585B"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22A98201"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6BB73468"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35775EBB"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Burundi</w:t>
            </w:r>
          </w:p>
        </w:tc>
        <w:tc>
          <w:tcPr>
            <w:tcW w:w="901" w:type="dxa"/>
            <w:vAlign w:val="center"/>
            <w:hideMark/>
          </w:tcPr>
          <w:p w14:paraId="3F79EF5F" w14:textId="5DF12CF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6</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151 </w:t>
            </w:r>
          </w:p>
        </w:tc>
        <w:tc>
          <w:tcPr>
            <w:tcW w:w="901" w:type="dxa"/>
            <w:vAlign w:val="center"/>
            <w:hideMark/>
          </w:tcPr>
          <w:p w14:paraId="43E0D545" w14:textId="0B57D480"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2362960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8225BD8"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92A240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0B49048"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A100A7A" w14:textId="1F3B9BC0"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6</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151 </w:t>
            </w:r>
          </w:p>
        </w:tc>
        <w:tc>
          <w:tcPr>
            <w:tcW w:w="902" w:type="dxa"/>
            <w:vAlign w:val="center"/>
            <w:hideMark/>
          </w:tcPr>
          <w:p w14:paraId="246EA883" w14:textId="4EF6181E"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44437A4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444DC9A2"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6E627D94"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Cabo Verde</w:t>
            </w:r>
          </w:p>
        </w:tc>
        <w:tc>
          <w:tcPr>
            <w:tcW w:w="901" w:type="dxa"/>
            <w:vAlign w:val="center"/>
            <w:hideMark/>
          </w:tcPr>
          <w:p w14:paraId="53788416" w14:textId="1D7391EF"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15</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51701A6E" w14:textId="527B8D3A"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54B2D104"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B09653C"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27DA661"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964D38C"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C146272" w14:textId="52DB84D5"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15</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35119F48" w14:textId="3A262DDD"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00186E5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73129ED3"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773D375F"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Cambo</w:t>
            </w:r>
            <w:r>
              <w:rPr>
                <w:rFonts w:asciiTheme="minorHAnsi" w:eastAsia="Times New Roman" w:hAnsiTheme="minorHAnsi" w:cstheme="minorHAnsi"/>
                <w:b w:val="0"/>
                <w:bCs w:val="0"/>
                <w:noProof/>
                <w:color w:val="000000"/>
                <w:sz w:val="20"/>
                <w:szCs w:val="20"/>
                <w:lang w:val="es-ES" w:eastAsia="en-GB"/>
              </w:rPr>
              <w:t>y</w:t>
            </w:r>
            <w:r w:rsidRPr="007D7B87">
              <w:rPr>
                <w:rFonts w:asciiTheme="minorHAnsi" w:eastAsia="Times New Roman" w:hAnsiTheme="minorHAnsi" w:cstheme="minorHAnsi"/>
                <w:b w:val="0"/>
                <w:bCs w:val="0"/>
                <w:noProof/>
                <w:color w:val="000000"/>
                <w:sz w:val="20"/>
                <w:szCs w:val="20"/>
                <w:lang w:val="es-ES" w:eastAsia="en-GB"/>
              </w:rPr>
              <w:t>a</w:t>
            </w:r>
          </w:p>
        </w:tc>
        <w:tc>
          <w:tcPr>
            <w:tcW w:w="901" w:type="dxa"/>
            <w:vAlign w:val="center"/>
            <w:hideMark/>
          </w:tcPr>
          <w:p w14:paraId="02823818" w14:textId="340CB53C"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58AE9881" w14:textId="7899CDE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3D1D780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E91F231"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005193E"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EA6386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9CE1823" w14:textId="3D8DCAC4"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5280DF50" w14:textId="7733DC73"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3503EFC8"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604542AF"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2C63F652"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Camer</w:t>
            </w:r>
            <w:r>
              <w:rPr>
                <w:rFonts w:asciiTheme="minorHAnsi" w:eastAsia="Times New Roman" w:hAnsiTheme="minorHAnsi" w:cstheme="minorHAnsi"/>
                <w:b w:val="0"/>
                <w:bCs w:val="0"/>
                <w:noProof/>
                <w:color w:val="000000"/>
                <w:sz w:val="20"/>
                <w:szCs w:val="20"/>
                <w:lang w:val="es-ES" w:eastAsia="en-GB"/>
              </w:rPr>
              <w:t>ú</w:t>
            </w:r>
            <w:r w:rsidRPr="007D7B87">
              <w:rPr>
                <w:rFonts w:asciiTheme="minorHAnsi" w:eastAsia="Times New Roman" w:hAnsiTheme="minorHAnsi" w:cstheme="minorHAnsi"/>
                <w:b w:val="0"/>
                <w:bCs w:val="0"/>
                <w:noProof/>
                <w:color w:val="000000"/>
                <w:sz w:val="20"/>
                <w:szCs w:val="20"/>
                <w:lang w:val="es-ES" w:eastAsia="en-GB"/>
              </w:rPr>
              <w:t>n</w:t>
            </w:r>
          </w:p>
        </w:tc>
        <w:tc>
          <w:tcPr>
            <w:tcW w:w="901" w:type="dxa"/>
            <w:vAlign w:val="center"/>
            <w:hideMark/>
          </w:tcPr>
          <w:p w14:paraId="11ED7066" w14:textId="74369AD5"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9</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247 </w:t>
            </w:r>
          </w:p>
        </w:tc>
        <w:tc>
          <w:tcPr>
            <w:tcW w:w="901" w:type="dxa"/>
            <w:vAlign w:val="center"/>
            <w:hideMark/>
          </w:tcPr>
          <w:p w14:paraId="5CFDACE7" w14:textId="165837F3"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0ADF0E6F"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A397D1C"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A816B44"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1FD1693"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557DD71" w14:textId="7D835AE2"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9</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247 </w:t>
            </w:r>
          </w:p>
        </w:tc>
        <w:tc>
          <w:tcPr>
            <w:tcW w:w="902" w:type="dxa"/>
            <w:vAlign w:val="center"/>
            <w:hideMark/>
          </w:tcPr>
          <w:p w14:paraId="46D7224D" w14:textId="199BA99F"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464BAD54"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29C27994"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5C1C253D"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Canad</w:t>
            </w:r>
            <w:r>
              <w:rPr>
                <w:rFonts w:asciiTheme="minorHAnsi" w:eastAsia="Times New Roman" w:hAnsiTheme="minorHAnsi" w:cstheme="minorHAnsi"/>
                <w:b w:val="0"/>
                <w:bCs w:val="0"/>
                <w:noProof/>
                <w:color w:val="000000"/>
                <w:sz w:val="20"/>
                <w:szCs w:val="20"/>
                <w:lang w:val="es-ES" w:eastAsia="en-GB"/>
              </w:rPr>
              <w:t>á</w:t>
            </w:r>
          </w:p>
        </w:tc>
        <w:tc>
          <w:tcPr>
            <w:tcW w:w="901" w:type="dxa"/>
            <w:vAlign w:val="center"/>
            <w:hideMark/>
          </w:tcPr>
          <w:p w14:paraId="3ECD840E"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6D4FE054" w14:textId="0586621D"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133</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818 </w:t>
            </w:r>
          </w:p>
        </w:tc>
        <w:tc>
          <w:tcPr>
            <w:tcW w:w="901" w:type="dxa"/>
            <w:vAlign w:val="center"/>
            <w:hideMark/>
          </w:tcPr>
          <w:p w14:paraId="2C5DEF27" w14:textId="24E61B9D"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155</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442 </w:t>
            </w:r>
          </w:p>
        </w:tc>
        <w:tc>
          <w:tcPr>
            <w:tcW w:w="902" w:type="dxa"/>
            <w:vAlign w:val="center"/>
            <w:hideMark/>
          </w:tcPr>
          <w:p w14:paraId="2AAC6FB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4471421"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5DBFC7F" w14:textId="5BDDE5F4"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134</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845 </w:t>
            </w:r>
          </w:p>
        </w:tc>
        <w:tc>
          <w:tcPr>
            <w:tcW w:w="902" w:type="dxa"/>
            <w:vAlign w:val="center"/>
            <w:hideMark/>
          </w:tcPr>
          <w:p w14:paraId="03726B0F"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781C689"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28AA566E" w14:textId="2140A209"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156</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469 </w:t>
            </w:r>
          </w:p>
        </w:tc>
      </w:tr>
      <w:tr w:rsidR="00237543" w:rsidRPr="007D7B87" w14:paraId="2F209516"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24BEDE69"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Chad</w:t>
            </w:r>
          </w:p>
        </w:tc>
        <w:tc>
          <w:tcPr>
            <w:tcW w:w="901" w:type="dxa"/>
            <w:vAlign w:val="center"/>
            <w:hideMark/>
          </w:tcPr>
          <w:p w14:paraId="49672C1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155 </w:t>
            </w:r>
          </w:p>
        </w:tc>
        <w:tc>
          <w:tcPr>
            <w:tcW w:w="901" w:type="dxa"/>
            <w:vAlign w:val="center"/>
            <w:hideMark/>
          </w:tcPr>
          <w:p w14:paraId="16139FA4" w14:textId="3BB781C2"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09E000EB"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18FDC8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70C513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E94253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46462FB"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155 </w:t>
            </w:r>
          </w:p>
        </w:tc>
        <w:tc>
          <w:tcPr>
            <w:tcW w:w="902" w:type="dxa"/>
            <w:vAlign w:val="center"/>
            <w:hideMark/>
          </w:tcPr>
          <w:p w14:paraId="5A36136B" w14:textId="4F147571"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6793E0B6"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169050F6" w14:textId="77777777" w:rsidTr="009D564B">
        <w:tc>
          <w:tcPr>
            <w:cnfStyle w:val="001000000000" w:firstRow="0" w:lastRow="0" w:firstColumn="1" w:lastColumn="0" w:oddVBand="0" w:evenVBand="0" w:oddHBand="0" w:evenHBand="0" w:firstRowFirstColumn="0" w:firstRowLastColumn="0" w:lastRowFirstColumn="0" w:lastRowLastColumn="0"/>
            <w:tcW w:w="2086" w:type="dxa"/>
            <w:noWrap/>
            <w:hideMark/>
          </w:tcPr>
          <w:p w14:paraId="3C86D614" w14:textId="77777777" w:rsidR="00505118" w:rsidRPr="007D7B87" w:rsidRDefault="00505118" w:rsidP="009D564B">
            <w:pPr>
              <w:ind w:left="0" w:firstLine="0"/>
              <w:rPr>
                <w:rFonts w:asciiTheme="minorHAnsi" w:eastAsia="Times New Roman" w:hAnsiTheme="minorHAnsi" w:cstheme="minorHAnsi"/>
                <w:b w:val="0"/>
                <w:bCs w:val="0"/>
                <w:noProof/>
                <w:color w:val="000000"/>
                <w:sz w:val="20"/>
                <w:szCs w:val="20"/>
                <w:lang w:val="es-ES" w:eastAsia="en-GB"/>
              </w:rPr>
            </w:pPr>
            <w:r w:rsidRPr="00505118">
              <w:rPr>
                <w:rFonts w:asciiTheme="minorHAnsi" w:eastAsia="Times New Roman" w:hAnsiTheme="minorHAnsi" w:cstheme="minorHAnsi"/>
                <w:b w:val="0"/>
                <w:bCs w:val="0"/>
                <w:noProof/>
                <w:color w:val="000000"/>
                <w:sz w:val="20"/>
                <w:szCs w:val="20"/>
                <w:lang w:val="es-ES" w:eastAsia="en-GB"/>
              </w:rPr>
              <w:t>Chequia</w:t>
            </w:r>
          </w:p>
        </w:tc>
        <w:tc>
          <w:tcPr>
            <w:tcW w:w="901" w:type="dxa"/>
            <w:vAlign w:val="center"/>
            <w:hideMark/>
          </w:tcPr>
          <w:p w14:paraId="1BCF9DA0" w14:textId="77777777" w:rsidR="00505118" w:rsidRPr="007D7B87" w:rsidRDefault="00505118" w:rsidP="009D564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06DECD3C" w14:textId="77777777" w:rsidR="00505118" w:rsidRPr="007D7B87" w:rsidRDefault="00505118" w:rsidP="009D564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15</w:t>
            </w:r>
            <w:r>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222 </w:t>
            </w:r>
          </w:p>
        </w:tc>
        <w:tc>
          <w:tcPr>
            <w:tcW w:w="901" w:type="dxa"/>
            <w:vAlign w:val="center"/>
            <w:hideMark/>
          </w:tcPr>
          <w:p w14:paraId="2C741C90" w14:textId="77777777" w:rsidR="00505118" w:rsidRPr="007D7B87" w:rsidRDefault="00505118" w:rsidP="009D564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15</w:t>
            </w:r>
            <w:r>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222 </w:t>
            </w:r>
          </w:p>
        </w:tc>
        <w:tc>
          <w:tcPr>
            <w:tcW w:w="902" w:type="dxa"/>
            <w:vAlign w:val="center"/>
            <w:hideMark/>
          </w:tcPr>
          <w:p w14:paraId="7D7888C4" w14:textId="77777777" w:rsidR="00505118" w:rsidRPr="007D7B87" w:rsidRDefault="00505118" w:rsidP="009D564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423B9D9" w14:textId="77777777" w:rsidR="00505118" w:rsidRPr="007D7B87" w:rsidRDefault="00505118" w:rsidP="009D564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99D6A03" w14:textId="77777777" w:rsidR="00505118" w:rsidRPr="007D7B87" w:rsidRDefault="00505118" w:rsidP="009D564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15</w:t>
            </w:r>
            <w:r>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218 </w:t>
            </w:r>
          </w:p>
        </w:tc>
        <w:tc>
          <w:tcPr>
            <w:tcW w:w="902" w:type="dxa"/>
            <w:vAlign w:val="center"/>
            <w:hideMark/>
          </w:tcPr>
          <w:p w14:paraId="66F8C70F" w14:textId="77777777" w:rsidR="00505118" w:rsidRPr="007D7B87" w:rsidRDefault="00505118" w:rsidP="009D564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0F97FB6" w14:textId="77777777" w:rsidR="00505118" w:rsidRPr="007D7B87" w:rsidRDefault="00505118" w:rsidP="009D564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EA54D39" w14:textId="77777777" w:rsidR="00505118" w:rsidRPr="007D7B87" w:rsidRDefault="00505118" w:rsidP="009D564B">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15</w:t>
            </w:r>
            <w:r>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218 </w:t>
            </w:r>
          </w:p>
        </w:tc>
      </w:tr>
      <w:tr w:rsidR="00237543" w:rsidRPr="007D7B87" w14:paraId="19B7A462"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10044736"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Chile</w:t>
            </w:r>
          </w:p>
        </w:tc>
        <w:tc>
          <w:tcPr>
            <w:tcW w:w="901" w:type="dxa"/>
            <w:vAlign w:val="center"/>
            <w:hideMark/>
          </w:tcPr>
          <w:p w14:paraId="0F2C8A68" w14:textId="5DD3B97B"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33</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783 </w:t>
            </w:r>
          </w:p>
        </w:tc>
        <w:tc>
          <w:tcPr>
            <w:tcW w:w="901" w:type="dxa"/>
            <w:vAlign w:val="center"/>
            <w:hideMark/>
          </w:tcPr>
          <w:p w14:paraId="3AC67C91" w14:textId="70420148"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19</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921 </w:t>
            </w:r>
          </w:p>
        </w:tc>
        <w:tc>
          <w:tcPr>
            <w:tcW w:w="901" w:type="dxa"/>
            <w:vAlign w:val="center"/>
            <w:hideMark/>
          </w:tcPr>
          <w:p w14:paraId="6BA596C6"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A960A70" w14:textId="1DE239A1"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15</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825 </w:t>
            </w:r>
          </w:p>
        </w:tc>
        <w:tc>
          <w:tcPr>
            <w:tcW w:w="902" w:type="dxa"/>
            <w:vAlign w:val="center"/>
            <w:hideMark/>
          </w:tcPr>
          <w:p w14:paraId="791B42B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5DBC3D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AF418A4" w14:textId="13C17A6B"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17</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959 </w:t>
            </w:r>
          </w:p>
        </w:tc>
        <w:tc>
          <w:tcPr>
            <w:tcW w:w="902" w:type="dxa"/>
            <w:vAlign w:val="center"/>
            <w:hideMark/>
          </w:tcPr>
          <w:p w14:paraId="0162451E" w14:textId="1BB1B85F"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19</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921 </w:t>
            </w:r>
          </w:p>
        </w:tc>
        <w:tc>
          <w:tcPr>
            <w:tcW w:w="902" w:type="dxa"/>
            <w:vAlign w:val="center"/>
            <w:hideMark/>
          </w:tcPr>
          <w:p w14:paraId="320234FD"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1C6E09A1"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3529F3BE"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China</w:t>
            </w:r>
          </w:p>
        </w:tc>
        <w:tc>
          <w:tcPr>
            <w:tcW w:w="901" w:type="dxa"/>
            <w:vAlign w:val="center"/>
            <w:hideMark/>
          </w:tcPr>
          <w:p w14:paraId="2578A1B2"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1FDFE772" w14:textId="330741D9"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587</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595 </w:t>
            </w:r>
          </w:p>
        </w:tc>
        <w:tc>
          <w:tcPr>
            <w:tcW w:w="901" w:type="dxa"/>
            <w:vAlign w:val="center"/>
            <w:hideMark/>
          </w:tcPr>
          <w:p w14:paraId="6BBEBDF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F8AA21C"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479C14C" w14:textId="1D412565"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587</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595 </w:t>
            </w:r>
          </w:p>
        </w:tc>
        <w:tc>
          <w:tcPr>
            <w:tcW w:w="902" w:type="dxa"/>
            <w:vAlign w:val="center"/>
            <w:hideMark/>
          </w:tcPr>
          <w:p w14:paraId="5DF95221"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0D0ADCE"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0A88E4E"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7D681156"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6ACD4847"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447422DB"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Chipre</w:t>
            </w:r>
          </w:p>
        </w:tc>
        <w:tc>
          <w:tcPr>
            <w:tcW w:w="901" w:type="dxa"/>
            <w:vAlign w:val="center"/>
            <w:hideMark/>
          </w:tcPr>
          <w:p w14:paraId="3669FC5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1B021B61" w14:textId="40CCF568"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762 </w:t>
            </w:r>
          </w:p>
        </w:tc>
        <w:tc>
          <w:tcPr>
            <w:tcW w:w="901" w:type="dxa"/>
            <w:vAlign w:val="center"/>
            <w:hideMark/>
          </w:tcPr>
          <w:p w14:paraId="3AE10B31"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6771E0E"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2C8F554" w14:textId="2927FC4A"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762 </w:t>
            </w:r>
          </w:p>
        </w:tc>
        <w:tc>
          <w:tcPr>
            <w:tcW w:w="902" w:type="dxa"/>
            <w:vAlign w:val="center"/>
            <w:hideMark/>
          </w:tcPr>
          <w:p w14:paraId="72783CC1"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9BF9C86"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6E4742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5548F434"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1576B36A"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605AC061"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Colombia</w:t>
            </w:r>
          </w:p>
        </w:tc>
        <w:tc>
          <w:tcPr>
            <w:tcW w:w="901" w:type="dxa"/>
            <w:vAlign w:val="center"/>
            <w:hideMark/>
          </w:tcPr>
          <w:p w14:paraId="14933B5B" w14:textId="58170BF5"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43</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941 </w:t>
            </w:r>
          </w:p>
        </w:tc>
        <w:tc>
          <w:tcPr>
            <w:tcW w:w="901" w:type="dxa"/>
            <w:vAlign w:val="center"/>
            <w:hideMark/>
          </w:tcPr>
          <w:p w14:paraId="6F58DE09" w14:textId="3CA50209"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14</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096 </w:t>
            </w:r>
          </w:p>
        </w:tc>
        <w:tc>
          <w:tcPr>
            <w:tcW w:w="901" w:type="dxa"/>
            <w:vAlign w:val="center"/>
            <w:hideMark/>
          </w:tcPr>
          <w:p w14:paraId="3F4AE02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6860CC3" w14:textId="75E2FEB9"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42</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691 </w:t>
            </w:r>
          </w:p>
        </w:tc>
        <w:tc>
          <w:tcPr>
            <w:tcW w:w="902" w:type="dxa"/>
            <w:vAlign w:val="center"/>
            <w:hideMark/>
          </w:tcPr>
          <w:p w14:paraId="4FA4717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2A13618"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DA53772" w14:textId="2BE0A819"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250 </w:t>
            </w:r>
          </w:p>
        </w:tc>
        <w:tc>
          <w:tcPr>
            <w:tcW w:w="902" w:type="dxa"/>
            <w:vAlign w:val="center"/>
            <w:hideMark/>
          </w:tcPr>
          <w:p w14:paraId="364CECA7" w14:textId="0D6CF855"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14</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096 </w:t>
            </w:r>
          </w:p>
        </w:tc>
        <w:tc>
          <w:tcPr>
            <w:tcW w:w="902" w:type="dxa"/>
            <w:vAlign w:val="center"/>
            <w:hideMark/>
          </w:tcPr>
          <w:p w14:paraId="401F8D26"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0E3D7699"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05CD9D5D"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lastRenderedPageBreak/>
              <w:t>Comor</w:t>
            </w:r>
            <w:r>
              <w:rPr>
                <w:rFonts w:asciiTheme="minorHAnsi" w:eastAsia="Times New Roman" w:hAnsiTheme="minorHAnsi" w:cstheme="minorHAnsi"/>
                <w:b w:val="0"/>
                <w:bCs w:val="0"/>
                <w:noProof/>
                <w:color w:val="000000"/>
                <w:sz w:val="20"/>
                <w:szCs w:val="20"/>
                <w:lang w:val="es-ES" w:eastAsia="en-GB"/>
              </w:rPr>
              <w:t>a</w:t>
            </w:r>
            <w:r w:rsidRPr="007D7B87">
              <w:rPr>
                <w:rFonts w:asciiTheme="minorHAnsi" w:eastAsia="Times New Roman" w:hAnsiTheme="minorHAnsi" w:cstheme="minorHAnsi"/>
                <w:b w:val="0"/>
                <w:bCs w:val="0"/>
                <w:noProof/>
                <w:color w:val="000000"/>
                <w:sz w:val="20"/>
                <w:szCs w:val="20"/>
                <w:lang w:val="es-ES" w:eastAsia="en-GB"/>
              </w:rPr>
              <w:t>s</w:t>
            </w:r>
          </w:p>
        </w:tc>
        <w:tc>
          <w:tcPr>
            <w:tcW w:w="901" w:type="dxa"/>
            <w:vAlign w:val="center"/>
            <w:hideMark/>
          </w:tcPr>
          <w:p w14:paraId="3C1AA093" w14:textId="41EC2238"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8</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648EEC2F" w14:textId="0E4F36F3"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5A07BD8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5FF1146"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546A8D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2C7DDB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8911291" w14:textId="464D9912"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8</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108205CB" w14:textId="6387EB1B"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6724EA4D"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39ABF900"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66FB9143"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Congo</w:t>
            </w:r>
          </w:p>
        </w:tc>
        <w:tc>
          <w:tcPr>
            <w:tcW w:w="901" w:type="dxa"/>
            <w:vAlign w:val="center"/>
            <w:hideMark/>
          </w:tcPr>
          <w:p w14:paraId="5C00B4B2" w14:textId="4785AE92"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7</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2220E616" w14:textId="4738D76A"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6327902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FD2819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9C31C28"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D1C0651"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72B3ED3" w14:textId="034FC8B3"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7</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7115DF9E" w14:textId="0D082F6C"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6F30AEB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3C20AA25"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157C5057"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Costa Rica</w:t>
            </w:r>
          </w:p>
        </w:tc>
        <w:tc>
          <w:tcPr>
            <w:tcW w:w="901" w:type="dxa"/>
            <w:vAlign w:val="center"/>
            <w:hideMark/>
          </w:tcPr>
          <w:p w14:paraId="5D22DD30" w14:textId="16E1A6D1"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313 </w:t>
            </w:r>
          </w:p>
        </w:tc>
        <w:tc>
          <w:tcPr>
            <w:tcW w:w="901" w:type="dxa"/>
            <w:vAlign w:val="center"/>
            <w:hideMark/>
          </w:tcPr>
          <w:p w14:paraId="1D8C7480" w14:textId="6BE4C456"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035 </w:t>
            </w:r>
          </w:p>
        </w:tc>
        <w:tc>
          <w:tcPr>
            <w:tcW w:w="901" w:type="dxa"/>
            <w:vAlign w:val="center"/>
            <w:hideMark/>
          </w:tcPr>
          <w:p w14:paraId="305E01DB"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17A009B"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076102D"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C576E5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1308081" w14:textId="21CE6AA5"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313 </w:t>
            </w:r>
          </w:p>
        </w:tc>
        <w:tc>
          <w:tcPr>
            <w:tcW w:w="902" w:type="dxa"/>
            <w:vAlign w:val="center"/>
            <w:hideMark/>
          </w:tcPr>
          <w:p w14:paraId="2CBEB599" w14:textId="0D22376E"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035 </w:t>
            </w:r>
          </w:p>
        </w:tc>
        <w:tc>
          <w:tcPr>
            <w:tcW w:w="902" w:type="dxa"/>
            <w:vAlign w:val="center"/>
            <w:hideMark/>
          </w:tcPr>
          <w:p w14:paraId="2B49752B"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1C43C719"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4C2C17C5"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Côte d'Ivoire</w:t>
            </w:r>
          </w:p>
        </w:tc>
        <w:tc>
          <w:tcPr>
            <w:tcW w:w="901" w:type="dxa"/>
            <w:vAlign w:val="center"/>
            <w:hideMark/>
          </w:tcPr>
          <w:p w14:paraId="5298C199" w14:textId="68B9135C"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844 </w:t>
            </w:r>
          </w:p>
        </w:tc>
        <w:tc>
          <w:tcPr>
            <w:tcW w:w="901" w:type="dxa"/>
            <w:vAlign w:val="center"/>
            <w:hideMark/>
          </w:tcPr>
          <w:p w14:paraId="4947ED0A" w14:textId="76B0BFEF"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675D6608"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520331A" w14:textId="664BA84F"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844 </w:t>
            </w:r>
          </w:p>
        </w:tc>
        <w:tc>
          <w:tcPr>
            <w:tcW w:w="902" w:type="dxa"/>
            <w:vAlign w:val="center"/>
            <w:hideMark/>
          </w:tcPr>
          <w:p w14:paraId="3F551907" w14:textId="25FDE5E3"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3EADFE4E" w14:textId="0EBF9491"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740 </w:t>
            </w:r>
          </w:p>
        </w:tc>
        <w:tc>
          <w:tcPr>
            <w:tcW w:w="902" w:type="dxa"/>
            <w:vAlign w:val="center"/>
            <w:hideMark/>
          </w:tcPr>
          <w:p w14:paraId="3401CB3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3DE688E"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465DEC6C" w14:textId="04BD06A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740 </w:t>
            </w:r>
          </w:p>
        </w:tc>
      </w:tr>
      <w:tr w:rsidR="00237543" w:rsidRPr="007D7B87" w14:paraId="4A619C66"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6F39D814"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Croa</w:t>
            </w:r>
            <w:r>
              <w:rPr>
                <w:rFonts w:asciiTheme="minorHAnsi" w:eastAsia="Times New Roman" w:hAnsiTheme="minorHAnsi" w:cstheme="minorHAnsi"/>
                <w:b w:val="0"/>
                <w:bCs w:val="0"/>
                <w:noProof/>
                <w:color w:val="000000"/>
                <w:sz w:val="20"/>
                <w:szCs w:val="20"/>
                <w:lang w:val="es-ES" w:eastAsia="en-GB"/>
              </w:rPr>
              <w:t>c</w:t>
            </w:r>
            <w:r w:rsidRPr="007D7B87">
              <w:rPr>
                <w:rFonts w:asciiTheme="minorHAnsi" w:eastAsia="Times New Roman" w:hAnsiTheme="minorHAnsi" w:cstheme="minorHAnsi"/>
                <w:b w:val="0"/>
                <w:bCs w:val="0"/>
                <w:noProof/>
                <w:color w:val="000000"/>
                <w:sz w:val="20"/>
                <w:szCs w:val="20"/>
                <w:lang w:val="es-ES" w:eastAsia="en-GB"/>
              </w:rPr>
              <w:t>ia</w:t>
            </w:r>
          </w:p>
        </w:tc>
        <w:tc>
          <w:tcPr>
            <w:tcW w:w="901" w:type="dxa"/>
            <w:vAlign w:val="center"/>
            <w:hideMark/>
          </w:tcPr>
          <w:p w14:paraId="19237AD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012C6273" w14:textId="5168A30B"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769 </w:t>
            </w:r>
          </w:p>
        </w:tc>
        <w:tc>
          <w:tcPr>
            <w:tcW w:w="901" w:type="dxa"/>
            <w:vAlign w:val="center"/>
            <w:hideMark/>
          </w:tcPr>
          <w:p w14:paraId="1EC98F2D"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5866A1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0A006C7" w14:textId="6056AF91"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769 </w:t>
            </w:r>
          </w:p>
        </w:tc>
        <w:tc>
          <w:tcPr>
            <w:tcW w:w="902" w:type="dxa"/>
            <w:vAlign w:val="center"/>
            <w:hideMark/>
          </w:tcPr>
          <w:p w14:paraId="1630AE01"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490083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497557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3CB6C2F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5D6C50EA"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1DB9D0C5"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Cuba</w:t>
            </w:r>
          </w:p>
        </w:tc>
        <w:tc>
          <w:tcPr>
            <w:tcW w:w="901" w:type="dxa"/>
            <w:vAlign w:val="center"/>
            <w:hideMark/>
          </w:tcPr>
          <w:p w14:paraId="7C8AD5A0" w14:textId="4DDC39C3"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24</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336 </w:t>
            </w:r>
          </w:p>
        </w:tc>
        <w:tc>
          <w:tcPr>
            <w:tcW w:w="901" w:type="dxa"/>
            <w:vAlign w:val="center"/>
            <w:hideMark/>
          </w:tcPr>
          <w:p w14:paraId="753266F0" w14:textId="76EB31F3"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916 </w:t>
            </w:r>
          </w:p>
        </w:tc>
        <w:tc>
          <w:tcPr>
            <w:tcW w:w="901" w:type="dxa"/>
            <w:vAlign w:val="center"/>
            <w:hideMark/>
          </w:tcPr>
          <w:p w14:paraId="29A4034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41F22B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982E75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DF11AC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59CB336" w14:textId="60F60ED4"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24</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336 </w:t>
            </w:r>
          </w:p>
        </w:tc>
        <w:tc>
          <w:tcPr>
            <w:tcW w:w="902" w:type="dxa"/>
            <w:vAlign w:val="center"/>
            <w:hideMark/>
          </w:tcPr>
          <w:p w14:paraId="0793E893" w14:textId="56FED47A"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916 </w:t>
            </w:r>
          </w:p>
        </w:tc>
        <w:tc>
          <w:tcPr>
            <w:tcW w:w="902" w:type="dxa"/>
            <w:vAlign w:val="center"/>
            <w:hideMark/>
          </w:tcPr>
          <w:p w14:paraId="504E0D98"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22A99B2F"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1F6912E7"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Dinamarca</w:t>
            </w:r>
          </w:p>
        </w:tc>
        <w:tc>
          <w:tcPr>
            <w:tcW w:w="901" w:type="dxa"/>
            <w:vAlign w:val="center"/>
            <w:hideMark/>
          </w:tcPr>
          <w:p w14:paraId="1D06DEFE"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2BA57D28" w14:textId="33654948"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27</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116 </w:t>
            </w:r>
          </w:p>
        </w:tc>
        <w:tc>
          <w:tcPr>
            <w:tcW w:w="901" w:type="dxa"/>
            <w:vAlign w:val="center"/>
            <w:hideMark/>
          </w:tcPr>
          <w:p w14:paraId="06BF3AEE"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144764E"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A7B70DD" w14:textId="09811D30"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27</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116 </w:t>
            </w:r>
          </w:p>
        </w:tc>
        <w:tc>
          <w:tcPr>
            <w:tcW w:w="902" w:type="dxa"/>
            <w:vAlign w:val="center"/>
            <w:hideMark/>
          </w:tcPr>
          <w:p w14:paraId="1CA5C91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F206C6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9EB2DE4"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0E4C5D7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59F21EDD"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5FB31976"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Djibouti</w:t>
            </w:r>
          </w:p>
        </w:tc>
        <w:tc>
          <w:tcPr>
            <w:tcW w:w="901" w:type="dxa"/>
            <w:vAlign w:val="center"/>
            <w:hideMark/>
          </w:tcPr>
          <w:p w14:paraId="74E4B754" w14:textId="528E8A38"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18</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055A0E33" w14:textId="1F977C8C"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6ADF779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9FBDD7C"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E6C9AD0"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77C0350"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B9807AD" w14:textId="2007D702"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18</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226B5C1B" w14:textId="3A259839"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0BB92CA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53FD6201"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3896E039"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Ecuador</w:t>
            </w:r>
          </w:p>
        </w:tc>
        <w:tc>
          <w:tcPr>
            <w:tcW w:w="901" w:type="dxa"/>
            <w:vAlign w:val="center"/>
            <w:hideMark/>
          </w:tcPr>
          <w:p w14:paraId="0F24BFAE" w14:textId="6BB2C41D"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12</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017 </w:t>
            </w:r>
          </w:p>
        </w:tc>
        <w:tc>
          <w:tcPr>
            <w:tcW w:w="901" w:type="dxa"/>
            <w:vAlign w:val="center"/>
            <w:hideMark/>
          </w:tcPr>
          <w:p w14:paraId="0FDA28F1" w14:textId="44ED1601"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916 </w:t>
            </w:r>
          </w:p>
        </w:tc>
        <w:tc>
          <w:tcPr>
            <w:tcW w:w="901" w:type="dxa"/>
            <w:vAlign w:val="center"/>
            <w:hideMark/>
          </w:tcPr>
          <w:p w14:paraId="3F6157E7"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476152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1166A03"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3EDBDB3"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2932FE0" w14:textId="6BB69F24"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12</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017 </w:t>
            </w:r>
          </w:p>
        </w:tc>
        <w:tc>
          <w:tcPr>
            <w:tcW w:w="902" w:type="dxa"/>
            <w:vAlign w:val="center"/>
            <w:hideMark/>
          </w:tcPr>
          <w:p w14:paraId="13A098E4" w14:textId="30FA95CE"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916 </w:t>
            </w:r>
          </w:p>
        </w:tc>
        <w:tc>
          <w:tcPr>
            <w:tcW w:w="902" w:type="dxa"/>
            <w:vAlign w:val="center"/>
            <w:hideMark/>
          </w:tcPr>
          <w:p w14:paraId="131627B1"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56B0655F"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3AA59CC0"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Egipto</w:t>
            </w:r>
          </w:p>
        </w:tc>
        <w:tc>
          <w:tcPr>
            <w:tcW w:w="901" w:type="dxa"/>
            <w:vAlign w:val="center"/>
            <w:hideMark/>
          </w:tcPr>
          <w:p w14:paraId="7E7B4A29"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5AD913FC" w14:textId="16A2B8D3"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9</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104 </w:t>
            </w:r>
          </w:p>
        </w:tc>
        <w:tc>
          <w:tcPr>
            <w:tcW w:w="901" w:type="dxa"/>
            <w:vAlign w:val="center"/>
            <w:hideMark/>
          </w:tcPr>
          <w:p w14:paraId="54E08595"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4719991"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51D33DB" w14:textId="4033CBAA"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9</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104 </w:t>
            </w:r>
          </w:p>
        </w:tc>
        <w:tc>
          <w:tcPr>
            <w:tcW w:w="902" w:type="dxa"/>
            <w:vAlign w:val="center"/>
            <w:hideMark/>
          </w:tcPr>
          <w:p w14:paraId="5C5B2CC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0D1AE6D"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71D6728"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3E0B686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3CB5EA14"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482DCB52"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El Salvador</w:t>
            </w:r>
          </w:p>
        </w:tc>
        <w:tc>
          <w:tcPr>
            <w:tcW w:w="901" w:type="dxa"/>
            <w:vAlign w:val="center"/>
            <w:hideMark/>
          </w:tcPr>
          <w:p w14:paraId="1FDDF284" w14:textId="4535AEDF"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036 </w:t>
            </w:r>
          </w:p>
        </w:tc>
        <w:tc>
          <w:tcPr>
            <w:tcW w:w="901" w:type="dxa"/>
            <w:vAlign w:val="center"/>
            <w:hideMark/>
          </w:tcPr>
          <w:p w14:paraId="20AD70BF" w14:textId="241D09F4"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38CB0B1B"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075DBBB" w14:textId="52B5D990"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036 </w:t>
            </w:r>
          </w:p>
        </w:tc>
        <w:tc>
          <w:tcPr>
            <w:tcW w:w="902" w:type="dxa"/>
            <w:vAlign w:val="center"/>
            <w:hideMark/>
          </w:tcPr>
          <w:p w14:paraId="247B755E"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1 </w:t>
            </w:r>
          </w:p>
        </w:tc>
        <w:tc>
          <w:tcPr>
            <w:tcW w:w="902" w:type="dxa"/>
            <w:vAlign w:val="center"/>
            <w:hideMark/>
          </w:tcPr>
          <w:p w14:paraId="2F52683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w:t>
            </w:r>
          </w:p>
        </w:tc>
        <w:tc>
          <w:tcPr>
            <w:tcW w:w="902" w:type="dxa"/>
            <w:vAlign w:val="center"/>
            <w:hideMark/>
          </w:tcPr>
          <w:p w14:paraId="07751AB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28EA750"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999 </w:t>
            </w:r>
          </w:p>
        </w:tc>
        <w:tc>
          <w:tcPr>
            <w:tcW w:w="902" w:type="dxa"/>
            <w:vAlign w:val="center"/>
            <w:hideMark/>
          </w:tcPr>
          <w:p w14:paraId="25B570D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16EE4E48"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29E1C72D"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Emiratos Árabes Unidos</w:t>
            </w:r>
          </w:p>
        </w:tc>
        <w:tc>
          <w:tcPr>
            <w:tcW w:w="901" w:type="dxa"/>
            <w:vAlign w:val="center"/>
            <w:hideMark/>
          </w:tcPr>
          <w:p w14:paraId="55A2CEE1"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61E77D28" w14:textId="2CB9B745"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30</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151 </w:t>
            </w:r>
          </w:p>
        </w:tc>
        <w:tc>
          <w:tcPr>
            <w:tcW w:w="901" w:type="dxa"/>
            <w:vAlign w:val="center"/>
            <w:hideMark/>
          </w:tcPr>
          <w:p w14:paraId="08B94532"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6A04496"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D741BE4" w14:textId="26E1325E"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30</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151 </w:t>
            </w:r>
          </w:p>
        </w:tc>
        <w:tc>
          <w:tcPr>
            <w:tcW w:w="902" w:type="dxa"/>
            <w:vAlign w:val="center"/>
            <w:hideMark/>
          </w:tcPr>
          <w:p w14:paraId="3A5EB4CC"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E4ACE1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6D0922E"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3A84E26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58A6010E"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4F3DD0DC"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Eslovaquia</w:t>
            </w:r>
          </w:p>
        </w:tc>
        <w:tc>
          <w:tcPr>
            <w:tcW w:w="901" w:type="dxa"/>
            <w:vAlign w:val="center"/>
            <w:hideMark/>
          </w:tcPr>
          <w:p w14:paraId="11826450"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524F031D" w14:textId="0949DAEF"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7</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489 </w:t>
            </w:r>
          </w:p>
        </w:tc>
        <w:tc>
          <w:tcPr>
            <w:tcW w:w="901" w:type="dxa"/>
            <w:vAlign w:val="center"/>
            <w:hideMark/>
          </w:tcPr>
          <w:p w14:paraId="3C375643"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1F5234E"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4582E72" w14:textId="23D75553"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7</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489 </w:t>
            </w:r>
          </w:p>
        </w:tc>
        <w:tc>
          <w:tcPr>
            <w:tcW w:w="902" w:type="dxa"/>
            <w:vAlign w:val="center"/>
            <w:hideMark/>
          </w:tcPr>
          <w:p w14:paraId="65FA8D5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80D898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A6256C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49A84D30"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15E9C738"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73834F06"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Eslovenia</w:t>
            </w:r>
          </w:p>
        </w:tc>
        <w:tc>
          <w:tcPr>
            <w:tcW w:w="901" w:type="dxa"/>
            <w:vAlign w:val="center"/>
            <w:hideMark/>
          </w:tcPr>
          <w:p w14:paraId="0F7B8A5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1176506C" w14:textId="3728E7B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720 </w:t>
            </w:r>
          </w:p>
        </w:tc>
        <w:tc>
          <w:tcPr>
            <w:tcW w:w="901" w:type="dxa"/>
            <w:vAlign w:val="center"/>
            <w:hideMark/>
          </w:tcPr>
          <w:p w14:paraId="02F7F08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CD3A589"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E827CF2" w14:textId="499F5850"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720 </w:t>
            </w:r>
          </w:p>
        </w:tc>
        <w:tc>
          <w:tcPr>
            <w:tcW w:w="902" w:type="dxa"/>
            <w:vAlign w:val="center"/>
            <w:hideMark/>
          </w:tcPr>
          <w:p w14:paraId="4F002A5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465A1C0"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9FB2188"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124255FF"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52CF011E"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448C6FEF"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España</w:t>
            </w:r>
          </w:p>
        </w:tc>
        <w:tc>
          <w:tcPr>
            <w:tcW w:w="901" w:type="dxa"/>
            <w:vAlign w:val="center"/>
            <w:hideMark/>
          </w:tcPr>
          <w:p w14:paraId="5AAEED54" w14:textId="3B86572E"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105</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038 </w:t>
            </w:r>
          </w:p>
        </w:tc>
        <w:tc>
          <w:tcPr>
            <w:tcW w:w="901" w:type="dxa"/>
            <w:vAlign w:val="center"/>
            <w:hideMark/>
          </w:tcPr>
          <w:p w14:paraId="03D390A0" w14:textId="30E72E00"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105</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038 </w:t>
            </w:r>
          </w:p>
        </w:tc>
        <w:tc>
          <w:tcPr>
            <w:tcW w:w="901" w:type="dxa"/>
            <w:vAlign w:val="center"/>
            <w:hideMark/>
          </w:tcPr>
          <w:p w14:paraId="66600D2F"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DE6B3B9" w14:textId="3AFFE2DB"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105</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038 </w:t>
            </w:r>
          </w:p>
        </w:tc>
        <w:tc>
          <w:tcPr>
            <w:tcW w:w="902" w:type="dxa"/>
            <w:vAlign w:val="center"/>
            <w:hideMark/>
          </w:tcPr>
          <w:p w14:paraId="6689660B" w14:textId="1D0E4946"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105</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038 </w:t>
            </w:r>
          </w:p>
        </w:tc>
        <w:tc>
          <w:tcPr>
            <w:tcW w:w="902" w:type="dxa"/>
            <w:vAlign w:val="center"/>
            <w:hideMark/>
          </w:tcPr>
          <w:p w14:paraId="401CA9C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6AA4C2D"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E39311D"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231E0C6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4F5E0AE3"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6A6AC818"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Estados Unidos de América</w:t>
            </w:r>
          </w:p>
        </w:tc>
        <w:tc>
          <w:tcPr>
            <w:tcW w:w="901" w:type="dxa"/>
            <w:vAlign w:val="center"/>
            <w:hideMark/>
          </w:tcPr>
          <w:p w14:paraId="1D8B25A6"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 </w:t>
            </w:r>
          </w:p>
        </w:tc>
        <w:tc>
          <w:tcPr>
            <w:tcW w:w="901" w:type="dxa"/>
            <w:vAlign w:val="center"/>
            <w:hideMark/>
          </w:tcPr>
          <w:p w14:paraId="7E301E7A" w14:textId="6A0A93A8"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065</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801 </w:t>
            </w:r>
          </w:p>
        </w:tc>
        <w:tc>
          <w:tcPr>
            <w:tcW w:w="901" w:type="dxa"/>
            <w:vAlign w:val="center"/>
            <w:hideMark/>
          </w:tcPr>
          <w:p w14:paraId="170E31F9"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69FD67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CF3E8EE" w14:textId="5F4C70F2"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056</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519 </w:t>
            </w:r>
          </w:p>
        </w:tc>
        <w:tc>
          <w:tcPr>
            <w:tcW w:w="902" w:type="dxa"/>
            <w:vAlign w:val="center"/>
            <w:hideMark/>
          </w:tcPr>
          <w:p w14:paraId="043BA770"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F933745"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 </w:t>
            </w:r>
          </w:p>
        </w:tc>
        <w:tc>
          <w:tcPr>
            <w:tcW w:w="902" w:type="dxa"/>
            <w:vAlign w:val="center"/>
            <w:hideMark/>
          </w:tcPr>
          <w:p w14:paraId="4DBC4C20" w14:textId="1A4D9C68"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9</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282 </w:t>
            </w:r>
          </w:p>
        </w:tc>
        <w:tc>
          <w:tcPr>
            <w:tcW w:w="902" w:type="dxa"/>
            <w:vAlign w:val="center"/>
            <w:hideMark/>
          </w:tcPr>
          <w:p w14:paraId="4BC13D6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4A7E16E7"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65D47836"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Estonia</w:t>
            </w:r>
          </w:p>
        </w:tc>
        <w:tc>
          <w:tcPr>
            <w:tcW w:w="901" w:type="dxa"/>
            <w:vAlign w:val="center"/>
            <w:hideMark/>
          </w:tcPr>
          <w:p w14:paraId="23148FF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66E433EC" w14:textId="7EBBF1BB"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909 </w:t>
            </w:r>
          </w:p>
        </w:tc>
        <w:tc>
          <w:tcPr>
            <w:tcW w:w="901" w:type="dxa"/>
            <w:vAlign w:val="center"/>
            <w:hideMark/>
          </w:tcPr>
          <w:p w14:paraId="5BA8D73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7559486"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92FCB52" w14:textId="20D07DAC"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909 </w:t>
            </w:r>
          </w:p>
        </w:tc>
        <w:tc>
          <w:tcPr>
            <w:tcW w:w="902" w:type="dxa"/>
            <w:vAlign w:val="center"/>
            <w:hideMark/>
          </w:tcPr>
          <w:p w14:paraId="2997DF5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25F91D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76B271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14C7A7D3"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6CC60DB1"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6241802C"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Eswatini</w:t>
            </w:r>
          </w:p>
        </w:tc>
        <w:tc>
          <w:tcPr>
            <w:tcW w:w="901" w:type="dxa"/>
            <w:vAlign w:val="center"/>
            <w:hideMark/>
          </w:tcPr>
          <w:p w14:paraId="05DEF32D" w14:textId="22FCD372"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5523BAFF" w14:textId="6E440C23"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56C9A49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0BB7060" w14:textId="65ADB066"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01D2C59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DF37DA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12898A2"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D746056" w14:textId="0438308B"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14A082C9"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6A1ECCBB"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050833BE"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Federación de Rusia</w:t>
            </w:r>
          </w:p>
        </w:tc>
        <w:tc>
          <w:tcPr>
            <w:tcW w:w="901" w:type="dxa"/>
            <w:vAlign w:val="center"/>
            <w:hideMark/>
          </w:tcPr>
          <w:p w14:paraId="26B5BDFE"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25467511" w14:textId="0EA11E7B"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117</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715 </w:t>
            </w:r>
          </w:p>
        </w:tc>
        <w:tc>
          <w:tcPr>
            <w:tcW w:w="901" w:type="dxa"/>
            <w:vAlign w:val="center"/>
            <w:hideMark/>
          </w:tcPr>
          <w:p w14:paraId="1B05E51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C31997D"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5DA21DC" w14:textId="6922BB63"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117</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715 </w:t>
            </w:r>
          </w:p>
        </w:tc>
        <w:tc>
          <w:tcPr>
            <w:tcW w:w="902" w:type="dxa"/>
            <w:vAlign w:val="center"/>
            <w:hideMark/>
          </w:tcPr>
          <w:p w14:paraId="3C51B96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642A55F"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5CEF823"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5012539F"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4AA0C14C"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3AA11732"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Fiji</w:t>
            </w:r>
          </w:p>
        </w:tc>
        <w:tc>
          <w:tcPr>
            <w:tcW w:w="901" w:type="dxa"/>
            <w:vAlign w:val="center"/>
            <w:hideMark/>
          </w:tcPr>
          <w:p w14:paraId="5103BD4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1780CD52" w14:textId="49F4A38E"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435180AE"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8C26E6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6121B11"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FA5371D"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0402881"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85EB5F3" w14:textId="4FE5B583"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64772A5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375DCC8F"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14244B17"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Filipinas</w:t>
            </w:r>
          </w:p>
        </w:tc>
        <w:tc>
          <w:tcPr>
            <w:tcW w:w="901" w:type="dxa"/>
            <w:vAlign w:val="center"/>
            <w:hideMark/>
          </w:tcPr>
          <w:p w14:paraId="4F6179F6"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6990AC94" w14:textId="27D43ADB"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10</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034 </w:t>
            </w:r>
          </w:p>
        </w:tc>
        <w:tc>
          <w:tcPr>
            <w:tcW w:w="901" w:type="dxa"/>
            <w:vAlign w:val="center"/>
            <w:hideMark/>
          </w:tcPr>
          <w:p w14:paraId="6E399E47"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379F4F1"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8B691CC" w14:textId="7935EA01"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10</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034 </w:t>
            </w:r>
          </w:p>
        </w:tc>
        <w:tc>
          <w:tcPr>
            <w:tcW w:w="902" w:type="dxa"/>
            <w:vAlign w:val="center"/>
            <w:hideMark/>
          </w:tcPr>
          <w:p w14:paraId="3F042D8E"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E547063"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8684A9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4402B81B"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15F7D168"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247D613E"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Finland</w:t>
            </w:r>
            <w:r>
              <w:rPr>
                <w:rFonts w:asciiTheme="minorHAnsi" w:eastAsia="Times New Roman" w:hAnsiTheme="minorHAnsi" w:cstheme="minorHAnsi"/>
                <w:b w:val="0"/>
                <w:bCs w:val="0"/>
                <w:noProof/>
                <w:color w:val="000000"/>
                <w:sz w:val="20"/>
                <w:szCs w:val="20"/>
                <w:lang w:val="es-ES" w:eastAsia="en-GB"/>
              </w:rPr>
              <w:t>ia</w:t>
            </w:r>
          </w:p>
        </w:tc>
        <w:tc>
          <w:tcPr>
            <w:tcW w:w="901" w:type="dxa"/>
            <w:vAlign w:val="center"/>
            <w:hideMark/>
          </w:tcPr>
          <w:p w14:paraId="7908527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4F4FF831" w14:textId="7067E2A5"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20</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606 </w:t>
            </w:r>
          </w:p>
        </w:tc>
        <w:tc>
          <w:tcPr>
            <w:tcW w:w="901" w:type="dxa"/>
            <w:vAlign w:val="center"/>
            <w:hideMark/>
          </w:tcPr>
          <w:p w14:paraId="49F157B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ABF51F0"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8B73616" w14:textId="22B94205"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20</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606 </w:t>
            </w:r>
          </w:p>
        </w:tc>
        <w:tc>
          <w:tcPr>
            <w:tcW w:w="902" w:type="dxa"/>
            <w:vAlign w:val="center"/>
            <w:hideMark/>
          </w:tcPr>
          <w:p w14:paraId="17A2B1ED"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79092F5"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062B43E"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45A9964D"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0854E623"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5F29368E"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Franc</w:t>
            </w:r>
            <w:r>
              <w:rPr>
                <w:rFonts w:asciiTheme="minorHAnsi" w:eastAsia="Times New Roman" w:hAnsiTheme="minorHAnsi" w:cstheme="minorHAnsi"/>
                <w:b w:val="0"/>
                <w:bCs w:val="0"/>
                <w:noProof/>
                <w:color w:val="000000"/>
                <w:sz w:val="20"/>
                <w:szCs w:val="20"/>
                <w:lang w:val="es-ES" w:eastAsia="en-GB"/>
              </w:rPr>
              <w:t>ia</w:t>
            </w:r>
          </w:p>
        </w:tc>
        <w:tc>
          <w:tcPr>
            <w:tcW w:w="901" w:type="dxa"/>
            <w:vAlign w:val="center"/>
            <w:hideMark/>
          </w:tcPr>
          <w:p w14:paraId="4B1ED321"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78968841" w14:textId="397D16E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216</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684 </w:t>
            </w:r>
          </w:p>
        </w:tc>
        <w:tc>
          <w:tcPr>
            <w:tcW w:w="901" w:type="dxa"/>
            <w:vAlign w:val="center"/>
            <w:hideMark/>
          </w:tcPr>
          <w:p w14:paraId="41F61BB3" w14:textId="6F1BB2E9"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216</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684 </w:t>
            </w:r>
          </w:p>
        </w:tc>
        <w:tc>
          <w:tcPr>
            <w:tcW w:w="902" w:type="dxa"/>
            <w:vAlign w:val="center"/>
            <w:hideMark/>
          </w:tcPr>
          <w:p w14:paraId="1991860F"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ED0B3B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78BF54F" w14:textId="14914522"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216</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684 </w:t>
            </w:r>
          </w:p>
        </w:tc>
        <w:tc>
          <w:tcPr>
            <w:tcW w:w="902" w:type="dxa"/>
            <w:vAlign w:val="center"/>
            <w:hideMark/>
          </w:tcPr>
          <w:p w14:paraId="3F4EB296"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9260AFE"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53809EB2" w14:textId="76131F31"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216</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684 </w:t>
            </w:r>
          </w:p>
        </w:tc>
      </w:tr>
      <w:tr w:rsidR="00237543" w:rsidRPr="007D7B87" w14:paraId="7FB6F1F2"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3C0D8D87"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Gab</w:t>
            </w:r>
            <w:r>
              <w:rPr>
                <w:rFonts w:asciiTheme="minorHAnsi" w:eastAsia="Times New Roman" w:hAnsiTheme="minorHAnsi" w:cstheme="minorHAnsi"/>
                <w:b w:val="0"/>
                <w:bCs w:val="0"/>
                <w:noProof/>
                <w:color w:val="000000"/>
                <w:sz w:val="20"/>
                <w:szCs w:val="20"/>
                <w:lang w:val="es-ES" w:eastAsia="en-GB"/>
              </w:rPr>
              <w:t>ó</w:t>
            </w:r>
            <w:r w:rsidRPr="007D7B87">
              <w:rPr>
                <w:rFonts w:asciiTheme="minorHAnsi" w:eastAsia="Times New Roman" w:hAnsiTheme="minorHAnsi" w:cstheme="minorHAnsi"/>
                <w:b w:val="0"/>
                <w:bCs w:val="0"/>
                <w:noProof/>
                <w:color w:val="000000"/>
                <w:sz w:val="20"/>
                <w:szCs w:val="20"/>
                <w:lang w:val="es-ES" w:eastAsia="en-GB"/>
              </w:rPr>
              <w:t>n</w:t>
            </w:r>
          </w:p>
        </w:tc>
        <w:tc>
          <w:tcPr>
            <w:tcW w:w="901" w:type="dxa"/>
            <w:vAlign w:val="center"/>
            <w:hideMark/>
          </w:tcPr>
          <w:p w14:paraId="6EFB5273" w14:textId="6AE8A13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236 </w:t>
            </w:r>
          </w:p>
        </w:tc>
        <w:tc>
          <w:tcPr>
            <w:tcW w:w="901" w:type="dxa"/>
            <w:vAlign w:val="center"/>
            <w:hideMark/>
          </w:tcPr>
          <w:p w14:paraId="3A9700E3" w14:textId="62A623E4"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4E09C8B9"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8664D40"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7AE8D9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E7B48B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AA1E41C" w14:textId="3417A760"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236 </w:t>
            </w:r>
          </w:p>
        </w:tc>
        <w:tc>
          <w:tcPr>
            <w:tcW w:w="902" w:type="dxa"/>
            <w:vAlign w:val="center"/>
            <w:hideMark/>
          </w:tcPr>
          <w:p w14:paraId="4FB8C629" w14:textId="70C197F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7E96F160"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5C0E9F4E"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286CDDB5"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Gambia</w:t>
            </w:r>
          </w:p>
        </w:tc>
        <w:tc>
          <w:tcPr>
            <w:tcW w:w="901" w:type="dxa"/>
            <w:vAlign w:val="center"/>
            <w:hideMark/>
          </w:tcPr>
          <w:p w14:paraId="738227EA" w14:textId="059050DA"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9</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261 </w:t>
            </w:r>
          </w:p>
        </w:tc>
        <w:tc>
          <w:tcPr>
            <w:tcW w:w="901" w:type="dxa"/>
            <w:vAlign w:val="center"/>
            <w:hideMark/>
          </w:tcPr>
          <w:p w14:paraId="634240EE" w14:textId="5036AB2E"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7FC1CD4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8ED8020"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A59295C"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994912E"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392549F" w14:textId="4EA6F99F"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9</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261 </w:t>
            </w:r>
          </w:p>
        </w:tc>
        <w:tc>
          <w:tcPr>
            <w:tcW w:w="902" w:type="dxa"/>
            <w:vAlign w:val="center"/>
            <w:hideMark/>
          </w:tcPr>
          <w:p w14:paraId="5FC53977" w14:textId="3A12BD16"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2C3A850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2E175D83"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380268E6"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Georgia</w:t>
            </w:r>
          </w:p>
        </w:tc>
        <w:tc>
          <w:tcPr>
            <w:tcW w:w="901" w:type="dxa"/>
            <w:vAlign w:val="center"/>
            <w:hideMark/>
          </w:tcPr>
          <w:p w14:paraId="4F7F192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59F569C0" w14:textId="488DBE9E"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36E6D081"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FD9B1F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D8D270C" w14:textId="420C2DCC"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5B1FDAC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01952B8"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68746CC"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5EB3AD9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79B6990A"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516B3465"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Ghana</w:t>
            </w:r>
          </w:p>
        </w:tc>
        <w:tc>
          <w:tcPr>
            <w:tcW w:w="901" w:type="dxa"/>
            <w:vAlign w:val="center"/>
            <w:hideMark/>
          </w:tcPr>
          <w:p w14:paraId="18C5DD50" w14:textId="585F32E0"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979 </w:t>
            </w:r>
          </w:p>
        </w:tc>
        <w:tc>
          <w:tcPr>
            <w:tcW w:w="901" w:type="dxa"/>
            <w:vAlign w:val="center"/>
            <w:hideMark/>
          </w:tcPr>
          <w:p w14:paraId="79C7F8A3" w14:textId="5B72E300"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079A765C"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BBB65B0" w14:textId="533DB540"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979 </w:t>
            </w:r>
          </w:p>
        </w:tc>
        <w:tc>
          <w:tcPr>
            <w:tcW w:w="902" w:type="dxa"/>
            <w:vAlign w:val="center"/>
            <w:hideMark/>
          </w:tcPr>
          <w:p w14:paraId="6F38E89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13 </w:t>
            </w:r>
          </w:p>
        </w:tc>
        <w:tc>
          <w:tcPr>
            <w:tcW w:w="902" w:type="dxa"/>
            <w:vAlign w:val="center"/>
            <w:hideMark/>
          </w:tcPr>
          <w:p w14:paraId="754049B6"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E58CF5E"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018138D"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987 </w:t>
            </w:r>
          </w:p>
        </w:tc>
        <w:tc>
          <w:tcPr>
            <w:tcW w:w="902" w:type="dxa"/>
            <w:vAlign w:val="center"/>
            <w:hideMark/>
          </w:tcPr>
          <w:p w14:paraId="66B2F03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6FF67D5E"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6D1A08C5"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Gr</w:t>
            </w:r>
            <w:r>
              <w:rPr>
                <w:rFonts w:asciiTheme="minorHAnsi" w:eastAsia="Times New Roman" w:hAnsiTheme="minorHAnsi" w:cstheme="minorHAnsi"/>
                <w:b w:val="0"/>
                <w:bCs w:val="0"/>
                <w:noProof/>
                <w:color w:val="000000"/>
                <w:sz w:val="20"/>
                <w:szCs w:val="20"/>
                <w:lang w:val="es-ES" w:eastAsia="en-GB"/>
              </w:rPr>
              <w:t>a</w:t>
            </w:r>
            <w:r w:rsidRPr="007D7B87">
              <w:rPr>
                <w:rFonts w:asciiTheme="minorHAnsi" w:eastAsia="Times New Roman" w:hAnsiTheme="minorHAnsi" w:cstheme="minorHAnsi"/>
                <w:b w:val="0"/>
                <w:bCs w:val="0"/>
                <w:noProof/>
                <w:color w:val="000000"/>
                <w:sz w:val="20"/>
                <w:szCs w:val="20"/>
                <w:lang w:val="es-ES" w:eastAsia="en-GB"/>
              </w:rPr>
              <w:t>nada</w:t>
            </w:r>
          </w:p>
        </w:tc>
        <w:tc>
          <w:tcPr>
            <w:tcW w:w="901" w:type="dxa"/>
            <w:vAlign w:val="center"/>
            <w:hideMark/>
          </w:tcPr>
          <w:p w14:paraId="1ACF5C63" w14:textId="3D61BEE6"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8</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20180E52" w14:textId="1B00E13D"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55EA16C9"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079034D"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D805221"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EDB7576"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435EF8F" w14:textId="6CBA159F"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8</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7434038F" w14:textId="55FF21D3"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0A797126"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2F4FCBAA"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5E3472B0"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Grecia</w:t>
            </w:r>
          </w:p>
        </w:tc>
        <w:tc>
          <w:tcPr>
            <w:tcW w:w="901" w:type="dxa"/>
            <w:vAlign w:val="center"/>
            <w:hideMark/>
          </w:tcPr>
          <w:p w14:paraId="1D20A760"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08C1D4C3" w14:textId="17B6270E"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17</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914 </w:t>
            </w:r>
          </w:p>
        </w:tc>
        <w:tc>
          <w:tcPr>
            <w:tcW w:w="901" w:type="dxa"/>
            <w:vAlign w:val="center"/>
            <w:hideMark/>
          </w:tcPr>
          <w:p w14:paraId="0F0BE9E0"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717F03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C6776E0" w14:textId="553AEE3B"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17</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914 </w:t>
            </w:r>
          </w:p>
        </w:tc>
        <w:tc>
          <w:tcPr>
            <w:tcW w:w="902" w:type="dxa"/>
            <w:vAlign w:val="center"/>
            <w:hideMark/>
          </w:tcPr>
          <w:p w14:paraId="384843BF"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75BBE1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598720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645BC2DF"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253E0AD6"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23450CC1"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Guatemala</w:t>
            </w:r>
          </w:p>
        </w:tc>
        <w:tc>
          <w:tcPr>
            <w:tcW w:w="901" w:type="dxa"/>
            <w:vAlign w:val="center"/>
            <w:hideMark/>
          </w:tcPr>
          <w:p w14:paraId="2B071358" w14:textId="2B97FED1"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762 </w:t>
            </w:r>
          </w:p>
        </w:tc>
        <w:tc>
          <w:tcPr>
            <w:tcW w:w="901" w:type="dxa"/>
            <w:vAlign w:val="center"/>
            <w:hideMark/>
          </w:tcPr>
          <w:p w14:paraId="497DD888" w14:textId="778ECABF"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762 </w:t>
            </w:r>
          </w:p>
        </w:tc>
        <w:tc>
          <w:tcPr>
            <w:tcW w:w="901" w:type="dxa"/>
            <w:vAlign w:val="center"/>
            <w:hideMark/>
          </w:tcPr>
          <w:p w14:paraId="7BE8B0C5"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8D26DD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BCC2606"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1DB7D02"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C57A4D8" w14:textId="289EE99C"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762 </w:t>
            </w:r>
          </w:p>
        </w:tc>
        <w:tc>
          <w:tcPr>
            <w:tcW w:w="902" w:type="dxa"/>
            <w:vAlign w:val="center"/>
            <w:hideMark/>
          </w:tcPr>
          <w:p w14:paraId="795BDA9E" w14:textId="62933A15"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1A764A">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762 </w:t>
            </w:r>
          </w:p>
        </w:tc>
        <w:tc>
          <w:tcPr>
            <w:tcW w:w="902" w:type="dxa"/>
            <w:vAlign w:val="center"/>
            <w:hideMark/>
          </w:tcPr>
          <w:p w14:paraId="53DECBD2"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31E50179"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58327B86" w14:textId="77777777" w:rsidR="00237543" w:rsidRPr="00B94D34"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B94D34">
              <w:rPr>
                <w:rFonts w:asciiTheme="minorHAnsi" w:eastAsia="Times New Roman" w:hAnsiTheme="minorHAnsi" w:cstheme="minorHAnsi"/>
                <w:b w:val="0"/>
                <w:bCs w:val="0"/>
                <w:noProof/>
                <w:color w:val="000000"/>
                <w:sz w:val="20"/>
                <w:szCs w:val="20"/>
                <w:lang w:val="es-ES" w:eastAsia="en-GB"/>
              </w:rPr>
              <w:t>Guinea</w:t>
            </w:r>
          </w:p>
        </w:tc>
        <w:tc>
          <w:tcPr>
            <w:tcW w:w="901" w:type="dxa"/>
            <w:vAlign w:val="center"/>
            <w:hideMark/>
          </w:tcPr>
          <w:p w14:paraId="23B99DF8" w14:textId="21257181" w:rsidR="00237543" w:rsidRPr="00B94D34"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B94D34">
              <w:rPr>
                <w:rFonts w:asciiTheme="minorHAnsi" w:hAnsiTheme="minorHAnsi" w:cstheme="minorHAnsi"/>
                <w:noProof/>
                <w:sz w:val="20"/>
                <w:szCs w:val="20"/>
                <w:lang w:val="es-ES"/>
              </w:rPr>
              <w:t>7</w:t>
            </w:r>
            <w:r w:rsidR="00B94D34">
              <w:rPr>
                <w:rFonts w:asciiTheme="minorHAnsi" w:hAnsiTheme="minorHAnsi" w:cstheme="minorHAnsi"/>
                <w:noProof/>
                <w:sz w:val="20"/>
                <w:szCs w:val="20"/>
                <w:lang w:val="es-ES"/>
              </w:rPr>
              <w:t xml:space="preserve"> </w:t>
            </w:r>
            <w:r w:rsidRPr="00B94D34">
              <w:rPr>
                <w:rFonts w:asciiTheme="minorHAnsi" w:hAnsiTheme="minorHAnsi" w:cstheme="minorHAnsi"/>
                <w:noProof/>
                <w:sz w:val="20"/>
                <w:szCs w:val="20"/>
                <w:lang w:val="es-ES"/>
              </w:rPr>
              <w:t xml:space="preserve">000 </w:t>
            </w:r>
          </w:p>
        </w:tc>
        <w:tc>
          <w:tcPr>
            <w:tcW w:w="901" w:type="dxa"/>
            <w:vAlign w:val="center"/>
            <w:hideMark/>
          </w:tcPr>
          <w:p w14:paraId="22EE0837" w14:textId="35E1212D" w:rsidR="00237543" w:rsidRPr="00B94D34"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B94D34">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B94D34">
              <w:rPr>
                <w:rFonts w:asciiTheme="minorHAnsi" w:hAnsiTheme="minorHAnsi" w:cstheme="minorHAnsi"/>
                <w:noProof/>
                <w:sz w:val="20"/>
                <w:szCs w:val="20"/>
                <w:lang w:val="es-ES"/>
              </w:rPr>
              <w:t xml:space="preserve">000 </w:t>
            </w:r>
          </w:p>
        </w:tc>
        <w:tc>
          <w:tcPr>
            <w:tcW w:w="901" w:type="dxa"/>
            <w:vAlign w:val="center"/>
            <w:hideMark/>
          </w:tcPr>
          <w:p w14:paraId="20BDE6A5" w14:textId="77777777" w:rsidR="00237543" w:rsidRPr="00B94D34"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B94D34">
              <w:rPr>
                <w:rFonts w:asciiTheme="minorHAnsi" w:hAnsiTheme="minorHAnsi" w:cstheme="minorHAnsi"/>
                <w:noProof/>
                <w:sz w:val="20"/>
                <w:szCs w:val="20"/>
                <w:lang w:val="es-ES"/>
              </w:rPr>
              <w:t xml:space="preserve"> -</w:t>
            </w:r>
          </w:p>
        </w:tc>
        <w:tc>
          <w:tcPr>
            <w:tcW w:w="902" w:type="dxa"/>
            <w:vAlign w:val="center"/>
            <w:hideMark/>
          </w:tcPr>
          <w:p w14:paraId="3046186A" w14:textId="77777777" w:rsidR="00237543" w:rsidRPr="00B94D34"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B94D34">
              <w:rPr>
                <w:rFonts w:asciiTheme="minorHAnsi" w:hAnsiTheme="minorHAnsi" w:cstheme="minorHAnsi"/>
                <w:noProof/>
                <w:sz w:val="20"/>
                <w:szCs w:val="20"/>
                <w:lang w:val="es-ES"/>
              </w:rPr>
              <w:t xml:space="preserve"> -</w:t>
            </w:r>
          </w:p>
        </w:tc>
        <w:tc>
          <w:tcPr>
            <w:tcW w:w="902" w:type="dxa"/>
            <w:vAlign w:val="center"/>
            <w:hideMark/>
          </w:tcPr>
          <w:p w14:paraId="0C23777F" w14:textId="77777777" w:rsidR="00237543" w:rsidRPr="00B94D34"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B94D34">
              <w:rPr>
                <w:rFonts w:asciiTheme="minorHAnsi" w:hAnsiTheme="minorHAnsi" w:cstheme="minorHAnsi"/>
                <w:noProof/>
                <w:sz w:val="20"/>
                <w:szCs w:val="20"/>
                <w:lang w:val="es-ES"/>
              </w:rPr>
              <w:t xml:space="preserve"> -</w:t>
            </w:r>
          </w:p>
        </w:tc>
        <w:tc>
          <w:tcPr>
            <w:tcW w:w="902" w:type="dxa"/>
            <w:vAlign w:val="center"/>
            <w:hideMark/>
          </w:tcPr>
          <w:p w14:paraId="47AC0692" w14:textId="77777777" w:rsidR="00237543" w:rsidRPr="00B94D34"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B94D34">
              <w:rPr>
                <w:rFonts w:asciiTheme="minorHAnsi" w:hAnsiTheme="minorHAnsi" w:cstheme="minorHAnsi"/>
                <w:noProof/>
                <w:sz w:val="20"/>
                <w:szCs w:val="20"/>
                <w:lang w:val="es-ES"/>
              </w:rPr>
              <w:t xml:space="preserve"> -</w:t>
            </w:r>
          </w:p>
        </w:tc>
        <w:tc>
          <w:tcPr>
            <w:tcW w:w="902" w:type="dxa"/>
            <w:vAlign w:val="center"/>
            <w:hideMark/>
          </w:tcPr>
          <w:p w14:paraId="2D84FB29" w14:textId="7B49CAF6" w:rsidR="00237543" w:rsidRPr="00B94D34"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B94D34">
              <w:rPr>
                <w:rFonts w:asciiTheme="minorHAnsi" w:hAnsiTheme="minorHAnsi" w:cstheme="minorHAnsi"/>
                <w:noProof/>
                <w:sz w:val="20"/>
                <w:szCs w:val="20"/>
                <w:lang w:val="es-ES"/>
              </w:rPr>
              <w:t>7</w:t>
            </w:r>
            <w:r w:rsidR="00B94D34">
              <w:rPr>
                <w:rFonts w:asciiTheme="minorHAnsi" w:hAnsiTheme="minorHAnsi" w:cstheme="minorHAnsi"/>
                <w:noProof/>
                <w:sz w:val="20"/>
                <w:szCs w:val="20"/>
                <w:lang w:val="es-ES"/>
              </w:rPr>
              <w:t xml:space="preserve"> </w:t>
            </w:r>
            <w:r w:rsidRPr="00B94D34">
              <w:rPr>
                <w:rFonts w:asciiTheme="minorHAnsi" w:hAnsiTheme="minorHAnsi" w:cstheme="minorHAnsi"/>
                <w:noProof/>
                <w:sz w:val="20"/>
                <w:szCs w:val="20"/>
                <w:lang w:val="es-ES"/>
              </w:rPr>
              <w:t xml:space="preserve">000 </w:t>
            </w:r>
          </w:p>
        </w:tc>
        <w:tc>
          <w:tcPr>
            <w:tcW w:w="902" w:type="dxa"/>
            <w:vAlign w:val="center"/>
            <w:hideMark/>
          </w:tcPr>
          <w:p w14:paraId="61A431DA" w14:textId="5E4B0ACA" w:rsidR="00237543" w:rsidRPr="00B94D34"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B94D34">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B94D34">
              <w:rPr>
                <w:rFonts w:asciiTheme="minorHAnsi" w:hAnsiTheme="minorHAnsi" w:cstheme="minorHAnsi"/>
                <w:noProof/>
                <w:sz w:val="20"/>
                <w:szCs w:val="20"/>
                <w:lang w:val="es-ES"/>
              </w:rPr>
              <w:t xml:space="preserve">000 </w:t>
            </w:r>
          </w:p>
        </w:tc>
        <w:tc>
          <w:tcPr>
            <w:tcW w:w="902" w:type="dxa"/>
            <w:vAlign w:val="center"/>
            <w:hideMark/>
          </w:tcPr>
          <w:p w14:paraId="73196FDA" w14:textId="77777777" w:rsidR="00237543" w:rsidRPr="00B94D34"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B94D34">
              <w:rPr>
                <w:rFonts w:asciiTheme="minorHAnsi" w:hAnsiTheme="minorHAnsi" w:cstheme="minorHAnsi"/>
                <w:noProof/>
                <w:sz w:val="20"/>
                <w:szCs w:val="20"/>
                <w:lang w:val="es-ES"/>
              </w:rPr>
              <w:t>-</w:t>
            </w:r>
          </w:p>
        </w:tc>
      </w:tr>
      <w:tr w:rsidR="00237543" w:rsidRPr="007D7B87" w14:paraId="4AF7101A"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39763B6D"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Guinea</w:t>
            </w:r>
            <w:r>
              <w:rPr>
                <w:rFonts w:asciiTheme="minorHAnsi" w:eastAsia="Times New Roman" w:hAnsiTheme="minorHAnsi" w:cstheme="minorHAnsi"/>
                <w:b w:val="0"/>
                <w:bCs w:val="0"/>
                <w:noProof/>
                <w:color w:val="000000"/>
                <w:sz w:val="20"/>
                <w:szCs w:val="20"/>
                <w:lang w:val="es-ES" w:eastAsia="en-GB"/>
              </w:rPr>
              <w:t xml:space="preserve"> Ecuatorial</w:t>
            </w:r>
          </w:p>
        </w:tc>
        <w:tc>
          <w:tcPr>
            <w:tcW w:w="901" w:type="dxa"/>
            <w:vAlign w:val="center"/>
            <w:hideMark/>
          </w:tcPr>
          <w:p w14:paraId="07D28E7B" w14:textId="4883786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7</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33B0BBE8" w14:textId="2BB44D4B"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1E25881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0E3189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333868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ABD379F"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80BA049" w14:textId="6190A81E"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7</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3110DBF9" w14:textId="45412061"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6ED3B5EC"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66D1DC91"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0331888B"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Guinea-Bissau</w:t>
            </w:r>
          </w:p>
        </w:tc>
        <w:tc>
          <w:tcPr>
            <w:tcW w:w="901" w:type="dxa"/>
            <w:vAlign w:val="center"/>
            <w:hideMark/>
          </w:tcPr>
          <w:p w14:paraId="1E5000D5" w14:textId="5A2EDFA9"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13</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110 </w:t>
            </w:r>
          </w:p>
        </w:tc>
        <w:tc>
          <w:tcPr>
            <w:tcW w:w="901" w:type="dxa"/>
            <w:vAlign w:val="center"/>
            <w:hideMark/>
          </w:tcPr>
          <w:p w14:paraId="7E3CB808" w14:textId="6DBEB7B5"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7A6CF4C7"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0F7697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E958E6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A84407B"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EAAAAB1" w14:textId="6B96D903"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13</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110 </w:t>
            </w:r>
          </w:p>
        </w:tc>
        <w:tc>
          <w:tcPr>
            <w:tcW w:w="902" w:type="dxa"/>
            <w:vAlign w:val="center"/>
            <w:hideMark/>
          </w:tcPr>
          <w:p w14:paraId="34631374" w14:textId="28B5C4D5"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57EE2A1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22A7D208"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1C079E90"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Honduras</w:t>
            </w:r>
          </w:p>
        </w:tc>
        <w:tc>
          <w:tcPr>
            <w:tcW w:w="901" w:type="dxa"/>
            <w:vAlign w:val="center"/>
            <w:hideMark/>
          </w:tcPr>
          <w:p w14:paraId="6B5AC5C3" w14:textId="7EF70514"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997 </w:t>
            </w:r>
          </w:p>
        </w:tc>
        <w:tc>
          <w:tcPr>
            <w:tcW w:w="901" w:type="dxa"/>
            <w:vAlign w:val="center"/>
            <w:hideMark/>
          </w:tcPr>
          <w:p w14:paraId="1461C6AC" w14:textId="1AB12EA8"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060F7FA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BA0712D"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5228078"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7A7737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E060122" w14:textId="2C5874DC"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997 </w:t>
            </w:r>
          </w:p>
        </w:tc>
        <w:tc>
          <w:tcPr>
            <w:tcW w:w="902" w:type="dxa"/>
            <w:vAlign w:val="center"/>
            <w:hideMark/>
          </w:tcPr>
          <w:p w14:paraId="4766722F" w14:textId="6EAA9C86"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4037403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51804F7A"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1B313208"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Hung</w:t>
            </w:r>
            <w:r>
              <w:rPr>
                <w:rFonts w:asciiTheme="minorHAnsi" w:eastAsia="Times New Roman" w:hAnsiTheme="minorHAnsi" w:cstheme="minorHAnsi"/>
                <w:b w:val="0"/>
                <w:bCs w:val="0"/>
                <w:noProof/>
                <w:color w:val="000000"/>
                <w:sz w:val="20"/>
                <w:szCs w:val="20"/>
                <w:lang w:val="es-ES" w:eastAsia="en-GB"/>
              </w:rPr>
              <w:t>ría</w:t>
            </w:r>
          </w:p>
        </w:tc>
        <w:tc>
          <w:tcPr>
            <w:tcW w:w="901" w:type="dxa"/>
            <w:vAlign w:val="center"/>
            <w:hideMark/>
          </w:tcPr>
          <w:p w14:paraId="49592E6E"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7D56FD69" w14:textId="1A93A3B6"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10</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083 </w:t>
            </w:r>
          </w:p>
        </w:tc>
        <w:tc>
          <w:tcPr>
            <w:tcW w:w="901" w:type="dxa"/>
            <w:vAlign w:val="center"/>
            <w:hideMark/>
          </w:tcPr>
          <w:p w14:paraId="0D44A1F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D06BEF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6D9376B" w14:textId="666774C5"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10</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083 </w:t>
            </w:r>
          </w:p>
        </w:tc>
        <w:tc>
          <w:tcPr>
            <w:tcW w:w="902" w:type="dxa"/>
            <w:vAlign w:val="center"/>
            <w:hideMark/>
          </w:tcPr>
          <w:p w14:paraId="762FB8FE"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FD8E02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E1C505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7F433CCC"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0F9B38F9"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4275CE6A"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India</w:t>
            </w:r>
          </w:p>
        </w:tc>
        <w:tc>
          <w:tcPr>
            <w:tcW w:w="901" w:type="dxa"/>
            <w:vAlign w:val="center"/>
            <w:hideMark/>
          </w:tcPr>
          <w:p w14:paraId="3C7CA335"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148DF4E9" w14:textId="1B7B3049"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40</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821 </w:t>
            </w:r>
          </w:p>
        </w:tc>
        <w:tc>
          <w:tcPr>
            <w:tcW w:w="901" w:type="dxa"/>
            <w:vAlign w:val="center"/>
            <w:hideMark/>
          </w:tcPr>
          <w:p w14:paraId="24F93B2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85F1CF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3E6E262" w14:textId="4ECFE505"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40</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821 </w:t>
            </w:r>
          </w:p>
        </w:tc>
        <w:tc>
          <w:tcPr>
            <w:tcW w:w="902" w:type="dxa"/>
            <w:vAlign w:val="center"/>
            <w:hideMark/>
          </w:tcPr>
          <w:p w14:paraId="0B879B5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C5F85B0"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798A168"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2574DEFC"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03D1913F"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50E5709D"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Indonesia</w:t>
            </w:r>
          </w:p>
        </w:tc>
        <w:tc>
          <w:tcPr>
            <w:tcW w:w="901" w:type="dxa"/>
            <w:vAlign w:val="center"/>
            <w:hideMark/>
          </w:tcPr>
          <w:p w14:paraId="0D1E0DCE" w14:textId="2B4C49E3"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26</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578 </w:t>
            </w:r>
          </w:p>
        </w:tc>
        <w:tc>
          <w:tcPr>
            <w:tcW w:w="901" w:type="dxa"/>
            <w:vAlign w:val="center"/>
            <w:hideMark/>
          </w:tcPr>
          <w:p w14:paraId="55045859" w14:textId="35A7327C"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26</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578 </w:t>
            </w:r>
          </w:p>
        </w:tc>
        <w:tc>
          <w:tcPr>
            <w:tcW w:w="901" w:type="dxa"/>
            <w:vAlign w:val="center"/>
            <w:hideMark/>
          </w:tcPr>
          <w:p w14:paraId="22BE373C"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659B7A9" w14:textId="7EFB642D"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26</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578 </w:t>
            </w:r>
          </w:p>
        </w:tc>
        <w:tc>
          <w:tcPr>
            <w:tcW w:w="902" w:type="dxa"/>
            <w:vAlign w:val="center"/>
            <w:hideMark/>
          </w:tcPr>
          <w:p w14:paraId="6AE7B771"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6755D5D"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F8BA79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BA9B196" w14:textId="4616AFCC"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26</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578 </w:t>
            </w:r>
          </w:p>
        </w:tc>
        <w:tc>
          <w:tcPr>
            <w:tcW w:w="902" w:type="dxa"/>
            <w:vAlign w:val="center"/>
            <w:hideMark/>
          </w:tcPr>
          <w:p w14:paraId="180E9E0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0828AE17"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19BDC66D" w14:textId="77777777" w:rsidR="00237543" w:rsidRPr="00950AC3"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950AC3">
              <w:rPr>
                <w:rFonts w:asciiTheme="minorHAnsi" w:eastAsia="Times New Roman" w:hAnsiTheme="minorHAnsi" w:cstheme="minorHAnsi"/>
                <w:b w:val="0"/>
                <w:bCs w:val="0"/>
                <w:noProof/>
                <w:color w:val="000000"/>
                <w:sz w:val="20"/>
                <w:szCs w:val="20"/>
                <w:lang w:val="es-ES" w:eastAsia="en-GB"/>
              </w:rPr>
              <w:t>Irán (</w:t>
            </w:r>
            <w:r w:rsidRPr="00950AC3">
              <w:rPr>
                <w:rFonts w:asciiTheme="minorHAnsi" w:eastAsia="Times New Roman" w:hAnsiTheme="minorHAnsi" w:cs="Arial"/>
                <w:b w:val="0"/>
                <w:bCs w:val="0"/>
                <w:noProof/>
                <w:sz w:val="20"/>
                <w:szCs w:val="20"/>
                <w:lang w:val="es-ES" w:eastAsia="en-GB"/>
              </w:rPr>
              <w:t>República Islámica del</w:t>
            </w:r>
            <w:r w:rsidRPr="00950AC3">
              <w:rPr>
                <w:rFonts w:asciiTheme="minorHAnsi" w:eastAsia="Times New Roman" w:hAnsiTheme="minorHAnsi" w:cstheme="minorHAnsi"/>
                <w:b w:val="0"/>
                <w:bCs w:val="0"/>
                <w:noProof/>
                <w:color w:val="000000"/>
                <w:sz w:val="20"/>
                <w:szCs w:val="20"/>
                <w:lang w:val="es-ES" w:eastAsia="en-GB"/>
              </w:rPr>
              <w:t>)</w:t>
            </w:r>
          </w:p>
        </w:tc>
        <w:tc>
          <w:tcPr>
            <w:tcW w:w="901" w:type="dxa"/>
            <w:vAlign w:val="center"/>
            <w:hideMark/>
          </w:tcPr>
          <w:p w14:paraId="20720157" w14:textId="437126BC"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56</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126 </w:t>
            </w:r>
          </w:p>
        </w:tc>
        <w:tc>
          <w:tcPr>
            <w:tcW w:w="901" w:type="dxa"/>
            <w:vAlign w:val="center"/>
            <w:hideMark/>
          </w:tcPr>
          <w:p w14:paraId="50AA33DB" w14:textId="668E56B6"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19</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480 </w:t>
            </w:r>
          </w:p>
        </w:tc>
        <w:tc>
          <w:tcPr>
            <w:tcW w:w="901" w:type="dxa"/>
            <w:vAlign w:val="center"/>
            <w:hideMark/>
          </w:tcPr>
          <w:p w14:paraId="2C943CD0"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DEDD2C0" w14:textId="37EB14A3"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19</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785 </w:t>
            </w:r>
          </w:p>
        </w:tc>
        <w:tc>
          <w:tcPr>
            <w:tcW w:w="902" w:type="dxa"/>
            <w:vAlign w:val="center"/>
            <w:hideMark/>
          </w:tcPr>
          <w:p w14:paraId="37BAEBC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8F373C8"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EAD6E43" w14:textId="5D6418D5"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36</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342 </w:t>
            </w:r>
          </w:p>
        </w:tc>
        <w:tc>
          <w:tcPr>
            <w:tcW w:w="902" w:type="dxa"/>
            <w:vAlign w:val="center"/>
            <w:hideMark/>
          </w:tcPr>
          <w:p w14:paraId="6E6BD96D" w14:textId="4169D911"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19</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480 </w:t>
            </w:r>
          </w:p>
        </w:tc>
        <w:tc>
          <w:tcPr>
            <w:tcW w:w="902" w:type="dxa"/>
            <w:vAlign w:val="center"/>
            <w:hideMark/>
          </w:tcPr>
          <w:p w14:paraId="3A8129AD"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3E887DF7"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1BAB4C79"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lastRenderedPageBreak/>
              <w:t>Iraq</w:t>
            </w:r>
          </w:p>
        </w:tc>
        <w:tc>
          <w:tcPr>
            <w:tcW w:w="901" w:type="dxa"/>
            <w:vAlign w:val="center"/>
            <w:hideMark/>
          </w:tcPr>
          <w:p w14:paraId="15A18691" w14:textId="215ED706"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18</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938 </w:t>
            </w:r>
          </w:p>
        </w:tc>
        <w:tc>
          <w:tcPr>
            <w:tcW w:w="901" w:type="dxa"/>
            <w:vAlign w:val="center"/>
            <w:hideMark/>
          </w:tcPr>
          <w:p w14:paraId="70B41C86" w14:textId="175A078C"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6</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314 </w:t>
            </w:r>
          </w:p>
        </w:tc>
        <w:tc>
          <w:tcPr>
            <w:tcW w:w="901" w:type="dxa"/>
            <w:vAlign w:val="center"/>
            <w:hideMark/>
          </w:tcPr>
          <w:p w14:paraId="48B73531"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7808406"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855B13F"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A7D9A4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F9447D8" w14:textId="7E7CCD75"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18</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938 </w:t>
            </w:r>
          </w:p>
        </w:tc>
        <w:tc>
          <w:tcPr>
            <w:tcW w:w="902" w:type="dxa"/>
            <w:vAlign w:val="center"/>
            <w:hideMark/>
          </w:tcPr>
          <w:p w14:paraId="26951033" w14:textId="65D636B4"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6</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314 </w:t>
            </w:r>
          </w:p>
        </w:tc>
        <w:tc>
          <w:tcPr>
            <w:tcW w:w="902" w:type="dxa"/>
            <w:vAlign w:val="center"/>
            <w:hideMark/>
          </w:tcPr>
          <w:p w14:paraId="3F9B2934"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6B214DE0"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155550EA"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Irlanda</w:t>
            </w:r>
          </w:p>
        </w:tc>
        <w:tc>
          <w:tcPr>
            <w:tcW w:w="901" w:type="dxa"/>
            <w:vAlign w:val="center"/>
            <w:hideMark/>
          </w:tcPr>
          <w:p w14:paraId="050DCEDE"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7DC5D46A" w14:textId="4940BB56"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18</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159 </w:t>
            </w:r>
          </w:p>
        </w:tc>
        <w:tc>
          <w:tcPr>
            <w:tcW w:w="901" w:type="dxa"/>
            <w:vAlign w:val="center"/>
            <w:hideMark/>
          </w:tcPr>
          <w:p w14:paraId="2972E86F" w14:textId="16EC63BA"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220 </w:t>
            </w:r>
          </w:p>
        </w:tc>
        <w:tc>
          <w:tcPr>
            <w:tcW w:w="902" w:type="dxa"/>
            <w:vAlign w:val="center"/>
            <w:hideMark/>
          </w:tcPr>
          <w:p w14:paraId="384BC2F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D835300" w14:textId="63EF3642"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15</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939 </w:t>
            </w:r>
          </w:p>
        </w:tc>
        <w:tc>
          <w:tcPr>
            <w:tcW w:w="902" w:type="dxa"/>
            <w:vAlign w:val="center"/>
            <w:hideMark/>
          </w:tcPr>
          <w:p w14:paraId="4213F59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2C1DD2E"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24EE516"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17B7396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223E01D7"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77B56C14"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Islandia</w:t>
            </w:r>
          </w:p>
        </w:tc>
        <w:tc>
          <w:tcPr>
            <w:tcW w:w="901" w:type="dxa"/>
            <w:vAlign w:val="center"/>
            <w:hideMark/>
          </w:tcPr>
          <w:p w14:paraId="06003614"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512745A7" w14:textId="2FD87F54"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370 </w:t>
            </w:r>
          </w:p>
        </w:tc>
        <w:tc>
          <w:tcPr>
            <w:tcW w:w="901" w:type="dxa"/>
            <w:vAlign w:val="center"/>
            <w:hideMark/>
          </w:tcPr>
          <w:p w14:paraId="6AA7EDD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75C003C"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F81E14E" w14:textId="619FDCC3"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370 </w:t>
            </w:r>
          </w:p>
        </w:tc>
        <w:tc>
          <w:tcPr>
            <w:tcW w:w="902" w:type="dxa"/>
            <w:vAlign w:val="center"/>
            <w:hideMark/>
          </w:tcPr>
          <w:p w14:paraId="24AD293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2128EC1"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CFB33F1"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0C047660"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3AAA5F78"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3FD95B17"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 xml:space="preserve">Islas </w:t>
            </w:r>
            <w:r w:rsidRPr="007D7B87">
              <w:rPr>
                <w:rFonts w:asciiTheme="minorHAnsi" w:eastAsia="Times New Roman" w:hAnsiTheme="minorHAnsi" w:cstheme="minorHAnsi"/>
                <w:b w:val="0"/>
                <w:bCs w:val="0"/>
                <w:noProof/>
                <w:color w:val="000000"/>
                <w:sz w:val="20"/>
                <w:szCs w:val="20"/>
                <w:lang w:val="es-ES" w:eastAsia="en-GB"/>
              </w:rPr>
              <w:t>Marshall</w:t>
            </w:r>
          </w:p>
        </w:tc>
        <w:tc>
          <w:tcPr>
            <w:tcW w:w="901" w:type="dxa"/>
            <w:vAlign w:val="center"/>
            <w:hideMark/>
          </w:tcPr>
          <w:p w14:paraId="10884DDC" w14:textId="0CEAB2C2"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5</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161 </w:t>
            </w:r>
          </w:p>
        </w:tc>
        <w:tc>
          <w:tcPr>
            <w:tcW w:w="901" w:type="dxa"/>
            <w:vAlign w:val="center"/>
            <w:hideMark/>
          </w:tcPr>
          <w:p w14:paraId="581FB5DB" w14:textId="66681CFF"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53907098"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73C4F7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FC220D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57294F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7C8F4A3" w14:textId="3E04F17C"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5</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161 </w:t>
            </w:r>
          </w:p>
        </w:tc>
        <w:tc>
          <w:tcPr>
            <w:tcW w:w="902" w:type="dxa"/>
            <w:vAlign w:val="center"/>
            <w:hideMark/>
          </w:tcPr>
          <w:p w14:paraId="335DDA32" w14:textId="48E3EC4E"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328886D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2B793C12"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351D4541"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Israel</w:t>
            </w:r>
          </w:p>
        </w:tc>
        <w:tc>
          <w:tcPr>
            <w:tcW w:w="901" w:type="dxa"/>
            <w:vAlign w:val="center"/>
            <w:hideMark/>
          </w:tcPr>
          <w:p w14:paraId="3EF68D1B" w14:textId="2DC0A5F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23</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984 </w:t>
            </w:r>
          </w:p>
        </w:tc>
        <w:tc>
          <w:tcPr>
            <w:tcW w:w="901" w:type="dxa"/>
            <w:vAlign w:val="center"/>
            <w:hideMark/>
          </w:tcPr>
          <w:p w14:paraId="13900B05" w14:textId="242C0832"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23</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984 </w:t>
            </w:r>
          </w:p>
        </w:tc>
        <w:tc>
          <w:tcPr>
            <w:tcW w:w="901" w:type="dxa"/>
            <w:vAlign w:val="center"/>
            <w:hideMark/>
          </w:tcPr>
          <w:p w14:paraId="180379DD"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866CBDB"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AA76FB7"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475B38C"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275C346" w14:textId="54719543"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23</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984 </w:t>
            </w:r>
          </w:p>
        </w:tc>
        <w:tc>
          <w:tcPr>
            <w:tcW w:w="902" w:type="dxa"/>
            <w:vAlign w:val="center"/>
            <w:hideMark/>
          </w:tcPr>
          <w:p w14:paraId="6AD11DDB" w14:textId="2CF275CC"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23</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984 </w:t>
            </w:r>
          </w:p>
        </w:tc>
        <w:tc>
          <w:tcPr>
            <w:tcW w:w="902" w:type="dxa"/>
            <w:vAlign w:val="center"/>
            <w:hideMark/>
          </w:tcPr>
          <w:p w14:paraId="73735B0F"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2F29B7C1"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65024E7C"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Ital</w:t>
            </w:r>
            <w:r>
              <w:rPr>
                <w:rFonts w:asciiTheme="minorHAnsi" w:eastAsia="Times New Roman" w:hAnsiTheme="minorHAnsi" w:cstheme="minorHAnsi"/>
                <w:b w:val="0"/>
                <w:bCs w:val="0"/>
                <w:noProof/>
                <w:color w:val="000000"/>
                <w:sz w:val="20"/>
                <w:szCs w:val="20"/>
                <w:lang w:val="es-ES" w:eastAsia="en-GB"/>
              </w:rPr>
              <w:t>ia</w:t>
            </w:r>
          </w:p>
        </w:tc>
        <w:tc>
          <w:tcPr>
            <w:tcW w:w="901" w:type="dxa"/>
            <w:vAlign w:val="center"/>
            <w:hideMark/>
          </w:tcPr>
          <w:p w14:paraId="2489E3FC"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58FBF477" w14:textId="7E05E112"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161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864 </w:t>
            </w:r>
          </w:p>
        </w:tc>
        <w:tc>
          <w:tcPr>
            <w:tcW w:w="901" w:type="dxa"/>
            <w:vAlign w:val="center"/>
            <w:hideMark/>
          </w:tcPr>
          <w:p w14:paraId="54DE62B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27E702E"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7A28327" w14:textId="6DDE13F0"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161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864 </w:t>
            </w:r>
          </w:p>
        </w:tc>
        <w:tc>
          <w:tcPr>
            <w:tcW w:w="902" w:type="dxa"/>
            <w:vAlign w:val="center"/>
            <w:hideMark/>
          </w:tcPr>
          <w:p w14:paraId="308E657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1D7F25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47867C5"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0A31AF96"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55F16947"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6E7B2BAC"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Jamaica</w:t>
            </w:r>
          </w:p>
        </w:tc>
        <w:tc>
          <w:tcPr>
            <w:tcW w:w="901" w:type="dxa"/>
            <w:vAlign w:val="center"/>
            <w:hideMark/>
          </w:tcPr>
          <w:p w14:paraId="0647470B"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777D37A7" w14:textId="24FC13C4"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19CCE686"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35 </w:t>
            </w:r>
          </w:p>
        </w:tc>
        <w:tc>
          <w:tcPr>
            <w:tcW w:w="902" w:type="dxa"/>
            <w:vAlign w:val="center"/>
            <w:hideMark/>
          </w:tcPr>
          <w:p w14:paraId="64B4690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82E6D9C"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965 </w:t>
            </w:r>
          </w:p>
        </w:tc>
        <w:tc>
          <w:tcPr>
            <w:tcW w:w="902" w:type="dxa"/>
            <w:vAlign w:val="center"/>
            <w:hideMark/>
          </w:tcPr>
          <w:p w14:paraId="282FF6BB"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35 </w:t>
            </w:r>
          </w:p>
        </w:tc>
        <w:tc>
          <w:tcPr>
            <w:tcW w:w="902" w:type="dxa"/>
            <w:vAlign w:val="center"/>
            <w:hideMark/>
          </w:tcPr>
          <w:p w14:paraId="53191D8D"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58F9E37"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71B55E5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35 </w:t>
            </w:r>
          </w:p>
        </w:tc>
      </w:tr>
      <w:tr w:rsidR="00237543" w:rsidRPr="007D7B87" w14:paraId="1EABD607"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2960A6D4"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Jap</w:t>
            </w:r>
            <w:r>
              <w:rPr>
                <w:rFonts w:asciiTheme="minorHAnsi" w:eastAsia="Times New Roman" w:hAnsiTheme="minorHAnsi" w:cstheme="minorHAnsi"/>
                <w:b w:val="0"/>
                <w:bCs w:val="0"/>
                <w:noProof/>
                <w:color w:val="000000"/>
                <w:sz w:val="20"/>
                <w:szCs w:val="20"/>
                <w:lang w:val="es-ES" w:eastAsia="en-GB"/>
              </w:rPr>
              <w:t>ó</w:t>
            </w:r>
            <w:r w:rsidRPr="007D7B87">
              <w:rPr>
                <w:rFonts w:asciiTheme="minorHAnsi" w:eastAsia="Times New Roman" w:hAnsiTheme="minorHAnsi" w:cstheme="minorHAnsi"/>
                <w:b w:val="0"/>
                <w:bCs w:val="0"/>
                <w:noProof/>
                <w:color w:val="000000"/>
                <w:sz w:val="20"/>
                <w:szCs w:val="20"/>
                <w:lang w:val="es-ES" w:eastAsia="en-GB"/>
              </w:rPr>
              <w:t>n</w:t>
            </w:r>
          </w:p>
        </w:tc>
        <w:tc>
          <w:tcPr>
            <w:tcW w:w="901" w:type="dxa"/>
            <w:vAlign w:val="center"/>
            <w:hideMark/>
          </w:tcPr>
          <w:p w14:paraId="7BECEB4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4B0B01F2" w14:textId="093B57D1"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419</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173 </w:t>
            </w:r>
          </w:p>
        </w:tc>
        <w:tc>
          <w:tcPr>
            <w:tcW w:w="901" w:type="dxa"/>
            <w:vAlign w:val="center"/>
            <w:hideMark/>
          </w:tcPr>
          <w:p w14:paraId="0056843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21A3F7E"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40289A3" w14:textId="7C3CCEFB"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419</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173 </w:t>
            </w:r>
          </w:p>
        </w:tc>
        <w:tc>
          <w:tcPr>
            <w:tcW w:w="902" w:type="dxa"/>
            <w:vAlign w:val="center"/>
            <w:hideMark/>
          </w:tcPr>
          <w:p w14:paraId="4066F149"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8435CF6"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B521472"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76E73366"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7A496851"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413E9BB1"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Jordan</w:t>
            </w:r>
            <w:r>
              <w:rPr>
                <w:rFonts w:asciiTheme="minorHAnsi" w:eastAsia="Times New Roman" w:hAnsiTheme="minorHAnsi" w:cstheme="minorHAnsi"/>
                <w:b w:val="0"/>
                <w:bCs w:val="0"/>
                <w:noProof/>
                <w:color w:val="000000"/>
                <w:sz w:val="20"/>
                <w:szCs w:val="20"/>
                <w:lang w:val="es-ES" w:eastAsia="en-GB"/>
              </w:rPr>
              <w:t>ia</w:t>
            </w:r>
          </w:p>
        </w:tc>
        <w:tc>
          <w:tcPr>
            <w:tcW w:w="901" w:type="dxa"/>
            <w:vAlign w:val="center"/>
            <w:hideMark/>
          </w:tcPr>
          <w:p w14:paraId="19E7A447" w14:textId="2155B214"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6695FC80" w14:textId="02C51928"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028 </w:t>
            </w:r>
          </w:p>
        </w:tc>
        <w:tc>
          <w:tcPr>
            <w:tcW w:w="901" w:type="dxa"/>
            <w:vAlign w:val="center"/>
            <w:hideMark/>
          </w:tcPr>
          <w:p w14:paraId="2304A9FF"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4FA59E8" w14:textId="0EA76756"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1357CA96"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A03A3E7"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8B38C5D"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B1CB582" w14:textId="30722A2F"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028 </w:t>
            </w:r>
          </w:p>
        </w:tc>
        <w:tc>
          <w:tcPr>
            <w:tcW w:w="902" w:type="dxa"/>
            <w:vAlign w:val="center"/>
            <w:hideMark/>
          </w:tcPr>
          <w:p w14:paraId="276C216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18BEF5DD"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6D33E2B6"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Kazajstán</w:t>
            </w:r>
          </w:p>
        </w:tc>
        <w:tc>
          <w:tcPr>
            <w:tcW w:w="901" w:type="dxa"/>
            <w:vAlign w:val="center"/>
            <w:hideMark/>
          </w:tcPr>
          <w:p w14:paraId="7A8D408C"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17F2325F" w14:textId="0938069D"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8</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712 </w:t>
            </w:r>
          </w:p>
        </w:tc>
        <w:tc>
          <w:tcPr>
            <w:tcW w:w="901" w:type="dxa"/>
            <w:vAlign w:val="center"/>
            <w:hideMark/>
          </w:tcPr>
          <w:p w14:paraId="41833590"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1AAA0FD"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9EEF548" w14:textId="6A11299D"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8</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712 </w:t>
            </w:r>
          </w:p>
        </w:tc>
        <w:tc>
          <w:tcPr>
            <w:tcW w:w="902" w:type="dxa"/>
            <w:vAlign w:val="center"/>
            <w:hideMark/>
          </w:tcPr>
          <w:p w14:paraId="0F44B02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926E90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4C6FDCC"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21035ACC"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4C6F3224"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70EAEA23"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Kenya</w:t>
            </w:r>
          </w:p>
        </w:tc>
        <w:tc>
          <w:tcPr>
            <w:tcW w:w="901" w:type="dxa"/>
            <w:vAlign w:val="center"/>
            <w:hideMark/>
          </w:tcPr>
          <w:p w14:paraId="7F252C29" w14:textId="6CA1D7A6"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175 </w:t>
            </w:r>
          </w:p>
        </w:tc>
        <w:tc>
          <w:tcPr>
            <w:tcW w:w="901" w:type="dxa"/>
            <w:vAlign w:val="center"/>
            <w:hideMark/>
          </w:tcPr>
          <w:p w14:paraId="501C0D04" w14:textId="45E9E7AB"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175 </w:t>
            </w:r>
          </w:p>
        </w:tc>
        <w:tc>
          <w:tcPr>
            <w:tcW w:w="901" w:type="dxa"/>
            <w:vAlign w:val="center"/>
            <w:hideMark/>
          </w:tcPr>
          <w:p w14:paraId="5F2C307D"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D4D03AD" w14:textId="19F732B1"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175 </w:t>
            </w:r>
          </w:p>
        </w:tc>
        <w:tc>
          <w:tcPr>
            <w:tcW w:w="902" w:type="dxa"/>
            <w:vAlign w:val="center"/>
            <w:hideMark/>
          </w:tcPr>
          <w:p w14:paraId="4E92DCA3" w14:textId="7BCC7BDE"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175 </w:t>
            </w:r>
          </w:p>
        </w:tc>
        <w:tc>
          <w:tcPr>
            <w:tcW w:w="902" w:type="dxa"/>
            <w:vAlign w:val="center"/>
            <w:hideMark/>
          </w:tcPr>
          <w:p w14:paraId="73273C6B"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345C19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620AD46"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0EA4341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366222D4"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60E37C79"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Kirguistán</w:t>
            </w:r>
          </w:p>
        </w:tc>
        <w:tc>
          <w:tcPr>
            <w:tcW w:w="901" w:type="dxa"/>
            <w:vAlign w:val="center"/>
            <w:hideMark/>
          </w:tcPr>
          <w:p w14:paraId="122B0F4B" w14:textId="46F17538"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18F661DA" w14:textId="58E4578A"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3F14A51D"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60F16DD"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BECE125"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9861F8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9739A9E" w14:textId="3D430A36"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02FF5174" w14:textId="18C760BC"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17E48F82"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29A7230F"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6DDEFD20"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Kiribati</w:t>
            </w:r>
          </w:p>
        </w:tc>
        <w:tc>
          <w:tcPr>
            <w:tcW w:w="901" w:type="dxa"/>
            <w:vAlign w:val="center"/>
            <w:hideMark/>
          </w:tcPr>
          <w:p w14:paraId="1EA193DC" w14:textId="51AD1369"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37B233AB" w14:textId="47CB9F26"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4A74EB4E"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273F46B" w14:textId="07594F83"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3574619F" w14:textId="67938935"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4CD1E5CF"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B6A06E6"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D977116"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55DA1010"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227D5392"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0BF8C9D9"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Kuwait</w:t>
            </w:r>
          </w:p>
        </w:tc>
        <w:tc>
          <w:tcPr>
            <w:tcW w:w="901" w:type="dxa"/>
            <w:vAlign w:val="center"/>
            <w:hideMark/>
          </w:tcPr>
          <w:p w14:paraId="626443AD" w14:textId="2407DDF8"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24</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672 </w:t>
            </w:r>
          </w:p>
        </w:tc>
        <w:tc>
          <w:tcPr>
            <w:tcW w:w="901" w:type="dxa"/>
            <w:vAlign w:val="center"/>
            <w:hideMark/>
          </w:tcPr>
          <w:p w14:paraId="3B852661" w14:textId="6206D6CF"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12</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334 </w:t>
            </w:r>
          </w:p>
        </w:tc>
        <w:tc>
          <w:tcPr>
            <w:tcW w:w="901" w:type="dxa"/>
            <w:vAlign w:val="center"/>
            <w:hideMark/>
          </w:tcPr>
          <w:p w14:paraId="7E1E2B9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67BC760" w14:textId="2B828E26"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12</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334 </w:t>
            </w:r>
          </w:p>
        </w:tc>
        <w:tc>
          <w:tcPr>
            <w:tcW w:w="902" w:type="dxa"/>
            <w:vAlign w:val="center"/>
            <w:hideMark/>
          </w:tcPr>
          <w:p w14:paraId="359CA7A2"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5D7D20F"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3A26BFB" w14:textId="2F3A8FDB"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12</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338 </w:t>
            </w:r>
          </w:p>
        </w:tc>
        <w:tc>
          <w:tcPr>
            <w:tcW w:w="902" w:type="dxa"/>
            <w:vAlign w:val="center"/>
            <w:hideMark/>
          </w:tcPr>
          <w:p w14:paraId="1915508E" w14:textId="43A84078"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12</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334 </w:t>
            </w:r>
          </w:p>
        </w:tc>
        <w:tc>
          <w:tcPr>
            <w:tcW w:w="902" w:type="dxa"/>
            <w:vAlign w:val="center"/>
            <w:hideMark/>
          </w:tcPr>
          <w:p w14:paraId="61C01F4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4BA6B7ED"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3CFBBAEA"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Lesotho</w:t>
            </w:r>
          </w:p>
        </w:tc>
        <w:tc>
          <w:tcPr>
            <w:tcW w:w="901" w:type="dxa"/>
            <w:vAlign w:val="center"/>
            <w:hideMark/>
          </w:tcPr>
          <w:p w14:paraId="203E89A9" w14:textId="1DFBA400"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1A33EC64" w14:textId="028B0740"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5500838E"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FC3C684" w14:textId="1F2EFFA0"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64A366F4" w14:textId="5F7B8C86"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6BB196E6" w14:textId="7B5AE6E6"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205 </w:t>
            </w:r>
          </w:p>
        </w:tc>
        <w:tc>
          <w:tcPr>
            <w:tcW w:w="902" w:type="dxa"/>
            <w:vAlign w:val="center"/>
            <w:hideMark/>
          </w:tcPr>
          <w:p w14:paraId="16F6E3D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88FE40F"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632CE053" w14:textId="17A63092"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205 </w:t>
            </w:r>
          </w:p>
        </w:tc>
      </w:tr>
      <w:tr w:rsidR="00237543" w:rsidRPr="007D7B87" w14:paraId="3D3BB43B"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55EAEEE4"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Letonia</w:t>
            </w:r>
          </w:p>
        </w:tc>
        <w:tc>
          <w:tcPr>
            <w:tcW w:w="901" w:type="dxa"/>
            <w:vAlign w:val="center"/>
            <w:hideMark/>
          </w:tcPr>
          <w:p w14:paraId="30DB7AF8"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6F094346" w14:textId="2D519995"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300 </w:t>
            </w:r>
          </w:p>
        </w:tc>
        <w:tc>
          <w:tcPr>
            <w:tcW w:w="901" w:type="dxa"/>
            <w:vAlign w:val="center"/>
            <w:hideMark/>
          </w:tcPr>
          <w:p w14:paraId="5166C3B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E6E79D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F447EA7" w14:textId="25DF019C"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300 </w:t>
            </w:r>
          </w:p>
        </w:tc>
        <w:tc>
          <w:tcPr>
            <w:tcW w:w="902" w:type="dxa"/>
            <w:vAlign w:val="center"/>
            <w:hideMark/>
          </w:tcPr>
          <w:p w14:paraId="21BB8ED5"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36343C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22B8D80"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5BE00C10"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16E57759"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367E13ED"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Líbano</w:t>
            </w:r>
          </w:p>
        </w:tc>
        <w:tc>
          <w:tcPr>
            <w:tcW w:w="901" w:type="dxa"/>
            <w:vAlign w:val="center"/>
            <w:hideMark/>
          </w:tcPr>
          <w:p w14:paraId="1DCF326F" w14:textId="734D95B4"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9</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705 </w:t>
            </w:r>
          </w:p>
        </w:tc>
        <w:tc>
          <w:tcPr>
            <w:tcW w:w="901" w:type="dxa"/>
            <w:vAlign w:val="center"/>
            <w:hideMark/>
          </w:tcPr>
          <w:p w14:paraId="30CE7CCE" w14:textId="601FDB42"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300 </w:t>
            </w:r>
          </w:p>
        </w:tc>
        <w:tc>
          <w:tcPr>
            <w:tcW w:w="901" w:type="dxa"/>
            <w:vAlign w:val="center"/>
            <w:hideMark/>
          </w:tcPr>
          <w:p w14:paraId="7C96B250"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C43B234"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C185A9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D57592D"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B04C76C" w14:textId="393C87EA"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9</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705 </w:t>
            </w:r>
          </w:p>
        </w:tc>
        <w:tc>
          <w:tcPr>
            <w:tcW w:w="902" w:type="dxa"/>
            <w:vAlign w:val="center"/>
            <w:hideMark/>
          </w:tcPr>
          <w:p w14:paraId="41635D4A" w14:textId="715A1950"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300 </w:t>
            </w:r>
          </w:p>
        </w:tc>
        <w:tc>
          <w:tcPr>
            <w:tcW w:w="902" w:type="dxa"/>
            <w:vAlign w:val="center"/>
            <w:hideMark/>
          </w:tcPr>
          <w:p w14:paraId="1BFEBEAB"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407364F1"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7C2040E8"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Liberia</w:t>
            </w:r>
          </w:p>
        </w:tc>
        <w:tc>
          <w:tcPr>
            <w:tcW w:w="901" w:type="dxa"/>
            <w:vAlign w:val="center"/>
            <w:hideMark/>
          </w:tcPr>
          <w:p w14:paraId="7C671198" w14:textId="51002E13"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15</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110 </w:t>
            </w:r>
          </w:p>
        </w:tc>
        <w:tc>
          <w:tcPr>
            <w:tcW w:w="901" w:type="dxa"/>
            <w:vAlign w:val="center"/>
            <w:hideMark/>
          </w:tcPr>
          <w:p w14:paraId="191AE43D" w14:textId="51F5AC19"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37B2C0E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F9FB928"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D8F1FCE"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6C3E75F"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48FF091" w14:textId="7795B1A6"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15</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110 </w:t>
            </w:r>
          </w:p>
        </w:tc>
        <w:tc>
          <w:tcPr>
            <w:tcW w:w="902" w:type="dxa"/>
            <w:vAlign w:val="center"/>
            <w:hideMark/>
          </w:tcPr>
          <w:p w14:paraId="010CC857" w14:textId="0E0FC949"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626E670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67D31642"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25F437FC"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Lib</w:t>
            </w:r>
            <w:r>
              <w:rPr>
                <w:rFonts w:asciiTheme="minorHAnsi" w:eastAsia="Times New Roman" w:hAnsiTheme="minorHAnsi" w:cstheme="minorHAnsi"/>
                <w:b w:val="0"/>
                <w:bCs w:val="0"/>
                <w:noProof/>
                <w:color w:val="000000"/>
                <w:sz w:val="20"/>
                <w:szCs w:val="20"/>
                <w:lang w:val="es-ES" w:eastAsia="en-GB"/>
              </w:rPr>
              <w:t>i</w:t>
            </w:r>
            <w:r w:rsidRPr="007D7B87">
              <w:rPr>
                <w:rFonts w:asciiTheme="minorHAnsi" w:eastAsia="Times New Roman" w:hAnsiTheme="minorHAnsi" w:cstheme="minorHAnsi"/>
                <w:b w:val="0"/>
                <w:bCs w:val="0"/>
                <w:noProof/>
                <w:color w:val="000000"/>
                <w:sz w:val="20"/>
                <w:szCs w:val="20"/>
                <w:lang w:val="es-ES" w:eastAsia="en-GB"/>
              </w:rPr>
              <w:t>a</w:t>
            </w:r>
          </w:p>
        </w:tc>
        <w:tc>
          <w:tcPr>
            <w:tcW w:w="901" w:type="dxa"/>
            <w:vAlign w:val="center"/>
            <w:hideMark/>
          </w:tcPr>
          <w:p w14:paraId="25148E7F" w14:textId="1DFBADDB"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55</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683 </w:t>
            </w:r>
          </w:p>
        </w:tc>
        <w:tc>
          <w:tcPr>
            <w:tcW w:w="901" w:type="dxa"/>
            <w:vAlign w:val="center"/>
            <w:hideMark/>
          </w:tcPr>
          <w:p w14:paraId="20AB70B6" w14:textId="285BB46F"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468 </w:t>
            </w:r>
          </w:p>
        </w:tc>
        <w:tc>
          <w:tcPr>
            <w:tcW w:w="901" w:type="dxa"/>
            <w:vAlign w:val="center"/>
            <w:hideMark/>
          </w:tcPr>
          <w:p w14:paraId="6C0FB00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0E132C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A657FD0"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2E53D0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F624587" w14:textId="0471A44E"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55</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683 </w:t>
            </w:r>
          </w:p>
        </w:tc>
        <w:tc>
          <w:tcPr>
            <w:tcW w:w="902" w:type="dxa"/>
            <w:vAlign w:val="center"/>
            <w:hideMark/>
          </w:tcPr>
          <w:p w14:paraId="181210AE" w14:textId="51AB90DD"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468 </w:t>
            </w:r>
          </w:p>
        </w:tc>
        <w:tc>
          <w:tcPr>
            <w:tcW w:w="902" w:type="dxa"/>
            <w:vAlign w:val="center"/>
            <w:hideMark/>
          </w:tcPr>
          <w:p w14:paraId="0816A560"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598D9471"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2809DFA2"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Liechtenstein</w:t>
            </w:r>
          </w:p>
        </w:tc>
        <w:tc>
          <w:tcPr>
            <w:tcW w:w="901" w:type="dxa"/>
            <w:vAlign w:val="center"/>
            <w:hideMark/>
          </w:tcPr>
          <w:p w14:paraId="1DD514C8"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128B08B6" w14:textId="05D26E39"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7AD9EF9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5C9DDB6"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C4B3ED8" w14:textId="1ABB063D"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6DB6D95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ABD5FB0"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E0C9E81"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7529A436"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37265CDF"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27849163"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Lituania</w:t>
            </w:r>
          </w:p>
        </w:tc>
        <w:tc>
          <w:tcPr>
            <w:tcW w:w="901" w:type="dxa"/>
            <w:vAlign w:val="center"/>
            <w:hideMark/>
          </w:tcPr>
          <w:p w14:paraId="23CA50BE"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23885155" w14:textId="3A1611F5"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475 </w:t>
            </w:r>
          </w:p>
        </w:tc>
        <w:tc>
          <w:tcPr>
            <w:tcW w:w="901" w:type="dxa"/>
            <w:vAlign w:val="center"/>
            <w:hideMark/>
          </w:tcPr>
          <w:p w14:paraId="3FA4E83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46D8AFB"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9798278" w14:textId="6ABFAC8A"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475 </w:t>
            </w:r>
          </w:p>
        </w:tc>
        <w:tc>
          <w:tcPr>
            <w:tcW w:w="902" w:type="dxa"/>
            <w:vAlign w:val="center"/>
            <w:hideMark/>
          </w:tcPr>
          <w:p w14:paraId="758F13C7"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CF69F80"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C519BAF"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11CE6C8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4F628297"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55C5AB15"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Luxemburgo</w:t>
            </w:r>
          </w:p>
        </w:tc>
        <w:tc>
          <w:tcPr>
            <w:tcW w:w="901" w:type="dxa"/>
            <w:vAlign w:val="center"/>
            <w:hideMark/>
          </w:tcPr>
          <w:p w14:paraId="1B4116D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2B158075" w14:textId="1779B268"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279 </w:t>
            </w:r>
          </w:p>
        </w:tc>
        <w:tc>
          <w:tcPr>
            <w:tcW w:w="901" w:type="dxa"/>
            <w:vAlign w:val="center"/>
            <w:hideMark/>
          </w:tcPr>
          <w:p w14:paraId="72EDE03E"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AC09F4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AAAA72E" w14:textId="3E7A2202"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w:t>
            </w:r>
            <w:r w:rsidR="00B94D3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279 </w:t>
            </w:r>
          </w:p>
        </w:tc>
        <w:tc>
          <w:tcPr>
            <w:tcW w:w="902" w:type="dxa"/>
            <w:vAlign w:val="center"/>
            <w:hideMark/>
          </w:tcPr>
          <w:p w14:paraId="3FDC6162"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490C5FF"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1086F80"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7BAA4D40"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43C20157"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1138BBE4"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Macedonia</w:t>
            </w:r>
            <w:r>
              <w:rPr>
                <w:rFonts w:asciiTheme="minorHAnsi" w:eastAsia="Times New Roman" w:hAnsiTheme="minorHAnsi" w:cstheme="minorHAnsi"/>
                <w:b w:val="0"/>
                <w:bCs w:val="0"/>
                <w:noProof/>
                <w:color w:val="000000"/>
                <w:sz w:val="20"/>
                <w:szCs w:val="20"/>
                <w:lang w:val="es-ES" w:eastAsia="en-GB"/>
              </w:rPr>
              <w:t xml:space="preserve"> del Norte</w:t>
            </w:r>
          </w:p>
        </w:tc>
        <w:tc>
          <w:tcPr>
            <w:tcW w:w="901" w:type="dxa"/>
            <w:vAlign w:val="center"/>
            <w:hideMark/>
          </w:tcPr>
          <w:p w14:paraId="488CD5EC" w14:textId="46EF3305"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9</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5DF78C22" w14:textId="4A2BCB3F"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7CC7E68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BE4357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CE30CE4"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D723C54"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2813084" w14:textId="49D7BB36"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9</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212F152B" w14:textId="5507369C"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264BC49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4B445CD6"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04BA45B2"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Madagascar</w:t>
            </w:r>
          </w:p>
        </w:tc>
        <w:tc>
          <w:tcPr>
            <w:tcW w:w="901" w:type="dxa"/>
            <w:vAlign w:val="center"/>
            <w:hideMark/>
          </w:tcPr>
          <w:p w14:paraId="79105E08"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03F444BB" w14:textId="3A020D84"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4CFD7C18"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38E8D78"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ED60BE2" w14:textId="11BEDCCC"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7492CE6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F04C4BE"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4FC94F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58EB05A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6B23FA84"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18AA6C0A"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Malasia</w:t>
            </w:r>
          </w:p>
        </w:tc>
        <w:tc>
          <w:tcPr>
            <w:tcW w:w="901" w:type="dxa"/>
            <w:vAlign w:val="center"/>
            <w:hideMark/>
          </w:tcPr>
          <w:p w14:paraId="5CFF7D7E"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507E3E03" w14:textId="64627681"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16</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691 </w:t>
            </w:r>
          </w:p>
        </w:tc>
        <w:tc>
          <w:tcPr>
            <w:tcW w:w="901" w:type="dxa"/>
            <w:vAlign w:val="center"/>
            <w:hideMark/>
          </w:tcPr>
          <w:p w14:paraId="161DE0DE"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3486E1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CB3CF67" w14:textId="4A3E59DF"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16</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691 </w:t>
            </w:r>
          </w:p>
        </w:tc>
        <w:tc>
          <w:tcPr>
            <w:tcW w:w="902" w:type="dxa"/>
            <w:vAlign w:val="center"/>
            <w:hideMark/>
          </w:tcPr>
          <w:p w14:paraId="79288FF6"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427BFA3"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3EFA004"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3ADA7E17"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20E44346"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5E4E82B4"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Malawi</w:t>
            </w:r>
          </w:p>
        </w:tc>
        <w:tc>
          <w:tcPr>
            <w:tcW w:w="901" w:type="dxa"/>
            <w:vAlign w:val="center"/>
            <w:hideMark/>
          </w:tcPr>
          <w:p w14:paraId="04F90AD6" w14:textId="12EB0FCD"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6121663E" w14:textId="0307901B"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595C42B2"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3778F4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CBFED0E"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9F62B9F"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3F43E12" w14:textId="53B8AA54"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4BFDDAB5" w14:textId="24B6595B"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64BC24FF"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7D6DD461"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6FF598D6"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Mal</w:t>
            </w:r>
            <w:r>
              <w:rPr>
                <w:rFonts w:asciiTheme="minorHAnsi" w:eastAsia="Times New Roman" w:hAnsiTheme="minorHAnsi" w:cstheme="minorHAnsi"/>
                <w:b w:val="0"/>
                <w:bCs w:val="0"/>
                <w:noProof/>
                <w:color w:val="000000"/>
                <w:sz w:val="20"/>
                <w:szCs w:val="20"/>
                <w:lang w:val="es-ES" w:eastAsia="en-GB"/>
              </w:rPr>
              <w:t>í</w:t>
            </w:r>
          </w:p>
        </w:tc>
        <w:tc>
          <w:tcPr>
            <w:tcW w:w="901" w:type="dxa"/>
            <w:vAlign w:val="center"/>
            <w:hideMark/>
          </w:tcPr>
          <w:p w14:paraId="3BF543B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4B340552" w14:textId="3BC6B9D9"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25BCF0F5" w14:textId="632C566B"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055 </w:t>
            </w:r>
          </w:p>
        </w:tc>
        <w:tc>
          <w:tcPr>
            <w:tcW w:w="902" w:type="dxa"/>
            <w:vAlign w:val="center"/>
            <w:hideMark/>
          </w:tcPr>
          <w:p w14:paraId="5C74BC7F"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57037A5" w14:textId="014ED9FE"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005 </w:t>
            </w:r>
          </w:p>
        </w:tc>
        <w:tc>
          <w:tcPr>
            <w:tcW w:w="902" w:type="dxa"/>
            <w:vAlign w:val="center"/>
            <w:hideMark/>
          </w:tcPr>
          <w:p w14:paraId="3D1370CF"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DDB940F"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BCBDBA3"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36B5F467" w14:textId="2898BBB6"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060 </w:t>
            </w:r>
          </w:p>
        </w:tc>
      </w:tr>
      <w:tr w:rsidR="00237543" w:rsidRPr="007D7B87" w14:paraId="6A9EA882"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79797995"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Malta</w:t>
            </w:r>
          </w:p>
        </w:tc>
        <w:tc>
          <w:tcPr>
            <w:tcW w:w="901" w:type="dxa"/>
            <w:vAlign w:val="center"/>
            <w:hideMark/>
          </w:tcPr>
          <w:p w14:paraId="443A3C25"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09222A64" w14:textId="116D404E"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7EC0F4B9"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B79587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9439F6E" w14:textId="284879AB"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0247FC68"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EAAD329"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A739A46"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5FF239C2"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11A1BD17"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63B365AE"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Marruecos</w:t>
            </w:r>
          </w:p>
        </w:tc>
        <w:tc>
          <w:tcPr>
            <w:tcW w:w="901" w:type="dxa"/>
            <w:vAlign w:val="center"/>
            <w:hideMark/>
          </w:tcPr>
          <w:p w14:paraId="7450B7F9" w14:textId="147DC626"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5</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385 </w:t>
            </w:r>
          </w:p>
        </w:tc>
        <w:tc>
          <w:tcPr>
            <w:tcW w:w="901" w:type="dxa"/>
            <w:vAlign w:val="center"/>
            <w:hideMark/>
          </w:tcPr>
          <w:p w14:paraId="57AEBDA6" w14:textId="5A87223D"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692 </w:t>
            </w:r>
          </w:p>
        </w:tc>
        <w:tc>
          <w:tcPr>
            <w:tcW w:w="901" w:type="dxa"/>
            <w:vAlign w:val="center"/>
            <w:hideMark/>
          </w:tcPr>
          <w:p w14:paraId="65AE5C40"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D15E002" w14:textId="6B790F1A"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5</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385 </w:t>
            </w:r>
          </w:p>
        </w:tc>
        <w:tc>
          <w:tcPr>
            <w:tcW w:w="902" w:type="dxa"/>
            <w:vAlign w:val="center"/>
            <w:hideMark/>
          </w:tcPr>
          <w:p w14:paraId="7B3FA7FB"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41C40BE"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AEC9CE7"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24C28A1" w14:textId="6286CB28"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692 </w:t>
            </w:r>
          </w:p>
        </w:tc>
        <w:tc>
          <w:tcPr>
            <w:tcW w:w="902" w:type="dxa"/>
            <w:vAlign w:val="center"/>
            <w:hideMark/>
          </w:tcPr>
          <w:p w14:paraId="7EBF72BD"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7E215F29"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04DFDBB9"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Mauricio</w:t>
            </w:r>
          </w:p>
        </w:tc>
        <w:tc>
          <w:tcPr>
            <w:tcW w:w="901" w:type="dxa"/>
            <w:vAlign w:val="center"/>
            <w:hideMark/>
          </w:tcPr>
          <w:p w14:paraId="1AFCFCCF" w14:textId="1591DCD4"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767B584E" w14:textId="57DADE01"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74F790A2"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874910F" w14:textId="106380DE"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0AEDD02F" w14:textId="20CFB0D4"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6058457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56E788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A1345CF"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006A03D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155B7A92"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614C99DC"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Mauritania</w:t>
            </w:r>
          </w:p>
        </w:tc>
        <w:tc>
          <w:tcPr>
            <w:tcW w:w="901" w:type="dxa"/>
            <w:vAlign w:val="center"/>
            <w:hideMark/>
          </w:tcPr>
          <w:p w14:paraId="52B77FC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64AE2D51" w14:textId="7F09998F"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090D5A77" w14:textId="0D80CB44"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6054392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A20A62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192964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F9C34E1"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6A564CB"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52189D6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3AEEE332"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7179FA12"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M</w:t>
            </w:r>
            <w:r>
              <w:rPr>
                <w:rFonts w:asciiTheme="minorHAnsi" w:eastAsia="Times New Roman" w:hAnsiTheme="minorHAnsi" w:cstheme="minorHAnsi"/>
                <w:b w:val="0"/>
                <w:bCs w:val="0"/>
                <w:noProof/>
                <w:color w:val="000000"/>
                <w:sz w:val="20"/>
                <w:szCs w:val="20"/>
                <w:lang w:val="es-ES" w:eastAsia="en-GB"/>
              </w:rPr>
              <w:t>é</w:t>
            </w:r>
            <w:r w:rsidRPr="007D7B87">
              <w:rPr>
                <w:rFonts w:asciiTheme="minorHAnsi" w:eastAsia="Times New Roman" w:hAnsiTheme="minorHAnsi" w:cstheme="minorHAnsi"/>
                <w:b w:val="0"/>
                <w:bCs w:val="0"/>
                <w:noProof/>
                <w:color w:val="000000"/>
                <w:sz w:val="20"/>
                <w:szCs w:val="20"/>
                <w:lang w:val="es-ES" w:eastAsia="en-GB"/>
              </w:rPr>
              <w:t>xico</w:t>
            </w:r>
          </w:p>
        </w:tc>
        <w:tc>
          <w:tcPr>
            <w:tcW w:w="901" w:type="dxa"/>
            <w:vAlign w:val="center"/>
            <w:hideMark/>
          </w:tcPr>
          <w:p w14:paraId="6F7B65DE"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6BFFF40D" w14:textId="7BDF1D0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63</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238 </w:t>
            </w:r>
          </w:p>
        </w:tc>
        <w:tc>
          <w:tcPr>
            <w:tcW w:w="901" w:type="dxa"/>
            <w:vAlign w:val="center"/>
            <w:hideMark/>
          </w:tcPr>
          <w:p w14:paraId="5542810C"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35D799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40F1DC0" w14:textId="228E72F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63</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238 </w:t>
            </w:r>
          </w:p>
        </w:tc>
        <w:tc>
          <w:tcPr>
            <w:tcW w:w="902" w:type="dxa"/>
            <w:vAlign w:val="center"/>
            <w:hideMark/>
          </w:tcPr>
          <w:p w14:paraId="32F54510"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667496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37714E2"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4A690B9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02A1C9D0"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798EBD3E"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M</w:t>
            </w:r>
            <w:r>
              <w:rPr>
                <w:rFonts w:asciiTheme="minorHAnsi" w:eastAsia="Times New Roman" w:hAnsiTheme="minorHAnsi" w:cstheme="minorHAnsi"/>
                <w:b w:val="0"/>
                <w:bCs w:val="0"/>
                <w:noProof/>
                <w:color w:val="000000"/>
                <w:sz w:val="20"/>
                <w:szCs w:val="20"/>
                <w:lang w:val="es-ES" w:eastAsia="en-GB"/>
              </w:rPr>
              <w:t>ó</w:t>
            </w:r>
            <w:r w:rsidRPr="007D7B87">
              <w:rPr>
                <w:rFonts w:asciiTheme="minorHAnsi" w:eastAsia="Times New Roman" w:hAnsiTheme="minorHAnsi" w:cstheme="minorHAnsi"/>
                <w:b w:val="0"/>
                <w:bCs w:val="0"/>
                <w:noProof/>
                <w:color w:val="000000"/>
                <w:sz w:val="20"/>
                <w:szCs w:val="20"/>
                <w:lang w:val="es-ES" w:eastAsia="en-GB"/>
              </w:rPr>
              <w:t>naco</w:t>
            </w:r>
          </w:p>
        </w:tc>
        <w:tc>
          <w:tcPr>
            <w:tcW w:w="901" w:type="dxa"/>
            <w:vAlign w:val="center"/>
            <w:hideMark/>
          </w:tcPr>
          <w:p w14:paraId="73FEE9AF"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1557C9A6" w14:textId="3B912EE9"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63DFAE8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7369CD4"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52B1E33" w14:textId="5A1A067C"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02325250"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F8C7AFC"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B57110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46353793"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56004567"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13C7E803"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Mongolia</w:t>
            </w:r>
          </w:p>
        </w:tc>
        <w:tc>
          <w:tcPr>
            <w:tcW w:w="901" w:type="dxa"/>
            <w:vAlign w:val="center"/>
            <w:hideMark/>
          </w:tcPr>
          <w:p w14:paraId="771C7E73" w14:textId="0DE1AC9E"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1B2BFDF0" w14:textId="3208439C"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01B992E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745F3B9"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1A3DC72"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64CE2E5"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EA95118" w14:textId="373DBBBC"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3098E0C2" w14:textId="08B47943"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73F3408D"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5E5E7E5B"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637354B6"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Montenegro</w:t>
            </w:r>
          </w:p>
        </w:tc>
        <w:tc>
          <w:tcPr>
            <w:tcW w:w="901" w:type="dxa"/>
            <w:vAlign w:val="center"/>
            <w:hideMark/>
          </w:tcPr>
          <w:p w14:paraId="5A85B13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55EC88C9" w14:textId="2D930171"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6E485FE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9934B46"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2BBA51B" w14:textId="6F3874BD"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03B9CD23"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9FF606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5221B1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2876531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5380F40D"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6A226390"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Mozambique</w:t>
            </w:r>
          </w:p>
        </w:tc>
        <w:tc>
          <w:tcPr>
            <w:tcW w:w="901" w:type="dxa"/>
            <w:vAlign w:val="center"/>
            <w:hideMark/>
          </w:tcPr>
          <w:p w14:paraId="44528AD7" w14:textId="285F4D84"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2DA539CA" w14:textId="4E19E09E"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36A6D280"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8E6435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4B2BF2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85BB40E"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11726D2" w14:textId="71AE0E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303926CC" w14:textId="3B66E4A9"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1B92382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4562107E"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151F864B"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Myanmar</w:t>
            </w:r>
          </w:p>
        </w:tc>
        <w:tc>
          <w:tcPr>
            <w:tcW w:w="901" w:type="dxa"/>
            <w:vAlign w:val="center"/>
            <w:hideMark/>
          </w:tcPr>
          <w:p w14:paraId="756FB07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70 </w:t>
            </w:r>
          </w:p>
        </w:tc>
        <w:tc>
          <w:tcPr>
            <w:tcW w:w="901" w:type="dxa"/>
            <w:vAlign w:val="center"/>
            <w:hideMark/>
          </w:tcPr>
          <w:p w14:paraId="58D2323A" w14:textId="577A5B15"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12DDC94B"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17FFD23"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70 </w:t>
            </w:r>
          </w:p>
        </w:tc>
        <w:tc>
          <w:tcPr>
            <w:tcW w:w="902" w:type="dxa"/>
            <w:vAlign w:val="center"/>
            <w:hideMark/>
          </w:tcPr>
          <w:p w14:paraId="061F1F14" w14:textId="39C69ABB"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72F8034D"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FA3944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17CA357"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15930CE3"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71D98596"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5E1F9C2C"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Namibia</w:t>
            </w:r>
          </w:p>
        </w:tc>
        <w:tc>
          <w:tcPr>
            <w:tcW w:w="901" w:type="dxa"/>
            <w:vAlign w:val="center"/>
            <w:hideMark/>
          </w:tcPr>
          <w:p w14:paraId="7DB71B1F" w14:textId="6C28F153"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74987DFA" w14:textId="351C2E4D"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1925DAA1"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C41213D" w14:textId="61B995CC"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49A4F75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8B12702"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F325B3C"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9E2C8AA" w14:textId="579B14E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3C39009E"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7205B2C6"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40E6C3AD"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Nepal</w:t>
            </w:r>
          </w:p>
        </w:tc>
        <w:tc>
          <w:tcPr>
            <w:tcW w:w="901" w:type="dxa"/>
            <w:vAlign w:val="center"/>
            <w:hideMark/>
          </w:tcPr>
          <w:p w14:paraId="6FEDAB2C" w14:textId="45B05AB5"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5</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0BCCA356" w14:textId="75B60CD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44A2C08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2C0F447" w14:textId="742094CB"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5</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2F681D96" w14:textId="10E283EC"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4843DC8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E6F38F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BE988D1"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0932842F"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082A3333"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5FA83C81"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Nicaragua</w:t>
            </w:r>
          </w:p>
        </w:tc>
        <w:tc>
          <w:tcPr>
            <w:tcW w:w="901" w:type="dxa"/>
            <w:vAlign w:val="center"/>
            <w:hideMark/>
          </w:tcPr>
          <w:p w14:paraId="54261454" w14:textId="5B58667B"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53E6B0D5" w14:textId="325F67C6"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541ABECF"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116E67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6941FD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B969FA5"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C7778A6" w14:textId="19FAD908"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6E5C4DF2" w14:textId="00723963"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66272E5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29B65516"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55FAF2B5"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lastRenderedPageBreak/>
              <w:t>N</w:t>
            </w:r>
            <w:r>
              <w:rPr>
                <w:rFonts w:asciiTheme="minorHAnsi" w:eastAsia="Times New Roman" w:hAnsiTheme="minorHAnsi" w:cstheme="minorHAnsi"/>
                <w:b w:val="0"/>
                <w:bCs w:val="0"/>
                <w:noProof/>
                <w:color w:val="000000"/>
                <w:sz w:val="20"/>
                <w:szCs w:val="20"/>
                <w:lang w:val="es-ES" w:eastAsia="en-GB"/>
              </w:rPr>
              <w:t>í</w:t>
            </w:r>
            <w:r w:rsidRPr="007D7B87">
              <w:rPr>
                <w:rFonts w:asciiTheme="minorHAnsi" w:eastAsia="Times New Roman" w:hAnsiTheme="minorHAnsi" w:cstheme="minorHAnsi"/>
                <w:b w:val="0"/>
                <w:bCs w:val="0"/>
                <w:noProof/>
                <w:color w:val="000000"/>
                <w:sz w:val="20"/>
                <w:szCs w:val="20"/>
                <w:lang w:val="es-ES" w:eastAsia="en-GB"/>
              </w:rPr>
              <w:t>ger</w:t>
            </w:r>
          </w:p>
        </w:tc>
        <w:tc>
          <w:tcPr>
            <w:tcW w:w="901" w:type="dxa"/>
            <w:vAlign w:val="center"/>
            <w:hideMark/>
          </w:tcPr>
          <w:p w14:paraId="173DF906" w14:textId="3F12E868"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13</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192 </w:t>
            </w:r>
          </w:p>
        </w:tc>
        <w:tc>
          <w:tcPr>
            <w:tcW w:w="901" w:type="dxa"/>
            <w:vAlign w:val="center"/>
            <w:hideMark/>
          </w:tcPr>
          <w:p w14:paraId="3F872AE7" w14:textId="3E417563"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3F85C3F3"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9BB0790"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71DE153"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05A07F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8F06E44" w14:textId="0C7948DC"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13</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192 </w:t>
            </w:r>
          </w:p>
        </w:tc>
        <w:tc>
          <w:tcPr>
            <w:tcW w:w="902" w:type="dxa"/>
            <w:vAlign w:val="center"/>
            <w:hideMark/>
          </w:tcPr>
          <w:p w14:paraId="5AC2F0E2" w14:textId="5262201A"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039FEF9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7A017188"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52EAE470"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Nigeria</w:t>
            </w:r>
          </w:p>
        </w:tc>
        <w:tc>
          <w:tcPr>
            <w:tcW w:w="901" w:type="dxa"/>
            <w:vAlign w:val="center"/>
            <w:hideMark/>
          </w:tcPr>
          <w:p w14:paraId="184A866A" w14:textId="6D88814F"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95</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917 </w:t>
            </w:r>
          </w:p>
        </w:tc>
        <w:tc>
          <w:tcPr>
            <w:tcW w:w="901" w:type="dxa"/>
            <w:vAlign w:val="center"/>
            <w:hideMark/>
          </w:tcPr>
          <w:p w14:paraId="7E134F4B" w14:textId="280A8630"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12</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236 </w:t>
            </w:r>
          </w:p>
        </w:tc>
        <w:tc>
          <w:tcPr>
            <w:tcW w:w="901" w:type="dxa"/>
            <w:vAlign w:val="center"/>
            <w:hideMark/>
          </w:tcPr>
          <w:p w14:paraId="45D5F8B1"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CB26F4C"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4649E0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30EA60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404BC61" w14:textId="14CC08AC"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95</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917 </w:t>
            </w:r>
          </w:p>
        </w:tc>
        <w:tc>
          <w:tcPr>
            <w:tcW w:w="902" w:type="dxa"/>
            <w:vAlign w:val="center"/>
            <w:hideMark/>
          </w:tcPr>
          <w:p w14:paraId="64BB9A8C" w14:textId="2004A075"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12</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236 </w:t>
            </w:r>
          </w:p>
        </w:tc>
        <w:tc>
          <w:tcPr>
            <w:tcW w:w="902" w:type="dxa"/>
            <w:vAlign w:val="center"/>
            <w:hideMark/>
          </w:tcPr>
          <w:p w14:paraId="0C24C760"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5BB10035"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246D6F6F"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Noruega</w:t>
            </w:r>
          </w:p>
        </w:tc>
        <w:tc>
          <w:tcPr>
            <w:tcW w:w="901" w:type="dxa"/>
            <w:vAlign w:val="center"/>
            <w:hideMark/>
          </w:tcPr>
          <w:p w14:paraId="1558C713"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09D9DDE7" w14:textId="643AC99B"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36</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905 </w:t>
            </w:r>
          </w:p>
        </w:tc>
        <w:tc>
          <w:tcPr>
            <w:tcW w:w="901" w:type="dxa"/>
            <w:vAlign w:val="center"/>
            <w:hideMark/>
          </w:tcPr>
          <w:p w14:paraId="06228AA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62E418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7947A22" w14:textId="651C7129"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36</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905 </w:t>
            </w:r>
          </w:p>
        </w:tc>
        <w:tc>
          <w:tcPr>
            <w:tcW w:w="902" w:type="dxa"/>
            <w:vAlign w:val="center"/>
            <w:hideMark/>
          </w:tcPr>
          <w:p w14:paraId="461E5D11"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5E5328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4D0980D"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2165DBE1"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3C790BAF"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3061D74F"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Nueva Zelandia</w:t>
            </w:r>
          </w:p>
        </w:tc>
        <w:tc>
          <w:tcPr>
            <w:tcW w:w="901" w:type="dxa"/>
            <w:vAlign w:val="center"/>
            <w:hideMark/>
          </w:tcPr>
          <w:p w14:paraId="348DB450"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3B4B26E5" w14:textId="766DA6FB"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14</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243 </w:t>
            </w:r>
          </w:p>
        </w:tc>
        <w:tc>
          <w:tcPr>
            <w:tcW w:w="901" w:type="dxa"/>
            <w:vAlign w:val="center"/>
            <w:hideMark/>
          </w:tcPr>
          <w:p w14:paraId="4D20041F"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04AE670"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47733F9" w14:textId="47DF98D1"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14</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243 </w:t>
            </w:r>
          </w:p>
        </w:tc>
        <w:tc>
          <w:tcPr>
            <w:tcW w:w="902" w:type="dxa"/>
            <w:vAlign w:val="center"/>
            <w:hideMark/>
          </w:tcPr>
          <w:p w14:paraId="5C11B6C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E9D58D8"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5660F90"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176FF0E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7C15F084"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0AC1FC8A"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Om</w:t>
            </w:r>
            <w:r>
              <w:rPr>
                <w:rFonts w:asciiTheme="minorHAnsi" w:eastAsia="Times New Roman" w:hAnsiTheme="minorHAnsi" w:cstheme="minorHAnsi"/>
                <w:b w:val="0"/>
                <w:bCs w:val="0"/>
                <w:noProof/>
                <w:color w:val="000000"/>
                <w:sz w:val="20"/>
                <w:szCs w:val="20"/>
                <w:lang w:val="es-ES" w:eastAsia="en-GB"/>
              </w:rPr>
              <w:t>á</w:t>
            </w:r>
            <w:r w:rsidRPr="007D7B87">
              <w:rPr>
                <w:rFonts w:asciiTheme="minorHAnsi" w:eastAsia="Times New Roman" w:hAnsiTheme="minorHAnsi" w:cstheme="minorHAnsi"/>
                <w:b w:val="0"/>
                <w:bCs w:val="0"/>
                <w:noProof/>
                <w:color w:val="000000"/>
                <w:sz w:val="20"/>
                <w:szCs w:val="20"/>
                <w:lang w:val="es-ES" w:eastAsia="en-GB"/>
              </w:rPr>
              <w:t>n</w:t>
            </w:r>
          </w:p>
        </w:tc>
        <w:tc>
          <w:tcPr>
            <w:tcW w:w="901" w:type="dxa"/>
            <w:vAlign w:val="center"/>
            <w:hideMark/>
          </w:tcPr>
          <w:p w14:paraId="4F01E3F1" w14:textId="7391BA09"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762 </w:t>
            </w:r>
          </w:p>
        </w:tc>
        <w:tc>
          <w:tcPr>
            <w:tcW w:w="901" w:type="dxa"/>
            <w:vAlign w:val="center"/>
            <w:hideMark/>
          </w:tcPr>
          <w:p w14:paraId="16927C08" w14:textId="275FD420"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5</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629 </w:t>
            </w:r>
          </w:p>
        </w:tc>
        <w:tc>
          <w:tcPr>
            <w:tcW w:w="901" w:type="dxa"/>
            <w:vAlign w:val="center"/>
            <w:hideMark/>
          </w:tcPr>
          <w:p w14:paraId="0CACEC77"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0F8557D" w14:textId="63B03872"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762 </w:t>
            </w:r>
          </w:p>
        </w:tc>
        <w:tc>
          <w:tcPr>
            <w:tcW w:w="902" w:type="dxa"/>
            <w:vAlign w:val="center"/>
            <w:hideMark/>
          </w:tcPr>
          <w:p w14:paraId="31F4887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651 </w:t>
            </w:r>
          </w:p>
        </w:tc>
        <w:tc>
          <w:tcPr>
            <w:tcW w:w="902" w:type="dxa"/>
            <w:vAlign w:val="center"/>
            <w:hideMark/>
          </w:tcPr>
          <w:p w14:paraId="0D23C780"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0A9288E"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485AC1F" w14:textId="0F7D1F42"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978 </w:t>
            </w:r>
          </w:p>
        </w:tc>
        <w:tc>
          <w:tcPr>
            <w:tcW w:w="902" w:type="dxa"/>
            <w:vAlign w:val="center"/>
            <w:hideMark/>
          </w:tcPr>
          <w:p w14:paraId="7729079C"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533EC7AD"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70B8FA1A"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Países Bajos</w:t>
            </w:r>
          </w:p>
        </w:tc>
        <w:tc>
          <w:tcPr>
            <w:tcW w:w="901" w:type="dxa"/>
            <w:vAlign w:val="center"/>
            <w:hideMark/>
          </w:tcPr>
          <w:p w14:paraId="035FA4E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07468D63" w14:textId="79F6C21E"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66</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371 </w:t>
            </w:r>
          </w:p>
        </w:tc>
        <w:tc>
          <w:tcPr>
            <w:tcW w:w="901" w:type="dxa"/>
            <w:vAlign w:val="center"/>
            <w:hideMark/>
          </w:tcPr>
          <w:p w14:paraId="38AAC36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A17990C"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657052D" w14:textId="337297E8"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66</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371 </w:t>
            </w:r>
          </w:p>
        </w:tc>
        <w:tc>
          <w:tcPr>
            <w:tcW w:w="902" w:type="dxa"/>
            <w:vAlign w:val="center"/>
            <w:hideMark/>
          </w:tcPr>
          <w:p w14:paraId="136E6272"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CC373C1"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13C596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433E974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09D6C8F6"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2A7F10DD"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Pakist</w:t>
            </w:r>
            <w:r>
              <w:rPr>
                <w:rFonts w:asciiTheme="minorHAnsi" w:eastAsia="Times New Roman" w:hAnsiTheme="minorHAnsi" w:cstheme="minorHAnsi"/>
                <w:b w:val="0"/>
                <w:bCs w:val="0"/>
                <w:noProof/>
                <w:color w:val="000000"/>
                <w:sz w:val="20"/>
                <w:szCs w:val="20"/>
                <w:lang w:val="es-ES" w:eastAsia="en-GB"/>
              </w:rPr>
              <w:t>á</w:t>
            </w:r>
            <w:r w:rsidRPr="007D7B87">
              <w:rPr>
                <w:rFonts w:asciiTheme="minorHAnsi" w:eastAsia="Times New Roman" w:hAnsiTheme="minorHAnsi" w:cstheme="minorHAnsi"/>
                <w:b w:val="0"/>
                <w:bCs w:val="0"/>
                <w:noProof/>
                <w:color w:val="000000"/>
                <w:sz w:val="20"/>
                <w:szCs w:val="20"/>
                <w:lang w:val="es-ES" w:eastAsia="en-GB"/>
              </w:rPr>
              <w:t>n</w:t>
            </w:r>
          </w:p>
        </w:tc>
        <w:tc>
          <w:tcPr>
            <w:tcW w:w="901" w:type="dxa"/>
            <w:vAlign w:val="center"/>
            <w:hideMark/>
          </w:tcPr>
          <w:p w14:paraId="67B6C008" w14:textId="3145EE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7</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366 </w:t>
            </w:r>
          </w:p>
        </w:tc>
        <w:tc>
          <w:tcPr>
            <w:tcW w:w="901" w:type="dxa"/>
            <w:vAlign w:val="center"/>
            <w:hideMark/>
          </w:tcPr>
          <w:p w14:paraId="68F1D343" w14:textId="63E72B11"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5</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629 </w:t>
            </w:r>
          </w:p>
        </w:tc>
        <w:tc>
          <w:tcPr>
            <w:tcW w:w="901" w:type="dxa"/>
            <w:vAlign w:val="center"/>
            <w:hideMark/>
          </w:tcPr>
          <w:p w14:paraId="2042A1CF"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7464E54" w14:textId="69DB12AF"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551 </w:t>
            </w:r>
          </w:p>
        </w:tc>
        <w:tc>
          <w:tcPr>
            <w:tcW w:w="902" w:type="dxa"/>
            <w:vAlign w:val="center"/>
            <w:hideMark/>
          </w:tcPr>
          <w:p w14:paraId="1F37B4F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72680BC"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B2582B0" w14:textId="0D43537C"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815 </w:t>
            </w:r>
          </w:p>
        </w:tc>
        <w:tc>
          <w:tcPr>
            <w:tcW w:w="902" w:type="dxa"/>
            <w:vAlign w:val="center"/>
            <w:hideMark/>
          </w:tcPr>
          <w:p w14:paraId="49138456" w14:textId="24EC9DE1"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5</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629 </w:t>
            </w:r>
          </w:p>
        </w:tc>
        <w:tc>
          <w:tcPr>
            <w:tcW w:w="902" w:type="dxa"/>
            <w:vAlign w:val="center"/>
            <w:hideMark/>
          </w:tcPr>
          <w:p w14:paraId="0CC8AE63"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00CCBCC3"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0FE8334D"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Palau</w:t>
            </w:r>
          </w:p>
        </w:tc>
        <w:tc>
          <w:tcPr>
            <w:tcW w:w="901" w:type="dxa"/>
            <w:vAlign w:val="center"/>
            <w:hideMark/>
          </w:tcPr>
          <w:p w14:paraId="5A04D1B6" w14:textId="33D401FE"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16</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998 </w:t>
            </w:r>
          </w:p>
        </w:tc>
        <w:tc>
          <w:tcPr>
            <w:tcW w:w="901" w:type="dxa"/>
            <w:vAlign w:val="center"/>
            <w:hideMark/>
          </w:tcPr>
          <w:p w14:paraId="05EE0A90" w14:textId="7EFCC688"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1817E8D1"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84B5DBC" w14:textId="79834C11"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011 </w:t>
            </w:r>
          </w:p>
        </w:tc>
        <w:tc>
          <w:tcPr>
            <w:tcW w:w="902" w:type="dxa"/>
            <w:vAlign w:val="center"/>
            <w:hideMark/>
          </w:tcPr>
          <w:p w14:paraId="2E57DDE6"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BE889E8"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2FF82D1" w14:textId="4A657B6E"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15</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987 </w:t>
            </w:r>
          </w:p>
        </w:tc>
        <w:tc>
          <w:tcPr>
            <w:tcW w:w="902" w:type="dxa"/>
            <w:vAlign w:val="center"/>
            <w:hideMark/>
          </w:tcPr>
          <w:p w14:paraId="3F4A5761" w14:textId="6A021D3D"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2206FAB5"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5F4DFA91"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4972317F"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Panam</w:t>
            </w:r>
            <w:r>
              <w:rPr>
                <w:rFonts w:asciiTheme="minorHAnsi" w:eastAsia="Times New Roman" w:hAnsiTheme="minorHAnsi" w:cstheme="minorHAnsi"/>
                <w:b w:val="0"/>
                <w:bCs w:val="0"/>
                <w:noProof/>
                <w:color w:val="000000"/>
                <w:sz w:val="20"/>
                <w:szCs w:val="20"/>
                <w:lang w:val="es-ES" w:eastAsia="en-GB"/>
              </w:rPr>
              <w:t>á</w:t>
            </w:r>
          </w:p>
        </w:tc>
        <w:tc>
          <w:tcPr>
            <w:tcW w:w="901" w:type="dxa"/>
            <w:vAlign w:val="center"/>
            <w:hideMark/>
          </w:tcPr>
          <w:p w14:paraId="3CE1B8DE"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3A7DF8E3" w14:textId="252BAD06"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203 </w:t>
            </w:r>
          </w:p>
        </w:tc>
        <w:tc>
          <w:tcPr>
            <w:tcW w:w="901" w:type="dxa"/>
            <w:vAlign w:val="center"/>
            <w:hideMark/>
          </w:tcPr>
          <w:p w14:paraId="0DC1E6F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114 </w:t>
            </w:r>
          </w:p>
        </w:tc>
        <w:tc>
          <w:tcPr>
            <w:tcW w:w="902" w:type="dxa"/>
            <w:vAlign w:val="center"/>
            <w:hideMark/>
          </w:tcPr>
          <w:p w14:paraId="62C59A8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1C5BA8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991C18F"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7BB4FBB"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7EEAF65" w14:textId="7A84A701"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089 </w:t>
            </w:r>
          </w:p>
        </w:tc>
        <w:tc>
          <w:tcPr>
            <w:tcW w:w="902" w:type="dxa"/>
            <w:vAlign w:val="center"/>
            <w:hideMark/>
          </w:tcPr>
          <w:p w14:paraId="2ACB9633"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6EECAA31"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4D9276EC"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 xml:space="preserve">Papua </w:t>
            </w:r>
            <w:r>
              <w:rPr>
                <w:rFonts w:asciiTheme="minorHAnsi" w:eastAsia="Times New Roman" w:hAnsiTheme="minorHAnsi" w:cstheme="minorHAnsi"/>
                <w:b w:val="0"/>
                <w:bCs w:val="0"/>
                <w:noProof/>
                <w:color w:val="000000"/>
                <w:sz w:val="20"/>
                <w:szCs w:val="20"/>
                <w:lang w:val="es-ES" w:eastAsia="en-GB"/>
              </w:rPr>
              <w:t>Nueva Guinea</w:t>
            </w:r>
          </w:p>
        </w:tc>
        <w:tc>
          <w:tcPr>
            <w:tcW w:w="901" w:type="dxa"/>
            <w:vAlign w:val="center"/>
            <w:hideMark/>
          </w:tcPr>
          <w:p w14:paraId="06E92B4E" w14:textId="19A6DFF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3A2F1492" w14:textId="1601A8E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3B34F896"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A315A45"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26109B8"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FBEAD09"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1012045" w14:textId="59A4697E"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233F9D0F" w14:textId="4695925F"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5A78FF72"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19CA0346"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084A0002"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Paraguay</w:t>
            </w:r>
          </w:p>
        </w:tc>
        <w:tc>
          <w:tcPr>
            <w:tcW w:w="901" w:type="dxa"/>
            <w:vAlign w:val="center"/>
            <w:hideMark/>
          </w:tcPr>
          <w:p w14:paraId="19EEF6EA" w14:textId="3DD9A09A"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217 </w:t>
            </w:r>
          </w:p>
        </w:tc>
        <w:tc>
          <w:tcPr>
            <w:tcW w:w="901" w:type="dxa"/>
            <w:vAlign w:val="center"/>
            <w:hideMark/>
          </w:tcPr>
          <w:p w14:paraId="7F832C98" w14:textId="682DE0A3"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6652CF4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1E6038D" w14:textId="4D3A76B8"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217 </w:t>
            </w:r>
          </w:p>
        </w:tc>
        <w:tc>
          <w:tcPr>
            <w:tcW w:w="902" w:type="dxa"/>
            <w:vAlign w:val="center"/>
            <w:hideMark/>
          </w:tcPr>
          <w:p w14:paraId="4022F344" w14:textId="50139F89"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17DB56A4"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4978A5F"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4A45293"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3F00B91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2DC06A28"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75EC4C53"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Per</w:t>
            </w:r>
            <w:r>
              <w:rPr>
                <w:rFonts w:asciiTheme="minorHAnsi" w:eastAsia="Times New Roman" w:hAnsiTheme="minorHAnsi" w:cstheme="minorHAnsi"/>
                <w:b w:val="0"/>
                <w:bCs w:val="0"/>
                <w:noProof/>
                <w:color w:val="000000"/>
                <w:sz w:val="20"/>
                <w:szCs w:val="20"/>
                <w:lang w:val="es-ES" w:eastAsia="en-GB"/>
              </w:rPr>
              <w:t>ú</w:t>
            </w:r>
          </w:p>
        </w:tc>
        <w:tc>
          <w:tcPr>
            <w:tcW w:w="901" w:type="dxa"/>
            <w:vAlign w:val="center"/>
            <w:hideMark/>
          </w:tcPr>
          <w:p w14:paraId="0538F954" w14:textId="6AEA9E82"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6</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630 </w:t>
            </w:r>
          </w:p>
        </w:tc>
        <w:tc>
          <w:tcPr>
            <w:tcW w:w="901" w:type="dxa"/>
            <w:vAlign w:val="center"/>
            <w:hideMark/>
          </w:tcPr>
          <w:p w14:paraId="75C1B1A7" w14:textId="5278512C"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7</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440 </w:t>
            </w:r>
          </w:p>
        </w:tc>
        <w:tc>
          <w:tcPr>
            <w:tcW w:w="901" w:type="dxa"/>
            <w:vAlign w:val="center"/>
            <w:hideMark/>
          </w:tcPr>
          <w:p w14:paraId="22C93EF8"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D8167C5"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876A279"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A43AE62"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185C8CF" w14:textId="5A635280"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6</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630 </w:t>
            </w:r>
          </w:p>
        </w:tc>
        <w:tc>
          <w:tcPr>
            <w:tcW w:w="902" w:type="dxa"/>
            <w:vAlign w:val="center"/>
            <w:hideMark/>
          </w:tcPr>
          <w:p w14:paraId="2475738F" w14:textId="31CB15C2"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7</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440 </w:t>
            </w:r>
          </w:p>
        </w:tc>
        <w:tc>
          <w:tcPr>
            <w:tcW w:w="902" w:type="dxa"/>
            <w:vAlign w:val="center"/>
            <w:hideMark/>
          </w:tcPr>
          <w:p w14:paraId="48DEFDEE"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58AFD6BA"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49B53A13"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Polonia</w:t>
            </w:r>
          </w:p>
        </w:tc>
        <w:tc>
          <w:tcPr>
            <w:tcW w:w="901" w:type="dxa"/>
            <w:vAlign w:val="center"/>
            <w:hideMark/>
          </w:tcPr>
          <w:p w14:paraId="4881D7EC"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38455D97" w14:textId="64DFE7A1"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39</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255 </w:t>
            </w:r>
          </w:p>
        </w:tc>
        <w:tc>
          <w:tcPr>
            <w:tcW w:w="901" w:type="dxa"/>
            <w:vAlign w:val="center"/>
            <w:hideMark/>
          </w:tcPr>
          <w:p w14:paraId="58243010"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F54B737"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005BE46" w14:textId="5287F052"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39</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255 </w:t>
            </w:r>
          </w:p>
        </w:tc>
        <w:tc>
          <w:tcPr>
            <w:tcW w:w="902" w:type="dxa"/>
            <w:vAlign w:val="center"/>
            <w:hideMark/>
          </w:tcPr>
          <w:p w14:paraId="27618907"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3D2A64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342291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3C2E5641"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26E97DC1"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6CCD729D"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Portugal</w:t>
            </w:r>
          </w:p>
        </w:tc>
        <w:tc>
          <w:tcPr>
            <w:tcW w:w="901" w:type="dxa"/>
            <w:vAlign w:val="center"/>
            <w:hideMark/>
          </w:tcPr>
          <w:p w14:paraId="20B2D118"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070C5A77" w14:textId="67A9160E"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17</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131 </w:t>
            </w:r>
          </w:p>
        </w:tc>
        <w:tc>
          <w:tcPr>
            <w:tcW w:w="901" w:type="dxa"/>
            <w:vAlign w:val="center"/>
            <w:hideMark/>
          </w:tcPr>
          <w:p w14:paraId="7FF74B69"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D150696"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AAA83AE"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A8A8639"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F4C14A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4C0D2E9" w14:textId="4CE62A9C"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17</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131 </w:t>
            </w:r>
          </w:p>
        </w:tc>
        <w:tc>
          <w:tcPr>
            <w:tcW w:w="902" w:type="dxa"/>
            <w:vAlign w:val="center"/>
            <w:hideMark/>
          </w:tcPr>
          <w:p w14:paraId="04680DE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39834D6B"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668A291B"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Reino Unido de Gran Bretaña e Irlanda del Norte</w:t>
            </w:r>
          </w:p>
        </w:tc>
        <w:tc>
          <w:tcPr>
            <w:tcW w:w="901" w:type="dxa"/>
            <w:vAlign w:val="center"/>
            <w:hideMark/>
          </w:tcPr>
          <w:p w14:paraId="5D57E266"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0F954AFC" w14:textId="7E16E2CE"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223</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536 </w:t>
            </w:r>
          </w:p>
        </w:tc>
        <w:tc>
          <w:tcPr>
            <w:tcW w:w="901" w:type="dxa"/>
            <w:vAlign w:val="center"/>
            <w:hideMark/>
          </w:tcPr>
          <w:p w14:paraId="6D6A568C"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61 </w:t>
            </w:r>
          </w:p>
        </w:tc>
        <w:tc>
          <w:tcPr>
            <w:tcW w:w="902" w:type="dxa"/>
            <w:vAlign w:val="center"/>
            <w:hideMark/>
          </w:tcPr>
          <w:p w14:paraId="2387311F"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4743A45" w14:textId="01F4EED9"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223</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475 </w:t>
            </w:r>
          </w:p>
        </w:tc>
        <w:tc>
          <w:tcPr>
            <w:tcW w:w="902" w:type="dxa"/>
            <w:vAlign w:val="center"/>
            <w:hideMark/>
          </w:tcPr>
          <w:p w14:paraId="49EC31E5" w14:textId="1DAA5798"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223</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476 </w:t>
            </w:r>
          </w:p>
        </w:tc>
        <w:tc>
          <w:tcPr>
            <w:tcW w:w="902" w:type="dxa"/>
            <w:vAlign w:val="center"/>
            <w:hideMark/>
          </w:tcPr>
          <w:p w14:paraId="05430D50"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86277D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749CAC1A" w14:textId="3433BBE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223</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476 </w:t>
            </w:r>
          </w:p>
        </w:tc>
      </w:tr>
      <w:tr w:rsidR="00237543" w:rsidRPr="007D7B87" w14:paraId="188CF7B0"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7D3DD1F7"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República Árabe Siria</w:t>
            </w:r>
          </w:p>
        </w:tc>
        <w:tc>
          <w:tcPr>
            <w:tcW w:w="901" w:type="dxa"/>
            <w:vAlign w:val="center"/>
            <w:hideMark/>
          </w:tcPr>
          <w:p w14:paraId="47ACF79A" w14:textId="372F8FA3"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348 </w:t>
            </w:r>
          </w:p>
        </w:tc>
        <w:tc>
          <w:tcPr>
            <w:tcW w:w="901" w:type="dxa"/>
            <w:vAlign w:val="center"/>
            <w:hideMark/>
          </w:tcPr>
          <w:p w14:paraId="51A3A6FC" w14:textId="1F115F29"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0E49FBCC"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74D8A50"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4C00AA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665C8F0"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9DA8D56" w14:textId="5905F7F0"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348 </w:t>
            </w:r>
          </w:p>
        </w:tc>
        <w:tc>
          <w:tcPr>
            <w:tcW w:w="902" w:type="dxa"/>
            <w:vAlign w:val="center"/>
            <w:hideMark/>
          </w:tcPr>
          <w:p w14:paraId="706CD02A" w14:textId="512A3698"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197AD6BE"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237543" w:rsidRPr="007D7B87" w14:paraId="3ED3B579"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7306EB68"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República Centroafricana</w:t>
            </w:r>
          </w:p>
        </w:tc>
        <w:tc>
          <w:tcPr>
            <w:tcW w:w="901" w:type="dxa"/>
            <w:vAlign w:val="center"/>
            <w:hideMark/>
          </w:tcPr>
          <w:p w14:paraId="6B81F821" w14:textId="6ECC3569"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605 </w:t>
            </w:r>
          </w:p>
        </w:tc>
        <w:tc>
          <w:tcPr>
            <w:tcW w:w="901" w:type="dxa"/>
            <w:vAlign w:val="center"/>
            <w:hideMark/>
          </w:tcPr>
          <w:p w14:paraId="7418F3DC" w14:textId="05450CF2"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7C50321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B9E56E0"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477A3F7"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CDA3DB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B7E0FB6" w14:textId="501826B8"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605 </w:t>
            </w:r>
          </w:p>
        </w:tc>
        <w:tc>
          <w:tcPr>
            <w:tcW w:w="902" w:type="dxa"/>
            <w:vAlign w:val="center"/>
            <w:hideMark/>
          </w:tcPr>
          <w:p w14:paraId="3E2D937B" w14:textId="083010C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757FB1C4"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086FCEC0"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59E162C3"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República de Corea</w:t>
            </w:r>
          </w:p>
        </w:tc>
        <w:tc>
          <w:tcPr>
            <w:tcW w:w="901" w:type="dxa"/>
            <w:vAlign w:val="center"/>
            <w:hideMark/>
          </w:tcPr>
          <w:p w14:paraId="3696B7C5"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4F14CDBE" w14:textId="64FD4FE8"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110</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960 </w:t>
            </w:r>
          </w:p>
        </w:tc>
        <w:tc>
          <w:tcPr>
            <w:tcW w:w="901" w:type="dxa"/>
            <w:vAlign w:val="center"/>
            <w:hideMark/>
          </w:tcPr>
          <w:p w14:paraId="6C25CF4F"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18EE90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28DCD5D" w14:textId="4E2A0B5C"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110</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960 </w:t>
            </w:r>
          </w:p>
        </w:tc>
        <w:tc>
          <w:tcPr>
            <w:tcW w:w="902" w:type="dxa"/>
            <w:vAlign w:val="center"/>
            <w:hideMark/>
          </w:tcPr>
          <w:p w14:paraId="750C483E"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33C678F"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F5DCEA9"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7CCE110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308D348D"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445B5ED0"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República de</w:t>
            </w:r>
            <w:r w:rsidRPr="007D7B87">
              <w:rPr>
                <w:rFonts w:asciiTheme="minorHAnsi" w:eastAsia="Times New Roman" w:hAnsiTheme="minorHAnsi" w:cstheme="minorHAnsi"/>
                <w:b w:val="0"/>
                <w:bCs w:val="0"/>
                <w:noProof/>
                <w:color w:val="000000"/>
                <w:sz w:val="20"/>
                <w:szCs w:val="20"/>
                <w:lang w:val="es-ES" w:eastAsia="en-GB"/>
              </w:rPr>
              <w:t xml:space="preserve"> Moldova </w:t>
            </w:r>
          </w:p>
        </w:tc>
        <w:tc>
          <w:tcPr>
            <w:tcW w:w="901" w:type="dxa"/>
            <w:vAlign w:val="center"/>
            <w:hideMark/>
          </w:tcPr>
          <w:p w14:paraId="00511AD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427F9CAC" w14:textId="096A8FBC"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34AA41E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2AF5E31"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CBD296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FEA700C"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FD9511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F093CFE" w14:textId="4C747AED"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913012">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3075C181"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72CDC988"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3425D206" w14:textId="77777777" w:rsidR="00237543" w:rsidRPr="0082348A"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82348A">
              <w:rPr>
                <w:rFonts w:asciiTheme="minorHAnsi" w:eastAsia="Times New Roman" w:hAnsiTheme="minorHAnsi" w:cs="Arial"/>
                <w:b w:val="0"/>
                <w:bCs w:val="0"/>
                <w:noProof/>
                <w:sz w:val="20"/>
                <w:szCs w:val="20"/>
                <w:lang w:val="es-ES" w:eastAsia="en-GB"/>
              </w:rPr>
              <w:t>República Democrática del Congo</w:t>
            </w:r>
          </w:p>
        </w:tc>
        <w:tc>
          <w:tcPr>
            <w:tcW w:w="901" w:type="dxa"/>
            <w:vAlign w:val="center"/>
            <w:hideMark/>
          </w:tcPr>
          <w:p w14:paraId="29F710FD" w14:textId="628915F2"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846 </w:t>
            </w:r>
          </w:p>
        </w:tc>
        <w:tc>
          <w:tcPr>
            <w:tcW w:w="901" w:type="dxa"/>
            <w:vAlign w:val="center"/>
            <w:hideMark/>
          </w:tcPr>
          <w:p w14:paraId="06538777" w14:textId="04073D10"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4D8093A1"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8AC788E"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B99BD18"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3F835F0"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439E12C" w14:textId="345207EA"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846 </w:t>
            </w:r>
          </w:p>
        </w:tc>
        <w:tc>
          <w:tcPr>
            <w:tcW w:w="902" w:type="dxa"/>
            <w:vAlign w:val="center"/>
            <w:hideMark/>
          </w:tcPr>
          <w:p w14:paraId="1B803C8A" w14:textId="7414E0D0"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219F2EA9"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742CD96A"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5BB952D3"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República Democrática Popular Lao</w:t>
            </w:r>
          </w:p>
        </w:tc>
        <w:tc>
          <w:tcPr>
            <w:tcW w:w="901" w:type="dxa"/>
            <w:vAlign w:val="center"/>
            <w:hideMark/>
          </w:tcPr>
          <w:p w14:paraId="6FAB628F" w14:textId="34C38251"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1CF0F619" w14:textId="67E40386"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631DD12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9EDCE97"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31B2F4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4F18804"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0FBD767" w14:textId="028E041E"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58833BA5" w14:textId="5294F58F"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3D940FBF"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27224A0A"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779DBF33"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 xml:space="preserve">República </w:t>
            </w:r>
            <w:r w:rsidRPr="007D7B87">
              <w:rPr>
                <w:rFonts w:asciiTheme="minorHAnsi" w:eastAsia="Times New Roman" w:hAnsiTheme="minorHAnsi" w:cstheme="minorHAnsi"/>
                <w:b w:val="0"/>
                <w:bCs w:val="0"/>
                <w:noProof/>
                <w:color w:val="000000"/>
                <w:sz w:val="20"/>
                <w:szCs w:val="20"/>
                <w:lang w:val="es-ES" w:eastAsia="en-GB"/>
              </w:rPr>
              <w:t>Dominican</w:t>
            </w:r>
            <w:r>
              <w:rPr>
                <w:rFonts w:asciiTheme="minorHAnsi" w:eastAsia="Times New Roman" w:hAnsiTheme="minorHAnsi" w:cstheme="minorHAnsi"/>
                <w:b w:val="0"/>
                <w:bCs w:val="0"/>
                <w:noProof/>
                <w:color w:val="000000"/>
                <w:sz w:val="20"/>
                <w:szCs w:val="20"/>
                <w:lang w:val="es-ES" w:eastAsia="en-GB"/>
              </w:rPr>
              <w:t>a</w:t>
            </w:r>
            <w:r w:rsidRPr="007D7B87">
              <w:rPr>
                <w:rFonts w:asciiTheme="minorHAnsi" w:eastAsia="Times New Roman" w:hAnsiTheme="minorHAnsi" w:cstheme="minorHAnsi"/>
                <w:b w:val="0"/>
                <w:bCs w:val="0"/>
                <w:noProof/>
                <w:color w:val="000000"/>
                <w:sz w:val="20"/>
                <w:szCs w:val="20"/>
                <w:lang w:val="es-ES" w:eastAsia="en-GB"/>
              </w:rPr>
              <w:t xml:space="preserve"> </w:t>
            </w:r>
          </w:p>
        </w:tc>
        <w:tc>
          <w:tcPr>
            <w:tcW w:w="901" w:type="dxa"/>
            <w:vAlign w:val="center"/>
            <w:hideMark/>
          </w:tcPr>
          <w:p w14:paraId="79BD05EE" w14:textId="2A2BE5F8"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8</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598 </w:t>
            </w:r>
          </w:p>
        </w:tc>
        <w:tc>
          <w:tcPr>
            <w:tcW w:w="901" w:type="dxa"/>
            <w:vAlign w:val="center"/>
            <w:hideMark/>
          </w:tcPr>
          <w:p w14:paraId="639965C8" w14:textId="43703EE2"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594 </w:t>
            </w:r>
          </w:p>
        </w:tc>
        <w:tc>
          <w:tcPr>
            <w:tcW w:w="901" w:type="dxa"/>
            <w:vAlign w:val="center"/>
            <w:hideMark/>
          </w:tcPr>
          <w:p w14:paraId="0EE2A045"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72B3F26" w14:textId="7C3D239A"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408 </w:t>
            </w:r>
          </w:p>
        </w:tc>
        <w:tc>
          <w:tcPr>
            <w:tcW w:w="902" w:type="dxa"/>
            <w:vAlign w:val="center"/>
            <w:hideMark/>
          </w:tcPr>
          <w:p w14:paraId="4122649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F7A52F1"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2CCD013" w14:textId="1AC7278B"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6</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191 </w:t>
            </w:r>
          </w:p>
        </w:tc>
        <w:tc>
          <w:tcPr>
            <w:tcW w:w="902" w:type="dxa"/>
            <w:vAlign w:val="center"/>
            <w:hideMark/>
          </w:tcPr>
          <w:p w14:paraId="365751A7" w14:textId="16F4B33F"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594 </w:t>
            </w:r>
          </w:p>
        </w:tc>
        <w:tc>
          <w:tcPr>
            <w:tcW w:w="902" w:type="dxa"/>
            <w:vAlign w:val="center"/>
            <w:hideMark/>
          </w:tcPr>
          <w:p w14:paraId="4EE44B1C"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3472A2F0"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697F2571"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República Popular Democrática de Corea</w:t>
            </w:r>
            <w:r w:rsidRPr="007D7B87">
              <w:rPr>
                <w:rFonts w:asciiTheme="minorHAnsi" w:eastAsia="Times New Roman" w:hAnsiTheme="minorHAnsi" w:cstheme="minorHAnsi"/>
                <w:b w:val="0"/>
                <w:bCs w:val="0"/>
                <w:noProof/>
                <w:color w:val="000000"/>
                <w:sz w:val="20"/>
                <w:szCs w:val="20"/>
                <w:lang w:val="es-ES" w:eastAsia="en-GB"/>
              </w:rPr>
              <w:t xml:space="preserve"> </w:t>
            </w:r>
          </w:p>
        </w:tc>
        <w:tc>
          <w:tcPr>
            <w:tcW w:w="901" w:type="dxa"/>
            <w:vAlign w:val="center"/>
            <w:hideMark/>
          </w:tcPr>
          <w:p w14:paraId="4DCC48A6" w14:textId="762D074F"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583 </w:t>
            </w:r>
          </w:p>
        </w:tc>
        <w:tc>
          <w:tcPr>
            <w:tcW w:w="901" w:type="dxa"/>
            <w:vAlign w:val="center"/>
            <w:hideMark/>
          </w:tcPr>
          <w:p w14:paraId="310BF806" w14:textId="61AA21AB"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3336D15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90A34FF" w14:textId="18EF8C10"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77A00987"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19A79A7"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E39CE04" w14:textId="1327A21D"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583 </w:t>
            </w:r>
          </w:p>
        </w:tc>
        <w:tc>
          <w:tcPr>
            <w:tcW w:w="902" w:type="dxa"/>
            <w:vAlign w:val="center"/>
            <w:hideMark/>
          </w:tcPr>
          <w:p w14:paraId="7AA13AD4" w14:textId="240963E4"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165ACCE1"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12180AB1"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2CE1AACE"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República Unida de</w:t>
            </w:r>
            <w:r w:rsidRPr="007D7B87">
              <w:rPr>
                <w:rFonts w:asciiTheme="minorHAnsi" w:eastAsia="Times New Roman" w:hAnsiTheme="minorHAnsi" w:cstheme="minorHAnsi"/>
                <w:b w:val="0"/>
                <w:bCs w:val="0"/>
                <w:noProof/>
                <w:color w:val="000000"/>
                <w:sz w:val="20"/>
                <w:szCs w:val="20"/>
                <w:lang w:val="es-ES" w:eastAsia="en-GB"/>
              </w:rPr>
              <w:t xml:space="preserve"> Tanzan</w:t>
            </w:r>
            <w:r>
              <w:rPr>
                <w:rFonts w:asciiTheme="minorHAnsi" w:eastAsia="Times New Roman" w:hAnsiTheme="minorHAnsi" w:cstheme="minorHAnsi"/>
                <w:b w:val="0"/>
                <w:bCs w:val="0"/>
                <w:noProof/>
                <w:color w:val="000000"/>
                <w:sz w:val="20"/>
                <w:szCs w:val="20"/>
                <w:lang w:val="es-ES" w:eastAsia="en-GB"/>
              </w:rPr>
              <w:t>í</w:t>
            </w:r>
            <w:r w:rsidRPr="007D7B87">
              <w:rPr>
                <w:rFonts w:asciiTheme="minorHAnsi" w:eastAsia="Times New Roman" w:hAnsiTheme="minorHAnsi" w:cstheme="minorHAnsi"/>
                <w:b w:val="0"/>
                <w:bCs w:val="0"/>
                <w:noProof/>
                <w:color w:val="000000"/>
                <w:sz w:val="20"/>
                <w:szCs w:val="20"/>
                <w:lang w:val="es-ES" w:eastAsia="en-GB"/>
              </w:rPr>
              <w:t>a</w:t>
            </w:r>
          </w:p>
        </w:tc>
        <w:tc>
          <w:tcPr>
            <w:tcW w:w="901" w:type="dxa"/>
            <w:vAlign w:val="center"/>
            <w:hideMark/>
          </w:tcPr>
          <w:p w14:paraId="68625D9A" w14:textId="0A31F8DA"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20ADC2B3" w14:textId="23BB783A"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45131A21"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8DE3A4F" w14:textId="2098E9B8"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506FA5C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6372B7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D8B5735" w14:textId="46C7F3BC"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10</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159D8A70" w14:textId="10922EC0"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57D499A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7F6557C0"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3F5EEC69"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Rumania</w:t>
            </w:r>
          </w:p>
        </w:tc>
        <w:tc>
          <w:tcPr>
            <w:tcW w:w="901" w:type="dxa"/>
            <w:vAlign w:val="center"/>
            <w:hideMark/>
          </w:tcPr>
          <w:p w14:paraId="37A05641"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1D19DAD9" w14:textId="61099F0D"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9</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691 </w:t>
            </w:r>
          </w:p>
        </w:tc>
        <w:tc>
          <w:tcPr>
            <w:tcW w:w="901" w:type="dxa"/>
            <w:vAlign w:val="center"/>
            <w:hideMark/>
          </w:tcPr>
          <w:p w14:paraId="03ED8B81"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B0D9114"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2839577"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D09D0F7"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CA292A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3E12BD7" w14:textId="11E2E923"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9</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691 </w:t>
            </w:r>
          </w:p>
        </w:tc>
        <w:tc>
          <w:tcPr>
            <w:tcW w:w="902" w:type="dxa"/>
            <w:vAlign w:val="center"/>
            <w:hideMark/>
          </w:tcPr>
          <w:p w14:paraId="205BDE21"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24D46441"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6DE450B1"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Rwanda</w:t>
            </w:r>
          </w:p>
        </w:tc>
        <w:tc>
          <w:tcPr>
            <w:tcW w:w="901" w:type="dxa"/>
            <w:vAlign w:val="center"/>
            <w:hideMark/>
          </w:tcPr>
          <w:p w14:paraId="6AF87E86"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5A1ACDFE" w14:textId="04177471"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515D781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9D4FD00"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AFA990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ACD8BF2"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A7E73B2"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02930A8" w14:textId="6C1650B3"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373C715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2710A281"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0316E90F"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Samoa</w:t>
            </w:r>
          </w:p>
        </w:tc>
        <w:tc>
          <w:tcPr>
            <w:tcW w:w="901" w:type="dxa"/>
            <w:vAlign w:val="center"/>
            <w:hideMark/>
          </w:tcPr>
          <w:p w14:paraId="20F796F4" w14:textId="642451D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5566D274" w14:textId="0CD0DFC9"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64A48561"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69DC0E5" w14:textId="79DE21EB"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3CFDBED3"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D8E6FE1"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C66F2AB" w14:textId="6FFD6413"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64783B32" w14:textId="35194031"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7383EC64"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565D8CBC"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4436F12D"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Santa Lucía</w:t>
            </w:r>
          </w:p>
        </w:tc>
        <w:tc>
          <w:tcPr>
            <w:tcW w:w="901" w:type="dxa"/>
            <w:vAlign w:val="center"/>
            <w:hideMark/>
          </w:tcPr>
          <w:p w14:paraId="0ACF1BAD"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46656489" w14:textId="01F1DF00"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3ACEA77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4FAABC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F9D2306" w14:textId="4BBF2DA6"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0A55715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AE95652"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4A1411C"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294BA74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035DF8A4"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5DECF3BE"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Santo</w:t>
            </w:r>
            <w:r w:rsidRPr="007D7B87">
              <w:rPr>
                <w:rFonts w:asciiTheme="minorHAnsi" w:eastAsia="Times New Roman" w:hAnsiTheme="minorHAnsi" w:cstheme="minorHAnsi"/>
                <w:b w:val="0"/>
                <w:bCs w:val="0"/>
                <w:noProof/>
                <w:color w:val="000000"/>
                <w:sz w:val="20"/>
                <w:szCs w:val="20"/>
                <w:lang w:val="es-ES" w:eastAsia="en-GB"/>
              </w:rPr>
              <w:t xml:space="preserve"> Tom</w:t>
            </w:r>
            <w:r>
              <w:rPr>
                <w:rFonts w:asciiTheme="minorHAnsi" w:eastAsia="Times New Roman" w:hAnsiTheme="minorHAnsi" w:cstheme="minorHAnsi"/>
                <w:b w:val="0"/>
                <w:bCs w:val="0"/>
                <w:noProof/>
                <w:color w:val="000000"/>
                <w:sz w:val="20"/>
                <w:szCs w:val="20"/>
                <w:lang w:val="es-ES" w:eastAsia="en-GB"/>
              </w:rPr>
              <w:t>é</w:t>
            </w:r>
            <w:r w:rsidRPr="007D7B87">
              <w:rPr>
                <w:rFonts w:asciiTheme="minorHAnsi" w:eastAsia="Times New Roman" w:hAnsiTheme="minorHAnsi" w:cstheme="minorHAnsi"/>
                <w:b w:val="0"/>
                <w:bCs w:val="0"/>
                <w:noProof/>
                <w:color w:val="000000"/>
                <w:sz w:val="20"/>
                <w:szCs w:val="20"/>
                <w:lang w:val="es-ES" w:eastAsia="en-GB"/>
              </w:rPr>
              <w:t xml:space="preserve"> </w:t>
            </w:r>
            <w:r>
              <w:rPr>
                <w:rFonts w:asciiTheme="minorHAnsi" w:eastAsia="Times New Roman" w:hAnsiTheme="minorHAnsi" w:cstheme="minorHAnsi"/>
                <w:b w:val="0"/>
                <w:bCs w:val="0"/>
                <w:noProof/>
                <w:color w:val="000000"/>
                <w:sz w:val="20"/>
                <w:szCs w:val="20"/>
                <w:lang w:val="es-ES" w:eastAsia="en-GB"/>
              </w:rPr>
              <w:t>y</w:t>
            </w:r>
            <w:r w:rsidRPr="007D7B87">
              <w:rPr>
                <w:rFonts w:asciiTheme="minorHAnsi" w:eastAsia="Times New Roman" w:hAnsiTheme="minorHAnsi" w:cstheme="minorHAnsi"/>
                <w:b w:val="0"/>
                <w:bCs w:val="0"/>
                <w:noProof/>
                <w:color w:val="000000"/>
                <w:sz w:val="20"/>
                <w:szCs w:val="20"/>
                <w:lang w:val="es-ES" w:eastAsia="en-GB"/>
              </w:rPr>
              <w:t xml:space="preserve"> Pr</w:t>
            </w:r>
            <w:r>
              <w:rPr>
                <w:rFonts w:asciiTheme="minorHAnsi" w:eastAsia="Times New Roman" w:hAnsiTheme="minorHAnsi" w:cstheme="minorHAnsi"/>
                <w:b w:val="0"/>
                <w:bCs w:val="0"/>
                <w:noProof/>
                <w:color w:val="000000"/>
                <w:sz w:val="20"/>
                <w:szCs w:val="20"/>
                <w:lang w:val="es-ES" w:eastAsia="en-GB"/>
              </w:rPr>
              <w:t>í</w:t>
            </w:r>
            <w:r w:rsidRPr="007D7B87">
              <w:rPr>
                <w:rFonts w:asciiTheme="minorHAnsi" w:eastAsia="Times New Roman" w:hAnsiTheme="minorHAnsi" w:cstheme="minorHAnsi"/>
                <w:b w:val="0"/>
                <w:bCs w:val="0"/>
                <w:noProof/>
                <w:color w:val="000000"/>
                <w:sz w:val="20"/>
                <w:szCs w:val="20"/>
                <w:lang w:val="es-ES" w:eastAsia="en-GB"/>
              </w:rPr>
              <w:t>ncipe</w:t>
            </w:r>
          </w:p>
        </w:tc>
        <w:tc>
          <w:tcPr>
            <w:tcW w:w="901" w:type="dxa"/>
            <w:vAlign w:val="center"/>
            <w:hideMark/>
          </w:tcPr>
          <w:p w14:paraId="664FABFE" w14:textId="41ADA480"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14</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198625AA" w14:textId="581FA119"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4A5F9DEF"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13AB5FC"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4646E6B"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BECF1F6"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C0B4435" w14:textId="14FA7C8D"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14</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174476EE" w14:textId="659FAA84"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38933B7D"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5077346C"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471850F8"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Senegal</w:t>
            </w:r>
          </w:p>
        </w:tc>
        <w:tc>
          <w:tcPr>
            <w:tcW w:w="901" w:type="dxa"/>
            <w:vAlign w:val="center"/>
            <w:hideMark/>
          </w:tcPr>
          <w:p w14:paraId="0AE70613" w14:textId="53845DF9"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5BE0C16C" w14:textId="1BC7ABEF"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586920C1"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41A61C1"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3251A8F"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178939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9C24E02" w14:textId="7D40738C"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0E379A3E" w14:textId="39AC62D6"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0624E52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733F0B67"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082302BB"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Serbia</w:t>
            </w:r>
          </w:p>
        </w:tc>
        <w:tc>
          <w:tcPr>
            <w:tcW w:w="901" w:type="dxa"/>
            <w:vAlign w:val="center"/>
            <w:hideMark/>
          </w:tcPr>
          <w:p w14:paraId="422C7E33"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3FF24232" w14:textId="4DF5AEBA"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370 </w:t>
            </w:r>
          </w:p>
        </w:tc>
        <w:tc>
          <w:tcPr>
            <w:tcW w:w="901" w:type="dxa"/>
            <w:vAlign w:val="center"/>
            <w:hideMark/>
          </w:tcPr>
          <w:p w14:paraId="4BE23F9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1ADA1D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D26EB8E" w14:textId="6CED49FF"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370 </w:t>
            </w:r>
          </w:p>
        </w:tc>
        <w:tc>
          <w:tcPr>
            <w:tcW w:w="902" w:type="dxa"/>
            <w:vAlign w:val="center"/>
            <w:hideMark/>
          </w:tcPr>
          <w:p w14:paraId="19278BBE"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D28B3BE"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D8450F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1822345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2605A411"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54A55CC9"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Seychelles</w:t>
            </w:r>
          </w:p>
        </w:tc>
        <w:tc>
          <w:tcPr>
            <w:tcW w:w="901" w:type="dxa"/>
            <w:vAlign w:val="center"/>
            <w:hideMark/>
          </w:tcPr>
          <w:p w14:paraId="66E57A49" w14:textId="40C8B268"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0C91389C" w14:textId="0124FAA4"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3A35765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009ADE4" w14:textId="373CD11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7E60C5D6" w14:textId="0D81D2E4"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6192A3E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1A74DE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A648776"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1DAD8CF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26997166"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4173ECD4"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Sierra Leon</w:t>
            </w:r>
            <w:r>
              <w:rPr>
                <w:rFonts w:asciiTheme="minorHAnsi" w:eastAsia="Times New Roman" w:hAnsiTheme="minorHAnsi" w:cstheme="minorHAnsi"/>
                <w:b w:val="0"/>
                <w:bCs w:val="0"/>
                <w:noProof/>
                <w:color w:val="000000"/>
                <w:sz w:val="20"/>
                <w:szCs w:val="20"/>
                <w:lang w:val="es-ES" w:eastAsia="en-GB"/>
              </w:rPr>
              <w:t>a</w:t>
            </w:r>
          </w:p>
        </w:tc>
        <w:tc>
          <w:tcPr>
            <w:tcW w:w="901" w:type="dxa"/>
            <w:vAlign w:val="center"/>
            <w:hideMark/>
          </w:tcPr>
          <w:p w14:paraId="175153E4" w14:textId="0FBAB924"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377 </w:t>
            </w:r>
          </w:p>
        </w:tc>
        <w:tc>
          <w:tcPr>
            <w:tcW w:w="901" w:type="dxa"/>
            <w:vAlign w:val="center"/>
            <w:hideMark/>
          </w:tcPr>
          <w:p w14:paraId="260C0142" w14:textId="5EA84D66"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359919FE"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D86F70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DBF5B2C"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1199774"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DD40945" w14:textId="2995F92A"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377 </w:t>
            </w:r>
          </w:p>
        </w:tc>
        <w:tc>
          <w:tcPr>
            <w:tcW w:w="902" w:type="dxa"/>
            <w:vAlign w:val="center"/>
            <w:hideMark/>
          </w:tcPr>
          <w:p w14:paraId="1A746486" w14:textId="6C1065AB"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7E4134F4"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6E00BDE3"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67A01A2A"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Sri Lanka</w:t>
            </w:r>
          </w:p>
        </w:tc>
        <w:tc>
          <w:tcPr>
            <w:tcW w:w="901" w:type="dxa"/>
            <w:vAlign w:val="center"/>
            <w:hideMark/>
          </w:tcPr>
          <w:p w14:paraId="04189B5F" w14:textId="02462F6C"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154 </w:t>
            </w:r>
          </w:p>
        </w:tc>
        <w:tc>
          <w:tcPr>
            <w:tcW w:w="901" w:type="dxa"/>
            <w:vAlign w:val="center"/>
            <w:hideMark/>
          </w:tcPr>
          <w:p w14:paraId="3F0D4462" w14:textId="66B2D34D"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154 </w:t>
            </w:r>
          </w:p>
        </w:tc>
        <w:tc>
          <w:tcPr>
            <w:tcW w:w="901" w:type="dxa"/>
            <w:vAlign w:val="center"/>
            <w:hideMark/>
          </w:tcPr>
          <w:p w14:paraId="7B05384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24C92A6"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EA2AD38"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1DBF8AF"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EE04C62" w14:textId="2A6976E3"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154 </w:t>
            </w:r>
          </w:p>
        </w:tc>
        <w:tc>
          <w:tcPr>
            <w:tcW w:w="902" w:type="dxa"/>
            <w:vAlign w:val="center"/>
            <w:hideMark/>
          </w:tcPr>
          <w:p w14:paraId="0DDF1A48" w14:textId="1FFC70AB"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154 </w:t>
            </w:r>
          </w:p>
        </w:tc>
        <w:tc>
          <w:tcPr>
            <w:tcW w:w="902" w:type="dxa"/>
            <w:vAlign w:val="center"/>
            <w:hideMark/>
          </w:tcPr>
          <w:p w14:paraId="42FFE4FE"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3D2AE4A3"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2D819099"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lastRenderedPageBreak/>
              <w:t>Sudáfrica</w:t>
            </w:r>
          </w:p>
        </w:tc>
        <w:tc>
          <w:tcPr>
            <w:tcW w:w="901" w:type="dxa"/>
            <w:vAlign w:val="center"/>
            <w:hideMark/>
          </w:tcPr>
          <w:p w14:paraId="5E94FD0B" w14:textId="38BDE2C8"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13</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313 </w:t>
            </w:r>
          </w:p>
        </w:tc>
        <w:tc>
          <w:tcPr>
            <w:tcW w:w="901" w:type="dxa"/>
            <w:vAlign w:val="center"/>
            <w:hideMark/>
          </w:tcPr>
          <w:p w14:paraId="14BC896F" w14:textId="3123864A"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13</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313 </w:t>
            </w:r>
          </w:p>
        </w:tc>
        <w:tc>
          <w:tcPr>
            <w:tcW w:w="901" w:type="dxa"/>
            <w:vAlign w:val="center"/>
            <w:hideMark/>
          </w:tcPr>
          <w:p w14:paraId="1FF1132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E78C955" w14:textId="49DCAA6A"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13</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313 </w:t>
            </w:r>
          </w:p>
        </w:tc>
        <w:tc>
          <w:tcPr>
            <w:tcW w:w="902" w:type="dxa"/>
            <w:vAlign w:val="center"/>
            <w:hideMark/>
          </w:tcPr>
          <w:p w14:paraId="7AD0BFFB"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561F4FF"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A00BB5F"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920F218" w14:textId="74028759"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13</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313 </w:t>
            </w:r>
          </w:p>
        </w:tc>
        <w:tc>
          <w:tcPr>
            <w:tcW w:w="902" w:type="dxa"/>
            <w:vAlign w:val="center"/>
            <w:hideMark/>
          </w:tcPr>
          <w:p w14:paraId="5FF4609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26D2EE0A"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31922240"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Sud</w:t>
            </w:r>
            <w:r>
              <w:rPr>
                <w:rFonts w:asciiTheme="minorHAnsi" w:eastAsia="Times New Roman" w:hAnsiTheme="minorHAnsi" w:cstheme="minorHAnsi"/>
                <w:b w:val="0"/>
                <w:bCs w:val="0"/>
                <w:noProof/>
                <w:color w:val="000000"/>
                <w:sz w:val="20"/>
                <w:szCs w:val="20"/>
                <w:lang w:val="es-ES" w:eastAsia="en-GB"/>
              </w:rPr>
              <w:t>á</w:t>
            </w:r>
            <w:r w:rsidRPr="007D7B87">
              <w:rPr>
                <w:rFonts w:asciiTheme="minorHAnsi" w:eastAsia="Times New Roman" w:hAnsiTheme="minorHAnsi" w:cstheme="minorHAnsi"/>
                <w:b w:val="0"/>
                <w:bCs w:val="0"/>
                <w:noProof/>
                <w:color w:val="000000"/>
                <w:sz w:val="20"/>
                <w:szCs w:val="20"/>
                <w:lang w:val="es-ES" w:eastAsia="en-GB"/>
              </w:rPr>
              <w:t>n</w:t>
            </w:r>
          </w:p>
        </w:tc>
        <w:tc>
          <w:tcPr>
            <w:tcW w:w="901" w:type="dxa"/>
            <w:vAlign w:val="center"/>
            <w:hideMark/>
          </w:tcPr>
          <w:p w14:paraId="4E38AD58" w14:textId="095CD3AD"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15</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6F5ED65E" w14:textId="016D79A2"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2452C65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68FCA8E"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55A5FFC"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7211B72"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C26902B" w14:textId="2AC27426"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15</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1E75C4D3" w14:textId="5FF1DD52"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270C883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3FDD149B"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0502CEBA"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Sudán del Sur</w:t>
            </w:r>
          </w:p>
        </w:tc>
        <w:tc>
          <w:tcPr>
            <w:tcW w:w="901" w:type="dxa"/>
            <w:vAlign w:val="center"/>
            <w:hideMark/>
          </w:tcPr>
          <w:p w14:paraId="57C167EC" w14:textId="7609BF50"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7</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31BCA4F9" w14:textId="068BA340"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2D11AEF0"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A70F5CC"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A9246F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8B91984"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014C82D" w14:textId="1685AD49"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7</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48503D6A" w14:textId="6655E391"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4950E7E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7C13E016"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1F6C650A"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Suecia</w:t>
            </w:r>
          </w:p>
        </w:tc>
        <w:tc>
          <w:tcPr>
            <w:tcW w:w="901" w:type="dxa"/>
            <w:vAlign w:val="center"/>
            <w:hideMark/>
          </w:tcPr>
          <w:p w14:paraId="1C6CE53C"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18A2F5E8" w14:textId="3B7FECA8"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44</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345 </w:t>
            </w:r>
          </w:p>
        </w:tc>
        <w:tc>
          <w:tcPr>
            <w:tcW w:w="901" w:type="dxa"/>
            <w:vAlign w:val="center"/>
            <w:hideMark/>
          </w:tcPr>
          <w:p w14:paraId="3EC08738"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B10432F"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9EE6C18" w14:textId="567B1A1E"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44</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345 </w:t>
            </w:r>
          </w:p>
        </w:tc>
        <w:tc>
          <w:tcPr>
            <w:tcW w:w="902" w:type="dxa"/>
            <w:vAlign w:val="center"/>
            <w:hideMark/>
          </w:tcPr>
          <w:p w14:paraId="0AB59EAD"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4951109"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5BB7D55"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54C3F17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73899EF9"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2188951E"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Suiza</w:t>
            </w:r>
          </w:p>
        </w:tc>
        <w:tc>
          <w:tcPr>
            <w:tcW w:w="901" w:type="dxa"/>
            <w:vAlign w:val="center"/>
            <w:hideMark/>
          </w:tcPr>
          <w:p w14:paraId="0FCD73BF"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57DE23AD" w14:textId="34CC6A66"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56</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337 </w:t>
            </w:r>
          </w:p>
        </w:tc>
        <w:tc>
          <w:tcPr>
            <w:tcW w:w="901" w:type="dxa"/>
            <w:vAlign w:val="center"/>
            <w:hideMark/>
          </w:tcPr>
          <w:p w14:paraId="000B940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73A341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EEC6F7A" w14:textId="14F88518"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56</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337 </w:t>
            </w:r>
          </w:p>
        </w:tc>
        <w:tc>
          <w:tcPr>
            <w:tcW w:w="902" w:type="dxa"/>
            <w:vAlign w:val="center"/>
            <w:hideMark/>
          </w:tcPr>
          <w:p w14:paraId="7F7D9A1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08D97D0"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305BB3D"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2DECE13D"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5518DB87"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01A4B10B"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Suriname</w:t>
            </w:r>
          </w:p>
        </w:tc>
        <w:tc>
          <w:tcPr>
            <w:tcW w:w="901" w:type="dxa"/>
            <w:vAlign w:val="center"/>
            <w:hideMark/>
          </w:tcPr>
          <w:p w14:paraId="2628ACC5" w14:textId="0679E5C6"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6</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0178B6C5" w14:textId="30D4094D"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0F08613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F859125"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21E1B32"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8063670"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1634865" w14:textId="28C611A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6</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68DD1F22" w14:textId="002DF434"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06005065"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55E5575C"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35AAA3A8"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Tailand</w:t>
            </w:r>
            <w:r>
              <w:rPr>
                <w:rFonts w:asciiTheme="minorHAnsi" w:eastAsia="Times New Roman" w:hAnsiTheme="minorHAnsi" w:cstheme="minorHAnsi"/>
                <w:b w:val="0"/>
                <w:bCs w:val="0"/>
                <w:noProof/>
                <w:color w:val="000000"/>
                <w:sz w:val="20"/>
                <w:szCs w:val="20"/>
                <w:lang w:val="es-ES" w:eastAsia="en-GB"/>
              </w:rPr>
              <w:t>ia</w:t>
            </w:r>
          </w:p>
        </w:tc>
        <w:tc>
          <w:tcPr>
            <w:tcW w:w="901" w:type="dxa"/>
            <w:vAlign w:val="center"/>
            <w:hideMark/>
          </w:tcPr>
          <w:p w14:paraId="6E55472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5897D5A5" w14:textId="1648E68E"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15</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026 </w:t>
            </w:r>
          </w:p>
        </w:tc>
        <w:tc>
          <w:tcPr>
            <w:tcW w:w="901" w:type="dxa"/>
            <w:vAlign w:val="center"/>
            <w:hideMark/>
          </w:tcPr>
          <w:p w14:paraId="53EC0E8E"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1F741D8"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5A5B04C" w14:textId="6BF64504"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15</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026 </w:t>
            </w:r>
          </w:p>
        </w:tc>
        <w:tc>
          <w:tcPr>
            <w:tcW w:w="902" w:type="dxa"/>
            <w:vAlign w:val="center"/>
            <w:hideMark/>
          </w:tcPr>
          <w:p w14:paraId="6069094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89504E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7EA59F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048AA4E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1A32DDCB"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5A5540A8"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Ta</w:t>
            </w:r>
            <w:r>
              <w:rPr>
                <w:rFonts w:asciiTheme="minorHAnsi" w:eastAsia="Times New Roman" w:hAnsiTheme="minorHAnsi" w:cstheme="minorHAnsi"/>
                <w:b w:val="0"/>
                <w:bCs w:val="0"/>
                <w:noProof/>
                <w:color w:val="000000"/>
                <w:sz w:val="20"/>
                <w:szCs w:val="20"/>
                <w:lang w:val="es-ES" w:eastAsia="en-GB"/>
              </w:rPr>
              <w:t>y</w:t>
            </w:r>
            <w:r w:rsidRPr="007D7B87">
              <w:rPr>
                <w:rFonts w:asciiTheme="minorHAnsi" w:eastAsia="Times New Roman" w:hAnsiTheme="minorHAnsi" w:cstheme="minorHAnsi"/>
                <w:b w:val="0"/>
                <w:bCs w:val="0"/>
                <w:noProof/>
                <w:color w:val="000000"/>
                <w:sz w:val="20"/>
                <w:szCs w:val="20"/>
                <w:lang w:val="es-ES" w:eastAsia="en-GB"/>
              </w:rPr>
              <w:t>ikist</w:t>
            </w:r>
            <w:r>
              <w:rPr>
                <w:rFonts w:asciiTheme="minorHAnsi" w:eastAsia="Times New Roman" w:hAnsiTheme="minorHAnsi" w:cstheme="minorHAnsi"/>
                <w:b w:val="0"/>
                <w:bCs w:val="0"/>
                <w:noProof/>
                <w:color w:val="000000"/>
                <w:sz w:val="20"/>
                <w:szCs w:val="20"/>
                <w:lang w:val="es-ES" w:eastAsia="en-GB"/>
              </w:rPr>
              <w:t>á</w:t>
            </w:r>
            <w:r w:rsidRPr="007D7B87">
              <w:rPr>
                <w:rFonts w:asciiTheme="minorHAnsi" w:eastAsia="Times New Roman" w:hAnsiTheme="minorHAnsi" w:cstheme="minorHAnsi"/>
                <w:b w:val="0"/>
                <w:bCs w:val="0"/>
                <w:noProof/>
                <w:color w:val="000000"/>
                <w:sz w:val="20"/>
                <w:szCs w:val="20"/>
                <w:lang w:val="es-ES" w:eastAsia="en-GB"/>
              </w:rPr>
              <w:t>n</w:t>
            </w:r>
          </w:p>
        </w:tc>
        <w:tc>
          <w:tcPr>
            <w:tcW w:w="901" w:type="dxa"/>
            <w:vAlign w:val="center"/>
            <w:hideMark/>
          </w:tcPr>
          <w:p w14:paraId="139E5DE0" w14:textId="048CBB9C"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3D8422FB" w14:textId="4EF8C2E2"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113ED16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1F40435" w14:textId="50B29E29"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79522A09"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02391B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F9A938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81A0DF6" w14:textId="6319CA44"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1A967C7F"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1A8289F5"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2C737D6E"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Togo</w:t>
            </w:r>
          </w:p>
        </w:tc>
        <w:tc>
          <w:tcPr>
            <w:tcW w:w="901" w:type="dxa"/>
            <w:vAlign w:val="center"/>
            <w:hideMark/>
          </w:tcPr>
          <w:p w14:paraId="659F9FC7"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37C185B0" w14:textId="6D6F2164"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1632761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8E969A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D87444D" w14:textId="2E8BD39C"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6953F18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4657A5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412710E"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62881B0C"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75E87CEA"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1CF33361"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 xml:space="preserve">Trinidad </w:t>
            </w:r>
            <w:r>
              <w:rPr>
                <w:rFonts w:asciiTheme="minorHAnsi" w:eastAsia="Times New Roman" w:hAnsiTheme="minorHAnsi" w:cstheme="minorHAnsi"/>
                <w:b w:val="0"/>
                <w:bCs w:val="0"/>
                <w:noProof/>
                <w:color w:val="000000"/>
                <w:sz w:val="20"/>
                <w:szCs w:val="20"/>
                <w:lang w:val="es-ES" w:eastAsia="en-GB"/>
              </w:rPr>
              <w:t>y</w:t>
            </w:r>
            <w:r w:rsidRPr="007D7B87">
              <w:rPr>
                <w:rFonts w:asciiTheme="minorHAnsi" w:eastAsia="Times New Roman" w:hAnsiTheme="minorHAnsi" w:cstheme="minorHAnsi"/>
                <w:b w:val="0"/>
                <w:bCs w:val="0"/>
                <w:noProof/>
                <w:color w:val="000000"/>
                <w:sz w:val="20"/>
                <w:szCs w:val="20"/>
                <w:lang w:val="es-ES" w:eastAsia="en-GB"/>
              </w:rPr>
              <w:t xml:space="preserve"> T</w:t>
            </w:r>
            <w:r>
              <w:rPr>
                <w:rFonts w:asciiTheme="minorHAnsi" w:eastAsia="Times New Roman" w:hAnsiTheme="minorHAnsi" w:cstheme="minorHAnsi"/>
                <w:b w:val="0"/>
                <w:bCs w:val="0"/>
                <w:noProof/>
                <w:color w:val="000000"/>
                <w:sz w:val="20"/>
                <w:szCs w:val="20"/>
                <w:lang w:val="es-ES" w:eastAsia="en-GB"/>
              </w:rPr>
              <w:t>a</w:t>
            </w:r>
            <w:r w:rsidRPr="007D7B87">
              <w:rPr>
                <w:rFonts w:asciiTheme="minorHAnsi" w:eastAsia="Times New Roman" w:hAnsiTheme="minorHAnsi" w:cstheme="minorHAnsi"/>
                <w:b w:val="0"/>
                <w:bCs w:val="0"/>
                <w:noProof/>
                <w:color w:val="000000"/>
                <w:sz w:val="20"/>
                <w:szCs w:val="20"/>
                <w:lang w:val="es-ES" w:eastAsia="en-GB"/>
              </w:rPr>
              <w:t>bago</w:t>
            </w:r>
          </w:p>
        </w:tc>
        <w:tc>
          <w:tcPr>
            <w:tcW w:w="901" w:type="dxa"/>
            <w:vAlign w:val="center"/>
            <w:hideMark/>
          </w:tcPr>
          <w:p w14:paraId="3906CCA2" w14:textId="07398105"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986 </w:t>
            </w:r>
          </w:p>
        </w:tc>
        <w:tc>
          <w:tcPr>
            <w:tcW w:w="901" w:type="dxa"/>
            <w:vAlign w:val="center"/>
            <w:hideMark/>
          </w:tcPr>
          <w:p w14:paraId="54E525C3" w14:textId="503BDEB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958 </w:t>
            </w:r>
          </w:p>
        </w:tc>
        <w:tc>
          <w:tcPr>
            <w:tcW w:w="901" w:type="dxa"/>
            <w:vAlign w:val="center"/>
            <w:hideMark/>
          </w:tcPr>
          <w:p w14:paraId="75E68B8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8844E4E" w14:textId="4867678E"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986 </w:t>
            </w:r>
          </w:p>
        </w:tc>
        <w:tc>
          <w:tcPr>
            <w:tcW w:w="902" w:type="dxa"/>
            <w:vAlign w:val="center"/>
            <w:hideMark/>
          </w:tcPr>
          <w:p w14:paraId="76BCD515"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5478329"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37F9189"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FFF2636" w14:textId="0F597225"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958 </w:t>
            </w:r>
          </w:p>
        </w:tc>
        <w:tc>
          <w:tcPr>
            <w:tcW w:w="902" w:type="dxa"/>
            <w:vAlign w:val="center"/>
            <w:hideMark/>
          </w:tcPr>
          <w:p w14:paraId="6A69BF9B"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6AC2E58B"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730D1484"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Túnez</w:t>
            </w:r>
          </w:p>
        </w:tc>
        <w:tc>
          <w:tcPr>
            <w:tcW w:w="901" w:type="dxa"/>
            <w:vAlign w:val="center"/>
            <w:hideMark/>
          </w:tcPr>
          <w:p w14:paraId="57D9015D" w14:textId="4C601A69"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742 </w:t>
            </w:r>
          </w:p>
        </w:tc>
        <w:tc>
          <w:tcPr>
            <w:tcW w:w="901" w:type="dxa"/>
            <w:vAlign w:val="center"/>
            <w:hideMark/>
          </w:tcPr>
          <w:p w14:paraId="3B163EE7" w14:textId="0472D38C"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224 </w:t>
            </w:r>
          </w:p>
        </w:tc>
        <w:tc>
          <w:tcPr>
            <w:tcW w:w="901" w:type="dxa"/>
            <w:vAlign w:val="center"/>
            <w:hideMark/>
          </w:tcPr>
          <w:p w14:paraId="5F77EFE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73B0514" w14:textId="29BEF765"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742 </w:t>
            </w:r>
          </w:p>
        </w:tc>
        <w:tc>
          <w:tcPr>
            <w:tcW w:w="902" w:type="dxa"/>
            <w:vAlign w:val="center"/>
            <w:hideMark/>
          </w:tcPr>
          <w:p w14:paraId="4E3E7E6C" w14:textId="25E80622"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224 </w:t>
            </w:r>
          </w:p>
        </w:tc>
        <w:tc>
          <w:tcPr>
            <w:tcW w:w="902" w:type="dxa"/>
            <w:vAlign w:val="center"/>
            <w:hideMark/>
          </w:tcPr>
          <w:p w14:paraId="4E84CAE0" w14:textId="23F1CB8B"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224 </w:t>
            </w:r>
          </w:p>
        </w:tc>
        <w:tc>
          <w:tcPr>
            <w:tcW w:w="902" w:type="dxa"/>
            <w:vAlign w:val="center"/>
            <w:hideMark/>
          </w:tcPr>
          <w:p w14:paraId="5767E4D1"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7C1FFE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7883939D" w14:textId="25322151"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224 </w:t>
            </w:r>
          </w:p>
        </w:tc>
      </w:tr>
      <w:tr w:rsidR="00505118" w:rsidRPr="007D7B87" w14:paraId="4AEB3F1C"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51ECFAE8"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Turkmenist</w:t>
            </w:r>
            <w:r>
              <w:rPr>
                <w:rFonts w:asciiTheme="minorHAnsi" w:eastAsia="Times New Roman" w:hAnsiTheme="minorHAnsi" w:cstheme="minorHAnsi"/>
                <w:b w:val="0"/>
                <w:bCs w:val="0"/>
                <w:noProof/>
                <w:color w:val="000000"/>
                <w:sz w:val="20"/>
                <w:szCs w:val="20"/>
                <w:lang w:val="es-ES" w:eastAsia="en-GB"/>
              </w:rPr>
              <w:t>á</w:t>
            </w:r>
            <w:r w:rsidRPr="007D7B87">
              <w:rPr>
                <w:rFonts w:asciiTheme="minorHAnsi" w:eastAsia="Times New Roman" w:hAnsiTheme="minorHAnsi" w:cstheme="minorHAnsi"/>
                <w:b w:val="0"/>
                <w:bCs w:val="0"/>
                <w:noProof/>
                <w:color w:val="000000"/>
                <w:sz w:val="20"/>
                <w:szCs w:val="20"/>
                <w:lang w:val="es-ES" w:eastAsia="en-GB"/>
              </w:rPr>
              <w:t>n</w:t>
            </w:r>
          </w:p>
        </w:tc>
        <w:tc>
          <w:tcPr>
            <w:tcW w:w="901" w:type="dxa"/>
            <w:vAlign w:val="center"/>
            <w:hideMark/>
          </w:tcPr>
          <w:p w14:paraId="0B628853" w14:textId="79478FDD"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10</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044 </w:t>
            </w:r>
          </w:p>
        </w:tc>
        <w:tc>
          <w:tcPr>
            <w:tcW w:w="901" w:type="dxa"/>
            <w:vAlign w:val="center"/>
            <w:hideMark/>
          </w:tcPr>
          <w:p w14:paraId="5E149D29" w14:textId="0EA721BC"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615 </w:t>
            </w:r>
          </w:p>
        </w:tc>
        <w:tc>
          <w:tcPr>
            <w:tcW w:w="901" w:type="dxa"/>
            <w:vAlign w:val="center"/>
            <w:hideMark/>
          </w:tcPr>
          <w:p w14:paraId="57DE12E6"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D87D5B2"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F1E0D31"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EECF0A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2D85CE8" w14:textId="0DEFC6E4"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10</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044 </w:t>
            </w:r>
          </w:p>
        </w:tc>
        <w:tc>
          <w:tcPr>
            <w:tcW w:w="902" w:type="dxa"/>
            <w:vAlign w:val="center"/>
            <w:hideMark/>
          </w:tcPr>
          <w:p w14:paraId="4170F2E5" w14:textId="1EF9CFBA"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615 </w:t>
            </w:r>
          </w:p>
        </w:tc>
        <w:tc>
          <w:tcPr>
            <w:tcW w:w="902" w:type="dxa"/>
            <w:vAlign w:val="center"/>
            <w:hideMark/>
          </w:tcPr>
          <w:p w14:paraId="2523010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143BA862"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3DE0FFA5" w14:textId="6608C4C5" w:rsidR="00237543" w:rsidRPr="007D7B87" w:rsidRDefault="00505118" w:rsidP="00483E42">
            <w:pPr>
              <w:ind w:left="0" w:firstLine="0"/>
              <w:rPr>
                <w:rFonts w:asciiTheme="minorHAnsi" w:eastAsia="Times New Roman" w:hAnsiTheme="minorHAnsi" w:cstheme="minorHAnsi"/>
                <w:b w:val="0"/>
                <w:bCs w:val="0"/>
                <w:noProof/>
                <w:color w:val="000000"/>
                <w:sz w:val="20"/>
                <w:szCs w:val="20"/>
                <w:lang w:val="es-ES" w:eastAsia="en-GB"/>
              </w:rPr>
            </w:pPr>
            <w:r w:rsidRPr="00DB77D6">
              <w:rPr>
                <w:rFonts w:asciiTheme="minorHAnsi" w:eastAsia="Times New Roman" w:hAnsiTheme="minorHAnsi" w:cstheme="minorHAnsi"/>
                <w:b w:val="0"/>
                <w:bCs w:val="0"/>
                <w:color w:val="000000"/>
                <w:sz w:val="20"/>
                <w:szCs w:val="20"/>
                <w:lang w:eastAsia="en-GB"/>
              </w:rPr>
              <w:t>T</w:t>
            </w:r>
            <w:r>
              <w:rPr>
                <w:rFonts w:asciiTheme="minorHAnsi" w:eastAsia="Times New Roman" w:hAnsiTheme="minorHAnsi" w:cstheme="minorHAnsi"/>
                <w:b w:val="0"/>
                <w:bCs w:val="0"/>
                <w:color w:val="000000"/>
                <w:sz w:val="20"/>
                <w:szCs w:val="20"/>
                <w:lang w:eastAsia="en-GB"/>
              </w:rPr>
              <w:t>ü</w:t>
            </w:r>
            <w:r w:rsidRPr="00DB77D6">
              <w:rPr>
                <w:rFonts w:asciiTheme="minorHAnsi" w:eastAsia="Times New Roman" w:hAnsiTheme="minorHAnsi" w:cstheme="minorHAnsi"/>
                <w:b w:val="0"/>
                <w:bCs w:val="0"/>
                <w:color w:val="000000"/>
                <w:sz w:val="20"/>
                <w:szCs w:val="20"/>
                <w:lang w:eastAsia="en-GB"/>
              </w:rPr>
              <w:t>rk</w:t>
            </w:r>
            <w:r>
              <w:rPr>
                <w:rFonts w:asciiTheme="minorHAnsi" w:eastAsia="Times New Roman" w:hAnsiTheme="minorHAnsi" w:cstheme="minorHAnsi"/>
                <w:b w:val="0"/>
                <w:bCs w:val="0"/>
                <w:color w:val="000000"/>
                <w:sz w:val="20"/>
                <w:szCs w:val="20"/>
                <w:lang w:eastAsia="en-GB"/>
              </w:rPr>
              <w:t>i</w:t>
            </w:r>
            <w:r w:rsidRPr="00DB77D6">
              <w:rPr>
                <w:rFonts w:asciiTheme="minorHAnsi" w:eastAsia="Times New Roman" w:hAnsiTheme="minorHAnsi" w:cstheme="minorHAnsi"/>
                <w:b w:val="0"/>
                <w:bCs w:val="0"/>
                <w:color w:val="000000"/>
                <w:sz w:val="20"/>
                <w:szCs w:val="20"/>
                <w:lang w:eastAsia="en-GB"/>
              </w:rPr>
              <w:t>y</w:t>
            </w:r>
            <w:r>
              <w:rPr>
                <w:rFonts w:asciiTheme="minorHAnsi" w:eastAsia="Times New Roman" w:hAnsiTheme="minorHAnsi" w:cstheme="minorHAnsi"/>
                <w:b w:val="0"/>
                <w:bCs w:val="0"/>
                <w:color w:val="000000"/>
                <w:sz w:val="20"/>
                <w:szCs w:val="20"/>
                <w:lang w:eastAsia="en-GB"/>
              </w:rPr>
              <w:t>e</w:t>
            </w:r>
          </w:p>
        </w:tc>
        <w:tc>
          <w:tcPr>
            <w:tcW w:w="901" w:type="dxa"/>
            <w:vAlign w:val="center"/>
            <w:hideMark/>
          </w:tcPr>
          <w:p w14:paraId="7BBC3B0C"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7F3240F4" w14:textId="33A23D58"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67</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105 </w:t>
            </w:r>
          </w:p>
        </w:tc>
        <w:tc>
          <w:tcPr>
            <w:tcW w:w="901" w:type="dxa"/>
            <w:vAlign w:val="center"/>
            <w:hideMark/>
          </w:tcPr>
          <w:p w14:paraId="45F2CBBF"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E7F4903"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420BDC6" w14:textId="269872E8"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67</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105 </w:t>
            </w:r>
          </w:p>
        </w:tc>
        <w:tc>
          <w:tcPr>
            <w:tcW w:w="902" w:type="dxa"/>
            <w:vAlign w:val="center"/>
            <w:hideMark/>
          </w:tcPr>
          <w:p w14:paraId="371D2BEC"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52AD226"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6CCFEB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015425D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2C130C57"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4FB768D4"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Pr>
                <w:rFonts w:asciiTheme="minorHAnsi" w:eastAsia="Times New Roman" w:hAnsiTheme="minorHAnsi" w:cstheme="minorHAnsi"/>
                <w:b w:val="0"/>
                <w:bCs w:val="0"/>
                <w:noProof/>
                <w:color w:val="000000"/>
                <w:sz w:val="20"/>
                <w:szCs w:val="20"/>
                <w:lang w:val="es-ES" w:eastAsia="en-GB"/>
              </w:rPr>
              <w:t>Ucrania</w:t>
            </w:r>
          </w:p>
        </w:tc>
        <w:tc>
          <w:tcPr>
            <w:tcW w:w="901" w:type="dxa"/>
            <w:vAlign w:val="center"/>
            <w:hideMark/>
          </w:tcPr>
          <w:p w14:paraId="4A3D7F52" w14:textId="712C8748"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790 </w:t>
            </w:r>
          </w:p>
        </w:tc>
        <w:tc>
          <w:tcPr>
            <w:tcW w:w="901" w:type="dxa"/>
            <w:vAlign w:val="center"/>
            <w:hideMark/>
          </w:tcPr>
          <w:p w14:paraId="344A36F8" w14:textId="6C81DD04"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790 </w:t>
            </w:r>
          </w:p>
        </w:tc>
        <w:tc>
          <w:tcPr>
            <w:tcW w:w="901" w:type="dxa"/>
            <w:vAlign w:val="center"/>
            <w:hideMark/>
          </w:tcPr>
          <w:p w14:paraId="1E2B9B31"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9ED6B2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433EA5D"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6B2EB06"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8EEF4C3" w14:textId="65CA1CC8"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790 </w:t>
            </w:r>
          </w:p>
        </w:tc>
        <w:tc>
          <w:tcPr>
            <w:tcW w:w="902" w:type="dxa"/>
            <w:vAlign w:val="center"/>
            <w:hideMark/>
          </w:tcPr>
          <w:p w14:paraId="22309D6E" w14:textId="60B9804F"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790 </w:t>
            </w:r>
          </w:p>
        </w:tc>
        <w:tc>
          <w:tcPr>
            <w:tcW w:w="902" w:type="dxa"/>
            <w:vAlign w:val="center"/>
            <w:hideMark/>
          </w:tcPr>
          <w:p w14:paraId="3E144E7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2A7E8032"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71CD28AA"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Uganda</w:t>
            </w:r>
          </w:p>
        </w:tc>
        <w:tc>
          <w:tcPr>
            <w:tcW w:w="901" w:type="dxa"/>
            <w:vAlign w:val="center"/>
            <w:hideMark/>
          </w:tcPr>
          <w:p w14:paraId="669DF166" w14:textId="03C63FA5"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5442C8C5" w14:textId="578727A4"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211D0AEE"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2390C5F" w14:textId="20B4E812"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119C9665" w14:textId="0FC50DFD"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3F425A2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F89BCF2"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22278E4"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4F8488BC"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1F38A39C"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5208C738"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Uruguay</w:t>
            </w:r>
          </w:p>
        </w:tc>
        <w:tc>
          <w:tcPr>
            <w:tcW w:w="901" w:type="dxa"/>
            <w:vAlign w:val="center"/>
            <w:hideMark/>
          </w:tcPr>
          <w:p w14:paraId="35CF8D01" w14:textId="0FA11FB1"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258 </w:t>
            </w:r>
          </w:p>
        </w:tc>
        <w:tc>
          <w:tcPr>
            <w:tcW w:w="901" w:type="dxa"/>
            <w:vAlign w:val="center"/>
            <w:hideMark/>
          </w:tcPr>
          <w:p w14:paraId="76613B26" w14:textId="2589ACDD"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258 </w:t>
            </w:r>
          </w:p>
        </w:tc>
        <w:tc>
          <w:tcPr>
            <w:tcW w:w="901" w:type="dxa"/>
            <w:vAlign w:val="center"/>
            <w:hideMark/>
          </w:tcPr>
          <w:p w14:paraId="0B270E3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4589BDB" w14:textId="3B44A85B"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258 </w:t>
            </w:r>
          </w:p>
        </w:tc>
        <w:tc>
          <w:tcPr>
            <w:tcW w:w="902" w:type="dxa"/>
            <w:vAlign w:val="center"/>
            <w:hideMark/>
          </w:tcPr>
          <w:p w14:paraId="06601EE4" w14:textId="6FDEE2FD"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258 </w:t>
            </w:r>
          </w:p>
        </w:tc>
        <w:tc>
          <w:tcPr>
            <w:tcW w:w="902" w:type="dxa"/>
            <w:vAlign w:val="center"/>
            <w:hideMark/>
          </w:tcPr>
          <w:p w14:paraId="308DCDE5"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B20A57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E78361F"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24C11B14"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1E47E709"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5AE96D3D"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Uzbekist</w:t>
            </w:r>
            <w:r>
              <w:rPr>
                <w:rFonts w:asciiTheme="minorHAnsi" w:eastAsia="Times New Roman" w:hAnsiTheme="minorHAnsi" w:cstheme="minorHAnsi"/>
                <w:b w:val="0"/>
                <w:bCs w:val="0"/>
                <w:noProof/>
                <w:color w:val="000000"/>
                <w:sz w:val="20"/>
                <w:szCs w:val="20"/>
                <w:lang w:val="es-ES" w:eastAsia="en-GB"/>
              </w:rPr>
              <w:t>á</w:t>
            </w:r>
            <w:r w:rsidRPr="007D7B87">
              <w:rPr>
                <w:rFonts w:asciiTheme="minorHAnsi" w:eastAsia="Times New Roman" w:hAnsiTheme="minorHAnsi" w:cstheme="minorHAnsi"/>
                <w:b w:val="0"/>
                <w:bCs w:val="0"/>
                <w:noProof/>
                <w:color w:val="000000"/>
                <w:sz w:val="20"/>
                <w:szCs w:val="20"/>
                <w:lang w:val="es-ES" w:eastAsia="en-GB"/>
              </w:rPr>
              <w:t>n</w:t>
            </w:r>
          </w:p>
        </w:tc>
        <w:tc>
          <w:tcPr>
            <w:tcW w:w="901" w:type="dxa"/>
            <w:vAlign w:val="center"/>
            <w:hideMark/>
          </w:tcPr>
          <w:p w14:paraId="4810A7A2" w14:textId="087108F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16</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188 </w:t>
            </w:r>
          </w:p>
        </w:tc>
        <w:tc>
          <w:tcPr>
            <w:tcW w:w="901" w:type="dxa"/>
            <w:vAlign w:val="center"/>
            <w:hideMark/>
          </w:tcPr>
          <w:p w14:paraId="41FBCFF6" w14:textId="66C4FF24"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566 </w:t>
            </w:r>
          </w:p>
        </w:tc>
        <w:tc>
          <w:tcPr>
            <w:tcW w:w="901" w:type="dxa"/>
            <w:vAlign w:val="center"/>
            <w:hideMark/>
          </w:tcPr>
          <w:p w14:paraId="7465EF9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5A5BB9E" w14:textId="0D5787F8"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691 </w:t>
            </w:r>
          </w:p>
        </w:tc>
        <w:tc>
          <w:tcPr>
            <w:tcW w:w="902" w:type="dxa"/>
            <w:vAlign w:val="center"/>
            <w:hideMark/>
          </w:tcPr>
          <w:p w14:paraId="421B59C4"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E4F84F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BAD3D51" w14:textId="36E49E85"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13</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497 </w:t>
            </w:r>
          </w:p>
        </w:tc>
        <w:tc>
          <w:tcPr>
            <w:tcW w:w="902" w:type="dxa"/>
            <w:vAlign w:val="center"/>
            <w:hideMark/>
          </w:tcPr>
          <w:p w14:paraId="001625BF" w14:textId="155922A8"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566 </w:t>
            </w:r>
          </w:p>
        </w:tc>
        <w:tc>
          <w:tcPr>
            <w:tcW w:w="902" w:type="dxa"/>
            <w:vAlign w:val="center"/>
            <w:hideMark/>
          </w:tcPr>
          <w:p w14:paraId="6CB2B147"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50CD1F24"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4776F74C"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Vanuatu</w:t>
            </w:r>
          </w:p>
        </w:tc>
        <w:tc>
          <w:tcPr>
            <w:tcW w:w="901" w:type="dxa"/>
            <w:vAlign w:val="center"/>
            <w:hideMark/>
          </w:tcPr>
          <w:p w14:paraId="39F9ECD6"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43FF997F" w14:textId="09D03585"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3FB0691D"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46 </w:t>
            </w:r>
          </w:p>
        </w:tc>
        <w:tc>
          <w:tcPr>
            <w:tcW w:w="902" w:type="dxa"/>
            <w:vAlign w:val="center"/>
            <w:hideMark/>
          </w:tcPr>
          <w:p w14:paraId="6DBD5E6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4DC0365"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954 </w:t>
            </w:r>
          </w:p>
        </w:tc>
        <w:tc>
          <w:tcPr>
            <w:tcW w:w="902" w:type="dxa"/>
            <w:vAlign w:val="center"/>
            <w:hideMark/>
          </w:tcPr>
          <w:p w14:paraId="577AE8F8"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99 </w:t>
            </w:r>
          </w:p>
        </w:tc>
        <w:tc>
          <w:tcPr>
            <w:tcW w:w="902" w:type="dxa"/>
            <w:vAlign w:val="center"/>
            <w:hideMark/>
          </w:tcPr>
          <w:p w14:paraId="2148638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11F58C1"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c>
          <w:tcPr>
            <w:tcW w:w="902" w:type="dxa"/>
            <w:vAlign w:val="center"/>
            <w:hideMark/>
          </w:tcPr>
          <w:p w14:paraId="5A9CEA15"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99 </w:t>
            </w:r>
          </w:p>
        </w:tc>
      </w:tr>
      <w:tr w:rsidR="00505118" w:rsidRPr="007D7B87" w14:paraId="2B55BA85"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6830770D"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Venezuela (</w:t>
            </w:r>
            <w:r>
              <w:rPr>
                <w:rFonts w:asciiTheme="minorHAnsi" w:eastAsia="Times New Roman" w:hAnsiTheme="minorHAnsi" w:cstheme="minorHAnsi"/>
                <w:b w:val="0"/>
                <w:bCs w:val="0"/>
                <w:noProof/>
                <w:color w:val="000000"/>
                <w:sz w:val="20"/>
                <w:szCs w:val="20"/>
                <w:lang w:val="es-ES" w:eastAsia="en-GB"/>
              </w:rPr>
              <w:t>República Bolivariana de</w:t>
            </w:r>
            <w:r w:rsidRPr="007D7B87">
              <w:rPr>
                <w:rFonts w:asciiTheme="minorHAnsi" w:eastAsia="Times New Roman" w:hAnsiTheme="minorHAnsi" w:cstheme="minorHAnsi"/>
                <w:b w:val="0"/>
                <w:bCs w:val="0"/>
                <w:noProof/>
                <w:color w:val="000000"/>
                <w:sz w:val="20"/>
                <w:szCs w:val="20"/>
                <w:lang w:val="es-ES" w:eastAsia="en-GB"/>
              </w:rPr>
              <w:t>)</w:t>
            </w:r>
          </w:p>
        </w:tc>
        <w:tc>
          <w:tcPr>
            <w:tcW w:w="901" w:type="dxa"/>
            <w:vAlign w:val="center"/>
            <w:hideMark/>
          </w:tcPr>
          <w:p w14:paraId="265418CC" w14:textId="424D3106"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276</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737 </w:t>
            </w:r>
          </w:p>
        </w:tc>
        <w:tc>
          <w:tcPr>
            <w:tcW w:w="901" w:type="dxa"/>
            <w:vAlign w:val="center"/>
            <w:hideMark/>
          </w:tcPr>
          <w:p w14:paraId="0348133E" w14:textId="15D0396C"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35</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633 </w:t>
            </w:r>
          </w:p>
        </w:tc>
        <w:tc>
          <w:tcPr>
            <w:tcW w:w="901" w:type="dxa"/>
            <w:vAlign w:val="center"/>
            <w:hideMark/>
          </w:tcPr>
          <w:p w14:paraId="7F16EFC9"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DF9F00D"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87B013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1EA29F7"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F58CF29" w14:textId="1EAA3F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276</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737 </w:t>
            </w:r>
          </w:p>
        </w:tc>
        <w:tc>
          <w:tcPr>
            <w:tcW w:w="902" w:type="dxa"/>
            <w:vAlign w:val="center"/>
            <w:hideMark/>
          </w:tcPr>
          <w:p w14:paraId="2D1016FC" w14:textId="4594AE49"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35</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633 </w:t>
            </w:r>
          </w:p>
        </w:tc>
        <w:tc>
          <w:tcPr>
            <w:tcW w:w="902" w:type="dxa"/>
            <w:vAlign w:val="center"/>
            <w:hideMark/>
          </w:tcPr>
          <w:p w14:paraId="5D4E9923"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465FA6A2"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12E13BE3"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Viet Nam</w:t>
            </w:r>
          </w:p>
        </w:tc>
        <w:tc>
          <w:tcPr>
            <w:tcW w:w="901" w:type="dxa"/>
            <w:vAlign w:val="center"/>
            <w:hideMark/>
          </w:tcPr>
          <w:p w14:paraId="65C3367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1" w:type="dxa"/>
            <w:vAlign w:val="center"/>
            <w:hideMark/>
          </w:tcPr>
          <w:p w14:paraId="0D0CC275" w14:textId="30CB73AB"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3</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769 </w:t>
            </w:r>
          </w:p>
        </w:tc>
        <w:tc>
          <w:tcPr>
            <w:tcW w:w="901" w:type="dxa"/>
            <w:vAlign w:val="center"/>
            <w:hideMark/>
          </w:tcPr>
          <w:p w14:paraId="3D8CAC7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58C1204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040035D6"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930 </w:t>
            </w:r>
          </w:p>
        </w:tc>
        <w:tc>
          <w:tcPr>
            <w:tcW w:w="902" w:type="dxa"/>
            <w:vAlign w:val="center"/>
            <w:hideMark/>
          </w:tcPr>
          <w:p w14:paraId="171E17C1"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88205C0"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F239142" w14:textId="7B5096DE"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2</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839 </w:t>
            </w:r>
          </w:p>
        </w:tc>
        <w:tc>
          <w:tcPr>
            <w:tcW w:w="902" w:type="dxa"/>
            <w:vAlign w:val="center"/>
            <w:hideMark/>
          </w:tcPr>
          <w:p w14:paraId="02886A38"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72B3CBE8"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5E8868D9"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Yemen</w:t>
            </w:r>
          </w:p>
        </w:tc>
        <w:tc>
          <w:tcPr>
            <w:tcW w:w="901" w:type="dxa"/>
            <w:vAlign w:val="center"/>
            <w:hideMark/>
          </w:tcPr>
          <w:p w14:paraId="322B2F10" w14:textId="14853208"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13</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3DB957AC" w14:textId="404BAB74"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0A6539AE"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686273AB"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3FC4E73"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15A57C3"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1E5A058" w14:textId="607B36A3"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13</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014514E8" w14:textId="04A1DA86"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523FBFF4"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434A0C6E" w14:textId="77777777" w:rsidTr="007B69D3">
        <w:tc>
          <w:tcPr>
            <w:cnfStyle w:val="001000000000" w:firstRow="0" w:lastRow="0" w:firstColumn="1" w:lastColumn="0" w:oddVBand="0" w:evenVBand="0" w:oddHBand="0" w:evenHBand="0" w:firstRowFirstColumn="0" w:firstRowLastColumn="0" w:lastRowFirstColumn="0" w:lastRowLastColumn="0"/>
            <w:tcW w:w="2086" w:type="dxa"/>
            <w:noWrap/>
            <w:hideMark/>
          </w:tcPr>
          <w:p w14:paraId="76A26788"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Zambia</w:t>
            </w:r>
          </w:p>
        </w:tc>
        <w:tc>
          <w:tcPr>
            <w:tcW w:w="901" w:type="dxa"/>
            <w:vAlign w:val="center"/>
            <w:hideMark/>
          </w:tcPr>
          <w:p w14:paraId="4F6ACE1B" w14:textId="1CE508DC"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4F71CBD5" w14:textId="006EC621"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5BA5850A"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7EDC897"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83541A3"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E2402ED"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3691098D" w14:textId="661C25B3"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4</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75283CB0" w14:textId="6AD8ABCD"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23AD1D4E" w14:textId="77777777" w:rsidR="00237543" w:rsidRPr="007D7B87" w:rsidRDefault="00237543"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05118" w:rsidRPr="007D7B87" w14:paraId="3B66A9B5" w14:textId="77777777" w:rsidTr="007B6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noWrap/>
            <w:hideMark/>
          </w:tcPr>
          <w:p w14:paraId="0ACBC2AA" w14:textId="77777777" w:rsidR="00237543" w:rsidRPr="007D7B87" w:rsidRDefault="00237543" w:rsidP="00483E42">
            <w:pPr>
              <w:ind w:left="0" w:firstLine="0"/>
              <w:rPr>
                <w:rFonts w:asciiTheme="minorHAnsi" w:eastAsia="Times New Roman" w:hAnsiTheme="minorHAnsi" w:cstheme="minorHAnsi"/>
                <w:b w:val="0"/>
                <w:bCs w:val="0"/>
                <w:noProof/>
                <w:color w:val="000000"/>
                <w:sz w:val="20"/>
                <w:szCs w:val="20"/>
                <w:lang w:val="es-ES" w:eastAsia="en-GB"/>
              </w:rPr>
            </w:pPr>
            <w:r w:rsidRPr="007D7B87">
              <w:rPr>
                <w:rFonts w:asciiTheme="minorHAnsi" w:eastAsia="Times New Roman" w:hAnsiTheme="minorHAnsi" w:cstheme="minorHAnsi"/>
                <w:b w:val="0"/>
                <w:bCs w:val="0"/>
                <w:noProof/>
                <w:color w:val="000000"/>
                <w:sz w:val="20"/>
                <w:szCs w:val="20"/>
                <w:lang w:val="es-ES" w:eastAsia="en-GB"/>
              </w:rPr>
              <w:t>Zimbabwe</w:t>
            </w:r>
          </w:p>
        </w:tc>
        <w:tc>
          <w:tcPr>
            <w:tcW w:w="901" w:type="dxa"/>
            <w:vAlign w:val="center"/>
            <w:hideMark/>
          </w:tcPr>
          <w:p w14:paraId="45F79A0C" w14:textId="61AE1388"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8</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46DD913B" w14:textId="4950A908"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1" w:type="dxa"/>
            <w:vAlign w:val="center"/>
            <w:hideMark/>
          </w:tcPr>
          <w:p w14:paraId="3D195A3A"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10A73C17"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7AB8E9BC"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22EBD80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 xml:space="preserve"> -</w:t>
            </w:r>
          </w:p>
        </w:tc>
        <w:tc>
          <w:tcPr>
            <w:tcW w:w="902" w:type="dxa"/>
            <w:vAlign w:val="center"/>
            <w:hideMark/>
          </w:tcPr>
          <w:p w14:paraId="4CCB0212" w14:textId="37D24D52"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8</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231B469B" w14:textId="3681B468"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1</w:t>
            </w:r>
            <w:r w:rsidR="004F1204">
              <w:rPr>
                <w:rFonts w:asciiTheme="minorHAnsi" w:hAnsiTheme="minorHAnsi" w:cstheme="minorHAnsi"/>
                <w:noProof/>
                <w:sz w:val="20"/>
                <w:szCs w:val="20"/>
                <w:lang w:val="es-ES"/>
              </w:rPr>
              <w:t xml:space="preserve"> </w:t>
            </w:r>
            <w:r w:rsidRPr="007D7B87">
              <w:rPr>
                <w:rFonts w:asciiTheme="minorHAnsi" w:hAnsiTheme="minorHAnsi" w:cstheme="minorHAnsi"/>
                <w:noProof/>
                <w:sz w:val="20"/>
                <w:szCs w:val="20"/>
                <w:lang w:val="es-ES"/>
              </w:rPr>
              <w:t xml:space="preserve">000 </w:t>
            </w:r>
          </w:p>
        </w:tc>
        <w:tc>
          <w:tcPr>
            <w:tcW w:w="902" w:type="dxa"/>
            <w:vAlign w:val="center"/>
            <w:hideMark/>
          </w:tcPr>
          <w:p w14:paraId="68706885" w14:textId="77777777" w:rsidR="00237543" w:rsidRPr="007D7B87" w:rsidRDefault="00237543" w:rsidP="00483E42">
            <w:pPr>
              <w:ind w:left="0" w:firstLin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noProof/>
                <w:color w:val="000000"/>
                <w:sz w:val="20"/>
                <w:szCs w:val="20"/>
                <w:lang w:val="es-ES" w:eastAsia="en-GB"/>
              </w:rPr>
            </w:pPr>
            <w:r w:rsidRPr="007D7B87">
              <w:rPr>
                <w:rFonts w:asciiTheme="minorHAnsi" w:hAnsiTheme="minorHAnsi" w:cstheme="minorHAnsi"/>
                <w:noProof/>
                <w:sz w:val="20"/>
                <w:szCs w:val="20"/>
                <w:lang w:val="es-ES"/>
              </w:rPr>
              <w:t>-</w:t>
            </w:r>
          </w:p>
        </w:tc>
      </w:tr>
      <w:tr w:rsidR="005C1B09" w:rsidRPr="007D7B87" w14:paraId="404C755D" w14:textId="77777777" w:rsidTr="007B69D3">
        <w:tc>
          <w:tcPr>
            <w:cnfStyle w:val="001000000000" w:firstRow="0" w:lastRow="0" w:firstColumn="1" w:lastColumn="0" w:oddVBand="0" w:evenVBand="0" w:oddHBand="0" w:evenHBand="0" w:firstRowFirstColumn="0" w:firstRowLastColumn="0" w:lastRowFirstColumn="0" w:lastRowLastColumn="0"/>
            <w:tcW w:w="2086" w:type="dxa"/>
            <w:shd w:val="clear" w:color="auto" w:fill="DBE5F1" w:themeFill="accent1" w:themeFillTint="33"/>
            <w:noWrap/>
            <w:hideMark/>
          </w:tcPr>
          <w:p w14:paraId="13343C50" w14:textId="77777777" w:rsidR="005C1B09" w:rsidRPr="007D7B87" w:rsidRDefault="005C1B09" w:rsidP="00483E42">
            <w:pPr>
              <w:ind w:left="0" w:firstLine="0"/>
              <w:rPr>
                <w:rFonts w:asciiTheme="minorHAnsi" w:eastAsia="Times New Roman" w:hAnsiTheme="minorHAnsi" w:cstheme="minorHAnsi"/>
                <w:bCs w:val="0"/>
                <w:noProof/>
                <w:color w:val="000000"/>
                <w:sz w:val="20"/>
                <w:szCs w:val="20"/>
                <w:lang w:val="es-ES" w:eastAsia="en-GB"/>
              </w:rPr>
            </w:pPr>
            <w:r w:rsidRPr="007D7B87">
              <w:rPr>
                <w:rFonts w:asciiTheme="minorHAnsi" w:eastAsia="Times New Roman" w:hAnsiTheme="minorHAnsi" w:cstheme="minorHAnsi"/>
                <w:bCs w:val="0"/>
                <w:noProof/>
                <w:color w:val="000000"/>
                <w:sz w:val="20"/>
                <w:szCs w:val="20"/>
                <w:lang w:val="es-ES" w:eastAsia="en-GB"/>
              </w:rPr>
              <w:t>Total</w:t>
            </w:r>
          </w:p>
        </w:tc>
        <w:tc>
          <w:tcPr>
            <w:tcW w:w="901" w:type="dxa"/>
            <w:shd w:val="clear" w:color="auto" w:fill="DBE5F1" w:themeFill="accent1" w:themeFillTint="33"/>
            <w:vAlign w:val="center"/>
            <w:hideMark/>
          </w:tcPr>
          <w:p w14:paraId="55FA8BF9" w14:textId="309EBE26" w:rsidR="005C1B09" w:rsidRPr="007D7B8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noProof/>
                <w:color w:val="000000"/>
                <w:sz w:val="20"/>
                <w:szCs w:val="20"/>
                <w:lang w:val="es-ES" w:eastAsia="en-GB"/>
              </w:rPr>
            </w:pPr>
            <w:r w:rsidRPr="007D7B87">
              <w:rPr>
                <w:rFonts w:asciiTheme="minorHAnsi" w:hAnsiTheme="minorHAnsi" w:cstheme="minorHAnsi"/>
                <w:b/>
                <w:bCs/>
                <w:noProof/>
                <w:color w:val="000000"/>
                <w:sz w:val="20"/>
                <w:szCs w:val="20"/>
                <w:lang w:val="es-ES"/>
              </w:rPr>
              <w:t>1</w:t>
            </w:r>
            <w:r w:rsidR="004F1204">
              <w:rPr>
                <w:rFonts w:asciiTheme="minorHAnsi" w:hAnsiTheme="minorHAnsi" w:cstheme="minorHAnsi"/>
                <w:b/>
                <w:bCs/>
                <w:noProof/>
                <w:color w:val="000000"/>
                <w:sz w:val="20"/>
                <w:szCs w:val="20"/>
                <w:lang w:val="es-ES"/>
              </w:rPr>
              <w:t xml:space="preserve"> </w:t>
            </w:r>
            <w:r w:rsidRPr="007D7B87">
              <w:rPr>
                <w:rFonts w:asciiTheme="minorHAnsi" w:hAnsiTheme="minorHAnsi" w:cstheme="minorHAnsi"/>
                <w:b/>
                <w:bCs/>
                <w:noProof/>
                <w:color w:val="000000"/>
                <w:sz w:val="20"/>
                <w:szCs w:val="20"/>
                <w:lang w:val="es-ES"/>
              </w:rPr>
              <w:t>674</w:t>
            </w:r>
            <w:r w:rsidR="004F1204">
              <w:rPr>
                <w:rFonts w:asciiTheme="minorHAnsi" w:hAnsiTheme="minorHAnsi" w:cstheme="minorHAnsi"/>
                <w:b/>
                <w:bCs/>
                <w:noProof/>
                <w:color w:val="000000"/>
                <w:sz w:val="20"/>
                <w:szCs w:val="20"/>
                <w:lang w:val="es-ES"/>
              </w:rPr>
              <w:t xml:space="preserve"> </w:t>
            </w:r>
            <w:r w:rsidRPr="007D7B87">
              <w:rPr>
                <w:rFonts w:asciiTheme="minorHAnsi" w:hAnsiTheme="minorHAnsi" w:cstheme="minorHAnsi"/>
                <w:b/>
                <w:bCs/>
                <w:noProof/>
                <w:color w:val="000000"/>
                <w:sz w:val="20"/>
                <w:szCs w:val="20"/>
                <w:lang w:val="es-ES"/>
              </w:rPr>
              <w:t xml:space="preserve">049 </w:t>
            </w:r>
          </w:p>
        </w:tc>
        <w:tc>
          <w:tcPr>
            <w:tcW w:w="901" w:type="dxa"/>
            <w:shd w:val="clear" w:color="auto" w:fill="DBE5F1" w:themeFill="accent1" w:themeFillTint="33"/>
            <w:vAlign w:val="center"/>
            <w:hideMark/>
          </w:tcPr>
          <w:p w14:paraId="07D8B12B" w14:textId="14E28585" w:rsidR="005C1B09" w:rsidRPr="007D7B8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noProof/>
                <w:color w:val="000000"/>
                <w:sz w:val="20"/>
                <w:szCs w:val="20"/>
                <w:lang w:val="es-ES" w:eastAsia="en-GB"/>
              </w:rPr>
            </w:pPr>
            <w:r w:rsidRPr="007D7B87">
              <w:rPr>
                <w:rFonts w:asciiTheme="minorHAnsi" w:hAnsiTheme="minorHAnsi" w:cstheme="minorHAnsi"/>
                <w:b/>
                <w:bCs/>
                <w:noProof/>
                <w:color w:val="000000"/>
                <w:sz w:val="20"/>
                <w:szCs w:val="20"/>
                <w:lang w:val="es-ES"/>
              </w:rPr>
              <w:t>4</w:t>
            </w:r>
            <w:r w:rsidR="004F1204">
              <w:rPr>
                <w:rFonts w:asciiTheme="minorHAnsi" w:hAnsiTheme="minorHAnsi" w:cstheme="minorHAnsi"/>
                <w:b/>
                <w:bCs/>
                <w:noProof/>
                <w:color w:val="000000"/>
                <w:sz w:val="20"/>
                <w:szCs w:val="20"/>
                <w:lang w:val="es-ES"/>
              </w:rPr>
              <w:t xml:space="preserve"> </w:t>
            </w:r>
            <w:r w:rsidRPr="007D7B87">
              <w:rPr>
                <w:rFonts w:asciiTheme="minorHAnsi" w:hAnsiTheme="minorHAnsi" w:cstheme="minorHAnsi"/>
                <w:b/>
                <w:bCs/>
                <w:noProof/>
                <w:color w:val="000000"/>
                <w:sz w:val="20"/>
                <w:szCs w:val="20"/>
                <w:lang w:val="es-ES"/>
              </w:rPr>
              <w:t>844</w:t>
            </w:r>
            <w:r w:rsidR="004F1204">
              <w:rPr>
                <w:rFonts w:asciiTheme="minorHAnsi" w:hAnsiTheme="minorHAnsi" w:cstheme="minorHAnsi"/>
                <w:b/>
                <w:bCs/>
                <w:noProof/>
                <w:color w:val="000000"/>
                <w:sz w:val="20"/>
                <w:szCs w:val="20"/>
                <w:lang w:val="es-ES"/>
              </w:rPr>
              <w:t xml:space="preserve"> </w:t>
            </w:r>
            <w:r w:rsidRPr="007D7B87">
              <w:rPr>
                <w:rFonts w:asciiTheme="minorHAnsi" w:hAnsiTheme="minorHAnsi" w:cstheme="minorHAnsi"/>
                <w:b/>
                <w:bCs/>
                <w:noProof/>
                <w:color w:val="000000"/>
                <w:sz w:val="20"/>
                <w:szCs w:val="20"/>
                <w:lang w:val="es-ES"/>
              </w:rPr>
              <w:t xml:space="preserve">799 </w:t>
            </w:r>
          </w:p>
        </w:tc>
        <w:tc>
          <w:tcPr>
            <w:tcW w:w="901" w:type="dxa"/>
            <w:shd w:val="clear" w:color="auto" w:fill="DBE5F1" w:themeFill="accent1" w:themeFillTint="33"/>
            <w:vAlign w:val="center"/>
            <w:hideMark/>
          </w:tcPr>
          <w:p w14:paraId="1F116CB4" w14:textId="2F2A370D" w:rsidR="005C1B09" w:rsidRPr="007D7B8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noProof/>
                <w:color w:val="000000"/>
                <w:sz w:val="20"/>
                <w:szCs w:val="20"/>
                <w:lang w:val="es-ES" w:eastAsia="en-GB"/>
              </w:rPr>
            </w:pPr>
            <w:r w:rsidRPr="007D7B87">
              <w:rPr>
                <w:rFonts w:asciiTheme="minorHAnsi" w:hAnsiTheme="minorHAnsi" w:cstheme="minorHAnsi"/>
                <w:b/>
                <w:bCs/>
                <w:noProof/>
                <w:color w:val="000000"/>
                <w:sz w:val="20"/>
                <w:szCs w:val="20"/>
                <w:lang w:val="es-ES"/>
              </w:rPr>
              <w:t>503</w:t>
            </w:r>
            <w:r w:rsidR="004F1204">
              <w:rPr>
                <w:rFonts w:asciiTheme="minorHAnsi" w:hAnsiTheme="minorHAnsi" w:cstheme="minorHAnsi"/>
                <w:b/>
                <w:bCs/>
                <w:noProof/>
                <w:color w:val="000000"/>
                <w:sz w:val="20"/>
                <w:szCs w:val="20"/>
                <w:lang w:val="es-ES"/>
              </w:rPr>
              <w:t xml:space="preserve"> </w:t>
            </w:r>
            <w:r w:rsidRPr="007D7B87">
              <w:rPr>
                <w:rFonts w:asciiTheme="minorHAnsi" w:hAnsiTheme="minorHAnsi" w:cstheme="minorHAnsi"/>
                <w:b/>
                <w:bCs/>
                <w:noProof/>
                <w:color w:val="000000"/>
                <w:sz w:val="20"/>
                <w:szCs w:val="20"/>
                <w:lang w:val="es-ES"/>
              </w:rPr>
              <w:t xml:space="preserve">050 </w:t>
            </w:r>
          </w:p>
        </w:tc>
        <w:tc>
          <w:tcPr>
            <w:tcW w:w="902" w:type="dxa"/>
            <w:shd w:val="clear" w:color="auto" w:fill="DBE5F1" w:themeFill="accent1" w:themeFillTint="33"/>
            <w:vAlign w:val="center"/>
            <w:hideMark/>
          </w:tcPr>
          <w:p w14:paraId="7A840410" w14:textId="5C76BD66" w:rsidR="005C1B09" w:rsidRPr="007D7B8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noProof/>
                <w:color w:val="000000"/>
                <w:spacing w:val="-4"/>
                <w:sz w:val="20"/>
                <w:szCs w:val="20"/>
                <w:lang w:val="es-ES" w:eastAsia="en-GB"/>
              </w:rPr>
            </w:pPr>
            <w:r w:rsidRPr="007D7B87">
              <w:rPr>
                <w:rFonts w:asciiTheme="minorHAnsi" w:hAnsiTheme="minorHAnsi" w:cstheme="minorHAnsi"/>
                <w:b/>
                <w:bCs/>
                <w:noProof/>
                <w:color w:val="000000"/>
                <w:sz w:val="20"/>
                <w:szCs w:val="20"/>
                <w:lang w:val="es-ES"/>
              </w:rPr>
              <w:t>660</w:t>
            </w:r>
            <w:r w:rsidR="004F1204">
              <w:rPr>
                <w:rFonts w:asciiTheme="minorHAnsi" w:hAnsiTheme="minorHAnsi" w:cstheme="minorHAnsi"/>
                <w:b/>
                <w:bCs/>
                <w:noProof/>
                <w:color w:val="000000"/>
                <w:sz w:val="20"/>
                <w:szCs w:val="20"/>
                <w:lang w:val="es-ES"/>
              </w:rPr>
              <w:t xml:space="preserve"> </w:t>
            </w:r>
            <w:r w:rsidRPr="007D7B87">
              <w:rPr>
                <w:rFonts w:asciiTheme="minorHAnsi" w:hAnsiTheme="minorHAnsi" w:cstheme="minorHAnsi"/>
                <w:b/>
                <w:bCs/>
                <w:noProof/>
                <w:color w:val="000000"/>
                <w:sz w:val="20"/>
                <w:szCs w:val="20"/>
                <w:lang w:val="es-ES"/>
              </w:rPr>
              <w:t xml:space="preserve">673 </w:t>
            </w:r>
          </w:p>
        </w:tc>
        <w:tc>
          <w:tcPr>
            <w:tcW w:w="902" w:type="dxa"/>
            <w:shd w:val="clear" w:color="auto" w:fill="DBE5F1" w:themeFill="accent1" w:themeFillTint="33"/>
            <w:vAlign w:val="center"/>
            <w:hideMark/>
          </w:tcPr>
          <w:p w14:paraId="359CCF60" w14:textId="1EB4A793" w:rsidR="005C1B09" w:rsidRPr="007D7B8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noProof/>
                <w:color w:val="000000"/>
                <w:sz w:val="20"/>
                <w:szCs w:val="20"/>
                <w:lang w:val="es-ES" w:eastAsia="en-GB"/>
              </w:rPr>
            </w:pPr>
            <w:r w:rsidRPr="007D7B87">
              <w:rPr>
                <w:rFonts w:asciiTheme="minorHAnsi" w:hAnsiTheme="minorHAnsi" w:cstheme="minorHAnsi"/>
                <w:b/>
                <w:bCs/>
                <w:noProof/>
                <w:color w:val="000000"/>
                <w:sz w:val="20"/>
                <w:szCs w:val="20"/>
                <w:lang w:val="es-ES"/>
              </w:rPr>
              <w:t>3</w:t>
            </w:r>
            <w:r w:rsidR="004F1204">
              <w:rPr>
                <w:rFonts w:asciiTheme="minorHAnsi" w:hAnsiTheme="minorHAnsi" w:cstheme="minorHAnsi"/>
                <w:b/>
                <w:bCs/>
                <w:noProof/>
                <w:color w:val="000000"/>
                <w:sz w:val="20"/>
                <w:szCs w:val="20"/>
                <w:lang w:val="es-ES"/>
              </w:rPr>
              <w:t xml:space="preserve"> </w:t>
            </w:r>
            <w:r w:rsidRPr="007D7B87">
              <w:rPr>
                <w:rFonts w:asciiTheme="minorHAnsi" w:hAnsiTheme="minorHAnsi" w:cstheme="minorHAnsi"/>
                <w:b/>
                <w:bCs/>
                <w:noProof/>
                <w:color w:val="000000"/>
                <w:sz w:val="20"/>
                <w:szCs w:val="20"/>
                <w:lang w:val="es-ES"/>
              </w:rPr>
              <w:t>844</w:t>
            </w:r>
            <w:r w:rsidR="004F1204">
              <w:rPr>
                <w:rFonts w:asciiTheme="minorHAnsi" w:hAnsiTheme="minorHAnsi" w:cstheme="minorHAnsi"/>
                <w:b/>
                <w:bCs/>
                <w:noProof/>
                <w:color w:val="000000"/>
                <w:sz w:val="20"/>
                <w:szCs w:val="20"/>
                <w:lang w:val="es-ES"/>
              </w:rPr>
              <w:t xml:space="preserve"> </w:t>
            </w:r>
            <w:r w:rsidRPr="007D7B87">
              <w:rPr>
                <w:rFonts w:asciiTheme="minorHAnsi" w:hAnsiTheme="minorHAnsi" w:cstheme="minorHAnsi"/>
                <w:b/>
                <w:bCs/>
                <w:noProof/>
                <w:color w:val="000000"/>
                <w:sz w:val="20"/>
                <w:szCs w:val="20"/>
                <w:lang w:val="es-ES"/>
              </w:rPr>
              <w:t xml:space="preserve">406 </w:t>
            </w:r>
          </w:p>
        </w:tc>
        <w:tc>
          <w:tcPr>
            <w:tcW w:w="902" w:type="dxa"/>
            <w:shd w:val="clear" w:color="auto" w:fill="DBE5F1" w:themeFill="accent1" w:themeFillTint="33"/>
            <w:vAlign w:val="center"/>
            <w:hideMark/>
          </w:tcPr>
          <w:p w14:paraId="5BCC6F90" w14:textId="327BDB0F" w:rsidR="005C1B09" w:rsidRPr="007D7B8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noProof/>
                <w:color w:val="000000"/>
                <w:sz w:val="20"/>
                <w:szCs w:val="20"/>
                <w:lang w:val="es-ES" w:eastAsia="en-GB"/>
              </w:rPr>
            </w:pPr>
            <w:r w:rsidRPr="007D7B87">
              <w:rPr>
                <w:rFonts w:asciiTheme="minorHAnsi" w:hAnsiTheme="minorHAnsi" w:cstheme="minorHAnsi"/>
                <w:b/>
                <w:bCs/>
                <w:noProof/>
                <w:color w:val="000000"/>
                <w:sz w:val="20"/>
                <w:szCs w:val="20"/>
                <w:lang w:val="es-ES"/>
              </w:rPr>
              <w:t>704</w:t>
            </w:r>
            <w:r w:rsidR="004F1204">
              <w:rPr>
                <w:rFonts w:asciiTheme="minorHAnsi" w:hAnsiTheme="minorHAnsi" w:cstheme="minorHAnsi"/>
                <w:b/>
                <w:bCs/>
                <w:noProof/>
                <w:color w:val="000000"/>
                <w:sz w:val="20"/>
                <w:szCs w:val="20"/>
                <w:lang w:val="es-ES"/>
              </w:rPr>
              <w:t xml:space="preserve"> </w:t>
            </w:r>
            <w:r w:rsidRPr="007D7B87">
              <w:rPr>
                <w:rFonts w:asciiTheme="minorHAnsi" w:hAnsiTheme="minorHAnsi" w:cstheme="minorHAnsi"/>
                <w:b/>
                <w:bCs/>
                <w:noProof/>
                <w:color w:val="000000"/>
                <w:sz w:val="20"/>
                <w:szCs w:val="20"/>
                <w:lang w:val="es-ES"/>
              </w:rPr>
              <w:t xml:space="preserve">597 </w:t>
            </w:r>
          </w:p>
        </w:tc>
        <w:tc>
          <w:tcPr>
            <w:tcW w:w="902" w:type="dxa"/>
            <w:shd w:val="clear" w:color="auto" w:fill="DBE5F1" w:themeFill="accent1" w:themeFillTint="33"/>
            <w:vAlign w:val="center"/>
            <w:hideMark/>
          </w:tcPr>
          <w:p w14:paraId="4CE0D169" w14:textId="440333C6" w:rsidR="005C1B09" w:rsidRPr="007D7B8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noProof/>
                <w:color w:val="000000"/>
                <w:sz w:val="20"/>
                <w:szCs w:val="20"/>
                <w:lang w:val="es-ES" w:eastAsia="en-GB"/>
              </w:rPr>
            </w:pPr>
            <w:r w:rsidRPr="007D7B87">
              <w:rPr>
                <w:rFonts w:asciiTheme="minorHAnsi" w:hAnsiTheme="minorHAnsi" w:cstheme="minorHAnsi"/>
                <w:b/>
                <w:bCs/>
                <w:noProof/>
                <w:color w:val="000000"/>
                <w:sz w:val="20"/>
                <w:szCs w:val="20"/>
                <w:lang w:val="es-ES"/>
              </w:rPr>
              <w:t>1</w:t>
            </w:r>
            <w:r w:rsidR="004F1204">
              <w:rPr>
                <w:rFonts w:asciiTheme="minorHAnsi" w:hAnsiTheme="minorHAnsi" w:cstheme="minorHAnsi"/>
                <w:b/>
                <w:bCs/>
                <w:noProof/>
                <w:color w:val="000000"/>
                <w:sz w:val="20"/>
                <w:szCs w:val="20"/>
                <w:lang w:val="es-ES"/>
              </w:rPr>
              <w:t xml:space="preserve"> </w:t>
            </w:r>
            <w:r w:rsidRPr="007D7B87">
              <w:rPr>
                <w:rFonts w:asciiTheme="minorHAnsi" w:hAnsiTheme="minorHAnsi" w:cstheme="minorHAnsi"/>
                <w:b/>
                <w:bCs/>
                <w:noProof/>
                <w:color w:val="000000"/>
                <w:sz w:val="20"/>
                <w:szCs w:val="20"/>
                <w:lang w:val="es-ES"/>
              </w:rPr>
              <w:t>013</w:t>
            </w:r>
            <w:r w:rsidR="004F1204">
              <w:rPr>
                <w:rFonts w:asciiTheme="minorHAnsi" w:hAnsiTheme="minorHAnsi" w:cstheme="minorHAnsi"/>
                <w:b/>
                <w:bCs/>
                <w:noProof/>
                <w:color w:val="000000"/>
                <w:sz w:val="20"/>
                <w:szCs w:val="20"/>
                <w:lang w:val="es-ES"/>
              </w:rPr>
              <w:t xml:space="preserve"> </w:t>
            </w:r>
            <w:r w:rsidRPr="007D7B87">
              <w:rPr>
                <w:rFonts w:asciiTheme="minorHAnsi" w:hAnsiTheme="minorHAnsi" w:cstheme="minorHAnsi"/>
                <w:b/>
                <w:bCs/>
                <w:noProof/>
                <w:color w:val="000000"/>
                <w:sz w:val="20"/>
                <w:szCs w:val="20"/>
                <w:lang w:val="es-ES"/>
              </w:rPr>
              <w:t xml:space="preserve">376 </w:t>
            </w:r>
          </w:p>
        </w:tc>
        <w:tc>
          <w:tcPr>
            <w:tcW w:w="902" w:type="dxa"/>
            <w:shd w:val="clear" w:color="auto" w:fill="DBE5F1" w:themeFill="accent1" w:themeFillTint="33"/>
            <w:vAlign w:val="center"/>
            <w:hideMark/>
          </w:tcPr>
          <w:p w14:paraId="67CE8AC6" w14:textId="192B9740" w:rsidR="005C1B09" w:rsidRPr="007D7B8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noProof/>
                <w:color w:val="000000"/>
                <w:sz w:val="20"/>
                <w:szCs w:val="20"/>
                <w:lang w:val="es-ES" w:eastAsia="en-GB"/>
              </w:rPr>
            </w:pPr>
            <w:r w:rsidRPr="007D7B87">
              <w:rPr>
                <w:rFonts w:asciiTheme="minorHAnsi" w:hAnsiTheme="minorHAnsi" w:cstheme="minorHAnsi"/>
                <w:b/>
                <w:bCs/>
                <w:noProof/>
                <w:color w:val="000000"/>
                <w:sz w:val="20"/>
                <w:szCs w:val="20"/>
                <w:lang w:val="es-ES"/>
              </w:rPr>
              <w:t>523</w:t>
            </w:r>
            <w:r w:rsidR="004F1204">
              <w:rPr>
                <w:rFonts w:asciiTheme="minorHAnsi" w:hAnsiTheme="minorHAnsi" w:cstheme="minorHAnsi"/>
                <w:b/>
                <w:bCs/>
                <w:noProof/>
                <w:color w:val="000000"/>
                <w:sz w:val="20"/>
                <w:szCs w:val="20"/>
                <w:lang w:val="es-ES"/>
              </w:rPr>
              <w:t xml:space="preserve"> </w:t>
            </w:r>
            <w:r w:rsidRPr="007D7B87">
              <w:rPr>
                <w:rFonts w:asciiTheme="minorHAnsi" w:hAnsiTheme="minorHAnsi" w:cstheme="minorHAnsi"/>
                <w:b/>
                <w:bCs/>
                <w:noProof/>
                <w:color w:val="000000"/>
                <w:sz w:val="20"/>
                <w:szCs w:val="20"/>
                <w:lang w:val="es-ES"/>
              </w:rPr>
              <w:t xml:space="preserve">028 </w:t>
            </w:r>
          </w:p>
        </w:tc>
        <w:tc>
          <w:tcPr>
            <w:tcW w:w="902" w:type="dxa"/>
            <w:shd w:val="clear" w:color="auto" w:fill="DBE5F1" w:themeFill="accent1" w:themeFillTint="33"/>
            <w:vAlign w:val="center"/>
            <w:hideMark/>
          </w:tcPr>
          <w:p w14:paraId="79AEC1C4" w14:textId="5DC6AD29" w:rsidR="005C1B09" w:rsidRPr="007D7B87" w:rsidRDefault="005C1B09" w:rsidP="00483E42">
            <w:pPr>
              <w:ind w:left="0" w:firstLin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noProof/>
                <w:color w:val="000000"/>
                <w:sz w:val="20"/>
                <w:szCs w:val="20"/>
                <w:lang w:val="es-ES" w:eastAsia="en-GB"/>
              </w:rPr>
            </w:pPr>
            <w:r w:rsidRPr="007D7B87">
              <w:rPr>
                <w:rFonts w:asciiTheme="minorHAnsi" w:hAnsiTheme="minorHAnsi" w:cstheme="minorHAnsi"/>
                <w:b/>
                <w:bCs/>
                <w:noProof/>
                <w:color w:val="000000"/>
                <w:sz w:val="20"/>
                <w:szCs w:val="20"/>
                <w:lang w:val="es-ES"/>
              </w:rPr>
              <w:t>730</w:t>
            </w:r>
            <w:r w:rsidR="004F1204">
              <w:rPr>
                <w:rFonts w:asciiTheme="minorHAnsi" w:hAnsiTheme="minorHAnsi" w:cstheme="minorHAnsi"/>
                <w:b/>
                <w:bCs/>
                <w:noProof/>
                <w:color w:val="000000"/>
                <w:sz w:val="20"/>
                <w:szCs w:val="20"/>
                <w:lang w:val="es-ES"/>
              </w:rPr>
              <w:t xml:space="preserve"> </w:t>
            </w:r>
            <w:r w:rsidRPr="007D7B87">
              <w:rPr>
                <w:rFonts w:asciiTheme="minorHAnsi" w:hAnsiTheme="minorHAnsi" w:cstheme="minorHAnsi"/>
                <w:b/>
                <w:bCs/>
                <w:noProof/>
                <w:color w:val="000000"/>
                <w:sz w:val="20"/>
                <w:szCs w:val="20"/>
                <w:lang w:val="es-ES"/>
              </w:rPr>
              <w:t xml:space="preserve">281 </w:t>
            </w:r>
          </w:p>
        </w:tc>
      </w:tr>
    </w:tbl>
    <w:p w14:paraId="41C141EC" w14:textId="3C69CC5F" w:rsidR="005C1B09" w:rsidRPr="007D7B87" w:rsidRDefault="005C1B09" w:rsidP="00CE1F5D">
      <w:pPr>
        <w:rPr>
          <w:rFonts w:cs="Arial"/>
          <w:noProof/>
          <w:lang w:val="es-ES"/>
        </w:rPr>
      </w:pPr>
    </w:p>
    <w:p w14:paraId="03C99E4B" w14:textId="5BC7D395" w:rsidR="00962719" w:rsidRPr="007D7B87" w:rsidRDefault="001C010A" w:rsidP="00D4566C">
      <w:pPr>
        <w:ind w:left="0" w:firstLine="0"/>
        <w:rPr>
          <w:rFonts w:asciiTheme="minorHAnsi" w:eastAsia="Times New Roman" w:hAnsiTheme="minorHAnsi" w:cs="Arial"/>
          <w:noProof/>
          <w:sz w:val="20"/>
          <w:szCs w:val="20"/>
          <w:lang w:val="es-ES" w:eastAsia="en-GB"/>
        </w:rPr>
      </w:pPr>
      <w:bookmarkStart w:id="2" w:name="RANGE!B1:L176"/>
      <w:bookmarkEnd w:id="2"/>
      <w:r>
        <w:rPr>
          <w:rFonts w:asciiTheme="minorHAnsi" w:eastAsia="Times New Roman" w:hAnsiTheme="minorHAnsi" w:cs="Arial"/>
          <w:noProof/>
          <w:sz w:val="20"/>
          <w:szCs w:val="20"/>
          <w:lang w:val="es-ES" w:eastAsia="en-GB"/>
        </w:rPr>
        <w:t>Fuente</w:t>
      </w:r>
      <w:r w:rsidR="00CE1F5D" w:rsidRPr="007D7B87">
        <w:rPr>
          <w:rFonts w:asciiTheme="minorHAnsi" w:eastAsia="Times New Roman" w:hAnsiTheme="minorHAnsi" w:cs="Arial"/>
          <w:noProof/>
          <w:sz w:val="20"/>
          <w:szCs w:val="20"/>
          <w:lang w:val="es-ES" w:eastAsia="en-GB"/>
        </w:rPr>
        <w:t xml:space="preserve">: </w:t>
      </w:r>
      <w:r w:rsidR="00BA67DE" w:rsidRPr="007D7B87">
        <w:rPr>
          <w:rFonts w:asciiTheme="minorHAnsi" w:eastAsia="Times New Roman" w:hAnsiTheme="minorHAnsi" w:cs="Arial"/>
          <w:noProof/>
          <w:sz w:val="20"/>
          <w:szCs w:val="20"/>
          <w:lang w:val="es-ES" w:eastAsia="en-GB"/>
        </w:rPr>
        <w:t>SC5</w:t>
      </w:r>
      <w:r w:rsidR="005C1B09" w:rsidRPr="007D7B87">
        <w:rPr>
          <w:rFonts w:asciiTheme="minorHAnsi" w:eastAsia="Times New Roman" w:hAnsiTheme="minorHAnsi" w:cs="Arial"/>
          <w:noProof/>
          <w:sz w:val="20"/>
          <w:szCs w:val="20"/>
          <w:lang w:val="es-ES" w:eastAsia="en-GB"/>
        </w:rPr>
        <w:t>9/2022</w:t>
      </w:r>
      <w:r w:rsidR="00BA67DE" w:rsidRPr="007D7B87">
        <w:rPr>
          <w:rFonts w:asciiTheme="minorHAnsi" w:eastAsia="Times New Roman" w:hAnsiTheme="minorHAnsi" w:cs="Arial"/>
          <w:noProof/>
          <w:sz w:val="20"/>
          <w:szCs w:val="20"/>
          <w:lang w:val="es-ES" w:eastAsia="en-GB"/>
        </w:rPr>
        <w:t>-</w:t>
      </w:r>
      <w:r w:rsidR="005C1B09" w:rsidRPr="007D7B87">
        <w:rPr>
          <w:rFonts w:asciiTheme="minorHAnsi" w:eastAsia="Times New Roman" w:hAnsiTheme="minorHAnsi" w:cs="Arial"/>
          <w:noProof/>
          <w:sz w:val="20"/>
          <w:szCs w:val="20"/>
          <w:lang w:val="es-ES" w:eastAsia="en-GB"/>
        </w:rPr>
        <w:t>8</w:t>
      </w:r>
      <w:r w:rsidR="00BA67DE" w:rsidRPr="007D7B87">
        <w:rPr>
          <w:rFonts w:asciiTheme="minorHAnsi" w:eastAsia="Times New Roman" w:hAnsiTheme="minorHAnsi" w:cs="Arial"/>
          <w:noProof/>
          <w:sz w:val="20"/>
          <w:szCs w:val="20"/>
          <w:lang w:val="es-ES" w:eastAsia="en-GB"/>
        </w:rPr>
        <w:t xml:space="preserve">.2 </w:t>
      </w:r>
      <w:r>
        <w:rPr>
          <w:rFonts w:asciiTheme="minorHAnsi" w:eastAsia="Times New Roman" w:hAnsiTheme="minorHAnsi" w:cs="Arial"/>
          <w:noProof/>
          <w:sz w:val="20"/>
          <w:szCs w:val="20"/>
          <w:lang w:val="es-ES" w:eastAsia="en-GB"/>
        </w:rPr>
        <w:t>Anexo</w:t>
      </w:r>
      <w:r w:rsidR="00BA67DE" w:rsidRPr="007D7B87">
        <w:rPr>
          <w:rFonts w:asciiTheme="minorHAnsi" w:eastAsia="Times New Roman" w:hAnsiTheme="minorHAnsi" w:cs="Arial"/>
          <w:noProof/>
          <w:sz w:val="20"/>
          <w:szCs w:val="20"/>
          <w:lang w:val="es-ES" w:eastAsia="en-GB"/>
        </w:rPr>
        <w:t xml:space="preserve"> 1</w:t>
      </w:r>
    </w:p>
    <w:sectPr w:rsidR="00962719" w:rsidRPr="007D7B87" w:rsidSect="00BA6428">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3FC6A" w14:textId="77777777" w:rsidR="009D564B" w:rsidRDefault="009D564B" w:rsidP="00DF2386">
      <w:r>
        <w:separator/>
      </w:r>
    </w:p>
  </w:endnote>
  <w:endnote w:type="continuationSeparator" w:id="0">
    <w:p w14:paraId="6F28EE86" w14:textId="77777777" w:rsidR="009D564B" w:rsidRDefault="009D564B"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2D56C" w14:textId="0507BCEE" w:rsidR="009D564B" w:rsidRPr="007856EC" w:rsidRDefault="009D564B" w:rsidP="00B938BE">
    <w:pPr>
      <w:pStyle w:val="Footer"/>
      <w:tabs>
        <w:tab w:val="clear" w:pos="9026"/>
        <w:tab w:val="left" w:pos="8789"/>
        <w:tab w:val="left" w:pos="13892"/>
      </w:tabs>
      <w:ind w:left="0" w:firstLine="0"/>
      <w:rPr>
        <w:sz w:val="20"/>
        <w:szCs w:val="20"/>
      </w:rPr>
    </w:pPr>
    <w:r>
      <w:rPr>
        <w:sz w:val="20"/>
        <w:szCs w:val="20"/>
      </w:rPr>
      <w:t>COP14 Doc.15</w:t>
    </w:r>
    <w:r>
      <w:rPr>
        <w:sz w:val="20"/>
        <w:szCs w:val="20"/>
      </w:rPr>
      <w:tab/>
    </w:r>
    <w:r>
      <w:rPr>
        <w:sz w:val="20"/>
        <w:szCs w:val="20"/>
      </w:rPr>
      <w:tab/>
    </w:r>
    <w:r w:rsidRPr="00BA6428">
      <w:rPr>
        <w:sz w:val="20"/>
        <w:szCs w:val="20"/>
      </w:rPr>
      <w:fldChar w:fldCharType="begin"/>
    </w:r>
    <w:r w:rsidRPr="00BA6428">
      <w:rPr>
        <w:sz w:val="20"/>
        <w:szCs w:val="20"/>
      </w:rPr>
      <w:instrText xml:space="preserve"> PAGE   \* MERGEFORMAT </w:instrText>
    </w:r>
    <w:r w:rsidRPr="00BA6428">
      <w:rPr>
        <w:sz w:val="20"/>
        <w:szCs w:val="20"/>
      </w:rPr>
      <w:fldChar w:fldCharType="separate"/>
    </w:r>
    <w:r w:rsidR="00C92E5A">
      <w:rPr>
        <w:noProof/>
        <w:sz w:val="20"/>
        <w:szCs w:val="20"/>
      </w:rPr>
      <w:t>4</w:t>
    </w:r>
    <w:r w:rsidRPr="00BA642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25271" w14:textId="77777777" w:rsidR="009D564B" w:rsidRDefault="009D564B" w:rsidP="00DF2386">
      <w:r>
        <w:separator/>
      </w:r>
    </w:p>
  </w:footnote>
  <w:footnote w:type="continuationSeparator" w:id="0">
    <w:p w14:paraId="37F32DD1" w14:textId="77777777" w:rsidR="009D564B" w:rsidRDefault="009D564B" w:rsidP="00DF2386">
      <w:r>
        <w:continuationSeparator/>
      </w:r>
    </w:p>
  </w:footnote>
  <w:footnote w:id="1">
    <w:p w14:paraId="10437D2D" w14:textId="1ACC9D03" w:rsidR="009D564B" w:rsidRPr="00A13DB3" w:rsidRDefault="009D564B" w:rsidP="00531DE3">
      <w:pPr>
        <w:pStyle w:val="FootnoteText"/>
        <w:ind w:left="0" w:firstLine="0"/>
        <w:rPr>
          <w:noProof/>
          <w:lang w:val="es-ES"/>
        </w:rPr>
      </w:pPr>
      <w:r w:rsidRPr="00A13DB3">
        <w:rPr>
          <w:rStyle w:val="FootnoteReference"/>
          <w:noProof/>
          <w:lang w:val="es-ES"/>
        </w:rPr>
        <w:footnoteRef/>
      </w:r>
      <w:r w:rsidRPr="00A13DB3">
        <w:rPr>
          <w:noProof/>
          <w:lang w:val="es-ES"/>
        </w:rPr>
        <w:t xml:space="preserve"> </w:t>
      </w:r>
      <w:r w:rsidRPr="00A13DB3">
        <w:rPr>
          <w:rFonts w:asciiTheme="minorHAnsi" w:eastAsia="Batang" w:hAnsiTheme="minorHAnsi"/>
          <w:noProof/>
          <w:color w:val="000000"/>
          <w:lang w:val="es-ES" w:eastAsia="ko-KR"/>
        </w:rPr>
        <w:t xml:space="preserve">Véase </w:t>
      </w:r>
      <w:hyperlink r:id="rId1" w:history="1">
        <w:r w:rsidRPr="00E34E35">
          <w:rPr>
            <w:rStyle w:val="Hyperlink"/>
            <w:lang w:val="fr-FR"/>
          </w:rPr>
          <w:t>https://www.ramsar.org/es/documento/cop14-doc181-proyecto-de-resolucion-sobre-las-cuestiones-financieras-y-presupuestarias</w:t>
        </w:r>
      </w:hyperlink>
      <w:r w:rsidRPr="00A13DB3">
        <w:rPr>
          <w:rFonts w:asciiTheme="minorHAnsi" w:eastAsia="Batang" w:hAnsiTheme="minorHAnsi"/>
          <w:noProof/>
          <w:color w:val="000000"/>
          <w:lang w:val="es-ES" w:eastAsia="ko-KR"/>
        </w:rPr>
        <w:t>.</w:t>
      </w:r>
    </w:p>
  </w:footnote>
  <w:footnote w:id="2">
    <w:p w14:paraId="3A679131" w14:textId="7FE94CB6" w:rsidR="009D564B" w:rsidRPr="00A13DB3" w:rsidRDefault="009D564B" w:rsidP="00AC19DF">
      <w:pPr>
        <w:pStyle w:val="FootnoteText"/>
        <w:ind w:left="0" w:firstLine="0"/>
        <w:rPr>
          <w:noProof/>
          <w:lang w:val="es-ES"/>
        </w:rPr>
      </w:pPr>
      <w:r w:rsidRPr="00A13DB3">
        <w:rPr>
          <w:rStyle w:val="FootnoteReference"/>
          <w:noProof/>
          <w:lang w:val="es-ES"/>
        </w:rPr>
        <w:footnoteRef/>
      </w:r>
      <w:r w:rsidRPr="00A13DB3">
        <w:rPr>
          <w:noProof/>
          <w:lang w:val="es-ES"/>
        </w:rPr>
        <w:t xml:space="preserve"> </w:t>
      </w:r>
      <w:r w:rsidRPr="00A13DB3">
        <w:rPr>
          <w:rFonts w:asciiTheme="minorHAnsi" w:hAnsiTheme="minorHAnsi"/>
          <w:noProof/>
          <w:lang w:val="es-ES"/>
        </w:rPr>
        <w:t>Véase</w:t>
      </w:r>
      <w:r w:rsidRPr="00A13DB3">
        <w:rPr>
          <w:noProof/>
          <w:lang w:val="es-ES"/>
        </w:rPr>
        <w:t xml:space="preserve"> </w:t>
      </w:r>
      <w:hyperlink r:id="rId2" w:history="1">
        <w:r w:rsidRPr="00E34E35">
          <w:rPr>
            <w:rStyle w:val="Hyperlink"/>
            <w:lang w:val="fr-FR"/>
          </w:rPr>
          <w:t>https://www.ramsar.org/es/documento/sc592022-doc82-cuestiones-financieras-y-presupuestarias-estado-de-las-contribuciones</w:t>
        </w:r>
      </w:hyperlink>
      <w:r w:rsidRPr="00A13DB3">
        <w:rPr>
          <w:rFonts w:asciiTheme="minorHAnsi" w:hAnsiTheme="minorHAnsi"/>
          <w:noProof/>
          <w:lang w:val="es-ES"/>
        </w:rPr>
        <w:t>.</w:t>
      </w:r>
    </w:p>
  </w:footnote>
  <w:footnote w:id="3">
    <w:p w14:paraId="295BEB72" w14:textId="5D89835D" w:rsidR="009D564B" w:rsidRPr="003C4245" w:rsidRDefault="009D564B" w:rsidP="003C4245">
      <w:pPr>
        <w:pStyle w:val="FootnoteText"/>
        <w:ind w:left="0" w:firstLine="0"/>
        <w:rPr>
          <w:lang w:val="es-ES"/>
        </w:rPr>
      </w:pPr>
      <w:r>
        <w:rPr>
          <w:rStyle w:val="FootnoteReference"/>
        </w:rPr>
        <w:footnoteRef/>
      </w:r>
      <w:r w:rsidRPr="003A1725">
        <w:rPr>
          <w:lang w:val="es-ES"/>
        </w:rPr>
        <w:t xml:space="preserve"> </w:t>
      </w:r>
      <w:r w:rsidRPr="003C4245">
        <w:rPr>
          <w:noProof/>
          <w:lang w:val="es-ES"/>
        </w:rPr>
        <w:t>Véase</w:t>
      </w:r>
      <w:r w:rsidRPr="003A1725">
        <w:rPr>
          <w:lang w:val="es-ES"/>
        </w:rPr>
        <w:t> </w:t>
      </w:r>
      <w:hyperlink r:id="rId3" w:history="1">
        <w:r w:rsidRPr="00E34E35">
          <w:rPr>
            <w:rStyle w:val="Hyperlink"/>
            <w:lang w:val="es-ES"/>
          </w:rPr>
          <w:t>https://www.ramsar.org/es/documento/sc592022-com2-rev1-informe-del-subgrupo-de-finanzas-23-de-mayo-de-2022</w:t>
        </w:r>
      </w:hyperlink>
      <w:r w:rsidRPr="003A1725">
        <w:rPr>
          <w:rStyle w:val="FootnoteReference"/>
          <w:vertAlign w:val="baseline"/>
          <w:lang w:val="es-ES"/>
        </w:rPr>
        <w:t>.</w:t>
      </w:r>
      <w:r w:rsidRPr="003A1725">
        <w:rPr>
          <w:lang w:val="es-ES"/>
        </w:rPr>
        <w:t xml:space="preserve">  </w:t>
      </w:r>
    </w:p>
  </w:footnote>
  <w:footnote w:id="4">
    <w:p w14:paraId="7A5C18CD" w14:textId="3C2D2572" w:rsidR="009D564B" w:rsidRPr="003A1725" w:rsidRDefault="009D564B" w:rsidP="00840733">
      <w:pPr>
        <w:pStyle w:val="FootnoteText"/>
        <w:ind w:left="0" w:firstLine="0"/>
        <w:rPr>
          <w:lang w:val="fr-FR"/>
        </w:rPr>
      </w:pPr>
      <w:r>
        <w:rPr>
          <w:rStyle w:val="FootnoteReference"/>
        </w:rPr>
        <w:footnoteRef/>
      </w:r>
      <w:r w:rsidRPr="003A1725">
        <w:rPr>
          <w:lang w:val="fr-FR"/>
        </w:rPr>
        <w:t xml:space="preserve"> </w:t>
      </w:r>
      <w:r w:rsidRPr="005A5D32">
        <w:rPr>
          <w:noProof/>
          <w:lang w:val="es-ES"/>
        </w:rPr>
        <w:t>Véase</w:t>
      </w:r>
      <w:r w:rsidRPr="003A1725">
        <w:rPr>
          <w:rFonts w:asciiTheme="minorHAnsi" w:eastAsia="Batang" w:hAnsiTheme="minorHAnsi"/>
          <w:color w:val="000000"/>
          <w:lang w:val="fr-FR" w:eastAsia="ko-KR"/>
        </w:rPr>
        <w:t xml:space="preserve"> </w:t>
      </w:r>
      <w:hyperlink r:id="rId4" w:history="1">
        <w:r w:rsidRPr="00E34E35">
          <w:rPr>
            <w:rStyle w:val="Hyperlink"/>
            <w:lang w:val="fr-FR"/>
          </w:rPr>
          <w:t>https://www.ramsar.org/es/documento/sc592022-doc83-escenarios-presupuestarios-para-2023-2025-y-proyecto-de-resolucion-sobre</w:t>
        </w:r>
      </w:hyperlink>
      <w:r w:rsidRPr="003A1725">
        <w:rPr>
          <w:lang w:val="fr-FR"/>
        </w:rPr>
        <w:t>.</w:t>
      </w:r>
    </w:p>
  </w:footnote>
  <w:footnote w:id="5">
    <w:p w14:paraId="39B55F89" w14:textId="0B35EC36" w:rsidR="009D564B" w:rsidRPr="003A1725" w:rsidRDefault="009D564B">
      <w:pPr>
        <w:pStyle w:val="FootnoteText"/>
        <w:rPr>
          <w:lang w:val="fr-FR"/>
        </w:rPr>
      </w:pPr>
      <w:r>
        <w:rPr>
          <w:rStyle w:val="FootnoteReference"/>
        </w:rPr>
        <w:footnoteRef/>
      </w:r>
      <w:r w:rsidRPr="003A1725">
        <w:rPr>
          <w:lang w:val="fr-FR"/>
        </w:rPr>
        <w:t xml:space="preserve"> </w:t>
      </w:r>
      <w:hyperlink r:id="rId5" w:history="1">
        <w:r w:rsidR="00DA1236" w:rsidRPr="00D92235">
          <w:rPr>
            <w:rStyle w:val="Hyperlink"/>
          </w:rPr>
          <w:t>https://www.ramsar.org/es/documento/resolucion-xiii2-cuestiones-financieras-y-presupuestarias</w:t>
        </w:r>
      </w:hyperlink>
      <w:r w:rsidRPr="003A1725">
        <w:rPr>
          <w:lang w:val="fr-FR"/>
        </w:rPr>
        <w:t>.</w:t>
      </w:r>
    </w:p>
  </w:footnote>
  <w:footnote w:id="6">
    <w:p w14:paraId="31BB3DA1" w14:textId="10808F15" w:rsidR="009D564B" w:rsidRPr="003A1725" w:rsidRDefault="009D564B" w:rsidP="003231A5">
      <w:pPr>
        <w:pStyle w:val="FootnoteText"/>
        <w:ind w:left="0" w:firstLine="0"/>
        <w:rPr>
          <w:lang w:val="fr-FR"/>
        </w:rPr>
      </w:pPr>
      <w:r>
        <w:rPr>
          <w:rStyle w:val="FootnoteReference"/>
        </w:rPr>
        <w:footnoteRef/>
      </w:r>
      <w:r w:rsidRPr="003A1725">
        <w:rPr>
          <w:lang w:val="fr-FR"/>
        </w:rPr>
        <w:t xml:space="preserve"> </w:t>
      </w:r>
      <w:r w:rsidRPr="0098169F">
        <w:rPr>
          <w:noProof/>
          <w:lang w:val="es-ES"/>
        </w:rPr>
        <w:t>Véase</w:t>
      </w:r>
      <w:r w:rsidRPr="003A1725">
        <w:rPr>
          <w:lang w:val="fr-FR"/>
        </w:rPr>
        <w:t xml:space="preserve"> </w:t>
      </w:r>
      <w:hyperlink r:id="rId6" w:history="1">
        <w:r w:rsidRPr="00E34E35">
          <w:rPr>
            <w:rStyle w:val="Hyperlink"/>
            <w:lang w:val="fr-FR"/>
          </w:rPr>
          <w:t>https://www.ramsar.org/es/documento/sc592022-com2-rev1-informe-del-subgrupo-de-finanzas-23-de-mayo-de-2022</w:t>
        </w:r>
      </w:hyperlink>
      <w:r w:rsidRPr="003A1725">
        <w:rPr>
          <w:lang w:val="fr-FR"/>
        </w:rPr>
        <w:t xml:space="preserve">. </w:t>
      </w:r>
    </w:p>
  </w:footnote>
  <w:footnote w:id="7">
    <w:p w14:paraId="602968AC" w14:textId="024F5F77" w:rsidR="009D564B" w:rsidRPr="003A1725" w:rsidRDefault="009D564B" w:rsidP="00EC72C3">
      <w:pPr>
        <w:pStyle w:val="FootnoteText"/>
        <w:ind w:left="0" w:firstLine="0"/>
        <w:rPr>
          <w:lang w:val="fr-FR"/>
        </w:rPr>
      </w:pPr>
      <w:r>
        <w:rPr>
          <w:rStyle w:val="FootnoteReference"/>
        </w:rPr>
        <w:footnoteRef/>
      </w:r>
      <w:r w:rsidRPr="003A1725">
        <w:rPr>
          <w:lang w:val="fr-FR"/>
        </w:rPr>
        <w:t xml:space="preserve"> </w:t>
      </w:r>
      <w:r w:rsidRPr="00D93676">
        <w:rPr>
          <w:lang w:val="es-ES_tradnl"/>
        </w:rPr>
        <w:t xml:space="preserve">La Secretaría hace notar que los escenarios presupuestarios presentados incluyen detalles e información de antecedentes conforme a las </w:t>
      </w:r>
      <w:r>
        <w:rPr>
          <w:lang w:val="es-ES_tradnl"/>
        </w:rPr>
        <w:t>deliberaciones</w:t>
      </w:r>
      <w:r w:rsidRPr="00D93676">
        <w:rPr>
          <w:lang w:val="es-ES_tradnl"/>
        </w:rPr>
        <w:t xml:space="preserve"> y decisiones del Subgrupo de Finanzas y la reunión </w:t>
      </w:r>
      <w:r>
        <w:rPr>
          <w:lang w:val="es-ES_tradnl"/>
        </w:rPr>
        <w:t>SC59/2022</w:t>
      </w:r>
      <w:r w:rsidRPr="00D93676">
        <w:rPr>
          <w:lang w:val="es-ES_tradnl"/>
        </w:rPr>
        <w:t xml:space="preserve"> para ayudar a las Partes Contratantes a tomar una decisión sobre el presupuesto definitivo que habrá de adoptarse. La resolución definitiva sería coherente con las adoptadas en años anteriores e incluiría solo los totales de las categorías principales</w:t>
      </w:r>
      <w:r w:rsidRPr="003A1725">
        <w:rPr>
          <w:rFonts w:cs="Arial"/>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A85"/>
    <w:multiLevelType w:val="hybridMultilevel"/>
    <w:tmpl w:val="6BDE8DA2"/>
    <w:lvl w:ilvl="0" w:tplc="0B2E4410">
      <w:start w:val="1"/>
      <w:numFmt w:val="decimal"/>
      <w:lvlText w:val="%1."/>
      <w:lvlJc w:val="left"/>
      <w:pPr>
        <w:ind w:left="420" w:hanging="4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185E7DDD"/>
    <w:multiLevelType w:val="hybridMultilevel"/>
    <w:tmpl w:val="19CAB11E"/>
    <w:lvl w:ilvl="0" w:tplc="497CAC9A">
      <w:start w:val="2"/>
      <w:numFmt w:val="lowerLetter"/>
      <w:lvlText w:val="%1."/>
      <w:lvlJc w:val="left"/>
      <w:pPr>
        <w:ind w:left="860" w:hanging="43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271E624D"/>
    <w:multiLevelType w:val="hybridMultilevel"/>
    <w:tmpl w:val="210AC796"/>
    <w:lvl w:ilvl="0" w:tplc="40427528">
      <w:start w:val="1"/>
      <w:numFmt w:val="lowerLetter"/>
      <w:lvlText w:val="%1."/>
      <w:lvlJc w:val="left"/>
      <w:pPr>
        <w:ind w:left="865" w:hanging="440"/>
      </w:pPr>
      <w:rPr>
        <w:rFonts w:hint="default"/>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3" w15:restartNumberingAfterBreak="0">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4" w15:restartNumberingAfterBreak="0">
    <w:nsid w:val="6D8F6588"/>
    <w:multiLevelType w:val="hybridMultilevel"/>
    <w:tmpl w:val="3A205022"/>
    <w:lvl w:ilvl="0" w:tplc="70584B74">
      <w:start w:val="1"/>
      <w:numFmt w:val="lowerLetter"/>
      <w:lvlText w:val="%1."/>
      <w:lvlJc w:val="left"/>
      <w:pPr>
        <w:ind w:left="865" w:hanging="440"/>
      </w:pPr>
      <w:rPr>
        <w:rFonts w:hint="default"/>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5" w15:restartNumberingAfterBreak="0">
    <w:nsid w:val="73F26E93"/>
    <w:multiLevelType w:val="hybridMultilevel"/>
    <w:tmpl w:val="CA36FC3E"/>
    <w:lvl w:ilvl="0" w:tplc="FC1EAFF4">
      <w:start w:val="1"/>
      <w:numFmt w:val="lowerLetter"/>
      <w:lvlText w:val="%1."/>
      <w:lvlJc w:val="left"/>
      <w:pPr>
        <w:ind w:left="845" w:hanging="420"/>
      </w:pPr>
      <w:rPr>
        <w:rFonts w:hint="default"/>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6" w15:restartNumberingAfterBreak="0">
    <w:nsid w:val="7B0420BB"/>
    <w:multiLevelType w:val="hybridMultilevel"/>
    <w:tmpl w:val="A3020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4"/>
  </w:num>
  <w:num w:numId="6">
    <w:abstractNumId w:val="2"/>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7F0"/>
    <w:rsid w:val="00003649"/>
    <w:rsid w:val="00005FED"/>
    <w:rsid w:val="00006877"/>
    <w:rsid w:val="00006F21"/>
    <w:rsid w:val="00010426"/>
    <w:rsid w:val="0001102A"/>
    <w:rsid w:val="000132F5"/>
    <w:rsid w:val="000133D1"/>
    <w:rsid w:val="0001357D"/>
    <w:rsid w:val="00013774"/>
    <w:rsid w:val="00014168"/>
    <w:rsid w:val="00017A16"/>
    <w:rsid w:val="00021393"/>
    <w:rsid w:val="00022B87"/>
    <w:rsid w:val="00023130"/>
    <w:rsid w:val="0002479F"/>
    <w:rsid w:val="000260B4"/>
    <w:rsid w:val="00026E09"/>
    <w:rsid w:val="00027C99"/>
    <w:rsid w:val="000302D8"/>
    <w:rsid w:val="00031A21"/>
    <w:rsid w:val="000339A3"/>
    <w:rsid w:val="00034071"/>
    <w:rsid w:val="0003651E"/>
    <w:rsid w:val="00037CE0"/>
    <w:rsid w:val="00040DC4"/>
    <w:rsid w:val="00042392"/>
    <w:rsid w:val="00042791"/>
    <w:rsid w:val="0004295A"/>
    <w:rsid w:val="000445EA"/>
    <w:rsid w:val="000467E7"/>
    <w:rsid w:val="000475BC"/>
    <w:rsid w:val="00047893"/>
    <w:rsid w:val="0005215D"/>
    <w:rsid w:val="00053929"/>
    <w:rsid w:val="00054C1C"/>
    <w:rsid w:val="00056BD1"/>
    <w:rsid w:val="00074DE8"/>
    <w:rsid w:val="000751A6"/>
    <w:rsid w:val="0007578A"/>
    <w:rsid w:val="00075983"/>
    <w:rsid w:val="00077B46"/>
    <w:rsid w:val="00080177"/>
    <w:rsid w:val="00082217"/>
    <w:rsid w:val="00082DCB"/>
    <w:rsid w:val="00083151"/>
    <w:rsid w:val="00086C00"/>
    <w:rsid w:val="00087A13"/>
    <w:rsid w:val="000937A7"/>
    <w:rsid w:val="00094DC0"/>
    <w:rsid w:val="00096371"/>
    <w:rsid w:val="000968E4"/>
    <w:rsid w:val="000A04FB"/>
    <w:rsid w:val="000A3D46"/>
    <w:rsid w:val="000A3E3E"/>
    <w:rsid w:val="000A3F5A"/>
    <w:rsid w:val="000A4604"/>
    <w:rsid w:val="000A4C26"/>
    <w:rsid w:val="000A5278"/>
    <w:rsid w:val="000A5EC4"/>
    <w:rsid w:val="000A7AEC"/>
    <w:rsid w:val="000B38AA"/>
    <w:rsid w:val="000B522B"/>
    <w:rsid w:val="000C01EC"/>
    <w:rsid w:val="000C1C0D"/>
    <w:rsid w:val="000C2489"/>
    <w:rsid w:val="000C59E7"/>
    <w:rsid w:val="000D039A"/>
    <w:rsid w:val="000D0F6E"/>
    <w:rsid w:val="000D1E19"/>
    <w:rsid w:val="000D5C76"/>
    <w:rsid w:val="000E0F92"/>
    <w:rsid w:val="000E265D"/>
    <w:rsid w:val="000E2FA0"/>
    <w:rsid w:val="000E47E9"/>
    <w:rsid w:val="000E5F2A"/>
    <w:rsid w:val="000F0539"/>
    <w:rsid w:val="000F3DFF"/>
    <w:rsid w:val="000F4DD0"/>
    <w:rsid w:val="000F6E38"/>
    <w:rsid w:val="000F76F7"/>
    <w:rsid w:val="00102D6A"/>
    <w:rsid w:val="0010479D"/>
    <w:rsid w:val="00104F7B"/>
    <w:rsid w:val="00105DC0"/>
    <w:rsid w:val="00106197"/>
    <w:rsid w:val="00116270"/>
    <w:rsid w:val="00117850"/>
    <w:rsid w:val="0012096C"/>
    <w:rsid w:val="0012306F"/>
    <w:rsid w:val="00123AB5"/>
    <w:rsid w:val="00127828"/>
    <w:rsid w:val="00131274"/>
    <w:rsid w:val="0013260E"/>
    <w:rsid w:val="0013618C"/>
    <w:rsid w:val="00140698"/>
    <w:rsid w:val="00143897"/>
    <w:rsid w:val="0014462C"/>
    <w:rsid w:val="001464AF"/>
    <w:rsid w:val="00147381"/>
    <w:rsid w:val="00150B17"/>
    <w:rsid w:val="00150BB8"/>
    <w:rsid w:val="0015544B"/>
    <w:rsid w:val="001605A0"/>
    <w:rsid w:val="001606A7"/>
    <w:rsid w:val="00161BDA"/>
    <w:rsid w:val="001657F8"/>
    <w:rsid w:val="00165E2A"/>
    <w:rsid w:val="00166F05"/>
    <w:rsid w:val="001701E6"/>
    <w:rsid w:val="0017123E"/>
    <w:rsid w:val="00171618"/>
    <w:rsid w:val="001819B1"/>
    <w:rsid w:val="0018239F"/>
    <w:rsid w:val="00184F41"/>
    <w:rsid w:val="00185534"/>
    <w:rsid w:val="00185F89"/>
    <w:rsid w:val="0018623B"/>
    <w:rsid w:val="00186BF9"/>
    <w:rsid w:val="001879A4"/>
    <w:rsid w:val="00190B6F"/>
    <w:rsid w:val="001912A8"/>
    <w:rsid w:val="001936D6"/>
    <w:rsid w:val="00193F6D"/>
    <w:rsid w:val="00196418"/>
    <w:rsid w:val="00196C5B"/>
    <w:rsid w:val="00197225"/>
    <w:rsid w:val="001973A3"/>
    <w:rsid w:val="00197946"/>
    <w:rsid w:val="001A2D10"/>
    <w:rsid w:val="001A34B5"/>
    <w:rsid w:val="001A386F"/>
    <w:rsid w:val="001A57B1"/>
    <w:rsid w:val="001A694E"/>
    <w:rsid w:val="001A6C6E"/>
    <w:rsid w:val="001A764A"/>
    <w:rsid w:val="001B1561"/>
    <w:rsid w:val="001B2284"/>
    <w:rsid w:val="001B4012"/>
    <w:rsid w:val="001B4EE4"/>
    <w:rsid w:val="001B583F"/>
    <w:rsid w:val="001B73D1"/>
    <w:rsid w:val="001B773B"/>
    <w:rsid w:val="001B79AE"/>
    <w:rsid w:val="001C010A"/>
    <w:rsid w:val="001C022A"/>
    <w:rsid w:val="001C0E27"/>
    <w:rsid w:val="001C229A"/>
    <w:rsid w:val="001C22F2"/>
    <w:rsid w:val="001C3590"/>
    <w:rsid w:val="001C5E41"/>
    <w:rsid w:val="001C6805"/>
    <w:rsid w:val="001C77BC"/>
    <w:rsid w:val="001D0FDF"/>
    <w:rsid w:val="001D14A4"/>
    <w:rsid w:val="001D162C"/>
    <w:rsid w:val="001D42CA"/>
    <w:rsid w:val="001D48BB"/>
    <w:rsid w:val="001D5FC6"/>
    <w:rsid w:val="001D72DE"/>
    <w:rsid w:val="001E00E3"/>
    <w:rsid w:val="001E02FF"/>
    <w:rsid w:val="001E11E9"/>
    <w:rsid w:val="001E1A9E"/>
    <w:rsid w:val="001E1B19"/>
    <w:rsid w:val="001E22DA"/>
    <w:rsid w:val="001E4155"/>
    <w:rsid w:val="001E5FD0"/>
    <w:rsid w:val="001E683A"/>
    <w:rsid w:val="001F0F34"/>
    <w:rsid w:val="001F1724"/>
    <w:rsid w:val="001F2349"/>
    <w:rsid w:val="001F2749"/>
    <w:rsid w:val="001F4370"/>
    <w:rsid w:val="001F43AF"/>
    <w:rsid w:val="001F5C62"/>
    <w:rsid w:val="001F7C59"/>
    <w:rsid w:val="0020050E"/>
    <w:rsid w:val="002005D2"/>
    <w:rsid w:val="0020298B"/>
    <w:rsid w:val="00202BA5"/>
    <w:rsid w:val="002035D8"/>
    <w:rsid w:val="00204644"/>
    <w:rsid w:val="00206111"/>
    <w:rsid w:val="002116FA"/>
    <w:rsid w:val="00212850"/>
    <w:rsid w:val="00213702"/>
    <w:rsid w:val="002137E0"/>
    <w:rsid w:val="00213B27"/>
    <w:rsid w:val="00214BEF"/>
    <w:rsid w:val="00214C88"/>
    <w:rsid w:val="002207A7"/>
    <w:rsid w:val="00221E18"/>
    <w:rsid w:val="00223428"/>
    <w:rsid w:val="00225647"/>
    <w:rsid w:val="00227712"/>
    <w:rsid w:val="00230DE2"/>
    <w:rsid w:val="002325C0"/>
    <w:rsid w:val="00233EC7"/>
    <w:rsid w:val="0023426A"/>
    <w:rsid w:val="00234E62"/>
    <w:rsid w:val="00235282"/>
    <w:rsid w:val="0023550A"/>
    <w:rsid w:val="00236D86"/>
    <w:rsid w:val="00236EBD"/>
    <w:rsid w:val="00237543"/>
    <w:rsid w:val="00237A41"/>
    <w:rsid w:val="00241217"/>
    <w:rsid w:val="00241822"/>
    <w:rsid w:val="0024313F"/>
    <w:rsid w:val="00245037"/>
    <w:rsid w:val="00246454"/>
    <w:rsid w:val="002604DE"/>
    <w:rsid w:val="00260DF3"/>
    <w:rsid w:val="00261307"/>
    <w:rsid w:val="00267D03"/>
    <w:rsid w:val="00271A5C"/>
    <w:rsid w:val="00273D84"/>
    <w:rsid w:val="002741AC"/>
    <w:rsid w:val="002750A4"/>
    <w:rsid w:val="00275781"/>
    <w:rsid w:val="00275F13"/>
    <w:rsid w:val="00276352"/>
    <w:rsid w:val="00277A87"/>
    <w:rsid w:val="00277B11"/>
    <w:rsid w:val="002804D7"/>
    <w:rsid w:val="002819C0"/>
    <w:rsid w:val="00281C69"/>
    <w:rsid w:val="002822F8"/>
    <w:rsid w:val="00283342"/>
    <w:rsid w:val="002849A4"/>
    <w:rsid w:val="0028584C"/>
    <w:rsid w:val="002866BB"/>
    <w:rsid w:val="0028694E"/>
    <w:rsid w:val="00286B68"/>
    <w:rsid w:val="0028729D"/>
    <w:rsid w:val="002873BB"/>
    <w:rsid w:val="002873E7"/>
    <w:rsid w:val="0029247A"/>
    <w:rsid w:val="0029320C"/>
    <w:rsid w:val="00295556"/>
    <w:rsid w:val="002957DC"/>
    <w:rsid w:val="00295BB5"/>
    <w:rsid w:val="00297F0F"/>
    <w:rsid w:val="002A0977"/>
    <w:rsid w:val="002A2072"/>
    <w:rsid w:val="002A391C"/>
    <w:rsid w:val="002A5A4D"/>
    <w:rsid w:val="002B0CEF"/>
    <w:rsid w:val="002B1C47"/>
    <w:rsid w:val="002B3EE6"/>
    <w:rsid w:val="002B4262"/>
    <w:rsid w:val="002C062C"/>
    <w:rsid w:val="002C3209"/>
    <w:rsid w:val="002C76D6"/>
    <w:rsid w:val="002D0566"/>
    <w:rsid w:val="002D28C5"/>
    <w:rsid w:val="002D300B"/>
    <w:rsid w:val="002D42FA"/>
    <w:rsid w:val="002D510D"/>
    <w:rsid w:val="002D5A4D"/>
    <w:rsid w:val="002E22AF"/>
    <w:rsid w:val="002E34F8"/>
    <w:rsid w:val="002E5B2A"/>
    <w:rsid w:val="002E660E"/>
    <w:rsid w:val="002E678F"/>
    <w:rsid w:val="002F124A"/>
    <w:rsid w:val="002F1EDE"/>
    <w:rsid w:val="002F42C1"/>
    <w:rsid w:val="002F5502"/>
    <w:rsid w:val="002F6DAB"/>
    <w:rsid w:val="002F77F4"/>
    <w:rsid w:val="002F79DE"/>
    <w:rsid w:val="00301896"/>
    <w:rsid w:val="00302925"/>
    <w:rsid w:val="00302B21"/>
    <w:rsid w:val="00307B39"/>
    <w:rsid w:val="003107B5"/>
    <w:rsid w:val="00311D22"/>
    <w:rsid w:val="003157C2"/>
    <w:rsid w:val="00316852"/>
    <w:rsid w:val="00316ECA"/>
    <w:rsid w:val="00321DDF"/>
    <w:rsid w:val="00322C05"/>
    <w:rsid w:val="0032310B"/>
    <w:rsid w:val="003231A5"/>
    <w:rsid w:val="00323F11"/>
    <w:rsid w:val="00324398"/>
    <w:rsid w:val="0032664D"/>
    <w:rsid w:val="0032775E"/>
    <w:rsid w:val="00327DFA"/>
    <w:rsid w:val="00334F8D"/>
    <w:rsid w:val="00335704"/>
    <w:rsid w:val="00335AC9"/>
    <w:rsid w:val="003415C5"/>
    <w:rsid w:val="003441D3"/>
    <w:rsid w:val="00345CB1"/>
    <w:rsid w:val="00346EFB"/>
    <w:rsid w:val="00350647"/>
    <w:rsid w:val="00352486"/>
    <w:rsid w:val="0035280A"/>
    <w:rsid w:val="00353914"/>
    <w:rsid w:val="00355FDF"/>
    <w:rsid w:val="0035654A"/>
    <w:rsid w:val="00356F77"/>
    <w:rsid w:val="0035719A"/>
    <w:rsid w:val="00357919"/>
    <w:rsid w:val="0035796C"/>
    <w:rsid w:val="00357EB1"/>
    <w:rsid w:val="00360DA7"/>
    <w:rsid w:val="00363957"/>
    <w:rsid w:val="00363A20"/>
    <w:rsid w:val="00363CF1"/>
    <w:rsid w:val="00366633"/>
    <w:rsid w:val="00366E76"/>
    <w:rsid w:val="00370190"/>
    <w:rsid w:val="00372F20"/>
    <w:rsid w:val="00373C7B"/>
    <w:rsid w:val="00374AD7"/>
    <w:rsid w:val="00380D54"/>
    <w:rsid w:val="00382F90"/>
    <w:rsid w:val="003849AD"/>
    <w:rsid w:val="00384FC3"/>
    <w:rsid w:val="00385027"/>
    <w:rsid w:val="00386F15"/>
    <w:rsid w:val="00387103"/>
    <w:rsid w:val="003874CD"/>
    <w:rsid w:val="00391DA2"/>
    <w:rsid w:val="00393F28"/>
    <w:rsid w:val="003959F5"/>
    <w:rsid w:val="00395F30"/>
    <w:rsid w:val="003969AD"/>
    <w:rsid w:val="003970F7"/>
    <w:rsid w:val="0039739D"/>
    <w:rsid w:val="003A12FD"/>
    <w:rsid w:val="003A1725"/>
    <w:rsid w:val="003A2A36"/>
    <w:rsid w:val="003A3804"/>
    <w:rsid w:val="003A52BE"/>
    <w:rsid w:val="003A5809"/>
    <w:rsid w:val="003A5866"/>
    <w:rsid w:val="003A69BF"/>
    <w:rsid w:val="003A6E9F"/>
    <w:rsid w:val="003A7CE6"/>
    <w:rsid w:val="003B571C"/>
    <w:rsid w:val="003C1EA0"/>
    <w:rsid w:val="003C4245"/>
    <w:rsid w:val="003C6E8D"/>
    <w:rsid w:val="003C770E"/>
    <w:rsid w:val="003C7CE6"/>
    <w:rsid w:val="003D01D9"/>
    <w:rsid w:val="003D0BF9"/>
    <w:rsid w:val="003D145E"/>
    <w:rsid w:val="003D2096"/>
    <w:rsid w:val="003D45F1"/>
    <w:rsid w:val="003D460E"/>
    <w:rsid w:val="003D4CD6"/>
    <w:rsid w:val="003E4877"/>
    <w:rsid w:val="003E5DF6"/>
    <w:rsid w:val="003F6377"/>
    <w:rsid w:val="003F7105"/>
    <w:rsid w:val="00400C43"/>
    <w:rsid w:val="004029A2"/>
    <w:rsid w:val="004149AD"/>
    <w:rsid w:val="00415B3D"/>
    <w:rsid w:val="00417C1C"/>
    <w:rsid w:val="004228C7"/>
    <w:rsid w:val="00422BD2"/>
    <w:rsid w:val="00426DD9"/>
    <w:rsid w:val="0042798B"/>
    <w:rsid w:val="00430552"/>
    <w:rsid w:val="00431678"/>
    <w:rsid w:val="00431D65"/>
    <w:rsid w:val="00434913"/>
    <w:rsid w:val="00434B19"/>
    <w:rsid w:val="00436E55"/>
    <w:rsid w:val="00441C17"/>
    <w:rsid w:val="00441EEB"/>
    <w:rsid w:val="00443D01"/>
    <w:rsid w:val="0044702A"/>
    <w:rsid w:val="004474F8"/>
    <w:rsid w:val="00454034"/>
    <w:rsid w:val="0046079B"/>
    <w:rsid w:val="004639AC"/>
    <w:rsid w:val="004641E7"/>
    <w:rsid w:val="0046582F"/>
    <w:rsid w:val="004662E5"/>
    <w:rsid w:val="00466336"/>
    <w:rsid w:val="0046658E"/>
    <w:rsid w:val="004668DB"/>
    <w:rsid w:val="0046771B"/>
    <w:rsid w:val="00467A8D"/>
    <w:rsid w:val="0047081F"/>
    <w:rsid w:val="004717A4"/>
    <w:rsid w:val="00472BE5"/>
    <w:rsid w:val="00473818"/>
    <w:rsid w:val="00477550"/>
    <w:rsid w:val="00477A0A"/>
    <w:rsid w:val="00477D67"/>
    <w:rsid w:val="00480679"/>
    <w:rsid w:val="00482AC0"/>
    <w:rsid w:val="00483851"/>
    <w:rsid w:val="00483E42"/>
    <w:rsid w:val="00484041"/>
    <w:rsid w:val="004844A8"/>
    <w:rsid w:val="0049094A"/>
    <w:rsid w:val="00491151"/>
    <w:rsid w:val="00491283"/>
    <w:rsid w:val="00491DF5"/>
    <w:rsid w:val="00496214"/>
    <w:rsid w:val="00496803"/>
    <w:rsid w:val="0049707C"/>
    <w:rsid w:val="004A0101"/>
    <w:rsid w:val="004A01E5"/>
    <w:rsid w:val="004A23AF"/>
    <w:rsid w:val="004A3251"/>
    <w:rsid w:val="004A6E86"/>
    <w:rsid w:val="004B08CD"/>
    <w:rsid w:val="004B2272"/>
    <w:rsid w:val="004B2403"/>
    <w:rsid w:val="004B4108"/>
    <w:rsid w:val="004B420F"/>
    <w:rsid w:val="004B4DF1"/>
    <w:rsid w:val="004B6688"/>
    <w:rsid w:val="004B68D4"/>
    <w:rsid w:val="004C2E05"/>
    <w:rsid w:val="004C55A5"/>
    <w:rsid w:val="004C670E"/>
    <w:rsid w:val="004C734F"/>
    <w:rsid w:val="004D202E"/>
    <w:rsid w:val="004D241A"/>
    <w:rsid w:val="004D5634"/>
    <w:rsid w:val="004D5C67"/>
    <w:rsid w:val="004E30D7"/>
    <w:rsid w:val="004E7B47"/>
    <w:rsid w:val="004F0479"/>
    <w:rsid w:val="004F0C05"/>
    <w:rsid w:val="004F1204"/>
    <w:rsid w:val="004F18A1"/>
    <w:rsid w:val="004F20C4"/>
    <w:rsid w:val="004F38CE"/>
    <w:rsid w:val="004F69CE"/>
    <w:rsid w:val="004F69FF"/>
    <w:rsid w:val="005004A7"/>
    <w:rsid w:val="005013DD"/>
    <w:rsid w:val="00502B42"/>
    <w:rsid w:val="00503517"/>
    <w:rsid w:val="00505118"/>
    <w:rsid w:val="0051043B"/>
    <w:rsid w:val="0051145C"/>
    <w:rsid w:val="0051153F"/>
    <w:rsid w:val="00511762"/>
    <w:rsid w:val="0051296E"/>
    <w:rsid w:val="00512B7C"/>
    <w:rsid w:val="005148FC"/>
    <w:rsid w:val="00515A18"/>
    <w:rsid w:val="00516A43"/>
    <w:rsid w:val="00516DE4"/>
    <w:rsid w:val="00521308"/>
    <w:rsid w:val="00522533"/>
    <w:rsid w:val="005244A4"/>
    <w:rsid w:val="00524DDB"/>
    <w:rsid w:val="00527783"/>
    <w:rsid w:val="0053048D"/>
    <w:rsid w:val="00530B27"/>
    <w:rsid w:val="00531DE3"/>
    <w:rsid w:val="0053257A"/>
    <w:rsid w:val="0053307B"/>
    <w:rsid w:val="005331D2"/>
    <w:rsid w:val="005340AC"/>
    <w:rsid w:val="0053462D"/>
    <w:rsid w:val="005357CB"/>
    <w:rsid w:val="00536FAB"/>
    <w:rsid w:val="00542089"/>
    <w:rsid w:val="0054389C"/>
    <w:rsid w:val="00543E0D"/>
    <w:rsid w:val="005459B4"/>
    <w:rsid w:val="00546397"/>
    <w:rsid w:val="005464D2"/>
    <w:rsid w:val="00546D85"/>
    <w:rsid w:val="00546EAB"/>
    <w:rsid w:val="00550AD2"/>
    <w:rsid w:val="00550B0D"/>
    <w:rsid w:val="00552A82"/>
    <w:rsid w:val="00553DEA"/>
    <w:rsid w:val="0056310E"/>
    <w:rsid w:val="00564CB5"/>
    <w:rsid w:val="00567A80"/>
    <w:rsid w:val="00572629"/>
    <w:rsid w:val="00580BAF"/>
    <w:rsid w:val="005814B5"/>
    <w:rsid w:val="005863D6"/>
    <w:rsid w:val="0059377F"/>
    <w:rsid w:val="005A0C33"/>
    <w:rsid w:val="005A188B"/>
    <w:rsid w:val="005A2183"/>
    <w:rsid w:val="005A2AC6"/>
    <w:rsid w:val="005A5D32"/>
    <w:rsid w:val="005B0E16"/>
    <w:rsid w:val="005B5B11"/>
    <w:rsid w:val="005B73CA"/>
    <w:rsid w:val="005C1B09"/>
    <w:rsid w:val="005C5D59"/>
    <w:rsid w:val="005C6565"/>
    <w:rsid w:val="005D0475"/>
    <w:rsid w:val="005D0A19"/>
    <w:rsid w:val="005D35BD"/>
    <w:rsid w:val="005D3E9D"/>
    <w:rsid w:val="005D5282"/>
    <w:rsid w:val="005D57D6"/>
    <w:rsid w:val="005E3166"/>
    <w:rsid w:val="005E32A8"/>
    <w:rsid w:val="005E4301"/>
    <w:rsid w:val="005E4453"/>
    <w:rsid w:val="005E4BF4"/>
    <w:rsid w:val="005E72A4"/>
    <w:rsid w:val="005E7310"/>
    <w:rsid w:val="005F1D0B"/>
    <w:rsid w:val="005F4BF4"/>
    <w:rsid w:val="005F5616"/>
    <w:rsid w:val="005F56E0"/>
    <w:rsid w:val="005F64E0"/>
    <w:rsid w:val="005F64EE"/>
    <w:rsid w:val="005F6A21"/>
    <w:rsid w:val="005F6AE1"/>
    <w:rsid w:val="0060119A"/>
    <w:rsid w:val="00603199"/>
    <w:rsid w:val="00606501"/>
    <w:rsid w:val="0060750B"/>
    <w:rsid w:val="00607AC7"/>
    <w:rsid w:val="0061020A"/>
    <w:rsid w:val="0061047C"/>
    <w:rsid w:val="00610530"/>
    <w:rsid w:val="006119BD"/>
    <w:rsid w:val="0061276F"/>
    <w:rsid w:val="006140AD"/>
    <w:rsid w:val="006175DE"/>
    <w:rsid w:val="006178CB"/>
    <w:rsid w:val="006211E5"/>
    <w:rsid w:val="00622F48"/>
    <w:rsid w:val="006241C1"/>
    <w:rsid w:val="006256D3"/>
    <w:rsid w:val="00627BB7"/>
    <w:rsid w:val="00630394"/>
    <w:rsid w:val="00630399"/>
    <w:rsid w:val="00632802"/>
    <w:rsid w:val="00632997"/>
    <w:rsid w:val="00636D84"/>
    <w:rsid w:val="00637653"/>
    <w:rsid w:val="00637897"/>
    <w:rsid w:val="00637959"/>
    <w:rsid w:val="006409C6"/>
    <w:rsid w:val="00641220"/>
    <w:rsid w:val="006412FD"/>
    <w:rsid w:val="00644439"/>
    <w:rsid w:val="006449B6"/>
    <w:rsid w:val="00644A13"/>
    <w:rsid w:val="0064691F"/>
    <w:rsid w:val="00651253"/>
    <w:rsid w:val="0065136E"/>
    <w:rsid w:val="00651EA5"/>
    <w:rsid w:val="0065617C"/>
    <w:rsid w:val="00660E1F"/>
    <w:rsid w:val="006619FF"/>
    <w:rsid w:val="00661D61"/>
    <w:rsid w:val="00662A6E"/>
    <w:rsid w:val="0066454A"/>
    <w:rsid w:val="00667DDD"/>
    <w:rsid w:val="00670D71"/>
    <w:rsid w:val="00672D6E"/>
    <w:rsid w:val="00673291"/>
    <w:rsid w:val="00673C6A"/>
    <w:rsid w:val="00677D6C"/>
    <w:rsid w:val="0068090E"/>
    <w:rsid w:val="00680A82"/>
    <w:rsid w:val="006836AC"/>
    <w:rsid w:val="00684CC3"/>
    <w:rsid w:val="00685BD5"/>
    <w:rsid w:val="00690016"/>
    <w:rsid w:val="00692128"/>
    <w:rsid w:val="00694C87"/>
    <w:rsid w:val="00694EAA"/>
    <w:rsid w:val="00695766"/>
    <w:rsid w:val="00695F7A"/>
    <w:rsid w:val="006A1159"/>
    <w:rsid w:val="006A1992"/>
    <w:rsid w:val="006A1CD6"/>
    <w:rsid w:val="006A22FF"/>
    <w:rsid w:val="006A2A7B"/>
    <w:rsid w:val="006A5564"/>
    <w:rsid w:val="006A7029"/>
    <w:rsid w:val="006A7D80"/>
    <w:rsid w:val="006B2831"/>
    <w:rsid w:val="006B5D16"/>
    <w:rsid w:val="006B6B2C"/>
    <w:rsid w:val="006B7BB7"/>
    <w:rsid w:val="006C05A5"/>
    <w:rsid w:val="006C0AD6"/>
    <w:rsid w:val="006C1D07"/>
    <w:rsid w:val="006C5088"/>
    <w:rsid w:val="006C5523"/>
    <w:rsid w:val="006C6430"/>
    <w:rsid w:val="006C68BD"/>
    <w:rsid w:val="006D0F96"/>
    <w:rsid w:val="006D3CBA"/>
    <w:rsid w:val="006D3E0B"/>
    <w:rsid w:val="006D6374"/>
    <w:rsid w:val="006E1061"/>
    <w:rsid w:val="006E140C"/>
    <w:rsid w:val="006E7DCE"/>
    <w:rsid w:val="006F3E3D"/>
    <w:rsid w:val="006F4B80"/>
    <w:rsid w:val="006F6E6B"/>
    <w:rsid w:val="007009E2"/>
    <w:rsid w:val="00700E21"/>
    <w:rsid w:val="007050FF"/>
    <w:rsid w:val="00706CF5"/>
    <w:rsid w:val="00707B6A"/>
    <w:rsid w:val="007148A0"/>
    <w:rsid w:val="00714D98"/>
    <w:rsid w:val="00720442"/>
    <w:rsid w:val="007204E3"/>
    <w:rsid w:val="00722C79"/>
    <w:rsid w:val="007236B4"/>
    <w:rsid w:val="00726F15"/>
    <w:rsid w:val="00727C10"/>
    <w:rsid w:val="00730CBE"/>
    <w:rsid w:val="007329B2"/>
    <w:rsid w:val="00736A32"/>
    <w:rsid w:val="00737DB6"/>
    <w:rsid w:val="00740966"/>
    <w:rsid w:val="0074377E"/>
    <w:rsid w:val="00745F48"/>
    <w:rsid w:val="00750259"/>
    <w:rsid w:val="00750E89"/>
    <w:rsid w:val="00750F17"/>
    <w:rsid w:val="007517AD"/>
    <w:rsid w:val="00752764"/>
    <w:rsid w:val="00752859"/>
    <w:rsid w:val="00752C1E"/>
    <w:rsid w:val="00754ED9"/>
    <w:rsid w:val="0076273C"/>
    <w:rsid w:val="007629C8"/>
    <w:rsid w:val="00763438"/>
    <w:rsid w:val="00764209"/>
    <w:rsid w:val="00766962"/>
    <w:rsid w:val="00767F54"/>
    <w:rsid w:val="00771A41"/>
    <w:rsid w:val="00771E27"/>
    <w:rsid w:val="00774144"/>
    <w:rsid w:val="00775287"/>
    <w:rsid w:val="00776B11"/>
    <w:rsid w:val="0078029B"/>
    <w:rsid w:val="007856EC"/>
    <w:rsid w:val="00786471"/>
    <w:rsid w:val="00786A11"/>
    <w:rsid w:val="00786D6D"/>
    <w:rsid w:val="007872CF"/>
    <w:rsid w:val="00791D27"/>
    <w:rsid w:val="007936EA"/>
    <w:rsid w:val="0079408E"/>
    <w:rsid w:val="007943EA"/>
    <w:rsid w:val="0079613F"/>
    <w:rsid w:val="00796355"/>
    <w:rsid w:val="007967B6"/>
    <w:rsid w:val="007976F6"/>
    <w:rsid w:val="007A0489"/>
    <w:rsid w:val="007A0880"/>
    <w:rsid w:val="007A1F2A"/>
    <w:rsid w:val="007A200C"/>
    <w:rsid w:val="007A224B"/>
    <w:rsid w:val="007A4861"/>
    <w:rsid w:val="007A653C"/>
    <w:rsid w:val="007A6EA5"/>
    <w:rsid w:val="007A77F0"/>
    <w:rsid w:val="007B3669"/>
    <w:rsid w:val="007B37B1"/>
    <w:rsid w:val="007B4739"/>
    <w:rsid w:val="007B676F"/>
    <w:rsid w:val="007B69D3"/>
    <w:rsid w:val="007B6A43"/>
    <w:rsid w:val="007C5B75"/>
    <w:rsid w:val="007C6F1D"/>
    <w:rsid w:val="007D064F"/>
    <w:rsid w:val="007D06F0"/>
    <w:rsid w:val="007D33F4"/>
    <w:rsid w:val="007D493C"/>
    <w:rsid w:val="007D5E1F"/>
    <w:rsid w:val="007D6721"/>
    <w:rsid w:val="007D788C"/>
    <w:rsid w:val="007D7B87"/>
    <w:rsid w:val="007E1946"/>
    <w:rsid w:val="007E2A3A"/>
    <w:rsid w:val="007E63D8"/>
    <w:rsid w:val="007F05A9"/>
    <w:rsid w:val="007F0899"/>
    <w:rsid w:val="007F1BE5"/>
    <w:rsid w:val="007F1FF9"/>
    <w:rsid w:val="007F2DFF"/>
    <w:rsid w:val="007F3ABE"/>
    <w:rsid w:val="007F4106"/>
    <w:rsid w:val="007F64B3"/>
    <w:rsid w:val="00800EDD"/>
    <w:rsid w:val="00801E87"/>
    <w:rsid w:val="00803C20"/>
    <w:rsid w:val="0080422A"/>
    <w:rsid w:val="00805122"/>
    <w:rsid w:val="008065B3"/>
    <w:rsid w:val="008066FA"/>
    <w:rsid w:val="00813385"/>
    <w:rsid w:val="00814323"/>
    <w:rsid w:val="008151CD"/>
    <w:rsid w:val="00816C80"/>
    <w:rsid w:val="0082348A"/>
    <w:rsid w:val="008276E0"/>
    <w:rsid w:val="0083226F"/>
    <w:rsid w:val="00832664"/>
    <w:rsid w:val="008328E9"/>
    <w:rsid w:val="0083353F"/>
    <w:rsid w:val="00834C7C"/>
    <w:rsid w:val="00835833"/>
    <w:rsid w:val="00835BCB"/>
    <w:rsid w:val="00835CDC"/>
    <w:rsid w:val="00840733"/>
    <w:rsid w:val="00843DA3"/>
    <w:rsid w:val="008445F1"/>
    <w:rsid w:val="008446C3"/>
    <w:rsid w:val="008472A2"/>
    <w:rsid w:val="00850B09"/>
    <w:rsid w:val="008514F2"/>
    <w:rsid w:val="008530C1"/>
    <w:rsid w:val="00853A95"/>
    <w:rsid w:val="008565BE"/>
    <w:rsid w:val="00857D5B"/>
    <w:rsid w:val="00860D2D"/>
    <w:rsid w:val="00863306"/>
    <w:rsid w:val="00863B9D"/>
    <w:rsid w:val="00863BE6"/>
    <w:rsid w:val="00865C43"/>
    <w:rsid w:val="00867775"/>
    <w:rsid w:val="0087029D"/>
    <w:rsid w:val="008702EC"/>
    <w:rsid w:val="00871E48"/>
    <w:rsid w:val="0087434C"/>
    <w:rsid w:val="0087563F"/>
    <w:rsid w:val="00876B83"/>
    <w:rsid w:val="00877561"/>
    <w:rsid w:val="008775BC"/>
    <w:rsid w:val="00880C09"/>
    <w:rsid w:val="008813A4"/>
    <w:rsid w:val="00882F1B"/>
    <w:rsid w:val="008900A8"/>
    <w:rsid w:val="008926BA"/>
    <w:rsid w:val="00892ED2"/>
    <w:rsid w:val="00896FD6"/>
    <w:rsid w:val="00897620"/>
    <w:rsid w:val="008A24C2"/>
    <w:rsid w:val="008A5BFC"/>
    <w:rsid w:val="008A70CE"/>
    <w:rsid w:val="008B313D"/>
    <w:rsid w:val="008B4C81"/>
    <w:rsid w:val="008B5CED"/>
    <w:rsid w:val="008B6423"/>
    <w:rsid w:val="008C04B8"/>
    <w:rsid w:val="008C0B07"/>
    <w:rsid w:val="008C1A1A"/>
    <w:rsid w:val="008C25E4"/>
    <w:rsid w:val="008C2DAE"/>
    <w:rsid w:val="008C3FB1"/>
    <w:rsid w:val="008C6426"/>
    <w:rsid w:val="008C6E36"/>
    <w:rsid w:val="008C6E9B"/>
    <w:rsid w:val="008D2383"/>
    <w:rsid w:val="008D2C95"/>
    <w:rsid w:val="008E0C14"/>
    <w:rsid w:val="008E4DA6"/>
    <w:rsid w:val="008E50BB"/>
    <w:rsid w:val="008E620B"/>
    <w:rsid w:val="008E7AD9"/>
    <w:rsid w:val="008F3859"/>
    <w:rsid w:val="008F3863"/>
    <w:rsid w:val="008F43D2"/>
    <w:rsid w:val="008F521D"/>
    <w:rsid w:val="008F6521"/>
    <w:rsid w:val="008F68AC"/>
    <w:rsid w:val="009015A7"/>
    <w:rsid w:val="00902768"/>
    <w:rsid w:val="009036E9"/>
    <w:rsid w:val="00903B37"/>
    <w:rsid w:val="009041D7"/>
    <w:rsid w:val="00904E3B"/>
    <w:rsid w:val="009053D9"/>
    <w:rsid w:val="009059A9"/>
    <w:rsid w:val="00906511"/>
    <w:rsid w:val="009069E0"/>
    <w:rsid w:val="00912580"/>
    <w:rsid w:val="00913012"/>
    <w:rsid w:val="00913CF1"/>
    <w:rsid w:val="0091622F"/>
    <w:rsid w:val="0091743B"/>
    <w:rsid w:val="00921277"/>
    <w:rsid w:val="00922386"/>
    <w:rsid w:val="0092515E"/>
    <w:rsid w:val="0092540B"/>
    <w:rsid w:val="00926073"/>
    <w:rsid w:val="009308C1"/>
    <w:rsid w:val="009315CC"/>
    <w:rsid w:val="00932BB4"/>
    <w:rsid w:val="00933106"/>
    <w:rsid w:val="00933C52"/>
    <w:rsid w:val="00934E1B"/>
    <w:rsid w:val="00935277"/>
    <w:rsid w:val="00935DC9"/>
    <w:rsid w:val="0094052C"/>
    <w:rsid w:val="00940B6C"/>
    <w:rsid w:val="009426A2"/>
    <w:rsid w:val="00942FBD"/>
    <w:rsid w:val="0094770B"/>
    <w:rsid w:val="00947D4A"/>
    <w:rsid w:val="00947E61"/>
    <w:rsid w:val="00950AC3"/>
    <w:rsid w:val="00951D88"/>
    <w:rsid w:val="009530BB"/>
    <w:rsid w:val="00956235"/>
    <w:rsid w:val="00956ED1"/>
    <w:rsid w:val="00957260"/>
    <w:rsid w:val="0096056C"/>
    <w:rsid w:val="00961848"/>
    <w:rsid w:val="00962719"/>
    <w:rsid w:val="009633F6"/>
    <w:rsid w:val="00963889"/>
    <w:rsid w:val="0096485E"/>
    <w:rsid w:val="00964A46"/>
    <w:rsid w:val="00971CD2"/>
    <w:rsid w:val="00971F33"/>
    <w:rsid w:val="00972459"/>
    <w:rsid w:val="00972C4F"/>
    <w:rsid w:val="00977459"/>
    <w:rsid w:val="00977E6E"/>
    <w:rsid w:val="00981341"/>
    <w:rsid w:val="0098169F"/>
    <w:rsid w:val="00984037"/>
    <w:rsid w:val="00986165"/>
    <w:rsid w:val="00990B67"/>
    <w:rsid w:val="00991BBD"/>
    <w:rsid w:val="00992343"/>
    <w:rsid w:val="009931FF"/>
    <w:rsid w:val="00994B64"/>
    <w:rsid w:val="00996216"/>
    <w:rsid w:val="0099776D"/>
    <w:rsid w:val="009A3663"/>
    <w:rsid w:val="009A3F5D"/>
    <w:rsid w:val="009A515B"/>
    <w:rsid w:val="009A7332"/>
    <w:rsid w:val="009B1BB7"/>
    <w:rsid w:val="009B2267"/>
    <w:rsid w:val="009B2FCA"/>
    <w:rsid w:val="009B3176"/>
    <w:rsid w:val="009B525F"/>
    <w:rsid w:val="009B539A"/>
    <w:rsid w:val="009B725F"/>
    <w:rsid w:val="009C073B"/>
    <w:rsid w:val="009C42FF"/>
    <w:rsid w:val="009C4DB1"/>
    <w:rsid w:val="009C561B"/>
    <w:rsid w:val="009C573B"/>
    <w:rsid w:val="009D0B00"/>
    <w:rsid w:val="009D0E20"/>
    <w:rsid w:val="009D4424"/>
    <w:rsid w:val="009D4F60"/>
    <w:rsid w:val="009D564B"/>
    <w:rsid w:val="009D5773"/>
    <w:rsid w:val="009D5A89"/>
    <w:rsid w:val="009D7391"/>
    <w:rsid w:val="009D7623"/>
    <w:rsid w:val="009E0AE8"/>
    <w:rsid w:val="009E1B4F"/>
    <w:rsid w:val="009E495F"/>
    <w:rsid w:val="009E4DDD"/>
    <w:rsid w:val="009E5374"/>
    <w:rsid w:val="009E6FD2"/>
    <w:rsid w:val="009F18B2"/>
    <w:rsid w:val="009F1E3B"/>
    <w:rsid w:val="009F345D"/>
    <w:rsid w:val="009F3866"/>
    <w:rsid w:val="009F63B2"/>
    <w:rsid w:val="009F6E25"/>
    <w:rsid w:val="009F6FBD"/>
    <w:rsid w:val="009F7A19"/>
    <w:rsid w:val="00A00F2B"/>
    <w:rsid w:val="00A01170"/>
    <w:rsid w:val="00A030A3"/>
    <w:rsid w:val="00A03CA9"/>
    <w:rsid w:val="00A03DB2"/>
    <w:rsid w:val="00A05CF6"/>
    <w:rsid w:val="00A108EA"/>
    <w:rsid w:val="00A13218"/>
    <w:rsid w:val="00A134B7"/>
    <w:rsid w:val="00A13DB3"/>
    <w:rsid w:val="00A14E3E"/>
    <w:rsid w:val="00A1743D"/>
    <w:rsid w:val="00A20508"/>
    <w:rsid w:val="00A21358"/>
    <w:rsid w:val="00A217FF"/>
    <w:rsid w:val="00A21936"/>
    <w:rsid w:val="00A227A3"/>
    <w:rsid w:val="00A242F6"/>
    <w:rsid w:val="00A25291"/>
    <w:rsid w:val="00A358D4"/>
    <w:rsid w:val="00A40842"/>
    <w:rsid w:val="00A4198B"/>
    <w:rsid w:val="00A423BC"/>
    <w:rsid w:val="00A433E8"/>
    <w:rsid w:val="00A4398B"/>
    <w:rsid w:val="00A47766"/>
    <w:rsid w:val="00A47C5E"/>
    <w:rsid w:val="00A516A0"/>
    <w:rsid w:val="00A517A7"/>
    <w:rsid w:val="00A53DA4"/>
    <w:rsid w:val="00A550B1"/>
    <w:rsid w:val="00A574C0"/>
    <w:rsid w:val="00A60B73"/>
    <w:rsid w:val="00A616A2"/>
    <w:rsid w:val="00A62ABF"/>
    <w:rsid w:val="00A645AB"/>
    <w:rsid w:val="00A64B8E"/>
    <w:rsid w:val="00A66677"/>
    <w:rsid w:val="00A66D6D"/>
    <w:rsid w:val="00A67F2E"/>
    <w:rsid w:val="00A73A28"/>
    <w:rsid w:val="00A73BE7"/>
    <w:rsid w:val="00A75E4E"/>
    <w:rsid w:val="00A76012"/>
    <w:rsid w:val="00A768EA"/>
    <w:rsid w:val="00A80080"/>
    <w:rsid w:val="00A80C35"/>
    <w:rsid w:val="00A80DBA"/>
    <w:rsid w:val="00A8332C"/>
    <w:rsid w:val="00A84F0F"/>
    <w:rsid w:val="00A85369"/>
    <w:rsid w:val="00A91B0F"/>
    <w:rsid w:val="00A92149"/>
    <w:rsid w:val="00A94085"/>
    <w:rsid w:val="00AA0317"/>
    <w:rsid w:val="00AA063C"/>
    <w:rsid w:val="00AA084C"/>
    <w:rsid w:val="00AA1858"/>
    <w:rsid w:val="00AA24E2"/>
    <w:rsid w:val="00AA50BD"/>
    <w:rsid w:val="00AA5213"/>
    <w:rsid w:val="00AA6478"/>
    <w:rsid w:val="00AA6EAE"/>
    <w:rsid w:val="00AA77BF"/>
    <w:rsid w:val="00AB3A8C"/>
    <w:rsid w:val="00AB4951"/>
    <w:rsid w:val="00AB6113"/>
    <w:rsid w:val="00AB66EB"/>
    <w:rsid w:val="00AB7B49"/>
    <w:rsid w:val="00AC19DF"/>
    <w:rsid w:val="00AC2E85"/>
    <w:rsid w:val="00AC3BD0"/>
    <w:rsid w:val="00AC5D61"/>
    <w:rsid w:val="00AC600F"/>
    <w:rsid w:val="00AC6E97"/>
    <w:rsid w:val="00AD5296"/>
    <w:rsid w:val="00AD65E1"/>
    <w:rsid w:val="00AD7B95"/>
    <w:rsid w:val="00AE1F9C"/>
    <w:rsid w:val="00AE4EEA"/>
    <w:rsid w:val="00AF121D"/>
    <w:rsid w:val="00AF1B24"/>
    <w:rsid w:val="00AF2796"/>
    <w:rsid w:val="00AF3282"/>
    <w:rsid w:val="00AF3B92"/>
    <w:rsid w:val="00B00BB3"/>
    <w:rsid w:val="00B028AA"/>
    <w:rsid w:val="00B02FB3"/>
    <w:rsid w:val="00B04498"/>
    <w:rsid w:val="00B051D4"/>
    <w:rsid w:val="00B05CC2"/>
    <w:rsid w:val="00B1292C"/>
    <w:rsid w:val="00B243ED"/>
    <w:rsid w:val="00B25283"/>
    <w:rsid w:val="00B27A27"/>
    <w:rsid w:val="00B27DC2"/>
    <w:rsid w:val="00B315A0"/>
    <w:rsid w:val="00B32E40"/>
    <w:rsid w:val="00B3437E"/>
    <w:rsid w:val="00B34A18"/>
    <w:rsid w:val="00B34C13"/>
    <w:rsid w:val="00B34D86"/>
    <w:rsid w:val="00B402F1"/>
    <w:rsid w:val="00B42A00"/>
    <w:rsid w:val="00B468CE"/>
    <w:rsid w:val="00B50C33"/>
    <w:rsid w:val="00B5172C"/>
    <w:rsid w:val="00B54F35"/>
    <w:rsid w:val="00B568F0"/>
    <w:rsid w:val="00B56EED"/>
    <w:rsid w:val="00B571DD"/>
    <w:rsid w:val="00B579CB"/>
    <w:rsid w:val="00B6147F"/>
    <w:rsid w:val="00B626CD"/>
    <w:rsid w:val="00B6314D"/>
    <w:rsid w:val="00B657C5"/>
    <w:rsid w:val="00B65E41"/>
    <w:rsid w:val="00B66787"/>
    <w:rsid w:val="00B66864"/>
    <w:rsid w:val="00B66E23"/>
    <w:rsid w:val="00B70083"/>
    <w:rsid w:val="00B72062"/>
    <w:rsid w:val="00B73978"/>
    <w:rsid w:val="00B73D0E"/>
    <w:rsid w:val="00B8058B"/>
    <w:rsid w:val="00B82513"/>
    <w:rsid w:val="00B8312D"/>
    <w:rsid w:val="00B848FF"/>
    <w:rsid w:val="00B8572A"/>
    <w:rsid w:val="00B85790"/>
    <w:rsid w:val="00B86C2E"/>
    <w:rsid w:val="00B87A76"/>
    <w:rsid w:val="00B9303A"/>
    <w:rsid w:val="00B938BE"/>
    <w:rsid w:val="00B94A19"/>
    <w:rsid w:val="00B94D34"/>
    <w:rsid w:val="00B961C4"/>
    <w:rsid w:val="00B96241"/>
    <w:rsid w:val="00BA41C3"/>
    <w:rsid w:val="00BA6428"/>
    <w:rsid w:val="00BA67DE"/>
    <w:rsid w:val="00BA6806"/>
    <w:rsid w:val="00BB17A0"/>
    <w:rsid w:val="00BB198B"/>
    <w:rsid w:val="00BB28F6"/>
    <w:rsid w:val="00BB2ACA"/>
    <w:rsid w:val="00BB3B4B"/>
    <w:rsid w:val="00BB585D"/>
    <w:rsid w:val="00BC2609"/>
    <w:rsid w:val="00BC26DD"/>
    <w:rsid w:val="00BC3E79"/>
    <w:rsid w:val="00BC4468"/>
    <w:rsid w:val="00BC6576"/>
    <w:rsid w:val="00BD3CE7"/>
    <w:rsid w:val="00BD4CE7"/>
    <w:rsid w:val="00BE194C"/>
    <w:rsid w:val="00BE2F24"/>
    <w:rsid w:val="00BE38DF"/>
    <w:rsid w:val="00BE3D67"/>
    <w:rsid w:val="00BE5629"/>
    <w:rsid w:val="00BE764D"/>
    <w:rsid w:val="00BF000E"/>
    <w:rsid w:val="00BF28C7"/>
    <w:rsid w:val="00BF5DD8"/>
    <w:rsid w:val="00BF71C2"/>
    <w:rsid w:val="00C00144"/>
    <w:rsid w:val="00C0335C"/>
    <w:rsid w:val="00C03DD1"/>
    <w:rsid w:val="00C117BC"/>
    <w:rsid w:val="00C12DA1"/>
    <w:rsid w:val="00C13145"/>
    <w:rsid w:val="00C139A9"/>
    <w:rsid w:val="00C13A7C"/>
    <w:rsid w:val="00C14792"/>
    <w:rsid w:val="00C16975"/>
    <w:rsid w:val="00C17164"/>
    <w:rsid w:val="00C21374"/>
    <w:rsid w:val="00C22D69"/>
    <w:rsid w:val="00C24936"/>
    <w:rsid w:val="00C2572C"/>
    <w:rsid w:val="00C26BCE"/>
    <w:rsid w:val="00C305C9"/>
    <w:rsid w:val="00C34785"/>
    <w:rsid w:val="00C374A0"/>
    <w:rsid w:val="00C40A9A"/>
    <w:rsid w:val="00C40DCC"/>
    <w:rsid w:val="00C41420"/>
    <w:rsid w:val="00C42B0A"/>
    <w:rsid w:val="00C4587F"/>
    <w:rsid w:val="00C4610D"/>
    <w:rsid w:val="00C465EC"/>
    <w:rsid w:val="00C479B4"/>
    <w:rsid w:val="00C60C63"/>
    <w:rsid w:val="00C61012"/>
    <w:rsid w:val="00C616E6"/>
    <w:rsid w:val="00C62D50"/>
    <w:rsid w:val="00C642A9"/>
    <w:rsid w:val="00C64755"/>
    <w:rsid w:val="00C64F4C"/>
    <w:rsid w:val="00C65574"/>
    <w:rsid w:val="00C65D54"/>
    <w:rsid w:val="00C65E86"/>
    <w:rsid w:val="00C66E4E"/>
    <w:rsid w:val="00C6757F"/>
    <w:rsid w:val="00C67C97"/>
    <w:rsid w:val="00C70EC0"/>
    <w:rsid w:val="00C7135A"/>
    <w:rsid w:val="00C71797"/>
    <w:rsid w:val="00C72A9C"/>
    <w:rsid w:val="00C75207"/>
    <w:rsid w:val="00C76FE7"/>
    <w:rsid w:val="00C77A51"/>
    <w:rsid w:val="00C83760"/>
    <w:rsid w:val="00C83C4D"/>
    <w:rsid w:val="00C83C66"/>
    <w:rsid w:val="00C83F07"/>
    <w:rsid w:val="00C84123"/>
    <w:rsid w:val="00C85553"/>
    <w:rsid w:val="00C857D3"/>
    <w:rsid w:val="00C866DA"/>
    <w:rsid w:val="00C90410"/>
    <w:rsid w:val="00C905BF"/>
    <w:rsid w:val="00C92E5A"/>
    <w:rsid w:val="00C9304F"/>
    <w:rsid w:val="00CA1164"/>
    <w:rsid w:val="00CA17AC"/>
    <w:rsid w:val="00CA1968"/>
    <w:rsid w:val="00CA1CBE"/>
    <w:rsid w:val="00CA3EAA"/>
    <w:rsid w:val="00CA483A"/>
    <w:rsid w:val="00CA6305"/>
    <w:rsid w:val="00CA6820"/>
    <w:rsid w:val="00CA6F5D"/>
    <w:rsid w:val="00CB0623"/>
    <w:rsid w:val="00CB2720"/>
    <w:rsid w:val="00CB276B"/>
    <w:rsid w:val="00CB4937"/>
    <w:rsid w:val="00CB56B1"/>
    <w:rsid w:val="00CB62E4"/>
    <w:rsid w:val="00CB6541"/>
    <w:rsid w:val="00CC04B8"/>
    <w:rsid w:val="00CC2FDD"/>
    <w:rsid w:val="00CC4078"/>
    <w:rsid w:val="00CC6CC0"/>
    <w:rsid w:val="00CD1752"/>
    <w:rsid w:val="00CD4DD4"/>
    <w:rsid w:val="00CD5DAF"/>
    <w:rsid w:val="00CE17A4"/>
    <w:rsid w:val="00CE1F5D"/>
    <w:rsid w:val="00CE338D"/>
    <w:rsid w:val="00CE4795"/>
    <w:rsid w:val="00CE4F89"/>
    <w:rsid w:val="00CE7104"/>
    <w:rsid w:val="00CE750F"/>
    <w:rsid w:val="00CE778B"/>
    <w:rsid w:val="00CF1498"/>
    <w:rsid w:val="00CF3980"/>
    <w:rsid w:val="00CF4050"/>
    <w:rsid w:val="00CF4437"/>
    <w:rsid w:val="00CF4E03"/>
    <w:rsid w:val="00CF6A1A"/>
    <w:rsid w:val="00CF7397"/>
    <w:rsid w:val="00D00F00"/>
    <w:rsid w:val="00D049B8"/>
    <w:rsid w:val="00D06197"/>
    <w:rsid w:val="00D10585"/>
    <w:rsid w:val="00D122F0"/>
    <w:rsid w:val="00D12474"/>
    <w:rsid w:val="00D15464"/>
    <w:rsid w:val="00D160CB"/>
    <w:rsid w:val="00D178C6"/>
    <w:rsid w:val="00D20D16"/>
    <w:rsid w:val="00D2106F"/>
    <w:rsid w:val="00D245A1"/>
    <w:rsid w:val="00D24CB3"/>
    <w:rsid w:val="00D24E98"/>
    <w:rsid w:val="00D25B3B"/>
    <w:rsid w:val="00D314E5"/>
    <w:rsid w:val="00D32543"/>
    <w:rsid w:val="00D32BA7"/>
    <w:rsid w:val="00D33BE6"/>
    <w:rsid w:val="00D3416D"/>
    <w:rsid w:val="00D3680D"/>
    <w:rsid w:val="00D36825"/>
    <w:rsid w:val="00D368D8"/>
    <w:rsid w:val="00D402F9"/>
    <w:rsid w:val="00D41049"/>
    <w:rsid w:val="00D415E2"/>
    <w:rsid w:val="00D42055"/>
    <w:rsid w:val="00D44E0C"/>
    <w:rsid w:val="00D4566C"/>
    <w:rsid w:val="00D4581F"/>
    <w:rsid w:val="00D45D56"/>
    <w:rsid w:val="00D45F79"/>
    <w:rsid w:val="00D56FB7"/>
    <w:rsid w:val="00D5729E"/>
    <w:rsid w:val="00D60B3D"/>
    <w:rsid w:val="00D617A4"/>
    <w:rsid w:val="00D636CD"/>
    <w:rsid w:val="00D647C3"/>
    <w:rsid w:val="00D6650E"/>
    <w:rsid w:val="00D6776B"/>
    <w:rsid w:val="00D67844"/>
    <w:rsid w:val="00D707FA"/>
    <w:rsid w:val="00D77739"/>
    <w:rsid w:val="00D82C99"/>
    <w:rsid w:val="00D83BE5"/>
    <w:rsid w:val="00D83D91"/>
    <w:rsid w:val="00D91225"/>
    <w:rsid w:val="00D91838"/>
    <w:rsid w:val="00D91897"/>
    <w:rsid w:val="00D9239B"/>
    <w:rsid w:val="00D9386E"/>
    <w:rsid w:val="00D93C16"/>
    <w:rsid w:val="00D9633A"/>
    <w:rsid w:val="00D97562"/>
    <w:rsid w:val="00DA1236"/>
    <w:rsid w:val="00DA609B"/>
    <w:rsid w:val="00DB3120"/>
    <w:rsid w:val="00DB4C0C"/>
    <w:rsid w:val="00DB5BB2"/>
    <w:rsid w:val="00DC0DF4"/>
    <w:rsid w:val="00DC5BAA"/>
    <w:rsid w:val="00DD0BD9"/>
    <w:rsid w:val="00DD0F9D"/>
    <w:rsid w:val="00DD49B6"/>
    <w:rsid w:val="00DD4FC4"/>
    <w:rsid w:val="00DE0D42"/>
    <w:rsid w:val="00DE185F"/>
    <w:rsid w:val="00DF2386"/>
    <w:rsid w:val="00DF2F8A"/>
    <w:rsid w:val="00DF5F99"/>
    <w:rsid w:val="00DF6B3E"/>
    <w:rsid w:val="00DF7FE7"/>
    <w:rsid w:val="00E016CC"/>
    <w:rsid w:val="00E042F9"/>
    <w:rsid w:val="00E0612A"/>
    <w:rsid w:val="00E12CA5"/>
    <w:rsid w:val="00E16CC7"/>
    <w:rsid w:val="00E17EE6"/>
    <w:rsid w:val="00E20094"/>
    <w:rsid w:val="00E21C66"/>
    <w:rsid w:val="00E236B9"/>
    <w:rsid w:val="00E25075"/>
    <w:rsid w:val="00E30B98"/>
    <w:rsid w:val="00E319D3"/>
    <w:rsid w:val="00E31C96"/>
    <w:rsid w:val="00E42A55"/>
    <w:rsid w:val="00E4514F"/>
    <w:rsid w:val="00E46367"/>
    <w:rsid w:val="00E4663F"/>
    <w:rsid w:val="00E50224"/>
    <w:rsid w:val="00E604F4"/>
    <w:rsid w:val="00E6313B"/>
    <w:rsid w:val="00E631A8"/>
    <w:rsid w:val="00E63A8B"/>
    <w:rsid w:val="00E63F0B"/>
    <w:rsid w:val="00E642B6"/>
    <w:rsid w:val="00E70ABD"/>
    <w:rsid w:val="00E73B49"/>
    <w:rsid w:val="00E74C69"/>
    <w:rsid w:val="00E75CA2"/>
    <w:rsid w:val="00E7606D"/>
    <w:rsid w:val="00E77109"/>
    <w:rsid w:val="00E777F3"/>
    <w:rsid w:val="00E80FF3"/>
    <w:rsid w:val="00E85C33"/>
    <w:rsid w:val="00E9257D"/>
    <w:rsid w:val="00E949F7"/>
    <w:rsid w:val="00E96B53"/>
    <w:rsid w:val="00EA0456"/>
    <w:rsid w:val="00EA196C"/>
    <w:rsid w:val="00EA3A7F"/>
    <w:rsid w:val="00EA5C9D"/>
    <w:rsid w:val="00EA5E82"/>
    <w:rsid w:val="00EB3F23"/>
    <w:rsid w:val="00EB6182"/>
    <w:rsid w:val="00EB6561"/>
    <w:rsid w:val="00EB778B"/>
    <w:rsid w:val="00EC3923"/>
    <w:rsid w:val="00EC588F"/>
    <w:rsid w:val="00EC72C3"/>
    <w:rsid w:val="00ED08F0"/>
    <w:rsid w:val="00ED2630"/>
    <w:rsid w:val="00ED2A0B"/>
    <w:rsid w:val="00ED2B49"/>
    <w:rsid w:val="00ED3A8C"/>
    <w:rsid w:val="00ED3AEB"/>
    <w:rsid w:val="00ED4036"/>
    <w:rsid w:val="00ED536D"/>
    <w:rsid w:val="00ED5805"/>
    <w:rsid w:val="00ED6F22"/>
    <w:rsid w:val="00ED7225"/>
    <w:rsid w:val="00EE37D2"/>
    <w:rsid w:val="00EE4971"/>
    <w:rsid w:val="00EE5DC3"/>
    <w:rsid w:val="00EE60AF"/>
    <w:rsid w:val="00EE7641"/>
    <w:rsid w:val="00EE7F06"/>
    <w:rsid w:val="00EF1581"/>
    <w:rsid w:val="00EF27A8"/>
    <w:rsid w:val="00EF283D"/>
    <w:rsid w:val="00EF37C0"/>
    <w:rsid w:val="00EF3D80"/>
    <w:rsid w:val="00EF4718"/>
    <w:rsid w:val="00EF557F"/>
    <w:rsid w:val="00F0628B"/>
    <w:rsid w:val="00F06D68"/>
    <w:rsid w:val="00F078F1"/>
    <w:rsid w:val="00F126E5"/>
    <w:rsid w:val="00F136F5"/>
    <w:rsid w:val="00F14404"/>
    <w:rsid w:val="00F207AC"/>
    <w:rsid w:val="00F20F57"/>
    <w:rsid w:val="00F21A80"/>
    <w:rsid w:val="00F21BAF"/>
    <w:rsid w:val="00F25929"/>
    <w:rsid w:val="00F26C2E"/>
    <w:rsid w:val="00F27FD2"/>
    <w:rsid w:val="00F32D03"/>
    <w:rsid w:val="00F331A5"/>
    <w:rsid w:val="00F33F24"/>
    <w:rsid w:val="00F344DE"/>
    <w:rsid w:val="00F40D7D"/>
    <w:rsid w:val="00F4516D"/>
    <w:rsid w:val="00F503EA"/>
    <w:rsid w:val="00F50A7A"/>
    <w:rsid w:val="00F50F8D"/>
    <w:rsid w:val="00F51485"/>
    <w:rsid w:val="00F52E89"/>
    <w:rsid w:val="00F548E2"/>
    <w:rsid w:val="00F55A56"/>
    <w:rsid w:val="00F55ABA"/>
    <w:rsid w:val="00F56BB7"/>
    <w:rsid w:val="00F56EDF"/>
    <w:rsid w:val="00F57D79"/>
    <w:rsid w:val="00F60DF2"/>
    <w:rsid w:val="00F61B79"/>
    <w:rsid w:val="00F7138B"/>
    <w:rsid w:val="00F72310"/>
    <w:rsid w:val="00F73E71"/>
    <w:rsid w:val="00F73EE2"/>
    <w:rsid w:val="00F80085"/>
    <w:rsid w:val="00F819EB"/>
    <w:rsid w:val="00F8382F"/>
    <w:rsid w:val="00F847E5"/>
    <w:rsid w:val="00F84F55"/>
    <w:rsid w:val="00F862BE"/>
    <w:rsid w:val="00F90014"/>
    <w:rsid w:val="00F93D0E"/>
    <w:rsid w:val="00F9634F"/>
    <w:rsid w:val="00F96963"/>
    <w:rsid w:val="00F9719A"/>
    <w:rsid w:val="00FA00D4"/>
    <w:rsid w:val="00FA276A"/>
    <w:rsid w:val="00FA2F4B"/>
    <w:rsid w:val="00FA4977"/>
    <w:rsid w:val="00FA5E54"/>
    <w:rsid w:val="00FA6159"/>
    <w:rsid w:val="00FB2AB2"/>
    <w:rsid w:val="00FB6EE7"/>
    <w:rsid w:val="00FB70D8"/>
    <w:rsid w:val="00FB7C64"/>
    <w:rsid w:val="00FB7D59"/>
    <w:rsid w:val="00FC0A0E"/>
    <w:rsid w:val="00FC1E6A"/>
    <w:rsid w:val="00FC2EBB"/>
    <w:rsid w:val="00FC42BB"/>
    <w:rsid w:val="00FC6B33"/>
    <w:rsid w:val="00FC725D"/>
    <w:rsid w:val="00FC7A32"/>
    <w:rsid w:val="00FD0EEF"/>
    <w:rsid w:val="00FD1CE3"/>
    <w:rsid w:val="00FD27EB"/>
    <w:rsid w:val="00FD45EA"/>
    <w:rsid w:val="00FD692A"/>
    <w:rsid w:val="00FE29AE"/>
    <w:rsid w:val="00FE34A2"/>
    <w:rsid w:val="00FE5EEB"/>
    <w:rsid w:val="00FF3BCE"/>
    <w:rsid w:val="00FF57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314292"/>
  <w15:docId w15:val="{C28AB3F9-CB73-49BF-A256-C3C80442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5C1B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2386"/>
    <w:rPr>
      <w:sz w:val="20"/>
      <w:szCs w:val="20"/>
    </w:rPr>
  </w:style>
  <w:style w:type="character" w:customStyle="1" w:styleId="FootnoteTextChar">
    <w:name w:val="Footnote Text Char"/>
    <w:basedOn w:val="DefaultParagraphFont"/>
    <w:link w:val="FootnoteText"/>
    <w:uiPriority w:val="99"/>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qFormat/>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MGfulltext">
    <w:name w:val="MG_fulltext"/>
    <w:basedOn w:val="Normal"/>
    <w:link w:val="MGfulltextChar"/>
    <w:qFormat/>
    <w:rsid w:val="00B32E40"/>
    <w:pPr>
      <w:spacing w:after="120"/>
      <w:ind w:left="0" w:firstLine="0"/>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B32E40"/>
    <w:rPr>
      <w:rFonts w:ascii="Arial" w:eastAsia="Times New Roman" w:hAnsi="Arial" w:cs="Arial"/>
      <w:sz w:val="24"/>
      <w:szCs w:val="24"/>
      <w:lang w:val="en-US"/>
    </w:rPr>
  </w:style>
  <w:style w:type="paragraph" w:customStyle="1" w:styleId="Default">
    <w:name w:val="Default"/>
    <w:basedOn w:val="Normal"/>
    <w:rsid w:val="00267D03"/>
    <w:pPr>
      <w:autoSpaceDE w:val="0"/>
      <w:autoSpaceDN w:val="0"/>
      <w:ind w:left="0" w:firstLine="0"/>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6D0F96"/>
    <w:rPr>
      <w:color w:val="800080"/>
      <w:u w:val="single"/>
    </w:rPr>
  </w:style>
  <w:style w:type="paragraph" w:customStyle="1" w:styleId="xl65">
    <w:name w:val="xl65"/>
    <w:basedOn w:val="Normal"/>
    <w:rsid w:val="006D0F96"/>
    <w:pPr>
      <w:spacing w:before="100" w:beforeAutospacing="1" w:after="100" w:afterAutospacing="1"/>
      <w:ind w:left="0" w:firstLine="0"/>
      <w:textAlignment w:val="top"/>
    </w:pPr>
    <w:rPr>
      <w:rFonts w:eastAsia="Times New Roman"/>
      <w:b/>
      <w:bCs/>
      <w:sz w:val="24"/>
      <w:szCs w:val="24"/>
      <w:lang w:eastAsia="en-GB"/>
    </w:rPr>
  </w:style>
  <w:style w:type="paragraph" w:customStyle="1" w:styleId="xl67">
    <w:name w:val="xl67"/>
    <w:basedOn w:val="Normal"/>
    <w:rsid w:val="006D0F96"/>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8">
    <w:name w:val="xl68"/>
    <w:basedOn w:val="Normal"/>
    <w:rsid w:val="006D0F9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9">
    <w:name w:val="xl69"/>
    <w:basedOn w:val="Normal"/>
    <w:rsid w:val="006D0F9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70">
    <w:name w:val="xl70"/>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1">
    <w:name w:val="xl71"/>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2">
    <w:name w:val="xl72"/>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3">
    <w:name w:val="xl73"/>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4">
    <w:name w:val="xl74"/>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5">
    <w:name w:val="xl75"/>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6">
    <w:name w:val="xl76"/>
    <w:basedOn w:val="Normal"/>
    <w:rsid w:val="006D0F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7">
    <w:name w:val="xl77"/>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8">
    <w:name w:val="xl78"/>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9">
    <w:name w:val="xl79"/>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0">
    <w:name w:val="xl80"/>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1">
    <w:name w:val="xl81"/>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2">
    <w:name w:val="xl82"/>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3">
    <w:name w:val="xl83"/>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4">
    <w:name w:val="xl84"/>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5">
    <w:name w:val="xl85"/>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6">
    <w:name w:val="xl86"/>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7">
    <w:name w:val="xl87"/>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8">
    <w:name w:val="xl88"/>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9">
    <w:name w:val="xl89"/>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90">
    <w:name w:val="xl90"/>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character" w:styleId="Strong">
    <w:name w:val="Strong"/>
    <w:basedOn w:val="DefaultParagraphFont"/>
    <w:qFormat/>
    <w:rsid w:val="002D300B"/>
    <w:rPr>
      <w:b/>
      <w:bCs/>
    </w:rPr>
  </w:style>
  <w:style w:type="paragraph" w:styleId="BodyText">
    <w:name w:val="Body Text"/>
    <w:basedOn w:val="Normal"/>
    <w:link w:val="BodyTextChar"/>
    <w:uiPriority w:val="1"/>
    <w:qFormat/>
    <w:rsid w:val="00CE1F5D"/>
    <w:pPr>
      <w:widowControl w:val="0"/>
      <w:ind w:left="548" w:firstLine="0"/>
    </w:pPr>
    <w:rPr>
      <w:rFonts w:ascii="Arial" w:eastAsia="Arial" w:hAnsi="Arial" w:cstheme="minorBidi"/>
      <w:lang w:val="en-US"/>
    </w:rPr>
  </w:style>
  <w:style w:type="character" w:customStyle="1" w:styleId="BodyTextChar">
    <w:name w:val="Body Text Char"/>
    <w:basedOn w:val="DefaultParagraphFont"/>
    <w:link w:val="BodyText"/>
    <w:uiPriority w:val="1"/>
    <w:rsid w:val="00CE1F5D"/>
    <w:rPr>
      <w:rFonts w:ascii="Arial" w:eastAsia="Arial" w:hAnsi="Arial"/>
      <w:lang w:val="en-US"/>
    </w:rPr>
  </w:style>
  <w:style w:type="paragraph" w:customStyle="1" w:styleId="xl66">
    <w:name w:val="xl66"/>
    <w:basedOn w:val="Normal"/>
    <w:rsid w:val="00CE1F5D"/>
    <w:pPr>
      <w:spacing w:before="100" w:beforeAutospacing="1" w:after="100" w:afterAutospacing="1"/>
      <w:ind w:left="0" w:firstLine="0"/>
      <w:jc w:val="center"/>
      <w:textAlignment w:val="top"/>
    </w:pPr>
    <w:rPr>
      <w:rFonts w:ascii="Times New Roman" w:eastAsia="Times New Roman" w:hAnsi="Times New Roman"/>
      <w:sz w:val="24"/>
      <w:szCs w:val="24"/>
      <w:lang w:eastAsia="en-GB"/>
    </w:rPr>
  </w:style>
  <w:style w:type="paragraph" w:customStyle="1" w:styleId="xl91">
    <w:name w:val="xl91"/>
    <w:basedOn w:val="Normal"/>
    <w:rsid w:val="00CE1F5D"/>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2">
    <w:name w:val="xl92"/>
    <w:basedOn w:val="Normal"/>
    <w:rsid w:val="00CE1F5D"/>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3">
    <w:name w:val="xl93"/>
    <w:basedOn w:val="Normal"/>
    <w:rsid w:val="00CE1F5D"/>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4">
    <w:name w:val="xl94"/>
    <w:basedOn w:val="Normal"/>
    <w:rsid w:val="00CE1F5D"/>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5">
    <w:name w:val="xl95"/>
    <w:basedOn w:val="Normal"/>
    <w:rsid w:val="00CE1F5D"/>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6">
    <w:name w:val="xl96"/>
    <w:basedOn w:val="Normal"/>
    <w:rsid w:val="00CE1F5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pPr>
    <w:rPr>
      <w:rFonts w:eastAsia="Times New Roman"/>
      <w:b/>
      <w:bCs/>
      <w:sz w:val="26"/>
      <w:szCs w:val="26"/>
      <w:lang w:eastAsia="en-GB"/>
    </w:rPr>
  </w:style>
  <w:style w:type="paragraph" w:customStyle="1" w:styleId="xl97">
    <w:name w:val="xl97"/>
    <w:basedOn w:val="Normal"/>
    <w:rsid w:val="00CE1F5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right"/>
    </w:pPr>
    <w:rPr>
      <w:rFonts w:ascii="Times New Roman" w:eastAsia="Times New Roman" w:hAnsi="Times New Roman"/>
      <w:b/>
      <w:bCs/>
      <w:sz w:val="24"/>
      <w:szCs w:val="24"/>
      <w:lang w:eastAsia="en-GB"/>
    </w:rPr>
  </w:style>
  <w:style w:type="paragraph" w:customStyle="1" w:styleId="xl98">
    <w:name w:val="xl98"/>
    <w:basedOn w:val="Normal"/>
    <w:rsid w:val="00CE1F5D"/>
    <w:pPr>
      <w:pBdr>
        <w:top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99">
    <w:name w:val="xl99"/>
    <w:basedOn w:val="Normal"/>
    <w:rsid w:val="00CE1F5D"/>
    <w:pPr>
      <w:pBdr>
        <w:top w:val="single" w:sz="8" w:space="0" w:color="auto"/>
        <w:left w:val="single" w:sz="8" w:space="0" w:color="auto"/>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0">
    <w:name w:val="xl100"/>
    <w:basedOn w:val="Normal"/>
    <w:rsid w:val="00CE1F5D"/>
    <w:pPr>
      <w:pBdr>
        <w:left w:val="single" w:sz="8" w:space="0" w:color="auto"/>
        <w:bottom w:val="double" w:sz="6" w:space="0" w:color="000000"/>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1">
    <w:name w:val="xl101"/>
    <w:basedOn w:val="Normal"/>
    <w:rsid w:val="00CE1F5D"/>
    <w:pPr>
      <w:pBdr>
        <w:top w:val="single" w:sz="8" w:space="0" w:color="auto"/>
        <w:left w:val="single" w:sz="4"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2">
    <w:name w:val="xl102"/>
    <w:basedOn w:val="Normal"/>
    <w:rsid w:val="00CE1F5D"/>
    <w:pPr>
      <w:pBdr>
        <w:top w:val="single" w:sz="8" w:space="0" w:color="auto"/>
        <w:bottom w:val="single" w:sz="4" w:space="0" w:color="auto"/>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3">
    <w:name w:val="xl103"/>
    <w:basedOn w:val="Normal"/>
    <w:rsid w:val="00CE1F5D"/>
    <w:pPr>
      <w:pBdr>
        <w:top w:val="single" w:sz="8" w:space="0" w:color="auto"/>
        <w:left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4">
    <w:name w:val="xl104"/>
    <w:basedOn w:val="Normal"/>
    <w:rsid w:val="00CE1F5D"/>
    <w:pPr>
      <w:pBdr>
        <w:top w:val="single" w:sz="8" w:space="0" w:color="auto"/>
        <w:left w:val="single" w:sz="12" w:space="0" w:color="000000"/>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5">
    <w:name w:val="xl105"/>
    <w:basedOn w:val="Normal"/>
    <w:rsid w:val="00CE1F5D"/>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6">
    <w:name w:val="xl106"/>
    <w:basedOn w:val="Normal"/>
    <w:rsid w:val="00CE1F5D"/>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7">
    <w:name w:val="xl107"/>
    <w:basedOn w:val="Normal"/>
    <w:rsid w:val="00CE1F5D"/>
    <w:pPr>
      <w:spacing w:before="100" w:beforeAutospacing="1" w:after="100" w:afterAutospacing="1"/>
      <w:ind w:left="0" w:firstLine="0"/>
    </w:pPr>
    <w:rPr>
      <w:rFonts w:ascii="Times New Roman" w:eastAsia="Times New Roman" w:hAnsi="Times New Roman"/>
      <w:b/>
      <w:bCs/>
      <w:sz w:val="26"/>
      <w:szCs w:val="26"/>
      <w:lang w:eastAsia="en-GB"/>
    </w:rPr>
  </w:style>
  <w:style w:type="paragraph" w:customStyle="1" w:styleId="xl108">
    <w:name w:val="xl108"/>
    <w:basedOn w:val="Normal"/>
    <w:rsid w:val="00CE1F5D"/>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9">
    <w:name w:val="xl109"/>
    <w:basedOn w:val="Normal"/>
    <w:rsid w:val="00CE1F5D"/>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table" w:styleId="GridTable4-Accent1">
    <w:name w:val="Grid Table 4 Accent 1"/>
    <w:basedOn w:val="TableNormal"/>
    <w:uiPriority w:val="49"/>
    <w:rsid w:val="004B4DF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CA6820"/>
    <w:rPr>
      <w:color w:val="605E5C"/>
      <w:shd w:val="clear" w:color="auto" w:fill="E1DFDD"/>
    </w:rPr>
  </w:style>
  <w:style w:type="character" w:customStyle="1" w:styleId="Heading1Char">
    <w:name w:val="Heading 1 Char"/>
    <w:basedOn w:val="DefaultParagraphFont"/>
    <w:link w:val="Heading1"/>
    <w:uiPriority w:val="9"/>
    <w:rsid w:val="005C1B09"/>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5C1B09"/>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5C1B09"/>
    <w:pPr>
      <w:numPr>
        <w:numId w:val="2"/>
      </w:numPr>
      <w:contextualSpacing/>
    </w:pPr>
    <w:rPr>
      <w:rFonts w:asciiTheme="majorHAnsi" w:hAnsiTheme="majorHAnsi"/>
      <w:bCs/>
    </w:rPr>
  </w:style>
  <w:style w:type="table" w:styleId="PlainTable1">
    <w:name w:val="Plain Table 1"/>
    <w:basedOn w:val="TableNormal"/>
    <w:uiPriority w:val="41"/>
    <w:rsid w:val="005C1B0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0">
    <w:name w:val="Unresolved Mention1"/>
    <w:basedOn w:val="DefaultParagraphFont"/>
    <w:uiPriority w:val="99"/>
    <w:semiHidden/>
    <w:unhideWhenUsed/>
    <w:rsid w:val="005C1B09"/>
    <w:rPr>
      <w:color w:val="605E5C"/>
      <w:shd w:val="clear" w:color="auto" w:fill="E1DFDD"/>
    </w:rPr>
  </w:style>
  <w:style w:type="character" w:customStyle="1" w:styleId="UnresolvedMention">
    <w:name w:val="Unresolved Mention"/>
    <w:basedOn w:val="DefaultParagraphFont"/>
    <w:uiPriority w:val="99"/>
    <w:semiHidden/>
    <w:unhideWhenUsed/>
    <w:rsid w:val="006E1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5056">
      <w:bodyDiv w:val="1"/>
      <w:marLeft w:val="0"/>
      <w:marRight w:val="0"/>
      <w:marTop w:val="0"/>
      <w:marBottom w:val="0"/>
      <w:divBdr>
        <w:top w:val="none" w:sz="0" w:space="0" w:color="auto"/>
        <w:left w:val="none" w:sz="0" w:space="0" w:color="auto"/>
        <w:bottom w:val="none" w:sz="0" w:space="0" w:color="auto"/>
        <w:right w:val="none" w:sz="0" w:space="0" w:color="auto"/>
      </w:divBdr>
    </w:div>
    <w:div w:id="71204755">
      <w:bodyDiv w:val="1"/>
      <w:marLeft w:val="0"/>
      <w:marRight w:val="0"/>
      <w:marTop w:val="0"/>
      <w:marBottom w:val="0"/>
      <w:divBdr>
        <w:top w:val="none" w:sz="0" w:space="0" w:color="auto"/>
        <w:left w:val="none" w:sz="0" w:space="0" w:color="auto"/>
        <w:bottom w:val="none" w:sz="0" w:space="0" w:color="auto"/>
        <w:right w:val="none" w:sz="0" w:space="0" w:color="auto"/>
      </w:divBdr>
    </w:div>
    <w:div w:id="128716690">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53512191">
      <w:bodyDiv w:val="1"/>
      <w:marLeft w:val="0"/>
      <w:marRight w:val="0"/>
      <w:marTop w:val="0"/>
      <w:marBottom w:val="0"/>
      <w:divBdr>
        <w:top w:val="none" w:sz="0" w:space="0" w:color="auto"/>
        <w:left w:val="none" w:sz="0" w:space="0" w:color="auto"/>
        <w:bottom w:val="none" w:sz="0" w:space="0" w:color="auto"/>
        <w:right w:val="none" w:sz="0" w:space="0" w:color="auto"/>
      </w:divBdr>
    </w:div>
    <w:div w:id="336005049">
      <w:bodyDiv w:val="1"/>
      <w:marLeft w:val="0"/>
      <w:marRight w:val="0"/>
      <w:marTop w:val="0"/>
      <w:marBottom w:val="0"/>
      <w:divBdr>
        <w:top w:val="none" w:sz="0" w:space="0" w:color="auto"/>
        <w:left w:val="none" w:sz="0" w:space="0" w:color="auto"/>
        <w:bottom w:val="none" w:sz="0" w:space="0" w:color="auto"/>
        <w:right w:val="none" w:sz="0" w:space="0" w:color="auto"/>
      </w:divBdr>
    </w:div>
    <w:div w:id="341126847">
      <w:bodyDiv w:val="1"/>
      <w:marLeft w:val="0"/>
      <w:marRight w:val="0"/>
      <w:marTop w:val="0"/>
      <w:marBottom w:val="0"/>
      <w:divBdr>
        <w:top w:val="none" w:sz="0" w:space="0" w:color="auto"/>
        <w:left w:val="none" w:sz="0" w:space="0" w:color="auto"/>
        <w:bottom w:val="none" w:sz="0" w:space="0" w:color="auto"/>
        <w:right w:val="none" w:sz="0" w:space="0" w:color="auto"/>
      </w:divBdr>
    </w:div>
    <w:div w:id="353463431">
      <w:bodyDiv w:val="1"/>
      <w:marLeft w:val="0"/>
      <w:marRight w:val="0"/>
      <w:marTop w:val="0"/>
      <w:marBottom w:val="0"/>
      <w:divBdr>
        <w:top w:val="none" w:sz="0" w:space="0" w:color="auto"/>
        <w:left w:val="none" w:sz="0" w:space="0" w:color="auto"/>
        <w:bottom w:val="none" w:sz="0" w:space="0" w:color="auto"/>
        <w:right w:val="none" w:sz="0" w:space="0" w:color="auto"/>
      </w:divBdr>
    </w:div>
    <w:div w:id="570895243">
      <w:bodyDiv w:val="1"/>
      <w:marLeft w:val="0"/>
      <w:marRight w:val="0"/>
      <w:marTop w:val="0"/>
      <w:marBottom w:val="0"/>
      <w:divBdr>
        <w:top w:val="none" w:sz="0" w:space="0" w:color="auto"/>
        <w:left w:val="none" w:sz="0" w:space="0" w:color="auto"/>
        <w:bottom w:val="none" w:sz="0" w:space="0" w:color="auto"/>
        <w:right w:val="none" w:sz="0" w:space="0" w:color="auto"/>
      </w:divBdr>
    </w:div>
    <w:div w:id="605239117">
      <w:bodyDiv w:val="1"/>
      <w:marLeft w:val="0"/>
      <w:marRight w:val="0"/>
      <w:marTop w:val="0"/>
      <w:marBottom w:val="0"/>
      <w:divBdr>
        <w:top w:val="none" w:sz="0" w:space="0" w:color="auto"/>
        <w:left w:val="none" w:sz="0" w:space="0" w:color="auto"/>
        <w:bottom w:val="none" w:sz="0" w:space="0" w:color="auto"/>
        <w:right w:val="none" w:sz="0" w:space="0" w:color="auto"/>
      </w:divBdr>
    </w:div>
    <w:div w:id="621114660">
      <w:bodyDiv w:val="1"/>
      <w:marLeft w:val="0"/>
      <w:marRight w:val="0"/>
      <w:marTop w:val="0"/>
      <w:marBottom w:val="0"/>
      <w:divBdr>
        <w:top w:val="none" w:sz="0" w:space="0" w:color="auto"/>
        <w:left w:val="none" w:sz="0" w:space="0" w:color="auto"/>
        <w:bottom w:val="none" w:sz="0" w:space="0" w:color="auto"/>
        <w:right w:val="none" w:sz="0" w:space="0" w:color="auto"/>
      </w:divBdr>
    </w:div>
    <w:div w:id="639967850">
      <w:bodyDiv w:val="1"/>
      <w:marLeft w:val="0"/>
      <w:marRight w:val="0"/>
      <w:marTop w:val="0"/>
      <w:marBottom w:val="0"/>
      <w:divBdr>
        <w:top w:val="none" w:sz="0" w:space="0" w:color="auto"/>
        <w:left w:val="none" w:sz="0" w:space="0" w:color="auto"/>
        <w:bottom w:val="none" w:sz="0" w:space="0" w:color="auto"/>
        <w:right w:val="none" w:sz="0" w:space="0" w:color="auto"/>
      </w:divBdr>
    </w:div>
    <w:div w:id="669060866">
      <w:bodyDiv w:val="1"/>
      <w:marLeft w:val="0"/>
      <w:marRight w:val="0"/>
      <w:marTop w:val="0"/>
      <w:marBottom w:val="0"/>
      <w:divBdr>
        <w:top w:val="none" w:sz="0" w:space="0" w:color="auto"/>
        <w:left w:val="none" w:sz="0" w:space="0" w:color="auto"/>
        <w:bottom w:val="none" w:sz="0" w:space="0" w:color="auto"/>
        <w:right w:val="none" w:sz="0" w:space="0" w:color="auto"/>
      </w:divBdr>
    </w:div>
    <w:div w:id="723677208">
      <w:bodyDiv w:val="1"/>
      <w:marLeft w:val="0"/>
      <w:marRight w:val="0"/>
      <w:marTop w:val="0"/>
      <w:marBottom w:val="0"/>
      <w:divBdr>
        <w:top w:val="none" w:sz="0" w:space="0" w:color="auto"/>
        <w:left w:val="none" w:sz="0" w:space="0" w:color="auto"/>
        <w:bottom w:val="none" w:sz="0" w:space="0" w:color="auto"/>
        <w:right w:val="none" w:sz="0" w:space="0" w:color="auto"/>
      </w:divBdr>
    </w:div>
    <w:div w:id="997684447">
      <w:bodyDiv w:val="1"/>
      <w:marLeft w:val="0"/>
      <w:marRight w:val="0"/>
      <w:marTop w:val="0"/>
      <w:marBottom w:val="0"/>
      <w:divBdr>
        <w:top w:val="none" w:sz="0" w:space="0" w:color="auto"/>
        <w:left w:val="none" w:sz="0" w:space="0" w:color="auto"/>
        <w:bottom w:val="none" w:sz="0" w:space="0" w:color="auto"/>
        <w:right w:val="none" w:sz="0" w:space="0" w:color="auto"/>
      </w:divBdr>
    </w:div>
    <w:div w:id="1013531611">
      <w:bodyDiv w:val="1"/>
      <w:marLeft w:val="0"/>
      <w:marRight w:val="0"/>
      <w:marTop w:val="0"/>
      <w:marBottom w:val="0"/>
      <w:divBdr>
        <w:top w:val="none" w:sz="0" w:space="0" w:color="auto"/>
        <w:left w:val="none" w:sz="0" w:space="0" w:color="auto"/>
        <w:bottom w:val="none" w:sz="0" w:space="0" w:color="auto"/>
        <w:right w:val="none" w:sz="0" w:space="0" w:color="auto"/>
      </w:divBdr>
    </w:div>
    <w:div w:id="1079794709">
      <w:bodyDiv w:val="1"/>
      <w:marLeft w:val="0"/>
      <w:marRight w:val="0"/>
      <w:marTop w:val="0"/>
      <w:marBottom w:val="0"/>
      <w:divBdr>
        <w:top w:val="none" w:sz="0" w:space="0" w:color="auto"/>
        <w:left w:val="none" w:sz="0" w:space="0" w:color="auto"/>
        <w:bottom w:val="none" w:sz="0" w:space="0" w:color="auto"/>
        <w:right w:val="none" w:sz="0" w:space="0" w:color="auto"/>
      </w:divBdr>
    </w:div>
    <w:div w:id="1151755044">
      <w:bodyDiv w:val="1"/>
      <w:marLeft w:val="0"/>
      <w:marRight w:val="0"/>
      <w:marTop w:val="0"/>
      <w:marBottom w:val="0"/>
      <w:divBdr>
        <w:top w:val="none" w:sz="0" w:space="0" w:color="auto"/>
        <w:left w:val="none" w:sz="0" w:space="0" w:color="auto"/>
        <w:bottom w:val="none" w:sz="0" w:space="0" w:color="auto"/>
        <w:right w:val="none" w:sz="0" w:space="0" w:color="auto"/>
      </w:divBdr>
    </w:div>
    <w:div w:id="1165246568">
      <w:bodyDiv w:val="1"/>
      <w:marLeft w:val="0"/>
      <w:marRight w:val="0"/>
      <w:marTop w:val="0"/>
      <w:marBottom w:val="0"/>
      <w:divBdr>
        <w:top w:val="none" w:sz="0" w:space="0" w:color="auto"/>
        <w:left w:val="none" w:sz="0" w:space="0" w:color="auto"/>
        <w:bottom w:val="none" w:sz="0" w:space="0" w:color="auto"/>
        <w:right w:val="none" w:sz="0" w:space="0" w:color="auto"/>
      </w:divBdr>
    </w:div>
    <w:div w:id="1198934897">
      <w:bodyDiv w:val="1"/>
      <w:marLeft w:val="0"/>
      <w:marRight w:val="0"/>
      <w:marTop w:val="0"/>
      <w:marBottom w:val="0"/>
      <w:divBdr>
        <w:top w:val="none" w:sz="0" w:space="0" w:color="auto"/>
        <w:left w:val="none" w:sz="0" w:space="0" w:color="auto"/>
        <w:bottom w:val="none" w:sz="0" w:space="0" w:color="auto"/>
        <w:right w:val="none" w:sz="0" w:space="0" w:color="auto"/>
      </w:divBdr>
    </w:div>
    <w:div w:id="1302539324">
      <w:bodyDiv w:val="1"/>
      <w:marLeft w:val="0"/>
      <w:marRight w:val="0"/>
      <w:marTop w:val="0"/>
      <w:marBottom w:val="0"/>
      <w:divBdr>
        <w:top w:val="none" w:sz="0" w:space="0" w:color="auto"/>
        <w:left w:val="none" w:sz="0" w:space="0" w:color="auto"/>
        <w:bottom w:val="none" w:sz="0" w:space="0" w:color="auto"/>
        <w:right w:val="none" w:sz="0" w:space="0" w:color="auto"/>
      </w:divBdr>
    </w:div>
    <w:div w:id="1336878413">
      <w:bodyDiv w:val="1"/>
      <w:marLeft w:val="0"/>
      <w:marRight w:val="0"/>
      <w:marTop w:val="0"/>
      <w:marBottom w:val="0"/>
      <w:divBdr>
        <w:top w:val="none" w:sz="0" w:space="0" w:color="auto"/>
        <w:left w:val="none" w:sz="0" w:space="0" w:color="auto"/>
        <w:bottom w:val="none" w:sz="0" w:space="0" w:color="auto"/>
        <w:right w:val="none" w:sz="0" w:space="0" w:color="auto"/>
      </w:divBdr>
    </w:div>
    <w:div w:id="1445610359">
      <w:bodyDiv w:val="1"/>
      <w:marLeft w:val="0"/>
      <w:marRight w:val="0"/>
      <w:marTop w:val="0"/>
      <w:marBottom w:val="0"/>
      <w:divBdr>
        <w:top w:val="none" w:sz="0" w:space="0" w:color="auto"/>
        <w:left w:val="none" w:sz="0" w:space="0" w:color="auto"/>
        <w:bottom w:val="none" w:sz="0" w:space="0" w:color="auto"/>
        <w:right w:val="none" w:sz="0" w:space="0" w:color="auto"/>
      </w:divBdr>
    </w:div>
    <w:div w:id="1727415641">
      <w:bodyDiv w:val="1"/>
      <w:marLeft w:val="0"/>
      <w:marRight w:val="0"/>
      <w:marTop w:val="0"/>
      <w:marBottom w:val="0"/>
      <w:divBdr>
        <w:top w:val="none" w:sz="0" w:space="0" w:color="auto"/>
        <w:left w:val="none" w:sz="0" w:space="0" w:color="auto"/>
        <w:bottom w:val="none" w:sz="0" w:space="0" w:color="auto"/>
        <w:right w:val="none" w:sz="0" w:space="0" w:color="auto"/>
      </w:divBdr>
    </w:div>
    <w:div w:id="1802764675">
      <w:bodyDiv w:val="1"/>
      <w:marLeft w:val="0"/>
      <w:marRight w:val="0"/>
      <w:marTop w:val="0"/>
      <w:marBottom w:val="0"/>
      <w:divBdr>
        <w:top w:val="none" w:sz="0" w:space="0" w:color="auto"/>
        <w:left w:val="none" w:sz="0" w:space="0" w:color="auto"/>
        <w:bottom w:val="none" w:sz="0" w:space="0" w:color="auto"/>
        <w:right w:val="none" w:sz="0" w:space="0" w:color="auto"/>
      </w:divBdr>
    </w:div>
    <w:div w:id="1818642347">
      <w:bodyDiv w:val="1"/>
      <w:marLeft w:val="0"/>
      <w:marRight w:val="0"/>
      <w:marTop w:val="0"/>
      <w:marBottom w:val="0"/>
      <w:divBdr>
        <w:top w:val="none" w:sz="0" w:space="0" w:color="auto"/>
        <w:left w:val="none" w:sz="0" w:space="0" w:color="auto"/>
        <w:bottom w:val="none" w:sz="0" w:space="0" w:color="auto"/>
        <w:right w:val="none" w:sz="0" w:space="0" w:color="auto"/>
      </w:divBdr>
    </w:div>
    <w:div w:id="1836333646">
      <w:bodyDiv w:val="1"/>
      <w:marLeft w:val="0"/>
      <w:marRight w:val="0"/>
      <w:marTop w:val="0"/>
      <w:marBottom w:val="0"/>
      <w:divBdr>
        <w:top w:val="none" w:sz="0" w:space="0" w:color="auto"/>
        <w:left w:val="none" w:sz="0" w:space="0" w:color="auto"/>
        <w:bottom w:val="none" w:sz="0" w:space="0" w:color="auto"/>
        <w:right w:val="none" w:sz="0" w:space="0" w:color="auto"/>
      </w:divBdr>
    </w:div>
    <w:div w:id="1845701630">
      <w:bodyDiv w:val="1"/>
      <w:marLeft w:val="0"/>
      <w:marRight w:val="0"/>
      <w:marTop w:val="0"/>
      <w:marBottom w:val="0"/>
      <w:divBdr>
        <w:top w:val="none" w:sz="0" w:space="0" w:color="auto"/>
        <w:left w:val="none" w:sz="0" w:space="0" w:color="auto"/>
        <w:bottom w:val="none" w:sz="0" w:space="0" w:color="auto"/>
        <w:right w:val="none" w:sz="0" w:space="0" w:color="auto"/>
      </w:divBdr>
    </w:div>
    <w:div w:id="1878590686">
      <w:bodyDiv w:val="1"/>
      <w:marLeft w:val="0"/>
      <w:marRight w:val="0"/>
      <w:marTop w:val="0"/>
      <w:marBottom w:val="0"/>
      <w:divBdr>
        <w:top w:val="none" w:sz="0" w:space="0" w:color="auto"/>
        <w:left w:val="none" w:sz="0" w:space="0" w:color="auto"/>
        <w:bottom w:val="none" w:sz="0" w:space="0" w:color="auto"/>
        <w:right w:val="none" w:sz="0" w:space="0" w:color="auto"/>
      </w:divBdr>
    </w:div>
    <w:div w:id="1914193516">
      <w:bodyDiv w:val="1"/>
      <w:marLeft w:val="0"/>
      <w:marRight w:val="0"/>
      <w:marTop w:val="0"/>
      <w:marBottom w:val="0"/>
      <w:divBdr>
        <w:top w:val="none" w:sz="0" w:space="0" w:color="auto"/>
        <w:left w:val="none" w:sz="0" w:space="0" w:color="auto"/>
        <w:bottom w:val="none" w:sz="0" w:space="0" w:color="auto"/>
        <w:right w:val="none" w:sz="0" w:space="0" w:color="auto"/>
      </w:divBdr>
    </w:div>
    <w:div w:id="1935891816">
      <w:bodyDiv w:val="1"/>
      <w:marLeft w:val="0"/>
      <w:marRight w:val="0"/>
      <w:marTop w:val="0"/>
      <w:marBottom w:val="0"/>
      <w:divBdr>
        <w:top w:val="none" w:sz="0" w:space="0" w:color="auto"/>
        <w:left w:val="none" w:sz="0" w:space="0" w:color="auto"/>
        <w:bottom w:val="none" w:sz="0" w:space="0" w:color="auto"/>
        <w:right w:val="none" w:sz="0" w:space="0" w:color="auto"/>
      </w:divBdr>
    </w:div>
    <w:div w:id="1991403017">
      <w:bodyDiv w:val="1"/>
      <w:marLeft w:val="0"/>
      <w:marRight w:val="0"/>
      <w:marTop w:val="0"/>
      <w:marBottom w:val="0"/>
      <w:divBdr>
        <w:top w:val="none" w:sz="0" w:space="0" w:color="auto"/>
        <w:left w:val="none" w:sz="0" w:space="0" w:color="auto"/>
        <w:bottom w:val="none" w:sz="0" w:space="0" w:color="auto"/>
        <w:right w:val="none" w:sz="0" w:space="0" w:color="auto"/>
      </w:divBdr>
    </w:div>
    <w:div w:id="2111967014">
      <w:bodyDiv w:val="1"/>
      <w:marLeft w:val="0"/>
      <w:marRight w:val="0"/>
      <w:marTop w:val="0"/>
      <w:marBottom w:val="0"/>
      <w:divBdr>
        <w:top w:val="none" w:sz="0" w:space="0" w:color="auto"/>
        <w:left w:val="none" w:sz="0" w:space="0" w:color="auto"/>
        <w:bottom w:val="none" w:sz="0" w:space="0" w:color="auto"/>
        <w:right w:val="none" w:sz="0" w:space="0" w:color="auto"/>
      </w:divBdr>
    </w:div>
    <w:div w:id="2135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es/document/convention-on-wetlands-monthly-status-of-assessed-contribution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es/documento/sc592022-com2-rev1-informe-del-subgrupo-de-finanzas-23-de-mayo-de-2022" TargetMode="External"/><Relationship Id="rId2" Type="http://schemas.openxmlformats.org/officeDocument/2006/relationships/hyperlink" Target="https://www.ramsar.org/es/documento/sc592022-doc82-cuestiones-financieras-y-presupuestarias-estado-de-las-contribuciones" TargetMode="External"/><Relationship Id="rId1" Type="http://schemas.openxmlformats.org/officeDocument/2006/relationships/hyperlink" Target="https://www.ramsar.org/es/documento/cop14-doc181-proyecto-de-resolucion-sobre-las-cuestiones-financieras-y-presupuestarias" TargetMode="External"/><Relationship Id="rId6" Type="http://schemas.openxmlformats.org/officeDocument/2006/relationships/hyperlink" Target="https://www.ramsar.org/es/documento/sc592022-com2-rev1-informe-del-subgrupo-de-finanzas-23-de-mayo-de-2022" TargetMode="External"/><Relationship Id="rId5" Type="http://schemas.openxmlformats.org/officeDocument/2006/relationships/hyperlink" Target="https://www.ramsar.org/es/documento/resolucion-xiii2-cuestiones-financieras-y-presupuestarias" TargetMode="External"/><Relationship Id="rId4" Type="http://schemas.openxmlformats.org/officeDocument/2006/relationships/hyperlink" Target="https://www.ramsar.org/es/documento/sc592022-doc83-escenarios-presupuestarios-para-2023-2025-y-proyecto-de-resolucion-sob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A59D1-DF64-47A6-A56D-7AB82387348C}">
  <ds:schemaRefs>
    <ds:schemaRef ds:uri="aedd258d-19a7-41ba-8260-b0918f25313d"/>
    <ds:schemaRef ds:uri="http://purl.org/dc/terms/"/>
    <ds:schemaRef ds:uri="http://purl.org/dc/elements/1.1/"/>
    <ds:schemaRef ds:uri="http://www.w3.org/XML/1998/namespace"/>
    <ds:schemaRef ds:uri="http://schemas.microsoft.com/office/2006/documentManagement/types"/>
    <ds:schemaRef ds:uri="8c0b6b05-eb82-4bda-97e8-cd82d0d6b453"/>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AE329CF-AD15-467B-83E2-FE2EC862B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34C4B3-C46C-4E9E-881B-7C8702451B66}">
  <ds:schemaRefs>
    <ds:schemaRef ds:uri="http://schemas.microsoft.com/sharepoint/v3/contenttype/forms"/>
  </ds:schemaRefs>
</ds:datastoreItem>
</file>

<file path=customXml/itemProps4.xml><?xml version="1.0" encoding="utf-8"?>
<ds:datastoreItem xmlns:ds="http://schemas.openxmlformats.org/officeDocument/2006/customXml" ds:itemID="{5EB5E01C-85A8-4BF7-A52F-13500815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15</Pages>
  <Words>5452</Words>
  <Characters>31081</Characters>
  <Application>Microsoft Office Word</Application>
  <DocSecurity>0</DocSecurity>
  <Lines>259</Lines>
  <Paragraphs>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36461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ruecker@ramsar.org</dc:creator>
  <cp:lastModifiedBy>Ed Jennings</cp:lastModifiedBy>
  <cp:revision>8</cp:revision>
  <cp:lastPrinted>2022-08-30T14:08:00Z</cp:lastPrinted>
  <dcterms:created xsi:type="dcterms:W3CDTF">2022-09-29T12:59:00Z</dcterms:created>
  <dcterms:modified xsi:type="dcterms:W3CDTF">2022-10-04T14:48:00Z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