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9B4F" w14:textId="77777777" w:rsidR="00AD57E6" w:rsidRPr="00517C51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917C5B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C188993" wp14:editId="5462CC01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C5B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3th Meeting of the Conference of the Contracting Parties</w:t>
      </w:r>
    </w:p>
    <w:p w14:paraId="2E5ED535" w14:textId="77777777" w:rsidR="00AD57E6" w:rsidRPr="00517C51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07260BE1" w14:textId="77777777" w:rsidR="00AD57E6" w:rsidRPr="00517C51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59A25E00" w14:textId="77777777" w:rsidR="00AD57E6" w:rsidRPr="00517C51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44FD06BC" w14:textId="77777777" w:rsidR="00AD57E6" w:rsidRPr="00517C51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39F820E1" w14:textId="77777777" w:rsidR="00AD57E6" w:rsidRPr="00917C5B" w:rsidRDefault="00AD57E6" w:rsidP="00AD57E6">
      <w:pPr>
        <w:snapToGri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F12359F" w14:textId="77777777" w:rsidR="00AD57E6" w:rsidRDefault="00AD57E6" w:rsidP="00AD57E6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AD57E6" w:rsidRPr="000E67F8" w14:paraId="2DFE142D" w14:textId="77777777" w:rsidTr="00724AD4">
        <w:tc>
          <w:tcPr>
            <w:tcW w:w="9360" w:type="dxa"/>
          </w:tcPr>
          <w:p w14:paraId="78A00573" w14:textId="09D1CA82" w:rsidR="00AD57E6" w:rsidRPr="000E67F8" w:rsidRDefault="00AD57E6" w:rsidP="00724AD4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Rep.</w:t>
            </w:r>
            <w:r w:rsidR="00412C31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0872F852" w14:textId="77777777" w:rsidR="00AD57E6" w:rsidRPr="00214CBC" w:rsidRDefault="00AD57E6" w:rsidP="00235415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3DAD1BA2" w14:textId="77777777" w:rsidR="00AD57E6" w:rsidRPr="00663138" w:rsidRDefault="00AD57E6" w:rsidP="00AD57E6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6CF05439" w14:textId="77777777" w:rsidR="006844A0" w:rsidRDefault="006844A0" w:rsidP="006844A0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35238C">
        <w:rPr>
          <w:b/>
          <w:sz w:val="28"/>
          <w:szCs w:val="28"/>
        </w:rPr>
        <w:t>Draft Daily Report</w:t>
      </w:r>
    </w:p>
    <w:p w14:paraId="5ADC1188" w14:textId="78581657" w:rsidR="006844A0" w:rsidRDefault="006844A0" w:rsidP="006844A0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4 – Thursday 25 October (Afternoon plenary session)</w:t>
      </w:r>
    </w:p>
    <w:p w14:paraId="1C128306" w14:textId="77777777" w:rsidR="00AA76DD" w:rsidRDefault="00AA76DD" w:rsidP="00AA76DD">
      <w:pPr>
        <w:snapToGrid w:val="0"/>
        <w:spacing w:after="0" w:line="240" w:lineRule="auto"/>
        <w:rPr>
          <w:b/>
          <w:bCs/>
        </w:rPr>
      </w:pPr>
    </w:p>
    <w:p w14:paraId="6834A38D" w14:textId="77777777" w:rsidR="006844A0" w:rsidRDefault="006844A0" w:rsidP="006844A0">
      <w:pPr>
        <w:snapToGrid w:val="0"/>
        <w:spacing w:after="0" w:line="240" w:lineRule="auto"/>
        <w:rPr>
          <w:b/>
          <w:bCs/>
        </w:rPr>
      </w:pPr>
    </w:p>
    <w:p w14:paraId="410FD6C1" w14:textId="63BF6722" w:rsidR="006844A0" w:rsidRPr="00663138" w:rsidRDefault="006844A0" w:rsidP="006844A0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</w:t>
      </w:r>
      <w:r w:rsidRPr="00663138">
        <w:rPr>
          <w:rFonts w:asciiTheme="minorHAnsi" w:hAnsiTheme="minorHAnsi" w:cstheme="minorHAnsi"/>
          <w:b/>
        </w:rPr>
        <w:t xml:space="preserve"> 2</w:t>
      </w:r>
      <w:r>
        <w:rPr>
          <w:rFonts w:asciiTheme="minorHAnsi" w:hAnsiTheme="minorHAnsi" w:cstheme="minorHAnsi"/>
          <w:b/>
        </w:rPr>
        <w:t>5</w:t>
      </w:r>
      <w:r w:rsidRPr="00663138">
        <w:rPr>
          <w:rFonts w:asciiTheme="minorHAnsi" w:hAnsiTheme="minorHAnsi" w:cstheme="minorHAnsi"/>
          <w:b/>
        </w:rPr>
        <w:t xml:space="preserve"> October 2018</w:t>
      </w:r>
    </w:p>
    <w:p w14:paraId="0B775191" w14:textId="77777777" w:rsidR="006844A0" w:rsidRDefault="006844A0" w:rsidP="006844A0">
      <w:pPr>
        <w:snapToGrid w:val="0"/>
        <w:spacing w:after="0" w:line="240" w:lineRule="auto"/>
        <w:rPr>
          <w:b/>
          <w:bCs/>
        </w:rPr>
      </w:pPr>
    </w:p>
    <w:p w14:paraId="6EE959B5" w14:textId="107FA205" w:rsidR="006844A0" w:rsidRPr="00663138" w:rsidRDefault="00412C31" w:rsidP="006844A0">
      <w:pPr>
        <w:snapToGrid w:val="0"/>
        <w:spacing w:after="0" w:line="240" w:lineRule="auto"/>
        <w:rPr>
          <w:b/>
          <w:bCs/>
        </w:rPr>
      </w:pPr>
      <w:r>
        <w:rPr>
          <w:b/>
          <w:bCs/>
        </w:rPr>
        <w:t>15.00</w:t>
      </w:r>
      <w:r w:rsidR="00D146E3">
        <w:rPr>
          <w:b/>
          <w:bCs/>
        </w:rPr>
        <w:softHyphen/>
        <w:t>–18.15</w:t>
      </w:r>
      <w:r w:rsidR="006844A0">
        <w:rPr>
          <w:b/>
          <w:bCs/>
        </w:rPr>
        <w:t xml:space="preserve"> Plenary session</w:t>
      </w:r>
    </w:p>
    <w:p w14:paraId="699A5912" w14:textId="3D5E1B63" w:rsidR="00AD57E6" w:rsidRDefault="00AD57E6" w:rsidP="00AD57E6">
      <w:pPr>
        <w:snapToGrid w:val="0"/>
        <w:spacing w:after="0" w:line="240" w:lineRule="auto"/>
        <w:rPr>
          <w:b/>
          <w:bCs/>
        </w:rPr>
      </w:pPr>
    </w:p>
    <w:p w14:paraId="5C1AC9BF" w14:textId="2334C955" w:rsidR="008B67E7" w:rsidRDefault="008B67E7" w:rsidP="008B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3"/>
        </w:tabs>
        <w:snapToGrid w:val="0"/>
        <w:spacing w:after="0" w:line="240" w:lineRule="auto"/>
        <w:rPr>
          <w:b/>
          <w:bCs/>
        </w:rPr>
      </w:pPr>
      <w:r>
        <w:rPr>
          <w:b/>
          <w:bCs/>
        </w:rPr>
        <w:t>Agenda item 15.</w:t>
      </w:r>
      <w:r w:rsidR="00412C31">
        <w:rPr>
          <w:b/>
          <w:bCs/>
        </w:rPr>
        <w:t>2</w:t>
      </w:r>
      <w:r>
        <w:rPr>
          <w:b/>
          <w:bCs/>
        </w:rPr>
        <w:t xml:space="preserve"> Wetland City Accreditation </w:t>
      </w:r>
      <w:r w:rsidR="00412C31">
        <w:rPr>
          <w:b/>
          <w:bCs/>
        </w:rPr>
        <w:t>– Presentation of certificates</w:t>
      </w:r>
    </w:p>
    <w:p w14:paraId="0ABA9CA6" w14:textId="77777777" w:rsidR="008B67E7" w:rsidRDefault="008B67E7" w:rsidP="006844A0">
      <w:pPr>
        <w:snapToGrid w:val="0"/>
        <w:spacing w:after="0" w:line="240" w:lineRule="auto"/>
        <w:ind w:left="425" w:hanging="425"/>
        <w:rPr>
          <w:b/>
          <w:bCs/>
        </w:rPr>
      </w:pPr>
    </w:p>
    <w:p w14:paraId="7A2A5E1D" w14:textId="1BA63D13" w:rsidR="00412C31" w:rsidRDefault="006844A0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412C31">
        <w:rPr>
          <w:bCs/>
        </w:rPr>
        <w:t xml:space="preserve">The </w:t>
      </w:r>
      <w:r w:rsidR="00412C31">
        <w:rPr>
          <w:b/>
          <w:bCs/>
        </w:rPr>
        <w:t xml:space="preserve">Secretary General </w:t>
      </w:r>
      <w:r w:rsidR="00412C31">
        <w:rPr>
          <w:bCs/>
        </w:rPr>
        <w:t xml:space="preserve">presented certificates to representatives of the </w:t>
      </w:r>
      <w:r w:rsidR="00D90FB9">
        <w:rPr>
          <w:bCs/>
        </w:rPr>
        <w:t xml:space="preserve">accredited </w:t>
      </w:r>
      <w:r w:rsidR="00412C31">
        <w:rPr>
          <w:bCs/>
        </w:rPr>
        <w:t xml:space="preserve">cities to </w:t>
      </w:r>
      <w:r w:rsidR="00D146E3">
        <w:rPr>
          <w:bCs/>
        </w:rPr>
        <w:t>enthusiastic</w:t>
      </w:r>
      <w:r w:rsidR="00412C31">
        <w:rPr>
          <w:bCs/>
        </w:rPr>
        <w:t xml:space="preserve"> applause.</w:t>
      </w:r>
    </w:p>
    <w:p w14:paraId="69D45671" w14:textId="77777777" w:rsidR="00807682" w:rsidRPr="00974B2F" w:rsidRDefault="00807682" w:rsidP="00807682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12052A8F" w14:textId="77777777" w:rsidR="00807682" w:rsidRPr="002C17A8" w:rsidRDefault="00807682" w:rsidP="0080768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</w:rPr>
      </w:pPr>
      <w:r w:rsidRPr="00663138">
        <w:rPr>
          <w:rFonts w:cs="Calibri"/>
          <w:b/>
          <w:bCs/>
        </w:rPr>
        <w:t xml:space="preserve">Agenda item </w:t>
      </w:r>
      <w:r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Consideration of the draft resolutions and recommendations submitted by Contracting Parties and the Standing Committee</w:t>
      </w:r>
      <w:r>
        <w:rPr>
          <w:b/>
          <w:bCs/>
        </w:rPr>
        <w:t xml:space="preserve"> </w:t>
      </w:r>
      <w:r w:rsidRPr="002C17A8">
        <w:rPr>
          <w:bCs/>
        </w:rPr>
        <w:t>(continued)</w:t>
      </w:r>
    </w:p>
    <w:p w14:paraId="379CE874" w14:textId="77777777" w:rsidR="00412C31" w:rsidRDefault="00412C31" w:rsidP="00412C31">
      <w:pPr>
        <w:tabs>
          <w:tab w:val="left" w:pos="1403"/>
        </w:tabs>
        <w:snapToGrid w:val="0"/>
        <w:spacing w:after="0" w:line="240" w:lineRule="auto"/>
        <w:rPr>
          <w:bCs/>
        </w:rPr>
      </w:pPr>
    </w:p>
    <w:p w14:paraId="198E77FE" w14:textId="6A0626EA" w:rsidR="00412C31" w:rsidRDefault="00807682" w:rsidP="004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3"/>
        </w:tabs>
        <w:snapToGrid w:val="0"/>
        <w:spacing w:after="0" w:line="240" w:lineRule="auto"/>
        <w:rPr>
          <w:b/>
          <w:bCs/>
        </w:rPr>
      </w:pPr>
      <w:r>
        <w:rPr>
          <w:b/>
          <w:bCs/>
        </w:rPr>
        <w:t>18.13 Draft Resolution on guidance on identifying Wetlands of International importance (Ramsar Sites) for global climate change regulation as an additional argument to existing criteria</w:t>
      </w:r>
    </w:p>
    <w:p w14:paraId="585B088A" w14:textId="77777777" w:rsidR="00412C31" w:rsidRDefault="00412C31" w:rsidP="008B67E7">
      <w:pPr>
        <w:tabs>
          <w:tab w:val="left" w:pos="1403"/>
        </w:tabs>
        <w:snapToGrid w:val="0"/>
        <w:spacing w:after="0" w:line="240" w:lineRule="auto"/>
        <w:rPr>
          <w:bCs/>
        </w:rPr>
      </w:pPr>
    </w:p>
    <w:p w14:paraId="098D17C8" w14:textId="60EB1064" w:rsidR="00412C31" w:rsidRDefault="006844A0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807682">
        <w:rPr>
          <w:bCs/>
        </w:rPr>
        <w:t xml:space="preserve">The </w:t>
      </w:r>
      <w:r w:rsidR="00807682">
        <w:rPr>
          <w:b/>
          <w:bCs/>
        </w:rPr>
        <w:t>Chair of the S</w:t>
      </w:r>
      <w:r w:rsidR="00D90FB9">
        <w:rPr>
          <w:b/>
          <w:bCs/>
        </w:rPr>
        <w:t>cien</w:t>
      </w:r>
      <w:r w:rsidR="000060B3">
        <w:rPr>
          <w:b/>
          <w:bCs/>
        </w:rPr>
        <w:t>tific</w:t>
      </w:r>
      <w:r w:rsidR="00D90FB9">
        <w:rPr>
          <w:b/>
          <w:bCs/>
        </w:rPr>
        <w:t xml:space="preserve"> and </w:t>
      </w:r>
      <w:r w:rsidR="00807682">
        <w:rPr>
          <w:b/>
          <w:bCs/>
        </w:rPr>
        <w:t>T</w:t>
      </w:r>
      <w:r w:rsidR="00D90FB9">
        <w:rPr>
          <w:b/>
          <w:bCs/>
        </w:rPr>
        <w:t xml:space="preserve">echnical </w:t>
      </w:r>
      <w:r w:rsidR="00807682">
        <w:rPr>
          <w:b/>
          <w:bCs/>
        </w:rPr>
        <w:t>R</w:t>
      </w:r>
      <w:r w:rsidR="00D90FB9">
        <w:rPr>
          <w:b/>
          <w:bCs/>
        </w:rPr>
        <w:t xml:space="preserve">eview </w:t>
      </w:r>
      <w:r w:rsidR="00807682">
        <w:rPr>
          <w:b/>
          <w:bCs/>
        </w:rPr>
        <w:t>P</w:t>
      </w:r>
      <w:r w:rsidR="00D90FB9">
        <w:rPr>
          <w:b/>
          <w:bCs/>
        </w:rPr>
        <w:t xml:space="preserve">anel </w:t>
      </w:r>
      <w:r w:rsidR="00D90FB9" w:rsidRPr="00D90FB9">
        <w:rPr>
          <w:bCs/>
        </w:rPr>
        <w:t>(</w:t>
      </w:r>
      <w:r w:rsidR="00D90FB9">
        <w:rPr>
          <w:bCs/>
        </w:rPr>
        <w:t>STRP)</w:t>
      </w:r>
      <w:r w:rsidR="00807682">
        <w:rPr>
          <w:bCs/>
        </w:rPr>
        <w:t xml:space="preserve"> introduced the draft resolution in document COP13 Doc.18.13</w:t>
      </w:r>
    </w:p>
    <w:p w14:paraId="0EC663F1" w14:textId="6BF4D8E2" w:rsidR="00807682" w:rsidRDefault="00807682" w:rsidP="006844A0">
      <w:pPr>
        <w:snapToGrid w:val="0"/>
        <w:spacing w:after="0" w:line="240" w:lineRule="auto"/>
        <w:ind w:left="425" w:hanging="425"/>
        <w:rPr>
          <w:bCs/>
        </w:rPr>
      </w:pPr>
    </w:p>
    <w:p w14:paraId="2B31491E" w14:textId="32943F3F" w:rsidR="00807682" w:rsidRPr="00A03BE6" w:rsidRDefault="006844A0" w:rsidP="006844A0">
      <w:pPr>
        <w:snapToGrid w:val="0"/>
        <w:spacing w:after="0" w:line="240" w:lineRule="auto"/>
        <w:ind w:left="425" w:hanging="425"/>
        <w:rPr>
          <w:b/>
          <w:bCs/>
        </w:rPr>
      </w:pPr>
      <w:r>
        <w:rPr>
          <w:bCs/>
        </w:rPr>
        <w:t>3.</w:t>
      </w:r>
      <w:r>
        <w:rPr>
          <w:bCs/>
        </w:rPr>
        <w:tab/>
      </w:r>
      <w:r w:rsidR="00A03BE6">
        <w:rPr>
          <w:bCs/>
        </w:rPr>
        <w:t xml:space="preserve">Interventions in support of the draft resolution but requesting some specific amendments were made by </w:t>
      </w:r>
      <w:r w:rsidR="00807682">
        <w:rPr>
          <w:b/>
          <w:bCs/>
        </w:rPr>
        <w:t>Belarus</w:t>
      </w:r>
      <w:r w:rsidR="00807682" w:rsidRPr="00807682">
        <w:rPr>
          <w:bCs/>
        </w:rPr>
        <w:t>,</w:t>
      </w:r>
      <w:r w:rsidR="00807682">
        <w:rPr>
          <w:b/>
          <w:bCs/>
        </w:rPr>
        <w:t xml:space="preserve"> Bolivia</w:t>
      </w:r>
      <w:r w:rsidR="00A03BE6">
        <w:rPr>
          <w:b/>
          <w:bCs/>
        </w:rPr>
        <w:t xml:space="preserve"> </w:t>
      </w:r>
      <w:r w:rsidR="00A03BE6" w:rsidRPr="00A03BE6">
        <w:rPr>
          <w:bCs/>
        </w:rPr>
        <w:t>(</w:t>
      </w:r>
      <w:r w:rsidR="00A03BE6">
        <w:rPr>
          <w:b/>
          <w:bCs/>
        </w:rPr>
        <w:t>Plurinational State of</w:t>
      </w:r>
      <w:r w:rsidR="00A03BE6" w:rsidRPr="00A03BE6">
        <w:rPr>
          <w:bCs/>
        </w:rPr>
        <w:t>)</w:t>
      </w:r>
      <w:r w:rsidR="00807682">
        <w:rPr>
          <w:bCs/>
        </w:rPr>
        <w:t>,</w:t>
      </w:r>
      <w:r w:rsidR="00807682">
        <w:rPr>
          <w:b/>
          <w:bCs/>
        </w:rPr>
        <w:t xml:space="preserve"> Canada</w:t>
      </w:r>
      <w:r w:rsidR="00807682">
        <w:rPr>
          <w:bCs/>
        </w:rPr>
        <w:t>,</w:t>
      </w:r>
      <w:r w:rsidR="00807682">
        <w:rPr>
          <w:b/>
          <w:bCs/>
        </w:rPr>
        <w:t xml:space="preserve"> </w:t>
      </w:r>
      <w:r w:rsidR="00592BBC">
        <w:rPr>
          <w:b/>
          <w:bCs/>
        </w:rPr>
        <w:t>Colombia</w:t>
      </w:r>
      <w:r w:rsidR="00592BBC">
        <w:rPr>
          <w:bCs/>
        </w:rPr>
        <w:t>,</w:t>
      </w:r>
      <w:r w:rsidR="00592BBC">
        <w:rPr>
          <w:b/>
          <w:bCs/>
        </w:rPr>
        <w:t xml:space="preserve"> </w:t>
      </w:r>
      <w:r w:rsidR="00807682">
        <w:rPr>
          <w:b/>
          <w:bCs/>
        </w:rPr>
        <w:t>Costa Rica</w:t>
      </w:r>
      <w:r w:rsidR="00807682">
        <w:rPr>
          <w:bCs/>
        </w:rPr>
        <w:t xml:space="preserve">, </w:t>
      </w:r>
      <w:r w:rsidR="00592BBC">
        <w:rPr>
          <w:b/>
          <w:bCs/>
        </w:rPr>
        <w:t>Dominican Republic</w:t>
      </w:r>
      <w:r w:rsidR="00592BBC">
        <w:rPr>
          <w:bCs/>
        </w:rPr>
        <w:t xml:space="preserve">, </w:t>
      </w:r>
      <w:r w:rsidR="00592BBC" w:rsidRPr="00592BBC">
        <w:rPr>
          <w:b/>
          <w:bCs/>
        </w:rPr>
        <w:t>Ecuador</w:t>
      </w:r>
      <w:r w:rsidR="00592BBC">
        <w:rPr>
          <w:bCs/>
        </w:rPr>
        <w:t xml:space="preserve">, </w:t>
      </w:r>
      <w:r w:rsidR="00592BBC">
        <w:rPr>
          <w:b/>
          <w:bCs/>
        </w:rPr>
        <w:t>Germany</w:t>
      </w:r>
      <w:r w:rsidR="00592BBC">
        <w:rPr>
          <w:bCs/>
        </w:rPr>
        <w:t xml:space="preserve"> on behalf of the Member States of the European Union, </w:t>
      </w:r>
      <w:r w:rsidR="00A03BE6">
        <w:rPr>
          <w:b/>
          <w:bCs/>
        </w:rPr>
        <w:t>Malaysia</w:t>
      </w:r>
      <w:r w:rsidR="00A03BE6">
        <w:rPr>
          <w:bCs/>
        </w:rPr>
        <w:t xml:space="preserve">, </w:t>
      </w:r>
      <w:r w:rsidR="00A03BE6">
        <w:rPr>
          <w:b/>
          <w:bCs/>
        </w:rPr>
        <w:t>Philippines</w:t>
      </w:r>
      <w:r w:rsidR="00A03BE6">
        <w:rPr>
          <w:bCs/>
        </w:rPr>
        <w:t xml:space="preserve">, </w:t>
      </w:r>
      <w:r w:rsidR="00025E74">
        <w:rPr>
          <w:b/>
          <w:bCs/>
        </w:rPr>
        <w:t>South Africa</w:t>
      </w:r>
      <w:r w:rsidR="00025E74">
        <w:rPr>
          <w:bCs/>
        </w:rPr>
        <w:t xml:space="preserve">, the </w:t>
      </w:r>
      <w:r w:rsidR="00025E74" w:rsidRPr="00025E74">
        <w:rPr>
          <w:b/>
          <w:bCs/>
        </w:rPr>
        <w:t>United States of America</w:t>
      </w:r>
      <w:r w:rsidR="00B1563A" w:rsidRPr="00B1563A">
        <w:rPr>
          <w:bCs/>
        </w:rPr>
        <w:t>,</w:t>
      </w:r>
      <w:r w:rsidR="00025E74">
        <w:rPr>
          <w:bCs/>
        </w:rPr>
        <w:t xml:space="preserve"> and </w:t>
      </w:r>
      <w:r w:rsidR="00A03BE6">
        <w:rPr>
          <w:b/>
          <w:bCs/>
        </w:rPr>
        <w:t>Uruguay</w:t>
      </w:r>
      <w:r w:rsidR="00025E74">
        <w:rPr>
          <w:bCs/>
        </w:rPr>
        <w:t xml:space="preserve">, as well as </w:t>
      </w:r>
      <w:r w:rsidR="00D146E3">
        <w:rPr>
          <w:bCs/>
        </w:rPr>
        <w:t xml:space="preserve">the observers from </w:t>
      </w:r>
      <w:r w:rsidR="00683CC9">
        <w:rPr>
          <w:bCs/>
        </w:rPr>
        <w:t xml:space="preserve">the </w:t>
      </w:r>
      <w:r w:rsidR="00683CC9" w:rsidRPr="00A03BE6">
        <w:rPr>
          <w:b/>
          <w:bCs/>
        </w:rPr>
        <w:t>Food and Agriculture Organization of the United Nations (FAO)</w:t>
      </w:r>
      <w:r w:rsidR="00683CC9">
        <w:rPr>
          <w:b/>
          <w:bCs/>
        </w:rPr>
        <w:t xml:space="preserve"> </w:t>
      </w:r>
      <w:r w:rsidR="00683CC9">
        <w:rPr>
          <w:bCs/>
        </w:rPr>
        <w:t xml:space="preserve">and </w:t>
      </w:r>
      <w:r w:rsidR="00A03BE6">
        <w:rPr>
          <w:bCs/>
        </w:rPr>
        <w:t xml:space="preserve">the </w:t>
      </w:r>
      <w:r w:rsidR="00A03BE6">
        <w:rPr>
          <w:b/>
          <w:bCs/>
        </w:rPr>
        <w:t>China Biodiversity Conservation and Green Development Foundation</w:t>
      </w:r>
      <w:r w:rsidR="00A03BE6">
        <w:rPr>
          <w:bCs/>
        </w:rPr>
        <w:t>.</w:t>
      </w:r>
      <w:r w:rsidR="00A03BE6" w:rsidRPr="00A03BE6">
        <w:rPr>
          <w:b/>
          <w:bCs/>
        </w:rPr>
        <w:t xml:space="preserve"> </w:t>
      </w:r>
    </w:p>
    <w:p w14:paraId="57F76211" w14:textId="17374D0C" w:rsidR="00807682" w:rsidRDefault="00807682" w:rsidP="006844A0">
      <w:pPr>
        <w:snapToGrid w:val="0"/>
        <w:spacing w:after="0" w:line="240" w:lineRule="auto"/>
        <w:ind w:left="425" w:hanging="425"/>
        <w:rPr>
          <w:b/>
          <w:bCs/>
        </w:rPr>
      </w:pPr>
    </w:p>
    <w:p w14:paraId="4EF9944D" w14:textId="78D66F82" w:rsidR="00B012DC" w:rsidRDefault="006844A0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B012DC">
        <w:rPr>
          <w:rFonts w:asciiTheme="minorHAnsi" w:hAnsiTheme="minorHAnsi" w:cstheme="minorHAnsi"/>
        </w:rPr>
        <w:t xml:space="preserve">The </w:t>
      </w:r>
      <w:r w:rsidR="00B012DC">
        <w:rPr>
          <w:rFonts w:asciiTheme="minorHAnsi" w:hAnsiTheme="minorHAnsi" w:cstheme="minorHAnsi"/>
          <w:b/>
        </w:rPr>
        <w:t>President</w:t>
      </w:r>
      <w:r w:rsidR="00B012DC">
        <w:rPr>
          <w:rFonts w:asciiTheme="minorHAnsi" w:hAnsiTheme="minorHAnsi" w:cstheme="minorHAnsi"/>
        </w:rPr>
        <w:t xml:space="preserve"> asked all those with proposed amendments to forward these to the Secretariat and asked Germany to co-ordinate the production of a revised draft resolution for consideration later in the meeting.</w:t>
      </w:r>
    </w:p>
    <w:p w14:paraId="25179320" w14:textId="77777777" w:rsidR="003959FB" w:rsidRDefault="003959FB" w:rsidP="003959FB">
      <w:pPr>
        <w:snapToGrid w:val="0"/>
        <w:spacing w:after="0" w:line="240" w:lineRule="auto"/>
        <w:ind w:left="426"/>
        <w:jc w:val="both"/>
        <w:rPr>
          <w:bCs/>
        </w:rPr>
      </w:pPr>
    </w:p>
    <w:p w14:paraId="1473F457" w14:textId="77777777" w:rsidR="003959FB" w:rsidRPr="00BE6F68" w:rsidRDefault="003959FB" w:rsidP="00E8597B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>
        <w:rPr>
          <w:b/>
          <w:bCs/>
        </w:rPr>
        <w:t>14</w:t>
      </w:r>
      <w:r w:rsidRPr="00BE6F68">
        <w:rPr>
          <w:b/>
          <w:bCs/>
        </w:rPr>
        <w:t xml:space="preserve"> </w:t>
      </w:r>
      <w:r w:rsidRPr="003959FB">
        <w:rPr>
          <w:b/>
          <w:bCs/>
        </w:rPr>
        <w:t>Draft resolution on restoration of degraded peatlands to mitigate and adapt to climate change and enhance biodiversity</w:t>
      </w:r>
    </w:p>
    <w:p w14:paraId="3F716C8C" w14:textId="77777777" w:rsidR="003959FB" w:rsidRDefault="003959FB" w:rsidP="00E8597B">
      <w:pPr>
        <w:keepNext/>
        <w:snapToGrid w:val="0"/>
        <w:spacing w:after="0" w:line="240" w:lineRule="auto"/>
        <w:ind w:left="426"/>
        <w:jc w:val="both"/>
        <w:rPr>
          <w:bCs/>
        </w:rPr>
      </w:pPr>
    </w:p>
    <w:p w14:paraId="7D5E0083" w14:textId="3CDD2613" w:rsidR="003959FB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3959FB">
        <w:rPr>
          <w:bCs/>
        </w:rPr>
        <w:t>A representative of the Scientific and Technical Review Panel (</w:t>
      </w:r>
      <w:r w:rsidR="003959FB" w:rsidRPr="00DC2915">
        <w:rPr>
          <w:b/>
          <w:bCs/>
        </w:rPr>
        <w:t>Germany</w:t>
      </w:r>
      <w:r w:rsidR="003959FB">
        <w:rPr>
          <w:bCs/>
        </w:rPr>
        <w:t>) introduced the draft resolution in document COP13 Doc.18.14.</w:t>
      </w:r>
    </w:p>
    <w:p w14:paraId="1A4690A3" w14:textId="77777777" w:rsidR="003959FB" w:rsidRPr="00B1563A" w:rsidRDefault="003959FB" w:rsidP="006844A0">
      <w:pPr>
        <w:snapToGrid w:val="0"/>
        <w:spacing w:after="0" w:line="240" w:lineRule="auto"/>
        <w:ind w:left="425" w:hanging="425"/>
        <w:rPr>
          <w:bCs/>
        </w:rPr>
      </w:pPr>
    </w:p>
    <w:p w14:paraId="20277830" w14:textId="3E903680" w:rsidR="003959FB" w:rsidRPr="000B6A96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b/>
        </w:rPr>
      </w:pPr>
      <w:r w:rsidRPr="00B1563A">
        <w:rPr>
          <w:bCs/>
        </w:rPr>
        <w:t>6.</w:t>
      </w:r>
      <w:r w:rsidRPr="00B1563A">
        <w:rPr>
          <w:bCs/>
        </w:rPr>
        <w:tab/>
      </w:r>
      <w:r w:rsidR="003959FB" w:rsidRPr="002C7AC2">
        <w:rPr>
          <w:b/>
          <w:bCs/>
        </w:rPr>
        <w:t>Belarus</w:t>
      </w:r>
      <w:r w:rsidR="003959FB">
        <w:rPr>
          <w:bCs/>
        </w:rPr>
        <w:t xml:space="preserve">, </w:t>
      </w:r>
      <w:r w:rsidR="003959FB" w:rsidRPr="002C7AC2">
        <w:rPr>
          <w:b/>
          <w:bCs/>
        </w:rPr>
        <w:t>Canada</w:t>
      </w:r>
      <w:r w:rsidR="003959FB">
        <w:rPr>
          <w:bCs/>
        </w:rPr>
        <w:t xml:space="preserve">, </w:t>
      </w:r>
      <w:r w:rsidR="003959FB" w:rsidRPr="002C7AC2">
        <w:rPr>
          <w:b/>
          <w:bCs/>
        </w:rPr>
        <w:t>Germany</w:t>
      </w:r>
      <w:r w:rsidR="003959FB">
        <w:rPr>
          <w:bCs/>
        </w:rPr>
        <w:t xml:space="preserve"> on behalf of the Member States of the European Union, </w:t>
      </w:r>
      <w:r w:rsidR="003959FB" w:rsidRPr="002C7AC2">
        <w:rPr>
          <w:b/>
          <w:bCs/>
        </w:rPr>
        <w:t>Mongolia</w:t>
      </w:r>
      <w:r w:rsidR="003959FB">
        <w:rPr>
          <w:bCs/>
        </w:rPr>
        <w:t>,</w:t>
      </w:r>
      <w:r w:rsidR="000B6A96">
        <w:rPr>
          <w:bCs/>
        </w:rPr>
        <w:t xml:space="preserve"> </w:t>
      </w:r>
      <w:r w:rsidR="000B6A96" w:rsidRPr="000B6A96">
        <w:rPr>
          <w:b/>
          <w:bCs/>
        </w:rPr>
        <w:t>New Zealand</w:t>
      </w:r>
      <w:r w:rsidR="000B6A96">
        <w:rPr>
          <w:bCs/>
        </w:rPr>
        <w:t>,</w:t>
      </w:r>
      <w:r w:rsidR="003959FB">
        <w:rPr>
          <w:bCs/>
        </w:rPr>
        <w:t xml:space="preserve"> </w:t>
      </w:r>
      <w:r w:rsidR="003959FB" w:rsidRPr="002C7AC2">
        <w:rPr>
          <w:b/>
          <w:bCs/>
        </w:rPr>
        <w:t>South Africa</w:t>
      </w:r>
      <w:r w:rsidR="003959FB">
        <w:rPr>
          <w:bCs/>
        </w:rPr>
        <w:t xml:space="preserve"> on behalf of the Africa region,</w:t>
      </w:r>
      <w:r w:rsidR="009973C3">
        <w:rPr>
          <w:bCs/>
        </w:rPr>
        <w:t xml:space="preserve"> the</w:t>
      </w:r>
      <w:r w:rsidR="003959FB">
        <w:rPr>
          <w:bCs/>
        </w:rPr>
        <w:t xml:space="preserve"> </w:t>
      </w:r>
      <w:r w:rsidR="003959FB">
        <w:rPr>
          <w:b/>
          <w:bCs/>
        </w:rPr>
        <w:t>Philippines</w:t>
      </w:r>
      <w:r w:rsidR="000B6A96">
        <w:rPr>
          <w:b/>
          <w:bCs/>
        </w:rPr>
        <w:t xml:space="preserve"> </w:t>
      </w:r>
      <w:r w:rsidR="000B6A96">
        <w:rPr>
          <w:bCs/>
        </w:rPr>
        <w:t>and the</w:t>
      </w:r>
      <w:r w:rsidR="003959FB">
        <w:rPr>
          <w:b/>
          <w:bCs/>
        </w:rPr>
        <w:t xml:space="preserve"> </w:t>
      </w:r>
      <w:r w:rsidR="003959FB" w:rsidRPr="002C7AC2">
        <w:rPr>
          <w:b/>
          <w:bCs/>
        </w:rPr>
        <w:t>United States of America</w:t>
      </w:r>
      <w:r w:rsidR="000B6A96">
        <w:rPr>
          <w:bCs/>
        </w:rPr>
        <w:t>, as well as</w:t>
      </w:r>
      <w:r w:rsidR="003959FB">
        <w:rPr>
          <w:bCs/>
        </w:rPr>
        <w:t xml:space="preserve"> the </w:t>
      </w:r>
      <w:r w:rsidR="003959FB">
        <w:rPr>
          <w:rFonts w:asciiTheme="minorHAnsi" w:hAnsiTheme="minorHAnsi" w:cstheme="minorHAnsi"/>
        </w:rPr>
        <w:t>observer from</w:t>
      </w:r>
      <w:r w:rsidR="003959FB" w:rsidRPr="00BA7A7C">
        <w:rPr>
          <w:rFonts w:asciiTheme="minorHAnsi" w:hAnsiTheme="minorHAnsi" w:cstheme="minorHAnsi"/>
        </w:rPr>
        <w:t xml:space="preserve"> </w:t>
      </w:r>
      <w:r w:rsidR="003959FB" w:rsidRPr="00BA7A7C">
        <w:rPr>
          <w:rFonts w:asciiTheme="minorHAnsi" w:hAnsiTheme="minorHAnsi" w:cstheme="minorHAnsi"/>
          <w:b/>
        </w:rPr>
        <w:t>FAO</w:t>
      </w:r>
      <w:r w:rsidR="003959FB">
        <w:rPr>
          <w:rFonts w:asciiTheme="minorHAnsi" w:hAnsiTheme="minorHAnsi" w:cstheme="minorHAnsi"/>
          <w:b/>
        </w:rPr>
        <w:t xml:space="preserve"> </w:t>
      </w:r>
      <w:r w:rsidR="003959FB">
        <w:rPr>
          <w:rFonts w:asciiTheme="minorHAnsi" w:hAnsiTheme="minorHAnsi" w:cstheme="minorHAnsi"/>
        </w:rPr>
        <w:t>supported the draft resolution, also proposing minor amendments.</w:t>
      </w:r>
    </w:p>
    <w:p w14:paraId="253A7B0B" w14:textId="77777777" w:rsidR="003959FB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4F8F11EA" w14:textId="6E1D0A97" w:rsidR="003959FB" w:rsidRPr="009855FD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3959FB">
        <w:rPr>
          <w:rFonts w:asciiTheme="minorHAnsi" w:hAnsiTheme="minorHAnsi" w:cstheme="minorHAnsi"/>
        </w:rPr>
        <w:t xml:space="preserve">The </w:t>
      </w:r>
      <w:r w:rsidR="003959FB">
        <w:rPr>
          <w:rFonts w:asciiTheme="minorHAnsi" w:hAnsiTheme="minorHAnsi" w:cstheme="minorHAnsi"/>
          <w:b/>
        </w:rPr>
        <w:t>President</w:t>
      </w:r>
      <w:r w:rsidR="003959FB">
        <w:rPr>
          <w:rFonts w:asciiTheme="minorHAnsi" w:hAnsiTheme="minorHAnsi" w:cstheme="minorHAnsi"/>
        </w:rPr>
        <w:t xml:space="preserve"> asked all those with proposed amendments to forward these to the Secretariat and asked Austria to co-ordinate the production of a revised draft resolution for consideration later in the meeting.</w:t>
      </w:r>
    </w:p>
    <w:p w14:paraId="3EAF0B56" w14:textId="77777777" w:rsidR="003959FB" w:rsidRDefault="003959FB" w:rsidP="003959FB">
      <w:pPr>
        <w:snapToGrid w:val="0"/>
        <w:spacing w:after="0" w:line="240" w:lineRule="auto"/>
        <w:ind w:left="426"/>
        <w:jc w:val="both"/>
        <w:rPr>
          <w:bCs/>
        </w:rPr>
      </w:pPr>
    </w:p>
    <w:p w14:paraId="5C52A71A" w14:textId="77777777" w:rsidR="003959FB" w:rsidRPr="00BE6F68" w:rsidRDefault="003959FB" w:rsidP="003959FB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>
        <w:rPr>
          <w:b/>
          <w:bCs/>
        </w:rPr>
        <w:t>15</w:t>
      </w:r>
      <w:r w:rsidRPr="00BE6F68">
        <w:rPr>
          <w:b/>
          <w:bCs/>
        </w:rPr>
        <w:t xml:space="preserve"> </w:t>
      </w:r>
      <w:r w:rsidRPr="003959FB">
        <w:rPr>
          <w:b/>
          <w:bCs/>
        </w:rPr>
        <w:t>Draft resolution on promoting conservation, restoration and sustainable management of coastal blue carbon ecosystems</w:t>
      </w:r>
    </w:p>
    <w:p w14:paraId="69E16782" w14:textId="77777777" w:rsidR="003959FB" w:rsidRPr="00B1563A" w:rsidRDefault="003959FB" w:rsidP="003959FB">
      <w:pPr>
        <w:snapToGrid w:val="0"/>
        <w:spacing w:after="0" w:line="240" w:lineRule="auto"/>
        <w:ind w:left="426"/>
        <w:jc w:val="both"/>
        <w:rPr>
          <w:bCs/>
        </w:rPr>
      </w:pPr>
    </w:p>
    <w:p w14:paraId="074CE8FB" w14:textId="44CB212E" w:rsidR="003959FB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 w:rsidRPr="00B1563A">
        <w:rPr>
          <w:bCs/>
        </w:rPr>
        <w:t>8.</w:t>
      </w:r>
      <w:r w:rsidRPr="00B1563A">
        <w:rPr>
          <w:bCs/>
        </w:rPr>
        <w:tab/>
      </w:r>
      <w:r w:rsidR="003959FB" w:rsidRPr="00D56E52">
        <w:rPr>
          <w:b/>
          <w:bCs/>
        </w:rPr>
        <w:t>Australia</w:t>
      </w:r>
      <w:r w:rsidR="003959FB">
        <w:rPr>
          <w:bCs/>
        </w:rPr>
        <w:t xml:space="preserve"> introduced the draft resolution in document COP13 Doc.18.15.</w:t>
      </w:r>
    </w:p>
    <w:p w14:paraId="2C92973D" w14:textId="77777777" w:rsidR="003959FB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0EC0BF87" w14:textId="7610454D" w:rsidR="003959FB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 w:rsidR="00B012DC">
        <w:rPr>
          <w:rFonts w:asciiTheme="minorHAnsi" w:hAnsiTheme="minorHAnsi" w:cstheme="minorHAnsi"/>
        </w:rPr>
        <w:t xml:space="preserve">Interventions were made by </w:t>
      </w:r>
      <w:r w:rsidR="003959FB" w:rsidRPr="00BA7A7C">
        <w:rPr>
          <w:rFonts w:asciiTheme="minorHAnsi" w:hAnsiTheme="minorHAnsi" w:cstheme="minorHAnsi"/>
          <w:b/>
        </w:rPr>
        <w:t>Algeria</w:t>
      </w:r>
      <w:r w:rsidR="003959FB">
        <w:rPr>
          <w:rFonts w:asciiTheme="minorHAnsi" w:hAnsiTheme="minorHAnsi" w:cstheme="minorHAnsi"/>
        </w:rPr>
        <w:t xml:space="preserve"> on behalf of the Africa region</w:t>
      </w:r>
      <w:r w:rsidR="003959FB" w:rsidRPr="00BA7A7C">
        <w:rPr>
          <w:rFonts w:asciiTheme="minorHAnsi" w:hAnsiTheme="minorHAnsi" w:cstheme="minorHAnsi"/>
          <w:b/>
        </w:rPr>
        <w:t>, Argentina, Austria</w:t>
      </w:r>
      <w:r w:rsidR="003959FB">
        <w:rPr>
          <w:rFonts w:asciiTheme="minorHAnsi" w:hAnsiTheme="minorHAnsi" w:cstheme="minorHAnsi"/>
        </w:rPr>
        <w:t xml:space="preserve"> on behalf of the Member States of the European Union, </w:t>
      </w:r>
      <w:r w:rsidR="003959FB" w:rsidRPr="00BA7A7C">
        <w:rPr>
          <w:rFonts w:asciiTheme="minorHAnsi" w:hAnsiTheme="minorHAnsi" w:cstheme="minorHAnsi"/>
          <w:b/>
        </w:rPr>
        <w:t>Bahrain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Bolivia (Plurinational State of)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Brazil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Canada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China</w:t>
      </w:r>
      <w:r w:rsidR="003959FB" w:rsidRPr="00B012DC">
        <w:rPr>
          <w:rFonts w:asciiTheme="minorHAnsi" w:hAnsiTheme="minorHAnsi" w:cstheme="minorHAnsi"/>
        </w:rPr>
        <w:t xml:space="preserve">, </w:t>
      </w:r>
      <w:r w:rsidR="003959FB" w:rsidRPr="00BA7A7C">
        <w:rPr>
          <w:rFonts w:asciiTheme="minorHAnsi" w:hAnsiTheme="minorHAnsi" w:cstheme="minorHAnsi"/>
          <w:b/>
        </w:rPr>
        <w:t>Colombia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Costa Rica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Cuba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Dominican Republic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Fiji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Indonesia</w:t>
      </w:r>
      <w:r w:rsidR="003959FB" w:rsidRPr="00B012DC">
        <w:rPr>
          <w:rFonts w:asciiTheme="minorHAnsi" w:hAnsiTheme="minorHAnsi" w:cstheme="minorHAnsi"/>
        </w:rPr>
        <w:t xml:space="preserve">, </w:t>
      </w:r>
      <w:r w:rsidR="003959FB" w:rsidRPr="00BA7A7C">
        <w:rPr>
          <w:rFonts w:asciiTheme="minorHAnsi" w:hAnsiTheme="minorHAnsi" w:cstheme="minorHAnsi"/>
          <w:b/>
        </w:rPr>
        <w:t>Malaysia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Myanmar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New Zealand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Peru</w:t>
      </w:r>
      <w:r w:rsidR="003959FB" w:rsidRPr="00B012DC">
        <w:rPr>
          <w:rFonts w:asciiTheme="minorHAnsi" w:hAnsiTheme="minorHAnsi" w:cstheme="minorHAnsi"/>
        </w:rPr>
        <w:t xml:space="preserve">, </w:t>
      </w:r>
      <w:r w:rsidR="003959FB" w:rsidRPr="00BA7A7C">
        <w:rPr>
          <w:rFonts w:asciiTheme="minorHAnsi" w:hAnsiTheme="minorHAnsi" w:cstheme="minorHAnsi"/>
          <w:b/>
        </w:rPr>
        <w:t>Philippines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Republic of Korea</w:t>
      </w:r>
      <w:r w:rsidR="003959FB" w:rsidRPr="00B012DC">
        <w:rPr>
          <w:rFonts w:asciiTheme="minorHAnsi" w:hAnsiTheme="minorHAnsi" w:cstheme="minorHAnsi"/>
        </w:rPr>
        <w:t xml:space="preserve">, </w:t>
      </w:r>
      <w:r w:rsidR="00B012DC">
        <w:rPr>
          <w:rFonts w:asciiTheme="minorHAnsi" w:hAnsiTheme="minorHAnsi" w:cstheme="minorHAnsi"/>
          <w:b/>
        </w:rPr>
        <w:t>South Africa</w:t>
      </w:r>
      <w:r w:rsidR="00B012DC" w:rsidRPr="00B012DC">
        <w:rPr>
          <w:rFonts w:asciiTheme="minorHAnsi" w:hAnsiTheme="minorHAnsi" w:cstheme="minorHAnsi"/>
        </w:rPr>
        <w:t>,</w:t>
      </w:r>
      <w:r w:rsidR="00B012DC">
        <w:rPr>
          <w:rFonts w:asciiTheme="minorHAnsi" w:hAnsiTheme="minorHAnsi" w:cstheme="minorHAnsi"/>
          <w:b/>
        </w:rPr>
        <w:t xml:space="preserve"> </w:t>
      </w:r>
      <w:r w:rsidR="003959FB" w:rsidRPr="00BA7A7C">
        <w:rPr>
          <w:rFonts w:asciiTheme="minorHAnsi" w:hAnsiTheme="minorHAnsi" w:cstheme="minorHAnsi"/>
          <w:b/>
        </w:rPr>
        <w:t>Sudan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United Arab Emirates</w:t>
      </w:r>
      <w:r w:rsidR="003959FB" w:rsidRPr="00B012DC">
        <w:rPr>
          <w:rFonts w:asciiTheme="minorHAnsi" w:hAnsiTheme="minorHAnsi" w:cstheme="minorHAnsi"/>
        </w:rPr>
        <w:t xml:space="preserve">, </w:t>
      </w:r>
      <w:r w:rsidR="00B012DC" w:rsidRPr="00B012DC">
        <w:rPr>
          <w:rFonts w:asciiTheme="minorHAnsi" w:hAnsiTheme="minorHAnsi" w:cstheme="minorHAnsi"/>
        </w:rPr>
        <w:t>the</w:t>
      </w:r>
      <w:r w:rsidR="00B012DC">
        <w:rPr>
          <w:rFonts w:asciiTheme="minorHAnsi" w:hAnsiTheme="minorHAnsi" w:cstheme="minorHAnsi"/>
          <w:b/>
        </w:rPr>
        <w:t xml:space="preserve"> </w:t>
      </w:r>
      <w:r w:rsidR="003959FB" w:rsidRPr="00BA7A7C">
        <w:rPr>
          <w:rFonts w:asciiTheme="minorHAnsi" w:hAnsiTheme="minorHAnsi" w:cstheme="minorHAnsi"/>
          <w:b/>
        </w:rPr>
        <w:t>United States of America</w:t>
      </w:r>
      <w:r w:rsidR="003959FB" w:rsidRPr="00B012DC">
        <w:rPr>
          <w:rFonts w:asciiTheme="minorHAnsi" w:hAnsiTheme="minorHAnsi" w:cstheme="minorHAnsi"/>
        </w:rPr>
        <w:t>,</w:t>
      </w:r>
      <w:r w:rsidR="003959FB" w:rsidRPr="00BA7A7C">
        <w:rPr>
          <w:rFonts w:asciiTheme="minorHAnsi" w:hAnsiTheme="minorHAnsi" w:cstheme="minorHAnsi"/>
          <w:b/>
        </w:rPr>
        <w:t xml:space="preserve"> Uruguay</w:t>
      </w:r>
      <w:r w:rsidR="00B012DC">
        <w:rPr>
          <w:rFonts w:asciiTheme="minorHAnsi" w:hAnsiTheme="minorHAnsi" w:cstheme="minorHAnsi"/>
          <w:b/>
        </w:rPr>
        <w:t xml:space="preserve"> </w:t>
      </w:r>
      <w:r w:rsidR="00B012DC" w:rsidRPr="00B012DC">
        <w:rPr>
          <w:rFonts w:asciiTheme="minorHAnsi" w:hAnsiTheme="minorHAnsi" w:cstheme="minorHAnsi"/>
        </w:rPr>
        <w:t>and</w:t>
      </w:r>
      <w:r w:rsidR="003959FB" w:rsidRPr="00BA7A7C">
        <w:rPr>
          <w:rFonts w:asciiTheme="minorHAnsi" w:hAnsiTheme="minorHAnsi" w:cstheme="minorHAnsi"/>
          <w:b/>
        </w:rPr>
        <w:t xml:space="preserve"> Venezuela (Bolivarian Republic of)</w:t>
      </w:r>
      <w:r w:rsidR="00B012DC" w:rsidRPr="00B012DC">
        <w:rPr>
          <w:rFonts w:asciiTheme="minorHAnsi" w:hAnsiTheme="minorHAnsi" w:cstheme="minorHAnsi"/>
        </w:rPr>
        <w:t>,</w:t>
      </w:r>
      <w:r w:rsidR="00B012DC">
        <w:rPr>
          <w:rFonts w:asciiTheme="minorHAnsi" w:hAnsiTheme="minorHAnsi" w:cstheme="minorHAnsi"/>
          <w:b/>
        </w:rPr>
        <w:t xml:space="preserve"> </w:t>
      </w:r>
      <w:r w:rsidR="00B012DC">
        <w:rPr>
          <w:rFonts w:asciiTheme="minorHAnsi" w:hAnsiTheme="minorHAnsi" w:cstheme="minorHAnsi"/>
        </w:rPr>
        <w:t>as well as</w:t>
      </w:r>
      <w:r w:rsidR="003959FB">
        <w:rPr>
          <w:rFonts w:asciiTheme="minorHAnsi" w:hAnsiTheme="minorHAnsi" w:cstheme="minorHAnsi"/>
        </w:rPr>
        <w:t xml:space="preserve"> </w:t>
      </w:r>
      <w:r w:rsidR="003959FB">
        <w:rPr>
          <w:bCs/>
        </w:rPr>
        <w:t xml:space="preserve">the </w:t>
      </w:r>
      <w:r w:rsidR="003959FB">
        <w:rPr>
          <w:rFonts w:asciiTheme="minorHAnsi" w:hAnsiTheme="minorHAnsi" w:cstheme="minorHAnsi"/>
        </w:rPr>
        <w:t>observer from</w:t>
      </w:r>
      <w:r w:rsidR="003959FB" w:rsidRPr="00BA7A7C">
        <w:rPr>
          <w:rFonts w:asciiTheme="minorHAnsi" w:hAnsiTheme="minorHAnsi" w:cstheme="minorHAnsi"/>
        </w:rPr>
        <w:t xml:space="preserve"> </w:t>
      </w:r>
      <w:r w:rsidR="003959FB" w:rsidRPr="00BA7A7C">
        <w:rPr>
          <w:rFonts w:asciiTheme="minorHAnsi" w:hAnsiTheme="minorHAnsi" w:cstheme="minorHAnsi"/>
          <w:b/>
        </w:rPr>
        <w:t>FAO</w:t>
      </w:r>
      <w:r w:rsidR="003959FB">
        <w:rPr>
          <w:rFonts w:asciiTheme="minorHAnsi" w:hAnsiTheme="minorHAnsi" w:cstheme="minorHAnsi"/>
        </w:rPr>
        <w:t xml:space="preserve">. Some were supportive, </w:t>
      </w:r>
      <w:r>
        <w:rPr>
          <w:rFonts w:asciiTheme="minorHAnsi" w:hAnsiTheme="minorHAnsi" w:cstheme="minorHAnsi"/>
        </w:rPr>
        <w:t xml:space="preserve">while </w:t>
      </w:r>
      <w:r w:rsidR="003959FB">
        <w:rPr>
          <w:rFonts w:asciiTheme="minorHAnsi" w:hAnsiTheme="minorHAnsi" w:cstheme="minorHAnsi"/>
        </w:rPr>
        <w:t xml:space="preserve">others believed that at least some aspects of the draft resolution were outside the remit of the Convention </w:t>
      </w:r>
      <w:r w:rsidR="00BF6837">
        <w:rPr>
          <w:rFonts w:asciiTheme="minorHAnsi" w:hAnsiTheme="minorHAnsi" w:cstheme="minorHAnsi"/>
        </w:rPr>
        <w:t xml:space="preserve">or </w:t>
      </w:r>
      <w:r w:rsidR="003959FB">
        <w:rPr>
          <w:rFonts w:asciiTheme="minorHAnsi" w:hAnsiTheme="minorHAnsi" w:cstheme="minorHAnsi"/>
        </w:rPr>
        <w:t>were concerned that there was no settled international definition of “blue carbon ecosystems”.</w:t>
      </w:r>
    </w:p>
    <w:p w14:paraId="138052A5" w14:textId="77777777" w:rsidR="003959FB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3CEF4B0D" w14:textId="40D74C1E" w:rsidR="003959FB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 w:rsidR="003959FB">
        <w:rPr>
          <w:rFonts w:asciiTheme="minorHAnsi" w:hAnsiTheme="minorHAnsi" w:cstheme="minorHAnsi"/>
        </w:rPr>
        <w:t xml:space="preserve">The </w:t>
      </w:r>
      <w:r w:rsidR="003959FB">
        <w:rPr>
          <w:rFonts w:asciiTheme="minorHAnsi" w:hAnsiTheme="minorHAnsi" w:cstheme="minorHAnsi"/>
          <w:b/>
        </w:rPr>
        <w:t>President</w:t>
      </w:r>
      <w:r w:rsidR="003959FB">
        <w:rPr>
          <w:rFonts w:asciiTheme="minorHAnsi" w:hAnsiTheme="minorHAnsi" w:cstheme="minorHAnsi"/>
        </w:rPr>
        <w:t xml:space="preserve"> asked all those with proposed amendments to forward these to the Secretariat and asked Australia to co</w:t>
      </w:r>
      <w:bookmarkStart w:id="0" w:name="_GoBack"/>
      <w:bookmarkEnd w:id="0"/>
      <w:r w:rsidR="003959FB">
        <w:rPr>
          <w:rFonts w:asciiTheme="minorHAnsi" w:hAnsiTheme="minorHAnsi" w:cstheme="minorHAnsi"/>
        </w:rPr>
        <w:t>ordinate the production of a revised draft resolution for consideration later in the meeting.</w:t>
      </w:r>
    </w:p>
    <w:p w14:paraId="207AE107" w14:textId="77777777" w:rsidR="003959FB" w:rsidRDefault="003959FB" w:rsidP="00D146E3">
      <w:pPr>
        <w:contextualSpacing/>
        <w:rPr>
          <w:bCs/>
        </w:rPr>
      </w:pPr>
    </w:p>
    <w:p w14:paraId="172AC07A" w14:textId="77777777" w:rsidR="00D146E3" w:rsidRPr="00196F34" w:rsidRDefault="00D146E3" w:rsidP="00D1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196F34">
        <w:rPr>
          <w:b/>
          <w:bCs/>
        </w:rPr>
        <w:t>18.16 Draft resolution on cultural values, indigenous peoples and local communities, and climate change mitigation and adaptation in wetlands</w:t>
      </w:r>
    </w:p>
    <w:p w14:paraId="5E26B3C7" w14:textId="77777777" w:rsidR="00D146E3" w:rsidRPr="00B1563A" w:rsidRDefault="00D146E3" w:rsidP="00D146E3">
      <w:pPr>
        <w:snapToGrid w:val="0"/>
        <w:spacing w:after="0" w:line="240" w:lineRule="auto"/>
        <w:rPr>
          <w:bCs/>
        </w:rPr>
      </w:pPr>
    </w:p>
    <w:p w14:paraId="0DCBC09F" w14:textId="14987929" w:rsidR="00D146E3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 w:rsidRPr="00B1563A">
        <w:rPr>
          <w:bCs/>
        </w:rPr>
        <w:t>11.</w:t>
      </w:r>
      <w:r w:rsidRPr="00B1563A">
        <w:rPr>
          <w:bCs/>
        </w:rPr>
        <w:tab/>
      </w:r>
      <w:r w:rsidR="00D146E3" w:rsidRPr="008F3FBF">
        <w:rPr>
          <w:b/>
          <w:bCs/>
        </w:rPr>
        <w:t>Tunisia</w:t>
      </w:r>
      <w:r w:rsidR="00D146E3">
        <w:rPr>
          <w:bCs/>
        </w:rPr>
        <w:t xml:space="preserve"> presented the draft resolution in document COP13 Doc.18.16.</w:t>
      </w:r>
    </w:p>
    <w:p w14:paraId="5CA959BE" w14:textId="77777777" w:rsidR="00D146E3" w:rsidRDefault="00D146E3" w:rsidP="006844A0">
      <w:pPr>
        <w:snapToGrid w:val="0"/>
        <w:spacing w:after="0" w:line="240" w:lineRule="auto"/>
        <w:ind w:left="425" w:hanging="425"/>
        <w:rPr>
          <w:bCs/>
        </w:rPr>
      </w:pPr>
    </w:p>
    <w:p w14:paraId="67E4C0E3" w14:textId="3AAFFD0B" w:rsidR="00D146E3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="00D146E3" w:rsidRPr="008E3D7A">
        <w:rPr>
          <w:bCs/>
        </w:rPr>
        <w:t>Interventions were made by</w:t>
      </w:r>
      <w:r w:rsidR="00D146E3">
        <w:rPr>
          <w:b/>
          <w:bCs/>
        </w:rPr>
        <w:t xml:space="preserve"> Bolivia (Plurinational State of)</w:t>
      </w:r>
      <w:r w:rsidR="00D146E3" w:rsidRPr="008D0CB8">
        <w:rPr>
          <w:bCs/>
        </w:rPr>
        <w:t>,</w:t>
      </w:r>
      <w:r w:rsidR="00D146E3">
        <w:rPr>
          <w:b/>
          <w:bCs/>
        </w:rPr>
        <w:t xml:space="preserve"> </w:t>
      </w:r>
      <w:r w:rsidR="00D146E3" w:rsidRPr="006E542A">
        <w:rPr>
          <w:b/>
          <w:bCs/>
        </w:rPr>
        <w:t>Botswana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Canada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Chile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Colombia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Ecuador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Lesotho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New Zealand</w:t>
      </w:r>
      <w:r w:rsidR="00D146E3">
        <w:rPr>
          <w:bCs/>
        </w:rPr>
        <w:t xml:space="preserve">, </w:t>
      </w:r>
      <w:r w:rsidR="00D146E3" w:rsidRPr="008D0CB8">
        <w:rPr>
          <w:b/>
          <w:bCs/>
        </w:rPr>
        <w:t>Slovenia</w:t>
      </w:r>
      <w:r w:rsidR="00D146E3" w:rsidRPr="008D0CB8">
        <w:rPr>
          <w:bCs/>
        </w:rPr>
        <w:t xml:space="preserve"> on behalf of the Europe region,</w:t>
      </w:r>
      <w:r w:rsidR="00D146E3">
        <w:rPr>
          <w:bCs/>
        </w:rPr>
        <w:t xml:space="preserve"> </w:t>
      </w:r>
      <w:r w:rsidR="00D146E3" w:rsidRPr="008D0CB8">
        <w:rPr>
          <w:b/>
          <w:bCs/>
        </w:rPr>
        <w:t>South Africa</w:t>
      </w:r>
      <w:r w:rsidR="00D146E3">
        <w:rPr>
          <w:bCs/>
        </w:rPr>
        <w:t xml:space="preserve">, </w:t>
      </w:r>
      <w:r w:rsidR="00D146E3" w:rsidRPr="006E542A">
        <w:rPr>
          <w:b/>
          <w:bCs/>
        </w:rPr>
        <w:t>Turkey</w:t>
      </w:r>
      <w:r w:rsidR="00D146E3">
        <w:rPr>
          <w:bCs/>
        </w:rPr>
        <w:t xml:space="preserve">, the </w:t>
      </w:r>
      <w:r w:rsidR="00D146E3" w:rsidRPr="008D0CB8">
        <w:rPr>
          <w:b/>
          <w:bCs/>
        </w:rPr>
        <w:t>United States of America</w:t>
      </w:r>
      <w:r w:rsidRPr="00B1563A">
        <w:rPr>
          <w:bCs/>
        </w:rPr>
        <w:t>,</w:t>
      </w:r>
      <w:r w:rsidR="00D146E3">
        <w:rPr>
          <w:bCs/>
        </w:rPr>
        <w:t xml:space="preserve"> and </w:t>
      </w:r>
      <w:r w:rsidR="00D146E3" w:rsidRPr="008D0CB8">
        <w:rPr>
          <w:b/>
          <w:bCs/>
        </w:rPr>
        <w:t>Uruguay</w:t>
      </w:r>
      <w:r w:rsidR="00D146E3">
        <w:rPr>
          <w:bCs/>
        </w:rPr>
        <w:t xml:space="preserve">. Whilst there was broad support for the draft resolution in principle, most Contracting Parties also proposed </w:t>
      </w:r>
      <w:r w:rsidR="00025E74">
        <w:rPr>
          <w:bCs/>
        </w:rPr>
        <w:t xml:space="preserve">specific </w:t>
      </w:r>
      <w:r w:rsidR="00D146E3">
        <w:rPr>
          <w:bCs/>
        </w:rPr>
        <w:t>amendments or indicated that they would do so.</w:t>
      </w:r>
    </w:p>
    <w:p w14:paraId="4DC8AFC3" w14:textId="77777777" w:rsidR="00D146E3" w:rsidRDefault="00D146E3" w:rsidP="006844A0">
      <w:pPr>
        <w:snapToGrid w:val="0"/>
        <w:spacing w:after="0" w:line="240" w:lineRule="auto"/>
        <w:ind w:left="425" w:hanging="425"/>
        <w:rPr>
          <w:bCs/>
        </w:rPr>
      </w:pPr>
    </w:p>
    <w:p w14:paraId="270BA9E0" w14:textId="10249EA3" w:rsidR="00D146E3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="00D146E3">
        <w:rPr>
          <w:bCs/>
        </w:rPr>
        <w:t xml:space="preserve">The </w:t>
      </w:r>
      <w:r w:rsidR="00D146E3" w:rsidRPr="00C927FC">
        <w:rPr>
          <w:b/>
          <w:bCs/>
        </w:rPr>
        <w:t>Secretary General</w:t>
      </w:r>
      <w:r w:rsidR="00D146E3">
        <w:rPr>
          <w:bCs/>
        </w:rPr>
        <w:t xml:space="preserve"> sought guidance on two points: the operative paragraph that requested the Secretariat to present regular reports to the Standing Committee on work undertaken by Contracting Parties in response to the resolution, if approved;</w:t>
      </w:r>
      <w:r>
        <w:rPr>
          <w:bCs/>
        </w:rPr>
        <w:t xml:space="preserve"> and</w:t>
      </w:r>
      <w:r w:rsidR="00D146E3">
        <w:rPr>
          <w:bCs/>
        </w:rPr>
        <w:t xml:space="preserve"> </w:t>
      </w:r>
      <w:r w:rsidR="00025E74">
        <w:rPr>
          <w:bCs/>
        </w:rPr>
        <w:t xml:space="preserve">the need for </w:t>
      </w:r>
      <w:r w:rsidR="00D146E3">
        <w:rPr>
          <w:bCs/>
        </w:rPr>
        <w:t>clarity about the Secretariat’s future engagement with the Ramsar Culture Network.</w:t>
      </w:r>
    </w:p>
    <w:p w14:paraId="0580CEA5" w14:textId="77777777" w:rsidR="00D146E3" w:rsidRDefault="00D146E3" w:rsidP="006844A0">
      <w:pPr>
        <w:snapToGrid w:val="0"/>
        <w:spacing w:after="0" w:line="240" w:lineRule="auto"/>
        <w:ind w:left="425" w:hanging="425"/>
        <w:rPr>
          <w:bCs/>
        </w:rPr>
      </w:pPr>
    </w:p>
    <w:p w14:paraId="4E411C4D" w14:textId="31EEF259" w:rsidR="00B012DC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ab/>
      </w:r>
      <w:r w:rsidR="00B012DC">
        <w:rPr>
          <w:rFonts w:asciiTheme="minorHAnsi" w:hAnsiTheme="minorHAnsi" w:cstheme="minorHAnsi"/>
        </w:rPr>
        <w:t xml:space="preserve">The </w:t>
      </w:r>
      <w:r w:rsidR="00B012DC">
        <w:rPr>
          <w:rFonts w:asciiTheme="minorHAnsi" w:hAnsiTheme="minorHAnsi" w:cstheme="minorHAnsi"/>
          <w:b/>
        </w:rPr>
        <w:t>President</w:t>
      </w:r>
      <w:r w:rsidR="00B012DC">
        <w:rPr>
          <w:rFonts w:asciiTheme="minorHAnsi" w:hAnsiTheme="minorHAnsi" w:cstheme="minorHAnsi"/>
        </w:rPr>
        <w:t xml:space="preserve"> asked all those with proposed amendments to forward these to the Secretariat and asked Australia to co-ordinate the production of a revised draft resolution for consideration later in the meeting.</w:t>
      </w:r>
    </w:p>
    <w:p w14:paraId="21F2F35B" w14:textId="77777777" w:rsidR="00D146E3" w:rsidRDefault="00D146E3" w:rsidP="00D146E3">
      <w:pPr>
        <w:snapToGrid w:val="0"/>
        <w:spacing w:after="0" w:line="240" w:lineRule="auto"/>
        <w:rPr>
          <w:bCs/>
        </w:rPr>
      </w:pPr>
    </w:p>
    <w:p w14:paraId="006EB06C" w14:textId="77777777" w:rsidR="00D146E3" w:rsidRPr="00196F34" w:rsidRDefault="00D146E3" w:rsidP="00B1563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196F34">
        <w:rPr>
          <w:rFonts w:eastAsia="Times New Roman" w:cstheme="majorHAnsi"/>
          <w:b/>
          <w:bCs/>
          <w:lang w:val="en-US"/>
        </w:rPr>
        <w:lastRenderedPageBreak/>
        <w:t>18.17</w:t>
      </w:r>
      <w:r w:rsidRPr="00196F34">
        <w:rPr>
          <w:b/>
          <w:bCs/>
        </w:rPr>
        <w:t xml:space="preserve"> Draft resolution on sustainable urbanization, climate change and wetlands</w:t>
      </w:r>
    </w:p>
    <w:p w14:paraId="3172C1DA" w14:textId="77777777" w:rsidR="00D146E3" w:rsidRDefault="00D146E3" w:rsidP="00B1563A">
      <w:pPr>
        <w:keepNext/>
        <w:contextualSpacing/>
        <w:rPr>
          <w:bCs/>
        </w:rPr>
      </w:pPr>
    </w:p>
    <w:p w14:paraId="1A839EE4" w14:textId="63058A85" w:rsidR="00D146E3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="00D146E3" w:rsidRPr="00232322">
        <w:rPr>
          <w:bCs/>
        </w:rPr>
        <w:t>The</w:t>
      </w:r>
      <w:r w:rsidR="00D146E3">
        <w:rPr>
          <w:b/>
          <w:bCs/>
        </w:rPr>
        <w:t xml:space="preserve"> United Arab Emirates</w:t>
      </w:r>
      <w:r w:rsidR="00D146E3">
        <w:rPr>
          <w:bCs/>
        </w:rPr>
        <w:t xml:space="preserve"> presented the draft resolution in document COP13 Doc.18.17.</w:t>
      </w:r>
    </w:p>
    <w:p w14:paraId="467355E0" w14:textId="77777777" w:rsidR="00D146E3" w:rsidRDefault="00D146E3" w:rsidP="006844A0">
      <w:pPr>
        <w:snapToGrid w:val="0"/>
        <w:spacing w:after="0" w:line="240" w:lineRule="auto"/>
        <w:ind w:left="425" w:hanging="425"/>
        <w:rPr>
          <w:bCs/>
        </w:rPr>
      </w:pPr>
    </w:p>
    <w:p w14:paraId="51B247AE" w14:textId="1E677B68" w:rsidR="00D146E3" w:rsidRDefault="00B1563A" w:rsidP="006844A0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16.</w:t>
      </w:r>
      <w:r>
        <w:rPr>
          <w:bCs/>
        </w:rPr>
        <w:tab/>
      </w:r>
      <w:r w:rsidR="00D146E3" w:rsidRPr="008E3D7A">
        <w:rPr>
          <w:bCs/>
        </w:rPr>
        <w:t>Interventions were made by</w:t>
      </w:r>
      <w:r w:rsidR="00D146E3">
        <w:rPr>
          <w:bCs/>
        </w:rPr>
        <w:t xml:space="preserve"> </w:t>
      </w:r>
      <w:r w:rsidR="00D146E3" w:rsidRPr="00300962">
        <w:rPr>
          <w:b/>
          <w:bCs/>
        </w:rPr>
        <w:t>Australia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Botswana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Canada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Chile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Colombia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Costa Rica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Cuba</w:t>
      </w:r>
      <w:r w:rsidR="00D146E3">
        <w:rPr>
          <w:bCs/>
        </w:rPr>
        <w:t>,</w:t>
      </w:r>
      <w:r w:rsidR="00D146E3" w:rsidRPr="004C59E4">
        <w:rPr>
          <w:b/>
          <w:bCs/>
        </w:rPr>
        <w:t xml:space="preserve"> </w:t>
      </w:r>
      <w:r w:rsidR="00D146E3" w:rsidRPr="001F6053">
        <w:rPr>
          <w:b/>
          <w:bCs/>
        </w:rPr>
        <w:t>Dominican Republic</w:t>
      </w:r>
      <w:r w:rsidR="00D146E3">
        <w:rPr>
          <w:bCs/>
        </w:rPr>
        <w:t xml:space="preserve">, </w:t>
      </w:r>
      <w:r w:rsidR="00D146E3" w:rsidRPr="004C59E4">
        <w:rPr>
          <w:b/>
          <w:bCs/>
        </w:rPr>
        <w:t>Ecuador</w:t>
      </w:r>
      <w:r w:rsidR="00D146E3">
        <w:rPr>
          <w:bCs/>
        </w:rPr>
        <w:t>,</w:t>
      </w:r>
      <w:r w:rsidR="00D146E3">
        <w:rPr>
          <w:b/>
          <w:bCs/>
        </w:rPr>
        <w:t xml:space="preserve"> Hungary </w:t>
      </w:r>
      <w:r w:rsidR="00D146E3" w:rsidRPr="004C59E4">
        <w:rPr>
          <w:bCs/>
        </w:rPr>
        <w:t>on behalf of the Member States of the European Union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Lesotho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Libya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Norway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Peru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Philippines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South Africa</w:t>
      </w:r>
      <w:r w:rsidR="00D146E3">
        <w:rPr>
          <w:bCs/>
        </w:rPr>
        <w:t xml:space="preserve">, </w:t>
      </w:r>
      <w:r w:rsidR="00D146E3" w:rsidRPr="00300962">
        <w:rPr>
          <w:b/>
          <w:bCs/>
        </w:rPr>
        <w:t>Uganda</w:t>
      </w:r>
      <w:r w:rsidR="00D146E3">
        <w:rPr>
          <w:bCs/>
        </w:rPr>
        <w:t xml:space="preserve">, the </w:t>
      </w:r>
      <w:r w:rsidR="00D146E3" w:rsidRPr="00300962">
        <w:rPr>
          <w:b/>
          <w:bCs/>
        </w:rPr>
        <w:t>United States of America</w:t>
      </w:r>
      <w:r>
        <w:rPr>
          <w:bCs/>
        </w:rPr>
        <w:t xml:space="preserve">, </w:t>
      </w:r>
      <w:r w:rsidR="00D146E3">
        <w:rPr>
          <w:bCs/>
        </w:rPr>
        <w:t xml:space="preserve">and </w:t>
      </w:r>
      <w:r w:rsidR="00D146E3" w:rsidRPr="00300962">
        <w:rPr>
          <w:b/>
          <w:bCs/>
        </w:rPr>
        <w:t>Uruguay</w:t>
      </w:r>
      <w:r w:rsidR="00D146E3">
        <w:rPr>
          <w:bCs/>
        </w:rPr>
        <w:t xml:space="preserve">. Whilst there was broad support for the draft resolution in principle, several of these Contracting Parties also proposed </w:t>
      </w:r>
      <w:r w:rsidR="00025E74">
        <w:rPr>
          <w:bCs/>
        </w:rPr>
        <w:t xml:space="preserve">specific </w:t>
      </w:r>
      <w:r w:rsidR="00D146E3">
        <w:rPr>
          <w:bCs/>
        </w:rPr>
        <w:t>amendments or indicated that they would do so.</w:t>
      </w:r>
    </w:p>
    <w:p w14:paraId="3F74C384" w14:textId="77777777" w:rsidR="00D146E3" w:rsidRDefault="00D146E3" w:rsidP="006844A0">
      <w:pPr>
        <w:snapToGrid w:val="0"/>
        <w:spacing w:after="0" w:line="240" w:lineRule="auto"/>
        <w:ind w:left="425" w:hanging="425"/>
        <w:rPr>
          <w:bCs/>
        </w:rPr>
      </w:pPr>
    </w:p>
    <w:p w14:paraId="32E78A0B" w14:textId="0B51F676" w:rsidR="00B012DC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</w:rPr>
        <w:tab/>
      </w:r>
      <w:r w:rsidR="00B012DC">
        <w:rPr>
          <w:rFonts w:asciiTheme="minorHAnsi" w:hAnsiTheme="minorHAnsi" w:cstheme="minorHAnsi"/>
        </w:rPr>
        <w:t xml:space="preserve">The </w:t>
      </w:r>
      <w:r w:rsidR="00B012DC">
        <w:rPr>
          <w:rFonts w:asciiTheme="minorHAnsi" w:hAnsiTheme="minorHAnsi" w:cstheme="minorHAnsi"/>
          <w:b/>
        </w:rPr>
        <w:t>President</w:t>
      </w:r>
      <w:r w:rsidR="00B012DC">
        <w:rPr>
          <w:rFonts w:asciiTheme="minorHAnsi" w:hAnsiTheme="minorHAnsi" w:cstheme="minorHAnsi"/>
        </w:rPr>
        <w:t xml:space="preserve"> asked all those with proposed amendments to forward these to the Secretariat and asked</w:t>
      </w:r>
      <w:r w:rsidR="005F565E">
        <w:rPr>
          <w:rFonts w:asciiTheme="minorHAnsi" w:hAnsiTheme="minorHAnsi" w:cstheme="minorHAnsi"/>
        </w:rPr>
        <w:t xml:space="preserve"> the</w:t>
      </w:r>
      <w:r w:rsidR="00B012DC">
        <w:rPr>
          <w:rFonts w:asciiTheme="minorHAnsi" w:hAnsiTheme="minorHAnsi" w:cstheme="minorHAnsi"/>
        </w:rPr>
        <w:t xml:space="preserve"> </w:t>
      </w:r>
      <w:r w:rsidR="00B012DC" w:rsidRPr="005F565E">
        <w:rPr>
          <w:rFonts w:asciiTheme="minorHAnsi" w:hAnsiTheme="minorHAnsi" w:cstheme="minorHAnsi"/>
        </w:rPr>
        <w:t>United Arab Emirates</w:t>
      </w:r>
      <w:r w:rsidR="00B012DC">
        <w:rPr>
          <w:rFonts w:asciiTheme="minorHAnsi" w:hAnsiTheme="minorHAnsi" w:cstheme="minorHAnsi"/>
        </w:rPr>
        <w:t xml:space="preserve"> to co-ordinate the production of a revised draft resolution for consideration later in the meeting.</w:t>
      </w:r>
    </w:p>
    <w:p w14:paraId="1AABFA52" w14:textId="77777777" w:rsidR="00817E01" w:rsidRPr="007E6257" w:rsidRDefault="00817E01" w:rsidP="007E6257">
      <w:pPr>
        <w:tabs>
          <w:tab w:val="left" w:pos="1403"/>
        </w:tabs>
        <w:snapToGrid w:val="0"/>
        <w:spacing w:after="0" w:line="240" w:lineRule="auto"/>
        <w:rPr>
          <w:bCs/>
        </w:rPr>
      </w:pPr>
    </w:p>
    <w:sectPr w:rsidR="00817E01" w:rsidRPr="007E6257" w:rsidSect="0052548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75BA" w14:textId="77777777" w:rsidR="0040523E" w:rsidRDefault="0040523E" w:rsidP="00AD57E6">
      <w:pPr>
        <w:spacing w:after="0" w:line="240" w:lineRule="auto"/>
      </w:pPr>
      <w:r>
        <w:separator/>
      </w:r>
    </w:p>
  </w:endnote>
  <w:endnote w:type="continuationSeparator" w:id="0">
    <w:p w14:paraId="2DD5FB17" w14:textId="77777777" w:rsidR="0040523E" w:rsidRDefault="0040523E" w:rsidP="00A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0968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46D7E" w14:textId="1C51DEC7" w:rsidR="00AD57E6" w:rsidRDefault="00AD57E6" w:rsidP="005523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CB66A" w14:textId="77777777" w:rsidR="00AD57E6" w:rsidRDefault="00AD57E6" w:rsidP="00AD5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2224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10B3C" w14:textId="043085D9" w:rsidR="00AD57E6" w:rsidRDefault="00AD57E6" w:rsidP="005523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597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206333" w14:textId="13B54563" w:rsidR="00AD57E6" w:rsidRDefault="00AD57E6" w:rsidP="00AD57E6">
    <w:pPr>
      <w:pStyle w:val="Footer"/>
      <w:ind w:right="360"/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 w:rsidR="00412C31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3936" w14:textId="77777777" w:rsidR="0040523E" w:rsidRDefault="0040523E" w:rsidP="00AD57E6">
      <w:pPr>
        <w:spacing w:after="0" w:line="240" w:lineRule="auto"/>
      </w:pPr>
      <w:r>
        <w:separator/>
      </w:r>
    </w:p>
  </w:footnote>
  <w:footnote w:type="continuationSeparator" w:id="0">
    <w:p w14:paraId="31E09CCC" w14:textId="77777777" w:rsidR="0040523E" w:rsidRDefault="0040523E" w:rsidP="00AD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2"/>
    <w:rsid w:val="000060B3"/>
    <w:rsid w:val="00025E74"/>
    <w:rsid w:val="00054877"/>
    <w:rsid w:val="0005550A"/>
    <w:rsid w:val="00073196"/>
    <w:rsid w:val="000B4404"/>
    <w:rsid w:val="000B6A96"/>
    <w:rsid w:val="000C74BD"/>
    <w:rsid w:val="00110658"/>
    <w:rsid w:val="001110F7"/>
    <w:rsid w:val="0012269F"/>
    <w:rsid w:val="0012531F"/>
    <w:rsid w:val="00181423"/>
    <w:rsid w:val="00185F66"/>
    <w:rsid w:val="001A3CA1"/>
    <w:rsid w:val="001B5896"/>
    <w:rsid w:val="001D54FF"/>
    <w:rsid w:val="001E321F"/>
    <w:rsid w:val="001E7D36"/>
    <w:rsid w:val="00225E22"/>
    <w:rsid w:val="00235415"/>
    <w:rsid w:val="00251D46"/>
    <w:rsid w:val="00252ECC"/>
    <w:rsid w:val="0027709C"/>
    <w:rsid w:val="00285177"/>
    <w:rsid w:val="00293198"/>
    <w:rsid w:val="00293A0F"/>
    <w:rsid w:val="002E3148"/>
    <w:rsid w:val="00314DAA"/>
    <w:rsid w:val="00325672"/>
    <w:rsid w:val="00325D48"/>
    <w:rsid w:val="00330860"/>
    <w:rsid w:val="003338EF"/>
    <w:rsid w:val="00337799"/>
    <w:rsid w:val="00374B63"/>
    <w:rsid w:val="0038080E"/>
    <w:rsid w:val="0038709F"/>
    <w:rsid w:val="00393004"/>
    <w:rsid w:val="00393949"/>
    <w:rsid w:val="003959FB"/>
    <w:rsid w:val="0040523E"/>
    <w:rsid w:val="00412C31"/>
    <w:rsid w:val="004233C8"/>
    <w:rsid w:val="00461AC7"/>
    <w:rsid w:val="00462B6A"/>
    <w:rsid w:val="00462CFC"/>
    <w:rsid w:val="004B39A2"/>
    <w:rsid w:val="004E74FC"/>
    <w:rsid w:val="00501F54"/>
    <w:rsid w:val="00511BBC"/>
    <w:rsid w:val="005220A7"/>
    <w:rsid w:val="00525483"/>
    <w:rsid w:val="00543CB6"/>
    <w:rsid w:val="00551895"/>
    <w:rsid w:val="00552EA6"/>
    <w:rsid w:val="00567023"/>
    <w:rsid w:val="00592BBC"/>
    <w:rsid w:val="005B006E"/>
    <w:rsid w:val="005F565E"/>
    <w:rsid w:val="00633735"/>
    <w:rsid w:val="0064380D"/>
    <w:rsid w:val="006463F3"/>
    <w:rsid w:val="0065638C"/>
    <w:rsid w:val="00673E2A"/>
    <w:rsid w:val="006809D3"/>
    <w:rsid w:val="00683CC9"/>
    <w:rsid w:val="006844A0"/>
    <w:rsid w:val="00690A80"/>
    <w:rsid w:val="00693B6E"/>
    <w:rsid w:val="006A06EE"/>
    <w:rsid w:val="006C48A3"/>
    <w:rsid w:val="006F19C3"/>
    <w:rsid w:val="0076389A"/>
    <w:rsid w:val="007647A8"/>
    <w:rsid w:val="00764DE2"/>
    <w:rsid w:val="00790E53"/>
    <w:rsid w:val="007E6257"/>
    <w:rsid w:val="007E7653"/>
    <w:rsid w:val="007F2C9D"/>
    <w:rsid w:val="007F366A"/>
    <w:rsid w:val="00807682"/>
    <w:rsid w:val="00817831"/>
    <w:rsid w:val="00817E01"/>
    <w:rsid w:val="00870ACD"/>
    <w:rsid w:val="008A5EA5"/>
    <w:rsid w:val="008B07B7"/>
    <w:rsid w:val="008B67E7"/>
    <w:rsid w:val="008C7FB2"/>
    <w:rsid w:val="008D5039"/>
    <w:rsid w:val="008F3F4D"/>
    <w:rsid w:val="008F5E86"/>
    <w:rsid w:val="009009C5"/>
    <w:rsid w:val="0097430E"/>
    <w:rsid w:val="00980017"/>
    <w:rsid w:val="009973C3"/>
    <w:rsid w:val="009D2410"/>
    <w:rsid w:val="009E4591"/>
    <w:rsid w:val="00A03BE6"/>
    <w:rsid w:val="00A15A80"/>
    <w:rsid w:val="00A30986"/>
    <w:rsid w:val="00A317FA"/>
    <w:rsid w:val="00A57690"/>
    <w:rsid w:val="00A76871"/>
    <w:rsid w:val="00A85C76"/>
    <w:rsid w:val="00A963B7"/>
    <w:rsid w:val="00AA19CF"/>
    <w:rsid w:val="00AA76DD"/>
    <w:rsid w:val="00AB316B"/>
    <w:rsid w:val="00AB3F5D"/>
    <w:rsid w:val="00AB62A5"/>
    <w:rsid w:val="00AD57E6"/>
    <w:rsid w:val="00AF2A96"/>
    <w:rsid w:val="00B012DC"/>
    <w:rsid w:val="00B014CA"/>
    <w:rsid w:val="00B1083B"/>
    <w:rsid w:val="00B1563A"/>
    <w:rsid w:val="00B21E2F"/>
    <w:rsid w:val="00B362C6"/>
    <w:rsid w:val="00B4340B"/>
    <w:rsid w:val="00BB0088"/>
    <w:rsid w:val="00BB7B6B"/>
    <w:rsid w:val="00BC759E"/>
    <w:rsid w:val="00BF6837"/>
    <w:rsid w:val="00C04D26"/>
    <w:rsid w:val="00C056F3"/>
    <w:rsid w:val="00C13B8A"/>
    <w:rsid w:val="00C174CC"/>
    <w:rsid w:val="00C35A26"/>
    <w:rsid w:val="00C47C52"/>
    <w:rsid w:val="00C62AFA"/>
    <w:rsid w:val="00C64477"/>
    <w:rsid w:val="00C73C1E"/>
    <w:rsid w:val="00C86501"/>
    <w:rsid w:val="00CA1E51"/>
    <w:rsid w:val="00CB2A5D"/>
    <w:rsid w:val="00CC4F5C"/>
    <w:rsid w:val="00D146E3"/>
    <w:rsid w:val="00D25FDD"/>
    <w:rsid w:val="00D35A15"/>
    <w:rsid w:val="00D473B1"/>
    <w:rsid w:val="00D510DD"/>
    <w:rsid w:val="00D90FB9"/>
    <w:rsid w:val="00D96195"/>
    <w:rsid w:val="00DA3925"/>
    <w:rsid w:val="00DB0A09"/>
    <w:rsid w:val="00DF7BD7"/>
    <w:rsid w:val="00E00E2F"/>
    <w:rsid w:val="00E13C31"/>
    <w:rsid w:val="00E30B9E"/>
    <w:rsid w:val="00E44000"/>
    <w:rsid w:val="00E55FBE"/>
    <w:rsid w:val="00E61E1C"/>
    <w:rsid w:val="00E65907"/>
    <w:rsid w:val="00E76B33"/>
    <w:rsid w:val="00E8597B"/>
    <w:rsid w:val="00EB188F"/>
    <w:rsid w:val="00EE0BD3"/>
    <w:rsid w:val="00F20179"/>
    <w:rsid w:val="00F471F6"/>
    <w:rsid w:val="00F609F0"/>
    <w:rsid w:val="00FA2939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E84D"/>
  <w15:docId w15:val="{7B07F5D1-282E-46B6-B3AA-4854ED8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E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D57E6"/>
  </w:style>
  <w:style w:type="character" w:styleId="CommentReference">
    <w:name w:val="annotation reference"/>
    <w:basedOn w:val="DefaultParagraphFont"/>
    <w:uiPriority w:val="99"/>
    <w:semiHidden/>
    <w:unhideWhenUsed/>
    <w:rsid w:val="0039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4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4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49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4821</Characters>
  <Application>Microsoft Office Word</Application>
  <DocSecurity>4</DocSecurity>
  <Lines>109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2018-10-25T20:01:00Z</dcterms:created>
  <dcterms:modified xsi:type="dcterms:W3CDTF">2018-10-25T20:01:00Z</dcterms:modified>
</cp:coreProperties>
</file>