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C9B4F" w14:textId="2E3F97F4" w:rsidR="00AD57E6" w:rsidRPr="005B107D" w:rsidRDefault="00AD57E6" w:rsidP="00E74A64">
      <w:pPr>
        <w:snapToGrid w:val="0"/>
        <w:spacing w:after="0" w:line="240" w:lineRule="auto"/>
        <w:ind w:right="17"/>
        <w:jc w:val="center"/>
        <w:outlineLvl w:val="0"/>
        <w:rPr>
          <w:rFonts w:eastAsia="Times New Roman" w:cstheme="majorHAnsi"/>
          <w:b/>
          <w:bCs/>
          <w:sz w:val="24"/>
          <w:szCs w:val="24"/>
          <w:lang w:val="es-ES_tradnl"/>
        </w:rPr>
      </w:pPr>
      <w:bookmarkStart w:id="0" w:name="_GoBack"/>
      <w:bookmarkEnd w:id="0"/>
      <w:r w:rsidRPr="005B107D">
        <w:rPr>
          <w:rFonts w:eastAsia="Times New Roman" w:cstheme="majorHAnsi"/>
          <w:b/>
          <w:bCs/>
          <w:noProof/>
          <w:sz w:val="24"/>
          <w:szCs w:val="24"/>
          <w:lang w:eastAsia="en-GB"/>
        </w:rPr>
        <w:drawing>
          <wp:anchor distT="0" distB="0" distL="114300" distR="114300" simplePos="0" relativeHeight="251659264" behindDoc="1" locked="0" layoutInCell="1" allowOverlap="1" wp14:anchorId="7C188993" wp14:editId="5462CC01">
            <wp:simplePos x="0" y="0"/>
            <wp:positionH relativeFrom="column">
              <wp:posOffset>-190500</wp:posOffset>
            </wp:positionH>
            <wp:positionV relativeFrom="page">
              <wp:posOffset>482600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B107D">
        <w:rPr>
          <w:rFonts w:eastAsia="Times New Roman" w:cstheme="majorHAnsi"/>
          <w:b/>
          <w:bCs/>
          <w:sz w:val="24"/>
          <w:szCs w:val="24"/>
          <w:lang w:val="es-ES_tradnl"/>
        </w:rPr>
        <w:t>13</w:t>
      </w:r>
      <w:r w:rsidR="00E74A64" w:rsidRPr="005B107D">
        <w:rPr>
          <w:rFonts w:eastAsia="Times New Roman" w:cstheme="majorHAnsi"/>
          <w:b/>
          <w:bCs/>
          <w:sz w:val="24"/>
          <w:szCs w:val="24"/>
          <w:lang w:val="es-ES_tradnl"/>
        </w:rPr>
        <w:t>ª Reunión de la Conferencia de las Partes Contratantes</w:t>
      </w:r>
    </w:p>
    <w:p w14:paraId="2E5ED535" w14:textId="18564CB0" w:rsidR="00AD57E6" w:rsidRPr="005B107D" w:rsidRDefault="00E74A64" w:rsidP="00AD57E6">
      <w:pPr>
        <w:snapToGrid w:val="0"/>
        <w:spacing w:after="0" w:line="240" w:lineRule="auto"/>
        <w:ind w:right="17"/>
        <w:jc w:val="center"/>
        <w:outlineLvl w:val="0"/>
        <w:rPr>
          <w:rFonts w:eastAsia="Times New Roman" w:cstheme="majorHAnsi"/>
          <w:b/>
          <w:bCs/>
          <w:sz w:val="24"/>
          <w:szCs w:val="24"/>
          <w:lang w:val="es-ES_tradnl"/>
        </w:rPr>
      </w:pPr>
      <w:r w:rsidRPr="005B107D">
        <w:rPr>
          <w:rFonts w:eastAsia="Times New Roman" w:cstheme="majorHAnsi"/>
          <w:b/>
          <w:bCs/>
          <w:sz w:val="24"/>
          <w:szCs w:val="24"/>
          <w:lang w:val="es-ES_tradnl"/>
        </w:rPr>
        <w:t>en la Convención de Ramsar sobre los humedales</w:t>
      </w:r>
    </w:p>
    <w:p w14:paraId="07260BE1" w14:textId="77777777" w:rsidR="00AD57E6" w:rsidRPr="005B107D" w:rsidRDefault="00AD57E6" w:rsidP="00AD57E6">
      <w:pPr>
        <w:snapToGrid w:val="0"/>
        <w:spacing w:after="0" w:line="240" w:lineRule="auto"/>
        <w:ind w:right="17"/>
        <w:jc w:val="center"/>
        <w:outlineLvl w:val="0"/>
        <w:rPr>
          <w:rFonts w:eastAsia="Times New Roman" w:cstheme="majorHAnsi"/>
          <w:b/>
          <w:bCs/>
          <w:sz w:val="24"/>
          <w:szCs w:val="24"/>
          <w:lang w:val="es-ES_tradnl"/>
        </w:rPr>
      </w:pPr>
    </w:p>
    <w:p w14:paraId="59A25E00" w14:textId="4775BA0B" w:rsidR="00AD57E6" w:rsidRPr="005B107D" w:rsidRDefault="00AD57E6" w:rsidP="00AD57E6">
      <w:pPr>
        <w:snapToGrid w:val="0"/>
        <w:spacing w:after="0" w:line="240" w:lineRule="auto"/>
        <w:ind w:right="17"/>
        <w:jc w:val="center"/>
        <w:outlineLvl w:val="0"/>
        <w:rPr>
          <w:rFonts w:eastAsia="Times New Roman" w:cstheme="majorHAnsi"/>
          <w:b/>
          <w:bCs/>
          <w:sz w:val="24"/>
          <w:szCs w:val="24"/>
          <w:lang w:val="es-ES_tradnl"/>
        </w:rPr>
      </w:pPr>
      <w:r w:rsidRPr="005B107D">
        <w:rPr>
          <w:rFonts w:eastAsia="Times New Roman" w:cstheme="majorHAnsi"/>
          <w:b/>
          <w:bCs/>
          <w:sz w:val="24"/>
          <w:szCs w:val="24"/>
          <w:lang w:val="es-ES_tradnl"/>
        </w:rPr>
        <w:t>“</w:t>
      </w:r>
      <w:r w:rsidR="00E74A64" w:rsidRPr="005B107D">
        <w:rPr>
          <w:rFonts w:cstheme="majorHAnsi"/>
          <w:b/>
          <w:bCs/>
          <w:sz w:val="24"/>
          <w:szCs w:val="24"/>
          <w:lang w:val="es-ES_tradnl"/>
        </w:rPr>
        <w:t>Humedales para un futuro urbano sostenible</w:t>
      </w:r>
      <w:r w:rsidRPr="005B107D">
        <w:rPr>
          <w:rFonts w:eastAsia="Times New Roman" w:cstheme="majorHAnsi"/>
          <w:b/>
          <w:bCs/>
          <w:sz w:val="24"/>
          <w:szCs w:val="24"/>
          <w:lang w:val="es-ES_tradnl"/>
        </w:rPr>
        <w:t>”</w:t>
      </w:r>
    </w:p>
    <w:p w14:paraId="7B00FB19" w14:textId="77777777" w:rsidR="00E74A64" w:rsidRPr="005B107D" w:rsidRDefault="00E74A64" w:rsidP="00E74A64">
      <w:pPr>
        <w:spacing w:after="0" w:line="240" w:lineRule="auto"/>
        <w:ind w:right="17"/>
        <w:jc w:val="center"/>
        <w:outlineLvl w:val="0"/>
        <w:rPr>
          <w:rFonts w:eastAsia="Times New Roman" w:cstheme="majorHAnsi"/>
          <w:b/>
          <w:bCs/>
          <w:sz w:val="24"/>
          <w:szCs w:val="24"/>
          <w:lang w:val="es-ES_tradnl"/>
        </w:rPr>
      </w:pPr>
      <w:r w:rsidRPr="005B107D">
        <w:rPr>
          <w:rFonts w:cstheme="majorHAnsi"/>
          <w:b/>
          <w:bCs/>
          <w:sz w:val="24"/>
          <w:szCs w:val="24"/>
          <w:lang w:val="es-ES_tradnl"/>
        </w:rPr>
        <w:t>Dubái, Emiratos Árabes Unidos</w:t>
      </w:r>
    </w:p>
    <w:p w14:paraId="44FD06BC" w14:textId="08B5F265" w:rsidR="00AD57E6" w:rsidRPr="005B107D" w:rsidRDefault="00E74A64" w:rsidP="00AD57E6">
      <w:pPr>
        <w:snapToGrid w:val="0"/>
        <w:spacing w:after="0" w:line="240" w:lineRule="auto"/>
        <w:ind w:right="17"/>
        <w:jc w:val="center"/>
        <w:outlineLvl w:val="0"/>
        <w:rPr>
          <w:rFonts w:eastAsia="Times New Roman" w:cstheme="majorHAnsi"/>
          <w:b/>
          <w:bCs/>
          <w:sz w:val="24"/>
          <w:szCs w:val="24"/>
          <w:lang w:val="es-ES_tradnl"/>
        </w:rPr>
      </w:pPr>
      <w:r w:rsidRPr="005B107D">
        <w:rPr>
          <w:rFonts w:eastAsia="Times New Roman" w:cstheme="majorHAnsi"/>
          <w:b/>
          <w:bCs/>
          <w:sz w:val="24"/>
          <w:szCs w:val="24"/>
          <w:lang w:val="es-ES_tradnl"/>
        </w:rPr>
        <w:t>21 a 29 de octubre de 2018</w:t>
      </w:r>
    </w:p>
    <w:p w14:paraId="39F820E1" w14:textId="77777777" w:rsidR="00AD57E6" w:rsidRPr="005B107D" w:rsidRDefault="00AD57E6" w:rsidP="00AD57E6">
      <w:pPr>
        <w:snapToGrid w:val="0"/>
        <w:spacing w:after="0" w:line="240" w:lineRule="auto"/>
        <w:jc w:val="center"/>
        <w:rPr>
          <w:b/>
          <w:sz w:val="28"/>
          <w:szCs w:val="28"/>
          <w:lang w:val="es-ES_tradnl"/>
        </w:rPr>
      </w:pPr>
    </w:p>
    <w:p w14:paraId="7F12359F" w14:textId="77777777" w:rsidR="00AD57E6" w:rsidRPr="005B107D" w:rsidRDefault="00AD57E6" w:rsidP="00AD57E6">
      <w:pPr>
        <w:snapToGrid w:val="0"/>
        <w:spacing w:after="0" w:line="240" w:lineRule="auto"/>
        <w:jc w:val="center"/>
        <w:rPr>
          <w:b/>
          <w:sz w:val="28"/>
          <w:szCs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AD57E6" w:rsidRPr="005B107D" w14:paraId="2DFE142D" w14:textId="77777777" w:rsidTr="00E74A64">
        <w:tc>
          <w:tcPr>
            <w:tcW w:w="9360" w:type="dxa"/>
          </w:tcPr>
          <w:p w14:paraId="78A00573" w14:textId="7C7B0B3B" w:rsidR="00AD57E6" w:rsidRPr="005B107D" w:rsidRDefault="00AD57E6" w:rsidP="00E74A64">
            <w:pPr>
              <w:snapToGrid w:val="0"/>
              <w:spacing w:after="0" w:line="240" w:lineRule="auto"/>
              <w:ind w:right="67"/>
              <w:jc w:val="right"/>
              <w:outlineLvl w:val="0"/>
              <w:rPr>
                <w:rFonts w:eastAsia="Times New Roman" w:cstheme="majorHAnsi"/>
                <w:b/>
                <w:bCs/>
                <w:sz w:val="24"/>
                <w:szCs w:val="24"/>
                <w:lang w:val="es-ES_tradnl"/>
              </w:rPr>
            </w:pPr>
            <w:r w:rsidRPr="005B107D">
              <w:rPr>
                <w:rFonts w:eastAsia="Times New Roman" w:cstheme="majorHAnsi"/>
                <w:b/>
                <w:bCs/>
                <w:sz w:val="24"/>
                <w:szCs w:val="24"/>
                <w:lang w:val="es-ES_tradnl"/>
              </w:rPr>
              <w:t>Ramsar COP13 Rep.5</w:t>
            </w:r>
          </w:p>
        </w:tc>
      </w:tr>
    </w:tbl>
    <w:p w14:paraId="0872F852" w14:textId="77777777" w:rsidR="00AD57E6" w:rsidRPr="005B107D" w:rsidRDefault="00AD57E6" w:rsidP="00235415">
      <w:pPr>
        <w:snapToGrid w:val="0"/>
        <w:spacing w:after="0" w:line="240" w:lineRule="auto"/>
        <w:rPr>
          <w:rFonts w:asciiTheme="majorHAnsi" w:hAnsiTheme="majorHAnsi"/>
          <w:b/>
          <w:lang w:val="es-ES_tradnl"/>
        </w:rPr>
      </w:pPr>
    </w:p>
    <w:p w14:paraId="3DAD1BA2" w14:textId="71795688" w:rsidR="00AD57E6" w:rsidRPr="005B107D" w:rsidRDefault="00AD57E6" w:rsidP="00AD57E6">
      <w:pPr>
        <w:snapToGrid w:val="0"/>
        <w:spacing w:after="0" w:line="240" w:lineRule="auto"/>
        <w:rPr>
          <w:rFonts w:asciiTheme="majorHAnsi" w:hAnsiTheme="majorHAnsi"/>
          <w:b/>
          <w:lang w:val="es-ES_tradnl"/>
        </w:rPr>
      </w:pPr>
    </w:p>
    <w:p w14:paraId="39AC2624" w14:textId="517B186A" w:rsidR="00825DB7" w:rsidRPr="005B107D" w:rsidRDefault="00E74A64" w:rsidP="00825DB7">
      <w:pPr>
        <w:snapToGrid w:val="0"/>
        <w:spacing w:after="0" w:line="240" w:lineRule="auto"/>
        <w:jc w:val="center"/>
        <w:rPr>
          <w:b/>
          <w:sz w:val="28"/>
          <w:szCs w:val="28"/>
          <w:lang w:val="es-ES_tradnl"/>
        </w:rPr>
      </w:pPr>
      <w:r w:rsidRPr="005B107D">
        <w:rPr>
          <w:b/>
          <w:sz w:val="28"/>
          <w:szCs w:val="28"/>
          <w:lang w:val="es-ES_tradnl"/>
        </w:rPr>
        <w:t>Proyecto de informe diario</w:t>
      </w:r>
    </w:p>
    <w:p w14:paraId="1C40183C" w14:textId="67494315" w:rsidR="00825DB7" w:rsidRPr="005B107D" w:rsidRDefault="00E74A64" w:rsidP="00825DB7">
      <w:pPr>
        <w:snapToGrid w:val="0"/>
        <w:spacing w:after="0" w:line="240" w:lineRule="auto"/>
        <w:jc w:val="center"/>
        <w:rPr>
          <w:b/>
          <w:sz w:val="28"/>
          <w:szCs w:val="28"/>
          <w:lang w:val="es-ES_tradnl"/>
        </w:rPr>
      </w:pPr>
      <w:r w:rsidRPr="005B107D">
        <w:rPr>
          <w:b/>
          <w:sz w:val="28"/>
          <w:szCs w:val="28"/>
          <w:lang w:val="es-ES_tradnl"/>
        </w:rPr>
        <w:t>Cuarto día</w:t>
      </w:r>
      <w:r w:rsidR="00825DB7" w:rsidRPr="005B107D">
        <w:rPr>
          <w:b/>
          <w:sz w:val="28"/>
          <w:szCs w:val="28"/>
          <w:lang w:val="es-ES_tradnl"/>
        </w:rPr>
        <w:t xml:space="preserve"> – </w:t>
      </w:r>
      <w:r w:rsidR="000D5514" w:rsidRPr="005B107D">
        <w:rPr>
          <w:b/>
          <w:sz w:val="28"/>
          <w:szCs w:val="28"/>
          <w:lang w:val="es-ES_tradnl"/>
        </w:rPr>
        <w:t>Jueves 25 de oct</w:t>
      </w:r>
      <w:r w:rsidRPr="005B107D">
        <w:rPr>
          <w:b/>
          <w:sz w:val="28"/>
          <w:szCs w:val="28"/>
          <w:lang w:val="es-ES_tradnl"/>
        </w:rPr>
        <w:t>ubre (Sesión plenaria, por la mañ</w:t>
      </w:r>
      <w:r w:rsidR="000D5514" w:rsidRPr="005B107D">
        <w:rPr>
          <w:b/>
          <w:sz w:val="28"/>
          <w:szCs w:val="28"/>
          <w:lang w:val="es-ES_tradnl"/>
        </w:rPr>
        <w:t>ana)</w:t>
      </w:r>
    </w:p>
    <w:p w14:paraId="56F98502" w14:textId="65E480A3" w:rsidR="00825DB7" w:rsidRPr="005B107D" w:rsidRDefault="00825DB7" w:rsidP="00AD57E6">
      <w:pPr>
        <w:snapToGrid w:val="0"/>
        <w:spacing w:after="0" w:line="240" w:lineRule="auto"/>
        <w:rPr>
          <w:rFonts w:asciiTheme="majorHAnsi" w:hAnsiTheme="majorHAnsi"/>
          <w:b/>
          <w:lang w:val="es-ES_tradnl"/>
        </w:rPr>
      </w:pPr>
    </w:p>
    <w:p w14:paraId="0A27E7A7" w14:textId="77777777" w:rsidR="00825DB7" w:rsidRPr="005B107D" w:rsidRDefault="00825DB7" w:rsidP="00AD57E6">
      <w:pPr>
        <w:snapToGrid w:val="0"/>
        <w:spacing w:after="0" w:line="240" w:lineRule="auto"/>
        <w:rPr>
          <w:rFonts w:asciiTheme="majorHAnsi" w:hAnsiTheme="majorHAnsi"/>
          <w:b/>
          <w:lang w:val="es-ES_tradnl"/>
        </w:rPr>
      </w:pPr>
    </w:p>
    <w:p w14:paraId="3509F862" w14:textId="563FCB81" w:rsidR="00AD57E6" w:rsidRPr="005B107D" w:rsidRDefault="000D5514" w:rsidP="00AD57E6">
      <w:pPr>
        <w:snapToGrid w:val="0"/>
        <w:spacing w:after="0" w:line="240" w:lineRule="auto"/>
        <w:rPr>
          <w:rFonts w:asciiTheme="minorHAnsi" w:hAnsiTheme="minorHAnsi" w:cstheme="minorHAnsi"/>
          <w:b/>
          <w:lang w:val="es-ES_tradnl"/>
        </w:rPr>
      </w:pPr>
      <w:r w:rsidRPr="005B107D">
        <w:rPr>
          <w:rFonts w:asciiTheme="minorHAnsi" w:hAnsiTheme="minorHAnsi" w:cstheme="minorHAnsi"/>
          <w:b/>
          <w:lang w:val="es-ES_tradnl"/>
        </w:rPr>
        <w:t xml:space="preserve">Jueves </w:t>
      </w:r>
      <w:r w:rsidR="00AD57E6" w:rsidRPr="005B107D">
        <w:rPr>
          <w:rFonts w:asciiTheme="minorHAnsi" w:hAnsiTheme="minorHAnsi" w:cstheme="minorHAnsi"/>
          <w:b/>
          <w:lang w:val="es-ES_tradnl"/>
        </w:rPr>
        <w:t>25</w:t>
      </w:r>
      <w:r w:rsidRPr="005B107D">
        <w:rPr>
          <w:rFonts w:asciiTheme="minorHAnsi" w:hAnsiTheme="minorHAnsi" w:cstheme="minorHAnsi"/>
          <w:b/>
          <w:lang w:val="es-ES_tradnl"/>
        </w:rPr>
        <w:t xml:space="preserve"> de octubre de </w:t>
      </w:r>
      <w:r w:rsidR="00AD57E6" w:rsidRPr="005B107D">
        <w:rPr>
          <w:rFonts w:asciiTheme="minorHAnsi" w:hAnsiTheme="minorHAnsi" w:cstheme="minorHAnsi"/>
          <w:b/>
          <w:lang w:val="es-ES_tradnl"/>
        </w:rPr>
        <w:t>2018</w:t>
      </w:r>
    </w:p>
    <w:p w14:paraId="1C128306" w14:textId="77777777" w:rsidR="00AA76DD" w:rsidRPr="005B107D" w:rsidRDefault="00AA76DD" w:rsidP="00AA76DD">
      <w:pPr>
        <w:snapToGrid w:val="0"/>
        <w:spacing w:after="0" w:line="240" w:lineRule="auto"/>
        <w:rPr>
          <w:b/>
          <w:bCs/>
          <w:lang w:val="es-ES_tradnl"/>
        </w:rPr>
      </w:pPr>
    </w:p>
    <w:p w14:paraId="4885EB7E" w14:textId="467CFE69" w:rsidR="00825DB7" w:rsidRPr="005B107D" w:rsidRDefault="000D5514" w:rsidP="00825DB7">
      <w:pPr>
        <w:snapToGrid w:val="0"/>
        <w:spacing w:after="0" w:line="240" w:lineRule="auto"/>
        <w:rPr>
          <w:b/>
          <w:bCs/>
          <w:lang w:val="es-ES_tradnl"/>
        </w:rPr>
      </w:pPr>
      <w:r w:rsidRPr="005B107D">
        <w:rPr>
          <w:b/>
          <w:bCs/>
          <w:lang w:val="es-ES_tradnl"/>
        </w:rPr>
        <w:t>10:</w:t>
      </w:r>
      <w:r w:rsidR="00054877" w:rsidRPr="005B107D">
        <w:rPr>
          <w:b/>
          <w:bCs/>
          <w:lang w:val="es-ES_tradnl"/>
        </w:rPr>
        <w:t>20</w:t>
      </w:r>
      <w:r w:rsidR="00825DB7" w:rsidRPr="005B107D">
        <w:rPr>
          <w:b/>
          <w:bCs/>
          <w:lang w:val="es-ES_tradnl"/>
        </w:rPr>
        <w:t xml:space="preserve"> </w:t>
      </w:r>
      <w:r w:rsidR="00AD57E6" w:rsidRPr="005B107D">
        <w:rPr>
          <w:b/>
          <w:bCs/>
          <w:lang w:val="es-ES_tradnl"/>
        </w:rPr>
        <w:t>–</w:t>
      </w:r>
      <w:r w:rsidR="00825DB7" w:rsidRPr="005B107D">
        <w:rPr>
          <w:b/>
          <w:bCs/>
          <w:lang w:val="es-ES_tradnl"/>
        </w:rPr>
        <w:t xml:space="preserve"> </w:t>
      </w:r>
      <w:r w:rsidR="00054877" w:rsidRPr="005B107D">
        <w:rPr>
          <w:b/>
          <w:bCs/>
          <w:lang w:val="es-ES_tradnl"/>
        </w:rPr>
        <w:t>13</w:t>
      </w:r>
      <w:r w:rsidRPr="005B107D">
        <w:rPr>
          <w:b/>
          <w:bCs/>
          <w:lang w:val="es-ES_tradnl"/>
        </w:rPr>
        <w:t>:</w:t>
      </w:r>
      <w:r w:rsidR="00054877" w:rsidRPr="005B107D">
        <w:rPr>
          <w:b/>
          <w:bCs/>
          <w:lang w:val="es-ES_tradnl"/>
        </w:rPr>
        <w:t>00</w:t>
      </w:r>
      <w:r w:rsidRPr="005B107D">
        <w:rPr>
          <w:b/>
          <w:bCs/>
          <w:lang w:val="es-ES_tradnl"/>
        </w:rPr>
        <w:t xml:space="preserve"> Sesión plenaria</w:t>
      </w:r>
    </w:p>
    <w:p w14:paraId="3483B0A9" w14:textId="77777777" w:rsidR="000A5567" w:rsidRPr="005B107D" w:rsidRDefault="000A5567" w:rsidP="000A5567">
      <w:pPr>
        <w:tabs>
          <w:tab w:val="left" w:pos="1403"/>
        </w:tabs>
        <w:snapToGrid w:val="0"/>
        <w:spacing w:after="0" w:line="240" w:lineRule="auto"/>
        <w:rPr>
          <w:bCs/>
          <w:lang w:val="es-ES_tradnl"/>
        </w:rPr>
      </w:pPr>
    </w:p>
    <w:p w14:paraId="3B1D191D" w14:textId="77777777" w:rsidR="000A5567" w:rsidRPr="005B107D" w:rsidRDefault="000A5567" w:rsidP="000A5567">
      <w:pPr>
        <w:pBdr>
          <w:top w:val="single" w:sz="4" w:space="3" w:color="auto"/>
          <w:left w:val="single" w:sz="4" w:space="4" w:color="auto"/>
          <w:bottom w:val="single" w:sz="4" w:space="3" w:color="auto"/>
          <w:right w:val="single" w:sz="4" w:space="4" w:color="auto"/>
        </w:pBdr>
        <w:snapToGrid w:val="0"/>
        <w:spacing w:after="0" w:line="240" w:lineRule="auto"/>
        <w:rPr>
          <w:bCs/>
          <w:lang w:val="es-ES_tradnl"/>
        </w:rPr>
      </w:pPr>
      <w:r w:rsidRPr="005B107D">
        <w:rPr>
          <w:rFonts w:cs="Calibri"/>
          <w:b/>
          <w:bCs/>
          <w:lang w:val="es-ES_tradnl"/>
        </w:rPr>
        <w:t xml:space="preserve">Punto 18 del orden del día: </w:t>
      </w:r>
      <w:r w:rsidRPr="005B107D">
        <w:rPr>
          <w:b/>
          <w:bCs/>
          <w:lang w:val="es-ES_tradnl"/>
        </w:rPr>
        <w:t>Examen de los proyectos de resolución y de recomendación presentados por las Partes Contratantes y el Comité Permanente</w:t>
      </w:r>
      <w:r w:rsidRPr="005B107D" w:rsidDel="00CF24ED">
        <w:rPr>
          <w:rFonts w:cs="Calibri"/>
          <w:b/>
          <w:bCs/>
          <w:lang w:val="es-ES_tradnl"/>
        </w:rPr>
        <w:t xml:space="preserve"> </w:t>
      </w:r>
      <w:r w:rsidRPr="005B107D">
        <w:rPr>
          <w:bCs/>
          <w:lang w:val="es-ES_tradnl"/>
        </w:rPr>
        <w:t>(continuación)</w:t>
      </w:r>
    </w:p>
    <w:p w14:paraId="66593F94" w14:textId="77777777" w:rsidR="000A5567" w:rsidRPr="005B107D" w:rsidRDefault="000A5567" w:rsidP="000A5567">
      <w:pPr>
        <w:snapToGrid w:val="0"/>
        <w:spacing w:after="0" w:line="240" w:lineRule="auto"/>
        <w:ind w:left="426"/>
        <w:jc w:val="both"/>
        <w:rPr>
          <w:bCs/>
          <w:lang w:val="es-ES_tradnl"/>
        </w:rPr>
      </w:pPr>
    </w:p>
    <w:p w14:paraId="08E90D00" w14:textId="51DECD25" w:rsidR="000A5567" w:rsidRPr="005B107D" w:rsidRDefault="000A5567" w:rsidP="000A5567">
      <w:pPr>
        <w:snapToGrid w:val="0"/>
        <w:spacing w:after="0" w:line="240" w:lineRule="auto"/>
        <w:ind w:left="425" w:hanging="425"/>
        <w:rPr>
          <w:bCs/>
          <w:lang w:val="es-ES_tradnl"/>
        </w:rPr>
      </w:pPr>
      <w:r w:rsidRPr="005B107D">
        <w:rPr>
          <w:bCs/>
          <w:lang w:val="es-ES_tradnl"/>
        </w:rPr>
        <w:t>1.</w:t>
      </w:r>
      <w:r w:rsidRPr="005B107D">
        <w:rPr>
          <w:bCs/>
          <w:lang w:val="es-ES_tradnl"/>
        </w:rPr>
        <w:tab/>
        <w:t xml:space="preserve">La </w:t>
      </w:r>
      <w:r w:rsidRPr="005B107D">
        <w:rPr>
          <w:b/>
          <w:bCs/>
          <w:lang w:val="es-ES_tradnl"/>
        </w:rPr>
        <w:t xml:space="preserve">Conferencia </w:t>
      </w:r>
      <w:r w:rsidRPr="005B107D">
        <w:rPr>
          <w:bCs/>
          <w:lang w:val="es-ES_tradnl"/>
        </w:rPr>
        <w:t>recibió candidaturas de cada una de las regiones de Ramsar con respecto a su representación en el grupo de trabajo establecido para examinar los proyectos de resolución que pudiesen tener implicaci</w:t>
      </w:r>
      <w:r w:rsidR="00660368" w:rsidRPr="005B107D">
        <w:rPr>
          <w:bCs/>
          <w:lang w:val="es-ES_tradnl"/>
        </w:rPr>
        <w:t xml:space="preserve">ones para el trabajo </w:t>
      </w:r>
      <w:r w:rsidRPr="005B107D">
        <w:rPr>
          <w:bCs/>
          <w:lang w:val="es-ES_tradnl"/>
        </w:rPr>
        <w:t>del Grupo de Examen Científico y Técnico (GECT). El grupo estaría formado por personas de las siguientes Partes Contratantes (además de la Presidencia del GECT y los miembros del GECT presentes en la COP13):</w:t>
      </w:r>
    </w:p>
    <w:p w14:paraId="6FA4729E" w14:textId="77777777" w:rsidR="000A5567" w:rsidRPr="005B107D" w:rsidRDefault="000A5567" w:rsidP="000A5567">
      <w:pPr>
        <w:snapToGrid w:val="0"/>
        <w:spacing w:after="0" w:line="240" w:lineRule="auto"/>
        <w:rPr>
          <w:bCs/>
          <w:lang w:val="es-ES_tradnl"/>
        </w:rPr>
      </w:pPr>
    </w:p>
    <w:p w14:paraId="12CE0B64" w14:textId="77777777" w:rsidR="000A5567" w:rsidRPr="005B107D" w:rsidRDefault="000A5567" w:rsidP="000A5567">
      <w:pPr>
        <w:pStyle w:val="ListParagraph"/>
        <w:numPr>
          <w:ilvl w:val="0"/>
          <w:numId w:val="1"/>
        </w:numPr>
        <w:snapToGrid w:val="0"/>
        <w:spacing w:after="0" w:line="240" w:lineRule="auto"/>
        <w:ind w:left="850" w:hanging="425"/>
        <w:rPr>
          <w:bCs/>
          <w:lang w:val="es-ES_tradnl"/>
        </w:rPr>
      </w:pPr>
      <w:r w:rsidRPr="005B107D">
        <w:rPr>
          <w:bCs/>
          <w:lang w:val="es-ES_tradnl"/>
        </w:rPr>
        <w:t>África: Rwanda</w:t>
      </w:r>
    </w:p>
    <w:p w14:paraId="0597B5B3" w14:textId="77777777" w:rsidR="000A5567" w:rsidRPr="005B107D" w:rsidRDefault="000A5567" w:rsidP="000A5567">
      <w:pPr>
        <w:pStyle w:val="ListParagraph"/>
        <w:numPr>
          <w:ilvl w:val="0"/>
          <w:numId w:val="1"/>
        </w:numPr>
        <w:snapToGrid w:val="0"/>
        <w:spacing w:after="0" w:line="240" w:lineRule="auto"/>
        <w:ind w:left="850" w:hanging="425"/>
        <w:rPr>
          <w:bCs/>
          <w:lang w:val="es-ES_tradnl"/>
        </w:rPr>
      </w:pPr>
      <w:r w:rsidRPr="005B107D">
        <w:rPr>
          <w:bCs/>
          <w:lang w:val="es-ES_tradnl"/>
        </w:rPr>
        <w:t>Asia: Bangladesh</w:t>
      </w:r>
    </w:p>
    <w:p w14:paraId="28225A9D" w14:textId="12DA0E60" w:rsidR="000A5567" w:rsidRPr="005B107D" w:rsidRDefault="000A5567" w:rsidP="000A5567">
      <w:pPr>
        <w:pStyle w:val="ListParagraph"/>
        <w:numPr>
          <w:ilvl w:val="0"/>
          <w:numId w:val="1"/>
        </w:numPr>
        <w:snapToGrid w:val="0"/>
        <w:spacing w:after="0" w:line="240" w:lineRule="auto"/>
        <w:ind w:left="850" w:hanging="425"/>
        <w:rPr>
          <w:bCs/>
          <w:lang w:val="es-ES_tradnl"/>
        </w:rPr>
      </w:pPr>
      <w:r w:rsidRPr="005B107D">
        <w:rPr>
          <w:bCs/>
          <w:lang w:val="es-ES_tradnl"/>
        </w:rPr>
        <w:t>Europa: Reino Unido</w:t>
      </w:r>
    </w:p>
    <w:p w14:paraId="48FAF08F" w14:textId="77777777" w:rsidR="000A5567" w:rsidRPr="005B107D" w:rsidRDefault="000A5567" w:rsidP="000A5567">
      <w:pPr>
        <w:pStyle w:val="ListParagraph"/>
        <w:numPr>
          <w:ilvl w:val="0"/>
          <w:numId w:val="1"/>
        </w:numPr>
        <w:snapToGrid w:val="0"/>
        <w:spacing w:after="0" w:line="240" w:lineRule="auto"/>
        <w:ind w:left="850" w:hanging="425"/>
        <w:rPr>
          <w:bCs/>
          <w:lang w:val="es-ES_tradnl"/>
        </w:rPr>
      </w:pPr>
      <w:r w:rsidRPr="005B107D">
        <w:rPr>
          <w:bCs/>
          <w:lang w:val="es-ES_tradnl"/>
        </w:rPr>
        <w:t>América Latina y el Caribe: Chile</w:t>
      </w:r>
    </w:p>
    <w:p w14:paraId="5DEB6847" w14:textId="3378991D" w:rsidR="000A5567" w:rsidRPr="005B107D" w:rsidRDefault="000A5567" w:rsidP="000A5567">
      <w:pPr>
        <w:pStyle w:val="ListParagraph"/>
        <w:numPr>
          <w:ilvl w:val="0"/>
          <w:numId w:val="1"/>
        </w:numPr>
        <w:snapToGrid w:val="0"/>
        <w:spacing w:after="0" w:line="240" w:lineRule="auto"/>
        <w:ind w:left="850" w:hanging="425"/>
        <w:rPr>
          <w:bCs/>
          <w:lang w:val="es-ES_tradnl"/>
        </w:rPr>
      </w:pPr>
      <w:r w:rsidRPr="005B107D">
        <w:rPr>
          <w:bCs/>
          <w:lang w:val="es-ES_tradnl"/>
        </w:rPr>
        <w:t xml:space="preserve">América del Norte: México y Estados Unidos de América </w:t>
      </w:r>
    </w:p>
    <w:p w14:paraId="2B0C4CD4" w14:textId="77777777" w:rsidR="000A5567" w:rsidRPr="005B107D" w:rsidRDefault="000A5567" w:rsidP="000A5567">
      <w:pPr>
        <w:pStyle w:val="ListParagraph"/>
        <w:numPr>
          <w:ilvl w:val="0"/>
          <w:numId w:val="1"/>
        </w:numPr>
        <w:snapToGrid w:val="0"/>
        <w:spacing w:after="0" w:line="240" w:lineRule="auto"/>
        <w:ind w:left="850" w:hanging="425"/>
        <w:rPr>
          <w:bCs/>
          <w:lang w:val="es-ES_tradnl"/>
        </w:rPr>
      </w:pPr>
      <w:r w:rsidRPr="005B107D">
        <w:rPr>
          <w:bCs/>
          <w:lang w:val="es-ES_tradnl"/>
        </w:rPr>
        <w:t>Oceanía: Nueva Zelandia</w:t>
      </w:r>
    </w:p>
    <w:p w14:paraId="11EC1D1C" w14:textId="77777777" w:rsidR="000A5567" w:rsidRPr="005B107D" w:rsidRDefault="000A5567" w:rsidP="000A5567">
      <w:pPr>
        <w:snapToGrid w:val="0"/>
        <w:spacing w:after="0" w:line="240" w:lineRule="auto"/>
        <w:rPr>
          <w:bCs/>
          <w:lang w:val="es-ES_tradnl"/>
        </w:rPr>
      </w:pPr>
    </w:p>
    <w:p w14:paraId="2A258893" w14:textId="1BE028EF" w:rsidR="000A5567" w:rsidRPr="005B107D" w:rsidRDefault="000A5567" w:rsidP="000A5567">
      <w:pPr>
        <w:snapToGrid w:val="0"/>
        <w:spacing w:after="0" w:line="240" w:lineRule="auto"/>
        <w:ind w:left="425" w:hanging="425"/>
        <w:rPr>
          <w:bCs/>
          <w:lang w:val="es-ES_tradnl"/>
        </w:rPr>
      </w:pPr>
      <w:r w:rsidRPr="005B107D">
        <w:rPr>
          <w:bCs/>
          <w:lang w:val="es-ES_tradnl"/>
        </w:rPr>
        <w:t>2.</w:t>
      </w:r>
      <w:r w:rsidRPr="005B107D">
        <w:rPr>
          <w:bCs/>
          <w:lang w:val="es-ES_tradnl"/>
        </w:rPr>
        <w:tab/>
        <w:t xml:space="preserve">El </w:t>
      </w:r>
      <w:r w:rsidRPr="005B107D">
        <w:rPr>
          <w:b/>
          <w:bCs/>
          <w:lang w:val="es-ES_tradnl"/>
        </w:rPr>
        <w:t>Senegal</w:t>
      </w:r>
      <w:r w:rsidRPr="005B107D">
        <w:rPr>
          <w:bCs/>
          <w:lang w:val="es-ES_tradnl"/>
        </w:rPr>
        <w:t xml:space="preserve">, en nombre propio y también en nombre de la </w:t>
      </w:r>
      <w:r w:rsidRPr="005B107D">
        <w:rPr>
          <w:b/>
          <w:bCs/>
          <w:lang w:val="es-ES_tradnl"/>
        </w:rPr>
        <w:t>República Centroafricana</w:t>
      </w:r>
      <w:r w:rsidRPr="005B107D">
        <w:rPr>
          <w:bCs/>
          <w:lang w:val="es-ES_tradnl"/>
        </w:rPr>
        <w:t xml:space="preserve">, como autores del proyecto de resolución sobre la paz y la seguridad incluido en el documento COP13 Doc.18.19, </w:t>
      </w:r>
      <w:r w:rsidR="00367026" w:rsidRPr="005B107D">
        <w:rPr>
          <w:bCs/>
          <w:lang w:val="es-ES_tradnl"/>
        </w:rPr>
        <w:t>manifestó</w:t>
      </w:r>
      <w:r w:rsidRPr="005B107D">
        <w:rPr>
          <w:bCs/>
          <w:lang w:val="es-ES_tradnl"/>
        </w:rPr>
        <w:t xml:space="preserve"> su preocupación sobre el </w:t>
      </w:r>
      <w:r w:rsidR="00660368" w:rsidRPr="005B107D">
        <w:rPr>
          <w:bCs/>
          <w:lang w:val="es-ES_tradnl"/>
        </w:rPr>
        <w:t>procedimiento</w:t>
      </w:r>
      <w:r w:rsidRPr="005B107D">
        <w:rPr>
          <w:bCs/>
          <w:lang w:val="es-ES_tradnl"/>
        </w:rPr>
        <w:t xml:space="preserve"> seguido por las Partes Contratantes</w:t>
      </w:r>
      <w:r w:rsidR="00660368" w:rsidRPr="005B107D">
        <w:rPr>
          <w:bCs/>
          <w:lang w:val="es-ES_tradnl"/>
        </w:rPr>
        <w:t>,</w:t>
      </w:r>
      <w:r w:rsidRPr="005B107D">
        <w:rPr>
          <w:bCs/>
          <w:lang w:val="es-ES_tradnl"/>
        </w:rPr>
        <w:t xml:space="preserve"> que se habían reunido para hablar sobre el texto sin que los autores estuviesen presentes. </w:t>
      </w:r>
    </w:p>
    <w:p w14:paraId="7CF53B3A" w14:textId="77777777" w:rsidR="000A5567" w:rsidRPr="005B107D" w:rsidRDefault="000A5567" w:rsidP="000A5567">
      <w:pPr>
        <w:snapToGrid w:val="0"/>
        <w:spacing w:after="0" w:line="240" w:lineRule="auto"/>
        <w:ind w:left="425" w:hanging="425"/>
        <w:rPr>
          <w:bCs/>
          <w:lang w:val="es-ES_tradnl"/>
        </w:rPr>
      </w:pPr>
    </w:p>
    <w:p w14:paraId="66EE1961" w14:textId="77777777" w:rsidR="000A5567" w:rsidRPr="005B107D" w:rsidRDefault="000A5567" w:rsidP="000A5567">
      <w:pPr>
        <w:snapToGrid w:val="0"/>
        <w:spacing w:after="0" w:line="240" w:lineRule="auto"/>
        <w:ind w:left="425" w:hanging="425"/>
        <w:rPr>
          <w:bCs/>
          <w:lang w:val="es-ES_tradnl"/>
        </w:rPr>
      </w:pPr>
      <w:r w:rsidRPr="005B107D">
        <w:rPr>
          <w:bCs/>
          <w:lang w:val="es-ES_tradnl"/>
        </w:rPr>
        <w:t>3.</w:t>
      </w:r>
      <w:r w:rsidRPr="005B107D">
        <w:rPr>
          <w:bCs/>
          <w:lang w:val="es-ES_tradnl"/>
        </w:rPr>
        <w:tab/>
        <w:t xml:space="preserve">El </w:t>
      </w:r>
      <w:r w:rsidRPr="005B107D">
        <w:rPr>
          <w:b/>
          <w:bCs/>
          <w:lang w:val="es-ES_tradnl"/>
        </w:rPr>
        <w:t>Brasil</w:t>
      </w:r>
      <w:r w:rsidRPr="005B107D">
        <w:rPr>
          <w:bCs/>
          <w:lang w:val="es-ES_tradnl"/>
        </w:rPr>
        <w:t xml:space="preserve"> informó de que el grupo de trabajo establecido por la Presidencia durante la sesión plenaria de la tarde del 24 de octubre se había reunido esa noche y ya estaba preparado el texto revisado. </w:t>
      </w:r>
    </w:p>
    <w:p w14:paraId="57507B13" w14:textId="77777777" w:rsidR="000A5567" w:rsidRPr="005B107D" w:rsidRDefault="000A5567" w:rsidP="000A5567">
      <w:pPr>
        <w:snapToGrid w:val="0"/>
        <w:spacing w:after="0" w:line="240" w:lineRule="auto"/>
        <w:ind w:left="425" w:hanging="425"/>
        <w:rPr>
          <w:bCs/>
          <w:lang w:val="es-ES_tradnl"/>
        </w:rPr>
      </w:pPr>
    </w:p>
    <w:p w14:paraId="458E63C4" w14:textId="618FA46F" w:rsidR="000A5567" w:rsidRPr="005B107D" w:rsidRDefault="000A5567" w:rsidP="000A5567">
      <w:pPr>
        <w:snapToGrid w:val="0"/>
        <w:spacing w:after="0" w:line="240" w:lineRule="auto"/>
        <w:ind w:left="425" w:hanging="425"/>
        <w:rPr>
          <w:bCs/>
          <w:lang w:val="es-ES_tradnl"/>
        </w:rPr>
      </w:pPr>
      <w:r w:rsidRPr="005B107D">
        <w:rPr>
          <w:bCs/>
          <w:lang w:val="es-ES_tradnl"/>
        </w:rPr>
        <w:t>4.</w:t>
      </w:r>
      <w:r w:rsidRPr="005B107D">
        <w:rPr>
          <w:bCs/>
          <w:lang w:val="es-ES_tradnl"/>
        </w:rPr>
        <w:tab/>
        <w:t xml:space="preserve">La </w:t>
      </w:r>
      <w:r w:rsidRPr="005B107D">
        <w:rPr>
          <w:b/>
          <w:bCs/>
          <w:lang w:val="es-ES_tradnl"/>
        </w:rPr>
        <w:t>Secretaria General</w:t>
      </w:r>
      <w:r w:rsidRPr="005B107D">
        <w:rPr>
          <w:bCs/>
          <w:lang w:val="es-ES_tradnl"/>
        </w:rPr>
        <w:t xml:space="preserve"> informó de que </w:t>
      </w:r>
      <w:r w:rsidR="0034510E" w:rsidRPr="005B107D">
        <w:rPr>
          <w:bCs/>
          <w:lang w:val="es-ES_tradnl"/>
        </w:rPr>
        <w:t>ese</w:t>
      </w:r>
      <w:r w:rsidRPr="005B107D">
        <w:rPr>
          <w:bCs/>
          <w:lang w:val="es-ES_tradnl"/>
        </w:rPr>
        <w:t xml:space="preserve"> tema había sido remitido a la Mesa de la Conferencia. </w:t>
      </w:r>
    </w:p>
    <w:p w14:paraId="02962435" w14:textId="77777777" w:rsidR="000A5567" w:rsidRPr="005B107D" w:rsidRDefault="000A5567" w:rsidP="000A5567">
      <w:pPr>
        <w:tabs>
          <w:tab w:val="left" w:pos="1403"/>
        </w:tabs>
        <w:snapToGrid w:val="0"/>
        <w:spacing w:after="0" w:line="240" w:lineRule="auto"/>
        <w:rPr>
          <w:bCs/>
          <w:lang w:val="es-ES_tradnl"/>
        </w:rPr>
      </w:pPr>
    </w:p>
    <w:p w14:paraId="54F7BC1A" w14:textId="77777777" w:rsidR="000A5567" w:rsidRPr="005B107D" w:rsidRDefault="000A5567" w:rsidP="000A5567">
      <w:pPr>
        <w:keepNext/>
        <w:pBdr>
          <w:top w:val="single" w:sz="4" w:space="1" w:color="auto"/>
          <w:left w:val="single" w:sz="4" w:space="4" w:color="auto"/>
          <w:bottom w:val="single" w:sz="4" w:space="1" w:color="auto"/>
          <w:right w:val="single" w:sz="4" w:space="4" w:color="auto"/>
        </w:pBdr>
        <w:snapToGrid w:val="0"/>
        <w:spacing w:after="0" w:line="240" w:lineRule="auto"/>
        <w:rPr>
          <w:b/>
          <w:bCs/>
          <w:lang w:val="es-ES_tradnl"/>
        </w:rPr>
      </w:pPr>
      <w:r w:rsidRPr="005B107D">
        <w:rPr>
          <w:b/>
          <w:bCs/>
          <w:lang w:val="es-ES_tradnl"/>
        </w:rPr>
        <w:lastRenderedPageBreak/>
        <w:t xml:space="preserve">18.26 Proyecto de resolución sobre </w:t>
      </w:r>
      <w:r w:rsidRPr="005B107D">
        <w:rPr>
          <w:b/>
          <w:lang w:val="es-ES_tradnl"/>
        </w:rPr>
        <w:t>el fortalecimiento de la conservación de las zonas de reproducción, alimentación y crecimiento de las tortugas marinas y la designación como sitios Ramsar de los lugares importantes</w:t>
      </w:r>
    </w:p>
    <w:p w14:paraId="3EF809CA" w14:textId="77777777" w:rsidR="000A5567" w:rsidRPr="005B107D" w:rsidRDefault="000A5567" w:rsidP="000A5567">
      <w:pPr>
        <w:keepNext/>
        <w:snapToGrid w:val="0"/>
        <w:spacing w:after="0" w:line="240" w:lineRule="auto"/>
        <w:rPr>
          <w:bCs/>
          <w:lang w:val="es-ES_tradnl"/>
        </w:rPr>
      </w:pPr>
    </w:p>
    <w:p w14:paraId="093C6480" w14:textId="57359CD5" w:rsidR="00367026" w:rsidRPr="005B107D" w:rsidRDefault="000A5567" w:rsidP="00367026">
      <w:pPr>
        <w:snapToGrid w:val="0"/>
        <w:spacing w:after="0" w:line="240" w:lineRule="auto"/>
        <w:ind w:left="425" w:hanging="425"/>
        <w:rPr>
          <w:bCs/>
          <w:lang w:val="es-ES_tradnl"/>
        </w:rPr>
      </w:pPr>
      <w:r w:rsidRPr="005B107D">
        <w:rPr>
          <w:bCs/>
          <w:lang w:val="es-ES_tradnl"/>
        </w:rPr>
        <w:t>5.</w:t>
      </w:r>
      <w:r w:rsidRPr="005B107D">
        <w:rPr>
          <w:bCs/>
          <w:lang w:val="es-ES_tradnl"/>
        </w:rPr>
        <w:tab/>
      </w:r>
      <w:r w:rsidRPr="005B107D">
        <w:rPr>
          <w:b/>
          <w:bCs/>
          <w:lang w:val="es-ES_tradnl"/>
        </w:rPr>
        <w:t>Francia</w:t>
      </w:r>
      <w:r w:rsidRPr="005B107D">
        <w:rPr>
          <w:bCs/>
          <w:lang w:val="es-ES_tradnl"/>
        </w:rPr>
        <w:t xml:space="preserve"> y el </w:t>
      </w:r>
      <w:r w:rsidRPr="005B107D">
        <w:rPr>
          <w:b/>
          <w:bCs/>
          <w:lang w:val="es-ES_tradnl"/>
        </w:rPr>
        <w:t>Senegal</w:t>
      </w:r>
      <w:r w:rsidRPr="005B107D">
        <w:rPr>
          <w:bCs/>
          <w:lang w:val="es-ES_tradnl"/>
        </w:rPr>
        <w:t xml:space="preserve"> presentaron el proyecto de resolución incluido en el documento COP13 Doc.18.26. </w:t>
      </w:r>
      <w:r w:rsidR="00367026" w:rsidRPr="005B107D">
        <w:rPr>
          <w:bCs/>
          <w:lang w:val="es-ES_tradnl"/>
        </w:rPr>
        <w:t>Expresaron su agradecimiento</w:t>
      </w:r>
      <w:r w:rsidRPr="005B107D">
        <w:rPr>
          <w:bCs/>
          <w:lang w:val="es-ES_tradnl"/>
        </w:rPr>
        <w:t xml:space="preserve"> a las Partes Contratantes que </w:t>
      </w:r>
      <w:r w:rsidR="00367026" w:rsidRPr="005B107D">
        <w:rPr>
          <w:bCs/>
          <w:lang w:val="es-ES_tradnl"/>
        </w:rPr>
        <w:t xml:space="preserve">ya </w:t>
      </w:r>
      <w:r w:rsidRPr="005B107D">
        <w:rPr>
          <w:bCs/>
          <w:lang w:val="es-ES_tradnl"/>
        </w:rPr>
        <w:t xml:space="preserve">habían prestado apoyo técnico con miras a mejorar el texto y se manifestaron dispuestos a tener en cuenta </w:t>
      </w:r>
      <w:r w:rsidR="00367026" w:rsidRPr="005B107D">
        <w:rPr>
          <w:bCs/>
          <w:lang w:val="es-ES_tradnl"/>
        </w:rPr>
        <w:t>toda enmienda</w:t>
      </w:r>
      <w:r w:rsidRPr="005B107D">
        <w:rPr>
          <w:bCs/>
          <w:lang w:val="es-ES_tradnl"/>
        </w:rPr>
        <w:t xml:space="preserve"> adi</w:t>
      </w:r>
      <w:r w:rsidR="00367026" w:rsidRPr="005B107D">
        <w:rPr>
          <w:bCs/>
          <w:lang w:val="es-ES_tradnl"/>
        </w:rPr>
        <w:t>cional que se pudiera proponer.</w:t>
      </w:r>
    </w:p>
    <w:p w14:paraId="22FE4E69" w14:textId="77777777" w:rsidR="00367026" w:rsidRPr="005B107D" w:rsidRDefault="00367026" w:rsidP="00367026">
      <w:pPr>
        <w:snapToGrid w:val="0"/>
        <w:spacing w:after="0" w:line="240" w:lineRule="auto"/>
        <w:ind w:left="425" w:hanging="425"/>
        <w:rPr>
          <w:bCs/>
          <w:lang w:val="es-ES_tradnl"/>
        </w:rPr>
      </w:pPr>
    </w:p>
    <w:p w14:paraId="0F7C3468" w14:textId="19AA21D2" w:rsidR="000A5567" w:rsidRPr="005B107D" w:rsidRDefault="00367026" w:rsidP="00367026">
      <w:pPr>
        <w:snapToGrid w:val="0"/>
        <w:spacing w:after="0" w:line="240" w:lineRule="auto"/>
        <w:ind w:left="425" w:hanging="425"/>
        <w:rPr>
          <w:bCs/>
          <w:lang w:val="es-ES_tradnl"/>
        </w:rPr>
      </w:pPr>
      <w:r w:rsidRPr="005B107D">
        <w:rPr>
          <w:bCs/>
          <w:lang w:val="es-ES_tradnl"/>
        </w:rPr>
        <w:t>6.</w:t>
      </w:r>
      <w:r w:rsidRPr="005B107D">
        <w:rPr>
          <w:bCs/>
          <w:lang w:val="es-ES_tradnl"/>
        </w:rPr>
        <w:tab/>
      </w:r>
      <w:r w:rsidR="000A5567" w:rsidRPr="005B107D">
        <w:rPr>
          <w:bCs/>
          <w:lang w:val="es-ES_tradnl"/>
        </w:rPr>
        <w:t xml:space="preserve">El proyecto de resolución fue apoyado por la </w:t>
      </w:r>
      <w:r w:rsidR="000A5567" w:rsidRPr="005B107D">
        <w:rPr>
          <w:b/>
          <w:bCs/>
          <w:lang w:val="es-ES_tradnl"/>
        </w:rPr>
        <w:t>Argentina</w:t>
      </w:r>
      <w:r w:rsidR="000A5567" w:rsidRPr="005B107D">
        <w:rPr>
          <w:bCs/>
          <w:lang w:val="es-ES_tradnl"/>
        </w:rPr>
        <w:t xml:space="preserve">, </w:t>
      </w:r>
      <w:r w:rsidR="000A5567" w:rsidRPr="005B107D">
        <w:rPr>
          <w:b/>
          <w:bCs/>
          <w:lang w:val="es-ES_tradnl"/>
        </w:rPr>
        <w:t>Bangladesh</w:t>
      </w:r>
      <w:r w:rsidR="000A5567" w:rsidRPr="005B107D">
        <w:rPr>
          <w:bCs/>
          <w:lang w:val="es-ES_tradnl"/>
        </w:rPr>
        <w:t xml:space="preserve">, </w:t>
      </w:r>
      <w:r w:rsidR="000A5567" w:rsidRPr="005B107D">
        <w:rPr>
          <w:b/>
          <w:bCs/>
          <w:lang w:val="es-ES_tradnl"/>
        </w:rPr>
        <w:t>Benin</w:t>
      </w:r>
      <w:r w:rsidR="000A5567" w:rsidRPr="005B107D">
        <w:rPr>
          <w:bCs/>
          <w:lang w:val="es-ES_tradnl"/>
        </w:rPr>
        <w:t xml:space="preserve">, el </w:t>
      </w:r>
      <w:r w:rsidR="000A5567" w:rsidRPr="005B107D">
        <w:rPr>
          <w:b/>
          <w:bCs/>
          <w:lang w:val="es-ES_tradnl"/>
        </w:rPr>
        <w:t>Brasil</w:t>
      </w:r>
      <w:r w:rsidR="000A5567" w:rsidRPr="005B107D">
        <w:rPr>
          <w:bCs/>
          <w:lang w:val="es-ES_tradnl"/>
        </w:rPr>
        <w:t xml:space="preserve">, el </w:t>
      </w:r>
      <w:r w:rsidR="000A5567" w:rsidRPr="005B107D">
        <w:rPr>
          <w:b/>
          <w:bCs/>
          <w:lang w:val="es-ES_tradnl"/>
        </w:rPr>
        <w:t>Canadá</w:t>
      </w:r>
      <w:r w:rsidR="000A5567" w:rsidRPr="005B107D">
        <w:rPr>
          <w:bCs/>
          <w:lang w:val="es-ES_tradnl"/>
        </w:rPr>
        <w:t xml:space="preserve">, </w:t>
      </w:r>
      <w:r w:rsidR="000A5567" w:rsidRPr="005B107D">
        <w:rPr>
          <w:b/>
          <w:bCs/>
          <w:lang w:val="es-ES_tradnl"/>
        </w:rPr>
        <w:t>Colombia</w:t>
      </w:r>
      <w:r w:rsidR="000A5567" w:rsidRPr="005B107D">
        <w:rPr>
          <w:bCs/>
          <w:lang w:val="es-ES_tradnl"/>
        </w:rPr>
        <w:t xml:space="preserve">, </w:t>
      </w:r>
      <w:r w:rsidR="000A5567" w:rsidRPr="005B107D">
        <w:rPr>
          <w:b/>
          <w:bCs/>
          <w:lang w:val="es-ES_tradnl"/>
        </w:rPr>
        <w:t>Costa Rica</w:t>
      </w:r>
      <w:r w:rsidR="000A5567" w:rsidRPr="005B107D">
        <w:rPr>
          <w:bCs/>
          <w:lang w:val="es-ES_tradnl"/>
        </w:rPr>
        <w:t xml:space="preserve">, </w:t>
      </w:r>
      <w:r w:rsidR="000A5567" w:rsidRPr="005B107D">
        <w:rPr>
          <w:b/>
          <w:bCs/>
          <w:lang w:val="es-ES_tradnl"/>
        </w:rPr>
        <w:t>Côte d’Ivoire</w:t>
      </w:r>
      <w:r w:rsidR="000A5567" w:rsidRPr="005B107D">
        <w:rPr>
          <w:bCs/>
          <w:lang w:val="es-ES_tradnl"/>
        </w:rPr>
        <w:t xml:space="preserve">, </w:t>
      </w:r>
      <w:r w:rsidR="000A5567" w:rsidRPr="005B107D">
        <w:rPr>
          <w:b/>
          <w:bCs/>
          <w:lang w:val="es-ES_tradnl"/>
        </w:rPr>
        <w:t>Cuba</w:t>
      </w:r>
      <w:r w:rsidR="000A5567" w:rsidRPr="005B107D">
        <w:rPr>
          <w:bCs/>
          <w:lang w:val="es-ES_tradnl"/>
        </w:rPr>
        <w:t xml:space="preserve">, el </w:t>
      </w:r>
      <w:r w:rsidR="000A5567" w:rsidRPr="005B107D">
        <w:rPr>
          <w:b/>
          <w:bCs/>
          <w:lang w:val="es-ES_tradnl"/>
        </w:rPr>
        <w:t>Ecuador</w:t>
      </w:r>
      <w:r w:rsidR="000A5567" w:rsidRPr="005B107D">
        <w:rPr>
          <w:bCs/>
          <w:lang w:val="es-ES_tradnl"/>
        </w:rPr>
        <w:t>, los</w:t>
      </w:r>
      <w:r w:rsidR="000A5567" w:rsidRPr="005B107D">
        <w:rPr>
          <w:b/>
          <w:bCs/>
          <w:lang w:val="es-ES_tradnl"/>
        </w:rPr>
        <w:t xml:space="preserve"> Estados Unidos de América, Guinea</w:t>
      </w:r>
      <w:r w:rsidR="000A5567" w:rsidRPr="005B107D">
        <w:rPr>
          <w:bCs/>
          <w:lang w:val="es-ES_tradnl"/>
        </w:rPr>
        <w:t xml:space="preserve">, </w:t>
      </w:r>
      <w:r w:rsidR="000A5567" w:rsidRPr="005B107D">
        <w:rPr>
          <w:b/>
          <w:bCs/>
          <w:lang w:val="es-ES_tradnl"/>
        </w:rPr>
        <w:t>Guinea Bissau</w:t>
      </w:r>
      <w:r w:rsidR="000A5567" w:rsidRPr="005B107D">
        <w:rPr>
          <w:bCs/>
          <w:lang w:val="es-ES_tradnl"/>
        </w:rPr>
        <w:t xml:space="preserve">, </w:t>
      </w:r>
      <w:r w:rsidR="000A5567" w:rsidRPr="005B107D">
        <w:rPr>
          <w:b/>
          <w:bCs/>
          <w:lang w:val="es-ES_tradnl"/>
        </w:rPr>
        <w:t>Guinea Ecuatorial</w:t>
      </w:r>
      <w:r w:rsidR="000A5567" w:rsidRPr="005B107D">
        <w:rPr>
          <w:bCs/>
          <w:lang w:val="es-ES_tradnl"/>
        </w:rPr>
        <w:t xml:space="preserve">, </w:t>
      </w:r>
      <w:r w:rsidR="000A5567" w:rsidRPr="005B107D">
        <w:rPr>
          <w:b/>
          <w:bCs/>
          <w:lang w:val="es-ES_tradnl"/>
        </w:rPr>
        <w:t>Honduras</w:t>
      </w:r>
      <w:r w:rsidR="000A5567" w:rsidRPr="005B107D">
        <w:rPr>
          <w:bCs/>
          <w:lang w:val="es-ES_tradnl"/>
        </w:rPr>
        <w:t xml:space="preserve">, la </w:t>
      </w:r>
      <w:r w:rsidR="000A5567" w:rsidRPr="005B107D">
        <w:rPr>
          <w:b/>
          <w:bCs/>
          <w:lang w:val="es-ES_tradnl"/>
        </w:rPr>
        <w:t>India</w:t>
      </w:r>
      <w:r w:rsidR="000A5567" w:rsidRPr="005B107D">
        <w:rPr>
          <w:bCs/>
          <w:lang w:val="es-ES_tradnl"/>
        </w:rPr>
        <w:t xml:space="preserve">, </w:t>
      </w:r>
      <w:r w:rsidR="000A5567" w:rsidRPr="005B107D">
        <w:rPr>
          <w:b/>
          <w:bCs/>
          <w:lang w:val="es-ES_tradnl"/>
        </w:rPr>
        <w:t>Indonesia</w:t>
      </w:r>
      <w:r w:rsidR="000A5567" w:rsidRPr="005B107D">
        <w:rPr>
          <w:bCs/>
          <w:lang w:val="es-ES_tradnl"/>
        </w:rPr>
        <w:t xml:space="preserve">, </w:t>
      </w:r>
      <w:r w:rsidR="000A5567" w:rsidRPr="005B107D">
        <w:rPr>
          <w:b/>
          <w:bCs/>
          <w:lang w:val="es-ES_tradnl"/>
        </w:rPr>
        <w:t>Kuwait</w:t>
      </w:r>
      <w:r w:rsidR="000A5567" w:rsidRPr="005B107D">
        <w:rPr>
          <w:bCs/>
          <w:lang w:val="es-ES_tradnl"/>
        </w:rPr>
        <w:t xml:space="preserve">, </w:t>
      </w:r>
      <w:r w:rsidR="000A5567" w:rsidRPr="005B107D">
        <w:rPr>
          <w:b/>
          <w:bCs/>
          <w:lang w:val="es-ES_tradnl"/>
        </w:rPr>
        <w:t>Libia</w:t>
      </w:r>
      <w:r w:rsidR="000A5567" w:rsidRPr="005B107D">
        <w:rPr>
          <w:bCs/>
          <w:lang w:val="es-ES_tradnl"/>
        </w:rPr>
        <w:t xml:space="preserve">, </w:t>
      </w:r>
      <w:r w:rsidR="000A5567" w:rsidRPr="005B107D">
        <w:rPr>
          <w:b/>
          <w:bCs/>
          <w:lang w:val="es-ES_tradnl"/>
        </w:rPr>
        <w:t>Myanmar</w:t>
      </w:r>
      <w:r w:rsidR="000A5567" w:rsidRPr="005B107D">
        <w:rPr>
          <w:bCs/>
          <w:lang w:val="es-ES_tradnl"/>
        </w:rPr>
        <w:t xml:space="preserve">, </w:t>
      </w:r>
      <w:r w:rsidR="000A5567" w:rsidRPr="005B107D">
        <w:rPr>
          <w:b/>
          <w:bCs/>
          <w:lang w:val="es-ES_tradnl"/>
        </w:rPr>
        <w:t>Nueva Zelandia</w:t>
      </w:r>
      <w:r w:rsidR="000A5567" w:rsidRPr="005B107D">
        <w:rPr>
          <w:bCs/>
          <w:lang w:val="es-ES_tradnl"/>
        </w:rPr>
        <w:t xml:space="preserve"> en nombre de la región de Oceanía, </w:t>
      </w:r>
      <w:r w:rsidR="000A5567" w:rsidRPr="005B107D">
        <w:rPr>
          <w:b/>
          <w:bCs/>
          <w:lang w:val="es-ES_tradnl"/>
        </w:rPr>
        <w:t>Omán</w:t>
      </w:r>
      <w:r w:rsidR="000A5567" w:rsidRPr="005B107D">
        <w:rPr>
          <w:bCs/>
          <w:lang w:val="es-ES_tradnl"/>
        </w:rPr>
        <w:t xml:space="preserve">, </w:t>
      </w:r>
      <w:r w:rsidR="000A5567" w:rsidRPr="005B107D">
        <w:rPr>
          <w:b/>
          <w:bCs/>
          <w:lang w:val="es-ES_tradnl"/>
        </w:rPr>
        <w:t>Panamá</w:t>
      </w:r>
      <w:r w:rsidR="000A5567" w:rsidRPr="005B107D">
        <w:rPr>
          <w:bCs/>
          <w:lang w:val="es-ES_tradnl"/>
        </w:rPr>
        <w:t xml:space="preserve">, </w:t>
      </w:r>
      <w:r w:rsidR="000A5567" w:rsidRPr="005B107D">
        <w:rPr>
          <w:b/>
          <w:bCs/>
          <w:lang w:val="es-ES_tradnl"/>
        </w:rPr>
        <w:t>Seychelles</w:t>
      </w:r>
      <w:r w:rsidR="000A5567" w:rsidRPr="005B107D">
        <w:rPr>
          <w:bCs/>
          <w:lang w:val="es-ES_tradnl"/>
        </w:rPr>
        <w:t xml:space="preserve">, </w:t>
      </w:r>
      <w:r w:rsidR="000A5567" w:rsidRPr="005B107D">
        <w:rPr>
          <w:b/>
          <w:bCs/>
          <w:lang w:val="es-ES_tradnl"/>
        </w:rPr>
        <w:t>Sudáfrica</w:t>
      </w:r>
      <w:r w:rsidR="000A5567" w:rsidRPr="005B107D">
        <w:rPr>
          <w:bCs/>
          <w:lang w:val="es-ES_tradnl"/>
        </w:rPr>
        <w:t xml:space="preserve"> en nombre de la región de África, </w:t>
      </w:r>
      <w:r w:rsidR="000A5567" w:rsidRPr="005B107D">
        <w:rPr>
          <w:b/>
          <w:bCs/>
          <w:lang w:val="es-ES_tradnl"/>
        </w:rPr>
        <w:t>Sri</w:t>
      </w:r>
      <w:r w:rsidR="000A5567" w:rsidRPr="005B107D">
        <w:rPr>
          <w:bCs/>
          <w:lang w:val="es-ES_tradnl"/>
        </w:rPr>
        <w:t xml:space="preserve"> </w:t>
      </w:r>
      <w:r w:rsidR="000A5567" w:rsidRPr="005B107D">
        <w:rPr>
          <w:b/>
          <w:bCs/>
          <w:lang w:val="es-ES_tradnl"/>
        </w:rPr>
        <w:t>Lanka</w:t>
      </w:r>
      <w:r w:rsidR="000A5567" w:rsidRPr="005B107D">
        <w:rPr>
          <w:bCs/>
          <w:lang w:val="es-ES_tradnl"/>
        </w:rPr>
        <w:t xml:space="preserve">, el </w:t>
      </w:r>
      <w:r w:rsidR="000A5567" w:rsidRPr="005B107D">
        <w:rPr>
          <w:b/>
          <w:bCs/>
          <w:lang w:val="es-ES_tradnl"/>
        </w:rPr>
        <w:t>Sudán</w:t>
      </w:r>
      <w:r w:rsidR="000A5567" w:rsidRPr="005B107D">
        <w:rPr>
          <w:bCs/>
          <w:lang w:val="es-ES_tradnl"/>
        </w:rPr>
        <w:t xml:space="preserve">, </w:t>
      </w:r>
      <w:r w:rsidR="000A5567" w:rsidRPr="005B107D">
        <w:rPr>
          <w:b/>
          <w:bCs/>
          <w:lang w:val="es-ES_tradnl"/>
        </w:rPr>
        <w:t>Tailandia</w:t>
      </w:r>
      <w:r w:rsidR="000A5567" w:rsidRPr="005B107D">
        <w:rPr>
          <w:bCs/>
          <w:lang w:val="es-ES_tradnl"/>
        </w:rPr>
        <w:t xml:space="preserve">, los </w:t>
      </w:r>
      <w:r w:rsidR="000A5567" w:rsidRPr="005B107D">
        <w:rPr>
          <w:b/>
          <w:bCs/>
          <w:lang w:val="es-ES_tradnl"/>
        </w:rPr>
        <w:t>Emiratos Árabes Unidos</w:t>
      </w:r>
      <w:r w:rsidR="000A5567" w:rsidRPr="005B107D">
        <w:rPr>
          <w:bCs/>
          <w:lang w:val="es-ES_tradnl"/>
        </w:rPr>
        <w:t xml:space="preserve">, la </w:t>
      </w:r>
      <w:r w:rsidR="000A5567" w:rsidRPr="005B107D">
        <w:rPr>
          <w:b/>
          <w:bCs/>
          <w:lang w:val="es-ES_tradnl"/>
        </w:rPr>
        <w:t xml:space="preserve">República Dominicana, </w:t>
      </w:r>
      <w:r w:rsidR="000A5567" w:rsidRPr="005B107D">
        <w:rPr>
          <w:bCs/>
          <w:lang w:val="es-ES_tradnl"/>
        </w:rPr>
        <w:t xml:space="preserve">la </w:t>
      </w:r>
      <w:r w:rsidR="000A5567" w:rsidRPr="005B107D">
        <w:rPr>
          <w:b/>
          <w:bCs/>
          <w:lang w:val="es-ES_tradnl"/>
        </w:rPr>
        <w:t>República Unida de Tanzanía</w:t>
      </w:r>
      <w:r w:rsidR="000A5567" w:rsidRPr="005B107D">
        <w:rPr>
          <w:bCs/>
          <w:lang w:val="es-ES_tradnl"/>
        </w:rPr>
        <w:t xml:space="preserve">, </w:t>
      </w:r>
      <w:r w:rsidR="000A5567" w:rsidRPr="005B107D">
        <w:rPr>
          <w:b/>
          <w:bCs/>
          <w:lang w:val="es-ES_tradnl"/>
        </w:rPr>
        <w:t>Venezuela (República Bolivariana de)</w:t>
      </w:r>
      <w:r w:rsidR="000A5567" w:rsidRPr="005B107D">
        <w:rPr>
          <w:bCs/>
          <w:lang w:val="es-ES_tradnl"/>
        </w:rPr>
        <w:t xml:space="preserve">, </w:t>
      </w:r>
      <w:r w:rsidR="000A5567" w:rsidRPr="005B107D">
        <w:rPr>
          <w:b/>
          <w:bCs/>
          <w:lang w:val="es-ES_tradnl"/>
        </w:rPr>
        <w:t>Viet Nam</w:t>
      </w:r>
      <w:r w:rsidR="000A5567" w:rsidRPr="005B107D">
        <w:rPr>
          <w:bCs/>
          <w:lang w:val="es-ES_tradnl"/>
        </w:rPr>
        <w:t xml:space="preserve"> y el observador de la </w:t>
      </w:r>
      <w:r w:rsidR="000A5567" w:rsidRPr="005B107D">
        <w:rPr>
          <w:b/>
          <w:bCs/>
          <w:lang w:val="es-ES_tradnl"/>
        </w:rPr>
        <w:t xml:space="preserve">Secretaría de la Convención sobre las Especies Migratorias </w:t>
      </w:r>
      <w:r w:rsidR="000A5567" w:rsidRPr="005B107D">
        <w:rPr>
          <w:bCs/>
          <w:lang w:val="es-ES_tradnl"/>
        </w:rPr>
        <w:t>(CEM).</w:t>
      </w:r>
      <w:r w:rsidR="000A5567" w:rsidRPr="005B107D">
        <w:rPr>
          <w:b/>
          <w:bCs/>
          <w:lang w:val="es-ES_tradnl"/>
        </w:rPr>
        <w:t xml:space="preserve"> </w:t>
      </w:r>
      <w:r w:rsidR="000A5567" w:rsidRPr="005B107D">
        <w:rPr>
          <w:bCs/>
          <w:lang w:val="es-ES_tradnl"/>
        </w:rPr>
        <w:t xml:space="preserve">En algunas de las intervenciones se propusieron </w:t>
      </w:r>
      <w:r w:rsidR="00CD1205" w:rsidRPr="005B107D">
        <w:rPr>
          <w:bCs/>
          <w:lang w:val="es-ES_tradnl"/>
        </w:rPr>
        <w:t>enmiendas específica</w:t>
      </w:r>
      <w:r w:rsidR="000A5567" w:rsidRPr="005B107D">
        <w:rPr>
          <w:bCs/>
          <w:lang w:val="es-ES_tradnl"/>
        </w:rPr>
        <w:t>s, especialm</w:t>
      </w:r>
      <w:r w:rsidR="00CD1205" w:rsidRPr="005B107D">
        <w:rPr>
          <w:bCs/>
          <w:lang w:val="es-ES_tradnl"/>
        </w:rPr>
        <w:t>ente en el caso de la lista de s</w:t>
      </w:r>
      <w:r w:rsidR="000A5567" w:rsidRPr="005B107D">
        <w:rPr>
          <w:bCs/>
          <w:lang w:val="es-ES_tradnl"/>
        </w:rPr>
        <w:t>itios Ramsar incluida en el Anexo 1, y para destacar la colaboración y las sinergias con otros instrumentos internacionales importantes, entre ellos</w:t>
      </w:r>
      <w:r w:rsidR="00CD1205" w:rsidRPr="005B107D">
        <w:rPr>
          <w:bCs/>
          <w:lang w:val="es-ES_tradnl"/>
        </w:rPr>
        <w:t xml:space="preserve"> la Convención Interamericana para la Protección y Conservación de las Tortugas Marinas y otros </w:t>
      </w:r>
      <w:r w:rsidR="000A5567" w:rsidRPr="005B107D">
        <w:rPr>
          <w:bCs/>
          <w:lang w:val="es-ES_tradnl"/>
        </w:rPr>
        <w:t xml:space="preserve">en el marco de la CEM. Las Partes Contratantes también presentaron información sobre la conservación de las tortugas marinas y señalaron la necesidad de mejorar la capacidad, el intercambio de información y el acceso a conocimientos especializados. </w:t>
      </w:r>
    </w:p>
    <w:p w14:paraId="2AF33F2B" w14:textId="77777777" w:rsidR="000A5567" w:rsidRPr="005B107D" w:rsidRDefault="000A5567" w:rsidP="000A5567">
      <w:pPr>
        <w:snapToGrid w:val="0"/>
        <w:spacing w:after="0" w:line="240" w:lineRule="auto"/>
        <w:ind w:left="425" w:hanging="425"/>
        <w:rPr>
          <w:bCs/>
          <w:lang w:val="es-ES_tradnl"/>
        </w:rPr>
      </w:pPr>
    </w:p>
    <w:p w14:paraId="50CB0FBD" w14:textId="703A756D" w:rsidR="000A5567" w:rsidRPr="005B107D" w:rsidRDefault="000A5567" w:rsidP="000A5567">
      <w:pPr>
        <w:snapToGrid w:val="0"/>
        <w:spacing w:after="0" w:line="240" w:lineRule="auto"/>
        <w:ind w:left="425" w:hanging="425"/>
        <w:rPr>
          <w:bCs/>
          <w:lang w:val="es-ES_tradnl"/>
        </w:rPr>
      </w:pPr>
      <w:r w:rsidRPr="005B107D">
        <w:rPr>
          <w:bCs/>
          <w:lang w:val="es-ES_tradnl"/>
        </w:rPr>
        <w:t>7.</w:t>
      </w:r>
      <w:r w:rsidRPr="005B107D">
        <w:rPr>
          <w:bCs/>
          <w:lang w:val="es-ES_tradnl"/>
        </w:rPr>
        <w:tab/>
        <w:t xml:space="preserve">La </w:t>
      </w:r>
      <w:r w:rsidRPr="000E61F4">
        <w:rPr>
          <w:b/>
          <w:bCs/>
          <w:lang w:val="es-ES_tradnl"/>
        </w:rPr>
        <w:t>Presidencia</w:t>
      </w:r>
      <w:r w:rsidRPr="005B107D">
        <w:rPr>
          <w:bCs/>
          <w:lang w:val="es-ES_tradnl"/>
        </w:rPr>
        <w:t xml:space="preserve"> pidió a todas las Partes Contratantes que tuvieran propuestas de </w:t>
      </w:r>
      <w:r w:rsidR="00CD1205" w:rsidRPr="005B107D">
        <w:rPr>
          <w:bCs/>
          <w:lang w:val="es-ES_tradnl"/>
        </w:rPr>
        <w:t>enmienda</w:t>
      </w:r>
      <w:r w:rsidRPr="005B107D">
        <w:rPr>
          <w:bCs/>
          <w:lang w:val="es-ES_tradnl"/>
        </w:rPr>
        <w:t xml:space="preserve"> al texto que las enviaran por escrito a la Secretaría para que pudieran ser entregadas a los autores (Francia y Senegal) a fin de que prepararan un texto revisado que sería examinado en una sesión </w:t>
      </w:r>
      <w:r w:rsidR="00CD1205" w:rsidRPr="005B107D">
        <w:rPr>
          <w:bCs/>
          <w:lang w:val="es-ES_tradnl"/>
        </w:rPr>
        <w:t>ulterior</w:t>
      </w:r>
      <w:r w:rsidRPr="005B107D">
        <w:rPr>
          <w:bCs/>
          <w:lang w:val="es-ES_tradnl"/>
        </w:rPr>
        <w:t>.</w:t>
      </w:r>
    </w:p>
    <w:p w14:paraId="21ED8E5A" w14:textId="77777777" w:rsidR="000A5567" w:rsidRPr="005B107D" w:rsidRDefault="000A5567" w:rsidP="000A5567">
      <w:pPr>
        <w:snapToGrid w:val="0"/>
        <w:spacing w:after="0" w:line="240" w:lineRule="auto"/>
        <w:ind w:left="425" w:hanging="425"/>
        <w:rPr>
          <w:bCs/>
          <w:lang w:val="es-ES_tradnl"/>
        </w:rPr>
      </w:pPr>
    </w:p>
    <w:p w14:paraId="221C4056" w14:textId="77777777" w:rsidR="00E07F15" w:rsidRPr="005B107D" w:rsidRDefault="00E07F15" w:rsidP="00E07F15">
      <w:pPr>
        <w:pBdr>
          <w:top w:val="single" w:sz="4" w:space="3" w:color="auto"/>
          <w:left w:val="single" w:sz="4" w:space="4" w:color="auto"/>
          <w:bottom w:val="single" w:sz="4" w:space="3" w:color="auto"/>
          <w:right w:val="single" w:sz="4" w:space="4" w:color="auto"/>
        </w:pBdr>
        <w:snapToGrid w:val="0"/>
        <w:spacing w:after="0" w:line="240" w:lineRule="auto"/>
        <w:rPr>
          <w:b/>
          <w:bCs/>
          <w:lang w:val="es-ES_tradnl"/>
        </w:rPr>
      </w:pPr>
      <w:r w:rsidRPr="005B107D">
        <w:rPr>
          <w:b/>
          <w:bCs/>
          <w:lang w:val="es-ES_tradnl"/>
        </w:rPr>
        <w:t>18.12 Proyecto de resolución sobre la aplicación futura de los aspectos científicos y técnicos de la Convención para 2019-2021</w:t>
      </w:r>
    </w:p>
    <w:p w14:paraId="30DCDCB7" w14:textId="77777777" w:rsidR="00E07F15" w:rsidRPr="005B107D" w:rsidRDefault="00E07F15" w:rsidP="00E07F15">
      <w:pPr>
        <w:snapToGrid w:val="0"/>
        <w:spacing w:after="0" w:line="240" w:lineRule="auto"/>
        <w:ind w:left="425" w:hanging="425"/>
        <w:rPr>
          <w:bCs/>
          <w:lang w:val="es-ES_tradnl"/>
        </w:rPr>
      </w:pPr>
    </w:p>
    <w:p w14:paraId="240C182C" w14:textId="77777777" w:rsidR="00E07F15" w:rsidRPr="005B107D" w:rsidRDefault="00E07F15" w:rsidP="00E07F15">
      <w:pPr>
        <w:snapToGrid w:val="0"/>
        <w:spacing w:after="0" w:line="240" w:lineRule="auto"/>
        <w:ind w:left="425" w:hanging="425"/>
        <w:rPr>
          <w:bCs/>
          <w:lang w:val="es-ES_tradnl"/>
        </w:rPr>
      </w:pPr>
      <w:r w:rsidRPr="005B107D">
        <w:rPr>
          <w:bCs/>
          <w:lang w:val="es-ES_tradnl"/>
        </w:rPr>
        <w:t>8.</w:t>
      </w:r>
      <w:r w:rsidRPr="005B107D">
        <w:rPr>
          <w:bCs/>
          <w:lang w:val="es-ES_tradnl"/>
        </w:rPr>
        <w:tab/>
        <w:t xml:space="preserve">El </w:t>
      </w:r>
      <w:r w:rsidRPr="005B107D">
        <w:rPr>
          <w:b/>
          <w:bCs/>
          <w:lang w:val="es-ES_tradnl"/>
        </w:rPr>
        <w:t>Presidente del GECT</w:t>
      </w:r>
      <w:r w:rsidRPr="005B107D">
        <w:rPr>
          <w:bCs/>
          <w:lang w:val="es-ES_tradnl"/>
        </w:rPr>
        <w:t>, profesor Royal Gardner, presentó el proyecto de resolución contenido en el documento COP13 Doc.18.12 y señaló a la atención de los presentes varias enmiendas de escasa importancia que afectaban a los dos anexos.</w:t>
      </w:r>
    </w:p>
    <w:p w14:paraId="7F081298" w14:textId="77777777" w:rsidR="00E07F15" w:rsidRPr="005B107D" w:rsidRDefault="00E07F15" w:rsidP="00E07F15">
      <w:pPr>
        <w:snapToGrid w:val="0"/>
        <w:spacing w:after="0" w:line="240" w:lineRule="auto"/>
        <w:ind w:left="425" w:hanging="425"/>
        <w:rPr>
          <w:bCs/>
          <w:lang w:val="es-ES_tradnl"/>
        </w:rPr>
      </w:pPr>
    </w:p>
    <w:p w14:paraId="73BE3D6A" w14:textId="7F96493D" w:rsidR="00E07F15" w:rsidRPr="005B107D" w:rsidRDefault="00E07F15" w:rsidP="00E07F15">
      <w:pPr>
        <w:snapToGrid w:val="0"/>
        <w:spacing w:after="0" w:line="240" w:lineRule="auto"/>
        <w:ind w:left="425" w:hanging="425"/>
        <w:rPr>
          <w:bCs/>
          <w:lang w:val="es-ES_tradnl"/>
        </w:rPr>
      </w:pPr>
      <w:r w:rsidRPr="005B107D">
        <w:rPr>
          <w:bCs/>
          <w:lang w:val="es-ES_tradnl"/>
        </w:rPr>
        <w:t>9.</w:t>
      </w:r>
      <w:r w:rsidRPr="005B107D">
        <w:rPr>
          <w:bCs/>
          <w:lang w:val="es-ES_tradnl"/>
        </w:rPr>
        <w:tab/>
      </w:r>
      <w:r w:rsidRPr="005B107D">
        <w:rPr>
          <w:b/>
          <w:bCs/>
          <w:lang w:val="es-ES_tradnl"/>
        </w:rPr>
        <w:t>Bélgica</w:t>
      </w:r>
      <w:r w:rsidRPr="005B107D">
        <w:rPr>
          <w:bCs/>
          <w:lang w:val="es-ES_tradnl"/>
        </w:rPr>
        <w:t>,</w:t>
      </w:r>
      <w:r w:rsidRPr="005B107D">
        <w:rPr>
          <w:b/>
          <w:bCs/>
          <w:lang w:val="es-ES_tradnl"/>
        </w:rPr>
        <w:t xml:space="preserve"> Bolivia (Estado Plurinacional de)</w:t>
      </w:r>
      <w:r w:rsidRPr="005B107D">
        <w:rPr>
          <w:bCs/>
          <w:lang w:val="es-ES_tradnl"/>
        </w:rPr>
        <w:t>,</w:t>
      </w:r>
      <w:r w:rsidRPr="005B107D">
        <w:rPr>
          <w:b/>
          <w:bCs/>
          <w:lang w:val="es-ES_tradnl"/>
        </w:rPr>
        <w:t xml:space="preserve"> </w:t>
      </w:r>
      <w:r w:rsidRPr="005B107D">
        <w:rPr>
          <w:bCs/>
          <w:lang w:val="es-ES_tradnl"/>
        </w:rPr>
        <w:t>el</w:t>
      </w:r>
      <w:r w:rsidRPr="005B107D">
        <w:rPr>
          <w:b/>
          <w:bCs/>
          <w:lang w:val="es-ES_tradnl"/>
        </w:rPr>
        <w:t xml:space="preserve"> Brasil</w:t>
      </w:r>
      <w:r w:rsidRPr="005B107D">
        <w:rPr>
          <w:bCs/>
          <w:lang w:val="es-ES_tradnl"/>
        </w:rPr>
        <w:t>,</w:t>
      </w:r>
      <w:r w:rsidRPr="005B107D">
        <w:rPr>
          <w:b/>
          <w:bCs/>
          <w:lang w:val="es-ES_tradnl"/>
        </w:rPr>
        <w:t xml:space="preserve"> Burkina Faso</w:t>
      </w:r>
      <w:r w:rsidRPr="005B107D">
        <w:rPr>
          <w:bCs/>
          <w:lang w:val="es-ES_tradnl"/>
        </w:rPr>
        <w:t>,</w:t>
      </w:r>
      <w:r w:rsidRPr="005B107D">
        <w:rPr>
          <w:b/>
          <w:bCs/>
          <w:lang w:val="es-ES_tradnl"/>
        </w:rPr>
        <w:t xml:space="preserve"> </w:t>
      </w:r>
      <w:r w:rsidRPr="005B107D">
        <w:rPr>
          <w:bCs/>
          <w:lang w:val="es-ES_tradnl"/>
        </w:rPr>
        <w:t>el</w:t>
      </w:r>
      <w:r w:rsidRPr="005B107D">
        <w:rPr>
          <w:b/>
          <w:bCs/>
          <w:lang w:val="es-ES_tradnl"/>
        </w:rPr>
        <w:t xml:space="preserve"> Canadá</w:t>
      </w:r>
      <w:r w:rsidRPr="005B107D">
        <w:rPr>
          <w:bCs/>
          <w:lang w:val="es-ES_tradnl"/>
        </w:rPr>
        <w:t>,</w:t>
      </w:r>
      <w:r w:rsidRPr="005B107D">
        <w:rPr>
          <w:b/>
          <w:bCs/>
          <w:lang w:val="es-ES_tradnl"/>
        </w:rPr>
        <w:t xml:space="preserve"> Chile</w:t>
      </w:r>
      <w:r w:rsidRPr="005B107D">
        <w:rPr>
          <w:bCs/>
          <w:lang w:val="es-ES_tradnl"/>
        </w:rPr>
        <w:t xml:space="preserve">, </w:t>
      </w:r>
      <w:r w:rsidRPr="005B107D">
        <w:rPr>
          <w:b/>
          <w:bCs/>
          <w:lang w:val="es-ES_tradnl"/>
        </w:rPr>
        <w:t>China</w:t>
      </w:r>
      <w:r w:rsidRPr="005B107D">
        <w:rPr>
          <w:bCs/>
          <w:lang w:val="es-ES_tradnl"/>
        </w:rPr>
        <w:t>,</w:t>
      </w:r>
      <w:r w:rsidRPr="005B107D">
        <w:rPr>
          <w:b/>
          <w:bCs/>
          <w:lang w:val="es-ES_tradnl"/>
        </w:rPr>
        <w:t xml:space="preserve"> </w:t>
      </w:r>
      <w:r w:rsidRPr="005B107D">
        <w:rPr>
          <w:bCs/>
          <w:lang w:val="es-ES_tradnl"/>
        </w:rPr>
        <w:t>el</w:t>
      </w:r>
      <w:r w:rsidRPr="005B107D">
        <w:rPr>
          <w:b/>
          <w:bCs/>
          <w:lang w:val="es-ES_tradnl"/>
        </w:rPr>
        <w:t xml:space="preserve"> Ecuador</w:t>
      </w:r>
      <w:r w:rsidRPr="005B107D">
        <w:rPr>
          <w:bCs/>
          <w:lang w:val="es-ES_tradnl"/>
        </w:rPr>
        <w:t>,</w:t>
      </w:r>
      <w:r w:rsidRPr="005B107D">
        <w:rPr>
          <w:b/>
          <w:bCs/>
          <w:lang w:val="es-ES_tradnl"/>
        </w:rPr>
        <w:t xml:space="preserve"> </w:t>
      </w:r>
      <w:r w:rsidRPr="005B107D">
        <w:rPr>
          <w:bCs/>
          <w:lang w:val="es-ES_tradnl"/>
        </w:rPr>
        <w:t>los</w:t>
      </w:r>
      <w:r w:rsidRPr="005B107D">
        <w:rPr>
          <w:b/>
          <w:bCs/>
          <w:lang w:val="es-ES_tradnl"/>
        </w:rPr>
        <w:t xml:space="preserve"> Estados Unidos de América</w:t>
      </w:r>
      <w:r w:rsidRPr="005B107D">
        <w:rPr>
          <w:bCs/>
          <w:lang w:val="es-ES_tradnl"/>
        </w:rPr>
        <w:t>,</w:t>
      </w:r>
      <w:r w:rsidRPr="005B107D">
        <w:rPr>
          <w:b/>
          <w:bCs/>
          <w:lang w:val="es-ES_tradnl"/>
        </w:rPr>
        <w:t xml:space="preserve"> Nueva Zelandia</w:t>
      </w:r>
      <w:r w:rsidRPr="005B107D">
        <w:rPr>
          <w:bCs/>
          <w:lang w:val="es-ES_tradnl"/>
        </w:rPr>
        <w:t>,</w:t>
      </w:r>
      <w:r w:rsidRPr="005B107D">
        <w:rPr>
          <w:b/>
          <w:bCs/>
          <w:lang w:val="es-ES_tradnl"/>
        </w:rPr>
        <w:t xml:space="preserve"> </w:t>
      </w:r>
      <w:r w:rsidRPr="005B107D">
        <w:rPr>
          <w:bCs/>
          <w:lang w:val="es-ES_tradnl"/>
        </w:rPr>
        <w:t>el</w:t>
      </w:r>
      <w:r w:rsidRPr="005B107D">
        <w:rPr>
          <w:b/>
          <w:bCs/>
          <w:lang w:val="es-ES_tradnl"/>
        </w:rPr>
        <w:t xml:space="preserve"> Reino Unido</w:t>
      </w:r>
      <w:r w:rsidRPr="005B107D">
        <w:rPr>
          <w:bCs/>
          <w:lang w:val="es-ES_tradnl"/>
        </w:rPr>
        <w:t xml:space="preserve"> en nombre de los Estados miembros de la Unión Europea, el </w:t>
      </w:r>
      <w:r w:rsidRPr="005B107D">
        <w:rPr>
          <w:b/>
          <w:bCs/>
          <w:lang w:val="es-ES_tradnl"/>
        </w:rPr>
        <w:t>Senegal</w:t>
      </w:r>
      <w:r w:rsidRPr="005B107D">
        <w:rPr>
          <w:bCs/>
          <w:lang w:val="es-ES_tradnl"/>
        </w:rPr>
        <w:t xml:space="preserve">, </w:t>
      </w:r>
      <w:r w:rsidRPr="005B107D">
        <w:rPr>
          <w:b/>
          <w:bCs/>
          <w:lang w:val="es-ES_tradnl"/>
        </w:rPr>
        <w:t xml:space="preserve">Suiza </w:t>
      </w:r>
      <w:r w:rsidRPr="005B107D">
        <w:rPr>
          <w:bCs/>
          <w:lang w:val="es-ES_tradnl"/>
        </w:rPr>
        <w:t>y</w:t>
      </w:r>
      <w:r w:rsidRPr="005B107D">
        <w:rPr>
          <w:b/>
          <w:bCs/>
          <w:lang w:val="es-ES_tradnl"/>
        </w:rPr>
        <w:t xml:space="preserve"> Venezuela (República Bolivariana de)</w:t>
      </w:r>
      <w:r w:rsidRPr="005B107D">
        <w:rPr>
          <w:bCs/>
          <w:lang w:val="es-ES_tradnl"/>
        </w:rPr>
        <w:t xml:space="preserve"> propusieron enmiendas al proyecto de resolución.</w:t>
      </w:r>
    </w:p>
    <w:p w14:paraId="6446F06F" w14:textId="77777777" w:rsidR="00E07F15" w:rsidRPr="005B107D" w:rsidRDefault="00E07F15" w:rsidP="00E07F15">
      <w:pPr>
        <w:snapToGrid w:val="0"/>
        <w:spacing w:after="0" w:line="240" w:lineRule="auto"/>
        <w:ind w:left="425" w:hanging="425"/>
        <w:rPr>
          <w:bCs/>
          <w:lang w:val="es-ES_tradnl"/>
        </w:rPr>
      </w:pPr>
    </w:p>
    <w:p w14:paraId="1082C5F1" w14:textId="77777777" w:rsidR="00E07F15" w:rsidRPr="005B107D" w:rsidRDefault="00E07F15" w:rsidP="00E07F15">
      <w:pPr>
        <w:snapToGrid w:val="0"/>
        <w:spacing w:after="0" w:line="240" w:lineRule="auto"/>
        <w:ind w:left="425" w:hanging="425"/>
        <w:rPr>
          <w:bCs/>
          <w:lang w:val="es-ES_tradnl"/>
        </w:rPr>
      </w:pPr>
      <w:r w:rsidRPr="005B107D">
        <w:rPr>
          <w:bCs/>
          <w:lang w:val="es-ES_tradnl"/>
        </w:rPr>
        <w:t>10.</w:t>
      </w:r>
      <w:r w:rsidRPr="005B107D">
        <w:rPr>
          <w:bCs/>
          <w:lang w:val="es-ES_tradnl"/>
        </w:rPr>
        <w:tab/>
      </w:r>
      <w:r w:rsidRPr="005B107D">
        <w:rPr>
          <w:b/>
          <w:bCs/>
          <w:lang w:val="es-ES_tradnl"/>
        </w:rPr>
        <w:t xml:space="preserve">Turquía </w:t>
      </w:r>
      <w:r w:rsidRPr="005B107D">
        <w:rPr>
          <w:bCs/>
          <w:lang w:val="es-ES_tradnl"/>
        </w:rPr>
        <w:t>formuló la siguiente declaración para que constase en las actas de la COP13:</w:t>
      </w:r>
    </w:p>
    <w:p w14:paraId="03F06C72" w14:textId="77777777" w:rsidR="00E07F15" w:rsidRPr="005B107D" w:rsidRDefault="00E07F15" w:rsidP="00E07F15">
      <w:pPr>
        <w:tabs>
          <w:tab w:val="left" w:pos="1403"/>
        </w:tabs>
        <w:snapToGrid w:val="0"/>
        <w:spacing w:after="0" w:line="240" w:lineRule="auto"/>
        <w:rPr>
          <w:bCs/>
          <w:lang w:val="es-ES_tradnl"/>
        </w:rPr>
      </w:pPr>
    </w:p>
    <w:p w14:paraId="397D063D" w14:textId="21595D77" w:rsidR="00E07F15" w:rsidRPr="005B107D" w:rsidRDefault="00E07F15" w:rsidP="00E07F15">
      <w:pPr>
        <w:snapToGrid w:val="0"/>
        <w:spacing w:after="0" w:line="240" w:lineRule="auto"/>
        <w:ind w:left="851"/>
        <w:rPr>
          <w:lang w:val="es-ES_tradnl"/>
        </w:rPr>
      </w:pPr>
      <w:r w:rsidRPr="005B107D">
        <w:rPr>
          <w:lang w:val="es-ES_tradnl"/>
        </w:rPr>
        <w:t xml:space="preserve">“Turquía formula una reserva a propósito de la aceptación del ‘Convenio sobre el Agua de la Comisión Económica de las Naciones Unidas para Europa (CEPE)’ como observador al que se invitará a las reuniones y los procesos </w:t>
      </w:r>
      <w:r w:rsidR="007C24B9" w:rsidRPr="005B107D">
        <w:rPr>
          <w:lang w:val="es-ES_tradnl"/>
        </w:rPr>
        <w:t>del GECT en el trienio</w:t>
      </w:r>
      <w:r w:rsidRPr="005B107D">
        <w:rPr>
          <w:lang w:val="es-ES_tradnl"/>
        </w:rPr>
        <w:t xml:space="preserve"> 2019-2021. Cualquier resultado que es probable que surja como consecuencia de una posible cooperación entre la Convención de Ramsar y el Convenio sobre el Agua de la CEPE no tiene efectos </w:t>
      </w:r>
      <w:r w:rsidR="007C24B9" w:rsidRPr="005B107D">
        <w:rPr>
          <w:lang w:val="es-ES_tradnl"/>
        </w:rPr>
        <w:t xml:space="preserve">jurídicamente </w:t>
      </w:r>
      <w:r w:rsidRPr="005B107D">
        <w:rPr>
          <w:lang w:val="es-ES_tradnl"/>
        </w:rPr>
        <w:t xml:space="preserve">vinculantes para Turquía. </w:t>
      </w:r>
    </w:p>
    <w:p w14:paraId="0C652E2D" w14:textId="77777777" w:rsidR="00E07F15" w:rsidRPr="005B107D" w:rsidRDefault="00E07F15" w:rsidP="00E07F15">
      <w:pPr>
        <w:snapToGrid w:val="0"/>
        <w:spacing w:after="0" w:line="240" w:lineRule="auto"/>
        <w:ind w:left="851"/>
        <w:jc w:val="both"/>
        <w:rPr>
          <w:lang w:val="es-ES_tradnl"/>
        </w:rPr>
      </w:pPr>
    </w:p>
    <w:p w14:paraId="20A929EC" w14:textId="77777777" w:rsidR="00E07F15" w:rsidRPr="005B107D" w:rsidRDefault="00E07F15" w:rsidP="00E07F15">
      <w:pPr>
        <w:tabs>
          <w:tab w:val="left" w:pos="1403"/>
        </w:tabs>
        <w:snapToGrid w:val="0"/>
        <w:spacing w:after="0" w:line="240" w:lineRule="auto"/>
        <w:ind w:left="851"/>
        <w:rPr>
          <w:bCs/>
          <w:lang w:val="es-ES_tradnl"/>
        </w:rPr>
      </w:pPr>
      <w:r w:rsidRPr="005B107D">
        <w:rPr>
          <w:lang w:val="es-ES_tradnl"/>
        </w:rPr>
        <w:lastRenderedPageBreak/>
        <w:t>“Turquía se suma al consenso en torno al proyecto de resolución, mas no debe entenderse que ello signifique un cambio de la posición de Turquía con respecto al Convenio de la CEPE sobre la Protección y Utilización de los Cursos de agua Transfronterizos y los Lagos Internacionales, conforme fue expresada en la COP12.”</w:t>
      </w:r>
    </w:p>
    <w:p w14:paraId="14BA17B5" w14:textId="77777777" w:rsidR="00E07F15" w:rsidRPr="005B107D" w:rsidRDefault="00E07F15" w:rsidP="00E07F15">
      <w:pPr>
        <w:tabs>
          <w:tab w:val="left" w:pos="1403"/>
        </w:tabs>
        <w:snapToGrid w:val="0"/>
        <w:spacing w:after="0" w:line="240" w:lineRule="auto"/>
        <w:rPr>
          <w:bCs/>
          <w:lang w:val="es-ES_tradnl"/>
        </w:rPr>
      </w:pPr>
    </w:p>
    <w:p w14:paraId="422C2D7B" w14:textId="77777777" w:rsidR="00E07F15" w:rsidRPr="005B107D" w:rsidRDefault="00E07F15" w:rsidP="00E07F15">
      <w:pPr>
        <w:tabs>
          <w:tab w:val="left" w:pos="1403"/>
        </w:tabs>
        <w:snapToGrid w:val="0"/>
        <w:spacing w:after="0" w:line="240" w:lineRule="auto"/>
        <w:ind w:left="425" w:hanging="425"/>
        <w:rPr>
          <w:bCs/>
          <w:lang w:val="es-ES_tradnl"/>
        </w:rPr>
      </w:pPr>
      <w:r w:rsidRPr="005B107D">
        <w:rPr>
          <w:bCs/>
          <w:lang w:val="es-ES_tradnl"/>
        </w:rPr>
        <w:t>11.</w:t>
      </w:r>
      <w:r w:rsidRPr="005B107D">
        <w:rPr>
          <w:bCs/>
          <w:lang w:val="es-ES_tradnl"/>
        </w:rPr>
        <w:tab/>
        <w:t xml:space="preserve">El </w:t>
      </w:r>
      <w:r w:rsidRPr="005B107D">
        <w:rPr>
          <w:b/>
          <w:bCs/>
          <w:lang w:val="es-ES_tradnl"/>
        </w:rPr>
        <w:t>Presidente</w:t>
      </w:r>
      <w:r w:rsidRPr="005B107D">
        <w:rPr>
          <w:bCs/>
          <w:lang w:val="es-ES_tradnl"/>
        </w:rPr>
        <w:t xml:space="preserve"> pidió a los </w:t>
      </w:r>
      <w:r w:rsidRPr="005B107D">
        <w:rPr>
          <w:b/>
          <w:bCs/>
          <w:lang w:val="es-ES_tradnl"/>
        </w:rPr>
        <w:t>Estados Unidos de América</w:t>
      </w:r>
      <w:r w:rsidRPr="005B107D">
        <w:rPr>
          <w:bCs/>
          <w:lang w:val="es-ES_tradnl"/>
        </w:rPr>
        <w:t xml:space="preserve"> que coordinasen un grupo no oficial de Partes Contratantes interesadas encargado de incorporar las enmiendas propuestas en el proyecto de resolución y de presentar una versión revisada para su examen en una sesión ulterior. </w:t>
      </w:r>
    </w:p>
    <w:p w14:paraId="33D9A066" w14:textId="77777777" w:rsidR="00E07F15" w:rsidRPr="005B107D" w:rsidRDefault="00E07F15" w:rsidP="00E07F15">
      <w:pPr>
        <w:tabs>
          <w:tab w:val="left" w:pos="1403"/>
        </w:tabs>
        <w:snapToGrid w:val="0"/>
        <w:spacing w:after="0" w:line="240" w:lineRule="auto"/>
        <w:rPr>
          <w:bCs/>
          <w:lang w:val="es-ES_tradnl"/>
        </w:rPr>
      </w:pPr>
    </w:p>
    <w:p w14:paraId="3EEB454B" w14:textId="77777777" w:rsidR="00E07F15" w:rsidRPr="005B107D" w:rsidRDefault="00E07F15" w:rsidP="00E07F15">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b/>
          <w:bCs/>
          <w:lang w:val="es-ES_tradnl"/>
        </w:rPr>
      </w:pPr>
      <w:r w:rsidRPr="005B107D">
        <w:rPr>
          <w:b/>
          <w:bCs/>
          <w:lang w:val="es-ES_tradnl"/>
        </w:rPr>
        <w:t>18.11 Proyecto de resolución sobre las Misiones Ramsar de Asesoramiento</w:t>
      </w:r>
    </w:p>
    <w:p w14:paraId="62CE18B9" w14:textId="77777777" w:rsidR="00E07F15" w:rsidRPr="005B107D" w:rsidRDefault="00E07F15" w:rsidP="00E07F15">
      <w:pPr>
        <w:tabs>
          <w:tab w:val="left" w:pos="1403"/>
        </w:tabs>
        <w:snapToGrid w:val="0"/>
        <w:spacing w:after="0" w:line="240" w:lineRule="auto"/>
        <w:rPr>
          <w:bCs/>
          <w:lang w:val="es-ES_tradnl"/>
        </w:rPr>
      </w:pPr>
    </w:p>
    <w:p w14:paraId="1797602E" w14:textId="090E34B2" w:rsidR="00E07F15" w:rsidRPr="005B107D" w:rsidRDefault="00E07F15" w:rsidP="00E07F15">
      <w:pPr>
        <w:tabs>
          <w:tab w:val="left" w:pos="1403"/>
        </w:tabs>
        <w:snapToGrid w:val="0"/>
        <w:spacing w:after="0" w:line="240" w:lineRule="auto"/>
        <w:ind w:left="425" w:hanging="425"/>
        <w:rPr>
          <w:bCs/>
          <w:lang w:val="es-ES_tradnl"/>
        </w:rPr>
      </w:pPr>
      <w:r w:rsidRPr="005B107D">
        <w:rPr>
          <w:bCs/>
          <w:lang w:val="es-ES_tradnl"/>
        </w:rPr>
        <w:t>12.</w:t>
      </w:r>
      <w:r w:rsidRPr="005B107D">
        <w:rPr>
          <w:bCs/>
          <w:lang w:val="es-ES_tradnl"/>
        </w:rPr>
        <w:tab/>
      </w:r>
      <w:r w:rsidRPr="005B107D">
        <w:rPr>
          <w:b/>
          <w:bCs/>
          <w:lang w:val="es-ES_tradnl"/>
        </w:rPr>
        <w:t>Burkina Faso</w:t>
      </w:r>
      <w:r w:rsidRPr="005B107D">
        <w:rPr>
          <w:bCs/>
          <w:lang w:val="es-ES_tradnl"/>
        </w:rPr>
        <w:t xml:space="preserve"> presentó</w:t>
      </w:r>
      <w:r w:rsidR="00F23066" w:rsidRPr="005B107D">
        <w:rPr>
          <w:bCs/>
          <w:lang w:val="es-ES_tradnl"/>
        </w:rPr>
        <w:t xml:space="preserve"> el p</w:t>
      </w:r>
      <w:r w:rsidRPr="005B107D">
        <w:rPr>
          <w:bCs/>
          <w:lang w:val="es-ES_tradnl"/>
        </w:rPr>
        <w:t>royecto de resolución contenido en el documento COP13 Doc.18.11.</w:t>
      </w:r>
    </w:p>
    <w:p w14:paraId="25517890" w14:textId="77777777" w:rsidR="00E07F15" w:rsidRPr="005B107D" w:rsidRDefault="00E07F15" w:rsidP="00E07F15">
      <w:pPr>
        <w:tabs>
          <w:tab w:val="left" w:pos="1403"/>
        </w:tabs>
        <w:snapToGrid w:val="0"/>
        <w:spacing w:after="0" w:line="240" w:lineRule="auto"/>
        <w:ind w:left="425" w:hanging="425"/>
        <w:rPr>
          <w:bCs/>
          <w:lang w:val="es-ES_tradnl"/>
        </w:rPr>
      </w:pPr>
    </w:p>
    <w:p w14:paraId="418AFA77" w14:textId="363EDE56" w:rsidR="00E07F15" w:rsidRPr="005B107D" w:rsidRDefault="00E07F15" w:rsidP="00E07F15">
      <w:pPr>
        <w:tabs>
          <w:tab w:val="left" w:pos="1403"/>
        </w:tabs>
        <w:snapToGrid w:val="0"/>
        <w:spacing w:after="0" w:line="240" w:lineRule="auto"/>
        <w:ind w:left="425" w:hanging="425"/>
        <w:rPr>
          <w:bCs/>
          <w:lang w:val="es-ES_tradnl"/>
        </w:rPr>
      </w:pPr>
      <w:r w:rsidRPr="005B107D">
        <w:rPr>
          <w:bCs/>
          <w:lang w:val="es-ES_tradnl"/>
        </w:rPr>
        <w:t>13.</w:t>
      </w:r>
      <w:r w:rsidRPr="005B107D">
        <w:rPr>
          <w:bCs/>
          <w:lang w:val="es-ES_tradnl"/>
        </w:rPr>
        <w:tab/>
      </w:r>
      <w:r w:rsidRPr="005B107D">
        <w:rPr>
          <w:b/>
          <w:bCs/>
          <w:lang w:val="es-ES_tradnl"/>
        </w:rPr>
        <w:t>Argelia</w:t>
      </w:r>
      <w:r w:rsidRPr="005B107D">
        <w:rPr>
          <w:bCs/>
          <w:lang w:val="es-ES_tradnl"/>
        </w:rPr>
        <w:t xml:space="preserve">, </w:t>
      </w:r>
      <w:r w:rsidRPr="005B107D">
        <w:rPr>
          <w:b/>
          <w:bCs/>
          <w:lang w:val="es-ES_tradnl"/>
        </w:rPr>
        <w:t xml:space="preserve">Austria </w:t>
      </w:r>
      <w:r w:rsidRPr="005B107D">
        <w:rPr>
          <w:bCs/>
          <w:lang w:val="es-ES_tradnl"/>
        </w:rPr>
        <w:t xml:space="preserve">en nombre de los Estados miembros de la Unión Europea, </w:t>
      </w:r>
      <w:r w:rsidRPr="005B107D">
        <w:rPr>
          <w:b/>
          <w:bCs/>
          <w:lang w:val="es-ES_tradnl"/>
        </w:rPr>
        <w:t>Benin</w:t>
      </w:r>
      <w:r w:rsidRPr="005B107D">
        <w:rPr>
          <w:bCs/>
          <w:lang w:val="es-ES_tradnl"/>
        </w:rPr>
        <w:t>,</w:t>
      </w:r>
      <w:r w:rsidRPr="005B107D">
        <w:rPr>
          <w:b/>
          <w:bCs/>
          <w:lang w:val="es-ES_tradnl"/>
        </w:rPr>
        <w:t xml:space="preserve"> Colombia</w:t>
      </w:r>
      <w:r w:rsidRPr="005B107D">
        <w:rPr>
          <w:bCs/>
          <w:lang w:val="es-ES_tradnl"/>
        </w:rPr>
        <w:t xml:space="preserve">, los </w:t>
      </w:r>
      <w:r w:rsidRPr="005B107D">
        <w:rPr>
          <w:b/>
          <w:bCs/>
          <w:lang w:val="es-ES_tradnl"/>
        </w:rPr>
        <w:t>Estados Unidos de América</w:t>
      </w:r>
      <w:r w:rsidRPr="005B107D">
        <w:rPr>
          <w:bCs/>
          <w:lang w:val="es-ES_tradnl"/>
        </w:rPr>
        <w:t xml:space="preserve">, </w:t>
      </w:r>
      <w:r w:rsidR="00F23066" w:rsidRPr="005B107D">
        <w:rPr>
          <w:bCs/>
          <w:lang w:val="es-ES_tradnl"/>
        </w:rPr>
        <w:t xml:space="preserve">el </w:t>
      </w:r>
      <w:r w:rsidRPr="005B107D">
        <w:rPr>
          <w:b/>
          <w:bCs/>
          <w:lang w:val="es-ES_tradnl"/>
        </w:rPr>
        <w:t>Gabón</w:t>
      </w:r>
      <w:r w:rsidRPr="005B107D">
        <w:rPr>
          <w:bCs/>
          <w:lang w:val="es-ES_tradnl"/>
        </w:rPr>
        <w:t>,</w:t>
      </w:r>
      <w:r w:rsidRPr="005B107D">
        <w:rPr>
          <w:b/>
          <w:bCs/>
          <w:lang w:val="es-ES_tradnl"/>
        </w:rPr>
        <w:t xml:space="preserve"> Guatemala</w:t>
      </w:r>
      <w:r w:rsidRPr="005B107D">
        <w:rPr>
          <w:bCs/>
          <w:lang w:val="es-ES_tradnl"/>
        </w:rPr>
        <w:t>,</w:t>
      </w:r>
      <w:r w:rsidRPr="005B107D">
        <w:rPr>
          <w:b/>
          <w:bCs/>
          <w:lang w:val="es-ES_tradnl"/>
        </w:rPr>
        <w:t xml:space="preserve"> Guinea</w:t>
      </w:r>
      <w:r w:rsidRPr="005B107D">
        <w:rPr>
          <w:bCs/>
          <w:lang w:val="es-ES_tradnl"/>
        </w:rPr>
        <w:t xml:space="preserve">, el </w:t>
      </w:r>
      <w:r w:rsidRPr="005B107D">
        <w:rPr>
          <w:b/>
          <w:bCs/>
          <w:lang w:val="es-ES_tradnl"/>
        </w:rPr>
        <w:t>Japón</w:t>
      </w:r>
      <w:r w:rsidRPr="005B107D">
        <w:rPr>
          <w:bCs/>
          <w:lang w:val="es-ES_tradnl"/>
        </w:rPr>
        <w:t>,</w:t>
      </w:r>
      <w:r w:rsidRPr="005B107D">
        <w:rPr>
          <w:b/>
          <w:bCs/>
          <w:lang w:val="es-ES_tradnl"/>
        </w:rPr>
        <w:t xml:space="preserve"> Libia</w:t>
      </w:r>
      <w:r w:rsidRPr="005B107D">
        <w:rPr>
          <w:bCs/>
          <w:lang w:val="es-ES_tradnl"/>
        </w:rPr>
        <w:t xml:space="preserve">, </w:t>
      </w:r>
      <w:r w:rsidRPr="005B107D">
        <w:rPr>
          <w:b/>
          <w:bCs/>
          <w:lang w:val="es-ES_tradnl"/>
        </w:rPr>
        <w:t>Malasia</w:t>
      </w:r>
      <w:r w:rsidRPr="005B107D">
        <w:rPr>
          <w:bCs/>
          <w:lang w:val="es-ES_tradnl"/>
        </w:rPr>
        <w:t>,</w:t>
      </w:r>
      <w:r w:rsidRPr="005B107D">
        <w:rPr>
          <w:b/>
          <w:bCs/>
          <w:lang w:val="es-ES_tradnl"/>
        </w:rPr>
        <w:t xml:space="preserve"> Malí</w:t>
      </w:r>
      <w:r w:rsidRPr="005B107D">
        <w:rPr>
          <w:bCs/>
          <w:lang w:val="es-ES_tradnl"/>
        </w:rPr>
        <w:t xml:space="preserve">, </w:t>
      </w:r>
      <w:r w:rsidRPr="005B107D">
        <w:rPr>
          <w:b/>
          <w:bCs/>
          <w:lang w:val="es-ES_tradnl"/>
        </w:rPr>
        <w:t>México</w:t>
      </w:r>
      <w:r w:rsidRPr="005B107D">
        <w:rPr>
          <w:bCs/>
          <w:lang w:val="es-ES_tradnl"/>
        </w:rPr>
        <w:t xml:space="preserve">, el </w:t>
      </w:r>
      <w:r w:rsidRPr="005B107D">
        <w:rPr>
          <w:b/>
          <w:bCs/>
          <w:lang w:val="es-ES_tradnl"/>
        </w:rPr>
        <w:t>Perú</w:t>
      </w:r>
      <w:r w:rsidRPr="005B107D">
        <w:rPr>
          <w:bCs/>
          <w:lang w:val="es-ES_tradnl"/>
        </w:rPr>
        <w:t>,</w:t>
      </w:r>
      <w:r w:rsidR="00F23066" w:rsidRPr="005B107D">
        <w:rPr>
          <w:bCs/>
          <w:lang w:val="es-ES_tradnl"/>
        </w:rPr>
        <w:t xml:space="preserve"> el</w:t>
      </w:r>
      <w:r w:rsidRPr="005B107D">
        <w:rPr>
          <w:b/>
          <w:bCs/>
          <w:lang w:val="es-ES_tradnl"/>
        </w:rPr>
        <w:t xml:space="preserve"> Senegal</w:t>
      </w:r>
      <w:r w:rsidRPr="005B107D">
        <w:rPr>
          <w:bCs/>
          <w:lang w:val="es-ES_tradnl"/>
        </w:rPr>
        <w:t>,</w:t>
      </w:r>
      <w:r w:rsidRPr="005B107D">
        <w:rPr>
          <w:b/>
          <w:bCs/>
          <w:lang w:val="es-ES_tradnl"/>
        </w:rPr>
        <w:t xml:space="preserve"> Sudán</w:t>
      </w:r>
      <w:r w:rsidRPr="005B107D">
        <w:rPr>
          <w:bCs/>
          <w:lang w:val="es-ES_tradnl"/>
        </w:rPr>
        <w:t xml:space="preserve">, </w:t>
      </w:r>
      <w:r w:rsidRPr="005B107D">
        <w:rPr>
          <w:b/>
          <w:bCs/>
          <w:lang w:val="es-ES_tradnl"/>
        </w:rPr>
        <w:t>Túnez</w:t>
      </w:r>
      <w:r w:rsidRPr="005B107D">
        <w:rPr>
          <w:bCs/>
          <w:lang w:val="es-ES_tradnl"/>
        </w:rPr>
        <w:t>,</w:t>
      </w:r>
      <w:r w:rsidRPr="005B107D">
        <w:rPr>
          <w:b/>
          <w:bCs/>
          <w:lang w:val="es-ES_tradnl"/>
        </w:rPr>
        <w:t xml:space="preserve"> </w:t>
      </w:r>
      <w:r w:rsidRPr="005B107D">
        <w:rPr>
          <w:bCs/>
          <w:lang w:val="es-ES_tradnl"/>
        </w:rPr>
        <w:t xml:space="preserve">la </w:t>
      </w:r>
      <w:r w:rsidRPr="005B107D">
        <w:rPr>
          <w:b/>
          <w:bCs/>
          <w:lang w:val="es-ES_tradnl"/>
        </w:rPr>
        <w:t>República</w:t>
      </w:r>
      <w:r w:rsidRPr="005B107D">
        <w:rPr>
          <w:bCs/>
          <w:lang w:val="es-ES_tradnl"/>
        </w:rPr>
        <w:t xml:space="preserve"> </w:t>
      </w:r>
      <w:r w:rsidRPr="005B107D">
        <w:rPr>
          <w:b/>
          <w:bCs/>
          <w:lang w:val="es-ES_tradnl"/>
        </w:rPr>
        <w:t>Dominicana</w:t>
      </w:r>
      <w:r w:rsidRPr="005B107D">
        <w:rPr>
          <w:bCs/>
          <w:lang w:val="es-ES_tradnl"/>
        </w:rPr>
        <w:t xml:space="preserve">, la </w:t>
      </w:r>
      <w:r w:rsidRPr="005B107D">
        <w:rPr>
          <w:b/>
          <w:bCs/>
          <w:lang w:val="es-ES_tradnl"/>
        </w:rPr>
        <w:t>República Unida de Tanzanía</w:t>
      </w:r>
      <w:r w:rsidRPr="005B107D">
        <w:rPr>
          <w:bCs/>
          <w:lang w:val="es-ES_tradnl"/>
        </w:rPr>
        <w:t xml:space="preserve">, </w:t>
      </w:r>
      <w:r w:rsidRPr="005B107D">
        <w:rPr>
          <w:b/>
          <w:bCs/>
          <w:lang w:val="es-ES_tradnl"/>
        </w:rPr>
        <w:t>Uganda</w:t>
      </w:r>
      <w:r w:rsidRPr="005B107D">
        <w:rPr>
          <w:bCs/>
          <w:lang w:val="es-ES_tradnl"/>
        </w:rPr>
        <w:t xml:space="preserve">, </w:t>
      </w:r>
      <w:r w:rsidRPr="005B107D">
        <w:rPr>
          <w:b/>
          <w:bCs/>
          <w:lang w:val="es-ES_tradnl"/>
        </w:rPr>
        <w:t>Zimbabwe</w:t>
      </w:r>
      <w:r w:rsidRPr="005B107D">
        <w:rPr>
          <w:bCs/>
          <w:lang w:val="es-ES_tradnl"/>
        </w:rPr>
        <w:t xml:space="preserve"> y el observador del</w:t>
      </w:r>
      <w:r w:rsidRPr="005B107D">
        <w:rPr>
          <w:b/>
          <w:bCs/>
          <w:lang w:val="es-ES_tradnl"/>
        </w:rPr>
        <w:t xml:space="preserve"> Fondo Mundial para la Naturaleza </w:t>
      </w:r>
      <w:r w:rsidRPr="005B107D">
        <w:rPr>
          <w:bCs/>
          <w:lang w:val="es-ES_tradnl"/>
        </w:rPr>
        <w:t>(WWF)</w:t>
      </w:r>
      <w:r w:rsidRPr="005B107D">
        <w:rPr>
          <w:b/>
          <w:bCs/>
          <w:lang w:val="es-ES_tradnl"/>
        </w:rPr>
        <w:t xml:space="preserve"> </w:t>
      </w:r>
      <w:r w:rsidRPr="005B107D">
        <w:rPr>
          <w:bCs/>
          <w:lang w:val="es-ES_tradnl"/>
        </w:rPr>
        <w:t>expresaron su apoyo al proyecto de resolución, aunque varios de los oradores indicaron que presentarían propuestas de enmienda.</w:t>
      </w:r>
    </w:p>
    <w:p w14:paraId="0BB76C05" w14:textId="77777777" w:rsidR="00E07F15" w:rsidRPr="005B107D" w:rsidRDefault="00E07F15" w:rsidP="00E07F15">
      <w:pPr>
        <w:tabs>
          <w:tab w:val="left" w:pos="1403"/>
        </w:tabs>
        <w:snapToGrid w:val="0"/>
        <w:spacing w:after="0" w:line="240" w:lineRule="auto"/>
        <w:ind w:left="425" w:hanging="425"/>
        <w:rPr>
          <w:bCs/>
          <w:lang w:val="es-ES_tradnl"/>
        </w:rPr>
      </w:pPr>
    </w:p>
    <w:p w14:paraId="16B7A58E" w14:textId="3416ED9D" w:rsidR="00E07F15" w:rsidRPr="005B107D" w:rsidRDefault="00E07F15" w:rsidP="00E07F15">
      <w:pPr>
        <w:tabs>
          <w:tab w:val="left" w:pos="1403"/>
        </w:tabs>
        <w:snapToGrid w:val="0"/>
        <w:spacing w:after="0" w:line="240" w:lineRule="auto"/>
        <w:ind w:left="425" w:hanging="425"/>
        <w:rPr>
          <w:bCs/>
          <w:lang w:val="es-ES_tradnl"/>
        </w:rPr>
      </w:pPr>
      <w:r w:rsidRPr="005B107D">
        <w:rPr>
          <w:bCs/>
          <w:lang w:val="es-ES_tradnl"/>
        </w:rPr>
        <w:t>14.</w:t>
      </w:r>
      <w:r w:rsidRPr="005B107D">
        <w:rPr>
          <w:bCs/>
          <w:lang w:val="es-ES_tradnl"/>
        </w:rPr>
        <w:tab/>
      </w:r>
      <w:r w:rsidRPr="005B107D">
        <w:rPr>
          <w:b/>
          <w:bCs/>
          <w:lang w:val="es-ES_tradnl"/>
        </w:rPr>
        <w:t>Turquía</w:t>
      </w:r>
      <w:r w:rsidRPr="005B107D">
        <w:rPr>
          <w:bCs/>
          <w:lang w:val="es-ES_tradnl"/>
        </w:rPr>
        <w:t xml:space="preserve"> indicó su intención de formular una reserva a propósito de la referencia al “contexto transfronterizo” </w:t>
      </w:r>
      <w:r w:rsidR="00F23066" w:rsidRPr="005B107D">
        <w:rPr>
          <w:bCs/>
          <w:lang w:val="es-ES_tradnl"/>
        </w:rPr>
        <w:t>mencionado en el A</w:t>
      </w:r>
      <w:r w:rsidRPr="005B107D">
        <w:rPr>
          <w:bCs/>
          <w:lang w:val="es-ES_tradnl"/>
        </w:rPr>
        <w:t>nexo 1 del proyecto de resolución.</w:t>
      </w:r>
    </w:p>
    <w:p w14:paraId="1E56F2BC" w14:textId="77777777" w:rsidR="00E07F15" w:rsidRPr="005B107D" w:rsidRDefault="00E07F15" w:rsidP="00E07F15">
      <w:pPr>
        <w:tabs>
          <w:tab w:val="left" w:pos="1403"/>
        </w:tabs>
        <w:snapToGrid w:val="0"/>
        <w:spacing w:after="0" w:line="240" w:lineRule="auto"/>
        <w:ind w:left="425" w:hanging="425"/>
        <w:rPr>
          <w:bCs/>
          <w:lang w:val="es-ES_tradnl"/>
        </w:rPr>
      </w:pPr>
    </w:p>
    <w:p w14:paraId="08AAC7FA" w14:textId="02342859" w:rsidR="00E07F15" w:rsidRPr="005B107D" w:rsidRDefault="00E07F15" w:rsidP="00E07F15">
      <w:pPr>
        <w:tabs>
          <w:tab w:val="left" w:pos="1403"/>
        </w:tabs>
        <w:snapToGrid w:val="0"/>
        <w:spacing w:after="0" w:line="240" w:lineRule="auto"/>
        <w:ind w:left="425" w:hanging="425"/>
        <w:rPr>
          <w:bCs/>
          <w:lang w:val="es-ES_tradnl"/>
        </w:rPr>
      </w:pPr>
      <w:r w:rsidRPr="005B107D">
        <w:rPr>
          <w:bCs/>
          <w:lang w:val="es-ES_tradnl"/>
        </w:rPr>
        <w:t>15.</w:t>
      </w:r>
      <w:r w:rsidRPr="005B107D">
        <w:rPr>
          <w:bCs/>
          <w:lang w:val="es-ES_tradnl"/>
        </w:rPr>
        <w:tab/>
        <w:t xml:space="preserve">Respondiendo a las Partes Contratantes que habían resaltado el valor de las Misiones Ramsar de Asesoramiento (MRA) y/o solicitado MRA, la </w:t>
      </w:r>
      <w:r w:rsidRPr="005B107D">
        <w:rPr>
          <w:b/>
          <w:bCs/>
          <w:lang w:val="es-ES_tradnl"/>
        </w:rPr>
        <w:t>Secretaria General</w:t>
      </w:r>
      <w:r w:rsidRPr="005B107D">
        <w:rPr>
          <w:bCs/>
          <w:lang w:val="es-ES_tradnl"/>
        </w:rPr>
        <w:t xml:space="preserve"> se mostró de acuerdo en que esas misiones eran una de las principales funciones de la Secretaría y tomó nota de las necesidades manifestadas</w:t>
      </w:r>
      <w:r w:rsidR="00F23066" w:rsidRPr="005B107D">
        <w:rPr>
          <w:bCs/>
          <w:lang w:val="es-ES_tradnl"/>
        </w:rPr>
        <w:t>.</w:t>
      </w:r>
    </w:p>
    <w:p w14:paraId="1AC685B5" w14:textId="77777777" w:rsidR="00E07F15" w:rsidRPr="005B107D" w:rsidRDefault="00E07F15" w:rsidP="00E07F15">
      <w:pPr>
        <w:tabs>
          <w:tab w:val="left" w:pos="1403"/>
        </w:tabs>
        <w:snapToGrid w:val="0"/>
        <w:spacing w:after="0" w:line="240" w:lineRule="auto"/>
        <w:ind w:left="425" w:hanging="425"/>
        <w:rPr>
          <w:bCs/>
          <w:lang w:val="es-ES_tradnl"/>
        </w:rPr>
      </w:pPr>
    </w:p>
    <w:p w14:paraId="4D0439F5" w14:textId="112AE5A6" w:rsidR="00E07F15" w:rsidRPr="005B107D" w:rsidRDefault="00E07F15" w:rsidP="00CD1205">
      <w:pPr>
        <w:tabs>
          <w:tab w:val="left" w:pos="1403"/>
        </w:tabs>
        <w:snapToGrid w:val="0"/>
        <w:spacing w:after="0" w:line="240" w:lineRule="auto"/>
        <w:ind w:left="425" w:hanging="425"/>
        <w:rPr>
          <w:bCs/>
          <w:lang w:val="es-ES_tradnl"/>
        </w:rPr>
      </w:pPr>
      <w:r w:rsidRPr="005B107D">
        <w:rPr>
          <w:bCs/>
          <w:lang w:val="es-ES_tradnl"/>
        </w:rPr>
        <w:t>16.</w:t>
      </w:r>
      <w:r w:rsidRPr="005B107D">
        <w:rPr>
          <w:bCs/>
          <w:lang w:val="es-ES_tradnl"/>
        </w:rPr>
        <w:tab/>
        <w:t>Como varias propuestas de enmienda se referían a la financiación de las MRA,</w:t>
      </w:r>
      <w:r w:rsidR="00F23066" w:rsidRPr="005B107D">
        <w:rPr>
          <w:bCs/>
          <w:lang w:val="es-ES_tradnl"/>
        </w:rPr>
        <w:t xml:space="preserve"> la</w:t>
      </w:r>
      <w:r w:rsidRPr="005B107D">
        <w:rPr>
          <w:bCs/>
          <w:lang w:val="es-ES_tradnl"/>
        </w:rPr>
        <w:t xml:space="preserve"> </w:t>
      </w:r>
      <w:r w:rsidRPr="005B107D">
        <w:rPr>
          <w:b/>
          <w:bCs/>
          <w:lang w:val="es-ES_tradnl"/>
        </w:rPr>
        <w:t>Presiden</w:t>
      </w:r>
      <w:r w:rsidR="00F23066" w:rsidRPr="005B107D">
        <w:rPr>
          <w:b/>
          <w:bCs/>
          <w:lang w:val="es-ES_tradnl"/>
        </w:rPr>
        <w:t>cia</w:t>
      </w:r>
      <w:r w:rsidRPr="005B107D">
        <w:rPr>
          <w:b/>
          <w:bCs/>
          <w:lang w:val="es-ES_tradnl"/>
        </w:rPr>
        <w:t xml:space="preserve"> </w:t>
      </w:r>
      <w:r w:rsidRPr="005B107D">
        <w:rPr>
          <w:bCs/>
          <w:lang w:val="es-ES_tradnl"/>
        </w:rPr>
        <w:t>señaló que se debería consultar al Comité de Finanzas y Presupuesto, y pospuso la continuación del debate sobre el proyecto de resolución a una sesión ulterior.</w:t>
      </w:r>
    </w:p>
    <w:p w14:paraId="3630579A" w14:textId="77777777" w:rsidR="00E07F15" w:rsidRPr="005B107D" w:rsidRDefault="00E07F15" w:rsidP="00E07F15">
      <w:pPr>
        <w:tabs>
          <w:tab w:val="left" w:pos="1403"/>
        </w:tabs>
        <w:snapToGrid w:val="0"/>
        <w:spacing w:after="0" w:line="240" w:lineRule="auto"/>
        <w:rPr>
          <w:bCs/>
          <w:lang w:val="es-ES_tradnl"/>
        </w:rPr>
      </w:pPr>
    </w:p>
    <w:p w14:paraId="5C1AC9BF" w14:textId="515470FD" w:rsidR="008B67E7" w:rsidRPr="005B107D" w:rsidRDefault="000D5514" w:rsidP="008B67E7">
      <w:pPr>
        <w:pBdr>
          <w:top w:val="single" w:sz="4" w:space="1" w:color="auto"/>
          <w:left w:val="single" w:sz="4" w:space="4" w:color="auto"/>
          <w:bottom w:val="single" w:sz="4" w:space="1" w:color="auto"/>
          <w:right w:val="single" w:sz="4" w:space="4" w:color="auto"/>
        </w:pBdr>
        <w:tabs>
          <w:tab w:val="left" w:pos="1403"/>
        </w:tabs>
        <w:snapToGrid w:val="0"/>
        <w:spacing w:after="0" w:line="240" w:lineRule="auto"/>
        <w:rPr>
          <w:b/>
          <w:bCs/>
          <w:lang w:val="es-ES_tradnl"/>
        </w:rPr>
      </w:pPr>
      <w:r w:rsidRPr="005B107D">
        <w:rPr>
          <w:b/>
          <w:bCs/>
          <w:lang w:val="es-ES_tradnl"/>
        </w:rPr>
        <w:t xml:space="preserve">Punto </w:t>
      </w:r>
      <w:r w:rsidR="008B67E7" w:rsidRPr="005B107D">
        <w:rPr>
          <w:b/>
          <w:bCs/>
          <w:lang w:val="es-ES_tradnl"/>
        </w:rPr>
        <w:t xml:space="preserve">15.1 </w:t>
      </w:r>
      <w:r w:rsidRPr="005B107D">
        <w:rPr>
          <w:b/>
          <w:bCs/>
          <w:lang w:val="es-ES_tradnl"/>
        </w:rPr>
        <w:t xml:space="preserve">del orden del día: Acreditación de Ciudad de Humedal – Informe del </w:t>
      </w:r>
      <w:r w:rsidR="00DC14F7" w:rsidRPr="005B107D">
        <w:rPr>
          <w:b/>
          <w:bCs/>
          <w:lang w:val="es-ES_tradnl"/>
        </w:rPr>
        <w:t>Comité Permanente</w:t>
      </w:r>
    </w:p>
    <w:p w14:paraId="0ABA9CA6" w14:textId="77777777" w:rsidR="008B67E7" w:rsidRPr="005B107D" w:rsidRDefault="008B67E7" w:rsidP="008B67E7">
      <w:pPr>
        <w:tabs>
          <w:tab w:val="left" w:pos="1403"/>
        </w:tabs>
        <w:snapToGrid w:val="0"/>
        <w:spacing w:after="0" w:line="240" w:lineRule="auto"/>
        <w:rPr>
          <w:b/>
          <w:bCs/>
          <w:lang w:val="es-ES_tradnl"/>
        </w:rPr>
      </w:pPr>
    </w:p>
    <w:p w14:paraId="3418543D" w14:textId="123205CA" w:rsidR="008B67E7" w:rsidRPr="005B107D" w:rsidRDefault="00E166EE" w:rsidP="000A5227">
      <w:pPr>
        <w:tabs>
          <w:tab w:val="left" w:pos="1403"/>
        </w:tabs>
        <w:snapToGrid w:val="0"/>
        <w:spacing w:after="0" w:line="240" w:lineRule="auto"/>
        <w:ind w:left="425" w:hanging="425"/>
        <w:rPr>
          <w:bCs/>
          <w:lang w:val="es-ES_tradnl"/>
        </w:rPr>
      </w:pPr>
      <w:r w:rsidRPr="005B107D">
        <w:rPr>
          <w:bCs/>
          <w:lang w:val="es-ES_tradnl"/>
        </w:rPr>
        <w:t>1</w:t>
      </w:r>
      <w:r w:rsidR="002D6F72" w:rsidRPr="005B107D">
        <w:rPr>
          <w:bCs/>
          <w:lang w:val="es-ES_tradnl"/>
        </w:rPr>
        <w:t>7</w:t>
      </w:r>
      <w:r w:rsidRPr="005B107D">
        <w:rPr>
          <w:bCs/>
          <w:lang w:val="es-ES_tradnl"/>
        </w:rPr>
        <w:t>.</w:t>
      </w:r>
      <w:r w:rsidRPr="005B107D">
        <w:rPr>
          <w:bCs/>
          <w:lang w:val="es-ES_tradnl"/>
        </w:rPr>
        <w:tab/>
      </w:r>
      <w:r w:rsidR="0034510E" w:rsidRPr="005B107D">
        <w:rPr>
          <w:bCs/>
          <w:lang w:val="es-ES_tradnl"/>
        </w:rPr>
        <w:t>El</w:t>
      </w:r>
      <w:r w:rsidR="00DC14F7" w:rsidRPr="005B107D">
        <w:rPr>
          <w:bCs/>
          <w:lang w:val="es-ES_tradnl"/>
        </w:rPr>
        <w:t xml:space="preserve"> </w:t>
      </w:r>
      <w:r w:rsidR="0034510E" w:rsidRPr="005B107D">
        <w:rPr>
          <w:b/>
          <w:bCs/>
          <w:lang w:val="es-ES_tradnl"/>
        </w:rPr>
        <w:t>Presidente</w:t>
      </w:r>
      <w:r w:rsidR="00DC14F7" w:rsidRPr="005B107D">
        <w:rPr>
          <w:b/>
          <w:bCs/>
          <w:lang w:val="es-ES_tradnl"/>
        </w:rPr>
        <w:t xml:space="preserve"> del </w:t>
      </w:r>
      <w:r w:rsidR="00F23066" w:rsidRPr="005B107D">
        <w:rPr>
          <w:b/>
          <w:bCs/>
          <w:lang w:val="es-ES_tradnl"/>
        </w:rPr>
        <w:t>Comité</w:t>
      </w:r>
      <w:r w:rsidR="00DC14F7" w:rsidRPr="005B107D">
        <w:rPr>
          <w:b/>
          <w:bCs/>
          <w:lang w:val="es-ES_tradnl"/>
        </w:rPr>
        <w:t xml:space="preserve"> Permanente </w:t>
      </w:r>
      <w:r w:rsidR="00DC14F7" w:rsidRPr="005B107D">
        <w:rPr>
          <w:bCs/>
          <w:lang w:val="es-ES_tradnl"/>
        </w:rPr>
        <w:t>(S</w:t>
      </w:r>
      <w:r w:rsidR="008B67E7" w:rsidRPr="005B107D">
        <w:rPr>
          <w:bCs/>
          <w:lang w:val="es-ES_tradnl"/>
        </w:rPr>
        <w:t>r</w:t>
      </w:r>
      <w:r w:rsidR="00DC14F7" w:rsidRPr="005B107D">
        <w:rPr>
          <w:bCs/>
          <w:lang w:val="es-ES_tradnl"/>
        </w:rPr>
        <w:t>.</w:t>
      </w:r>
      <w:r w:rsidR="008B67E7" w:rsidRPr="005B107D">
        <w:rPr>
          <w:bCs/>
          <w:lang w:val="es-ES_tradnl"/>
        </w:rPr>
        <w:t xml:space="preserve"> Jorge Rucks, Uruguay) pr</w:t>
      </w:r>
      <w:r w:rsidR="00DC14F7" w:rsidRPr="005B107D">
        <w:rPr>
          <w:bCs/>
          <w:lang w:val="es-ES_tradnl"/>
        </w:rPr>
        <w:t xml:space="preserve">esentó un informe de la labor realizada en respuesta a la Resolución </w:t>
      </w:r>
      <w:r w:rsidR="008B67E7" w:rsidRPr="005B107D">
        <w:rPr>
          <w:bCs/>
          <w:lang w:val="es-ES_tradnl"/>
        </w:rPr>
        <w:t xml:space="preserve">XII.10 </w:t>
      </w:r>
      <w:r w:rsidR="00DC14F7" w:rsidRPr="005B107D">
        <w:rPr>
          <w:bCs/>
          <w:lang w:val="es-ES_tradnl"/>
        </w:rPr>
        <w:t xml:space="preserve">sobre la acreditación de Ciudad de Humedal, aprobada por la </w:t>
      </w:r>
      <w:r w:rsidR="008B67E7" w:rsidRPr="005B107D">
        <w:rPr>
          <w:bCs/>
          <w:lang w:val="es-ES_tradnl"/>
        </w:rPr>
        <w:t xml:space="preserve">COP12 </w:t>
      </w:r>
      <w:r w:rsidR="00DC14F7" w:rsidRPr="005B107D">
        <w:rPr>
          <w:bCs/>
          <w:lang w:val="es-ES_tradnl"/>
        </w:rPr>
        <w:t xml:space="preserve">en </w:t>
      </w:r>
      <w:r w:rsidR="008B67E7" w:rsidRPr="005B107D">
        <w:rPr>
          <w:bCs/>
          <w:lang w:val="es-ES_tradnl"/>
        </w:rPr>
        <w:t xml:space="preserve">2015. </w:t>
      </w:r>
      <w:r w:rsidR="00DC14F7" w:rsidRPr="005B107D">
        <w:rPr>
          <w:bCs/>
          <w:lang w:val="es-ES_tradnl"/>
        </w:rPr>
        <w:t xml:space="preserve">Explicó las funciones del Comité Permanente y el </w:t>
      </w:r>
      <w:r w:rsidR="00F23066" w:rsidRPr="005B107D">
        <w:rPr>
          <w:bCs/>
          <w:lang w:val="es-ES_tradnl"/>
        </w:rPr>
        <w:t>Comité</w:t>
      </w:r>
      <w:r w:rsidR="00DC14F7" w:rsidRPr="005B107D">
        <w:rPr>
          <w:bCs/>
          <w:lang w:val="es-ES_tradnl"/>
        </w:rPr>
        <w:t xml:space="preserve"> Asesor Independiente y el procedimiento seguido, entre otras cosas </w:t>
      </w:r>
      <w:r w:rsidR="005D494A" w:rsidRPr="005B107D">
        <w:rPr>
          <w:bCs/>
          <w:lang w:val="es-ES_tradnl"/>
        </w:rPr>
        <w:t xml:space="preserve">mediante </w:t>
      </w:r>
      <w:r w:rsidR="001E17EC" w:rsidRPr="005B107D">
        <w:rPr>
          <w:bCs/>
          <w:lang w:val="es-ES_tradnl"/>
        </w:rPr>
        <w:t>un debate en la 54ª reunión del Co</w:t>
      </w:r>
      <w:r w:rsidR="00EA1B40" w:rsidRPr="005B107D">
        <w:rPr>
          <w:bCs/>
          <w:lang w:val="es-ES_tradnl"/>
        </w:rPr>
        <w:t>m</w:t>
      </w:r>
      <w:r w:rsidR="001E17EC" w:rsidRPr="005B107D">
        <w:rPr>
          <w:bCs/>
          <w:lang w:val="es-ES_tradnl"/>
        </w:rPr>
        <w:t xml:space="preserve">ité </w:t>
      </w:r>
      <w:r w:rsidR="00F23066" w:rsidRPr="005B107D">
        <w:rPr>
          <w:bCs/>
          <w:lang w:val="es-ES_tradnl"/>
        </w:rPr>
        <w:t>Permanente</w:t>
      </w:r>
      <w:r w:rsidR="001E17EC" w:rsidRPr="005B107D">
        <w:rPr>
          <w:bCs/>
          <w:lang w:val="es-ES_tradnl"/>
        </w:rPr>
        <w:t xml:space="preserve">, que había dado lugar a la lista definitiva de ciudades candidatas que se presentó a la </w:t>
      </w:r>
      <w:r w:rsidR="008B67E7" w:rsidRPr="005B107D">
        <w:rPr>
          <w:bCs/>
          <w:lang w:val="es-ES_tradnl"/>
        </w:rPr>
        <w:t>COP13.</w:t>
      </w:r>
    </w:p>
    <w:p w14:paraId="24646A06" w14:textId="77777777" w:rsidR="008B67E7" w:rsidRPr="005B107D" w:rsidRDefault="008B67E7" w:rsidP="000A5227">
      <w:pPr>
        <w:tabs>
          <w:tab w:val="left" w:pos="1403"/>
        </w:tabs>
        <w:snapToGrid w:val="0"/>
        <w:spacing w:after="0" w:line="240" w:lineRule="auto"/>
        <w:ind w:left="425" w:hanging="425"/>
        <w:rPr>
          <w:bCs/>
          <w:lang w:val="es-ES_tradnl"/>
        </w:rPr>
      </w:pPr>
    </w:p>
    <w:p w14:paraId="3B44350F" w14:textId="1BFA1BBB" w:rsidR="008B67E7" w:rsidRPr="005B107D" w:rsidRDefault="002E43E8" w:rsidP="000A5227">
      <w:pPr>
        <w:tabs>
          <w:tab w:val="left" w:pos="1403"/>
        </w:tabs>
        <w:snapToGrid w:val="0"/>
        <w:spacing w:after="0" w:line="240" w:lineRule="auto"/>
        <w:ind w:left="425" w:hanging="425"/>
        <w:rPr>
          <w:bCs/>
          <w:lang w:val="es-ES_tradnl"/>
        </w:rPr>
      </w:pPr>
      <w:r w:rsidRPr="005B107D">
        <w:rPr>
          <w:bCs/>
          <w:lang w:val="es-ES_tradnl"/>
        </w:rPr>
        <w:t>1</w:t>
      </w:r>
      <w:r w:rsidR="002D6F72" w:rsidRPr="005B107D">
        <w:rPr>
          <w:bCs/>
          <w:lang w:val="es-ES_tradnl"/>
        </w:rPr>
        <w:t>8</w:t>
      </w:r>
      <w:r w:rsidRPr="005B107D">
        <w:rPr>
          <w:bCs/>
          <w:lang w:val="es-ES_tradnl"/>
        </w:rPr>
        <w:t>.</w:t>
      </w:r>
      <w:r w:rsidRPr="005B107D">
        <w:rPr>
          <w:bCs/>
          <w:lang w:val="es-ES_tradnl"/>
        </w:rPr>
        <w:tab/>
      </w:r>
      <w:r w:rsidR="001E17EC" w:rsidRPr="005B107D">
        <w:rPr>
          <w:bCs/>
          <w:lang w:val="es-ES_tradnl"/>
        </w:rPr>
        <w:t xml:space="preserve">La </w:t>
      </w:r>
      <w:r w:rsidR="00F23066" w:rsidRPr="005B107D">
        <w:rPr>
          <w:b/>
          <w:bCs/>
          <w:lang w:val="es-ES_tradnl"/>
        </w:rPr>
        <w:t>Secretaría</w:t>
      </w:r>
      <w:r w:rsidR="001E17EC" w:rsidRPr="005B107D">
        <w:rPr>
          <w:bCs/>
          <w:lang w:val="es-ES_tradnl"/>
        </w:rPr>
        <w:t xml:space="preserve"> leyó en voz alta la lista</w:t>
      </w:r>
      <w:r w:rsidR="008B67E7" w:rsidRPr="005B107D">
        <w:rPr>
          <w:bCs/>
          <w:lang w:val="es-ES_tradnl"/>
        </w:rPr>
        <w:t>:</w:t>
      </w:r>
    </w:p>
    <w:p w14:paraId="42B441DD" w14:textId="77777777" w:rsidR="008B67E7" w:rsidRPr="005B107D" w:rsidRDefault="008B67E7" w:rsidP="008B67E7">
      <w:pPr>
        <w:tabs>
          <w:tab w:val="left" w:pos="1403"/>
        </w:tabs>
        <w:snapToGrid w:val="0"/>
        <w:spacing w:after="0" w:line="240" w:lineRule="auto"/>
        <w:rPr>
          <w:bCs/>
          <w:lang w:val="es-ES_tradnl"/>
        </w:rPr>
      </w:pPr>
    </w:p>
    <w:p w14:paraId="184F84B8" w14:textId="1D6794D4" w:rsidR="008B67E7" w:rsidRPr="005B107D" w:rsidRDefault="008B67E7" w:rsidP="000A5227">
      <w:pPr>
        <w:pStyle w:val="ListParagraph"/>
        <w:numPr>
          <w:ilvl w:val="0"/>
          <w:numId w:val="1"/>
        </w:numPr>
        <w:snapToGrid w:val="0"/>
        <w:spacing w:after="0" w:line="240" w:lineRule="auto"/>
        <w:ind w:left="850" w:hanging="425"/>
        <w:rPr>
          <w:bCs/>
          <w:lang w:val="es-ES_tradnl"/>
        </w:rPr>
      </w:pPr>
      <w:r w:rsidRPr="005B107D">
        <w:rPr>
          <w:bCs/>
          <w:lang w:val="es-ES_tradnl"/>
        </w:rPr>
        <w:t xml:space="preserve">China – </w:t>
      </w:r>
      <w:r w:rsidR="001E17EC" w:rsidRPr="005B107D">
        <w:rPr>
          <w:bCs/>
          <w:lang w:val="es-ES_tradnl"/>
        </w:rPr>
        <w:t>Ciudades de Chang</w:t>
      </w:r>
      <w:r w:rsidRPr="005B107D">
        <w:rPr>
          <w:bCs/>
          <w:lang w:val="es-ES_tradnl"/>
        </w:rPr>
        <w:t>de, Changshu, Dongying, Haikou, Hae</w:t>
      </w:r>
      <w:r w:rsidR="000A5227" w:rsidRPr="005B107D">
        <w:rPr>
          <w:bCs/>
          <w:lang w:val="es-ES_tradnl"/>
        </w:rPr>
        <w:t xml:space="preserve">rbin </w:t>
      </w:r>
      <w:r w:rsidR="001E17EC" w:rsidRPr="005B107D">
        <w:rPr>
          <w:bCs/>
          <w:lang w:val="es-ES_tradnl"/>
        </w:rPr>
        <w:t>y Yinchuan</w:t>
      </w:r>
    </w:p>
    <w:p w14:paraId="3DA33A9F" w14:textId="36E8DD4E" w:rsidR="008B67E7" w:rsidRPr="005B107D" w:rsidRDefault="001E17EC" w:rsidP="000A5227">
      <w:pPr>
        <w:pStyle w:val="ListParagraph"/>
        <w:numPr>
          <w:ilvl w:val="0"/>
          <w:numId w:val="1"/>
        </w:numPr>
        <w:snapToGrid w:val="0"/>
        <w:spacing w:after="0" w:line="240" w:lineRule="auto"/>
        <w:ind w:left="850" w:hanging="425"/>
        <w:rPr>
          <w:bCs/>
          <w:lang w:val="es-ES_tradnl"/>
        </w:rPr>
      </w:pPr>
      <w:r w:rsidRPr="005B107D">
        <w:rPr>
          <w:bCs/>
          <w:lang w:val="es-ES_tradnl"/>
        </w:rPr>
        <w:t>Francia</w:t>
      </w:r>
      <w:r w:rsidR="008B67E7" w:rsidRPr="005B107D">
        <w:rPr>
          <w:bCs/>
          <w:lang w:val="es-ES_tradnl"/>
        </w:rPr>
        <w:t xml:space="preserve"> – Amiens, </w:t>
      </w:r>
      <w:r w:rsidRPr="005B107D">
        <w:rPr>
          <w:bCs/>
          <w:lang w:val="es-ES_tradnl"/>
        </w:rPr>
        <w:t>Courteranges, Pont-Audemer y</w:t>
      </w:r>
      <w:r w:rsidR="008B67E7" w:rsidRPr="005B107D">
        <w:rPr>
          <w:bCs/>
          <w:lang w:val="es-ES_tradnl"/>
        </w:rPr>
        <w:t xml:space="preserve"> Saint-Omer</w:t>
      </w:r>
    </w:p>
    <w:p w14:paraId="3A0CACF2" w14:textId="6DBC7C6E" w:rsidR="008B67E7" w:rsidRPr="005B107D" w:rsidRDefault="001E17EC" w:rsidP="000A5227">
      <w:pPr>
        <w:pStyle w:val="ListParagraph"/>
        <w:numPr>
          <w:ilvl w:val="0"/>
          <w:numId w:val="1"/>
        </w:numPr>
        <w:snapToGrid w:val="0"/>
        <w:spacing w:after="0" w:line="240" w:lineRule="auto"/>
        <w:ind w:left="850" w:hanging="425"/>
        <w:rPr>
          <w:bCs/>
          <w:lang w:val="es-ES_tradnl"/>
        </w:rPr>
      </w:pPr>
      <w:r w:rsidRPr="005B107D">
        <w:rPr>
          <w:bCs/>
          <w:lang w:val="es-ES_tradnl"/>
        </w:rPr>
        <w:t>Hungría</w:t>
      </w:r>
      <w:r w:rsidR="008B67E7" w:rsidRPr="005B107D">
        <w:rPr>
          <w:bCs/>
          <w:lang w:val="es-ES_tradnl"/>
        </w:rPr>
        <w:t xml:space="preserve"> – Tata</w:t>
      </w:r>
    </w:p>
    <w:p w14:paraId="135388D3" w14:textId="018668B2" w:rsidR="008B67E7" w:rsidRPr="005B107D" w:rsidRDefault="001E17EC" w:rsidP="000A5227">
      <w:pPr>
        <w:pStyle w:val="ListParagraph"/>
        <w:numPr>
          <w:ilvl w:val="0"/>
          <w:numId w:val="1"/>
        </w:numPr>
        <w:snapToGrid w:val="0"/>
        <w:spacing w:after="0" w:line="240" w:lineRule="auto"/>
        <w:ind w:left="850" w:hanging="425"/>
        <w:rPr>
          <w:bCs/>
          <w:lang w:val="es-ES_tradnl"/>
        </w:rPr>
      </w:pPr>
      <w:r w:rsidRPr="005B107D">
        <w:rPr>
          <w:bCs/>
          <w:lang w:val="es-ES_tradnl"/>
        </w:rPr>
        <w:t>República de Corea</w:t>
      </w:r>
      <w:r w:rsidR="008B67E7" w:rsidRPr="005B107D">
        <w:rPr>
          <w:bCs/>
          <w:lang w:val="es-ES_tradnl"/>
        </w:rPr>
        <w:t xml:space="preserve"> – </w:t>
      </w:r>
      <w:r w:rsidRPr="005B107D">
        <w:rPr>
          <w:bCs/>
          <w:lang w:val="es-ES_tradnl"/>
        </w:rPr>
        <w:t xml:space="preserve">Condados de </w:t>
      </w:r>
      <w:r w:rsidR="008B67E7" w:rsidRPr="005B107D">
        <w:rPr>
          <w:bCs/>
          <w:lang w:val="es-ES_tradnl"/>
        </w:rPr>
        <w:t>Changnyeong</w:t>
      </w:r>
      <w:r w:rsidRPr="005B107D">
        <w:rPr>
          <w:bCs/>
          <w:lang w:val="es-ES_tradnl"/>
        </w:rPr>
        <w:t xml:space="preserve"> e</w:t>
      </w:r>
      <w:r w:rsidR="008B67E7" w:rsidRPr="005B107D">
        <w:rPr>
          <w:bCs/>
          <w:lang w:val="es-ES_tradnl"/>
        </w:rPr>
        <w:t xml:space="preserve"> Inje</w:t>
      </w:r>
      <w:r w:rsidRPr="005B107D">
        <w:rPr>
          <w:bCs/>
          <w:lang w:val="es-ES_tradnl"/>
        </w:rPr>
        <w:t xml:space="preserve"> y ciudades de Jeju y Suncheon</w:t>
      </w:r>
    </w:p>
    <w:p w14:paraId="06B4B004" w14:textId="77777777" w:rsidR="008B67E7" w:rsidRPr="005B107D" w:rsidRDefault="008B67E7" w:rsidP="000A5227">
      <w:pPr>
        <w:pStyle w:val="ListParagraph"/>
        <w:numPr>
          <w:ilvl w:val="0"/>
          <w:numId w:val="1"/>
        </w:numPr>
        <w:snapToGrid w:val="0"/>
        <w:spacing w:after="0" w:line="240" w:lineRule="auto"/>
        <w:ind w:left="850" w:hanging="425"/>
        <w:rPr>
          <w:bCs/>
          <w:lang w:val="es-ES_tradnl"/>
        </w:rPr>
      </w:pPr>
      <w:r w:rsidRPr="005B107D">
        <w:rPr>
          <w:bCs/>
          <w:lang w:val="es-ES_tradnl"/>
        </w:rPr>
        <w:t>Madagascar – Mitsinjo</w:t>
      </w:r>
    </w:p>
    <w:p w14:paraId="5CD1471E" w14:textId="77777777" w:rsidR="008B67E7" w:rsidRPr="005B107D" w:rsidRDefault="008B67E7" w:rsidP="000A5227">
      <w:pPr>
        <w:pStyle w:val="ListParagraph"/>
        <w:numPr>
          <w:ilvl w:val="0"/>
          <w:numId w:val="1"/>
        </w:numPr>
        <w:snapToGrid w:val="0"/>
        <w:spacing w:after="0" w:line="240" w:lineRule="auto"/>
        <w:ind w:left="850" w:hanging="425"/>
        <w:rPr>
          <w:bCs/>
          <w:lang w:val="es-ES_tradnl"/>
        </w:rPr>
      </w:pPr>
      <w:r w:rsidRPr="005B107D">
        <w:rPr>
          <w:bCs/>
          <w:lang w:val="es-ES_tradnl"/>
        </w:rPr>
        <w:t>Sri Lanka – Colombo</w:t>
      </w:r>
    </w:p>
    <w:p w14:paraId="63A2368B" w14:textId="0AC55B97" w:rsidR="008B67E7" w:rsidRPr="005B107D" w:rsidRDefault="001E17EC" w:rsidP="000A5227">
      <w:pPr>
        <w:pStyle w:val="ListParagraph"/>
        <w:numPr>
          <w:ilvl w:val="0"/>
          <w:numId w:val="1"/>
        </w:numPr>
        <w:snapToGrid w:val="0"/>
        <w:spacing w:after="0" w:line="240" w:lineRule="auto"/>
        <w:ind w:left="850" w:hanging="425"/>
        <w:rPr>
          <w:bCs/>
          <w:lang w:val="es-ES_tradnl"/>
        </w:rPr>
      </w:pPr>
      <w:r w:rsidRPr="005B107D">
        <w:rPr>
          <w:bCs/>
          <w:lang w:val="es-ES_tradnl"/>
        </w:rPr>
        <w:lastRenderedPageBreak/>
        <w:t>Túnez</w:t>
      </w:r>
      <w:r w:rsidR="008B67E7" w:rsidRPr="005B107D">
        <w:rPr>
          <w:bCs/>
          <w:lang w:val="es-ES_tradnl"/>
        </w:rPr>
        <w:t xml:space="preserve"> – Ghar el Melh</w:t>
      </w:r>
    </w:p>
    <w:p w14:paraId="61135ADF" w14:textId="77777777" w:rsidR="008B67E7" w:rsidRPr="005B107D" w:rsidRDefault="008B67E7" w:rsidP="008B67E7">
      <w:pPr>
        <w:tabs>
          <w:tab w:val="left" w:pos="1403"/>
        </w:tabs>
        <w:snapToGrid w:val="0"/>
        <w:spacing w:after="0" w:line="240" w:lineRule="auto"/>
        <w:rPr>
          <w:bCs/>
          <w:lang w:val="es-ES_tradnl"/>
        </w:rPr>
      </w:pPr>
    </w:p>
    <w:p w14:paraId="3E91F7D3" w14:textId="7023D272" w:rsidR="008B67E7" w:rsidRPr="005B107D" w:rsidRDefault="002D6F72" w:rsidP="000A5227">
      <w:pPr>
        <w:tabs>
          <w:tab w:val="left" w:pos="1403"/>
        </w:tabs>
        <w:snapToGrid w:val="0"/>
        <w:spacing w:after="0" w:line="240" w:lineRule="auto"/>
        <w:ind w:left="425" w:hanging="425"/>
        <w:rPr>
          <w:bCs/>
          <w:lang w:val="es-ES_tradnl"/>
        </w:rPr>
      </w:pPr>
      <w:r w:rsidRPr="005B107D">
        <w:rPr>
          <w:bCs/>
          <w:lang w:val="es-ES_tradnl"/>
        </w:rPr>
        <w:t>19</w:t>
      </w:r>
      <w:r w:rsidR="002E43E8" w:rsidRPr="005B107D">
        <w:rPr>
          <w:bCs/>
          <w:lang w:val="es-ES_tradnl"/>
        </w:rPr>
        <w:t>.</w:t>
      </w:r>
      <w:r w:rsidR="002E43E8" w:rsidRPr="005B107D">
        <w:rPr>
          <w:bCs/>
          <w:lang w:val="es-ES_tradnl"/>
        </w:rPr>
        <w:tab/>
      </w:r>
      <w:r w:rsidR="001E17EC" w:rsidRPr="005B107D">
        <w:rPr>
          <w:bCs/>
          <w:lang w:val="es-ES_tradnl"/>
        </w:rPr>
        <w:t>La</w:t>
      </w:r>
      <w:r w:rsidR="008B67E7" w:rsidRPr="005B107D">
        <w:rPr>
          <w:bCs/>
          <w:lang w:val="es-ES_tradnl"/>
        </w:rPr>
        <w:t xml:space="preserve"> </w:t>
      </w:r>
      <w:r w:rsidR="008B67E7" w:rsidRPr="005B107D">
        <w:rPr>
          <w:b/>
          <w:bCs/>
          <w:lang w:val="es-ES_tradnl"/>
        </w:rPr>
        <w:t>Conferenc</w:t>
      </w:r>
      <w:r w:rsidR="001E17EC" w:rsidRPr="005B107D">
        <w:rPr>
          <w:b/>
          <w:bCs/>
          <w:lang w:val="es-ES_tradnl"/>
        </w:rPr>
        <w:t xml:space="preserve">ia </w:t>
      </w:r>
      <w:r w:rsidR="008B67E7" w:rsidRPr="005B107D">
        <w:rPr>
          <w:bCs/>
          <w:lang w:val="es-ES_tradnl"/>
        </w:rPr>
        <w:t>a</w:t>
      </w:r>
      <w:r w:rsidR="001E17EC" w:rsidRPr="005B107D">
        <w:rPr>
          <w:bCs/>
          <w:lang w:val="es-ES_tradnl"/>
        </w:rPr>
        <w:t>probó por aclamación la concesión de la acreditación de Ciudad de Humedal a las ciudades enumeradas.</w:t>
      </w:r>
    </w:p>
    <w:p w14:paraId="00DD3931" w14:textId="77777777" w:rsidR="008B67E7" w:rsidRPr="005B107D" w:rsidRDefault="008B67E7" w:rsidP="000A5227">
      <w:pPr>
        <w:tabs>
          <w:tab w:val="left" w:pos="1403"/>
        </w:tabs>
        <w:snapToGrid w:val="0"/>
        <w:spacing w:after="0" w:line="240" w:lineRule="auto"/>
        <w:ind w:left="425" w:hanging="425"/>
        <w:rPr>
          <w:bCs/>
          <w:lang w:val="es-ES_tradnl"/>
        </w:rPr>
      </w:pPr>
    </w:p>
    <w:p w14:paraId="41E7B09E" w14:textId="14684BA0" w:rsidR="008B67E7" w:rsidRPr="005B107D" w:rsidRDefault="002E43E8" w:rsidP="000A5227">
      <w:pPr>
        <w:tabs>
          <w:tab w:val="left" w:pos="1403"/>
        </w:tabs>
        <w:snapToGrid w:val="0"/>
        <w:spacing w:after="0" w:line="240" w:lineRule="auto"/>
        <w:ind w:left="425" w:hanging="425"/>
        <w:rPr>
          <w:bCs/>
          <w:lang w:val="es-ES_tradnl"/>
        </w:rPr>
      </w:pPr>
      <w:r w:rsidRPr="005B107D">
        <w:rPr>
          <w:bCs/>
          <w:lang w:val="es-ES_tradnl"/>
        </w:rPr>
        <w:t>2</w:t>
      </w:r>
      <w:r w:rsidR="002D6F72" w:rsidRPr="005B107D">
        <w:rPr>
          <w:bCs/>
          <w:lang w:val="es-ES_tradnl"/>
        </w:rPr>
        <w:t>0</w:t>
      </w:r>
      <w:r w:rsidRPr="005B107D">
        <w:rPr>
          <w:bCs/>
          <w:lang w:val="es-ES_tradnl"/>
        </w:rPr>
        <w:t>.</w:t>
      </w:r>
      <w:r w:rsidRPr="005B107D">
        <w:rPr>
          <w:bCs/>
          <w:lang w:val="es-ES_tradnl"/>
        </w:rPr>
        <w:tab/>
      </w:r>
      <w:r w:rsidR="008B67E7" w:rsidRPr="005B107D">
        <w:rPr>
          <w:b/>
          <w:bCs/>
          <w:lang w:val="es-ES_tradnl"/>
        </w:rPr>
        <w:t>China</w:t>
      </w:r>
      <w:r w:rsidR="008B67E7" w:rsidRPr="005B107D">
        <w:rPr>
          <w:bCs/>
          <w:lang w:val="es-ES_tradnl"/>
        </w:rPr>
        <w:t xml:space="preserve">, </w:t>
      </w:r>
      <w:r w:rsidR="008B67E7" w:rsidRPr="005B107D">
        <w:rPr>
          <w:b/>
          <w:bCs/>
          <w:lang w:val="es-ES_tradnl"/>
        </w:rPr>
        <w:t>Hun</w:t>
      </w:r>
      <w:r w:rsidR="001E17EC" w:rsidRPr="005B107D">
        <w:rPr>
          <w:b/>
          <w:bCs/>
          <w:lang w:val="es-ES_tradnl"/>
        </w:rPr>
        <w:t>gría</w:t>
      </w:r>
      <w:r w:rsidR="008B67E7" w:rsidRPr="005B107D">
        <w:rPr>
          <w:bCs/>
          <w:lang w:val="es-ES_tradnl"/>
        </w:rPr>
        <w:t xml:space="preserve">, </w:t>
      </w:r>
      <w:r w:rsidR="001E17EC" w:rsidRPr="005B107D">
        <w:rPr>
          <w:bCs/>
          <w:lang w:val="es-ES_tradnl"/>
        </w:rPr>
        <w:t xml:space="preserve">el </w:t>
      </w:r>
      <w:r w:rsidR="001E17EC" w:rsidRPr="005B107D">
        <w:rPr>
          <w:b/>
          <w:bCs/>
          <w:lang w:val="es-ES_tradnl"/>
        </w:rPr>
        <w:t>Irán (República Islámica del</w:t>
      </w:r>
      <w:r w:rsidR="008B67E7" w:rsidRPr="005B107D">
        <w:rPr>
          <w:b/>
          <w:bCs/>
          <w:lang w:val="es-ES_tradnl"/>
        </w:rPr>
        <w:t>)</w:t>
      </w:r>
      <w:r w:rsidR="008B67E7" w:rsidRPr="005B107D">
        <w:rPr>
          <w:bCs/>
          <w:lang w:val="es-ES_tradnl"/>
        </w:rPr>
        <w:t xml:space="preserve"> </w:t>
      </w:r>
      <w:r w:rsidR="001E17EC" w:rsidRPr="005B107D">
        <w:rPr>
          <w:bCs/>
          <w:lang w:val="es-ES_tradnl"/>
        </w:rPr>
        <w:t xml:space="preserve">y </w:t>
      </w:r>
      <w:r w:rsidR="008B67E7" w:rsidRPr="005B107D">
        <w:rPr>
          <w:b/>
          <w:bCs/>
          <w:lang w:val="es-ES_tradnl"/>
        </w:rPr>
        <w:t>Jordan</w:t>
      </w:r>
      <w:r w:rsidR="001E17EC" w:rsidRPr="005B107D">
        <w:rPr>
          <w:b/>
          <w:bCs/>
          <w:lang w:val="es-ES_tradnl"/>
        </w:rPr>
        <w:t>ia</w:t>
      </w:r>
      <w:r w:rsidR="001E17EC" w:rsidRPr="005B107D">
        <w:rPr>
          <w:bCs/>
          <w:lang w:val="es-ES_tradnl"/>
        </w:rPr>
        <w:t xml:space="preserve"> acogieron con agrado el sistema de acreditación y felicitaron a las ciudades cuyas candidaturas habían sido aprobadas</w:t>
      </w:r>
      <w:r w:rsidR="008B67E7" w:rsidRPr="005B107D">
        <w:rPr>
          <w:bCs/>
          <w:lang w:val="es-ES_tradnl"/>
        </w:rPr>
        <w:t>.</w:t>
      </w:r>
    </w:p>
    <w:p w14:paraId="706F707E" w14:textId="77777777" w:rsidR="008B67E7" w:rsidRPr="005B107D" w:rsidRDefault="008B67E7" w:rsidP="000A5227">
      <w:pPr>
        <w:tabs>
          <w:tab w:val="left" w:pos="1403"/>
        </w:tabs>
        <w:snapToGrid w:val="0"/>
        <w:spacing w:after="0" w:line="240" w:lineRule="auto"/>
        <w:ind w:left="425" w:hanging="425"/>
        <w:rPr>
          <w:bCs/>
          <w:lang w:val="es-ES_tradnl"/>
        </w:rPr>
      </w:pPr>
    </w:p>
    <w:p w14:paraId="7E3B87EF" w14:textId="2ACBD68D" w:rsidR="008B67E7" w:rsidRPr="005B107D" w:rsidRDefault="002E43E8" w:rsidP="000A5227">
      <w:pPr>
        <w:tabs>
          <w:tab w:val="left" w:pos="1403"/>
        </w:tabs>
        <w:snapToGrid w:val="0"/>
        <w:spacing w:after="0" w:line="240" w:lineRule="auto"/>
        <w:ind w:left="425" w:hanging="425"/>
        <w:rPr>
          <w:bCs/>
          <w:lang w:val="es-ES_tradnl"/>
        </w:rPr>
      </w:pPr>
      <w:r w:rsidRPr="005B107D">
        <w:rPr>
          <w:bCs/>
          <w:lang w:val="es-ES_tradnl"/>
        </w:rPr>
        <w:t>2</w:t>
      </w:r>
      <w:r w:rsidR="002D6F72" w:rsidRPr="005B107D">
        <w:rPr>
          <w:bCs/>
          <w:lang w:val="es-ES_tradnl"/>
        </w:rPr>
        <w:t>1</w:t>
      </w:r>
      <w:r w:rsidRPr="005B107D">
        <w:rPr>
          <w:bCs/>
          <w:lang w:val="es-ES_tradnl"/>
        </w:rPr>
        <w:t>.</w:t>
      </w:r>
      <w:r w:rsidRPr="005B107D">
        <w:rPr>
          <w:bCs/>
          <w:lang w:val="es-ES_tradnl"/>
        </w:rPr>
        <w:tab/>
      </w:r>
      <w:r w:rsidR="001E17EC" w:rsidRPr="005B107D">
        <w:rPr>
          <w:bCs/>
          <w:lang w:val="es-ES_tradnl"/>
        </w:rPr>
        <w:t xml:space="preserve">En respuesta a </w:t>
      </w:r>
      <w:r w:rsidR="00F23066" w:rsidRPr="005B107D">
        <w:rPr>
          <w:bCs/>
          <w:lang w:val="es-ES_tradnl"/>
        </w:rPr>
        <w:t>cuestiones</w:t>
      </w:r>
      <w:r w:rsidR="001E17EC" w:rsidRPr="005B107D">
        <w:rPr>
          <w:bCs/>
          <w:lang w:val="es-ES_tradnl"/>
        </w:rPr>
        <w:t xml:space="preserve"> señaladas por </w:t>
      </w:r>
      <w:r w:rsidR="001E17EC" w:rsidRPr="005B107D">
        <w:rPr>
          <w:b/>
          <w:bCs/>
          <w:lang w:val="es-ES_tradnl"/>
        </w:rPr>
        <w:t>Hungría</w:t>
      </w:r>
      <w:r w:rsidR="001E17EC" w:rsidRPr="005B107D">
        <w:rPr>
          <w:bCs/>
          <w:lang w:val="es-ES_tradnl"/>
        </w:rPr>
        <w:t xml:space="preserve">, el </w:t>
      </w:r>
      <w:r w:rsidR="001E17EC" w:rsidRPr="005B107D">
        <w:rPr>
          <w:b/>
          <w:bCs/>
          <w:lang w:val="es-ES_tradnl"/>
        </w:rPr>
        <w:t>Irán (República Islámica del)</w:t>
      </w:r>
      <w:r w:rsidR="001E17EC" w:rsidRPr="005B107D">
        <w:rPr>
          <w:bCs/>
          <w:lang w:val="es-ES_tradnl"/>
        </w:rPr>
        <w:t xml:space="preserve"> y </w:t>
      </w:r>
      <w:r w:rsidR="001E17EC" w:rsidRPr="005B107D">
        <w:rPr>
          <w:b/>
          <w:bCs/>
          <w:lang w:val="es-ES_tradnl"/>
        </w:rPr>
        <w:t>Jordania</w:t>
      </w:r>
      <w:r w:rsidR="008B67E7" w:rsidRPr="005B107D">
        <w:rPr>
          <w:bCs/>
          <w:lang w:val="es-ES_tradnl"/>
        </w:rPr>
        <w:t xml:space="preserve">, </w:t>
      </w:r>
      <w:r w:rsidR="001E17EC" w:rsidRPr="005B107D">
        <w:rPr>
          <w:bCs/>
          <w:lang w:val="es-ES_tradnl"/>
        </w:rPr>
        <w:t>la</w:t>
      </w:r>
      <w:r w:rsidR="008B67E7" w:rsidRPr="005B107D">
        <w:rPr>
          <w:bCs/>
          <w:lang w:val="es-ES_tradnl"/>
        </w:rPr>
        <w:t xml:space="preserve"> </w:t>
      </w:r>
      <w:r w:rsidR="008B67E7" w:rsidRPr="005B107D">
        <w:rPr>
          <w:b/>
          <w:bCs/>
          <w:lang w:val="es-ES_tradnl"/>
        </w:rPr>
        <w:t>Secretar</w:t>
      </w:r>
      <w:r w:rsidR="001E17EC" w:rsidRPr="005B107D">
        <w:rPr>
          <w:b/>
          <w:bCs/>
          <w:lang w:val="es-ES_tradnl"/>
        </w:rPr>
        <w:t>ía</w:t>
      </w:r>
      <w:r w:rsidR="008B67E7" w:rsidRPr="005B107D">
        <w:rPr>
          <w:b/>
          <w:bCs/>
          <w:lang w:val="es-ES_tradnl"/>
        </w:rPr>
        <w:t xml:space="preserve"> </w:t>
      </w:r>
      <w:r w:rsidR="001E17EC" w:rsidRPr="005B107D">
        <w:rPr>
          <w:bCs/>
          <w:lang w:val="es-ES_tradnl"/>
        </w:rPr>
        <w:t xml:space="preserve">aportó más </w:t>
      </w:r>
      <w:r w:rsidR="00F23066" w:rsidRPr="005B107D">
        <w:rPr>
          <w:bCs/>
          <w:lang w:val="es-ES_tradnl"/>
        </w:rPr>
        <w:t>información</w:t>
      </w:r>
      <w:r w:rsidR="001E17EC" w:rsidRPr="005B107D">
        <w:rPr>
          <w:bCs/>
          <w:lang w:val="es-ES_tradnl"/>
        </w:rPr>
        <w:t xml:space="preserve"> sobre el procedimiento de la </w:t>
      </w:r>
      <w:r w:rsidR="00F23066" w:rsidRPr="005B107D">
        <w:rPr>
          <w:bCs/>
          <w:lang w:val="es-ES_tradnl"/>
        </w:rPr>
        <w:t>acreditación</w:t>
      </w:r>
      <w:r w:rsidR="001E17EC" w:rsidRPr="005B107D">
        <w:rPr>
          <w:bCs/>
          <w:lang w:val="es-ES_tradnl"/>
        </w:rPr>
        <w:t xml:space="preserve"> de Ciudad de Humedal, señalando el papel limitado de la Secretaría y poniendo de relieve que la redacción de la Resolución XII.10 era un tanto ambigua.</w:t>
      </w:r>
    </w:p>
    <w:p w14:paraId="4CDAC6E5" w14:textId="77777777" w:rsidR="008B67E7" w:rsidRPr="005B107D" w:rsidRDefault="008B67E7" w:rsidP="000A5227">
      <w:pPr>
        <w:tabs>
          <w:tab w:val="left" w:pos="1403"/>
        </w:tabs>
        <w:snapToGrid w:val="0"/>
        <w:spacing w:after="0" w:line="240" w:lineRule="auto"/>
        <w:ind w:left="425" w:hanging="425"/>
        <w:rPr>
          <w:bCs/>
          <w:lang w:val="es-ES_tradnl"/>
        </w:rPr>
      </w:pPr>
    </w:p>
    <w:p w14:paraId="000D2EC4" w14:textId="733D2A47" w:rsidR="008B67E7" w:rsidRPr="005B107D" w:rsidRDefault="002E43E8" w:rsidP="000A5227">
      <w:pPr>
        <w:tabs>
          <w:tab w:val="left" w:pos="1403"/>
        </w:tabs>
        <w:snapToGrid w:val="0"/>
        <w:spacing w:after="0" w:line="240" w:lineRule="auto"/>
        <w:ind w:left="425" w:hanging="425"/>
        <w:rPr>
          <w:bCs/>
          <w:lang w:val="es-ES_tradnl"/>
        </w:rPr>
      </w:pPr>
      <w:r w:rsidRPr="005B107D">
        <w:rPr>
          <w:bCs/>
          <w:lang w:val="es-ES_tradnl"/>
        </w:rPr>
        <w:t>2</w:t>
      </w:r>
      <w:r w:rsidR="002D6F72" w:rsidRPr="005B107D">
        <w:rPr>
          <w:bCs/>
          <w:lang w:val="es-ES_tradnl"/>
        </w:rPr>
        <w:t>2</w:t>
      </w:r>
      <w:r w:rsidRPr="005B107D">
        <w:rPr>
          <w:bCs/>
          <w:lang w:val="es-ES_tradnl"/>
        </w:rPr>
        <w:t>.</w:t>
      </w:r>
      <w:r w:rsidRPr="005B107D">
        <w:rPr>
          <w:bCs/>
          <w:lang w:val="es-ES_tradnl"/>
        </w:rPr>
        <w:tab/>
      </w:r>
      <w:r w:rsidR="001E17EC" w:rsidRPr="005B107D">
        <w:rPr>
          <w:bCs/>
          <w:lang w:val="es-ES_tradnl"/>
        </w:rPr>
        <w:t xml:space="preserve">La </w:t>
      </w:r>
      <w:r w:rsidR="001E17EC" w:rsidRPr="005B107D">
        <w:rPr>
          <w:b/>
          <w:bCs/>
          <w:lang w:val="es-ES_tradnl"/>
        </w:rPr>
        <w:t xml:space="preserve">República de Corea </w:t>
      </w:r>
      <w:r w:rsidR="001E17EC" w:rsidRPr="005B107D">
        <w:rPr>
          <w:bCs/>
          <w:lang w:val="es-ES_tradnl"/>
        </w:rPr>
        <w:t xml:space="preserve">y </w:t>
      </w:r>
      <w:r w:rsidR="001E17EC" w:rsidRPr="005B107D">
        <w:rPr>
          <w:b/>
          <w:bCs/>
          <w:lang w:val="es-ES_tradnl"/>
        </w:rPr>
        <w:t>Túnez</w:t>
      </w:r>
      <w:r w:rsidR="008B67E7" w:rsidRPr="005B107D">
        <w:rPr>
          <w:bCs/>
          <w:lang w:val="es-ES_tradnl"/>
        </w:rPr>
        <w:t xml:space="preserve">, </w:t>
      </w:r>
      <w:r w:rsidR="002A1EF0" w:rsidRPr="005B107D">
        <w:rPr>
          <w:bCs/>
          <w:lang w:val="es-ES_tradnl"/>
        </w:rPr>
        <w:t>en calidad de c</w:t>
      </w:r>
      <w:r w:rsidR="001E17EC" w:rsidRPr="005B107D">
        <w:rPr>
          <w:bCs/>
          <w:lang w:val="es-ES_tradnl"/>
        </w:rPr>
        <w:t xml:space="preserve">opresidencias del Comité Asesor Independiente (CAI), </w:t>
      </w:r>
      <w:r w:rsidR="00E07F15" w:rsidRPr="005B107D">
        <w:rPr>
          <w:bCs/>
          <w:lang w:val="es-ES_tradnl"/>
        </w:rPr>
        <w:t xml:space="preserve">se </w:t>
      </w:r>
      <w:r w:rsidR="00F23066" w:rsidRPr="005B107D">
        <w:rPr>
          <w:bCs/>
          <w:lang w:val="es-ES_tradnl"/>
        </w:rPr>
        <w:t>comprometieron</w:t>
      </w:r>
      <w:r w:rsidR="00E07F15" w:rsidRPr="005B107D">
        <w:rPr>
          <w:bCs/>
          <w:lang w:val="es-ES_tradnl"/>
        </w:rPr>
        <w:t xml:space="preserve"> a apor</w:t>
      </w:r>
      <w:r w:rsidR="00F23066" w:rsidRPr="005B107D">
        <w:rPr>
          <w:bCs/>
          <w:lang w:val="es-ES_tradnl"/>
        </w:rPr>
        <w:t>t</w:t>
      </w:r>
      <w:r w:rsidR="00E07F15" w:rsidRPr="005B107D">
        <w:rPr>
          <w:bCs/>
          <w:lang w:val="es-ES_tradnl"/>
        </w:rPr>
        <w:t xml:space="preserve">ar más información sobre el </w:t>
      </w:r>
      <w:r w:rsidR="00F23066" w:rsidRPr="005B107D">
        <w:rPr>
          <w:bCs/>
          <w:lang w:val="es-ES_tradnl"/>
        </w:rPr>
        <w:t>procedimiento</w:t>
      </w:r>
      <w:r w:rsidR="00E07F15" w:rsidRPr="005B107D">
        <w:rPr>
          <w:bCs/>
          <w:lang w:val="es-ES_tradnl"/>
        </w:rPr>
        <w:t xml:space="preserve"> seguido y los criterios de selección aplicados y señal</w:t>
      </w:r>
      <w:r w:rsidR="005B107D" w:rsidRPr="005B107D">
        <w:rPr>
          <w:bCs/>
          <w:lang w:val="es-ES_tradnl"/>
        </w:rPr>
        <w:t>aron</w:t>
      </w:r>
      <w:r w:rsidR="00E07F15" w:rsidRPr="005B107D">
        <w:rPr>
          <w:bCs/>
          <w:lang w:val="es-ES_tradnl"/>
        </w:rPr>
        <w:t xml:space="preserve"> a la atención de los presentes un evento paralelo previsto el</w:t>
      </w:r>
      <w:r w:rsidR="008B67E7" w:rsidRPr="005B107D">
        <w:rPr>
          <w:bCs/>
          <w:lang w:val="es-ES_tradnl"/>
        </w:rPr>
        <w:t xml:space="preserve"> 26</w:t>
      </w:r>
      <w:r w:rsidR="00E07F15" w:rsidRPr="005B107D">
        <w:rPr>
          <w:bCs/>
          <w:lang w:val="es-ES_tradnl"/>
        </w:rPr>
        <w:t xml:space="preserve"> de octubre en el que se tratarían esas cuestiones. Dieron las gracias a los miembros del CAI, </w:t>
      </w:r>
      <w:r w:rsidR="005B107D" w:rsidRPr="005B107D">
        <w:rPr>
          <w:bCs/>
          <w:lang w:val="es-ES_tradnl"/>
        </w:rPr>
        <w:t xml:space="preserve">a </w:t>
      </w:r>
      <w:r w:rsidR="00E07F15" w:rsidRPr="005B107D">
        <w:rPr>
          <w:bCs/>
          <w:lang w:val="es-ES_tradnl"/>
        </w:rPr>
        <w:t xml:space="preserve">las Partes Contratantes, </w:t>
      </w:r>
      <w:r w:rsidR="005B107D" w:rsidRPr="005B107D">
        <w:rPr>
          <w:bCs/>
          <w:lang w:val="es-ES_tradnl"/>
        </w:rPr>
        <w:t xml:space="preserve">a </w:t>
      </w:r>
      <w:r w:rsidR="00E07F15" w:rsidRPr="005B107D">
        <w:rPr>
          <w:bCs/>
          <w:lang w:val="es-ES_tradnl"/>
        </w:rPr>
        <w:t>los representantes de las ciudades y</w:t>
      </w:r>
      <w:r w:rsidR="005B107D" w:rsidRPr="005B107D">
        <w:rPr>
          <w:bCs/>
          <w:lang w:val="es-ES_tradnl"/>
        </w:rPr>
        <w:t xml:space="preserve"> a</w:t>
      </w:r>
      <w:r w:rsidR="00E07F15" w:rsidRPr="005B107D">
        <w:rPr>
          <w:bCs/>
          <w:lang w:val="es-ES_tradnl"/>
        </w:rPr>
        <w:t xml:space="preserve"> la Secretaría por su apoyo dedicado</w:t>
      </w:r>
      <w:r w:rsidR="008B67E7" w:rsidRPr="005B107D">
        <w:rPr>
          <w:bCs/>
          <w:lang w:val="es-ES_tradnl"/>
        </w:rPr>
        <w:t>.</w:t>
      </w:r>
    </w:p>
    <w:p w14:paraId="04FB40C2" w14:textId="77777777" w:rsidR="00817E01" w:rsidRPr="005B107D" w:rsidRDefault="00817E01" w:rsidP="00D510DD">
      <w:pPr>
        <w:snapToGrid w:val="0"/>
        <w:spacing w:after="0" w:line="240" w:lineRule="auto"/>
        <w:rPr>
          <w:rFonts w:asciiTheme="minorHAnsi" w:hAnsiTheme="minorHAnsi" w:cstheme="minorHAnsi"/>
          <w:lang w:val="es-ES_tradnl"/>
        </w:rPr>
      </w:pPr>
    </w:p>
    <w:p w14:paraId="1AABFA52" w14:textId="77777777" w:rsidR="00817E01" w:rsidRPr="005B107D" w:rsidRDefault="00817E01" w:rsidP="007E6257">
      <w:pPr>
        <w:tabs>
          <w:tab w:val="left" w:pos="1403"/>
        </w:tabs>
        <w:snapToGrid w:val="0"/>
        <w:spacing w:after="0" w:line="240" w:lineRule="auto"/>
        <w:rPr>
          <w:bCs/>
          <w:lang w:val="es-ES_tradnl"/>
        </w:rPr>
      </w:pPr>
    </w:p>
    <w:sectPr w:rsidR="00817E01" w:rsidRPr="005B107D" w:rsidSect="003E313C">
      <w:footerReference w:type="even" r:id="rId9"/>
      <w:footerReference w:type="default" r:id="rId10"/>
      <w:pgSz w:w="11900" w:h="16840"/>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780F41" w16cid:durableId="1F7C4F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1F2E8" w14:textId="77777777" w:rsidR="000E61F4" w:rsidRDefault="000E61F4" w:rsidP="00AD57E6">
      <w:pPr>
        <w:spacing w:after="0" w:line="240" w:lineRule="auto"/>
      </w:pPr>
      <w:r>
        <w:separator/>
      </w:r>
    </w:p>
  </w:endnote>
  <w:endnote w:type="continuationSeparator" w:id="0">
    <w:p w14:paraId="10836177" w14:textId="77777777" w:rsidR="000E61F4" w:rsidRDefault="000E61F4" w:rsidP="00AD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0968625"/>
      <w:docPartObj>
        <w:docPartGallery w:val="Page Numbers (Bottom of Page)"/>
        <w:docPartUnique/>
      </w:docPartObj>
    </w:sdtPr>
    <w:sdtEndPr>
      <w:rPr>
        <w:rStyle w:val="PageNumber"/>
      </w:rPr>
    </w:sdtEndPr>
    <w:sdtContent>
      <w:p w14:paraId="35246D7E" w14:textId="1C51DEC7" w:rsidR="000E61F4" w:rsidRDefault="000E61F4" w:rsidP="00E74A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3CB66A" w14:textId="77777777" w:rsidR="000E61F4" w:rsidRDefault="000E61F4" w:rsidP="00AD57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6333" w14:textId="5BAB1A95" w:rsidR="000E61F4" w:rsidRDefault="000E61F4" w:rsidP="003E313C">
    <w:pPr>
      <w:pStyle w:val="Footer"/>
      <w:tabs>
        <w:tab w:val="clear" w:pos="4680"/>
        <w:tab w:val="clear" w:pos="9360"/>
        <w:tab w:val="center" w:pos="4678"/>
        <w:tab w:val="left" w:pos="8789"/>
      </w:tabs>
      <w:ind w:right="-52"/>
    </w:pPr>
    <w:r w:rsidRPr="0041099F">
      <w:rPr>
        <w:sz w:val="20"/>
        <w:szCs w:val="20"/>
      </w:rPr>
      <w:t xml:space="preserve">Ramsar </w:t>
    </w:r>
    <w:r w:rsidRPr="009000B8">
      <w:rPr>
        <w:sz w:val="20"/>
        <w:szCs w:val="20"/>
      </w:rPr>
      <w:t xml:space="preserve">COP13 </w:t>
    </w:r>
    <w:r>
      <w:rPr>
        <w:sz w:val="20"/>
        <w:szCs w:val="20"/>
      </w:rPr>
      <w:t>Rep</w:t>
    </w:r>
    <w:r w:rsidRPr="009000B8">
      <w:rPr>
        <w:sz w:val="20"/>
        <w:szCs w:val="20"/>
      </w:rPr>
      <w:t>.</w:t>
    </w:r>
    <w:r>
      <w:rPr>
        <w:sz w:val="20"/>
        <w:szCs w:val="20"/>
      </w:rPr>
      <w:t>5</w:t>
    </w:r>
    <w:r>
      <w:rPr>
        <w:sz w:val="20"/>
        <w:szCs w:val="20"/>
      </w:rPr>
      <w:tab/>
    </w:r>
    <w:r>
      <w:rPr>
        <w:sz w:val="20"/>
        <w:szCs w:val="20"/>
      </w:rPr>
      <w:tab/>
    </w:r>
    <w:r w:rsidRPr="003E313C">
      <w:rPr>
        <w:sz w:val="20"/>
        <w:szCs w:val="20"/>
      </w:rPr>
      <w:fldChar w:fldCharType="begin"/>
    </w:r>
    <w:r w:rsidRPr="003E313C">
      <w:rPr>
        <w:sz w:val="20"/>
        <w:szCs w:val="20"/>
      </w:rPr>
      <w:instrText xml:space="preserve"> PAGE   \* MERGEFORMAT </w:instrText>
    </w:r>
    <w:r w:rsidRPr="003E313C">
      <w:rPr>
        <w:sz w:val="20"/>
        <w:szCs w:val="20"/>
      </w:rPr>
      <w:fldChar w:fldCharType="separate"/>
    </w:r>
    <w:r w:rsidR="00D8091E">
      <w:rPr>
        <w:noProof/>
        <w:sz w:val="20"/>
        <w:szCs w:val="20"/>
      </w:rPr>
      <w:t>2</w:t>
    </w:r>
    <w:r w:rsidRPr="003E313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AB24" w14:textId="77777777" w:rsidR="000E61F4" w:rsidRDefault="000E61F4" w:rsidP="00AD57E6">
      <w:pPr>
        <w:spacing w:after="0" w:line="240" w:lineRule="auto"/>
      </w:pPr>
      <w:r>
        <w:separator/>
      </w:r>
    </w:p>
  </w:footnote>
  <w:footnote w:type="continuationSeparator" w:id="0">
    <w:p w14:paraId="2246B60E" w14:textId="77777777" w:rsidR="000E61F4" w:rsidRDefault="000E61F4" w:rsidP="00AD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229FC"/>
    <w:multiLevelType w:val="hybridMultilevel"/>
    <w:tmpl w:val="C766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72"/>
    <w:rsid w:val="00002B76"/>
    <w:rsid w:val="0003193E"/>
    <w:rsid w:val="00054877"/>
    <w:rsid w:val="0005550A"/>
    <w:rsid w:val="00073196"/>
    <w:rsid w:val="000A5227"/>
    <w:rsid w:val="000A5567"/>
    <w:rsid w:val="000B4404"/>
    <w:rsid w:val="000D5514"/>
    <w:rsid w:val="000E61F4"/>
    <w:rsid w:val="00110658"/>
    <w:rsid w:val="001110F7"/>
    <w:rsid w:val="0012269F"/>
    <w:rsid w:val="0012531F"/>
    <w:rsid w:val="001419A0"/>
    <w:rsid w:val="00151021"/>
    <w:rsid w:val="00181423"/>
    <w:rsid w:val="00185F66"/>
    <w:rsid w:val="001A3CA1"/>
    <w:rsid w:val="001B5896"/>
    <w:rsid w:val="001D54FF"/>
    <w:rsid w:val="001E17EC"/>
    <w:rsid w:val="001E321F"/>
    <w:rsid w:val="001E7D36"/>
    <w:rsid w:val="00225E22"/>
    <w:rsid w:val="00235415"/>
    <w:rsid w:val="00241FF7"/>
    <w:rsid w:val="00251D46"/>
    <w:rsid w:val="00252ECC"/>
    <w:rsid w:val="0027709C"/>
    <w:rsid w:val="00285177"/>
    <w:rsid w:val="00293198"/>
    <w:rsid w:val="00293A0F"/>
    <w:rsid w:val="002A1EF0"/>
    <w:rsid w:val="002D6F72"/>
    <w:rsid w:val="002E3148"/>
    <w:rsid w:val="002E43E8"/>
    <w:rsid w:val="00300251"/>
    <w:rsid w:val="00314DAA"/>
    <w:rsid w:val="0032507F"/>
    <w:rsid w:val="00325672"/>
    <w:rsid w:val="00330860"/>
    <w:rsid w:val="00330B31"/>
    <w:rsid w:val="003338EF"/>
    <w:rsid w:val="00337799"/>
    <w:rsid w:val="0034510E"/>
    <w:rsid w:val="00367026"/>
    <w:rsid w:val="00374B63"/>
    <w:rsid w:val="0038080E"/>
    <w:rsid w:val="0038709F"/>
    <w:rsid w:val="00393004"/>
    <w:rsid w:val="00393949"/>
    <w:rsid w:val="00393DBF"/>
    <w:rsid w:val="003E313C"/>
    <w:rsid w:val="004042CB"/>
    <w:rsid w:val="004165A4"/>
    <w:rsid w:val="004233C8"/>
    <w:rsid w:val="00462B6A"/>
    <w:rsid w:val="00462CFC"/>
    <w:rsid w:val="004B39A2"/>
    <w:rsid w:val="004E74FC"/>
    <w:rsid w:val="0050088B"/>
    <w:rsid w:val="00501F54"/>
    <w:rsid w:val="00511BBC"/>
    <w:rsid w:val="00512A26"/>
    <w:rsid w:val="005220A7"/>
    <w:rsid w:val="00525483"/>
    <w:rsid w:val="00551895"/>
    <w:rsid w:val="00552EA6"/>
    <w:rsid w:val="00567023"/>
    <w:rsid w:val="005725AC"/>
    <w:rsid w:val="005B006E"/>
    <w:rsid w:val="005B107D"/>
    <w:rsid w:val="005C68D1"/>
    <w:rsid w:val="005D494A"/>
    <w:rsid w:val="00633735"/>
    <w:rsid w:val="0064380D"/>
    <w:rsid w:val="006463F3"/>
    <w:rsid w:val="0065638C"/>
    <w:rsid w:val="00660368"/>
    <w:rsid w:val="00673E2A"/>
    <w:rsid w:val="006809D3"/>
    <w:rsid w:val="00690A80"/>
    <w:rsid w:val="00693B6E"/>
    <w:rsid w:val="006A06EE"/>
    <w:rsid w:val="006C48A3"/>
    <w:rsid w:val="006E0FF7"/>
    <w:rsid w:val="006F19C3"/>
    <w:rsid w:val="0076389A"/>
    <w:rsid w:val="00764DE2"/>
    <w:rsid w:val="00790E53"/>
    <w:rsid w:val="007C24B9"/>
    <w:rsid w:val="007E5EE5"/>
    <w:rsid w:val="007E6257"/>
    <w:rsid w:val="007E7653"/>
    <w:rsid w:val="007F2C9D"/>
    <w:rsid w:val="007F366A"/>
    <w:rsid w:val="00817831"/>
    <w:rsid w:val="00817E01"/>
    <w:rsid w:val="00825DB7"/>
    <w:rsid w:val="008A5EA5"/>
    <w:rsid w:val="008B07B7"/>
    <w:rsid w:val="008B0DF1"/>
    <w:rsid w:val="008B67E7"/>
    <w:rsid w:val="008C7FB2"/>
    <w:rsid w:val="008D5039"/>
    <w:rsid w:val="008F3F4D"/>
    <w:rsid w:val="008F5B84"/>
    <w:rsid w:val="008F5E86"/>
    <w:rsid w:val="009009C5"/>
    <w:rsid w:val="0095542A"/>
    <w:rsid w:val="0097430E"/>
    <w:rsid w:val="00980017"/>
    <w:rsid w:val="009D2410"/>
    <w:rsid w:val="009E4591"/>
    <w:rsid w:val="00A15A80"/>
    <w:rsid w:val="00A30986"/>
    <w:rsid w:val="00A469E2"/>
    <w:rsid w:val="00A57690"/>
    <w:rsid w:val="00A7091D"/>
    <w:rsid w:val="00A76871"/>
    <w:rsid w:val="00A85C76"/>
    <w:rsid w:val="00A963B7"/>
    <w:rsid w:val="00AA19CF"/>
    <w:rsid w:val="00AA76DD"/>
    <w:rsid w:val="00AB316B"/>
    <w:rsid w:val="00AB3F5D"/>
    <w:rsid w:val="00AB62A5"/>
    <w:rsid w:val="00AD57E6"/>
    <w:rsid w:val="00AF2A96"/>
    <w:rsid w:val="00B014CA"/>
    <w:rsid w:val="00B06D39"/>
    <w:rsid w:val="00B1083B"/>
    <w:rsid w:val="00B20D41"/>
    <w:rsid w:val="00B21E2F"/>
    <w:rsid w:val="00B362C6"/>
    <w:rsid w:val="00B4340B"/>
    <w:rsid w:val="00BB0088"/>
    <w:rsid w:val="00BB7B6B"/>
    <w:rsid w:val="00BC759E"/>
    <w:rsid w:val="00C04D26"/>
    <w:rsid w:val="00C056F3"/>
    <w:rsid w:val="00C13B8A"/>
    <w:rsid w:val="00C174CC"/>
    <w:rsid w:val="00C35A26"/>
    <w:rsid w:val="00C415F0"/>
    <w:rsid w:val="00C47C52"/>
    <w:rsid w:val="00C62AFA"/>
    <w:rsid w:val="00C64477"/>
    <w:rsid w:val="00C73C1E"/>
    <w:rsid w:val="00C86501"/>
    <w:rsid w:val="00CA1E51"/>
    <w:rsid w:val="00CB2A5D"/>
    <w:rsid w:val="00CC4F5C"/>
    <w:rsid w:val="00CD1205"/>
    <w:rsid w:val="00D25FDD"/>
    <w:rsid w:val="00D35A15"/>
    <w:rsid w:val="00D473B1"/>
    <w:rsid w:val="00D510DD"/>
    <w:rsid w:val="00D6595B"/>
    <w:rsid w:val="00D706D9"/>
    <w:rsid w:val="00D8091E"/>
    <w:rsid w:val="00D96195"/>
    <w:rsid w:val="00DA3925"/>
    <w:rsid w:val="00DB0A09"/>
    <w:rsid w:val="00DB54F5"/>
    <w:rsid w:val="00DC14F7"/>
    <w:rsid w:val="00DC262B"/>
    <w:rsid w:val="00DF7BD7"/>
    <w:rsid w:val="00E00E2F"/>
    <w:rsid w:val="00E07F15"/>
    <w:rsid w:val="00E13C31"/>
    <w:rsid w:val="00E166EE"/>
    <w:rsid w:val="00E30B9E"/>
    <w:rsid w:val="00E44000"/>
    <w:rsid w:val="00E55FBE"/>
    <w:rsid w:val="00E61E1C"/>
    <w:rsid w:val="00E65907"/>
    <w:rsid w:val="00E74A64"/>
    <w:rsid w:val="00E76B33"/>
    <w:rsid w:val="00E827BF"/>
    <w:rsid w:val="00EA1B40"/>
    <w:rsid w:val="00EB188F"/>
    <w:rsid w:val="00EE0BD3"/>
    <w:rsid w:val="00F20179"/>
    <w:rsid w:val="00F23066"/>
    <w:rsid w:val="00F36660"/>
    <w:rsid w:val="00F471F6"/>
    <w:rsid w:val="00F80D9E"/>
    <w:rsid w:val="00FA2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1DCE84D"/>
  <w15:docId w15:val="{CF060252-4311-4B27-9E2C-FDA48FA82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67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56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7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E6"/>
    <w:rPr>
      <w:rFonts w:ascii="Calibri" w:eastAsia="Calibri" w:hAnsi="Calibri" w:cs="Times New Roman"/>
      <w:sz w:val="22"/>
      <w:szCs w:val="22"/>
    </w:rPr>
  </w:style>
  <w:style w:type="paragraph" w:styleId="Footer">
    <w:name w:val="footer"/>
    <w:basedOn w:val="Normal"/>
    <w:link w:val="FooterChar"/>
    <w:uiPriority w:val="99"/>
    <w:unhideWhenUsed/>
    <w:rsid w:val="00AD57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E6"/>
    <w:rPr>
      <w:rFonts w:ascii="Calibri" w:eastAsia="Calibri" w:hAnsi="Calibri" w:cs="Times New Roman"/>
      <w:sz w:val="22"/>
      <w:szCs w:val="22"/>
    </w:rPr>
  </w:style>
  <w:style w:type="character" w:styleId="PageNumber">
    <w:name w:val="page number"/>
    <w:basedOn w:val="DefaultParagraphFont"/>
    <w:uiPriority w:val="99"/>
    <w:semiHidden/>
    <w:unhideWhenUsed/>
    <w:rsid w:val="00AD57E6"/>
  </w:style>
  <w:style w:type="character" w:styleId="CommentReference">
    <w:name w:val="annotation reference"/>
    <w:basedOn w:val="DefaultParagraphFont"/>
    <w:uiPriority w:val="99"/>
    <w:semiHidden/>
    <w:unhideWhenUsed/>
    <w:rsid w:val="00393949"/>
    <w:rPr>
      <w:sz w:val="16"/>
      <w:szCs w:val="16"/>
    </w:rPr>
  </w:style>
  <w:style w:type="paragraph" w:styleId="CommentText">
    <w:name w:val="annotation text"/>
    <w:basedOn w:val="Normal"/>
    <w:link w:val="CommentTextChar"/>
    <w:uiPriority w:val="99"/>
    <w:semiHidden/>
    <w:unhideWhenUsed/>
    <w:rsid w:val="00393949"/>
    <w:pPr>
      <w:spacing w:line="240" w:lineRule="auto"/>
    </w:pPr>
    <w:rPr>
      <w:sz w:val="20"/>
      <w:szCs w:val="20"/>
    </w:rPr>
  </w:style>
  <w:style w:type="character" w:customStyle="1" w:styleId="CommentTextChar">
    <w:name w:val="Comment Text Char"/>
    <w:basedOn w:val="DefaultParagraphFont"/>
    <w:link w:val="CommentText"/>
    <w:uiPriority w:val="99"/>
    <w:semiHidden/>
    <w:rsid w:val="0039394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93949"/>
    <w:rPr>
      <w:b/>
      <w:bCs/>
    </w:rPr>
  </w:style>
  <w:style w:type="character" w:customStyle="1" w:styleId="CommentSubjectChar">
    <w:name w:val="Comment Subject Char"/>
    <w:basedOn w:val="CommentTextChar"/>
    <w:link w:val="CommentSubject"/>
    <w:uiPriority w:val="99"/>
    <w:semiHidden/>
    <w:rsid w:val="0039394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393949"/>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3949"/>
    <w:rPr>
      <w:rFonts w:ascii="Times New Roman" w:eastAsia="Calibri" w:hAnsi="Times New Roman" w:cs="Times New Roman"/>
      <w:sz w:val="18"/>
      <w:szCs w:val="18"/>
    </w:rPr>
  </w:style>
  <w:style w:type="paragraph" w:styleId="ListParagraph">
    <w:name w:val="List Paragraph"/>
    <w:basedOn w:val="Normal"/>
    <w:uiPriority w:val="34"/>
    <w:qFormat/>
    <w:rsid w:val="000A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7F2D1-344C-4CB0-A336-8FBF8084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1387</Words>
  <Characters>7881</Characters>
  <Application>Microsoft Office Word</Application>
  <DocSecurity>0</DocSecurity>
  <Lines>175</Lines>
  <Paragraphs>67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Edmund</cp:lastModifiedBy>
  <cp:revision>2</cp:revision>
  <dcterms:created xsi:type="dcterms:W3CDTF">2018-10-26T08:27:00Z</dcterms:created>
  <dcterms:modified xsi:type="dcterms:W3CDTF">2018-10-26T08:27:00Z</dcterms:modified>
</cp:coreProperties>
</file>